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641FB6" w14:textId="31B57422" w:rsidR="00682E10" w:rsidRPr="007077C3" w:rsidRDefault="00682E10" w:rsidP="00682E10">
      <w:pPr>
        <w:jc w:val="center"/>
        <w:rPr>
          <w:b/>
        </w:rPr>
      </w:pPr>
      <w:r w:rsidRPr="007077C3">
        <w:rPr>
          <w:b/>
        </w:rPr>
        <w:t xml:space="preserve">Waste reintroduced in the kitchen: </w:t>
      </w:r>
      <w:r>
        <w:rPr>
          <w:b/>
        </w:rPr>
        <w:t xml:space="preserve">life cycles inventories </w:t>
      </w:r>
      <w:r w:rsidR="009A6FB7">
        <w:rPr>
          <w:b/>
        </w:rPr>
        <w:t>of representative</w:t>
      </w:r>
      <w:r>
        <w:rPr>
          <w:b/>
        </w:rPr>
        <w:t xml:space="preserve"> waste-to-nutrition pathways</w:t>
      </w:r>
    </w:p>
    <w:p w14:paraId="688D7C80" w14:textId="544E47CE" w:rsidR="00B3458D" w:rsidRPr="00B3458D" w:rsidRDefault="00B3458D" w:rsidP="00B3458D">
      <w:pPr>
        <w:jc w:val="center"/>
        <w:rPr>
          <w:b/>
          <w:lang w:val="fr-FR"/>
        </w:rPr>
      </w:pPr>
      <w:r w:rsidRPr="00B3458D">
        <w:rPr>
          <w:b/>
          <w:lang w:val="fr-FR"/>
        </w:rPr>
        <w:t>Supporting information document</w:t>
      </w:r>
    </w:p>
    <w:p w14:paraId="40E8628E" w14:textId="2E19AFAA" w:rsidR="00B3458D" w:rsidRPr="00B3458D" w:rsidRDefault="00B3458D">
      <w:pPr>
        <w:rPr>
          <w:lang w:val="fr-FR"/>
        </w:rPr>
      </w:pPr>
    </w:p>
    <w:p w14:paraId="28AD6E4E" w14:textId="77777777" w:rsidR="00B3458D" w:rsidRPr="00AF6D3E" w:rsidRDefault="00B3458D" w:rsidP="00B3458D">
      <w:pPr>
        <w:jc w:val="center"/>
        <w:rPr>
          <w:vertAlign w:val="superscript"/>
          <w:lang w:val="fr-FR"/>
        </w:rPr>
      </w:pPr>
      <w:r w:rsidRPr="00AF6D3E">
        <w:rPr>
          <w:lang w:val="fr-FR"/>
        </w:rPr>
        <w:t>U. Javourez</w:t>
      </w:r>
      <w:r w:rsidRPr="00AF6D3E">
        <w:rPr>
          <w:vertAlign w:val="superscript"/>
          <w:lang w:val="fr-FR"/>
        </w:rPr>
        <w:t>1*</w:t>
      </w:r>
      <w:r w:rsidRPr="00AF6D3E">
        <w:rPr>
          <w:lang w:val="fr-FR"/>
        </w:rPr>
        <w:t>, L. Tiruta-Barna</w:t>
      </w:r>
      <w:r w:rsidRPr="00AF6D3E">
        <w:rPr>
          <w:vertAlign w:val="superscript"/>
          <w:lang w:val="fr-FR"/>
        </w:rPr>
        <w:t>1</w:t>
      </w:r>
      <w:r w:rsidRPr="00AF6D3E">
        <w:rPr>
          <w:lang w:val="fr-FR"/>
        </w:rPr>
        <w:t>, L. Hamelin</w:t>
      </w:r>
      <w:r w:rsidRPr="00AF6D3E">
        <w:rPr>
          <w:vertAlign w:val="superscript"/>
          <w:lang w:val="fr-FR"/>
        </w:rPr>
        <w:t>1</w:t>
      </w:r>
    </w:p>
    <w:p w14:paraId="206D7576" w14:textId="77777777" w:rsidR="00B3458D" w:rsidRPr="00AF6D3E" w:rsidRDefault="00B3458D" w:rsidP="00B3458D">
      <w:pPr>
        <w:jc w:val="center"/>
        <w:rPr>
          <w:lang w:val="fr-FR"/>
        </w:rPr>
      </w:pPr>
      <w:r w:rsidRPr="00AF6D3E">
        <w:rPr>
          <w:vertAlign w:val="superscript"/>
          <w:lang w:val="fr-FR"/>
        </w:rPr>
        <w:t>1</w:t>
      </w:r>
      <w:r w:rsidRPr="00AF6D3E">
        <w:rPr>
          <w:lang w:val="fr-FR"/>
        </w:rPr>
        <w:t>TBI, Université de Toulouse, CNRS, INRAE, INSA, Toulouse, France</w:t>
      </w:r>
    </w:p>
    <w:p w14:paraId="22400284" w14:textId="77777777" w:rsidR="00B3458D" w:rsidRPr="00D42E9F" w:rsidRDefault="00B3458D" w:rsidP="00B3458D">
      <w:pPr>
        <w:jc w:val="center"/>
      </w:pPr>
      <w:r w:rsidRPr="00D42E9F">
        <w:rPr>
          <w:vertAlign w:val="superscript"/>
        </w:rPr>
        <w:t>*</w:t>
      </w:r>
      <w:r w:rsidRPr="00D42E9F">
        <w:t>: Corresponding author</w:t>
      </w:r>
      <w:r>
        <w:t xml:space="preserve"> (javourez@insa-toulouse.fr)</w:t>
      </w:r>
    </w:p>
    <w:p w14:paraId="2A74CA93" w14:textId="2CFB984E" w:rsidR="00B3458D" w:rsidRDefault="00B3458D"/>
    <w:p w14:paraId="4B0EB5D0" w14:textId="7A7789C8" w:rsidR="00936752" w:rsidRPr="00936752" w:rsidRDefault="00936752">
      <w:pPr>
        <w:rPr>
          <w:b/>
        </w:rPr>
      </w:pPr>
      <w:r w:rsidRPr="00936752">
        <w:rPr>
          <w:b/>
        </w:rPr>
        <w:t>Summary</w:t>
      </w:r>
    </w:p>
    <w:p w14:paraId="2B37FC18" w14:textId="17F32AC4" w:rsidR="00936752" w:rsidRDefault="000C3E59" w:rsidP="0012062A">
      <w:pPr>
        <w:jc w:val="both"/>
      </w:pPr>
      <w:r w:rsidRPr="0012062A">
        <w:t>This</w:t>
      </w:r>
      <w:r w:rsidR="0012062A" w:rsidRPr="0012062A">
        <w:t xml:space="preserve"> supporting information document (SI) specifies the harmonized modeling </w:t>
      </w:r>
      <w:r w:rsidR="003A0A4C">
        <w:t>approach</w:t>
      </w:r>
      <w:r w:rsidR="0012062A" w:rsidRPr="0012062A">
        <w:t xml:space="preserve"> proposed </w:t>
      </w:r>
      <w:r w:rsidR="00682E10">
        <w:t>to derive the life cycle inventories (LCI) of selected</w:t>
      </w:r>
      <w:r w:rsidR="0012062A" w:rsidRPr="0012062A">
        <w:t xml:space="preserve"> waste-to-nutrition pathways.</w:t>
      </w:r>
      <w:r w:rsidRPr="0012062A">
        <w:t xml:space="preserve"> </w:t>
      </w:r>
      <w:r w:rsidR="0012062A">
        <w:t>First, the residual biomass resource potential was established to uncover the quantities, compositions and current uses of the waste, residues and co-products available in France. Th</w:t>
      </w:r>
      <w:r w:rsidR="003A0A4C">
        <w:t>e</w:t>
      </w:r>
      <w:r w:rsidR="0012062A">
        <w:t xml:space="preserve"> </w:t>
      </w:r>
      <w:r w:rsidR="0012062A" w:rsidRPr="0012062A">
        <w:rPr>
          <w:b/>
        </w:rPr>
        <w:t xml:space="preserve">section </w:t>
      </w:r>
      <w:r w:rsidR="003A0A4C">
        <w:rPr>
          <w:b/>
        </w:rPr>
        <w:t>SI.</w:t>
      </w:r>
      <w:r w:rsidR="0012062A" w:rsidRPr="0012062A">
        <w:rPr>
          <w:b/>
        </w:rPr>
        <w:fldChar w:fldCharType="begin"/>
      </w:r>
      <w:r w:rsidR="0012062A" w:rsidRPr="0012062A">
        <w:rPr>
          <w:b/>
        </w:rPr>
        <w:instrText xml:space="preserve"> REF _Ref144916328 \r \h </w:instrText>
      </w:r>
      <w:r w:rsidR="0012062A">
        <w:rPr>
          <w:b/>
        </w:rPr>
        <w:instrText xml:space="preserve"> \* MERGEFORMAT </w:instrText>
      </w:r>
      <w:r w:rsidR="0012062A" w:rsidRPr="0012062A">
        <w:rPr>
          <w:b/>
        </w:rPr>
      </w:r>
      <w:r w:rsidR="0012062A" w:rsidRPr="0012062A">
        <w:rPr>
          <w:b/>
        </w:rPr>
        <w:fldChar w:fldCharType="separate"/>
      </w:r>
      <w:r w:rsidR="00F25F8C">
        <w:rPr>
          <w:b/>
        </w:rPr>
        <w:t>1</w:t>
      </w:r>
      <w:r w:rsidR="0012062A" w:rsidRPr="0012062A">
        <w:rPr>
          <w:b/>
        </w:rPr>
        <w:fldChar w:fldCharType="end"/>
      </w:r>
      <w:r w:rsidR="0012062A">
        <w:t xml:space="preserve"> provides the basis to select the representative current use of bioresources to include in the model, as well as the key individual streams for France. </w:t>
      </w:r>
      <w:r w:rsidR="0012062A" w:rsidRPr="0012062A">
        <w:t xml:space="preserve">Then, </w:t>
      </w:r>
      <w:r w:rsidR="0012062A" w:rsidRPr="0012062A">
        <w:rPr>
          <w:b/>
        </w:rPr>
        <w:t xml:space="preserve">section </w:t>
      </w:r>
      <w:r w:rsidR="003A0A4C">
        <w:rPr>
          <w:b/>
        </w:rPr>
        <w:t>SI.</w:t>
      </w:r>
      <w:r w:rsidR="0012062A" w:rsidRPr="0012062A">
        <w:rPr>
          <w:b/>
        </w:rPr>
        <w:fldChar w:fldCharType="begin"/>
      </w:r>
      <w:r w:rsidR="0012062A" w:rsidRPr="0012062A">
        <w:rPr>
          <w:b/>
        </w:rPr>
        <w:instrText xml:space="preserve"> REF _Ref144916601 \r \h </w:instrText>
      </w:r>
      <w:r w:rsidR="0012062A">
        <w:rPr>
          <w:b/>
        </w:rPr>
        <w:instrText xml:space="preserve"> \* MERGEFORMAT </w:instrText>
      </w:r>
      <w:r w:rsidR="0012062A" w:rsidRPr="0012062A">
        <w:rPr>
          <w:b/>
        </w:rPr>
      </w:r>
      <w:r w:rsidR="0012062A" w:rsidRPr="0012062A">
        <w:rPr>
          <w:b/>
        </w:rPr>
        <w:fldChar w:fldCharType="separate"/>
      </w:r>
      <w:r w:rsidR="00F25F8C">
        <w:rPr>
          <w:b/>
        </w:rPr>
        <w:t>2</w:t>
      </w:r>
      <w:r w:rsidR="0012062A" w:rsidRPr="0012062A">
        <w:rPr>
          <w:b/>
        </w:rPr>
        <w:fldChar w:fldCharType="end"/>
      </w:r>
      <w:r w:rsidR="0012062A" w:rsidRPr="0012062A">
        <w:t xml:space="preserve"> </w:t>
      </w:r>
      <w:r w:rsidR="00F25F8C">
        <w:t>details</w:t>
      </w:r>
      <w:r w:rsidR="0012062A" w:rsidRPr="0012062A">
        <w:t xml:space="preserve"> </w:t>
      </w:r>
      <w:r w:rsidR="00F25F8C">
        <w:t>the</w:t>
      </w:r>
      <w:r w:rsidR="0012062A" w:rsidRPr="0012062A">
        <w:t xml:space="preserve"> selection rational to screen the scaling plausibility of waste-to-nutrition pathways (in the short-, mid-term) in order to refine the modeling efforts where it matters.</w:t>
      </w:r>
      <w:r w:rsidR="0012062A">
        <w:t xml:space="preserve"> The </w:t>
      </w:r>
      <w:r w:rsidR="0012062A" w:rsidRPr="0012062A">
        <w:rPr>
          <w:b/>
        </w:rPr>
        <w:t xml:space="preserve">section </w:t>
      </w:r>
      <w:r w:rsidR="003A0A4C">
        <w:rPr>
          <w:b/>
        </w:rPr>
        <w:t>SI.</w:t>
      </w:r>
      <w:r w:rsidR="0012062A" w:rsidRPr="0012062A">
        <w:rPr>
          <w:b/>
        </w:rPr>
        <w:fldChar w:fldCharType="begin"/>
      </w:r>
      <w:r w:rsidR="0012062A" w:rsidRPr="0012062A">
        <w:rPr>
          <w:b/>
        </w:rPr>
        <w:instrText xml:space="preserve"> REF _Ref144740238 \r \h </w:instrText>
      </w:r>
      <w:r w:rsidR="0012062A">
        <w:rPr>
          <w:b/>
        </w:rPr>
        <w:instrText xml:space="preserve"> \* MERGEFORMAT </w:instrText>
      </w:r>
      <w:r w:rsidR="0012062A" w:rsidRPr="0012062A">
        <w:rPr>
          <w:b/>
        </w:rPr>
      </w:r>
      <w:r w:rsidR="0012062A" w:rsidRPr="0012062A">
        <w:rPr>
          <w:b/>
        </w:rPr>
        <w:fldChar w:fldCharType="separate"/>
      </w:r>
      <w:r w:rsidR="00F25F8C">
        <w:rPr>
          <w:b/>
        </w:rPr>
        <w:t>3</w:t>
      </w:r>
      <w:r w:rsidR="0012062A" w:rsidRPr="0012062A">
        <w:rPr>
          <w:b/>
        </w:rPr>
        <w:fldChar w:fldCharType="end"/>
      </w:r>
      <w:r w:rsidR="0012062A">
        <w:t xml:space="preserve"> </w:t>
      </w:r>
      <w:r w:rsidR="00F25F8C">
        <w:t>specifies</w:t>
      </w:r>
      <w:r w:rsidR="0012062A">
        <w:t xml:space="preserve"> the LCI modeling strategy implemented. The</w:t>
      </w:r>
      <w:r w:rsidR="00F25F8C">
        <w:t xml:space="preserve">n, </w:t>
      </w:r>
      <w:r w:rsidR="00682E10">
        <w:t>each of the</w:t>
      </w:r>
      <w:r w:rsidR="0012062A">
        <w:t xml:space="preserve"> 6+1 </w:t>
      </w:r>
      <w:r w:rsidR="00682E10">
        <w:t xml:space="preserve">parametric </w:t>
      </w:r>
      <w:r w:rsidR="0012062A">
        <w:t>LCI mod</w:t>
      </w:r>
      <w:r w:rsidR="00655BBB">
        <w:t>els</w:t>
      </w:r>
      <w:r w:rsidR="0012062A">
        <w:t xml:space="preserve"> and the definition of nutritional services are transparently and extensively detailed in the </w:t>
      </w:r>
      <w:r w:rsidR="0012062A" w:rsidRPr="0012062A">
        <w:rPr>
          <w:b/>
        </w:rPr>
        <w:t xml:space="preserve">section </w:t>
      </w:r>
      <w:r w:rsidR="00C913E1">
        <w:rPr>
          <w:b/>
        </w:rPr>
        <w:t xml:space="preserve">SI. </w:t>
      </w:r>
      <w:r w:rsidR="0012062A" w:rsidRPr="0012062A">
        <w:rPr>
          <w:b/>
        </w:rPr>
        <w:fldChar w:fldCharType="begin"/>
      </w:r>
      <w:r w:rsidR="0012062A" w:rsidRPr="0012062A">
        <w:rPr>
          <w:b/>
        </w:rPr>
        <w:instrText xml:space="preserve"> REF _Ref144916617 \r \h </w:instrText>
      </w:r>
      <w:r w:rsidR="0012062A">
        <w:rPr>
          <w:b/>
        </w:rPr>
        <w:instrText xml:space="preserve"> \* MERGEFORMAT </w:instrText>
      </w:r>
      <w:r w:rsidR="0012062A" w:rsidRPr="0012062A">
        <w:rPr>
          <w:b/>
        </w:rPr>
      </w:r>
      <w:r w:rsidR="0012062A" w:rsidRPr="0012062A">
        <w:rPr>
          <w:b/>
        </w:rPr>
        <w:fldChar w:fldCharType="separate"/>
      </w:r>
      <w:r w:rsidR="00F25F8C">
        <w:rPr>
          <w:b/>
        </w:rPr>
        <w:t>4</w:t>
      </w:r>
      <w:r w:rsidR="0012062A" w:rsidRPr="0012062A">
        <w:rPr>
          <w:b/>
        </w:rPr>
        <w:fldChar w:fldCharType="end"/>
      </w:r>
      <w:r w:rsidR="0012062A">
        <w:rPr>
          <w:b/>
        </w:rPr>
        <w:t xml:space="preserve">, </w:t>
      </w:r>
      <w:r w:rsidR="0012062A" w:rsidRPr="0012062A">
        <w:t>complementing the 4 mod</w:t>
      </w:r>
      <w:r w:rsidR="00655BBB">
        <w:t>els</w:t>
      </w:r>
      <w:r w:rsidR="0012062A" w:rsidRPr="0012062A">
        <w:t xml:space="preserve"> proposed in the companion paper</w:t>
      </w:r>
      <w:r w:rsidR="00682E10">
        <w:t xml:space="preserve"> Javourez et al., (</w:t>
      </w:r>
      <w:r w:rsidR="00682E10" w:rsidRPr="003A0A4C">
        <w:t>202</w:t>
      </w:r>
      <w:r w:rsidR="003A0A4C" w:rsidRPr="003A0A4C">
        <w:t>4</w:t>
      </w:r>
      <w:r w:rsidR="00682E10">
        <w:t>)</w:t>
      </w:r>
      <w:r w:rsidR="00682E10" w:rsidRPr="00682E10">
        <w:rPr>
          <w:b/>
          <w:highlight w:val="yellow"/>
        </w:rPr>
        <w:fldChar w:fldCharType="begin"/>
      </w:r>
      <w:r w:rsidR="00827449">
        <w:rPr>
          <w:b/>
          <w:highlight w:val="yellow"/>
        </w:rPr>
        <w:instrText xml:space="preserve"> ADDIN ZOTERO_ITEM CSL_CITATION {"citationID":"a1995smr106","properties":{"formattedCitation":"\\super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682E10" w:rsidRPr="00682E10">
        <w:rPr>
          <w:b/>
          <w:highlight w:val="yellow"/>
        </w:rPr>
        <w:fldChar w:fldCharType="separate"/>
      </w:r>
      <w:r w:rsidR="00682E10" w:rsidRPr="00682E10">
        <w:rPr>
          <w:rFonts w:ascii="Calibri" w:hAnsi="Calibri" w:cs="Calibri"/>
          <w:szCs w:val="24"/>
          <w:vertAlign w:val="superscript"/>
        </w:rPr>
        <w:t>1</w:t>
      </w:r>
      <w:r w:rsidR="00682E10" w:rsidRPr="00682E10">
        <w:rPr>
          <w:b/>
          <w:highlight w:val="yellow"/>
        </w:rPr>
        <w:fldChar w:fldCharType="end"/>
      </w:r>
      <w:r w:rsidR="0012062A" w:rsidRPr="0012062A">
        <w:t>.</w:t>
      </w:r>
      <w:r w:rsidR="0012062A">
        <w:t xml:space="preserve"> All the</w:t>
      </w:r>
      <w:r w:rsidR="007758EF">
        <w:t xml:space="preserve"> LCI</w:t>
      </w:r>
      <w:r w:rsidR="0012062A">
        <w:t xml:space="preserve"> mod</w:t>
      </w:r>
      <w:r w:rsidR="00655BBB">
        <w:t>el</w:t>
      </w:r>
      <w:r w:rsidR="003002F6">
        <w:t>s</w:t>
      </w:r>
      <w:r w:rsidR="0012062A">
        <w:t xml:space="preserve"> are shared in open-</w:t>
      </w:r>
      <w:r w:rsidR="0012062A" w:rsidRPr="0012062A">
        <w:t>access</w:t>
      </w:r>
      <w:r w:rsidR="00223AF6" w:rsidRPr="0012062A">
        <w:t xml:space="preserve"> (available in data repository). </w:t>
      </w:r>
      <w:r w:rsidR="007758EF">
        <w:t xml:space="preserve">Background calculation supporting </w:t>
      </w:r>
      <w:r w:rsidR="007758EF" w:rsidRPr="007758EF">
        <w:rPr>
          <w:b/>
        </w:rPr>
        <w:t>Figure 6</w:t>
      </w:r>
      <w:r w:rsidR="007758EF">
        <w:t xml:space="preserve"> </w:t>
      </w:r>
      <w:r w:rsidR="007758EF" w:rsidRPr="003A0A4C">
        <w:rPr>
          <w:b/>
        </w:rPr>
        <w:t>of the main manuscript</w:t>
      </w:r>
      <w:r w:rsidR="007758EF">
        <w:t xml:space="preserve"> is also available in the repository.</w:t>
      </w:r>
    </w:p>
    <w:p w14:paraId="79A2125A" w14:textId="2F55B9CE" w:rsidR="00936752" w:rsidRDefault="00936752">
      <w:pPr>
        <w:rPr>
          <w:b/>
        </w:rPr>
      </w:pPr>
      <w:r w:rsidRPr="00936752">
        <w:rPr>
          <w:b/>
        </w:rPr>
        <w:t>Supporting data</w:t>
      </w:r>
    </w:p>
    <w:p w14:paraId="29E46C55" w14:textId="0CAD9FED" w:rsidR="007B7645" w:rsidRPr="007B7645" w:rsidRDefault="007B7645">
      <w:r w:rsidRPr="007B7645">
        <w:t xml:space="preserve">Data generated and used for the analysis </w:t>
      </w:r>
      <w:r w:rsidR="003A0A4C">
        <w:t>is</w:t>
      </w:r>
      <w:r w:rsidRPr="007B7645">
        <w:t xml:space="preserve"> available at the link: </w:t>
      </w:r>
      <w:hyperlink r:id="rId8" w:tgtFrame="_blank" w:history="1">
        <w:r w:rsidR="004910B4">
          <w:rPr>
            <w:rStyle w:val="Lienhypertexte"/>
          </w:rPr>
          <w:t>https://doi.org/10.48531/JBRU.CALMIP/UJVBTR</w:t>
        </w:r>
      </w:hyperlink>
      <w:r w:rsidRPr="007B7645">
        <w:t xml:space="preserve"> and is composed by the following documents:</w:t>
      </w:r>
    </w:p>
    <w:p w14:paraId="2589D067" w14:textId="1C38BE09" w:rsidR="007B7645" w:rsidRPr="007B7645" w:rsidRDefault="007B7645" w:rsidP="00027C37">
      <w:pPr>
        <w:pStyle w:val="Paragraphedeliste"/>
        <w:numPr>
          <w:ilvl w:val="0"/>
          <w:numId w:val="6"/>
        </w:numPr>
      </w:pPr>
      <w:proofErr w:type="gramStart"/>
      <w:r w:rsidRPr="007B7645">
        <w:rPr>
          <w:i/>
        </w:rPr>
        <w:t>A.Resource</w:t>
      </w:r>
      <w:proofErr w:type="gramEnd"/>
      <w:r w:rsidRPr="007B7645">
        <w:rPr>
          <w:i/>
        </w:rPr>
        <w:t>_pot</w:t>
      </w:r>
      <w:r w:rsidRPr="007B7645">
        <w:t>:</w:t>
      </w:r>
      <w:r>
        <w:t xml:space="preserve"> Description, composition, amount and current use of French residual biomass streams</w:t>
      </w:r>
    </w:p>
    <w:p w14:paraId="78FDDD97" w14:textId="371A50CD" w:rsidR="007B7645" w:rsidRPr="007B7645" w:rsidRDefault="007B7645" w:rsidP="00027C37">
      <w:pPr>
        <w:pStyle w:val="Paragraphedeliste"/>
        <w:numPr>
          <w:ilvl w:val="0"/>
          <w:numId w:val="6"/>
        </w:numPr>
      </w:pPr>
      <w:r w:rsidRPr="007B7645">
        <w:rPr>
          <w:i/>
        </w:rPr>
        <w:t xml:space="preserve">B.BSF_module, B.CF_module, B.GA_module, B.GB_module, B.MP_module, </w:t>
      </w:r>
      <w:proofErr w:type="gramStart"/>
      <w:r w:rsidRPr="007B7645">
        <w:rPr>
          <w:i/>
        </w:rPr>
        <w:t>B.Myco</w:t>
      </w:r>
      <w:proofErr w:type="gramEnd"/>
      <w:r w:rsidRPr="007B7645">
        <w:rPr>
          <w:i/>
        </w:rPr>
        <w:t>_module, B.SSF_module</w:t>
      </w:r>
      <w:r w:rsidRPr="007B7645">
        <w:t>:</w:t>
      </w:r>
      <w:r>
        <w:t xml:space="preserve"> Parametric LCI models of all waste-to-nutrition pathways assessed (including unit operation definitions, calculation details, background processes selected, etc.)</w:t>
      </w:r>
    </w:p>
    <w:p w14:paraId="479B1667" w14:textId="5F87AB83" w:rsidR="007B7645" w:rsidRPr="007B7645" w:rsidRDefault="007B7645" w:rsidP="00027C37">
      <w:pPr>
        <w:pStyle w:val="Paragraphedeliste"/>
        <w:numPr>
          <w:ilvl w:val="0"/>
          <w:numId w:val="6"/>
        </w:numPr>
      </w:pPr>
      <w:r w:rsidRPr="007B7645">
        <w:rPr>
          <w:i/>
        </w:rPr>
        <w:t>C.Data_Fig6</w:t>
      </w:r>
      <w:r w:rsidRPr="007B7645">
        <w:t>:</w:t>
      </w:r>
      <w:r>
        <w:t xml:space="preserve"> Background data to derive Figure 6 of the main manuscript</w:t>
      </w:r>
    </w:p>
    <w:p w14:paraId="3F169485" w14:textId="77777777" w:rsidR="007B7645" w:rsidRDefault="007B7645">
      <w:pPr>
        <w:rPr>
          <w:b/>
        </w:rPr>
      </w:pPr>
      <w:r>
        <w:rPr>
          <w:b/>
        </w:rPr>
        <w:br w:type="page"/>
      </w:r>
    </w:p>
    <w:p w14:paraId="038F97E1" w14:textId="11C148E8" w:rsidR="00936752" w:rsidRDefault="00936752" w:rsidP="00936752">
      <w:pPr>
        <w:rPr>
          <w:b/>
        </w:rPr>
      </w:pPr>
      <w:r w:rsidRPr="00936752">
        <w:rPr>
          <w:b/>
        </w:rPr>
        <w:lastRenderedPageBreak/>
        <w:t>Table of content</w:t>
      </w:r>
    </w:p>
    <w:sdt>
      <w:sdtPr>
        <w:rPr>
          <w:rFonts w:asciiTheme="minorHAnsi" w:eastAsiaTheme="minorHAnsi" w:hAnsiTheme="minorHAnsi" w:cstheme="minorBidi"/>
          <w:color w:val="auto"/>
          <w:sz w:val="22"/>
          <w:szCs w:val="22"/>
          <w:lang w:val="en-US" w:eastAsia="en-US"/>
        </w:rPr>
        <w:id w:val="-1841695292"/>
        <w:docPartObj>
          <w:docPartGallery w:val="Table of Contents"/>
          <w:docPartUnique/>
        </w:docPartObj>
      </w:sdtPr>
      <w:sdtEndPr>
        <w:rPr>
          <w:b/>
          <w:bCs/>
        </w:rPr>
      </w:sdtEndPr>
      <w:sdtContent>
        <w:p w14:paraId="34E64A04" w14:textId="6B0C6AE9" w:rsidR="00447F21" w:rsidRDefault="00447F21">
          <w:pPr>
            <w:pStyle w:val="En-ttedetabledesmatires"/>
          </w:pPr>
        </w:p>
        <w:p w14:paraId="4A519C67" w14:textId="15A0D260" w:rsidR="00F25F8C" w:rsidRPr="007B7645" w:rsidRDefault="00447F21">
          <w:pPr>
            <w:pStyle w:val="TM1"/>
            <w:tabs>
              <w:tab w:val="left" w:pos="440"/>
              <w:tab w:val="right" w:leader="dot" w:pos="9062"/>
            </w:tabs>
            <w:rPr>
              <w:rFonts w:eastAsiaTheme="minorEastAsia"/>
              <w:noProof/>
              <w:sz w:val="20"/>
              <w:lang w:val="fr-FR" w:eastAsia="fr-FR"/>
            </w:rPr>
          </w:pPr>
          <w:r w:rsidRPr="007B7645">
            <w:rPr>
              <w:sz w:val="20"/>
            </w:rPr>
            <w:fldChar w:fldCharType="begin"/>
          </w:r>
          <w:r w:rsidRPr="007B7645">
            <w:rPr>
              <w:sz w:val="20"/>
            </w:rPr>
            <w:instrText xml:space="preserve"> TOC \o "1-3" \h \z \u </w:instrText>
          </w:r>
          <w:r w:rsidRPr="007B7645">
            <w:rPr>
              <w:sz w:val="20"/>
            </w:rPr>
            <w:fldChar w:fldCharType="separate"/>
          </w:r>
          <w:hyperlink w:anchor="_Toc145069093" w:history="1">
            <w:r w:rsidR="00F25F8C" w:rsidRPr="007B7645">
              <w:rPr>
                <w:rStyle w:val="Lienhypertexte"/>
                <w:noProof/>
                <w:sz w:val="20"/>
              </w:rPr>
              <w:t>1.</w:t>
            </w:r>
            <w:r w:rsidR="00F25F8C" w:rsidRPr="007B7645">
              <w:rPr>
                <w:rFonts w:eastAsiaTheme="minorEastAsia"/>
                <w:noProof/>
                <w:sz w:val="20"/>
                <w:lang w:val="fr-FR" w:eastAsia="fr-FR"/>
              </w:rPr>
              <w:tab/>
            </w:r>
            <w:r w:rsidR="00F25F8C" w:rsidRPr="007B7645">
              <w:rPr>
                <w:rStyle w:val="Lienhypertexte"/>
                <w:noProof/>
                <w:sz w:val="20"/>
              </w:rPr>
              <w:t>Feedstock selection and modeling</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_Toc145069093 \h </w:instrText>
            </w:r>
            <w:r w:rsidR="00F25F8C" w:rsidRPr="007B7645">
              <w:rPr>
                <w:noProof/>
                <w:webHidden/>
                <w:sz w:val="20"/>
              </w:rPr>
            </w:r>
            <w:r w:rsidR="00F25F8C" w:rsidRPr="007B7645">
              <w:rPr>
                <w:noProof/>
                <w:webHidden/>
                <w:sz w:val="20"/>
              </w:rPr>
              <w:fldChar w:fldCharType="separate"/>
            </w:r>
            <w:r w:rsidR="00A01585">
              <w:rPr>
                <w:noProof/>
                <w:webHidden/>
                <w:sz w:val="20"/>
              </w:rPr>
              <w:t>6</w:t>
            </w:r>
            <w:r w:rsidR="00F25F8C" w:rsidRPr="007B7645">
              <w:rPr>
                <w:noProof/>
                <w:webHidden/>
                <w:sz w:val="20"/>
              </w:rPr>
              <w:fldChar w:fldCharType="end"/>
            </w:r>
          </w:hyperlink>
        </w:p>
        <w:p w14:paraId="37E9F628" w14:textId="51FD7818" w:rsidR="00F25F8C" w:rsidRPr="007B7645" w:rsidRDefault="00827449">
          <w:pPr>
            <w:pStyle w:val="TM1"/>
            <w:tabs>
              <w:tab w:val="left" w:pos="440"/>
              <w:tab w:val="right" w:leader="dot" w:pos="9062"/>
            </w:tabs>
            <w:rPr>
              <w:rFonts w:eastAsiaTheme="minorEastAsia"/>
              <w:noProof/>
              <w:sz w:val="20"/>
              <w:lang w:val="fr-FR" w:eastAsia="fr-FR"/>
            </w:rPr>
          </w:pPr>
          <w:hyperlink w:anchor="_Toc145069094" w:history="1">
            <w:r w:rsidR="00F25F8C" w:rsidRPr="007B7645">
              <w:rPr>
                <w:rStyle w:val="Lienhypertexte"/>
                <w:noProof/>
                <w:sz w:val="20"/>
              </w:rPr>
              <w:t>2.</w:t>
            </w:r>
            <w:r w:rsidR="00F25F8C" w:rsidRPr="007B7645">
              <w:rPr>
                <w:rFonts w:eastAsiaTheme="minorEastAsia"/>
                <w:noProof/>
                <w:sz w:val="20"/>
                <w:lang w:val="fr-FR" w:eastAsia="fr-FR"/>
              </w:rPr>
              <w:tab/>
            </w:r>
            <w:r w:rsidR="00F25F8C" w:rsidRPr="007B7645">
              <w:rPr>
                <w:rStyle w:val="Lienhypertexte"/>
                <w:noProof/>
                <w:sz w:val="20"/>
              </w:rPr>
              <w:t>Waste-to-nutrition pathways selection</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_Toc145069094 \h </w:instrText>
            </w:r>
            <w:r w:rsidR="00F25F8C" w:rsidRPr="007B7645">
              <w:rPr>
                <w:noProof/>
                <w:webHidden/>
                <w:sz w:val="20"/>
              </w:rPr>
            </w:r>
            <w:r w:rsidR="00F25F8C" w:rsidRPr="007B7645">
              <w:rPr>
                <w:noProof/>
                <w:webHidden/>
                <w:sz w:val="20"/>
              </w:rPr>
              <w:fldChar w:fldCharType="separate"/>
            </w:r>
            <w:r w:rsidR="00A01585">
              <w:rPr>
                <w:noProof/>
                <w:webHidden/>
                <w:sz w:val="20"/>
              </w:rPr>
              <w:t>9</w:t>
            </w:r>
            <w:r w:rsidR="00F25F8C" w:rsidRPr="007B7645">
              <w:rPr>
                <w:noProof/>
                <w:webHidden/>
                <w:sz w:val="20"/>
              </w:rPr>
              <w:fldChar w:fldCharType="end"/>
            </w:r>
          </w:hyperlink>
        </w:p>
        <w:p w14:paraId="25953519" w14:textId="429DD9D7" w:rsidR="00F25F8C" w:rsidRPr="007B7645" w:rsidRDefault="00827449">
          <w:pPr>
            <w:pStyle w:val="TM2"/>
            <w:tabs>
              <w:tab w:val="left" w:pos="880"/>
              <w:tab w:val="right" w:leader="dot" w:pos="9062"/>
            </w:tabs>
            <w:rPr>
              <w:rFonts w:eastAsiaTheme="minorEastAsia"/>
              <w:noProof/>
              <w:sz w:val="20"/>
              <w:lang w:val="fr-FR" w:eastAsia="fr-FR"/>
            </w:rPr>
          </w:pPr>
          <w:hyperlink w:anchor="_Toc145069095" w:history="1">
            <w:r w:rsidR="00F25F8C" w:rsidRPr="007B7645">
              <w:rPr>
                <w:rStyle w:val="Lienhypertexte"/>
                <w:noProof/>
                <w:sz w:val="20"/>
              </w:rPr>
              <w:t>2.1.</w:t>
            </w:r>
            <w:r w:rsidR="00F25F8C" w:rsidRPr="007B7645">
              <w:rPr>
                <w:rFonts w:eastAsiaTheme="minorEastAsia"/>
                <w:noProof/>
                <w:sz w:val="20"/>
                <w:lang w:val="fr-FR" w:eastAsia="fr-FR"/>
              </w:rPr>
              <w:tab/>
            </w:r>
            <w:r w:rsidR="00F25F8C" w:rsidRPr="007B7645">
              <w:rPr>
                <w:rStyle w:val="Lienhypertexte"/>
                <w:noProof/>
                <w:sz w:val="20"/>
              </w:rPr>
              <w:t>EU Legislative background</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_Toc145069095 \h </w:instrText>
            </w:r>
            <w:r w:rsidR="00F25F8C" w:rsidRPr="007B7645">
              <w:rPr>
                <w:noProof/>
                <w:webHidden/>
                <w:sz w:val="20"/>
              </w:rPr>
            </w:r>
            <w:r w:rsidR="00F25F8C" w:rsidRPr="007B7645">
              <w:rPr>
                <w:noProof/>
                <w:webHidden/>
                <w:sz w:val="20"/>
              </w:rPr>
              <w:fldChar w:fldCharType="separate"/>
            </w:r>
            <w:r w:rsidR="00A01585">
              <w:rPr>
                <w:noProof/>
                <w:webHidden/>
                <w:sz w:val="20"/>
              </w:rPr>
              <w:t>9</w:t>
            </w:r>
            <w:r w:rsidR="00F25F8C" w:rsidRPr="007B7645">
              <w:rPr>
                <w:noProof/>
                <w:webHidden/>
                <w:sz w:val="20"/>
              </w:rPr>
              <w:fldChar w:fldCharType="end"/>
            </w:r>
          </w:hyperlink>
        </w:p>
        <w:p w14:paraId="6822CE61" w14:textId="63CC062B" w:rsidR="00F25F8C" w:rsidRPr="007B7645" w:rsidRDefault="00827449">
          <w:pPr>
            <w:pStyle w:val="TM2"/>
            <w:tabs>
              <w:tab w:val="left" w:pos="880"/>
              <w:tab w:val="right" w:leader="dot" w:pos="9062"/>
            </w:tabs>
            <w:rPr>
              <w:rFonts w:eastAsiaTheme="minorEastAsia"/>
              <w:noProof/>
              <w:sz w:val="20"/>
              <w:lang w:val="fr-FR" w:eastAsia="fr-FR"/>
            </w:rPr>
          </w:pPr>
          <w:hyperlink w:anchor="_Toc145069096" w:history="1">
            <w:r w:rsidR="00F25F8C" w:rsidRPr="007B7645">
              <w:rPr>
                <w:rStyle w:val="Lienhypertexte"/>
                <w:noProof/>
                <w:sz w:val="20"/>
              </w:rPr>
              <w:t>2.2.</w:t>
            </w:r>
            <w:r w:rsidR="00F25F8C" w:rsidRPr="007B7645">
              <w:rPr>
                <w:rFonts w:eastAsiaTheme="minorEastAsia"/>
                <w:noProof/>
                <w:sz w:val="20"/>
                <w:lang w:val="fr-FR" w:eastAsia="fr-FR"/>
              </w:rPr>
              <w:tab/>
            </w:r>
            <w:r w:rsidR="00F25F8C" w:rsidRPr="007B7645">
              <w:rPr>
                <w:rStyle w:val="Lienhypertexte"/>
                <w:noProof/>
                <w:sz w:val="20"/>
              </w:rPr>
              <w:t>Process intensity to mitigate risk transmission</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_Toc145069096 \h </w:instrText>
            </w:r>
            <w:r w:rsidR="00F25F8C" w:rsidRPr="007B7645">
              <w:rPr>
                <w:noProof/>
                <w:webHidden/>
                <w:sz w:val="20"/>
              </w:rPr>
            </w:r>
            <w:r w:rsidR="00F25F8C" w:rsidRPr="007B7645">
              <w:rPr>
                <w:noProof/>
                <w:webHidden/>
                <w:sz w:val="20"/>
              </w:rPr>
              <w:fldChar w:fldCharType="separate"/>
            </w:r>
            <w:r w:rsidR="00A01585">
              <w:rPr>
                <w:noProof/>
                <w:webHidden/>
                <w:sz w:val="20"/>
              </w:rPr>
              <w:t>12</w:t>
            </w:r>
            <w:r w:rsidR="00F25F8C" w:rsidRPr="007B7645">
              <w:rPr>
                <w:noProof/>
                <w:webHidden/>
                <w:sz w:val="20"/>
              </w:rPr>
              <w:fldChar w:fldCharType="end"/>
            </w:r>
          </w:hyperlink>
        </w:p>
        <w:p w14:paraId="1A545853" w14:textId="1B06F5CB" w:rsidR="00F25F8C" w:rsidRPr="007B7645" w:rsidRDefault="00827449">
          <w:pPr>
            <w:pStyle w:val="TM1"/>
            <w:tabs>
              <w:tab w:val="left" w:pos="440"/>
              <w:tab w:val="right" w:leader="dot" w:pos="9062"/>
            </w:tabs>
            <w:rPr>
              <w:rFonts w:eastAsiaTheme="minorEastAsia"/>
              <w:noProof/>
              <w:sz w:val="20"/>
              <w:lang w:val="fr-FR" w:eastAsia="fr-FR"/>
            </w:rPr>
          </w:pPr>
          <w:hyperlink w:anchor="_Toc145069097" w:history="1">
            <w:r w:rsidR="00F25F8C" w:rsidRPr="007B7645">
              <w:rPr>
                <w:rStyle w:val="Lienhypertexte"/>
                <w:noProof/>
                <w:sz w:val="20"/>
              </w:rPr>
              <w:t>3.</w:t>
            </w:r>
            <w:r w:rsidR="00F25F8C" w:rsidRPr="007B7645">
              <w:rPr>
                <w:rFonts w:eastAsiaTheme="minorEastAsia"/>
                <w:noProof/>
                <w:sz w:val="20"/>
                <w:lang w:val="fr-FR" w:eastAsia="fr-FR"/>
              </w:rPr>
              <w:tab/>
            </w:r>
            <w:r w:rsidR="00F25F8C" w:rsidRPr="007B7645">
              <w:rPr>
                <w:rStyle w:val="Lienhypertexte"/>
                <w:noProof/>
                <w:sz w:val="20"/>
              </w:rPr>
              <w:t>Design and harmonization of the LCI models</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_Toc145069097 \h </w:instrText>
            </w:r>
            <w:r w:rsidR="00F25F8C" w:rsidRPr="007B7645">
              <w:rPr>
                <w:noProof/>
                <w:webHidden/>
                <w:sz w:val="20"/>
              </w:rPr>
            </w:r>
            <w:r w:rsidR="00F25F8C" w:rsidRPr="007B7645">
              <w:rPr>
                <w:noProof/>
                <w:webHidden/>
                <w:sz w:val="20"/>
              </w:rPr>
              <w:fldChar w:fldCharType="separate"/>
            </w:r>
            <w:r w:rsidR="00A01585">
              <w:rPr>
                <w:noProof/>
                <w:webHidden/>
                <w:sz w:val="20"/>
              </w:rPr>
              <w:t>18</w:t>
            </w:r>
            <w:r w:rsidR="00F25F8C" w:rsidRPr="007B7645">
              <w:rPr>
                <w:noProof/>
                <w:webHidden/>
                <w:sz w:val="20"/>
              </w:rPr>
              <w:fldChar w:fldCharType="end"/>
            </w:r>
          </w:hyperlink>
        </w:p>
        <w:p w14:paraId="30CD3003" w14:textId="34FD53E9" w:rsidR="00F25F8C" w:rsidRPr="007B7645" w:rsidRDefault="00827449">
          <w:pPr>
            <w:pStyle w:val="TM1"/>
            <w:tabs>
              <w:tab w:val="left" w:pos="440"/>
              <w:tab w:val="right" w:leader="dot" w:pos="9062"/>
            </w:tabs>
            <w:rPr>
              <w:rFonts w:eastAsiaTheme="minorEastAsia"/>
              <w:noProof/>
              <w:sz w:val="20"/>
              <w:lang w:val="fr-FR" w:eastAsia="fr-FR"/>
            </w:rPr>
          </w:pPr>
          <w:hyperlink w:anchor="_Toc145069098" w:history="1">
            <w:r w:rsidR="00F25F8C" w:rsidRPr="007B7645">
              <w:rPr>
                <w:rStyle w:val="Lienhypertexte"/>
                <w:noProof/>
                <w:sz w:val="20"/>
              </w:rPr>
              <w:t>4.</w:t>
            </w:r>
            <w:r w:rsidR="00F25F8C" w:rsidRPr="007B7645">
              <w:rPr>
                <w:rFonts w:eastAsiaTheme="minorEastAsia"/>
                <w:noProof/>
                <w:sz w:val="20"/>
                <w:lang w:val="fr-FR" w:eastAsia="fr-FR"/>
              </w:rPr>
              <w:tab/>
            </w:r>
            <w:r w:rsidR="00F25F8C" w:rsidRPr="007B7645">
              <w:rPr>
                <w:rStyle w:val="Lienhypertexte"/>
                <w:noProof/>
                <w:sz w:val="20"/>
              </w:rPr>
              <w:t>Life cycle inventories modeling documentation</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_Toc145069098 \h </w:instrText>
            </w:r>
            <w:r w:rsidR="00F25F8C" w:rsidRPr="007B7645">
              <w:rPr>
                <w:noProof/>
                <w:webHidden/>
                <w:sz w:val="20"/>
              </w:rPr>
            </w:r>
            <w:r w:rsidR="00F25F8C" w:rsidRPr="007B7645">
              <w:rPr>
                <w:noProof/>
                <w:webHidden/>
                <w:sz w:val="20"/>
              </w:rPr>
              <w:fldChar w:fldCharType="separate"/>
            </w:r>
            <w:r w:rsidR="00A01585">
              <w:rPr>
                <w:noProof/>
                <w:webHidden/>
                <w:sz w:val="20"/>
              </w:rPr>
              <w:t>20</w:t>
            </w:r>
            <w:r w:rsidR="00F25F8C" w:rsidRPr="007B7645">
              <w:rPr>
                <w:noProof/>
                <w:webHidden/>
                <w:sz w:val="20"/>
              </w:rPr>
              <w:fldChar w:fldCharType="end"/>
            </w:r>
          </w:hyperlink>
        </w:p>
        <w:p w14:paraId="4AB79DFC" w14:textId="0EBA8A1C" w:rsidR="00F25F8C" w:rsidRPr="007B7645" w:rsidRDefault="00827449">
          <w:pPr>
            <w:pStyle w:val="TM2"/>
            <w:tabs>
              <w:tab w:val="left" w:pos="880"/>
              <w:tab w:val="right" w:leader="dot" w:pos="9062"/>
            </w:tabs>
            <w:rPr>
              <w:rFonts w:eastAsiaTheme="minorEastAsia"/>
              <w:noProof/>
              <w:sz w:val="20"/>
              <w:lang w:val="fr-FR" w:eastAsia="fr-FR"/>
            </w:rPr>
          </w:pPr>
          <w:hyperlink w:anchor="_Toc145069099" w:history="1">
            <w:r w:rsidR="00F25F8C" w:rsidRPr="007B7645">
              <w:rPr>
                <w:rStyle w:val="Lienhypertexte"/>
                <w:noProof/>
                <w:sz w:val="20"/>
              </w:rPr>
              <w:t>4.1.</w:t>
            </w:r>
            <w:r w:rsidR="00F25F8C" w:rsidRPr="007B7645">
              <w:rPr>
                <w:rFonts w:eastAsiaTheme="minorEastAsia"/>
                <w:noProof/>
                <w:sz w:val="20"/>
                <w:lang w:val="fr-FR" w:eastAsia="fr-FR"/>
              </w:rPr>
              <w:tab/>
            </w:r>
            <w:r w:rsidR="00F25F8C" w:rsidRPr="007B7645">
              <w:rPr>
                <w:rStyle w:val="Lienhypertexte"/>
                <w:noProof/>
                <w:sz w:val="20"/>
              </w:rPr>
              <w:t>Generic LCI unit operations</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_Toc145069099 \h </w:instrText>
            </w:r>
            <w:r w:rsidR="00F25F8C" w:rsidRPr="007B7645">
              <w:rPr>
                <w:noProof/>
                <w:webHidden/>
                <w:sz w:val="20"/>
              </w:rPr>
            </w:r>
            <w:r w:rsidR="00F25F8C" w:rsidRPr="007B7645">
              <w:rPr>
                <w:noProof/>
                <w:webHidden/>
                <w:sz w:val="20"/>
              </w:rPr>
              <w:fldChar w:fldCharType="separate"/>
            </w:r>
            <w:r w:rsidR="00A01585">
              <w:rPr>
                <w:noProof/>
                <w:webHidden/>
                <w:sz w:val="20"/>
              </w:rPr>
              <w:t>21</w:t>
            </w:r>
            <w:r w:rsidR="00F25F8C" w:rsidRPr="007B7645">
              <w:rPr>
                <w:noProof/>
                <w:webHidden/>
                <w:sz w:val="20"/>
              </w:rPr>
              <w:fldChar w:fldCharType="end"/>
            </w:r>
          </w:hyperlink>
        </w:p>
        <w:p w14:paraId="01349D8C" w14:textId="640636F9" w:rsidR="00F25F8C" w:rsidRPr="007B7645" w:rsidRDefault="00827449">
          <w:pPr>
            <w:pStyle w:val="TM3"/>
            <w:tabs>
              <w:tab w:val="left" w:pos="1320"/>
              <w:tab w:val="right" w:leader="dot" w:pos="9062"/>
            </w:tabs>
            <w:rPr>
              <w:rFonts w:eastAsiaTheme="minorEastAsia"/>
              <w:noProof/>
              <w:sz w:val="20"/>
              <w:lang w:val="fr-FR" w:eastAsia="fr-FR"/>
            </w:rPr>
          </w:pPr>
          <w:hyperlink w:anchor="_Toc145069100" w:history="1">
            <w:r w:rsidR="00F25F8C" w:rsidRPr="007B7645">
              <w:rPr>
                <w:rStyle w:val="Lienhypertexte"/>
                <w:noProof/>
                <w:sz w:val="20"/>
              </w:rPr>
              <w:t>4.1.1.</w:t>
            </w:r>
            <w:r w:rsidR="00F25F8C" w:rsidRPr="007B7645">
              <w:rPr>
                <w:rFonts w:eastAsiaTheme="minorEastAsia"/>
                <w:noProof/>
                <w:sz w:val="20"/>
                <w:lang w:val="fr-FR" w:eastAsia="fr-FR"/>
              </w:rPr>
              <w:tab/>
            </w:r>
            <w:r w:rsidR="00F25F8C" w:rsidRPr="007B7645">
              <w:rPr>
                <w:rStyle w:val="Lienhypertexte"/>
                <w:noProof/>
                <w:sz w:val="20"/>
              </w:rPr>
              <w:t>Constants</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_Toc145069100 \h </w:instrText>
            </w:r>
            <w:r w:rsidR="00F25F8C" w:rsidRPr="007B7645">
              <w:rPr>
                <w:noProof/>
                <w:webHidden/>
                <w:sz w:val="20"/>
              </w:rPr>
            </w:r>
            <w:r w:rsidR="00F25F8C" w:rsidRPr="007B7645">
              <w:rPr>
                <w:noProof/>
                <w:webHidden/>
                <w:sz w:val="20"/>
              </w:rPr>
              <w:fldChar w:fldCharType="separate"/>
            </w:r>
            <w:r w:rsidR="00A01585">
              <w:rPr>
                <w:noProof/>
                <w:webHidden/>
                <w:sz w:val="20"/>
              </w:rPr>
              <w:t>21</w:t>
            </w:r>
            <w:r w:rsidR="00F25F8C" w:rsidRPr="007B7645">
              <w:rPr>
                <w:noProof/>
                <w:webHidden/>
                <w:sz w:val="20"/>
              </w:rPr>
              <w:fldChar w:fldCharType="end"/>
            </w:r>
          </w:hyperlink>
        </w:p>
        <w:p w14:paraId="5A8CC4E5" w14:textId="49061D57" w:rsidR="00F25F8C" w:rsidRPr="007B7645" w:rsidRDefault="00827449">
          <w:pPr>
            <w:pStyle w:val="TM3"/>
            <w:tabs>
              <w:tab w:val="left" w:pos="1320"/>
              <w:tab w:val="right" w:leader="dot" w:pos="9062"/>
            </w:tabs>
            <w:rPr>
              <w:rFonts w:eastAsiaTheme="minorEastAsia"/>
              <w:noProof/>
              <w:sz w:val="20"/>
              <w:lang w:val="fr-FR" w:eastAsia="fr-FR"/>
            </w:rPr>
          </w:pPr>
          <w:hyperlink w:anchor="_Toc145069101" w:history="1">
            <w:r w:rsidR="00F25F8C" w:rsidRPr="007B7645">
              <w:rPr>
                <w:rStyle w:val="Lienhypertexte"/>
                <w:noProof/>
                <w:sz w:val="20"/>
              </w:rPr>
              <w:t>4.1.2.</w:t>
            </w:r>
            <w:r w:rsidR="00F25F8C" w:rsidRPr="007B7645">
              <w:rPr>
                <w:rFonts w:eastAsiaTheme="minorEastAsia"/>
                <w:noProof/>
                <w:sz w:val="20"/>
                <w:lang w:val="fr-FR" w:eastAsia="fr-FR"/>
              </w:rPr>
              <w:tab/>
            </w:r>
            <w:r w:rsidR="00F25F8C" w:rsidRPr="007B7645">
              <w:rPr>
                <w:rStyle w:val="Lienhypertexte"/>
                <w:noProof/>
                <w:sz w:val="20"/>
              </w:rPr>
              <w:t>Gases compression</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_Toc145069101 \h </w:instrText>
            </w:r>
            <w:r w:rsidR="00F25F8C" w:rsidRPr="007B7645">
              <w:rPr>
                <w:noProof/>
                <w:webHidden/>
                <w:sz w:val="20"/>
              </w:rPr>
            </w:r>
            <w:r w:rsidR="00F25F8C" w:rsidRPr="007B7645">
              <w:rPr>
                <w:noProof/>
                <w:webHidden/>
                <w:sz w:val="20"/>
              </w:rPr>
              <w:fldChar w:fldCharType="separate"/>
            </w:r>
            <w:r w:rsidR="00A01585">
              <w:rPr>
                <w:noProof/>
                <w:webHidden/>
                <w:sz w:val="20"/>
              </w:rPr>
              <w:t>21</w:t>
            </w:r>
            <w:r w:rsidR="00F25F8C" w:rsidRPr="007B7645">
              <w:rPr>
                <w:noProof/>
                <w:webHidden/>
                <w:sz w:val="20"/>
              </w:rPr>
              <w:fldChar w:fldCharType="end"/>
            </w:r>
          </w:hyperlink>
        </w:p>
        <w:p w14:paraId="656A7881" w14:textId="5CA05B3D" w:rsidR="00F25F8C" w:rsidRPr="007B7645" w:rsidRDefault="00827449">
          <w:pPr>
            <w:pStyle w:val="TM3"/>
            <w:tabs>
              <w:tab w:val="left" w:pos="1320"/>
              <w:tab w:val="right" w:leader="dot" w:pos="9062"/>
            </w:tabs>
            <w:rPr>
              <w:rFonts w:eastAsiaTheme="minorEastAsia"/>
              <w:noProof/>
              <w:sz w:val="20"/>
              <w:lang w:val="fr-FR" w:eastAsia="fr-FR"/>
            </w:rPr>
          </w:pPr>
          <w:hyperlink w:anchor="_Toc145069102" w:history="1">
            <w:r w:rsidR="00F25F8C" w:rsidRPr="007B7645">
              <w:rPr>
                <w:rStyle w:val="Lienhypertexte"/>
                <w:noProof/>
                <w:sz w:val="20"/>
              </w:rPr>
              <w:t>4.1.3.</w:t>
            </w:r>
            <w:r w:rsidR="00F25F8C" w:rsidRPr="007B7645">
              <w:rPr>
                <w:rFonts w:eastAsiaTheme="minorEastAsia"/>
                <w:noProof/>
                <w:sz w:val="20"/>
                <w:lang w:val="fr-FR" w:eastAsia="fr-FR"/>
              </w:rPr>
              <w:tab/>
            </w:r>
            <w:r w:rsidR="00F25F8C" w:rsidRPr="007B7645">
              <w:rPr>
                <w:rStyle w:val="Lienhypertexte"/>
                <w:noProof/>
                <w:sz w:val="20"/>
              </w:rPr>
              <w:t>Liquid pumping</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_Toc145069102 \h </w:instrText>
            </w:r>
            <w:r w:rsidR="00F25F8C" w:rsidRPr="007B7645">
              <w:rPr>
                <w:noProof/>
                <w:webHidden/>
                <w:sz w:val="20"/>
              </w:rPr>
            </w:r>
            <w:r w:rsidR="00F25F8C" w:rsidRPr="007B7645">
              <w:rPr>
                <w:noProof/>
                <w:webHidden/>
                <w:sz w:val="20"/>
              </w:rPr>
              <w:fldChar w:fldCharType="separate"/>
            </w:r>
            <w:r w:rsidR="00A01585">
              <w:rPr>
                <w:noProof/>
                <w:webHidden/>
                <w:sz w:val="20"/>
              </w:rPr>
              <w:t>22</w:t>
            </w:r>
            <w:r w:rsidR="00F25F8C" w:rsidRPr="007B7645">
              <w:rPr>
                <w:noProof/>
                <w:webHidden/>
                <w:sz w:val="20"/>
              </w:rPr>
              <w:fldChar w:fldCharType="end"/>
            </w:r>
          </w:hyperlink>
        </w:p>
        <w:p w14:paraId="409DE712" w14:textId="42A4E71F" w:rsidR="00F25F8C" w:rsidRPr="007B7645" w:rsidRDefault="00827449">
          <w:pPr>
            <w:pStyle w:val="TM3"/>
            <w:tabs>
              <w:tab w:val="left" w:pos="1320"/>
              <w:tab w:val="right" w:leader="dot" w:pos="9062"/>
            </w:tabs>
            <w:rPr>
              <w:rFonts w:eastAsiaTheme="minorEastAsia"/>
              <w:noProof/>
              <w:sz w:val="20"/>
              <w:lang w:val="fr-FR" w:eastAsia="fr-FR"/>
            </w:rPr>
          </w:pPr>
          <w:hyperlink w:anchor="_Toc145069103" w:history="1">
            <w:r w:rsidR="00F25F8C" w:rsidRPr="007B7645">
              <w:rPr>
                <w:rStyle w:val="Lienhypertexte"/>
                <w:noProof/>
                <w:sz w:val="20"/>
              </w:rPr>
              <w:t>4.1.4.</w:t>
            </w:r>
            <w:r w:rsidR="00F25F8C" w:rsidRPr="007B7645">
              <w:rPr>
                <w:rFonts w:eastAsiaTheme="minorEastAsia"/>
                <w:noProof/>
                <w:sz w:val="20"/>
                <w:lang w:val="fr-FR" w:eastAsia="fr-FR"/>
              </w:rPr>
              <w:tab/>
            </w:r>
            <w:r w:rsidR="00F25F8C" w:rsidRPr="007B7645">
              <w:rPr>
                <w:rStyle w:val="Lienhypertexte"/>
                <w:noProof/>
                <w:sz w:val="20"/>
              </w:rPr>
              <w:t>Heating and cooling</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_Toc145069103 \h </w:instrText>
            </w:r>
            <w:r w:rsidR="00F25F8C" w:rsidRPr="007B7645">
              <w:rPr>
                <w:noProof/>
                <w:webHidden/>
                <w:sz w:val="20"/>
              </w:rPr>
            </w:r>
            <w:r w:rsidR="00F25F8C" w:rsidRPr="007B7645">
              <w:rPr>
                <w:noProof/>
                <w:webHidden/>
                <w:sz w:val="20"/>
              </w:rPr>
              <w:fldChar w:fldCharType="separate"/>
            </w:r>
            <w:r w:rsidR="00A01585">
              <w:rPr>
                <w:noProof/>
                <w:webHidden/>
                <w:sz w:val="20"/>
              </w:rPr>
              <w:t>22</w:t>
            </w:r>
            <w:r w:rsidR="00F25F8C" w:rsidRPr="007B7645">
              <w:rPr>
                <w:noProof/>
                <w:webHidden/>
                <w:sz w:val="20"/>
              </w:rPr>
              <w:fldChar w:fldCharType="end"/>
            </w:r>
          </w:hyperlink>
        </w:p>
        <w:p w14:paraId="04B68133" w14:textId="44AC727F" w:rsidR="00F25F8C" w:rsidRPr="007B7645" w:rsidRDefault="00827449">
          <w:pPr>
            <w:pStyle w:val="TM3"/>
            <w:tabs>
              <w:tab w:val="left" w:pos="1320"/>
              <w:tab w:val="right" w:leader="dot" w:pos="9062"/>
            </w:tabs>
            <w:rPr>
              <w:rFonts w:eastAsiaTheme="minorEastAsia"/>
              <w:noProof/>
              <w:sz w:val="20"/>
              <w:lang w:val="fr-FR" w:eastAsia="fr-FR"/>
            </w:rPr>
          </w:pPr>
          <w:hyperlink w:anchor="_Toc145069104" w:history="1">
            <w:r w:rsidR="00F25F8C" w:rsidRPr="007B7645">
              <w:rPr>
                <w:rStyle w:val="Lienhypertexte"/>
                <w:noProof/>
                <w:sz w:val="20"/>
              </w:rPr>
              <w:t>4.1.5.</w:t>
            </w:r>
            <w:r w:rsidR="00F25F8C" w:rsidRPr="007B7645">
              <w:rPr>
                <w:rFonts w:eastAsiaTheme="minorEastAsia"/>
                <w:noProof/>
                <w:sz w:val="20"/>
                <w:lang w:val="fr-FR" w:eastAsia="fr-FR"/>
              </w:rPr>
              <w:tab/>
            </w:r>
            <w:r w:rsidR="00F25F8C" w:rsidRPr="007B7645">
              <w:rPr>
                <w:rStyle w:val="Lienhypertexte"/>
                <w:noProof/>
                <w:sz w:val="20"/>
              </w:rPr>
              <w:t>Combustion enthalpy potential estimation</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_Toc145069104 \h </w:instrText>
            </w:r>
            <w:r w:rsidR="00F25F8C" w:rsidRPr="007B7645">
              <w:rPr>
                <w:noProof/>
                <w:webHidden/>
                <w:sz w:val="20"/>
              </w:rPr>
            </w:r>
            <w:r w:rsidR="00F25F8C" w:rsidRPr="007B7645">
              <w:rPr>
                <w:noProof/>
                <w:webHidden/>
                <w:sz w:val="20"/>
              </w:rPr>
              <w:fldChar w:fldCharType="separate"/>
            </w:r>
            <w:r w:rsidR="00A01585">
              <w:rPr>
                <w:noProof/>
                <w:webHidden/>
                <w:sz w:val="20"/>
              </w:rPr>
              <w:t>22</w:t>
            </w:r>
            <w:r w:rsidR="00F25F8C" w:rsidRPr="007B7645">
              <w:rPr>
                <w:noProof/>
                <w:webHidden/>
                <w:sz w:val="20"/>
              </w:rPr>
              <w:fldChar w:fldCharType="end"/>
            </w:r>
          </w:hyperlink>
        </w:p>
        <w:p w14:paraId="688724F7" w14:textId="37A5AEE9" w:rsidR="00F25F8C" w:rsidRPr="007B7645" w:rsidRDefault="00827449">
          <w:pPr>
            <w:pStyle w:val="TM3"/>
            <w:tabs>
              <w:tab w:val="left" w:pos="1320"/>
              <w:tab w:val="right" w:leader="dot" w:pos="9062"/>
            </w:tabs>
            <w:rPr>
              <w:rFonts w:eastAsiaTheme="minorEastAsia"/>
              <w:noProof/>
              <w:sz w:val="20"/>
              <w:lang w:val="fr-FR" w:eastAsia="fr-FR"/>
            </w:rPr>
          </w:pPr>
          <w:hyperlink w:anchor="_Toc145069105" w:history="1">
            <w:r w:rsidR="00F25F8C" w:rsidRPr="007B7645">
              <w:rPr>
                <w:rStyle w:val="Lienhypertexte"/>
                <w:noProof/>
                <w:sz w:val="20"/>
              </w:rPr>
              <w:t>4.1.6.</w:t>
            </w:r>
            <w:r w:rsidR="00F25F8C" w:rsidRPr="007B7645">
              <w:rPr>
                <w:rFonts w:eastAsiaTheme="minorEastAsia"/>
                <w:noProof/>
                <w:sz w:val="20"/>
                <w:lang w:val="fr-FR" w:eastAsia="fr-FR"/>
              </w:rPr>
              <w:tab/>
            </w:r>
            <w:r w:rsidR="00F25F8C" w:rsidRPr="007B7645">
              <w:rPr>
                <w:rStyle w:val="Lienhypertexte"/>
                <w:noProof/>
                <w:sz w:val="20"/>
              </w:rPr>
              <w:t>Heat recovery modeling</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_Toc145069105 \h </w:instrText>
            </w:r>
            <w:r w:rsidR="00F25F8C" w:rsidRPr="007B7645">
              <w:rPr>
                <w:noProof/>
                <w:webHidden/>
                <w:sz w:val="20"/>
              </w:rPr>
            </w:r>
            <w:r w:rsidR="00F25F8C" w:rsidRPr="007B7645">
              <w:rPr>
                <w:noProof/>
                <w:webHidden/>
                <w:sz w:val="20"/>
              </w:rPr>
              <w:fldChar w:fldCharType="separate"/>
            </w:r>
            <w:r w:rsidR="00A01585">
              <w:rPr>
                <w:noProof/>
                <w:webHidden/>
                <w:sz w:val="20"/>
              </w:rPr>
              <w:t>23</w:t>
            </w:r>
            <w:r w:rsidR="00F25F8C" w:rsidRPr="007B7645">
              <w:rPr>
                <w:noProof/>
                <w:webHidden/>
                <w:sz w:val="20"/>
              </w:rPr>
              <w:fldChar w:fldCharType="end"/>
            </w:r>
          </w:hyperlink>
        </w:p>
        <w:p w14:paraId="23A214B7" w14:textId="4F8864D3" w:rsidR="00F25F8C" w:rsidRPr="007B7645" w:rsidRDefault="00827449">
          <w:pPr>
            <w:pStyle w:val="TM3"/>
            <w:tabs>
              <w:tab w:val="left" w:pos="1320"/>
              <w:tab w:val="right" w:leader="dot" w:pos="9062"/>
            </w:tabs>
            <w:rPr>
              <w:rFonts w:eastAsiaTheme="minorEastAsia"/>
              <w:noProof/>
              <w:sz w:val="20"/>
              <w:lang w:val="fr-FR" w:eastAsia="fr-FR"/>
            </w:rPr>
          </w:pPr>
          <w:hyperlink w:anchor="_Toc145069106" w:history="1">
            <w:r w:rsidR="00F25F8C" w:rsidRPr="007B7645">
              <w:rPr>
                <w:rStyle w:val="Lienhypertexte"/>
                <w:noProof/>
                <w:sz w:val="20"/>
              </w:rPr>
              <w:t>4.1.7.</w:t>
            </w:r>
            <w:r w:rsidR="00F25F8C" w:rsidRPr="007B7645">
              <w:rPr>
                <w:rFonts w:eastAsiaTheme="minorEastAsia"/>
                <w:noProof/>
                <w:sz w:val="20"/>
                <w:lang w:val="fr-FR" w:eastAsia="fr-FR"/>
              </w:rPr>
              <w:tab/>
            </w:r>
            <w:r w:rsidR="00F25F8C" w:rsidRPr="007B7645">
              <w:rPr>
                <w:rStyle w:val="Lienhypertexte"/>
                <w:noProof/>
                <w:sz w:val="20"/>
              </w:rPr>
              <w:t>Handling and transportation operations</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_Toc145069106 \h </w:instrText>
            </w:r>
            <w:r w:rsidR="00F25F8C" w:rsidRPr="007B7645">
              <w:rPr>
                <w:noProof/>
                <w:webHidden/>
                <w:sz w:val="20"/>
              </w:rPr>
            </w:r>
            <w:r w:rsidR="00F25F8C" w:rsidRPr="007B7645">
              <w:rPr>
                <w:noProof/>
                <w:webHidden/>
                <w:sz w:val="20"/>
              </w:rPr>
              <w:fldChar w:fldCharType="separate"/>
            </w:r>
            <w:r w:rsidR="00A01585">
              <w:rPr>
                <w:noProof/>
                <w:webHidden/>
                <w:sz w:val="20"/>
              </w:rPr>
              <w:t>26</w:t>
            </w:r>
            <w:r w:rsidR="00F25F8C" w:rsidRPr="007B7645">
              <w:rPr>
                <w:noProof/>
                <w:webHidden/>
                <w:sz w:val="20"/>
              </w:rPr>
              <w:fldChar w:fldCharType="end"/>
            </w:r>
          </w:hyperlink>
        </w:p>
        <w:p w14:paraId="1C01630F" w14:textId="36EEEFBB" w:rsidR="00F25F8C" w:rsidRPr="007B7645" w:rsidRDefault="00827449">
          <w:pPr>
            <w:pStyle w:val="TM3"/>
            <w:tabs>
              <w:tab w:val="left" w:pos="1320"/>
              <w:tab w:val="right" w:leader="dot" w:pos="9062"/>
            </w:tabs>
            <w:rPr>
              <w:rFonts w:eastAsiaTheme="minorEastAsia"/>
              <w:noProof/>
              <w:sz w:val="20"/>
              <w:lang w:val="fr-FR" w:eastAsia="fr-FR"/>
            </w:rPr>
          </w:pPr>
          <w:hyperlink w:anchor="_Toc145069107" w:history="1">
            <w:r w:rsidR="00F25F8C" w:rsidRPr="007B7645">
              <w:rPr>
                <w:rStyle w:val="Lienhypertexte"/>
                <w:noProof/>
                <w:sz w:val="20"/>
              </w:rPr>
              <w:t>4.1.8.</w:t>
            </w:r>
            <w:r w:rsidR="00F25F8C" w:rsidRPr="007B7645">
              <w:rPr>
                <w:rFonts w:eastAsiaTheme="minorEastAsia"/>
                <w:noProof/>
                <w:sz w:val="20"/>
                <w:lang w:val="fr-FR" w:eastAsia="fr-FR"/>
              </w:rPr>
              <w:tab/>
            </w:r>
            <w:r w:rsidR="00F25F8C" w:rsidRPr="007B7645">
              <w:rPr>
                <w:rStyle w:val="Lienhypertexte"/>
                <w:noProof/>
                <w:sz w:val="20"/>
              </w:rPr>
              <w:t>Wastewater treatment requirements</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_Toc145069107 \h </w:instrText>
            </w:r>
            <w:r w:rsidR="00F25F8C" w:rsidRPr="007B7645">
              <w:rPr>
                <w:noProof/>
                <w:webHidden/>
                <w:sz w:val="20"/>
              </w:rPr>
            </w:r>
            <w:r w:rsidR="00F25F8C" w:rsidRPr="007B7645">
              <w:rPr>
                <w:noProof/>
                <w:webHidden/>
                <w:sz w:val="20"/>
              </w:rPr>
              <w:fldChar w:fldCharType="separate"/>
            </w:r>
            <w:r w:rsidR="00A01585">
              <w:rPr>
                <w:noProof/>
                <w:webHidden/>
                <w:sz w:val="20"/>
              </w:rPr>
              <w:t>27</w:t>
            </w:r>
            <w:r w:rsidR="00F25F8C" w:rsidRPr="007B7645">
              <w:rPr>
                <w:noProof/>
                <w:webHidden/>
                <w:sz w:val="20"/>
              </w:rPr>
              <w:fldChar w:fldCharType="end"/>
            </w:r>
          </w:hyperlink>
        </w:p>
        <w:p w14:paraId="7C420139" w14:textId="2DF238E7" w:rsidR="00F25F8C" w:rsidRPr="007B7645" w:rsidRDefault="00827449">
          <w:pPr>
            <w:pStyle w:val="TM3"/>
            <w:tabs>
              <w:tab w:val="left" w:pos="1320"/>
              <w:tab w:val="right" w:leader="dot" w:pos="9062"/>
            </w:tabs>
            <w:rPr>
              <w:rFonts w:eastAsiaTheme="minorEastAsia"/>
              <w:noProof/>
              <w:sz w:val="20"/>
              <w:lang w:val="fr-FR" w:eastAsia="fr-FR"/>
            </w:rPr>
          </w:pPr>
          <w:hyperlink w:anchor="_Toc145069108" w:history="1">
            <w:r w:rsidR="00F25F8C" w:rsidRPr="007B7645">
              <w:rPr>
                <w:rStyle w:val="Lienhypertexte"/>
                <w:noProof/>
                <w:sz w:val="20"/>
              </w:rPr>
              <w:t>4.1.9.</w:t>
            </w:r>
            <w:r w:rsidR="00F25F8C" w:rsidRPr="007B7645">
              <w:rPr>
                <w:rFonts w:eastAsiaTheme="minorEastAsia"/>
                <w:noProof/>
                <w:sz w:val="20"/>
                <w:lang w:val="fr-FR" w:eastAsia="fr-FR"/>
              </w:rPr>
              <w:tab/>
            </w:r>
            <w:r w:rsidR="00F25F8C" w:rsidRPr="007B7645">
              <w:rPr>
                <w:rStyle w:val="Lienhypertexte"/>
                <w:noProof/>
                <w:sz w:val="20"/>
              </w:rPr>
              <w:t>Estimation of the nutritional services of edible products and co-products</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_Toc145069108 \h </w:instrText>
            </w:r>
            <w:r w:rsidR="00F25F8C" w:rsidRPr="007B7645">
              <w:rPr>
                <w:noProof/>
                <w:webHidden/>
                <w:sz w:val="20"/>
              </w:rPr>
            </w:r>
            <w:r w:rsidR="00F25F8C" w:rsidRPr="007B7645">
              <w:rPr>
                <w:noProof/>
                <w:webHidden/>
                <w:sz w:val="20"/>
              </w:rPr>
              <w:fldChar w:fldCharType="separate"/>
            </w:r>
            <w:r w:rsidR="00A01585">
              <w:rPr>
                <w:noProof/>
                <w:webHidden/>
                <w:sz w:val="20"/>
              </w:rPr>
              <w:t>27</w:t>
            </w:r>
            <w:r w:rsidR="00F25F8C" w:rsidRPr="007B7645">
              <w:rPr>
                <w:noProof/>
                <w:webHidden/>
                <w:sz w:val="20"/>
              </w:rPr>
              <w:fldChar w:fldCharType="end"/>
            </w:r>
          </w:hyperlink>
        </w:p>
        <w:p w14:paraId="0B35F28D" w14:textId="4ACBA3F2" w:rsidR="00F25F8C" w:rsidRPr="007B7645" w:rsidRDefault="00827449">
          <w:pPr>
            <w:pStyle w:val="TM3"/>
            <w:tabs>
              <w:tab w:val="left" w:pos="1320"/>
              <w:tab w:val="right" w:leader="dot" w:pos="9062"/>
            </w:tabs>
            <w:rPr>
              <w:rFonts w:eastAsiaTheme="minorEastAsia"/>
              <w:noProof/>
              <w:sz w:val="20"/>
              <w:lang w:val="fr-FR" w:eastAsia="fr-FR"/>
            </w:rPr>
          </w:pPr>
          <w:hyperlink w:anchor="_Toc145069109" w:history="1">
            <w:r w:rsidR="00F25F8C" w:rsidRPr="007B7645">
              <w:rPr>
                <w:rStyle w:val="Lienhypertexte"/>
                <w:noProof/>
                <w:sz w:val="20"/>
              </w:rPr>
              <w:t>4.1.10.</w:t>
            </w:r>
            <w:r w:rsidR="00F25F8C" w:rsidRPr="007B7645">
              <w:rPr>
                <w:rFonts w:eastAsiaTheme="minorEastAsia"/>
                <w:noProof/>
                <w:sz w:val="20"/>
                <w:lang w:val="fr-FR" w:eastAsia="fr-FR"/>
              </w:rPr>
              <w:tab/>
            </w:r>
            <w:r w:rsidR="00F25F8C" w:rsidRPr="007B7645">
              <w:rPr>
                <w:rStyle w:val="Lienhypertexte"/>
                <w:noProof/>
                <w:sz w:val="20"/>
              </w:rPr>
              <w:t>Energy and fertilizer services</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_Toc145069109 \h </w:instrText>
            </w:r>
            <w:r w:rsidR="00F25F8C" w:rsidRPr="007B7645">
              <w:rPr>
                <w:noProof/>
                <w:webHidden/>
                <w:sz w:val="20"/>
              </w:rPr>
            </w:r>
            <w:r w:rsidR="00F25F8C" w:rsidRPr="007B7645">
              <w:rPr>
                <w:noProof/>
                <w:webHidden/>
                <w:sz w:val="20"/>
              </w:rPr>
              <w:fldChar w:fldCharType="separate"/>
            </w:r>
            <w:r w:rsidR="00A01585">
              <w:rPr>
                <w:noProof/>
                <w:webHidden/>
                <w:sz w:val="20"/>
              </w:rPr>
              <w:t>31</w:t>
            </w:r>
            <w:r w:rsidR="00F25F8C" w:rsidRPr="007B7645">
              <w:rPr>
                <w:noProof/>
                <w:webHidden/>
                <w:sz w:val="20"/>
              </w:rPr>
              <w:fldChar w:fldCharType="end"/>
            </w:r>
          </w:hyperlink>
        </w:p>
        <w:p w14:paraId="2FA6D507" w14:textId="73A44D33" w:rsidR="00F25F8C" w:rsidRPr="007B7645" w:rsidRDefault="00827449">
          <w:pPr>
            <w:pStyle w:val="TM3"/>
            <w:tabs>
              <w:tab w:val="left" w:pos="1320"/>
              <w:tab w:val="right" w:leader="dot" w:pos="9062"/>
            </w:tabs>
            <w:rPr>
              <w:rFonts w:eastAsiaTheme="minorEastAsia"/>
              <w:noProof/>
              <w:sz w:val="20"/>
              <w:lang w:val="fr-FR" w:eastAsia="fr-FR"/>
            </w:rPr>
          </w:pPr>
          <w:hyperlink w:anchor="_Toc145069110" w:history="1">
            <w:r w:rsidR="00F25F8C" w:rsidRPr="007B7645">
              <w:rPr>
                <w:rStyle w:val="Lienhypertexte"/>
                <w:noProof/>
                <w:sz w:val="20"/>
              </w:rPr>
              <w:t>4.1.11.</w:t>
            </w:r>
            <w:r w:rsidR="00F25F8C" w:rsidRPr="007B7645">
              <w:rPr>
                <w:rFonts w:eastAsiaTheme="minorEastAsia"/>
                <w:noProof/>
                <w:sz w:val="20"/>
                <w:lang w:val="fr-FR" w:eastAsia="fr-FR"/>
              </w:rPr>
              <w:tab/>
            </w:r>
            <w:r w:rsidR="00F25F8C" w:rsidRPr="007B7645">
              <w:rPr>
                <w:rStyle w:val="Lienhypertexte"/>
                <w:noProof/>
                <w:sz w:val="20"/>
              </w:rPr>
              <w:t>General principles for reuse of the co-products</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_Toc145069110 \h </w:instrText>
            </w:r>
            <w:r w:rsidR="00F25F8C" w:rsidRPr="007B7645">
              <w:rPr>
                <w:noProof/>
                <w:webHidden/>
                <w:sz w:val="20"/>
              </w:rPr>
            </w:r>
            <w:r w:rsidR="00F25F8C" w:rsidRPr="007B7645">
              <w:rPr>
                <w:noProof/>
                <w:webHidden/>
                <w:sz w:val="20"/>
              </w:rPr>
              <w:fldChar w:fldCharType="separate"/>
            </w:r>
            <w:r w:rsidR="00A01585">
              <w:rPr>
                <w:noProof/>
                <w:webHidden/>
                <w:sz w:val="20"/>
              </w:rPr>
              <w:t>31</w:t>
            </w:r>
            <w:r w:rsidR="00F25F8C" w:rsidRPr="007B7645">
              <w:rPr>
                <w:noProof/>
                <w:webHidden/>
                <w:sz w:val="20"/>
              </w:rPr>
              <w:fldChar w:fldCharType="end"/>
            </w:r>
          </w:hyperlink>
        </w:p>
        <w:p w14:paraId="2E474429" w14:textId="02E39279" w:rsidR="00F25F8C" w:rsidRPr="007B7645" w:rsidRDefault="00827449">
          <w:pPr>
            <w:pStyle w:val="TM2"/>
            <w:tabs>
              <w:tab w:val="left" w:pos="880"/>
              <w:tab w:val="right" w:leader="dot" w:pos="9062"/>
            </w:tabs>
            <w:rPr>
              <w:rFonts w:eastAsiaTheme="minorEastAsia"/>
              <w:noProof/>
              <w:sz w:val="20"/>
              <w:lang w:val="fr-FR" w:eastAsia="fr-FR"/>
            </w:rPr>
          </w:pPr>
          <w:hyperlink w:anchor="_Toc145069111" w:history="1">
            <w:r w:rsidR="00F25F8C" w:rsidRPr="007B7645">
              <w:rPr>
                <w:rStyle w:val="Lienhypertexte"/>
                <w:noProof/>
                <w:sz w:val="20"/>
              </w:rPr>
              <w:t>4.2.</w:t>
            </w:r>
            <w:r w:rsidR="00F25F8C" w:rsidRPr="007B7645">
              <w:rPr>
                <w:rFonts w:eastAsiaTheme="minorEastAsia"/>
                <w:noProof/>
                <w:sz w:val="20"/>
                <w:lang w:val="fr-FR" w:eastAsia="fr-FR"/>
              </w:rPr>
              <w:tab/>
            </w:r>
            <w:r w:rsidR="00F25F8C" w:rsidRPr="007B7645">
              <w:rPr>
                <w:rStyle w:val="Lienhypertexte"/>
                <w:noProof/>
                <w:sz w:val="20"/>
              </w:rPr>
              <w:t>Compound feed LCI module</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_Toc145069111 \h </w:instrText>
            </w:r>
            <w:r w:rsidR="00F25F8C" w:rsidRPr="007B7645">
              <w:rPr>
                <w:noProof/>
                <w:webHidden/>
                <w:sz w:val="20"/>
              </w:rPr>
            </w:r>
            <w:r w:rsidR="00F25F8C" w:rsidRPr="007B7645">
              <w:rPr>
                <w:noProof/>
                <w:webHidden/>
                <w:sz w:val="20"/>
              </w:rPr>
              <w:fldChar w:fldCharType="separate"/>
            </w:r>
            <w:r w:rsidR="00A01585">
              <w:rPr>
                <w:noProof/>
                <w:webHidden/>
                <w:sz w:val="20"/>
              </w:rPr>
              <w:t>32</w:t>
            </w:r>
            <w:r w:rsidR="00F25F8C" w:rsidRPr="007B7645">
              <w:rPr>
                <w:noProof/>
                <w:webHidden/>
                <w:sz w:val="20"/>
              </w:rPr>
              <w:fldChar w:fldCharType="end"/>
            </w:r>
          </w:hyperlink>
        </w:p>
        <w:p w14:paraId="7F0EB1D5" w14:textId="68BC70D7" w:rsidR="00F25F8C" w:rsidRPr="007B7645" w:rsidRDefault="00827449">
          <w:pPr>
            <w:pStyle w:val="TM2"/>
            <w:tabs>
              <w:tab w:val="left" w:pos="880"/>
              <w:tab w:val="right" w:leader="dot" w:pos="9062"/>
            </w:tabs>
            <w:rPr>
              <w:rFonts w:eastAsiaTheme="minorEastAsia"/>
              <w:noProof/>
              <w:sz w:val="20"/>
              <w:lang w:val="fr-FR" w:eastAsia="fr-FR"/>
            </w:rPr>
          </w:pPr>
          <w:hyperlink w:anchor="_Toc145069112" w:history="1">
            <w:r w:rsidR="00F25F8C" w:rsidRPr="007B7645">
              <w:rPr>
                <w:rStyle w:val="Lienhypertexte"/>
                <w:noProof/>
                <w:sz w:val="20"/>
              </w:rPr>
              <w:t>4.3.</w:t>
            </w:r>
            <w:r w:rsidR="00F25F8C" w:rsidRPr="007B7645">
              <w:rPr>
                <w:rFonts w:eastAsiaTheme="minorEastAsia"/>
                <w:noProof/>
                <w:sz w:val="20"/>
                <w:lang w:val="fr-FR" w:eastAsia="fr-FR"/>
              </w:rPr>
              <w:tab/>
            </w:r>
            <w:r w:rsidR="00F25F8C" w:rsidRPr="007B7645">
              <w:rPr>
                <w:rStyle w:val="Lienhypertexte"/>
                <w:noProof/>
                <w:sz w:val="20"/>
              </w:rPr>
              <w:t>Nutritional enhancement through solid fermentation LCI module</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_Toc145069112 \h </w:instrText>
            </w:r>
            <w:r w:rsidR="00F25F8C" w:rsidRPr="007B7645">
              <w:rPr>
                <w:noProof/>
                <w:webHidden/>
                <w:sz w:val="20"/>
              </w:rPr>
            </w:r>
            <w:r w:rsidR="00F25F8C" w:rsidRPr="007B7645">
              <w:rPr>
                <w:noProof/>
                <w:webHidden/>
                <w:sz w:val="20"/>
              </w:rPr>
              <w:fldChar w:fldCharType="separate"/>
            </w:r>
            <w:r w:rsidR="00A01585">
              <w:rPr>
                <w:noProof/>
                <w:webHidden/>
                <w:sz w:val="20"/>
              </w:rPr>
              <w:t>32</w:t>
            </w:r>
            <w:r w:rsidR="00F25F8C" w:rsidRPr="007B7645">
              <w:rPr>
                <w:noProof/>
                <w:webHidden/>
                <w:sz w:val="20"/>
              </w:rPr>
              <w:fldChar w:fldCharType="end"/>
            </w:r>
          </w:hyperlink>
        </w:p>
        <w:p w14:paraId="71C92985" w14:textId="638B5E61" w:rsidR="00F25F8C" w:rsidRPr="007B7645" w:rsidRDefault="00827449">
          <w:pPr>
            <w:pStyle w:val="TM2"/>
            <w:tabs>
              <w:tab w:val="left" w:pos="880"/>
              <w:tab w:val="right" w:leader="dot" w:pos="9062"/>
            </w:tabs>
            <w:rPr>
              <w:rFonts w:eastAsiaTheme="minorEastAsia"/>
              <w:noProof/>
              <w:sz w:val="20"/>
              <w:lang w:val="fr-FR" w:eastAsia="fr-FR"/>
            </w:rPr>
          </w:pPr>
          <w:hyperlink w:anchor="_Toc145069113" w:history="1">
            <w:r w:rsidR="00F25F8C" w:rsidRPr="007B7645">
              <w:rPr>
                <w:rStyle w:val="Lienhypertexte"/>
                <w:noProof/>
                <w:sz w:val="20"/>
              </w:rPr>
              <w:t>4.4.</w:t>
            </w:r>
            <w:r w:rsidR="00F25F8C" w:rsidRPr="007B7645">
              <w:rPr>
                <w:rFonts w:eastAsiaTheme="minorEastAsia"/>
                <w:noProof/>
                <w:sz w:val="20"/>
                <w:lang w:val="fr-FR" w:eastAsia="fr-FR"/>
              </w:rPr>
              <w:tab/>
            </w:r>
            <w:r w:rsidR="00F25F8C" w:rsidRPr="007B7645">
              <w:rPr>
                <w:rStyle w:val="Lienhypertexte"/>
                <w:noProof/>
                <w:sz w:val="20"/>
              </w:rPr>
              <w:t>Insects farming on residual biomass streams LCI module</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_Toc145069113 \h </w:instrText>
            </w:r>
            <w:r w:rsidR="00F25F8C" w:rsidRPr="007B7645">
              <w:rPr>
                <w:noProof/>
                <w:webHidden/>
                <w:sz w:val="20"/>
              </w:rPr>
            </w:r>
            <w:r w:rsidR="00F25F8C" w:rsidRPr="007B7645">
              <w:rPr>
                <w:noProof/>
                <w:webHidden/>
                <w:sz w:val="20"/>
              </w:rPr>
              <w:fldChar w:fldCharType="separate"/>
            </w:r>
            <w:r w:rsidR="00A01585">
              <w:rPr>
                <w:noProof/>
                <w:webHidden/>
                <w:sz w:val="20"/>
              </w:rPr>
              <w:t>34</w:t>
            </w:r>
            <w:r w:rsidR="00F25F8C" w:rsidRPr="007B7645">
              <w:rPr>
                <w:noProof/>
                <w:webHidden/>
                <w:sz w:val="20"/>
              </w:rPr>
              <w:fldChar w:fldCharType="end"/>
            </w:r>
          </w:hyperlink>
        </w:p>
        <w:p w14:paraId="4D4AB7F2" w14:textId="4A29DF1A" w:rsidR="00F25F8C" w:rsidRPr="007B7645" w:rsidRDefault="00827449">
          <w:pPr>
            <w:pStyle w:val="TM3"/>
            <w:tabs>
              <w:tab w:val="left" w:pos="1320"/>
              <w:tab w:val="right" w:leader="dot" w:pos="9062"/>
            </w:tabs>
            <w:rPr>
              <w:rFonts w:eastAsiaTheme="minorEastAsia"/>
              <w:noProof/>
              <w:sz w:val="20"/>
              <w:lang w:val="fr-FR" w:eastAsia="fr-FR"/>
            </w:rPr>
          </w:pPr>
          <w:hyperlink w:anchor="_Toc145069114" w:history="1">
            <w:r w:rsidR="00F25F8C" w:rsidRPr="007B7645">
              <w:rPr>
                <w:rStyle w:val="Lienhypertexte"/>
                <w:noProof/>
                <w:sz w:val="20"/>
              </w:rPr>
              <w:t>4.4.1.</w:t>
            </w:r>
            <w:r w:rsidR="00F25F8C" w:rsidRPr="007B7645">
              <w:rPr>
                <w:rFonts w:eastAsiaTheme="minorEastAsia"/>
                <w:noProof/>
                <w:sz w:val="20"/>
                <w:lang w:val="fr-FR" w:eastAsia="fr-FR"/>
              </w:rPr>
              <w:tab/>
            </w:r>
            <w:r w:rsidR="00F25F8C" w:rsidRPr="007B7645">
              <w:rPr>
                <w:rStyle w:val="Lienhypertexte"/>
                <w:noProof/>
                <w:sz w:val="20"/>
              </w:rPr>
              <w:t>Set-up selection</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_Toc145069114 \h </w:instrText>
            </w:r>
            <w:r w:rsidR="00F25F8C" w:rsidRPr="007B7645">
              <w:rPr>
                <w:noProof/>
                <w:webHidden/>
                <w:sz w:val="20"/>
              </w:rPr>
            </w:r>
            <w:r w:rsidR="00F25F8C" w:rsidRPr="007B7645">
              <w:rPr>
                <w:noProof/>
                <w:webHidden/>
                <w:sz w:val="20"/>
              </w:rPr>
              <w:fldChar w:fldCharType="separate"/>
            </w:r>
            <w:r w:rsidR="00A01585">
              <w:rPr>
                <w:noProof/>
                <w:webHidden/>
                <w:sz w:val="20"/>
              </w:rPr>
              <w:t>34</w:t>
            </w:r>
            <w:r w:rsidR="00F25F8C" w:rsidRPr="007B7645">
              <w:rPr>
                <w:noProof/>
                <w:webHidden/>
                <w:sz w:val="20"/>
              </w:rPr>
              <w:fldChar w:fldCharType="end"/>
            </w:r>
          </w:hyperlink>
        </w:p>
        <w:p w14:paraId="467F96A8" w14:textId="193C72AF" w:rsidR="00F25F8C" w:rsidRPr="007B7645" w:rsidRDefault="00827449">
          <w:pPr>
            <w:pStyle w:val="TM3"/>
            <w:tabs>
              <w:tab w:val="left" w:pos="1320"/>
              <w:tab w:val="right" w:leader="dot" w:pos="9062"/>
            </w:tabs>
            <w:rPr>
              <w:rFonts w:eastAsiaTheme="minorEastAsia"/>
              <w:noProof/>
              <w:sz w:val="20"/>
              <w:lang w:val="fr-FR" w:eastAsia="fr-FR"/>
            </w:rPr>
          </w:pPr>
          <w:hyperlink w:anchor="_Toc145069115" w:history="1">
            <w:r w:rsidR="00F25F8C" w:rsidRPr="007B7645">
              <w:rPr>
                <w:rStyle w:val="Lienhypertexte"/>
                <w:noProof/>
                <w:sz w:val="20"/>
              </w:rPr>
              <w:t>4.4.2.</w:t>
            </w:r>
            <w:r w:rsidR="00F25F8C" w:rsidRPr="007B7645">
              <w:rPr>
                <w:rFonts w:eastAsiaTheme="minorEastAsia"/>
                <w:noProof/>
                <w:sz w:val="20"/>
                <w:lang w:val="fr-FR" w:eastAsia="fr-FR"/>
              </w:rPr>
              <w:tab/>
            </w:r>
            <w:r w:rsidR="00F25F8C" w:rsidRPr="007B7645">
              <w:rPr>
                <w:rStyle w:val="Lienhypertexte"/>
                <w:noProof/>
                <w:sz w:val="20"/>
              </w:rPr>
              <w:t>Unit operation design and assumptions</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_Toc145069115 \h </w:instrText>
            </w:r>
            <w:r w:rsidR="00F25F8C" w:rsidRPr="007B7645">
              <w:rPr>
                <w:noProof/>
                <w:webHidden/>
                <w:sz w:val="20"/>
              </w:rPr>
            </w:r>
            <w:r w:rsidR="00F25F8C" w:rsidRPr="007B7645">
              <w:rPr>
                <w:noProof/>
                <w:webHidden/>
                <w:sz w:val="20"/>
              </w:rPr>
              <w:fldChar w:fldCharType="separate"/>
            </w:r>
            <w:r w:rsidR="00A01585">
              <w:rPr>
                <w:noProof/>
                <w:webHidden/>
                <w:sz w:val="20"/>
              </w:rPr>
              <w:t>34</w:t>
            </w:r>
            <w:r w:rsidR="00F25F8C" w:rsidRPr="007B7645">
              <w:rPr>
                <w:noProof/>
                <w:webHidden/>
                <w:sz w:val="20"/>
              </w:rPr>
              <w:fldChar w:fldCharType="end"/>
            </w:r>
          </w:hyperlink>
        </w:p>
        <w:p w14:paraId="27C37968" w14:textId="178CE576" w:rsidR="00F25F8C" w:rsidRPr="007B7645" w:rsidRDefault="00827449">
          <w:pPr>
            <w:pStyle w:val="TM3"/>
            <w:tabs>
              <w:tab w:val="left" w:pos="1320"/>
              <w:tab w:val="right" w:leader="dot" w:pos="9062"/>
            </w:tabs>
            <w:rPr>
              <w:rFonts w:eastAsiaTheme="minorEastAsia"/>
              <w:noProof/>
              <w:sz w:val="20"/>
              <w:lang w:val="fr-FR" w:eastAsia="fr-FR"/>
            </w:rPr>
          </w:pPr>
          <w:hyperlink w:anchor="_Toc145069116" w:history="1">
            <w:r w:rsidR="00F25F8C" w:rsidRPr="007B7645">
              <w:rPr>
                <w:rStyle w:val="Lienhypertexte"/>
                <w:noProof/>
                <w:sz w:val="20"/>
              </w:rPr>
              <w:t>4.4.3.</w:t>
            </w:r>
            <w:r w:rsidR="00F25F8C" w:rsidRPr="007B7645">
              <w:rPr>
                <w:rFonts w:eastAsiaTheme="minorEastAsia"/>
                <w:noProof/>
                <w:sz w:val="20"/>
                <w:lang w:val="fr-FR" w:eastAsia="fr-FR"/>
              </w:rPr>
              <w:tab/>
            </w:r>
            <w:r w:rsidR="00F25F8C" w:rsidRPr="007B7645">
              <w:rPr>
                <w:rStyle w:val="Lienhypertexte"/>
                <w:noProof/>
                <w:sz w:val="20"/>
              </w:rPr>
              <w:t>Technology parameters and background processes</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_Toc145069116 \h </w:instrText>
            </w:r>
            <w:r w:rsidR="00F25F8C" w:rsidRPr="007B7645">
              <w:rPr>
                <w:noProof/>
                <w:webHidden/>
                <w:sz w:val="20"/>
              </w:rPr>
            </w:r>
            <w:r w:rsidR="00F25F8C" w:rsidRPr="007B7645">
              <w:rPr>
                <w:noProof/>
                <w:webHidden/>
                <w:sz w:val="20"/>
              </w:rPr>
              <w:fldChar w:fldCharType="separate"/>
            </w:r>
            <w:r w:rsidR="00A01585">
              <w:rPr>
                <w:noProof/>
                <w:webHidden/>
                <w:sz w:val="20"/>
              </w:rPr>
              <w:t>43</w:t>
            </w:r>
            <w:r w:rsidR="00F25F8C" w:rsidRPr="007B7645">
              <w:rPr>
                <w:noProof/>
                <w:webHidden/>
                <w:sz w:val="20"/>
              </w:rPr>
              <w:fldChar w:fldCharType="end"/>
            </w:r>
          </w:hyperlink>
        </w:p>
        <w:p w14:paraId="11156479" w14:textId="32FF17CF" w:rsidR="00F25F8C" w:rsidRPr="007B7645" w:rsidRDefault="00827449">
          <w:pPr>
            <w:pStyle w:val="TM2"/>
            <w:tabs>
              <w:tab w:val="left" w:pos="880"/>
              <w:tab w:val="right" w:leader="dot" w:pos="9062"/>
            </w:tabs>
            <w:rPr>
              <w:rFonts w:eastAsiaTheme="minorEastAsia"/>
              <w:noProof/>
              <w:sz w:val="20"/>
              <w:lang w:val="fr-FR" w:eastAsia="fr-FR"/>
            </w:rPr>
          </w:pPr>
          <w:hyperlink w:anchor="_Toc145069117" w:history="1">
            <w:r w:rsidR="00F25F8C" w:rsidRPr="007B7645">
              <w:rPr>
                <w:rStyle w:val="Lienhypertexte"/>
                <w:noProof/>
                <w:sz w:val="20"/>
              </w:rPr>
              <w:t>4.5.</w:t>
            </w:r>
            <w:r w:rsidR="00F25F8C" w:rsidRPr="007B7645">
              <w:rPr>
                <w:rFonts w:eastAsiaTheme="minorEastAsia"/>
                <w:noProof/>
                <w:sz w:val="20"/>
                <w:lang w:val="fr-FR" w:eastAsia="fr-FR"/>
              </w:rPr>
              <w:tab/>
            </w:r>
            <w:r w:rsidR="00F25F8C" w:rsidRPr="007B7645">
              <w:rPr>
                <w:rStyle w:val="Lienhypertexte"/>
                <w:noProof/>
                <w:sz w:val="20"/>
              </w:rPr>
              <w:t>Mycoproteins production from residual-based sugars LCI module</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_Toc145069117 \h </w:instrText>
            </w:r>
            <w:r w:rsidR="00F25F8C" w:rsidRPr="007B7645">
              <w:rPr>
                <w:noProof/>
                <w:webHidden/>
                <w:sz w:val="20"/>
              </w:rPr>
            </w:r>
            <w:r w:rsidR="00F25F8C" w:rsidRPr="007B7645">
              <w:rPr>
                <w:noProof/>
                <w:webHidden/>
                <w:sz w:val="20"/>
              </w:rPr>
              <w:fldChar w:fldCharType="separate"/>
            </w:r>
            <w:r w:rsidR="00A01585">
              <w:rPr>
                <w:noProof/>
                <w:webHidden/>
                <w:sz w:val="20"/>
              </w:rPr>
              <w:t>45</w:t>
            </w:r>
            <w:r w:rsidR="00F25F8C" w:rsidRPr="007B7645">
              <w:rPr>
                <w:noProof/>
                <w:webHidden/>
                <w:sz w:val="20"/>
              </w:rPr>
              <w:fldChar w:fldCharType="end"/>
            </w:r>
          </w:hyperlink>
        </w:p>
        <w:p w14:paraId="7CBC39B0" w14:textId="523079CF" w:rsidR="00F25F8C" w:rsidRPr="007B7645" w:rsidRDefault="00827449">
          <w:pPr>
            <w:pStyle w:val="TM3"/>
            <w:tabs>
              <w:tab w:val="left" w:pos="1320"/>
              <w:tab w:val="right" w:leader="dot" w:pos="9062"/>
            </w:tabs>
            <w:rPr>
              <w:rFonts w:eastAsiaTheme="minorEastAsia"/>
              <w:noProof/>
              <w:sz w:val="20"/>
              <w:lang w:val="fr-FR" w:eastAsia="fr-FR"/>
            </w:rPr>
          </w:pPr>
          <w:hyperlink w:anchor="_Toc145069118" w:history="1">
            <w:r w:rsidR="00F25F8C" w:rsidRPr="007B7645">
              <w:rPr>
                <w:rStyle w:val="Lienhypertexte"/>
                <w:noProof/>
                <w:sz w:val="20"/>
              </w:rPr>
              <w:t>4.5.1.</w:t>
            </w:r>
            <w:r w:rsidR="00F25F8C" w:rsidRPr="007B7645">
              <w:rPr>
                <w:rFonts w:eastAsiaTheme="minorEastAsia"/>
                <w:noProof/>
                <w:sz w:val="20"/>
                <w:lang w:val="fr-FR" w:eastAsia="fr-FR"/>
              </w:rPr>
              <w:tab/>
            </w:r>
            <w:r w:rsidR="00F25F8C" w:rsidRPr="007B7645">
              <w:rPr>
                <w:rStyle w:val="Lienhypertexte"/>
                <w:noProof/>
                <w:sz w:val="20"/>
              </w:rPr>
              <w:t>Set-up selection</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_Toc145069118 \h </w:instrText>
            </w:r>
            <w:r w:rsidR="00F25F8C" w:rsidRPr="007B7645">
              <w:rPr>
                <w:noProof/>
                <w:webHidden/>
                <w:sz w:val="20"/>
              </w:rPr>
            </w:r>
            <w:r w:rsidR="00F25F8C" w:rsidRPr="007B7645">
              <w:rPr>
                <w:noProof/>
                <w:webHidden/>
                <w:sz w:val="20"/>
              </w:rPr>
              <w:fldChar w:fldCharType="separate"/>
            </w:r>
            <w:r w:rsidR="00A01585">
              <w:rPr>
                <w:noProof/>
                <w:webHidden/>
                <w:sz w:val="20"/>
              </w:rPr>
              <w:t>45</w:t>
            </w:r>
            <w:r w:rsidR="00F25F8C" w:rsidRPr="007B7645">
              <w:rPr>
                <w:noProof/>
                <w:webHidden/>
                <w:sz w:val="20"/>
              </w:rPr>
              <w:fldChar w:fldCharType="end"/>
            </w:r>
          </w:hyperlink>
        </w:p>
        <w:p w14:paraId="5BFE1CEE" w14:textId="57A04F5C" w:rsidR="00F25F8C" w:rsidRPr="007B7645" w:rsidRDefault="00827449">
          <w:pPr>
            <w:pStyle w:val="TM3"/>
            <w:tabs>
              <w:tab w:val="left" w:pos="1320"/>
              <w:tab w:val="right" w:leader="dot" w:pos="9062"/>
            </w:tabs>
            <w:rPr>
              <w:rFonts w:eastAsiaTheme="minorEastAsia"/>
              <w:noProof/>
              <w:sz w:val="20"/>
              <w:lang w:val="fr-FR" w:eastAsia="fr-FR"/>
            </w:rPr>
          </w:pPr>
          <w:hyperlink w:anchor="_Toc145069119" w:history="1">
            <w:r w:rsidR="00F25F8C" w:rsidRPr="007B7645">
              <w:rPr>
                <w:rStyle w:val="Lienhypertexte"/>
                <w:noProof/>
                <w:sz w:val="20"/>
              </w:rPr>
              <w:t>4.5.2.</w:t>
            </w:r>
            <w:r w:rsidR="00F25F8C" w:rsidRPr="007B7645">
              <w:rPr>
                <w:rFonts w:eastAsiaTheme="minorEastAsia"/>
                <w:noProof/>
                <w:sz w:val="20"/>
                <w:lang w:val="fr-FR" w:eastAsia="fr-FR"/>
              </w:rPr>
              <w:tab/>
            </w:r>
            <w:r w:rsidR="00F25F8C" w:rsidRPr="007B7645">
              <w:rPr>
                <w:rStyle w:val="Lienhypertexte"/>
                <w:noProof/>
                <w:sz w:val="20"/>
              </w:rPr>
              <w:t>Unit operation design and assumptions – the lignocellulosic pretreatment</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_Toc145069119 \h </w:instrText>
            </w:r>
            <w:r w:rsidR="00F25F8C" w:rsidRPr="007B7645">
              <w:rPr>
                <w:noProof/>
                <w:webHidden/>
                <w:sz w:val="20"/>
              </w:rPr>
            </w:r>
            <w:r w:rsidR="00F25F8C" w:rsidRPr="007B7645">
              <w:rPr>
                <w:noProof/>
                <w:webHidden/>
                <w:sz w:val="20"/>
              </w:rPr>
              <w:fldChar w:fldCharType="separate"/>
            </w:r>
            <w:r w:rsidR="00A01585">
              <w:rPr>
                <w:noProof/>
                <w:webHidden/>
                <w:sz w:val="20"/>
              </w:rPr>
              <w:t>47</w:t>
            </w:r>
            <w:r w:rsidR="00F25F8C" w:rsidRPr="007B7645">
              <w:rPr>
                <w:noProof/>
                <w:webHidden/>
                <w:sz w:val="20"/>
              </w:rPr>
              <w:fldChar w:fldCharType="end"/>
            </w:r>
          </w:hyperlink>
        </w:p>
        <w:p w14:paraId="3EA8CA60" w14:textId="081CA5F3" w:rsidR="00F25F8C" w:rsidRPr="007B7645" w:rsidRDefault="00827449">
          <w:pPr>
            <w:pStyle w:val="TM3"/>
            <w:tabs>
              <w:tab w:val="left" w:pos="1320"/>
              <w:tab w:val="right" w:leader="dot" w:pos="9062"/>
            </w:tabs>
            <w:rPr>
              <w:rFonts w:eastAsiaTheme="minorEastAsia"/>
              <w:noProof/>
              <w:sz w:val="20"/>
              <w:lang w:val="fr-FR" w:eastAsia="fr-FR"/>
            </w:rPr>
          </w:pPr>
          <w:hyperlink w:anchor="_Toc145069120" w:history="1">
            <w:r w:rsidR="00F25F8C" w:rsidRPr="007B7645">
              <w:rPr>
                <w:rStyle w:val="Lienhypertexte"/>
                <w:noProof/>
                <w:sz w:val="20"/>
              </w:rPr>
              <w:t>4.5.3.</w:t>
            </w:r>
            <w:r w:rsidR="00F25F8C" w:rsidRPr="007B7645">
              <w:rPr>
                <w:rFonts w:eastAsiaTheme="minorEastAsia"/>
                <w:noProof/>
                <w:sz w:val="20"/>
                <w:lang w:val="fr-FR" w:eastAsia="fr-FR"/>
              </w:rPr>
              <w:tab/>
            </w:r>
            <w:r w:rsidR="00F25F8C" w:rsidRPr="007B7645">
              <w:rPr>
                <w:rStyle w:val="Lienhypertexte"/>
                <w:noProof/>
                <w:sz w:val="20"/>
              </w:rPr>
              <w:t>Technology parameters and background processes – Lignocellulosic pretreatment</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_Toc145069120 \h </w:instrText>
            </w:r>
            <w:r w:rsidR="00F25F8C" w:rsidRPr="007B7645">
              <w:rPr>
                <w:noProof/>
                <w:webHidden/>
                <w:sz w:val="20"/>
              </w:rPr>
            </w:r>
            <w:r w:rsidR="00F25F8C" w:rsidRPr="007B7645">
              <w:rPr>
                <w:noProof/>
                <w:webHidden/>
                <w:sz w:val="20"/>
              </w:rPr>
              <w:fldChar w:fldCharType="separate"/>
            </w:r>
            <w:r w:rsidR="00A01585">
              <w:rPr>
                <w:noProof/>
                <w:webHidden/>
                <w:sz w:val="20"/>
              </w:rPr>
              <w:t>51</w:t>
            </w:r>
            <w:r w:rsidR="00F25F8C" w:rsidRPr="007B7645">
              <w:rPr>
                <w:noProof/>
                <w:webHidden/>
                <w:sz w:val="20"/>
              </w:rPr>
              <w:fldChar w:fldCharType="end"/>
            </w:r>
          </w:hyperlink>
        </w:p>
        <w:p w14:paraId="6C689EA3" w14:textId="5CAFAFA3" w:rsidR="00F25F8C" w:rsidRPr="007B7645" w:rsidRDefault="00827449">
          <w:pPr>
            <w:pStyle w:val="TM3"/>
            <w:tabs>
              <w:tab w:val="left" w:pos="1320"/>
              <w:tab w:val="right" w:leader="dot" w:pos="9062"/>
            </w:tabs>
            <w:rPr>
              <w:rFonts w:eastAsiaTheme="minorEastAsia"/>
              <w:noProof/>
              <w:sz w:val="20"/>
              <w:lang w:val="fr-FR" w:eastAsia="fr-FR"/>
            </w:rPr>
          </w:pPr>
          <w:hyperlink w:anchor="_Toc145069121" w:history="1">
            <w:r w:rsidR="00F25F8C" w:rsidRPr="007B7645">
              <w:rPr>
                <w:rStyle w:val="Lienhypertexte"/>
                <w:noProof/>
                <w:sz w:val="20"/>
              </w:rPr>
              <w:t>4.5.4.</w:t>
            </w:r>
            <w:r w:rsidR="00F25F8C" w:rsidRPr="007B7645">
              <w:rPr>
                <w:rFonts w:eastAsiaTheme="minorEastAsia"/>
                <w:noProof/>
                <w:sz w:val="20"/>
                <w:lang w:val="fr-FR" w:eastAsia="fr-FR"/>
              </w:rPr>
              <w:tab/>
            </w:r>
            <w:r w:rsidR="00F25F8C" w:rsidRPr="007B7645">
              <w:rPr>
                <w:rStyle w:val="Lienhypertexte"/>
                <w:noProof/>
                <w:sz w:val="20"/>
              </w:rPr>
              <w:t>Unit operation design and assumptions – the starch pretreatment</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_Toc145069121 \h </w:instrText>
            </w:r>
            <w:r w:rsidR="00F25F8C" w:rsidRPr="007B7645">
              <w:rPr>
                <w:noProof/>
                <w:webHidden/>
                <w:sz w:val="20"/>
              </w:rPr>
            </w:r>
            <w:r w:rsidR="00F25F8C" w:rsidRPr="007B7645">
              <w:rPr>
                <w:noProof/>
                <w:webHidden/>
                <w:sz w:val="20"/>
              </w:rPr>
              <w:fldChar w:fldCharType="separate"/>
            </w:r>
            <w:r w:rsidR="00A01585">
              <w:rPr>
                <w:noProof/>
                <w:webHidden/>
                <w:sz w:val="20"/>
              </w:rPr>
              <w:t>52</w:t>
            </w:r>
            <w:r w:rsidR="00F25F8C" w:rsidRPr="007B7645">
              <w:rPr>
                <w:noProof/>
                <w:webHidden/>
                <w:sz w:val="20"/>
              </w:rPr>
              <w:fldChar w:fldCharType="end"/>
            </w:r>
          </w:hyperlink>
        </w:p>
        <w:p w14:paraId="049AC449" w14:textId="752EBBEA" w:rsidR="00F25F8C" w:rsidRPr="007B7645" w:rsidRDefault="00827449">
          <w:pPr>
            <w:pStyle w:val="TM3"/>
            <w:tabs>
              <w:tab w:val="left" w:pos="1320"/>
              <w:tab w:val="right" w:leader="dot" w:pos="9062"/>
            </w:tabs>
            <w:rPr>
              <w:rFonts w:eastAsiaTheme="minorEastAsia"/>
              <w:noProof/>
              <w:sz w:val="20"/>
              <w:lang w:val="fr-FR" w:eastAsia="fr-FR"/>
            </w:rPr>
          </w:pPr>
          <w:hyperlink w:anchor="_Toc145069122" w:history="1">
            <w:r w:rsidR="00F25F8C" w:rsidRPr="007B7645">
              <w:rPr>
                <w:rStyle w:val="Lienhypertexte"/>
                <w:noProof/>
                <w:sz w:val="20"/>
              </w:rPr>
              <w:t>4.5.5.</w:t>
            </w:r>
            <w:r w:rsidR="00F25F8C" w:rsidRPr="007B7645">
              <w:rPr>
                <w:rFonts w:eastAsiaTheme="minorEastAsia"/>
                <w:noProof/>
                <w:sz w:val="20"/>
                <w:lang w:val="fr-FR" w:eastAsia="fr-FR"/>
              </w:rPr>
              <w:tab/>
            </w:r>
            <w:r w:rsidR="00F25F8C" w:rsidRPr="007B7645">
              <w:rPr>
                <w:rStyle w:val="Lienhypertexte"/>
                <w:noProof/>
                <w:sz w:val="20"/>
              </w:rPr>
              <w:t>Unit operation design and assumptions – Mycoproteins production</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_Toc145069122 \h </w:instrText>
            </w:r>
            <w:r w:rsidR="00F25F8C" w:rsidRPr="007B7645">
              <w:rPr>
                <w:noProof/>
                <w:webHidden/>
                <w:sz w:val="20"/>
              </w:rPr>
            </w:r>
            <w:r w:rsidR="00F25F8C" w:rsidRPr="007B7645">
              <w:rPr>
                <w:noProof/>
                <w:webHidden/>
                <w:sz w:val="20"/>
              </w:rPr>
              <w:fldChar w:fldCharType="separate"/>
            </w:r>
            <w:r w:rsidR="00A01585">
              <w:rPr>
                <w:noProof/>
                <w:webHidden/>
                <w:sz w:val="20"/>
              </w:rPr>
              <w:t>53</w:t>
            </w:r>
            <w:r w:rsidR="00F25F8C" w:rsidRPr="007B7645">
              <w:rPr>
                <w:noProof/>
                <w:webHidden/>
                <w:sz w:val="20"/>
              </w:rPr>
              <w:fldChar w:fldCharType="end"/>
            </w:r>
          </w:hyperlink>
        </w:p>
        <w:p w14:paraId="4068DBBE" w14:textId="2B45C453" w:rsidR="00F25F8C" w:rsidRPr="007B7645" w:rsidRDefault="00827449">
          <w:pPr>
            <w:pStyle w:val="TM3"/>
            <w:tabs>
              <w:tab w:val="left" w:pos="1320"/>
              <w:tab w:val="right" w:leader="dot" w:pos="9062"/>
            </w:tabs>
            <w:rPr>
              <w:rFonts w:eastAsiaTheme="minorEastAsia"/>
              <w:noProof/>
              <w:sz w:val="20"/>
              <w:lang w:val="fr-FR" w:eastAsia="fr-FR"/>
            </w:rPr>
          </w:pPr>
          <w:hyperlink w:anchor="_Toc145069123" w:history="1">
            <w:r w:rsidR="00F25F8C" w:rsidRPr="007B7645">
              <w:rPr>
                <w:rStyle w:val="Lienhypertexte"/>
                <w:noProof/>
                <w:sz w:val="20"/>
              </w:rPr>
              <w:t>4.5.6.</w:t>
            </w:r>
            <w:r w:rsidR="00F25F8C" w:rsidRPr="007B7645">
              <w:rPr>
                <w:rFonts w:eastAsiaTheme="minorEastAsia"/>
                <w:noProof/>
                <w:sz w:val="20"/>
                <w:lang w:val="fr-FR" w:eastAsia="fr-FR"/>
              </w:rPr>
              <w:tab/>
            </w:r>
            <w:r w:rsidR="00F25F8C" w:rsidRPr="007B7645">
              <w:rPr>
                <w:rStyle w:val="Lienhypertexte"/>
                <w:noProof/>
                <w:sz w:val="20"/>
              </w:rPr>
              <w:t>Technology parameters and background processes – Mycoproteins production stage</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_Toc145069123 \h </w:instrText>
            </w:r>
            <w:r w:rsidR="00F25F8C" w:rsidRPr="007B7645">
              <w:rPr>
                <w:noProof/>
                <w:webHidden/>
                <w:sz w:val="20"/>
              </w:rPr>
            </w:r>
            <w:r w:rsidR="00F25F8C" w:rsidRPr="007B7645">
              <w:rPr>
                <w:noProof/>
                <w:webHidden/>
                <w:sz w:val="20"/>
              </w:rPr>
              <w:fldChar w:fldCharType="separate"/>
            </w:r>
            <w:r w:rsidR="00A01585">
              <w:rPr>
                <w:noProof/>
                <w:webHidden/>
                <w:sz w:val="20"/>
              </w:rPr>
              <w:t>56</w:t>
            </w:r>
            <w:r w:rsidR="00F25F8C" w:rsidRPr="007B7645">
              <w:rPr>
                <w:noProof/>
                <w:webHidden/>
                <w:sz w:val="20"/>
              </w:rPr>
              <w:fldChar w:fldCharType="end"/>
            </w:r>
          </w:hyperlink>
        </w:p>
        <w:p w14:paraId="11C2DCD8" w14:textId="60A53E33" w:rsidR="00F25F8C" w:rsidRPr="007B7645" w:rsidRDefault="00827449">
          <w:pPr>
            <w:pStyle w:val="TM2"/>
            <w:tabs>
              <w:tab w:val="left" w:pos="880"/>
              <w:tab w:val="right" w:leader="dot" w:pos="9062"/>
            </w:tabs>
            <w:rPr>
              <w:rFonts w:eastAsiaTheme="minorEastAsia"/>
              <w:noProof/>
              <w:sz w:val="20"/>
              <w:lang w:val="fr-FR" w:eastAsia="fr-FR"/>
            </w:rPr>
          </w:pPr>
          <w:hyperlink w:anchor="_Toc145069124" w:history="1">
            <w:r w:rsidR="00F25F8C" w:rsidRPr="007B7645">
              <w:rPr>
                <w:rStyle w:val="Lienhypertexte"/>
                <w:noProof/>
                <w:sz w:val="20"/>
              </w:rPr>
              <w:t>4.6.</w:t>
            </w:r>
            <w:r w:rsidR="00F25F8C" w:rsidRPr="007B7645">
              <w:rPr>
                <w:rFonts w:eastAsiaTheme="minorEastAsia"/>
                <w:noProof/>
                <w:sz w:val="20"/>
                <w:lang w:val="fr-FR" w:eastAsia="fr-FR"/>
              </w:rPr>
              <w:tab/>
            </w:r>
            <w:r w:rsidR="00F25F8C" w:rsidRPr="007B7645">
              <w:rPr>
                <w:rStyle w:val="Lienhypertexte"/>
                <w:noProof/>
                <w:sz w:val="20"/>
              </w:rPr>
              <w:t>Microbial proteins production from residual-based gases LCI module</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_Toc145069124 \h </w:instrText>
            </w:r>
            <w:r w:rsidR="00F25F8C" w:rsidRPr="007B7645">
              <w:rPr>
                <w:noProof/>
                <w:webHidden/>
                <w:sz w:val="20"/>
              </w:rPr>
            </w:r>
            <w:r w:rsidR="00F25F8C" w:rsidRPr="007B7645">
              <w:rPr>
                <w:noProof/>
                <w:webHidden/>
                <w:sz w:val="20"/>
              </w:rPr>
              <w:fldChar w:fldCharType="separate"/>
            </w:r>
            <w:r w:rsidR="00A01585">
              <w:rPr>
                <w:noProof/>
                <w:webHidden/>
                <w:sz w:val="20"/>
              </w:rPr>
              <w:t>58</w:t>
            </w:r>
            <w:r w:rsidR="00F25F8C" w:rsidRPr="007B7645">
              <w:rPr>
                <w:noProof/>
                <w:webHidden/>
                <w:sz w:val="20"/>
              </w:rPr>
              <w:fldChar w:fldCharType="end"/>
            </w:r>
          </w:hyperlink>
        </w:p>
        <w:p w14:paraId="7B9F159E" w14:textId="798BD62A" w:rsidR="00F25F8C" w:rsidRPr="007B7645" w:rsidRDefault="00827449">
          <w:pPr>
            <w:pStyle w:val="TM3"/>
            <w:tabs>
              <w:tab w:val="left" w:pos="1320"/>
              <w:tab w:val="right" w:leader="dot" w:pos="9062"/>
            </w:tabs>
            <w:rPr>
              <w:rFonts w:eastAsiaTheme="minorEastAsia"/>
              <w:noProof/>
              <w:sz w:val="20"/>
              <w:lang w:val="fr-FR" w:eastAsia="fr-FR"/>
            </w:rPr>
          </w:pPr>
          <w:hyperlink w:anchor="_Toc145069125" w:history="1">
            <w:r w:rsidR="00F25F8C" w:rsidRPr="007B7645">
              <w:rPr>
                <w:rStyle w:val="Lienhypertexte"/>
                <w:noProof/>
                <w:sz w:val="20"/>
              </w:rPr>
              <w:t>4.6.1.</w:t>
            </w:r>
            <w:r w:rsidR="00F25F8C" w:rsidRPr="007B7645">
              <w:rPr>
                <w:rFonts w:eastAsiaTheme="minorEastAsia"/>
                <w:noProof/>
                <w:sz w:val="20"/>
                <w:lang w:val="fr-FR" w:eastAsia="fr-FR"/>
              </w:rPr>
              <w:tab/>
            </w:r>
            <w:r w:rsidR="00F25F8C" w:rsidRPr="007B7645">
              <w:rPr>
                <w:rStyle w:val="Lienhypertexte"/>
                <w:noProof/>
                <w:sz w:val="20"/>
              </w:rPr>
              <w:t>Set-up selection</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_Toc145069125 \h </w:instrText>
            </w:r>
            <w:r w:rsidR="00F25F8C" w:rsidRPr="007B7645">
              <w:rPr>
                <w:noProof/>
                <w:webHidden/>
                <w:sz w:val="20"/>
              </w:rPr>
            </w:r>
            <w:r w:rsidR="00F25F8C" w:rsidRPr="007B7645">
              <w:rPr>
                <w:noProof/>
                <w:webHidden/>
                <w:sz w:val="20"/>
              </w:rPr>
              <w:fldChar w:fldCharType="separate"/>
            </w:r>
            <w:r w:rsidR="00A01585">
              <w:rPr>
                <w:noProof/>
                <w:webHidden/>
                <w:sz w:val="20"/>
              </w:rPr>
              <w:t>59</w:t>
            </w:r>
            <w:r w:rsidR="00F25F8C" w:rsidRPr="007B7645">
              <w:rPr>
                <w:noProof/>
                <w:webHidden/>
                <w:sz w:val="20"/>
              </w:rPr>
              <w:fldChar w:fldCharType="end"/>
            </w:r>
          </w:hyperlink>
        </w:p>
        <w:p w14:paraId="210D55B9" w14:textId="5ADD5EC5" w:rsidR="00F25F8C" w:rsidRPr="007B7645" w:rsidRDefault="00827449">
          <w:pPr>
            <w:pStyle w:val="TM3"/>
            <w:tabs>
              <w:tab w:val="left" w:pos="1320"/>
              <w:tab w:val="right" w:leader="dot" w:pos="9062"/>
            </w:tabs>
            <w:rPr>
              <w:rFonts w:eastAsiaTheme="minorEastAsia"/>
              <w:noProof/>
              <w:sz w:val="20"/>
              <w:lang w:val="fr-FR" w:eastAsia="fr-FR"/>
            </w:rPr>
          </w:pPr>
          <w:hyperlink w:anchor="_Toc145069126" w:history="1">
            <w:r w:rsidR="00F25F8C" w:rsidRPr="007B7645">
              <w:rPr>
                <w:rStyle w:val="Lienhypertexte"/>
                <w:noProof/>
                <w:sz w:val="20"/>
              </w:rPr>
              <w:t>4.6.2.</w:t>
            </w:r>
            <w:r w:rsidR="00F25F8C" w:rsidRPr="007B7645">
              <w:rPr>
                <w:rFonts w:eastAsiaTheme="minorEastAsia"/>
                <w:noProof/>
                <w:sz w:val="20"/>
                <w:lang w:val="fr-FR" w:eastAsia="fr-FR"/>
              </w:rPr>
              <w:tab/>
            </w:r>
            <w:r w:rsidR="00F25F8C" w:rsidRPr="007B7645">
              <w:rPr>
                <w:rStyle w:val="Lienhypertexte"/>
                <w:noProof/>
                <w:sz w:val="20"/>
              </w:rPr>
              <w:t>Unit operation design and assumptions – gas post-treatments</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_Toc145069126 \h </w:instrText>
            </w:r>
            <w:r w:rsidR="00F25F8C" w:rsidRPr="007B7645">
              <w:rPr>
                <w:noProof/>
                <w:webHidden/>
                <w:sz w:val="20"/>
              </w:rPr>
            </w:r>
            <w:r w:rsidR="00F25F8C" w:rsidRPr="007B7645">
              <w:rPr>
                <w:noProof/>
                <w:webHidden/>
                <w:sz w:val="20"/>
              </w:rPr>
              <w:fldChar w:fldCharType="separate"/>
            </w:r>
            <w:r w:rsidR="00A01585">
              <w:rPr>
                <w:noProof/>
                <w:webHidden/>
                <w:sz w:val="20"/>
              </w:rPr>
              <w:t>61</w:t>
            </w:r>
            <w:r w:rsidR="00F25F8C" w:rsidRPr="007B7645">
              <w:rPr>
                <w:noProof/>
                <w:webHidden/>
                <w:sz w:val="20"/>
              </w:rPr>
              <w:fldChar w:fldCharType="end"/>
            </w:r>
          </w:hyperlink>
        </w:p>
        <w:p w14:paraId="179E4F7C" w14:textId="6E273661" w:rsidR="00F25F8C" w:rsidRPr="007B7645" w:rsidRDefault="00827449">
          <w:pPr>
            <w:pStyle w:val="TM3"/>
            <w:tabs>
              <w:tab w:val="left" w:pos="1320"/>
              <w:tab w:val="right" w:leader="dot" w:pos="9062"/>
            </w:tabs>
            <w:rPr>
              <w:rFonts w:eastAsiaTheme="minorEastAsia"/>
              <w:noProof/>
              <w:sz w:val="20"/>
              <w:lang w:val="fr-FR" w:eastAsia="fr-FR"/>
            </w:rPr>
          </w:pPr>
          <w:hyperlink w:anchor="_Toc145069127" w:history="1">
            <w:r w:rsidR="00F25F8C" w:rsidRPr="007B7645">
              <w:rPr>
                <w:rStyle w:val="Lienhypertexte"/>
                <w:noProof/>
                <w:sz w:val="20"/>
              </w:rPr>
              <w:t>4.6.3.</w:t>
            </w:r>
            <w:r w:rsidR="00F25F8C" w:rsidRPr="007B7645">
              <w:rPr>
                <w:rFonts w:eastAsiaTheme="minorEastAsia"/>
                <w:noProof/>
                <w:sz w:val="20"/>
                <w:lang w:val="fr-FR" w:eastAsia="fr-FR"/>
              </w:rPr>
              <w:tab/>
            </w:r>
            <w:r w:rsidR="00F25F8C" w:rsidRPr="007B7645">
              <w:rPr>
                <w:rStyle w:val="Lienhypertexte"/>
                <w:noProof/>
                <w:sz w:val="20"/>
              </w:rPr>
              <w:t>Technology parameters and background processes – gas post-treatments</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_Toc145069127 \h </w:instrText>
            </w:r>
            <w:r w:rsidR="00F25F8C" w:rsidRPr="007B7645">
              <w:rPr>
                <w:noProof/>
                <w:webHidden/>
                <w:sz w:val="20"/>
              </w:rPr>
            </w:r>
            <w:r w:rsidR="00F25F8C" w:rsidRPr="007B7645">
              <w:rPr>
                <w:noProof/>
                <w:webHidden/>
                <w:sz w:val="20"/>
              </w:rPr>
              <w:fldChar w:fldCharType="separate"/>
            </w:r>
            <w:r w:rsidR="00A01585">
              <w:rPr>
                <w:noProof/>
                <w:webHidden/>
                <w:sz w:val="20"/>
              </w:rPr>
              <w:t>67</w:t>
            </w:r>
            <w:r w:rsidR="00F25F8C" w:rsidRPr="007B7645">
              <w:rPr>
                <w:noProof/>
                <w:webHidden/>
                <w:sz w:val="20"/>
              </w:rPr>
              <w:fldChar w:fldCharType="end"/>
            </w:r>
          </w:hyperlink>
        </w:p>
        <w:p w14:paraId="2F5C0125" w14:textId="003AB296" w:rsidR="00F25F8C" w:rsidRPr="007B7645" w:rsidRDefault="00827449">
          <w:pPr>
            <w:pStyle w:val="TM3"/>
            <w:tabs>
              <w:tab w:val="left" w:pos="1320"/>
              <w:tab w:val="right" w:leader="dot" w:pos="9062"/>
            </w:tabs>
            <w:rPr>
              <w:rFonts w:eastAsiaTheme="minorEastAsia"/>
              <w:noProof/>
              <w:sz w:val="20"/>
              <w:lang w:val="fr-FR" w:eastAsia="fr-FR"/>
            </w:rPr>
          </w:pPr>
          <w:hyperlink w:anchor="_Toc145069128" w:history="1">
            <w:r w:rsidR="00F25F8C" w:rsidRPr="007B7645">
              <w:rPr>
                <w:rStyle w:val="Lienhypertexte"/>
                <w:noProof/>
                <w:sz w:val="20"/>
              </w:rPr>
              <w:t>4.6.4.</w:t>
            </w:r>
            <w:r w:rsidR="00F25F8C" w:rsidRPr="007B7645">
              <w:rPr>
                <w:rFonts w:eastAsiaTheme="minorEastAsia"/>
                <w:noProof/>
                <w:sz w:val="20"/>
                <w:lang w:val="fr-FR" w:eastAsia="fr-FR"/>
              </w:rPr>
              <w:tab/>
            </w:r>
            <w:r w:rsidR="00F25F8C" w:rsidRPr="007B7645">
              <w:rPr>
                <w:rStyle w:val="Lienhypertexte"/>
                <w:noProof/>
                <w:sz w:val="20"/>
              </w:rPr>
              <w:t>Unit operation design and assumptions – MP production stage</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_Toc145069128 \h </w:instrText>
            </w:r>
            <w:r w:rsidR="00F25F8C" w:rsidRPr="007B7645">
              <w:rPr>
                <w:noProof/>
                <w:webHidden/>
                <w:sz w:val="20"/>
              </w:rPr>
            </w:r>
            <w:r w:rsidR="00F25F8C" w:rsidRPr="007B7645">
              <w:rPr>
                <w:noProof/>
                <w:webHidden/>
                <w:sz w:val="20"/>
              </w:rPr>
              <w:fldChar w:fldCharType="separate"/>
            </w:r>
            <w:r w:rsidR="00A01585">
              <w:rPr>
                <w:noProof/>
                <w:webHidden/>
                <w:sz w:val="20"/>
              </w:rPr>
              <w:t>69</w:t>
            </w:r>
            <w:r w:rsidR="00F25F8C" w:rsidRPr="007B7645">
              <w:rPr>
                <w:noProof/>
                <w:webHidden/>
                <w:sz w:val="20"/>
              </w:rPr>
              <w:fldChar w:fldCharType="end"/>
            </w:r>
          </w:hyperlink>
        </w:p>
        <w:p w14:paraId="77A4ABA6" w14:textId="5343EDA8" w:rsidR="00F25F8C" w:rsidRPr="007B7645" w:rsidRDefault="00827449">
          <w:pPr>
            <w:pStyle w:val="TM3"/>
            <w:tabs>
              <w:tab w:val="left" w:pos="1320"/>
              <w:tab w:val="right" w:leader="dot" w:pos="9062"/>
            </w:tabs>
            <w:rPr>
              <w:rFonts w:eastAsiaTheme="minorEastAsia"/>
              <w:noProof/>
              <w:sz w:val="20"/>
              <w:lang w:val="fr-FR" w:eastAsia="fr-FR"/>
            </w:rPr>
          </w:pPr>
          <w:hyperlink w:anchor="_Toc145069129" w:history="1">
            <w:r w:rsidR="00F25F8C" w:rsidRPr="007B7645">
              <w:rPr>
                <w:rStyle w:val="Lienhypertexte"/>
                <w:noProof/>
                <w:sz w:val="20"/>
              </w:rPr>
              <w:t>4.6.5.</w:t>
            </w:r>
            <w:r w:rsidR="00F25F8C" w:rsidRPr="007B7645">
              <w:rPr>
                <w:rFonts w:eastAsiaTheme="minorEastAsia"/>
                <w:noProof/>
                <w:sz w:val="20"/>
                <w:lang w:val="fr-FR" w:eastAsia="fr-FR"/>
              </w:rPr>
              <w:tab/>
            </w:r>
            <w:r w:rsidR="00F25F8C" w:rsidRPr="007B7645">
              <w:rPr>
                <w:rStyle w:val="Lienhypertexte"/>
                <w:noProof/>
                <w:sz w:val="20"/>
              </w:rPr>
              <w:t>Technology parameters and background processes – MP production stage</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_Toc145069129 \h </w:instrText>
            </w:r>
            <w:r w:rsidR="00F25F8C" w:rsidRPr="007B7645">
              <w:rPr>
                <w:noProof/>
                <w:webHidden/>
                <w:sz w:val="20"/>
              </w:rPr>
            </w:r>
            <w:r w:rsidR="00F25F8C" w:rsidRPr="007B7645">
              <w:rPr>
                <w:noProof/>
                <w:webHidden/>
                <w:sz w:val="20"/>
              </w:rPr>
              <w:fldChar w:fldCharType="separate"/>
            </w:r>
            <w:r w:rsidR="00A01585">
              <w:rPr>
                <w:noProof/>
                <w:webHidden/>
                <w:sz w:val="20"/>
              </w:rPr>
              <w:t>77</w:t>
            </w:r>
            <w:r w:rsidR="00F25F8C" w:rsidRPr="007B7645">
              <w:rPr>
                <w:noProof/>
                <w:webHidden/>
                <w:sz w:val="20"/>
              </w:rPr>
              <w:fldChar w:fldCharType="end"/>
            </w:r>
          </w:hyperlink>
        </w:p>
        <w:p w14:paraId="0359FCE3" w14:textId="58BC236F" w:rsidR="00F25F8C" w:rsidRPr="007B7645" w:rsidRDefault="00827449">
          <w:pPr>
            <w:pStyle w:val="TM2"/>
            <w:tabs>
              <w:tab w:val="left" w:pos="880"/>
              <w:tab w:val="right" w:leader="dot" w:pos="9062"/>
            </w:tabs>
            <w:rPr>
              <w:rFonts w:eastAsiaTheme="minorEastAsia"/>
              <w:noProof/>
              <w:sz w:val="20"/>
              <w:lang w:val="fr-FR" w:eastAsia="fr-FR"/>
            </w:rPr>
          </w:pPr>
          <w:hyperlink w:anchor="_Toc145069130" w:history="1">
            <w:r w:rsidR="00F25F8C" w:rsidRPr="007B7645">
              <w:rPr>
                <w:rStyle w:val="Lienhypertexte"/>
                <w:noProof/>
                <w:sz w:val="20"/>
              </w:rPr>
              <w:t>4.7.</w:t>
            </w:r>
            <w:r w:rsidR="00F25F8C" w:rsidRPr="007B7645">
              <w:rPr>
                <w:rFonts w:eastAsiaTheme="minorEastAsia"/>
                <w:noProof/>
                <w:sz w:val="20"/>
                <w:lang w:val="fr-FR" w:eastAsia="fr-FR"/>
              </w:rPr>
              <w:tab/>
            </w:r>
            <w:r w:rsidR="00F25F8C" w:rsidRPr="007B7645">
              <w:rPr>
                <w:rStyle w:val="Lienhypertexte"/>
                <w:noProof/>
                <w:sz w:val="20"/>
              </w:rPr>
              <w:t>Rubisco proteins extraction from green residues LCI module</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_Toc145069130 \h </w:instrText>
            </w:r>
            <w:r w:rsidR="00F25F8C" w:rsidRPr="007B7645">
              <w:rPr>
                <w:noProof/>
                <w:webHidden/>
                <w:sz w:val="20"/>
              </w:rPr>
            </w:r>
            <w:r w:rsidR="00F25F8C" w:rsidRPr="007B7645">
              <w:rPr>
                <w:noProof/>
                <w:webHidden/>
                <w:sz w:val="20"/>
              </w:rPr>
              <w:fldChar w:fldCharType="separate"/>
            </w:r>
            <w:r w:rsidR="00A01585">
              <w:rPr>
                <w:noProof/>
                <w:webHidden/>
                <w:sz w:val="20"/>
              </w:rPr>
              <w:t>79</w:t>
            </w:r>
            <w:r w:rsidR="00F25F8C" w:rsidRPr="007B7645">
              <w:rPr>
                <w:noProof/>
                <w:webHidden/>
                <w:sz w:val="20"/>
              </w:rPr>
              <w:fldChar w:fldCharType="end"/>
            </w:r>
          </w:hyperlink>
        </w:p>
        <w:p w14:paraId="2E47546D" w14:textId="20B709EC" w:rsidR="00F25F8C" w:rsidRPr="007B7645" w:rsidRDefault="00827449">
          <w:pPr>
            <w:pStyle w:val="TM3"/>
            <w:tabs>
              <w:tab w:val="left" w:pos="1320"/>
              <w:tab w:val="right" w:leader="dot" w:pos="9062"/>
            </w:tabs>
            <w:rPr>
              <w:rFonts w:eastAsiaTheme="minorEastAsia"/>
              <w:noProof/>
              <w:sz w:val="20"/>
              <w:lang w:val="fr-FR" w:eastAsia="fr-FR"/>
            </w:rPr>
          </w:pPr>
          <w:hyperlink w:anchor="_Toc145069131" w:history="1">
            <w:r w:rsidR="00F25F8C" w:rsidRPr="007B7645">
              <w:rPr>
                <w:rStyle w:val="Lienhypertexte"/>
                <w:noProof/>
                <w:sz w:val="20"/>
              </w:rPr>
              <w:t>4.7.1.</w:t>
            </w:r>
            <w:r w:rsidR="00F25F8C" w:rsidRPr="007B7645">
              <w:rPr>
                <w:rFonts w:eastAsiaTheme="minorEastAsia"/>
                <w:noProof/>
                <w:sz w:val="20"/>
                <w:lang w:val="fr-FR" w:eastAsia="fr-FR"/>
              </w:rPr>
              <w:tab/>
            </w:r>
            <w:r w:rsidR="00F25F8C" w:rsidRPr="007B7645">
              <w:rPr>
                <w:rStyle w:val="Lienhypertexte"/>
                <w:noProof/>
                <w:sz w:val="20"/>
              </w:rPr>
              <w:t>Set-up selection</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_Toc145069131 \h </w:instrText>
            </w:r>
            <w:r w:rsidR="00F25F8C" w:rsidRPr="007B7645">
              <w:rPr>
                <w:noProof/>
                <w:webHidden/>
                <w:sz w:val="20"/>
              </w:rPr>
            </w:r>
            <w:r w:rsidR="00F25F8C" w:rsidRPr="007B7645">
              <w:rPr>
                <w:noProof/>
                <w:webHidden/>
                <w:sz w:val="20"/>
              </w:rPr>
              <w:fldChar w:fldCharType="separate"/>
            </w:r>
            <w:r w:rsidR="00A01585">
              <w:rPr>
                <w:noProof/>
                <w:webHidden/>
                <w:sz w:val="20"/>
              </w:rPr>
              <w:t>79</w:t>
            </w:r>
            <w:r w:rsidR="00F25F8C" w:rsidRPr="007B7645">
              <w:rPr>
                <w:noProof/>
                <w:webHidden/>
                <w:sz w:val="20"/>
              </w:rPr>
              <w:fldChar w:fldCharType="end"/>
            </w:r>
          </w:hyperlink>
        </w:p>
        <w:p w14:paraId="017EA9C6" w14:textId="5E45C18E" w:rsidR="00F25F8C" w:rsidRPr="007B7645" w:rsidRDefault="00827449">
          <w:pPr>
            <w:pStyle w:val="TM3"/>
            <w:tabs>
              <w:tab w:val="left" w:pos="1320"/>
              <w:tab w:val="right" w:leader="dot" w:pos="9062"/>
            </w:tabs>
            <w:rPr>
              <w:rFonts w:eastAsiaTheme="minorEastAsia"/>
              <w:noProof/>
              <w:sz w:val="20"/>
              <w:lang w:val="fr-FR" w:eastAsia="fr-FR"/>
            </w:rPr>
          </w:pPr>
          <w:hyperlink w:anchor="_Toc145069132" w:history="1">
            <w:r w:rsidR="00F25F8C" w:rsidRPr="007B7645">
              <w:rPr>
                <w:rStyle w:val="Lienhypertexte"/>
                <w:noProof/>
                <w:sz w:val="20"/>
              </w:rPr>
              <w:t>4.7.2.</w:t>
            </w:r>
            <w:r w:rsidR="00F25F8C" w:rsidRPr="007B7645">
              <w:rPr>
                <w:rFonts w:eastAsiaTheme="minorEastAsia"/>
                <w:noProof/>
                <w:sz w:val="20"/>
                <w:lang w:val="fr-FR" w:eastAsia="fr-FR"/>
              </w:rPr>
              <w:tab/>
            </w:r>
            <w:r w:rsidR="00F25F8C" w:rsidRPr="007B7645">
              <w:rPr>
                <w:rStyle w:val="Lienhypertexte"/>
                <w:noProof/>
                <w:sz w:val="20"/>
              </w:rPr>
              <w:t>Unit operation design and assumptions</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_Toc145069132 \h </w:instrText>
            </w:r>
            <w:r w:rsidR="00F25F8C" w:rsidRPr="007B7645">
              <w:rPr>
                <w:noProof/>
                <w:webHidden/>
                <w:sz w:val="20"/>
              </w:rPr>
            </w:r>
            <w:r w:rsidR="00F25F8C" w:rsidRPr="007B7645">
              <w:rPr>
                <w:noProof/>
                <w:webHidden/>
                <w:sz w:val="20"/>
              </w:rPr>
              <w:fldChar w:fldCharType="separate"/>
            </w:r>
            <w:r w:rsidR="00A01585">
              <w:rPr>
                <w:noProof/>
                <w:webHidden/>
                <w:sz w:val="20"/>
              </w:rPr>
              <w:t>81</w:t>
            </w:r>
            <w:r w:rsidR="00F25F8C" w:rsidRPr="007B7645">
              <w:rPr>
                <w:noProof/>
                <w:webHidden/>
                <w:sz w:val="20"/>
              </w:rPr>
              <w:fldChar w:fldCharType="end"/>
            </w:r>
          </w:hyperlink>
        </w:p>
        <w:p w14:paraId="7343D20A" w14:textId="19550BBF" w:rsidR="00F25F8C" w:rsidRPr="007B7645" w:rsidRDefault="00827449">
          <w:pPr>
            <w:pStyle w:val="TM3"/>
            <w:tabs>
              <w:tab w:val="left" w:pos="1320"/>
              <w:tab w:val="right" w:leader="dot" w:pos="9062"/>
            </w:tabs>
            <w:rPr>
              <w:rFonts w:eastAsiaTheme="minorEastAsia"/>
              <w:noProof/>
              <w:sz w:val="20"/>
              <w:lang w:val="fr-FR" w:eastAsia="fr-FR"/>
            </w:rPr>
          </w:pPr>
          <w:hyperlink w:anchor="_Toc145069133" w:history="1">
            <w:r w:rsidR="00F25F8C" w:rsidRPr="007B7645">
              <w:rPr>
                <w:rStyle w:val="Lienhypertexte"/>
                <w:noProof/>
                <w:sz w:val="20"/>
              </w:rPr>
              <w:t>4.7.3.</w:t>
            </w:r>
            <w:r w:rsidR="00F25F8C" w:rsidRPr="007B7645">
              <w:rPr>
                <w:rFonts w:eastAsiaTheme="minorEastAsia"/>
                <w:noProof/>
                <w:sz w:val="20"/>
                <w:lang w:val="fr-FR" w:eastAsia="fr-FR"/>
              </w:rPr>
              <w:tab/>
            </w:r>
            <w:r w:rsidR="00F25F8C" w:rsidRPr="007B7645">
              <w:rPr>
                <w:rStyle w:val="Lienhypertexte"/>
                <w:noProof/>
                <w:sz w:val="20"/>
              </w:rPr>
              <w:t>Technology parameters and background processes</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_Toc145069133 \h </w:instrText>
            </w:r>
            <w:r w:rsidR="00F25F8C" w:rsidRPr="007B7645">
              <w:rPr>
                <w:noProof/>
                <w:webHidden/>
                <w:sz w:val="20"/>
              </w:rPr>
            </w:r>
            <w:r w:rsidR="00F25F8C" w:rsidRPr="007B7645">
              <w:rPr>
                <w:noProof/>
                <w:webHidden/>
                <w:sz w:val="20"/>
              </w:rPr>
              <w:fldChar w:fldCharType="separate"/>
            </w:r>
            <w:r w:rsidR="00A01585">
              <w:rPr>
                <w:noProof/>
                <w:webHidden/>
                <w:sz w:val="20"/>
              </w:rPr>
              <w:t>88</w:t>
            </w:r>
            <w:r w:rsidR="00F25F8C" w:rsidRPr="007B7645">
              <w:rPr>
                <w:noProof/>
                <w:webHidden/>
                <w:sz w:val="20"/>
              </w:rPr>
              <w:fldChar w:fldCharType="end"/>
            </w:r>
          </w:hyperlink>
        </w:p>
        <w:p w14:paraId="0BDDC3EC" w14:textId="68ED22D5" w:rsidR="00F25F8C" w:rsidRPr="007B7645" w:rsidRDefault="00827449">
          <w:pPr>
            <w:pStyle w:val="TM2"/>
            <w:tabs>
              <w:tab w:val="left" w:pos="880"/>
              <w:tab w:val="right" w:leader="dot" w:pos="9062"/>
            </w:tabs>
            <w:rPr>
              <w:rFonts w:eastAsiaTheme="minorEastAsia"/>
              <w:noProof/>
              <w:sz w:val="20"/>
              <w:lang w:val="fr-FR" w:eastAsia="fr-FR"/>
            </w:rPr>
          </w:pPr>
          <w:hyperlink w:anchor="_Toc145069134" w:history="1">
            <w:r w:rsidR="00F25F8C" w:rsidRPr="007B7645">
              <w:rPr>
                <w:rStyle w:val="Lienhypertexte"/>
                <w:noProof/>
                <w:sz w:val="20"/>
              </w:rPr>
              <w:t>4.8.</w:t>
            </w:r>
            <w:r w:rsidR="00F25F8C" w:rsidRPr="007B7645">
              <w:rPr>
                <w:rFonts w:eastAsiaTheme="minorEastAsia"/>
                <w:noProof/>
                <w:sz w:val="20"/>
                <w:lang w:val="fr-FR" w:eastAsia="fr-FR"/>
              </w:rPr>
              <w:tab/>
            </w:r>
            <w:r w:rsidR="00F25F8C" w:rsidRPr="007B7645">
              <w:rPr>
                <w:rStyle w:val="Lienhypertexte"/>
                <w:noProof/>
                <w:sz w:val="20"/>
              </w:rPr>
              <w:t>Gasification LCI module</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_Toc145069134 \h </w:instrText>
            </w:r>
            <w:r w:rsidR="00F25F8C" w:rsidRPr="007B7645">
              <w:rPr>
                <w:noProof/>
                <w:webHidden/>
                <w:sz w:val="20"/>
              </w:rPr>
            </w:r>
            <w:r w:rsidR="00F25F8C" w:rsidRPr="007B7645">
              <w:rPr>
                <w:noProof/>
                <w:webHidden/>
                <w:sz w:val="20"/>
              </w:rPr>
              <w:fldChar w:fldCharType="separate"/>
            </w:r>
            <w:r w:rsidR="00A01585">
              <w:rPr>
                <w:noProof/>
                <w:webHidden/>
                <w:sz w:val="20"/>
              </w:rPr>
              <w:t>90</w:t>
            </w:r>
            <w:r w:rsidR="00F25F8C" w:rsidRPr="007B7645">
              <w:rPr>
                <w:noProof/>
                <w:webHidden/>
                <w:sz w:val="20"/>
              </w:rPr>
              <w:fldChar w:fldCharType="end"/>
            </w:r>
          </w:hyperlink>
        </w:p>
        <w:p w14:paraId="55B1DE2B" w14:textId="769E2450" w:rsidR="00F25F8C" w:rsidRPr="007B7645" w:rsidRDefault="00827449">
          <w:pPr>
            <w:pStyle w:val="TM3"/>
            <w:tabs>
              <w:tab w:val="left" w:pos="1320"/>
              <w:tab w:val="right" w:leader="dot" w:pos="9062"/>
            </w:tabs>
            <w:rPr>
              <w:rFonts w:eastAsiaTheme="minorEastAsia"/>
              <w:noProof/>
              <w:sz w:val="20"/>
              <w:lang w:val="fr-FR" w:eastAsia="fr-FR"/>
            </w:rPr>
          </w:pPr>
          <w:hyperlink w:anchor="_Toc145069135" w:history="1">
            <w:r w:rsidR="00F25F8C" w:rsidRPr="007B7645">
              <w:rPr>
                <w:rStyle w:val="Lienhypertexte"/>
                <w:noProof/>
                <w:sz w:val="20"/>
              </w:rPr>
              <w:t>4.8.1.</w:t>
            </w:r>
            <w:r w:rsidR="00F25F8C" w:rsidRPr="007B7645">
              <w:rPr>
                <w:rFonts w:eastAsiaTheme="minorEastAsia"/>
                <w:noProof/>
                <w:sz w:val="20"/>
                <w:lang w:val="fr-FR" w:eastAsia="fr-FR"/>
              </w:rPr>
              <w:tab/>
            </w:r>
            <w:r w:rsidR="00F25F8C" w:rsidRPr="007B7645">
              <w:rPr>
                <w:rStyle w:val="Lienhypertexte"/>
                <w:noProof/>
                <w:sz w:val="20"/>
              </w:rPr>
              <w:t>Set-up selection</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_Toc145069135 \h </w:instrText>
            </w:r>
            <w:r w:rsidR="00F25F8C" w:rsidRPr="007B7645">
              <w:rPr>
                <w:noProof/>
                <w:webHidden/>
                <w:sz w:val="20"/>
              </w:rPr>
            </w:r>
            <w:r w:rsidR="00F25F8C" w:rsidRPr="007B7645">
              <w:rPr>
                <w:noProof/>
                <w:webHidden/>
                <w:sz w:val="20"/>
              </w:rPr>
              <w:fldChar w:fldCharType="separate"/>
            </w:r>
            <w:r w:rsidR="00A01585">
              <w:rPr>
                <w:noProof/>
                <w:webHidden/>
                <w:sz w:val="20"/>
              </w:rPr>
              <w:t>90</w:t>
            </w:r>
            <w:r w:rsidR="00F25F8C" w:rsidRPr="007B7645">
              <w:rPr>
                <w:noProof/>
                <w:webHidden/>
                <w:sz w:val="20"/>
              </w:rPr>
              <w:fldChar w:fldCharType="end"/>
            </w:r>
          </w:hyperlink>
        </w:p>
        <w:p w14:paraId="23A5029F" w14:textId="567E6253" w:rsidR="00F25F8C" w:rsidRPr="007B7645" w:rsidRDefault="00827449">
          <w:pPr>
            <w:pStyle w:val="TM3"/>
            <w:tabs>
              <w:tab w:val="left" w:pos="1320"/>
              <w:tab w:val="right" w:leader="dot" w:pos="9062"/>
            </w:tabs>
            <w:rPr>
              <w:rFonts w:eastAsiaTheme="minorEastAsia"/>
              <w:noProof/>
              <w:sz w:val="20"/>
              <w:lang w:val="fr-FR" w:eastAsia="fr-FR"/>
            </w:rPr>
          </w:pPr>
          <w:hyperlink w:anchor="_Toc145069136" w:history="1">
            <w:r w:rsidR="00F25F8C" w:rsidRPr="007B7645">
              <w:rPr>
                <w:rStyle w:val="Lienhypertexte"/>
                <w:noProof/>
                <w:sz w:val="20"/>
              </w:rPr>
              <w:t>4.8.2.</w:t>
            </w:r>
            <w:r w:rsidR="00F25F8C" w:rsidRPr="007B7645">
              <w:rPr>
                <w:rFonts w:eastAsiaTheme="minorEastAsia"/>
                <w:noProof/>
                <w:sz w:val="20"/>
                <w:lang w:val="fr-FR" w:eastAsia="fr-FR"/>
              </w:rPr>
              <w:tab/>
            </w:r>
            <w:r w:rsidR="00F25F8C" w:rsidRPr="007B7645">
              <w:rPr>
                <w:rStyle w:val="Lienhypertexte"/>
                <w:noProof/>
                <w:sz w:val="20"/>
              </w:rPr>
              <w:t>Unit operation design and assumptions</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_Toc145069136 \h </w:instrText>
            </w:r>
            <w:r w:rsidR="00F25F8C" w:rsidRPr="007B7645">
              <w:rPr>
                <w:noProof/>
                <w:webHidden/>
                <w:sz w:val="20"/>
              </w:rPr>
            </w:r>
            <w:r w:rsidR="00F25F8C" w:rsidRPr="007B7645">
              <w:rPr>
                <w:noProof/>
                <w:webHidden/>
                <w:sz w:val="20"/>
              </w:rPr>
              <w:fldChar w:fldCharType="separate"/>
            </w:r>
            <w:r w:rsidR="00A01585">
              <w:rPr>
                <w:noProof/>
                <w:webHidden/>
                <w:sz w:val="20"/>
              </w:rPr>
              <w:t>91</w:t>
            </w:r>
            <w:r w:rsidR="00F25F8C" w:rsidRPr="007B7645">
              <w:rPr>
                <w:noProof/>
                <w:webHidden/>
                <w:sz w:val="20"/>
              </w:rPr>
              <w:fldChar w:fldCharType="end"/>
            </w:r>
          </w:hyperlink>
        </w:p>
        <w:p w14:paraId="0C624FED" w14:textId="749A3835" w:rsidR="00F25F8C" w:rsidRPr="007B7645" w:rsidRDefault="00827449">
          <w:pPr>
            <w:pStyle w:val="TM3"/>
            <w:tabs>
              <w:tab w:val="left" w:pos="1320"/>
              <w:tab w:val="right" w:leader="dot" w:pos="9062"/>
            </w:tabs>
            <w:rPr>
              <w:rFonts w:eastAsiaTheme="minorEastAsia"/>
              <w:noProof/>
              <w:sz w:val="20"/>
              <w:lang w:val="fr-FR" w:eastAsia="fr-FR"/>
            </w:rPr>
          </w:pPr>
          <w:hyperlink w:anchor="_Toc145069137" w:history="1">
            <w:r w:rsidR="00F25F8C" w:rsidRPr="007B7645">
              <w:rPr>
                <w:rStyle w:val="Lienhypertexte"/>
                <w:noProof/>
                <w:sz w:val="20"/>
              </w:rPr>
              <w:t>4.8.3.</w:t>
            </w:r>
            <w:r w:rsidR="00F25F8C" w:rsidRPr="007B7645">
              <w:rPr>
                <w:rFonts w:eastAsiaTheme="minorEastAsia"/>
                <w:noProof/>
                <w:sz w:val="20"/>
                <w:lang w:val="fr-FR" w:eastAsia="fr-FR"/>
              </w:rPr>
              <w:tab/>
            </w:r>
            <w:r w:rsidR="00F25F8C" w:rsidRPr="007B7645">
              <w:rPr>
                <w:rStyle w:val="Lienhypertexte"/>
                <w:noProof/>
                <w:sz w:val="20"/>
              </w:rPr>
              <w:t>Technology parameters and background processes</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_Toc145069137 \h </w:instrText>
            </w:r>
            <w:r w:rsidR="00F25F8C" w:rsidRPr="007B7645">
              <w:rPr>
                <w:noProof/>
                <w:webHidden/>
                <w:sz w:val="20"/>
              </w:rPr>
            </w:r>
            <w:r w:rsidR="00F25F8C" w:rsidRPr="007B7645">
              <w:rPr>
                <w:noProof/>
                <w:webHidden/>
                <w:sz w:val="20"/>
              </w:rPr>
              <w:fldChar w:fldCharType="separate"/>
            </w:r>
            <w:r w:rsidR="00A01585">
              <w:rPr>
                <w:noProof/>
                <w:webHidden/>
                <w:sz w:val="20"/>
              </w:rPr>
              <w:t>96</w:t>
            </w:r>
            <w:r w:rsidR="00F25F8C" w:rsidRPr="007B7645">
              <w:rPr>
                <w:noProof/>
                <w:webHidden/>
                <w:sz w:val="20"/>
              </w:rPr>
              <w:fldChar w:fldCharType="end"/>
            </w:r>
          </w:hyperlink>
        </w:p>
        <w:p w14:paraId="32A0F97C" w14:textId="2EBBEBF6" w:rsidR="00F25F8C" w:rsidRPr="007B7645" w:rsidRDefault="00827449">
          <w:pPr>
            <w:pStyle w:val="TM3"/>
            <w:tabs>
              <w:tab w:val="left" w:pos="1320"/>
              <w:tab w:val="right" w:leader="dot" w:pos="9062"/>
            </w:tabs>
            <w:rPr>
              <w:rFonts w:eastAsiaTheme="minorEastAsia"/>
              <w:noProof/>
              <w:sz w:val="20"/>
              <w:lang w:val="fr-FR" w:eastAsia="fr-FR"/>
            </w:rPr>
          </w:pPr>
          <w:hyperlink w:anchor="_Toc145069138" w:history="1">
            <w:r w:rsidR="00F25F8C" w:rsidRPr="007B7645">
              <w:rPr>
                <w:rStyle w:val="Lienhypertexte"/>
                <w:noProof/>
                <w:sz w:val="20"/>
              </w:rPr>
              <w:t>4.8.4.</w:t>
            </w:r>
            <w:r w:rsidR="00F25F8C" w:rsidRPr="007B7645">
              <w:rPr>
                <w:rFonts w:eastAsiaTheme="minorEastAsia"/>
                <w:noProof/>
                <w:sz w:val="20"/>
                <w:lang w:val="fr-FR" w:eastAsia="fr-FR"/>
              </w:rPr>
              <w:tab/>
            </w:r>
            <w:r w:rsidR="00F25F8C" w:rsidRPr="007B7645">
              <w:rPr>
                <w:rStyle w:val="Lienhypertexte"/>
                <w:noProof/>
                <w:sz w:val="20"/>
              </w:rPr>
              <w:t>Process flow diagram of the adapted anaerobic digestion module</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_Toc145069138 \h </w:instrText>
            </w:r>
            <w:r w:rsidR="00F25F8C" w:rsidRPr="007B7645">
              <w:rPr>
                <w:noProof/>
                <w:webHidden/>
                <w:sz w:val="20"/>
              </w:rPr>
            </w:r>
            <w:r w:rsidR="00F25F8C" w:rsidRPr="007B7645">
              <w:rPr>
                <w:noProof/>
                <w:webHidden/>
                <w:sz w:val="20"/>
              </w:rPr>
              <w:fldChar w:fldCharType="separate"/>
            </w:r>
            <w:r w:rsidR="00A01585">
              <w:rPr>
                <w:noProof/>
                <w:webHidden/>
                <w:sz w:val="20"/>
              </w:rPr>
              <w:t>98</w:t>
            </w:r>
            <w:r w:rsidR="00F25F8C" w:rsidRPr="007B7645">
              <w:rPr>
                <w:noProof/>
                <w:webHidden/>
                <w:sz w:val="20"/>
              </w:rPr>
              <w:fldChar w:fldCharType="end"/>
            </w:r>
          </w:hyperlink>
        </w:p>
        <w:p w14:paraId="648FE156" w14:textId="47771FE2" w:rsidR="00F25F8C" w:rsidRPr="007B7645" w:rsidRDefault="00827449">
          <w:pPr>
            <w:pStyle w:val="TM2"/>
            <w:tabs>
              <w:tab w:val="left" w:pos="880"/>
              <w:tab w:val="right" w:leader="dot" w:pos="9062"/>
            </w:tabs>
            <w:rPr>
              <w:rFonts w:eastAsiaTheme="minorEastAsia"/>
              <w:noProof/>
              <w:sz w:val="20"/>
              <w:lang w:val="fr-FR" w:eastAsia="fr-FR"/>
            </w:rPr>
          </w:pPr>
          <w:hyperlink w:anchor="_Toc145069139" w:history="1">
            <w:r w:rsidR="00F25F8C" w:rsidRPr="007B7645">
              <w:rPr>
                <w:rStyle w:val="Lienhypertexte"/>
                <w:noProof/>
                <w:sz w:val="20"/>
              </w:rPr>
              <w:t>4.9.</w:t>
            </w:r>
            <w:r w:rsidR="00F25F8C" w:rsidRPr="007B7645">
              <w:rPr>
                <w:rFonts w:eastAsiaTheme="minorEastAsia"/>
                <w:noProof/>
                <w:sz w:val="20"/>
                <w:lang w:val="fr-FR" w:eastAsia="fr-FR"/>
              </w:rPr>
              <w:tab/>
            </w:r>
            <w:r w:rsidR="00F25F8C" w:rsidRPr="007B7645">
              <w:rPr>
                <w:rStyle w:val="Lienhypertexte"/>
                <w:noProof/>
                <w:sz w:val="20"/>
              </w:rPr>
              <w:t>Summary of the technology parameters and pairing with the LCI models</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_Toc145069139 \h </w:instrText>
            </w:r>
            <w:r w:rsidR="00F25F8C" w:rsidRPr="007B7645">
              <w:rPr>
                <w:noProof/>
                <w:webHidden/>
                <w:sz w:val="20"/>
              </w:rPr>
            </w:r>
            <w:r w:rsidR="00F25F8C" w:rsidRPr="007B7645">
              <w:rPr>
                <w:noProof/>
                <w:webHidden/>
                <w:sz w:val="20"/>
              </w:rPr>
              <w:fldChar w:fldCharType="separate"/>
            </w:r>
            <w:r w:rsidR="00A01585">
              <w:rPr>
                <w:noProof/>
                <w:webHidden/>
                <w:sz w:val="20"/>
              </w:rPr>
              <w:t>99</w:t>
            </w:r>
            <w:r w:rsidR="00F25F8C" w:rsidRPr="007B7645">
              <w:rPr>
                <w:noProof/>
                <w:webHidden/>
                <w:sz w:val="20"/>
              </w:rPr>
              <w:fldChar w:fldCharType="end"/>
            </w:r>
          </w:hyperlink>
        </w:p>
        <w:p w14:paraId="7EC49188" w14:textId="3F30C815" w:rsidR="00F25F8C" w:rsidRPr="007B7645" w:rsidRDefault="00827449">
          <w:pPr>
            <w:pStyle w:val="TM1"/>
            <w:tabs>
              <w:tab w:val="left" w:pos="440"/>
              <w:tab w:val="right" w:leader="dot" w:pos="9062"/>
            </w:tabs>
            <w:rPr>
              <w:rFonts w:eastAsiaTheme="minorEastAsia"/>
              <w:noProof/>
              <w:sz w:val="20"/>
              <w:lang w:val="fr-FR" w:eastAsia="fr-FR"/>
            </w:rPr>
          </w:pPr>
          <w:hyperlink w:anchor="_Toc145069140" w:history="1">
            <w:r w:rsidR="00F25F8C" w:rsidRPr="007B7645">
              <w:rPr>
                <w:rStyle w:val="Lienhypertexte"/>
                <w:noProof/>
                <w:sz w:val="20"/>
              </w:rPr>
              <w:t>5.</w:t>
            </w:r>
            <w:r w:rsidR="00F25F8C" w:rsidRPr="007B7645">
              <w:rPr>
                <w:rFonts w:eastAsiaTheme="minorEastAsia"/>
                <w:noProof/>
                <w:sz w:val="20"/>
                <w:lang w:val="fr-FR" w:eastAsia="fr-FR"/>
              </w:rPr>
              <w:tab/>
            </w:r>
            <w:r w:rsidR="00F25F8C" w:rsidRPr="007B7645">
              <w:rPr>
                <w:rStyle w:val="Lienhypertexte"/>
                <w:noProof/>
                <w:sz w:val="20"/>
              </w:rPr>
              <w:t>References</w:t>
            </w:r>
            <w:r w:rsidR="00F25F8C" w:rsidRPr="007B7645">
              <w:rPr>
                <w:noProof/>
                <w:webHidden/>
                <w:sz w:val="20"/>
              </w:rPr>
              <w:tab/>
            </w:r>
            <w:r w:rsidR="00F25F8C" w:rsidRPr="007B7645">
              <w:rPr>
                <w:noProof/>
                <w:webHidden/>
                <w:sz w:val="20"/>
              </w:rPr>
              <w:fldChar w:fldCharType="begin"/>
            </w:r>
            <w:r w:rsidR="00F25F8C" w:rsidRPr="007B7645">
              <w:rPr>
                <w:noProof/>
                <w:webHidden/>
                <w:sz w:val="20"/>
              </w:rPr>
              <w:instrText xml:space="preserve"> PAGEREF _Toc145069140 \h </w:instrText>
            </w:r>
            <w:r w:rsidR="00F25F8C" w:rsidRPr="007B7645">
              <w:rPr>
                <w:noProof/>
                <w:webHidden/>
                <w:sz w:val="20"/>
              </w:rPr>
            </w:r>
            <w:r w:rsidR="00F25F8C" w:rsidRPr="007B7645">
              <w:rPr>
                <w:noProof/>
                <w:webHidden/>
                <w:sz w:val="20"/>
              </w:rPr>
              <w:fldChar w:fldCharType="separate"/>
            </w:r>
            <w:r w:rsidR="00A01585">
              <w:rPr>
                <w:noProof/>
                <w:webHidden/>
                <w:sz w:val="20"/>
              </w:rPr>
              <w:t>113</w:t>
            </w:r>
            <w:r w:rsidR="00F25F8C" w:rsidRPr="007B7645">
              <w:rPr>
                <w:noProof/>
                <w:webHidden/>
                <w:sz w:val="20"/>
              </w:rPr>
              <w:fldChar w:fldCharType="end"/>
            </w:r>
          </w:hyperlink>
        </w:p>
        <w:p w14:paraId="689E3745" w14:textId="682764C4" w:rsidR="00447F21" w:rsidRPr="00447F21" w:rsidRDefault="00447F21">
          <w:r w:rsidRPr="007B7645">
            <w:rPr>
              <w:b/>
              <w:bCs/>
              <w:sz w:val="20"/>
            </w:rPr>
            <w:fldChar w:fldCharType="end"/>
          </w:r>
        </w:p>
      </w:sdtContent>
    </w:sdt>
    <w:p w14:paraId="67F59970" w14:textId="03FBA965" w:rsidR="00936752" w:rsidRPr="00936752" w:rsidRDefault="000C3E59">
      <w:pPr>
        <w:rPr>
          <w:b/>
        </w:rPr>
      </w:pPr>
      <w:r>
        <w:rPr>
          <w:b/>
        </w:rPr>
        <w:t>List of f</w:t>
      </w:r>
      <w:r w:rsidR="00936752" w:rsidRPr="00936752">
        <w:rPr>
          <w:b/>
        </w:rPr>
        <w:t>igures</w:t>
      </w:r>
    </w:p>
    <w:p w14:paraId="45E90362" w14:textId="2FF46A31" w:rsidR="00B87259" w:rsidRDefault="00447F21">
      <w:pPr>
        <w:pStyle w:val="Tabledesillustrations"/>
        <w:tabs>
          <w:tab w:val="right" w:leader="underscore" w:pos="9062"/>
        </w:tabs>
        <w:rPr>
          <w:rFonts w:eastAsiaTheme="minorEastAsia" w:cstheme="minorBidi"/>
          <w:i w:val="0"/>
          <w:iCs w:val="0"/>
          <w:noProof/>
          <w:sz w:val="22"/>
          <w:szCs w:val="22"/>
          <w:lang w:val="fr-FR" w:eastAsia="fr-FR"/>
        </w:rPr>
      </w:pPr>
      <w:r>
        <w:rPr>
          <w:b/>
        </w:rPr>
        <w:fldChar w:fldCharType="begin"/>
      </w:r>
      <w:r>
        <w:rPr>
          <w:b/>
        </w:rPr>
        <w:instrText xml:space="preserve"> TOC \h \z \c "Figure SI." </w:instrText>
      </w:r>
      <w:r>
        <w:rPr>
          <w:b/>
        </w:rPr>
        <w:fldChar w:fldCharType="separate"/>
      </w:r>
      <w:hyperlink w:anchor="_Toc151967989" w:history="1">
        <w:r w:rsidR="00B87259" w:rsidRPr="006D6E0B">
          <w:rPr>
            <w:rStyle w:val="Lienhypertexte"/>
            <w:noProof/>
          </w:rPr>
          <w:t>Figure SI. 1 – Composition distribution of the 132 identified residual biomass streams for France</w:t>
        </w:r>
        <w:r w:rsidR="00B87259">
          <w:rPr>
            <w:noProof/>
            <w:webHidden/>
          </w:rPr>
          <w:tab/>
        </w:r>
        <w:r w:rsidR="00B87259">
          <w:rPr>
            <w:noProof/>
            <w:webHidden/>
          </w:rPr>
          <w:fldChar w:fldCharType="begin"/>
        </w:r>
        <w:r w:rsidR="00B87259">
          <w:rPr>
            <w:noProof/>
            <w:webHidden/>
          </w:rPr>
          <w:instrText xml:space="preserve"> PAGEREF _Toc151967989 \h </w:instrText>
        </w:r>
        <w:r w:rsidR="00B87259">
          <w:rPr>
            <w:noProof/>
            <w:webHidden/>
          </w:rPr>
        </w:r>
        <w:r w:rsidR="00B87259">
          <w:rPr>
            <w:noProof/>
            <w:webHidden/>
          </w:rPr>
          <w:fldChar w:fldCharType="separate"/>
        </w:r>
        <w:r w:rsidR="00A01585">
          <w:rPr>
            <w:noProof/>
            <w:webHidden/>
          </w:rPr>
          <w:t>7</w:t>
        </w:r>
        <w:r w:rsidR="00B87259">
          <w:rPr>
            <w:noProof/>
            <w:webHidden/>
          </w:rPr>
          <w:fldChar w:fldCharType="end"/>
        </w:r>
      </w:hyperlink>
    </w:p>
    <w:p w14:paraId="1733A9F6" w14:textId="48B07AAD"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90" w:history="1">
        <w:r w:rsidR="00B87259" w:rsidRPr="006D6E0B">
          <w:rPr>
            <w:rStyle w:val="Lienhypertexte"/>
            <w:noProof/>
          </w:rPr>
          <w:t>Figure SI. 2 – MP production stage water balance to produce 1kg</w:t>
        </w:r>
        <w:r w:rsidR="00B87259" w:rsidRPr="006D6E0B">
          <w:rPr>
            <w:rStyle w:val="Lienhypertexte"/>
            <w:noProof/>
            <w:vertAlign w:val="subscript"/>
          </w:rPr>
          <w:t>ww</w:t>
        </w:r>
        <w:r w:rsidR="00B87259" w:rsidRPr="006D6E0B">
          <w:rPr>
            <w:rStyle w:val="Lienhypertexte"/>
            <w:noProof/>
          </w:rPr>
          <w:t>, illustrated for baseline parameter values</w:t>
        </w:r>
        <w:r w:rsidR="00B87259">
          <w:rPr>
            <w:noProof/>
            <w:webHidden/>
          </w:rPr>
          <w:tab/>
        </w:r>
        <w:r w:rsidR="00B87259">
          <w:rPr>
            <w:noProof/>
            <w:webHidden/>
          </w:rPr>
          <w:fldChar w:fldCharType="begin"/>
        </w:r>
        <w:r w:rsidR="00B87259">
          <w:rPr>
            <w:noProof/>
            <w:webHidden/>
          </w:rPr>
          <w:instrText xml:space="preserve"> PAGEREF _Toc151967990 \h </w:instrText>
        </w:r>
        <w:r w:rsidR="00B87259">
          <w:rPr>
            <w:noProof/>
            <w:webHidden/>
          </w:rPr>
        </w:r>
        <w:r w:rsidR="00B87259">
          <w:rPr>
            <w:noProof/>
            <w:webHidden/>
          </w:rPr>
          <w:fldChar w:fldCharType="separate"/>
        </w:r>
        <w:r w:rsidR="00A01585">
          <w:rPr>
            <w:noProof/>
            <w:webHidden/>
          </w:rPr>
          <w:t>75</w:t>
        </w:r>
        <w:r w:rsidR="00B87259">
          <w:rPr>
            <w:noProof/>
            <w:webHidden/>
          </w:rPr>
          <w:fldChar w:fldCharType="end"/>
        </w:r>
      </w:hyperlink>
    </w:p>
    <w:p w14:paraId="340BF04D" w14:textId="1EEE203F"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91" w:history="1">
        <w:r w:rsidR="00B87259" w:rsidRPr="006D6E0B">
          <w:rPr>
            <w:rStyle w:val="Lienhypertexte"/>
            <w:noProof/>
          </w:rPr>
          <w:t>Figure SI. 3 – Scope, system boundaries and process flow diagram of GA</w:t>
        </w:r>
        <w:r w:rsidR="00B87259">
          <w:rPr>
            <w:noProof/>
            <w:webHidden/>
          </w:rPr>
          <w:tab/>
        </w:r>
        <w:r w:rsidR="00B87259">
          <w:rPr>
            <w:noProof/>
            <w:webHidden/>
          </w:rPr>
          <w:fldChar w:fldCharType="begin"/>
        </w:r>
        <w:r w:rsidR="00B87259">
          <w:rPr>
            <w:noProof/>
            <w:webHidden/>
          </w:rPr>
          <w:instrText xml:space="preserve"> PAGEREF _Toc151967991 \h </w:instrText>
        </w:r>
        <w:r w:rsidR="00B87259">
          <w:rPr>
            <w:noProof/>
            <w:webHidden/>
          </w:rPr>
        </w:r>
        <w:r w:rsidR="00B87259">
          <w:rPr>
            <w:noProof/>
            <w:webHidden/>
          </w:rPr>
          <w:fldChar w:fldCharType="separate"/>
        </w:r>
        <w:r w:rsidR="00A01585">
          <w:rPr>
            <w:noProof/>
            <w:webHidden/>
          </w:rPr>
          <w:t>91</w:t>
        </w:r>
        <w:r w:rsidR="00B87259">
          <w:rPr>
            <w:noProof/>
            <w:webHidden/>
          </w:rPr>
          <w:fldChar w:fldCharType="end"/>
        </w:r>
      </w:hyperlink>
    </w:p>
    <w:p w14:paraId="490E7AB6" w14:textId="52991BCD"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92" w:history="1">
        <w:r w:rsidR="00B87259" w:rsidRPr="006D6E0B">
          <w:rPr>
            <w:rStyle w:val="Lienhypertexte"/>
            <w:noProof/>
          </w:rPr>
          <w:t>Figure SI. 4 – Scope, system boundaries and process flow diagram of AD</w:t>
        </w:r>
        <w:r w:rsidR="00B87259">
          <w:rPr>
            <w:noProof/>
            <w:webHidden/>
          </w:rPr>
          <w:tab/>
        </w:r>
        <w:r w:rsidR="00B87259">
          <w:rPr>
            <w:noProof/>
            <w:webHidden/>
          </w:rPr>
          <w:fldChar w:fldCharType="begin"/>
        </w:r>
        <w:r w:rsidR="00B87259">
          <w:rPr>
            <w:noProof/>
            <w:webHidden/>
          </w:rPr>
          <w:instrText xml:space="preserve"> PAGEREF _Toc151967992 \h </w:instrText>
        </w:r>
        <w:r w:rsidR="00B87259">
          <w:rPr>
            <w:noProof/>
            <w:webHidden/>
          </w:rPr>
        </w:r>
        <w:r w:rsidR="00B87259">
          <w:rPr>
            <w:noProof/>
            <w:webHidden/>
          </w:rPr>
          <w:fldChar w:fldCharType="separate"/>
        </w:r>
        <w:r w:rsidR="00A01585">
          <w:rPr>
            <w:noProof/>
            <w:webHidden/>
          </w:rPr>
          <w:t>98</w:t>
        </w:r>
        <w:r w:rsidR="00B87259">
          <w:rPr>
            <w:noProof/>
            <w:webHidden/>
          </w:rPr>
          <w:fldChar w:fldCharType="end"/>
        </w:r>
      </w:hyperlink>
    </w:p>
    <w:p w14:paraId="79E987F5" w14:textId="1365DD57" w:rsidR="00447F21" w:rsidRDefault="00447F21">
      <w:pPr>
        <w:rPr>
          <w:b/>
        </w:rPr>
      </w:pPr>
      <w:r>
        <w:rPr>
          <w:b/>
        </w:rPr>
        <w:fldChar w:fldCharType="end"/>
      </w:r>
    </w:p>
    <w:p w14:paraId="45985091" w14:textId="28164889" w:rsidR="00936752" w:rsidRPr="00936752" w:rsidRDefault="000C3E59">
      <w:pPr>
        <w:rPr>
          <w:b/>
        </w:rPr>
      </w:pPr>
      <w:r>
        <w:rPr>
          <w:b/>
        </w:rPr>
        <w:t>List of t</w:t>
      </w:r>
      <w:r w:rsidR="00936752" w:rsidRPr="00936752">
        <w:rPr>
          <w:b/>
        </w:rPr>
        <w:t>ables</w:t>
      </w:r>
    </w:p>
    <w:p w14:paraId="42FBB54E" w14:textId="6DCC01A7" w:rsidR="00B87259" w:rsidRDefault="00447F21">
      <w:pPr>
        <w:pStyle w:val="Tabledesillustrations"/>
        <w:tabs>
          <w:tab w:val="right" w:leader="underscore" w:pos="9062"/>
        </w:tabs>
        <w:rPr>
          <w:rFonts w:eastAsiaTheme="minorEastAsia" w:cstheme="minorBidi"/>
          <w:i w:val="0"/>
          <w:iCs w:val="0"/>
          <w:noProof/>
          <w:sz w:val="22"/>
          <w:szCs w:val="22"/>
          <w:lang w:val="fr-FR" w:eastAsia="fr-FR"/>
        </w:rPr>
      </w:pPr>
      <w:r>
        <w:rPr>
          <w:b/>
        </w:rPr>
        <w:fldChar w:fldCharType="begin"/>
      </w:r>
      <w:r>
        <w:rPr>
          <w:b/>
        </w:rPr>
        <w:instrText xml:space="preserve"> TOC \h \z \c "Table SI." </w:instrText>
      </w:r>
      <w:r>
        <w:rPr>
          <w:b/>
        </w:rPr>
        <w:fldChar w:fldCharType="separate"/>
      </w:r>
      <w:hyperlink w:anchor="_Toc151967885" w:history="1">
        <w:r w:rsidR="00B87259" w:rsidRPr="003E2BAF">
          <w:rPr>
            <w:rStyle w:val="Lienhypertexte"/>
            <w:noProof/>
          </w:rPr>
          <w:t>Table SI. 1 – Scope and classification of residual biomass streams</w:t>
        </w:r>
        <w:r w:rsidR="00B87259">
          <w:rPr>
            <w:noProof/>
            <w:webHidden/>
          </w:rPr>
          <w:tab/>
        </w:r>
        <w:r w:rsidR="00B87259">
          <w:rPr>
            <w:noProof/>
            <w:webHidden/>
          </w:rPr>
          <w:fldChar w:fldCharType="begin"/>
        </w:r>
        <w:r w:rsidR="00B87259">
          <w:rPr>
            <w:noProof/>
            <w:webHidden/>
          </w:rPr>
          <w:instrText xml:space="preserve"> PAGEREF _Toc151967885 \h </w:instrText>
        </w:r>
        <w:r w:rsidR="00B87259">
          <w:rPr>
            <w:noProof/>
            <w:webHidden/>
          </w:rPr>
        </w:r>
        <w:r w:rsidR="00B87259">
          <w:rPr>
            <w:noProof/>
            <w:webHidden/>
          </w:rPr>
          <w:fldChar w:fldCharType="separate"/>
        </w:r>
        <w:r w:rsidR="00A01585">
          <w:rPr>
            <w:noProof/>
            <w:webHidden/>
          </w:rPr>
          <w:t>6</w:t>
        </w:r>
        <w:r w:rsidR="00B87259">
          <w:rPr>
            <w:noProof/>
            <w:webHidden/>
          </w:rPr>
          <w:fldChar w:fldCharType="end"/>
        </w:r>
      </w:hyperlink>
    </w:p>
    <w:p w14:paraId="4D673F09" w14:textId="3179E34A"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886" w:history="1">
        <w:r w:rsidR="00B87259" w:rsidRPr="003E2BAF">
          <w:rPr>
            <w:rStyle w:val="Lienhypertexte"/>
            <w:noProof/>
          </w:rPr>
          <w:t>Table SI. 2 – Selection of eleven representative residual biomass streams for France</w:t>
        </w:r>
        <w:r w:rsidR="00B87259">
          <w:rPr>
            <w:noProof/>
            <w:webHidden/>
          </w:rPr>
          <w:tab/>
        </w:r>
        <w:r w:rsidR="00B87259">
          <w:rPr>
            <w:noProof/>
            <w:webHidden/>
          </w:rPr>
          <w:fldChar w:fldCharType="begin"/>
        </w:r>
        <w:r w:rsidR="00B87259">
          <w:rPr>
            <w:noProof/>
            <w:webHidden/>
          </w:rPr>
          <w:instrText xml:space="preserve"> PAGEREF _Toc151967886 \h </w:instrText>
        </w:r>
        <w:r w:rsidR="00B87259">
          <w:rPr>
            <w:noProof/>
            <w:webHidden/>
          </w:rPr>
        </w:r>
        <w:r w:rsidR="00B87259">
          <w:rPr>
            <w:noProof/>
            <w:webHidden/>
          </w:rPr>
          <w:fldChar w:fldCharType="separate"/>
        </w:r>
        <w:r w:rsidR="00A01585">
          <w:rPr>
            <w:noProof/>
            <w:webHidden/>
          </w:rPr>
          <w:t>8</w:t>
        </w:r>
        <w:r w:rsidR="00B87259">
          <w:rPr>
            <w:noProof/>
            <w:webHidden/>
          </w:rPr>
          <w:fldChar w:fldCharType="end"/>
        </w:r>
      </w:hyperlink>
    </w:p>
    <w:p w14:paraId="0CEA23F9" w14:textId="4326ABB9"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887" w:history="1">
        <w:r w:rsidR="00B87259" w:rsidRPr="003E2BAF">
          <w:rPr>
            <w:rStyle w:val="Lienhypertexte"/>
            <w:noProof/>
          </w:rPr>
          <w:t>Table SI. 3 – Reuse of residual biomass within food system: EU legislative background</w:t>
        </w:r>
        <w:r w:rsidR="00B87259">
          <w:rPr>
            <w:noProof/>
            <w:webHidden/>
          </w:rPr>
          <w:tab/>
        </w:r>
        <w:r w:rsidR="00B87259">
          <w:rPr>
            <w:noProof/>
            <w:webHidden/>
          </w:rPr>
          <w:fldChar w:fldCharType="begin"/>
        </w:r>
        <w:r w:rsidR="00B87259">
          <w:rPr>
            <w:noProof/>
            <w:webHidden/>
          </w:rPr>
          <w:instrText xml:space="preserve"> PAGEREF _Toc151967887 \h </w:instrText>
        </w:r>
        <w:r w:rsidR="00B87259">
          <w:rPr>
            <w:noProof/>
            <w:webHidden/>
          </w:rPr>
        </w:r>
        <w:r w:rsidR="00B87259">
          <w:rPr>
            <w:noProof/>
            <w:webHidden/>
          </w:rPr>
          <w:fldChar w:fldCharType="separate"/>
        </w:r>
        <w:r w:rsidR="00A01585">
          <w:rPr>
            <w:noProof/>
            <w:webHidden/>
          </w:rPr>
          <w:t>10</w:t>
        </w:r>
        <w:r w:rsidR="00B87259">
          <w:rPr>
            <w:noProof/>
            <w:webHidden/>
          </w:rPr>
          <w:fldChar w:fldCharType="end"/>
        </w:r>
      </w:hyperlink>
    </w:p>
    <w:p w14:paraId="0D72C9EC" w14:textId="232C9738"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888" w:history="1">
        <w:r w:rsidR="00B87259" w:rsidRPr="003E2BAF">
          <w:rPr>
            <w:rStyle w:val="Lienhypertexte"/>
            <w:noProof/>
          </w:rPr>
          <w:t>Table SI. 4 – Residual biomass legislative status: an EU overview</w:t>
        </w:r>
        <w:r w:rsidR="00B87259">
          <w:rPr>
            <w:noProof/>
            <w:webHidden/>
          </w:rPr>
          <w:tab/>
        </w:r>
        <w:r w:rsidR="00B87259">
          <w:rPr>
            <w:noProof/>
            <w:webHidden/>
          </w:rPr>
          <w:fldChar w:fldCharType="begin"/>
        </w:r>
        <w:r w:rsidR="00B87259">
          <w:rPr>
            <w:noProof/>
            <w:webHidden/>
          </w:rPr>
          <w:instrText xml:space="preserve"> PAGEREF _Toc151967888 \h </w:instrText>
        </w:r>
        <w:r w:rsidR="00B87259">
          <w:rPr>
            <w:noProof/>
            <w:webHidden/>
          </w:rPr>
        </w:r>
        <w:r w:rsidR="00B87259">
          <w:rPr>
            <w:noProof/>
            <w:webHidden/>
          </w:rPr>
          <w:fldChar w:fldCharType="separate"/>
        </w:r>
        <w:r w:rsidR="00A01585">
          <w:rPr>
            <w:noProof/>
            <w:webHidden/>
          </w:rPr>
          <w:t>11</w:t>
        </w:r>
        <w:r w:rsidR="00B87259">
          <w:rPr>
            <w:noProof/>
            <w:webHidden/>
          </w:rPr>
          <w:fldChar w:fldCharType="end"/>
        </w:r>
      </w:hyperlink>
    </w:p>
    <w:p w14:paraId="07B91AA2" w14:textId="62CDD753"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889" w:history="1">
        <w:r w:rsidR="00B87259" w:rsidRPr="003E2BAF">
          <w:rPr>
            <w:rStyle w:val="Lienhypertexte"/>
            <w:noProof/>
          </w:rPr>
          <w:t>Table SI. 5 – Estimation of process operation’s risk mitigation potential for waste-to-nutrition pathways</w:t>
        </w:r>
        <w:r w:rsidR="00B87259">
          <w:rPr>
            <w:noProof/>
            <w:webHidden/>
          </w:rPr>
          <w:tab/>
        </w:r>
        <w:r w:rsidR="00B87259">
          <w:rPr>
            <w:noProof/>
            <w:webHidden/>
          </w:rPr>
          <w:fldChar w:fldCharType="begin"/>
        </w:r>
        <w:r w:rsidR="00B87259">
          <w:rPr>
            <w:noProof/>
            <w:webHidden/>
          </w:rPr>
          <w:instrText xml:space="preserve"> PAGEREF _Toc151967889 \h </w:instrText>
        </w:r>
        <w:r w:rsidR="00B87259">
          <w:rPr>
            <w:noProof/>
            <w:webHidden/>
          </w:rPr>
        </w:r>
        <w:r w:rsidR="00B87259">
          <w:rPr>
            <w:noProof/>
            <w:webHidden/>
          </w:rPr>
          <w:fldChar w:fldCharType="separate"/>
        </w:r>
        <w:r w:rsidR="00A01585">
          <w:rPr>
            <w:noProof/>
            <w:webHidden/>
          </w:rPr>
          <w:t>14</w:t>
        </w:r>
        <w:r w:rsidR="00B87259">
          <w:rPr>
            <w:noProof/>
            <w:webHidden/>
          </w:rPr>
          <w:fldChar w:fldCharType="end"/>
        </w:r>
      </w:hyperlink>
    </w:p>
    <w:p w14:paraId="633F7FA8" w14:textId="49F7C257"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890" w:history="1">
        <w:r w:rsidR="00B87259" w:rsidRPr="00B87259">
          <w:rPr>
            <w:rStyle w:val="Lienhypertexte"/>
            <w:noProof/>
          </w:rPr>
          <w:t>Table SI. 6 – Selection principles for waste-to-nutrition pathways</w:t>
        </w:r>
        <w:r w:rsidR="00B87259">
          <w:rPr>
            <w:noProof/>
            <w:webHidden/>
          </w:rPr>
          <w:tab/>
        </w:r>
        <w:r w:rsidR="00B87259">
          <w:rPr>
            <w:noProof/>
            <w:webHidden/>
          </w:rPr>
          <w:fldChar w:fldCharType="begin"/>
        </w:r>
        <w:r w:rsidR="00B87259">
          <w:rPr>
            <w:noProof/>
            <w:webHidden/>
          </w:rPr>
          <w:instrText xml:space="preserve"> PAGEREF _Toc151967890 \h </w:instrText>
        </w:r>
        <w:r w:rsidR="00B87259">
          <w:rPr>
            <w:noProof/>
            <w:webHidden/>
          </w:rPr>
        </w:r>
        <w:r w:rsidR="00B87259">
          <w:rPr>
            <w:noProof/>
            <w:webHidden/>
          </w:rPr>
          <w:fldChar w:fldCharType="separate"/>
        </w:r>
        <w:r w:rsidR="00A01585">
          <w:rPr>
            <w:noProof/>
            <w:webHidden/>
          </w:rPr>
          <w:t>15</w:t>
        </w:r>
        <w:r w:rsidR="00B87259">
          <w:rPr>
            <w:noProof/>
            <w:webHidden/>
          </w:rPr>
          <w:fldChar w:fldCharType="end"/>
        </w:r>
      </w:hyperlink>
    </w:p>
    <w:p w14:paraId="161142D3" w14:textId="30DC247F"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891" w:history="1">
        <w:r w:rsidR="00B87259" w:rsidRPr="003E2BAF">
          <w:rPr>
            <w:rStyle w:val="Lienhypertexte"/>
            <w:noProof/>
          </w:rPr>
          <w:t>Table SI. 7 – Data selection hierarchy for technology parameters</w:t>
        </w:r>
        <w:r w:rsidR="00B87259">
          <w:rPr>
            <w:noProof/>
            <w:webHidden/>
          </w:rPr>
          <w:tab/>
        </w:r>
        <w:r w:rsidR="00B87259">
          <w:rPr>
            <w:noProof/>
            <w:webHidden/>
          </w:rPr>
          <w:fldChar w:fldCharType="begin"/>
        </w:r>
        <w:r w:rsidR="00B87259">
          <w:rPr>
            <w:noProof/>
            <w:webHidden/>
          </w:rPr>
          <w:instrText xml:space="preserve"> PAGEREF _Toc151967891 \h </w:instrText>
        </w:r>
        <w:r w:rsidR="00B87259">
          <w:rPr>
            <w:noProof/>
            <w:webHidden/>
          </w:rPr>
        </w:r>
        <w:r w:rsidR="00B87259">
          <w:rPr>
            <w:noProof/>
            <w:webHidden/>
          </w:rPr>
          <w:fldChar w:fldCharType="separate"/>
        </w:r>
        <w:r w:rsidR="00A01585">
          <w:rPr>
            <w:noProof/>
            <w:webHidden/>
          </w:rPr>
          <w:t>19</w:t>
        </w:r>
        <w:r w:rsidR="00B87259">
          <w:rPr>
            <w:noProof/>
            <w:webHidden/>
          </w:rPr>
          <w:fldChar w:fldCharType="end"/>
        </w:r>
      </w:hyperlink>
    </w:p>
    <w:p w14:paraId="2F3D569F" w14:textId="22D3A6A7"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892" w:history="1">
        <w:r w:rsidR="00B87259" w:rsidRPr="003E2BAF">
          <w:rPr>
            <w:rStyle w:val="Lienhypertexte"/>
            <w:noProof/>
          </w:rPr>
          <w:t>Table SI. 8 – Modular life cycle inventories of 16 waste-to-nutrition options</w:t>
        </w:r>
        <w:r w:rsidR="00B87259">
          <w:rPr>
            <w:noProof/>
            <w:webHidden/>
          </w:rPr>
          <w:tab/>
        </w:r>
        <w:r w:rsidR="00B87259">
          <w:rPr>
            <w:noProof/>
            <w:webHidden/>
          </w:rPr>
          <w:fldChar w:fldCharType="begin"/>
        </w:r>
        <w:r w:rsidR="00B87259">
          <w:rPr>
            <w:noProof/>
            <w:webHidden/>
          </w:rPr>
          <w:instrText xml:space="preserve"> PAGEREF _Toc151967892 \h </w:instrText>
        </w:r>
        <w:r w:rsidR="00B87259">
          <w:rPr>
            <w:noProof/>
            <w:webHidden/>
          </w:rPr>
        </w:r>
        <w:r w:rsidR="00B87259">
          <w:rPr>
            <w:noProof/>
            <w:webHidden/>
          </w:rPr>
          <w:fldChar w:fldCharType="separate"/>
        </w:r>
        <w:r w:rsidR="00A01585">
          <w:rPr>
            <w:noProof/>
            <w:webHidden/>
          </w:rPr>
          <w:t>20</w:t>
        </w:r>
        <w:r w:rsidR="00B87259">
          <w:rPr>
            <w:noProof/>
            <w:webHidden/>
          </w:rPr>
          <w:fldChar w:fldCharType="end"/>
        </w:r>
      </w:hyperlink>
    </w:p>
    <w:p w14:paraId="5F30CD8E" w14:textId="2E29B046"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893" w:history="1">
        <w:r w:rsidR="00B87259" w:rsidRPr="003E2BAF">
          <w:rPr>
            <w:rStyle w:val="Lienhypertexte"/>
            <w:noProof/>
          </w:rPr>
          <w:t>Table SI. 9 – Calculation constants</w:t>
        </w:r>
        <w:r w:rsidR="00B87259">
          <w:rPr>
            <w:noProof/>
            <w:webHidden/>
          </w:rPr>
          <w:tab/>
        </w:r>
        <w:r w:rsidR="00B87259">
          <w:rPr>
            <w:noProof/>
            <w:webHidden/>
          </w:rPr>
          <w:fldChar w:fldCharType="begin"/>
        </w:r>
        <w:r w:rsidR="00B87259">
          <w:rPr>
            <w:noProof/>
            <w:webHidden/>
          </w:rPr>
          <w:instrText xml:space="preserve"> PAGEREF _Toc151967893 \h </w:instrText>
        </w:r>
        <w:r w:rsidR="00B87259">
          <w:rPr>
            <w:noProof/>
            <w:webHidden/>
          </w:rPr>
        </w:r>
        <w:r w:rsidR="00B87259">
          <w:rPr>
            <w:noProof/>
            <w:webHidden/>
          </w:rPr>
          <w:fldChar w:fldCharType="separate"/>
        </w:r>
        <w:r w:rsidR="00A01585">
          <w:rPr>
            <w:noProof/>
            <w:webHidden/>
          </w:rPr>
          <w:t>21</w:t>
        </w:r>
        <w:r w:rsidR="00B87259">
          <w:rPr>
            <w:noProof/>
            <w:webHidden/>
          </w:rPr>
          <w:fldChar w:fldCharType="end"/>
        </w:r>
      </w:hyperlink>
    </w:p>
    <w:p w14:paraId="6E4A9879" w14:textId="1F34B0B9"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894" w:history="1">
        <w:r w:rsidR="00B87259" w:rsidRPr="003E2BAF">
          <w:rPr>
            <w:rStyle w:val="Lienhypertexte"/>
            <w:noProof/>
          </w:rPr>
          <w:t>Table SI. 10 – Parameters specific to gas compression</w:t>
        </w:r>
        <w:r w:rsidR="00B87259">
          <w:rPr>
            <w:noProof/>
            <w:webHidden/>
          </w:rPr>
          <w:tab/>
        </w:r>
        <w:r w:rsidR="00B87259">
          <w:rPr>
            <w:noProof/>
            <w:webHidden/>
          </w:rPr>
          <w:fldChar w:fldCharType="begin"/>
        </w:r>
        <w:r w:rsidR="00B87259">
          <w:rPr>
            <w:noProof/>
            <w:webHidden/>
          </w:rPr>
          <w:instrText xml:space="preserve"> PAGEREF _Toc151967894 \h </w:instrText>
        </w:r>
        <w:r w:rsidR="00B87259">
          <w:rPr>
            <w:noProof/>
            <w:webHidden/>
          </w:rPr>
        </w:r>
        <w:r w:rsidR="00B87259">
          <w:rPr>
            <w:noProof/>
            <w:webHidden/>
          </w:rPr>
          <w:fldChar w:fldCharType="separate"/>
        </w:r>
        <w:r w:rsidR="00A01585">
          <w:rPr>
            <w:noProof/>
            <w:webHidden/>
          </w:rPr>
          <w:t>21</w:t>
        </w:r>
        <w:r w:rsidR="00B87259">
          <w:rPr>
            <w:noProof/>
            <w:webHidden/>
          </w:rPr>
          <w:fldChar w:fldCharType="end"/>
        </w:r>
      </w:hyperlink>
    </w:p>
    <w:p w14:paraId="3EC85CA2" w14:textId="1639649B"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895" w:history="1">
        <w:r w:rsidR="00B87259" w:rsidRPr="003E2BAF">
          <w:rPr>
            <w:rStyle w:val="Lienhypertexte"/>
            <w:noProof/>
          </w:rPr>
          <w:t>Table SI. 11 – Parameters specific to HT WHR</w:t>
        </w:r>
        <w:r w:rsidR="00B87259">
          <w:rPr>
            <w:noProof/>
            <w:webHidden/>
          </w:rPr>
          <w:tab/>
        </w:r>
        <w:r w:rsidR="00B87259">
          <w:rPr>
            <w:noProof/>
            <w:webHidden/>
          </w:rPr>
          <w:fldChar w:fldCharType="begin"/>
        </w:r>
        <w:r w:rsidR="00B87259">
          <w:rPr>
            <w:noProof/>
            <w:webHidden/>
          </w:rPr>
          <w:instrText xml:space="preserve"> PAGEREF _Toc151967895 \h </w:instrText>
        </w:r>
        <w:r w:rsidR="00B87259">
          <w:rPr>
            <w:noProof/>
            <w:webHidden/>
          </w:rPr>
        </w:r>
        <w:r w:rsidR="00B87259">
          <w:rPr>
            <w:noProof/>
            <w:webHidden/>
          </w:rPr>
          <w:fldChar w:fldCharType="separate"/>
        </w:r>
        <w:r w:rsidR="00A01585">
          <w:rPr>
            <w:noProof/>
            <w:webHidden/>
          </w:rPr>
          <w:t>24</w:t>
        </w:r>
        <w:r w:rsidR="00B87259">
          <w:rPr>
            <w:noProof/>
            <w:webHidden/>
          </w:rPr>
          <w:fldChar w:fldCharType="end"/>
        </w:r>
      </w:hyperlink>
    </w:p>
    <w:p w14:paraId="2796844D" w14:textId="7F498035"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896" w:history="1">
        <w:r w:rsidR="00B87259" w:rsidRPr="003E2BAF">
          <w:rPr>
            <w:rStyle w:val="Lienhypertexte"/>
            <w:noProof/>
          </w:rPr>
          <w:t>Table SI. 12 – Parameters specific to LT WHR</w:t>
        </w:r>
        <w:r w:rsidR="00B87259">
          <w:rPr>
            <w:noProof/>
            <w:webHidden/>
          </w:rPr>
          <w:tab/>
        </w:r>
        <w:r w:rsidR="00B87259">
          <w:rPr>
            <w:noProof/>
            <w:webHidden/>
          </w:rPr>
          <w:fldChar w:fldCharType="begin"/>
        </w:r>
        <w:r w:rsidR="00B87259">
          <w:rPr>
            <w:noProof/>
            <w:webHidden/>
          </w:rPr>
          <w:instrText xml:space="preserve"> PAGEREF _Toc151967896 \h </w:instrText>
        </w:r>
        <w:r w:rsidR="00B87259">
          <w:rPr>
            <w:noProof/>
            <w:webHidden/>
          </w:rPr>
        </w:r>
        <w:r w:rsidR="00B87259">
          <w:rPr>
            <w:noProof/>
            <w:webHidden/>
          </w:rPr>
          <w:fldChar w:fldCharType="separate"/>
        </w:r>
        <w:r w:rsidR="00A01585">
          <w:rPr>
            <w:noProof/>
            <w:webHidden/>
          </w:rPr>
          <w:t>25</w:t>
        </w:r>
        <w:r w:rsidR="00B87259">
          <w:rPr>
            <w:noProof/>
            <w:webHidden/>
          </w:rPr>
          <w:fldChar w:fldCharType="end"/>
        </w:r>
      </w:hyperlink>
    </w:p>
    <w:p w14:paraId="545E4275" w14:textId="143C8326"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897" w:history="1">
        <w:r w:rsidR="00B87259" w:rsidRPr="003E2BAF">
          <w:rPr>
            <w:rStyle w:val="Lienhypertexte"/>
            <w:noProof/>
          </w:rPr>
          <w:t>Table SI. 13 – Parameters specific to gaseous co-products energy valorization</w:t>
        </w:r>
        <w:r w:rsidR="00B87259">
          <w:rPr>
            <w:noProof/>
            <w:webHidden/>
          </w:rPr>
          <w:tab/>
        </w:r>
        <w:r w:rsidR="00B87259">
          <w:rPr>
            <w:noProof/>
            <w:webHidden/>
          </w:rPr>
          <w:fldChar w:fldCharType="begin"/>
        </w:r>
        <w:r w:rsidR="00B87259">
          <w:rPr>
            <w:noProof/>
            <w:webHidden/>
          </w:rPr>
          <w:instrText xml:space="preserve"> PAGEREF _Toc151967897 \h </w:instrText>
        </w:r>
        <w:r w:rsidR="00B87259">
          <w:rPr>
            <w:noProof/>
            <w:webHidden/>
          </w:rPr>
        </w:r>
        <w:r w:rsidR="00B87259">
          <w:rPr>
            <w:noProof/>
            <w:webHidden/>
          </w:rPr>
          <w:fldChar w:fldCharType="separate"/>
        </w:r>
        <w:r w:rsidR="00A01585">
          <w:rPr>
            <w:noProof/>
            <w:webHidden/>
          </w:rPr>
          <w:t>25</w:t>
        </w:r>
        <w:r w:rsidR="00B87259">
          <w:rPr>
            <w:noProof/>
            <w:webHidden/>
          </w:rPr>
          <w:fldChar w:fldCharType="end"/>
        </w:r>
      </w:hyperlink>
    </w:p>
    <w:p w14:paraId="3F285D18" w14:textId="27804730"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898" w:history="1">
        <w:r w:rsidR="00B87259" w:rsidRPr="003E2BAF">
          <w:rPr>
            <w:rStyle w:val="Lienhypertexte"/>
            <w:noProof/>
          </w:rPr>
          <w:t>Table SI. 14 – Background processes used specifically for gaseous co-products energy valorization</w:t>
        </w:r>
        <w:r w:rsidR="00B87259">
          <w:rPr>
            <w:noProof/>
            <w:webHidden/>
          </w:rPr>
          <w:tab/>
        </w:r>
        <w:r w:rsidR="00B87259">
          <w:rPr>
            <w:noProof/>
            <w:webHidden/>
          </w:rPr>
          <w:fldChar w:fldCharType="begin"/>
        </w:r>
        <w:r w:rsidR="00B87259">
          <w:rPr>
            <w:noProof/>
            <w:webHidden/>
          </w:rPr>
          <w:instrText xml:space="preserve"> PAGEREF _Toc151967898 \h </w:instrText>
        </w:r>
        <w:r w:rsidR="00B87259">
          <w:rPr>
            <w:noProof/>
            <w:webHidden/>
          </w:rPr>
        </w:r>
        <w:r w:rsidR="00B87259">
          <w:rPr>
            <w:noProof/>
            <w:webHidden/>
          </w:rPr>
          <w:fldChar w:fldCharType="separate"/>
        </w:r>
        <w:r w:rsidR="00A01585">
          <w:rPr>
            <w:noProof/>
            <w:webHidden/>
          </w:rPr>
          <w:t>26</w:t>
        </w:r>
        <w:r w:rsidR="00B87259">
          <w:rPr>
            <w:noProof/>
            <w:webHidden/>
          </w:rPr>
          <w:fldChar w:fldCharType="end"/>
        </w:r>
      </w:hyperlink>
    </w:p>
    <w:p w14:paraId="0A882C5A" w14:textId="3A085664"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899" w:history="1">
        <w:r w:rsidR="00B87259" w:rsidRPr="003E2BAF">
          <w:rPr>
            <w:rStyle w:val="Lienhypertexte"/>
            <w:noProof/>
          </w:rPr>
          <w:t>Table SI. 15 – Supply chain distances considered for waste-to-nutrition pathways</w:t>
        </w:r>
        <w:r w:rsidR="00B87259">
          <w:rPr>
            <w:noProof/>
            <w:webHidden/>
          </w:rPr>
          <w:tab/>
        </w:r>
        <w:r w:rsidR="00B87259">
          <w:rPr>
            <w:noProof/>
            <w:webHidden/>
          </w:rPr>
          <w:fldChar w:fldCharType="begin"/>
        </w:r>
        <w:r w:rsidR="00B87259">
          <w:rPr>
            <w:noProof/>
            <w:webHidden/>
          </w:rPr>
          <w:instrText xml:space="preserve"> PAGEREF _Toc151967899 \h </w:instrText>
        </w:r>
        <w:r w:rsidR="00B87259">
          <w:rPr>
            <w:noProof/>
            <w:webHidden/>
          </w:rPr>
        </w:r>
        <w:r w:rsidR="00B87259">
          <w:rPr>
            <w:noProof/>
            <w:webHidden/>
          </w:rPr>
          <w:fldChar w:fldCharType="separate"/>
        </w:r>
        <w:r w:rsidR="00A01585">
          <w:rPr>
            <w:noProof/>
            <w:webHidden/>
          </w:rPr>
          <w:t>26</w:t>
        </w:r>
        <w:r w:rsidR="00B87259">
          <w:rPr>
            <w:noProof/>
            <w:webHidden/>
          </w:rPr>
          <w:fldChar w:fldCharType="end"/>
        </w:r>
      </w:hyperlink>
    </w:p>
    <w:p w14:paraId="251A28E0" w14:textId="5A8C5F6F"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00" w:history="1">
        <w:r w:rsidR="00B87259" w:rsidRPr="003E2BAF">
          <w:rPr>
            <w:rStyle w:val="Lienhypertexte"/>
            <w:noProof/>
          </w:rPr>
          <w:t>Table SI. 16 – Parameters specific to transportation distances</w:t>
        </w:r>
        <w:r w:rsidR="00B87259">
          <w:rPr>
            <w:noProof/>
            <w:webHidden/>
          </w:rPr>
          <w:tab/>
        </w:r>
        <w:r w:rsidR="00B87259">
          <w:rPr>
            <w:noProof/>
            <w:webHidden/>
          </w:rPr>
          <w:fldChar w:fldCharType="begin"/>
        </w:r>
        <w:r w:rsidR="00B87259">
          <w:rPr>
            <w:noProof/>
            <w:webHidden/>
          </w:rPr>
          <w:instrText xml:space="preserve"> PAGEREF _Toc151967900 \h </w:instrText>
        </w:r>
        <w:r w:rsidR="00B87259">
          <w:rPr>
            <w:noProof/>
            <w:webHidden/>
          </w:rPr>
        </w:r>
        <w:r w:rsidR="00B87259">
          <w:rPr>
            <w:noProof/>
            <w:webHidden/>
          </w:rPr>
          <w:fldChar w:fldCharType="separate"/>
        </w:r>
        <w:r w:rsidR="00A01585">
          <w:rPr>
            <w:noProof/>
            <w:webHidden/>
          </w:rPr>
          <w:t>27</w:t>
        </w:r>
        <w:r w:rsidR="00B87259">
          <w:rPr>
            <w:noProof/>
            <w:webHidden/>
          </w:rPr>
          <w:fldChar w:fldCharType="end"/>
        </w:r>
      </w:hyperlink>
    </w:p>
    <w:p w14:paraId="779EEB58" w14:textId="15373836"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01" w:history="1">
        <w:r w:rsidR="00B87259" w:rsidRPr="003E2BAF">
          <w:rPr>
            <w:rStyle w:val="Lienhypertexte"/>
            <w:noProof/>
          </w:rPr>
          <w:t>Table SI. 17 – Background processes used specifically for transportation inventory</w:t>
        </w:r>
        <w:r w:rsidR="00B87259">
          <w:rPr>
            <w:noProof/>
            <w:webHidden/>
          </w:rPr>
          <w:tab/>
        </w:r>
        <w:r w:rsidR="00B87259">
          <w:rPr>
            <w:noProof/>
            <w:webHidden/>
          </w:rPr>
          <w:fldChar w:fldCharType="begin"/>
        </w:r>
        <w:r w:rsidR="00B87259">
          <w:rPr>
            <w:noProof/>
            <w:webHidden/>
          </w:rPr>
          <w:instrText xml:space="preserve"> PAGEREF _Toc151967901 \h </w:instrText>
        </w:r>
        <w:r w:rsidR="00B87259">
          <w:rPr>
            <w:noProof/>
            <w:webHidden/>
          </w:rPr>
        </w:r>
        <w:r w:rsidR="00B87259">
          <w:rPr>
            <w:noProof/>
            <w:webHidden/>
          </w:rPr>
          <w:fldChar w:fldCharType="separate"/>
        </w:r>
        <w:r w:rsidR="00A01585">
          <w:rPr>
            <w:noProof/>
            <w:webHidden/>
          </w:rPr>
          <w:t>27</w:t>
        </w:r>
        <w:r w:rsidR="00B87259">
          <w:rPr>
            <w:noProof/>
            <w:webHidden/>
          </w:rPr>
          <w:fldChar w:fldCharType="end"/>
        </w:r>
      </w:hyperlink>
    </w:p>
    <w:p w14:paraId="26B7843C" w14:textId="27585E4B"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02" w:history="1">
        <w:r w:rsidR="00B87259" w:rsidRPr="003E2BAF">
          <w:rPr>
            <w:rStyle w:val="Lienhypertexte"/>
            <w:noProof/>
          </w:rPr>
          <w:t>Table SI. 18 – Estimation of the chemical oxygen demand</w:t>
        </w:r>
        <w:r w:rsidR="00B87259">
          <w:rPr>
            <w:noProof/>
            <w:webHidden/>
          </w:rPr>
          <w:tab/>
        </w:r>
        <w:r w:rsidR="00B87259">
          <w:rPr>
            <w:noProof/>
            <w:webHidden/>
          </w:rPr>
          <w:fldChar w:fldCharType="begin"/>
        </w:r>
        <w:r w:rsidR="00B87259">
          <w:rPr>
            <w:noProof/>
            <w:webHidden/>
          </w:rPr>
          <w:instrText xml:space="preserve"> PAGEREF _Toc151967902 \h </w:instrText>
        </w:r>
        <w:r w:rsidR="00B87259">
          <w:rPr>
            <w:noProof/>
            <w:webHidden/>
          </w:rPr>
        </w:r>
        <w:r w:rsidR="00B87259">
          <w:rPr>
            <w:noProof/>
            <w:webHidden/>
          </w:rPr>
          <w:fldChar w:fldCharType="separate"/>
        </w:r>
        <w:r w:rsidR="00A01585">
          <w:rPr>
            <w:noProof/>
            <w:webHidden/>
          </w:rPr>
          <w:t>27</w:t>
        </w:r>
        <w:r w:rsidR="00B87259">
          <w:rPr>
            <w:noProof/>
            <w:webHidden/>
          </w:rPr>
          <w:fldChar w:fldCharType="end"/>
        </w:r>
      </w:hyperlink>
    </w:p>
    <w:p w14:paraId="6958AF9C" w14:textId="25430255"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03" w:history="1">
        <w:r w:rsidR="00B87259" w:rsidRPr="003E2BAF">
          <w:rPr>
            <w:rStyle w:val="Lienhypertexte"/>
            <w:noProof/>
          </w:rPr>
          <w:t>Table SI. 19 – Marginal concentrated feed suppliers mix identification, per nutritional service</w:t>
        </w:r>
        <w:r w:rsidR="00B87259">
          <w:rPr>
            <w:noProof/>
            <w:webHidden/>
          </w:rPr>
          <w:tab/>
        </w:r>
        <w:r w:rsidR="00B87259">
          <w:rPr>
            <w:noProof/>
            <w:webHidden/>
          </w:rPr>
          <w:fldChar w:fldCharType="begin"/>
        </w:r>
        <w:r w:rsidR="00B87259">
          <w:rPr>
            <w:noProof/>
            <w:webHidden/>
          </w:rPr>
          <w:instrText xml:space="preserve"> PAGEREF _Toc151967903 \h </w:instrText>
        </w:r>
        <w:r w:rsidR="00B87259">
          <w:rPr>
            <w:noProof/>
            <w:webHidden/>
          </w:rPr>
        </w:r>
        <w:r w:rsidR="00B87259">
          <w:rPr>
            <w:noProof/>
            <w:webHidden/>
          </w:rPr>
          <w:fldChar w:fldCharType="separate"/>
        </w:r>
        <w:r w:rsidR="00A01585">
          <w:rPr>
            <w:noProof/>
            <w:webHidden/>
          </w:rPr>
          <w:t>29</w:t>
        </w:r>
        <w:r w:rsidR="00B87259">
          <w:rPr>
            <w:noProof/>
            <w:webHidden/>
          </w:rPr>
          <w:fldChar w:fldCharType="end"/>
        </w:r>
      </w:hyperlink>
    </w:p>
    <w:p w14:paraId="0A55EE42" w14:textId="2304B63C"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04" w:history="1">
        <w:r w:rsidR="00B87259" w:rsidRPr="003E2BAF">
          <w:rPr>
            <w:rStyle w:val="Lienhypertexte"/>
            <w:noProof/>
          </w:rPr>
          <w:t>Table SI. 20 – Marginal roughage feed suppliers mix</w:t>
        </w:r>
        <w:r w:rsidR="00B87259">
          <w:rPr>
            <w:noProof/>
            <w:webHidden/>
          </w:rPr>
          <w:tab/>
        </w:r>
        <w:r w:rsidR="00B87259">
          <w:rPr>
            <w:noProof/>
            <w:webHidden/>
          </w:rPr>
          <w:fldChar w:fldCharType="begin"/>
        </w:r>
        <w:r w:rsidR="00B87259">
          <w:rPr>
            <w:noProof/>
            <w:webHidden/>
          </w:rPr>
          <w:instrText xml:space="preserve"> PAGEREF _Toc151967904 \h </w:instrText>
        </w:r>
        <w:r w:rsidR="00B87259">
          <w:rPr>
            <w:noProof/>
            <w:webHidden/>
          </w:rPr>
        </w:r>
        <w:r w:rsidR="00B87259">
          <w:rPr>
            <w:noProof/>
            <w:webHidden/>
          </w:rPr>
          <w:fldChar w:fldCharType="separate"/>
        </w:r>
        <w:r w:rsidR="00A01585">
          <w:rPr>
            <w:noProof/>
            <w:webHidden/>
          </w:rPr>
          <w:t>30</w:t>
        </w:r>
        <w:r w:rsidR="00B87259">
          <w:rPr>
            <w:noProof/>
            <w:webHidden/>
          </w:rPr>
          <w:fldChar w:fldCharType="end"/>
        </w:r>
      </w:hyperlink>
    </w:p>
    <w:p w14:paraId="1DA213C0" w14:textId="12592C07"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05" w:history="1">
        <w:r w:rsidR="00B87259" w:rsidRPr="003E2BAF">
          <w:rPr>
            <w:rStyle w:val="Lienhypertexte"/>
            <w:noProof/>
          </w:rPr>
          <w:t>Table SI. 21 – Nutritional value of marginal feed ingredients</w:t>
        </w:r>
        <w:r w:rsidR="00B87259">
          <w:rPr>
            <w:noProof/>
            <w:webHidden/>
          </w:rPr>
          <w:tab/>
        </w:r>
        <w:r w:rsidR="00B87259">
          <w:rPr>
            <w:noProof/>
            <w:webHidden/>
          </w:rPr>
          <w:fldChar w:fldCharType="begin"/>
        </w:r>
        <w:r w:rsidR="00B87259">
          <w:rPr>
            <w:noProof/>
            <w:webHidden/>
          </w:rPr>
          <w:instrText xml:space="preserve"> PAGEREF _Toc151967905 \h </w:instrText>
        </w:r>
        <w:r w:rsidR="00B87259">
          <w:rPr>
            <w:noProof/>
            <w:webHidden/>
          </w:rPr>
        </w:r>
        <w:r w:rsidR="00B87259">
          <w:rPr>
            <w:noProof/>
            <w:webHidden/>
          </w:rPr>
          <w:fldChar w:fldCharType="separate"/>
        </w:r>
        <w:r w:rsidR="00A01585">
          <w:rPr>
            <w:noProof/>
            <w:webHidden/>
          </w:rPr>
          <w:t>30</w:t>
        </w:r>
        <w:r w:rsidR="00B87259">
          <w:rPr>
            <w:noProof/>
            <w:webHidden/>
          </w:rPr>
          <w:fldChar w:fldCharType="end"/>
        </w:r>
      </w:hyperlink>
    </w:p>
    <w:p w14:paraId="6DDC61F2" w14:textId="4F642A96"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06" w:history="1">
        <w:r w:rsidR="00B87259" w:rsidRPr="003E2BAF">
          <w:rPr>
            <w:rStyle w:val="Lienhypertexte"/>
            <w:noProof/>
          </w:rPr>
          <w:t>Table SI. 22 – Parameters specific to food services</w:t>
        </w:r>
        <w:r w:rsidR="00B87259">
          <w:rPr>
            <w:noProof/>
            <w:webHidden/>
          </w:rPr>
          <w:tab/>
        </w:r>
        <w:r w:rsidR="00B87259">
          <w:rPr>
            <w:noProof/>
            <w:webHidden/>
          </w:rPr>
          <w:fldChar w:fldCharType="begin"/>
        </w:r>
        <w:r w:rsidR="00B87259">
          <w:rPr>
            <w:noProof/>
            <w:webHidden/>
          </w:rPr>
          <w:instrText xml:space="preserve"> PAGEREF _Toc151967906 \h </w:instrText>
        </w:r>
        <w:r w:rsidR="00B87259">
          <w:rPr>
            <w:noProof/>
            <w:webHidden/>
          </w:rPr>
        </w:r>
        <w:r w:rsidR="00B87259">
          <w:rPr>
            <w:noProof/>
            <w:webHidden/>
          </w:rPr>
          <w:fldChar w:fldCharType="separate"/>
        </w:r>
        <w:r w:rsidR="00A01585">
          <w:rPr>
            <w:noProof/>
            <w:webHidden/>
          </w:rPr>
          <w:t>31</w:t>
        </w:r>
        <w:r w:rsidR="00B87259">
          <w:rPr>
            <w:noProof/>
            <w:webHidden/>
          </w:rPr>
          <w:fldChar w:fldCharType="end"/>
        </w:r>
      </w:hyperlink>
    </w:p>
    <w:p w14:paraId="3AA67FC5" w14:textId="3FFA0CB4"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07" w:history="1">
        <w:r w:rsidR="00B87259" w:rsidRPr="003E2BAF">
          <w:rPr>
            <w:rStyle w:val="Lienhypertexte"/>
            <w:noProof/>
          </w:rPr>
          <w:t>Table SI. 23 – Estimation of process operation’s risk mitigation potential for co-products.</w:t>
        </w:r>
        <w:r w:rsidR="00B87259">
          <w:rPr>
            <w:noProof/>
            <w:webHidden/>
          </w:rPr>
          <w:tab/>
        </w:r>
        <w:r w:rsidR="00B87259">
          <w:rPr>
            <w:noProof/>
            <w:webHidden/>
          </w:rPr>
          <w:fldChar w:fldCharType="begin"/>
        </w:r>
        <w:r w:rsidR="00B87259">
          <w:rPr>
            <w:noProof/>
            <w:webHidden/>
          </w:rPr>
          <w:instrText xml:space="preserve"> PAGEREF _Toc151967907 \h </w:instrText>
        </w:r>
        <w:r w:rsidR="00B87259">
          <w:rPr>
            <w:noProof/>
            <w:webHidden/>
          </w:rPr>
        </w:r>
        <w:r w:rsidR="00B87259">
          <w:rPr>
            <w:noProof/>
            <w:webHidden/>
          </w:rPr>
          <w:fldChar w:fldCharType="separate"/>
        </w:r>
        <w:r w:rsidR="00A01585">
          <w:rPr>
            <w:noProof/>
            <w:webHidden/>
          </w:rPr>
          <w:t>31</w:t>
        </w:r>
        <w:r w:rsidR="00B87259">
          <w:rPr>
            <w:noProof/>
            <w:webHidden/>
          </w:rPr>
          <w:fldChar w:fldCharType="end"/>
        </w:r>
      </w:hyperlink>
    </w:p>
    <w:p w14:paraId="20806FFA" w14:textId="03289D75"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08" w:history="1">
        <w:r w:rsidR="00B87259" w:rsidRPr="003E2BAF">
          <w:rPr>
            <w:rStyle w:val="Lienhypertexte"/>
            <w:noProof/>
          </w:rPr>
          <w:t>Table SI. 24 – Parameters specific to CF pathways</w:t>
        </w:r>
        <w:r w:rsidR="00B87259">
          <w:rPr>
            <w:noProof/>
            <w:webHidden/>
          </w:rPr>
          <w:tab/>
        </w:r>
        <w:r w:rsidR="00B87259">
          <w:rPr>
            <w:noProof/>
            <w:webHidden/>
          </w:rPr>
          <w:fldChar w:fldCharType="begin"/>
        </w:r>
        <w:r w:rsidR="00B87259">
          <w:rPr>
            <w:noProof/>
            <w:webHidden/>
          </w:rPr>
          <w:instrText xml:space="preserve"> PAGEREF _Toc151967908 \h </w:instrText>
        </w:r>
        <w:r w:rsidR="00B87259">
          <w:rPr>
            <w:noProof/>
            <w:webHidden/>
          </w:rPr>
        </w:r>
        <w:r w:rsidR="00B87259">
          <w:rPr>
            <w:noProof/>
            <w:webHidden/>
          </w:rPr>
          <w:fldChar w:fldCharType="separate"/>
        </w:r>
        <w:r w:rsidR="00A01585">
          <w:rPr>
            <w:noProof/>
            <w:webHidden/>
          </w:rPr>
          <w:t>32</w:t>
        </w:r>
        <w:r w:rsidR="00B87259">
          <w:rPr>
            <w:noProof/>
            <w:webHidden/>
          </w:rPr>
          <w:fldChar w:fldCharType="end"/>
        </w:r>
      </w:hyperlink>
    </w:p>
    <w:p w14:paraId="7A548144" w14:textId="0F080396"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09" w:history="1">
        <w:r w:rsidR="00B87259" w:rsidRPr="003E2BAF">
          <w:rPr>
            <w:rStyle w:val="Lienhypertexte"/>
            <w:noProof/>
          </w:rPr>
          <w:t>Table SI. 25 – Background processes used specifically for CF pathways</w:t>
        </w:r>
        <w:r w:rsidR="00B87259">
          <w:rPr>
            <w:noProof/>
            <w:webHidden/>
          </w:rPr>
          <w:tab/>
        </w:r>
        <w:r w:rsidR="00B87259">
          <w:rPr>
            <w:noProof/>
            <w:webHidden/>
          </w:rPr>
          <w:fldChar w:fldCharType="begin"/>
        </w:r>
        <w:r w:rsidR="00B87259">
          <w:rPr>
            <w:noProof/>
            <w:webHidden/>
          </w:rPr>
          <w:instrText xml:space="preserve"> PAGEREF _Toc151967909 \h </w:instrText>
        </w:r>
        <w:r w:rsidR="00B87259">
          <w:rPr>
            <w:noProof/>
            <w:webHidden/>
          </w:rPr>
        </w:r>
        <w:r w:rsidR="00B87259">
          <w:rPr>
            <w:noProof/>
            <w:webHidden/>
          </w:rPr>
          <w:fldChar w:fldCharType="separate"/>
        </w:r>
        <w:r w:rsidR="00A01585">
          <w:rPr>
            <w:noProof/>
            <w:webHidden/>
          </w:rPr>
          <w:t>32</w:t>
        </w:r>
        <w:r w:rsidR="00B87259">
          <w:rPr>
            <w:noProof/>
            <w:webHidden/>
          </w:rPr>
          <w:fldChar w:fldCharType="end"/>
        </w:r>
      </w:hyperlink>
    </w:p>
    <w:p w14:paraId="16EFF76E" w14:textId="5BCA7FFA"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10" w:history="1">
        <w:r w:rsidR="00B87259" w:rsidRPr="003E2BAF">
          <w:rPr>
            <w:rStyle w:val="Lienhypertexte"/>
            <w:noProof/>
          </w:rPr>
          <w:t>Table SI. 26 – Parameters specific to SSF pathways</w:t>
        </w:r>
        <w:r w:rsidR="00B87259">
          <w:rPr>
            <w:noProof/>
            <w:webHidden/>
          </w:rPr>
          <w:tab/>
        </w:r>
        <w:r w:rsidR="00B87259">
          <w:rPr>
            <w:noProof/>
            <w:webHidden/>
          </w:rPr>
          <w:fldChar w:fldCharType="begin"/>
        </w:r>
        <w:r w:rsidR="00B87259">
          <w:rPr>
            <w:noProof/>
            <w:webHidden/>
          </w:rPr>
          <w:instrText xml:space="preserve"> PAGEREF _Toc151967910 \h </w:instrText>
        </w:r>
        <w:r w:rsidR="00B87259">
          <w:rPr>
            <w:noProof/>
            <w:webHidden/>
          </w:rPr>
        </w:r>
        <w:r w:rsidR="00B87259">
          <w:rPr>
            <w:noProof/>
            <w:webHidden/>
          </w:rPr>
          <w:fldChar w:fldCharType="separate"/>
        </w:r>
        <w:r w:rsidR="00A01585">
          <w:rPr>
            <w:noProof/>
            <w:webHidden/>
          </w:rPr>
          <w:t>33</w:t>
        </w:r>
        <w:r w:rsidR="00B87259">
          <w:rPr>
            <w:noProof/>
            <w:webHidden/>
          </w:rPr>
          <w:fldChar w:fldCharType="end"/>
        </w:r>
      </w:hyperlink>
    </w:p>
    <w:p w14:paraId="0EF3F5D4" w14:textId="34851A7D"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11" w:history="1">
        <w:r w:rsidR="00B87259" w:rsidRPr="003E2BAF">
          <w:rPr>
            <w:rStyle w:val="Lienhypertexte"/>
            <w:noProof/>
          </w:rPr>
          <w:t>Table SI. 27 – Background processes used specifically for SSF pathways</w:t>
        </w:r>
        <w:r w:rsidR="00B87259">
          <w:rPr>
            <w:noProof/>
            <w:webHidden/>
          </w:rPr>
          <w:tab/>
        </w:r>
        <w:r w:rsidR="00B87259">
          <w:rPr>
            <w:noProof/>
            <w:webHidden/>
          </w:rPr>
          <w:fldChar w:fldCharType="begin"/>
        </w:r>
        <w:r w:rsidR="00B87259">
          <w:rPr>
            <w:noProof/>
            <w:webHidden/>
          </w:rPr>
          <w:instrText xml:space="preserve"> PAGEREF _Toc151967911 \h </w:instrText>
        </w:r>
        <w:r w:rsidR="00B87259">
          <w:rPr>
            <w:noProof/>
            <w:webHidden/>
          </w:rPr>
        </w:r>
        <w:r w:rsidR="00B87259">
          <w:rPr>
            <w:noProof/>
            <w:webHidden/>
          </w:rPr>
          <w:fldChar w:fldCharType="separate"/>
        </w:r>
        <w:r w:rsidR="00A01585">
          <w:rPr>
            <w:noProof/>
            <w:webHidden/>
          </w:rPr>
          <w:t>33</w:t>
        </w:r>
        <w:r w:rsidR="00B87259">
          <w:rPr>
            <w:noProof/>
            <w:webHidden/>
          </w:rPr>
          <w:fldChar w:fldCharType="end"/>
        </w:r>
      </w:hyperlink>
    </w:p>
    <w:p w14:paraId="402A88B4" w14:textId="5ED51A08"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12" w:history="1">
        <w:r w:rsidR="00B87259" w:rsidRPr="003E2BAF">
          <w:rPr>
            <w:rStyle w:val="Lienhypertexte"/>
            <w:noProof/>
          </w:rPr>
          <w:t xml:space="preserve">Table SI. 28 </w:t>
        </w:r>
        <w:r w:rsidR="00B87259" w:rsidRPr="003E2BAF">
          <w:rPr>
            <w:rStyle w:val="Lienhypertexte"/>
            <w:rFonts w:cs="Times New Roman"/>
            <w:noProof/>
          </w:rPr>
          <w:t>– BSF pretreatment modeling parameters</w:t>
        </w:r>
        <w:r w:rsidR="00B87259">
          <w:rPr>
            <w:noProof/>
            <w:webHidden/>
          </w:rPr>
          <w:tab/>
        </w:r>
        <w:r w:rsidR="00B87259">
          <w:rPr>
            <w:noProof/>
            <w:webHidden/>
          </w:rPr>
          <w:fldChar w:fldCharType="begin"/>
        </w:r>
        <w:r w:rsidR="00B87259">
          <w:rPr>
            <w:noProof/>
            <w:webHidden/>
          </w:rPr>
          <w:instrText xml:space="preserve"> PAGEREF _Toc151967912 \h </w:instrText>
        </w:r>
        <w:r w:rsidR="00B87259">
          <w:rPr>
            <w:noProof/>
            <w:webHidden/>
          </w:rPr>
        </w:r>
        <w:r w:rsidR="00B87259">
          <w:rPr>
            <w:noProof/>
            <w:webHidden/>
          </w:rPr>
          <w:fldChar w:fldCharType="separate"/>
        </w:r>
        <w:r w:rsidR="00A01585">
          <w:rPr>
            <w:noProof/>
            <w:webHidden/>
          </w:rPr>
          <w:t>35</w:t>
        </w:r>
        <w:r w:rsidR="00B87259">
          <w:rPr>
            <w:noProof/>
            <w:webHidden/>
          </w:rPr>
          <w:fldChar w:fldCharType="end"/>
        </w:r>
      </w:hyperlink>
    </w:p>
    <w:p w14:paraId="3ACB2E31" w14:textId="12630256"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13" w:history="1">
        <w:r w:rsidR="00B87259" w:rsidRPr="003E2BAF">
          <w:rPr>
            <w:rStyle w:val="Lienhypertexte"/>
            <w:noProof/>
          </w:rPr>
          <w:t xml:space="preserve">Table SI. 29 </w:t>
        </w:r>
        <w:r w:rsidR="00B87259" w:rsidRPr="003E2BAF">
          <w:rPr>
            <w:rStyle w:val="Lienhypertexte"/>
            <w:rFonts w:cs="Times New Roman"/>
            <w:noProof/>
          </w:rPr>
          <w:t>– BSF seed larvae modeling parameters</w:t>
        </w:r>
        <w:r w:rsidR="00B87259">
          <w:rPr>
            <w:noProof/>
            <w:webHidden/>
          </w:rPr>
          <w:tab/>
        </w:r>
        <w:r w:rsidR="00B87259">
          <w:rPr>
            <w:noProof/>
            <w:webHidden/>
          </w:rPr>
          <w:fldChar w:fldCharType="begin"/>
        </w:r>
        <w:r w:rsidR="00B87259">
          <w:rPr>
            <w:noProof/>
            <w:webHidden/>
          </w:rPr>
          <w:instrText xml:space="preserve"> PAGEREF _Toc151967913 \h </w:instrText>
        </w:r>
        <w:r w:rsidR="00B87259">
          <w:rPr>
            <w:noProof/>
            <w:webHidden/>
          </w:rPr>
        </w:r>
        <w:r w:rsidR="00B87259">
          <w:rPr>
            <w:noProof/>
            <w:webHidden/>
          </w:rPr>
          <w:fldChar w:fldCharType="separate"/>
        </w:r>
        <w:r w:rsidR="00A01585">
          <w:rPr>
            <w:noProof/>
            <w:webHidden/>
          </w:rPr>
          <w:t>36</w:t>
        </w:r>
        <w:r w:rsidR="00B87259">
          <w:rPr>
            <w:noProof/>
            <w:webHidden/>
          </w:rPr>
          <w:fldChar w:fldCharType="end"/>
        </w:r>
      </w:hyperlink>
    </w:p>
    <w:p w14:paraId="1FB7EE9C" w14:textId="1B5DC0DE"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14" w:history="1">
        <w:r w:rsidR="00B87259" w:rsidRPr="003E2BAF">
          <w:rPr>
            <w:rStyle w:val="Lienhypertexte"/>
            <w:noProof/>
          </w:rPr>
          <w:t>Table SI. 30 – Main parameters used to model BSF growth</w:t>
        </w:r>
        <w:r w:rsidR="00B87259">
          <w:rPr>
            <w:noProof/>
            <w:webHidden/>
          </w:rPr>
          <w:tab/>
        </w:r>
        <w:r w:rsidR="00B87259">
          <w:rPr>
            <w:noProof/>
            <w:webHidden/>
          </w:rPr>
          <w:fldChar w:fldCharType="begin"/>
        </w:r>
        <w:r w:rsidR="00B87259">
          <w:rPr>
            <w:noProof/>
            <w:webHidden/>
          </w:rPr>
          <w:instrText xml:space="preserve"> PAGEREF _Toc151967914 \h </w:instrText>
        </w:r>
        <w:r w:rsidR="00B87259">
          <w:rPr>
            <w:noProof/>
            <w:webHidden/>
          </w:rPr>
        </w:r>
        <w:r w:rsidR="00B87259">
          <w:rPr>
            <w:noProof/>
            <w:webHidden/>
          </w:rPr>
          <w:fldChar w:fldCharType="separate"/>
        </w:r>
        <w:r w:rsidR="00A01585">
          <w:rPr>
            <w:noProof/>
            <w:webHidden/>
          </w:rPr>
          <w:t>37</w:t>
        </w:r>
        <w:r w:rsidR="00B87259">
          <w:rPr>
            <w:noProof/>
            <w:webHidden/>
          </w:rPr>
          <w:fldChar w:fldCharType="end"/>
        </w:r>
      </w:hyperlink>
    </w:p>
    <w:p w14:paraId="6E49A438" w14:textId="4C24418F"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15" w:history="1">
        <w:r w:rsidR="00B87259" w:rsidRPr="003E2BAF">
          <w:rPr>
            <w:rStyle w:val="Lienhypertexte"/>
            <w:noProof/>
          </w:rPr>
          <w:t>Table SI. 31 – BSF growth performance simulation for seven agrifood co-products</w:t>
        </w:r>
        <w:r w:rsidR="00B87259">
          <w:rPr>
            <w:noProof/>
            <w:webHidden/>
          </w:rPr>
          <w:tab/>
        </w:r>
        <w:r w:rsidR="00B87259">
          <w:rPr>
            <w:noProof/>
            <w:webHidden/>
          </w:rPr>
          <w:fldChar w:fldCharType="begin"/>
        </w:r>
        <w:r w:rsidR="00B87259">
          <w:rPr>
            <w:noProof/>
            <w:webHidden/>
          </w:rPr>
          <w:instrText xml:space="preserve"> PAGEREF _Toc151967915 \h </w:instrText>
        </w:r>
        <w:r w:rsidR="00B87259">
          <w:rPr>
            <w:noProof/>
            <w:webHidden/>
          </w:rPr>
        </w:r>
        <w:r w:rsidR="00B87259">
          <w:rPr>
            <w:noProof/>
            <w:webHidden/>
          </w:rPr>
          <w:fldChar w:fldCharType="separate"/>
        </w:r>
        <w:r w:rsidR="00A01585">
          <w:rPr>
            <w:noProof/>
            <w:webHidden/>
          </w:rPr>
          <w:t>38</w:t>
        </w:r>
        <w:r w:rsidR="00B87259">
          <w:rPr>
            <w:noProof/>
            <w:webHidden/>
          </w:rPr>
          <w:fldChar w:fldCharType="end"/>
        </w:r>
      </w:hyperlink>
    </w:p>
    <w:p w14:paraId="1A2DF879" w14:textId="2B863DAF"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16" w:history="1">
        <w:r w:rsidR="00B87259" w:rsidRPr="003E2BAF">
          <w:rPr>
            <w:rStyle w:val="Lienhypertexte"/>
            <w:noProof/>
          </w:rPr>
          <w:t xml:space="preserve">Table SI. 32 </w:t>
        </w:r>
        <w:r w:rsidR="00B87259" w:rsidRPr="003E2BAF">
          <w:rPr>
            <w:rStyle w:val="Lienhypertexte"/>
            <w:rFonts w:cs="Times New Roman"/>
            <w:noProof/>
          </w:rPr>
          <w:t>– BSF farming direct emissions modeling</w:t>
        </w:r>
        <w:r w:rsidR="00B87259">
          <w:rPr>
            <w:noProof/>
            <w:webHidden/>
          </w:rPr>
          <w:tab/>
        </w:r>
        <w:r w:rsidR="00B87259">
          <w:rPr>
            <w:noProof/>
            <w:webHidden/>
          </w:rPr>
          <w:fldChar w:fldCharType="begin"/>
        </w:r>
        <w:r w:rsidR="00B87259">
          <w:rPr>
            <w:noProof/>
            <w:webHidden/>
          </w:rPr>
          <w:instrText xml:space="preserve"> PAGEREF _Toc151967916 \h </w:instrText>
        </w:r>
        <w:r w:rsidR="00B87259">
          <w:rPr>
            <w:noProof/>
            <w:webHidden/>
          </w:rPr>
        </w:r>
        <w:r w:rsidR="00B87259">
          <w:rPr>
            <w:noProof/>
            <w:webHidden/>
          </w:rPr>
          <w:fldChar w:fldCharType="separate"/>
        </w:r>
        <w:r w:rsidR="00A01585">
          <w:rPr>
            <w:noProof/>
            <w:webHidden/>
          </w:rPr>
          <w:t>39</w:t>
        </w:r>
        <w:r w:rsidR="00B87259">
          <w:rPr>
            <w:noProof/>
            <w:webHidden/>
          </w:rPr>
          <w:fldChar w:fldCharType="end"/>
        </w:r>
      </w:hyperlink>
    </w:p>
    <w:p w14:paraId="70A204CF" w14:textId="64A2F60D"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17" w:history="1">
        <w:r w:rsidR="00B87259" w:rsidRPr="003E2BAF">
          <w:rPr>
            <w:rStyle w:val="Lienhypertexte"/>
            <w:noProof/>
          </w:rPr>
          <w:t xml:space="preserve">Table SI. 33 </w:t>
        </w:r>
        <w:r w:rsidR="00B87259" w:rsidRPr="003E2BAF">
          <w:rPr>
            <w:rStyle w:val="Lienhypertexte"/>
            <w:rFonts w:cs="Times New Roman"/>
            <w:noProof/>
          </w:rPr>
          <w:t>– BSF farming stage utilities LCI modeling</w:t>
        </w:r>
        <w:r w:rsidR="00B87259">
          <w:rPr>
            <w:noProof/>
            <w:webHidden/>
          </w:rPr>
          <w:tab/>
        </w:r>
        <w:r w:rsidR="00B87259">
          <w:rPr>
            <w:noProof/>
            <w:webHidden/>
          </w:rPr>
          <w:fldChar w:fldCharType="begin"/>
        </w:r>
        <w:r w:rsidR="00B87259">
          <w:rPr>
            <w:noProof/>
            <w:webHidden/>
          </w:rPr>
          <w:instrText xml:space="preserve"> PAGEREF _Toc151967917 \h </w:instrText>
        </w:r>
        <w:r w:rsidR="00B87259">
          <w:rPr>
            <w:noProof/>
            <w:webHidden/>
          </w:rPr>
        </w:r>
        <w:r w:rsidR="00B87259">
          <w:rPr>
            <w:noProof/>
            <w:webHidden/>
          </w:rPr>
          <w:fldChar w:fldCharType="separate"/>
        </w:r>
        <w:r w:rsidR="00A01585">
          <w:rPr>
            <w:noProof/>
            <w:webHidden/>
          </w:rPr>
          <w:t>40</w:t>
        </w:r>
        <w:r w:rsidR="00B87259">
          <w:rPr>
            <w:noProof/>
            <w:webHidden/>
          </w:rPr>
          <w:fldChar w:fldCharType="end"/>
        </w:r>
      </w:hyperlink>
    </w:p>
    <w:p w14:paraId="129F64A6" w14:textId="20EDAAC0"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18" w:history="1">
        <w:r w:rsidR="00B87259" w:rsidRPr="003E2BAF">
          <w:rPr>
            <w:rStyle w:val="Lienhypertexte"/>
            <w:noProof/>
          </w:rPr>
          <w:t xml:space="preserve">Table SI. 34 </w:t>
        </w:r>
        <w:r w:rsidR="00B87259" w:rsidRPr="003E2BAF">
          <w:rPr>
            <w:rStyle w:val="Lienhypertexte"/>
            <w:rFonts w:cs="Times New Roman"/>
            <w:noProof/>
          </w:rPr>
          <w:t>– BSF killing and drying modeling parameters</w:t>
        </w:r>
        <w:r w:rsidR="00B87259">
          <w:rPr>
            <w:noProof/>
            <w:webHidden/>
          </w:rPr>
          <w:tab/>
        </w:r>
        <w:r w:rsidR="00B87259">
          <w:rPr>
            <w:noProof/>
            <w:webHidden/>
          </w:rPr>
          <w:fldChar w:fldCharType="begin"/>
        </w:r>
        <w:r w:rsidR="00B87259">
          <w:rPr>
            <w:noProof/>
            <w:webHidden/>
          </w:rPr>
          <w:instrText xml:space="preserve"> PAGEREF _Toc151967918 \h </w:instrText>
        </w:r>
        <w:r w:rsidR="00B87259">
          <w:rPr>
            <w:noProof/>
            <w:webHidden/>
          </w:rPr>
        </w:r>
        <w:r w:rsidR="00B87259">
          <w:rPr>
            <w:noProof/>
            <w:webHidden/>
          </w:rPr>
          <w:fldChar w:fldCharType="separate"/>
        </w:r>
        <w:r w:rsidR="00A01585">
          <w:rPr>
            <w:noProof/>
            <w:webHidden/>
          </w:rPr>
          <w:t>40</w:t>
        </w:r>
        <w:r w:rsidR="00B87259">
          <w:rPr>
            <w:noProof/>
            <w:webHidden/>
          </w:rPr>
          <w:fldChar w:fldCharType="end"/>
        </w:r>
      </w:hyperlink>
    </w:p>
    <w:p w14:paraId="07E4FA11" w14:textId="21BC585D"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19" w:history="1">
        <w:r w:rsidR="00B87259" w:rsidRPr="003E2BAF">
          <w:rPr>
            <w:rStyle w:val="Lienhypertexte"/>
            <w:noProof/>
          </w:rPr>
          <w:t xml:space="preserve">Table SI. 35 </w:t>
        </w:r>
        <w:r w:rsidR="00B87259" w:rsidRPr="003E2BAF">
          <w:rPr>
            <w:rStyle w:val="Lienhypertexte"/>
            <w:rFonts w:cs="Times New Roman"/>
            <w:noProof/>
          </w:rPr>
          <w:t>– BSF frass composting modeling parameters</w:t>
        </w:r>
        <w:r w:rsidR="00B87259">
          <w:rPr>
            <w:noProof/>
            <w:webHidden/>
          </w:rPr>
          <w:tab/>
        </w:r>
        <w:r w:rsidR="00B87259">
          <w:rPr>
            <w:noProof/>
            <w:webHidden/>
          </w:rPr>
          <w:fldChar w:fldCharType="begin"/>
        </w:r>
        <w:r w:rsidR="00B87259">
          <w:rPr>
            <w:noProof/>
            <w:webHidden/>
          </w:rPr>
          <w:instrText xml:space="preserve"> PAGEREF _Toc151967919 \h </w:instrText>
        </w:r>
        <w:r w:rsidR="00B87259">
          <w:rPr>
            <w:noProof/>
            <w:webHidden/>
          </w:rPr>
        </w:r>
        <w:r w:rsidR="00B87259">
          <w:rPr>
            <w:noProof/>
            <w:webHidden/>
          </w:rPr>
          <w:fldChar w:fldCharType="separate"/>
        </w:r>
        <w:r w:rsidR="00A01585">
          <w:rPr>
            <w:noProof/>
            <w:webHidden/>
          </w:rPr>
          <w:t>42</w:t>
        </w:r>
        <w:r w:rsidR="00B87259">
          <w:rPr>
            <w:noProof/>
            <w:webHidden/>
          </w:rPr>
          <w:fldChar w:fldCharType="end"/>
        </w:r>
      </w:hyperlink>
    </w:p>
    <w:p w14:paraId="765A15C5" w14:textId="0BFB9B22"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20" w:history="1">
        <w:r w:rsidR="00B87259" w:rsidRPr="003E2BAF">
          <w:rPr>
            <w:rStyle w:val="Lienhypertexte"/>
            <w:noProof/>
            <w:lang w:val="fr-FR"/>
          </w:rPr>
          <w:t xml:space="preserve">Table SI. 36 </w:t>
        </w:r>
        <w:r w:rsidR="00B87259" w:rsidRPr="003E2BAF">
          <w:rPr>
            <w:rStyle w:val="Lienhypertexte"/>
            <w:rFonts w:cs="Times New Roman"/>
            <w:noProof/>
            <w:lang w:val="fr-FR"/>
          </w:rPr>
          <w:t>– BSF infrastructure proxy used</w:t>
        </w:r>
        <w:r w:rsidR="00B87259">
          <w:rPr>
            <w:noProof/>
            <w:webHidden/>
          </w:rPr>
          <w:tab/>
        </w:r>
        <w:r w:rsidR="00B87259">
          <w:rPr>
            <w:noProof/>
            <w:webHidden/>
          </w:rPr>
          <w:fldChar w:fldCharType="begin"/>
        </w:r>
        <w:r w:rsidR="00B87259">
          <w:rPr>
            <w:noProof/>
            <w:webHidden/>
          </w:rPr>
          <w:instrText xml:space="preserve"> PAGEREF _Toc151967920 \h </w:instrText>
        </w:r>
        <w:r w:rsidR="00B87259">
          <w:rPr>
            <w:noProof/>
            <w:webHidden/>
          </w:rPr>
        </w:r>
        <w:r w:rsidR="00B87259">
          <w:rPr>
            <w:noProof/>
            <w:webHidden/>
          </w:rPr>
          <w:fldChar w:fldCharType="separate"/>
        </w:r>
        <w:r w:rsidR="00A01585">
          <w:rPr>
            <w:noProof/>
            <w:webHidden/>
          </w:rPr>
          <w:t>42</w:t>
        </w:r>
        <w:r w:rsidR="00B87259">
          <w:rPr>
            <w:noProof/>
            <w:webHidden/>
          </w:rPr>
          <w:fldChar w:fldCharType="end"/>
        </w:r>
      </w:hyperlink>
    </w:p>
    <w:p w14:paraId="79021E39" w14:textId="329DE27C"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21" w:history="1">
        <w:r w:rsidR="00B87259" w:rsidRPr="003E2BAF">
          <w:rPr>
            <w:rStyle w:val="Lienhypertexte"/>
            <w:noProof/>
          </w:rPr>
          <w:t>Table SI. 37 – Parameters specific to BSF pathways</w:t>
        </w:r>
        <w:r w:rsidR="00B87259">
          <w:rPr>
            <w:noProof/>
            <w:webHidden/>
          </w:rPr>
          <w:tab/>
        </w:r>
        <w:r w:rsidR="00B87259">
          <w:rPr>
            <w:noProof/>
            <w:webHidden/>
          </w:rPr>
          <w:fldChar w:fldCharType="begin"/>
        </w:r>
        <w:r w:rsidR="00B87259">
          <w:rPr>
            <w:noProof/>
            <w:webHidden/>
          </w:rPr>
          <w:instrText xml:space="preserve"> PAGEREF _Toc151967921 \h </w:instrText>
        </w:r>
        <w:r w:rsidR="00B87259">
          <w:rPr>
            <w:noProof/>
            <w:webHidden/>
          </w:rPr>
        </w:r>
        <w:r w:rsidR="00B87259">
          <w:rPr>
            <w:noProof/>
            <w:webHidden/>
          </w:rPr>
          <w:fldChar w:fldCharType="separate"/>
        </w:r>
        <w:r w:rsidR="00A01585">
          <w:rPr>
            <w:noProof/>
            <w:webHidden/>
          </w:rPr>
          <w:t>43</w:t>
        </w:r>
        <w:r w:rsidR="00B87259">
          <w:rPr>
            <w:noProof/>
            <w:webHidden/>
          </w:rPr>
          <w:fldChar w:fldCharType="end"/>
        </w:r>
      </w:hyperlink>
    </w:p>
    <w:p w14:paraId="614E740E" w14:textId="578246E9"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22" w:history="1">
        <w:r w:rsidR="00B87259" w:rsidRPr="003E2BAF">
          <w:rPr>
            <w:rStyle w:val="Lienhypertexte"/>
            <w:noProof/>
          </w:rPr>
          <w:t>Table SI. 38 – Background processes used specifically for BSF pathways</w:t>
        </w:r>
        <w:r w:rsidR="00B87259">
          <w:rPr>
            <w:noProof/>
            <w:webHidden/>
          </w:rPr>
          <w:tab/>
        </w:r>
        <w:r w:rsidR="00B87259">
          <w:rPr>
            <w:noProof/>
            <w:webHidden/>
          </w:rPr>
          <w:fldChar w:fldCharType="begin"/>
        </w:r>
        <w:r w:rsidR="00B87259">
          <w:rPr>
            <w:noProof/>
            <w:webHidden/>
          </w:rPr>
          <w:instrText xml:space="preserve"> PAGEREF _Toc151967922 \h </w:instrText>
        </w:r>
        <w:r w:rsidR="00B87259">
          <w:rPr>
            <w:noProof/>
            <w:webHidden/>
          </w:rPr>
        </w:r>
        <w:r w:rsidR="00B87259">
          <w:rPr>
            <w:noProof/>
            <w:webHidden/>
          </w:rPr>
          <w:fldChar w:fldCharType="separate"/>
        </w:r>
        <w:r w:rsidR="00A01585">
          <w:rPr>
            <w:noProof/>
            <w:webHidden/>
          </w:rPr>
          <w:t>44</w:t>
        </w:r>
        <w:r w:rsidR="00B87259">
          <w:rPr>
            <w:noProof/>
            <w:webHidden/>
          </w:rPr>
          <w:fldChar w:fldCharType="end"/>
        </w:r>
      </w:hyperlink>
    </w:p>
    <w:p w14:paraId="19C726F6" w14:textId="24892AB3"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23" w:history="1">
        <w:r w:rsidR="00B87259" w:rsidRPr="003E2BAF">
          <w:rPr>
            <w:rStyle w:val="Lienhypertexte"/>
            <w:noProof/>
          </w:rPr>
          <w:t>Table SI. 39 – Mycoproteins production assessment review, to date</w:t>
        </w:r>
        <w:r w:rsidR="00B87259">
          <w:rPr>
            <w:noProof/>
            <w:webHidden/>
          </w:rPr>
          <w:tab/>
        </w:r>
        <w:r w:rsidR="00B87259">
          <w:rPr>
            <w:noProof/>
            <w:webHidden/>
          </w:rPr>
          <w:fldChar w:fldCharType="begin"/>
        </w:r>
        <w:r w:rsidR="00B87259">
          <w:rPr>
            <w:noProof/>
            <w:webHidden/>
          </w:rPr>
          <w:instrText xml:space="preserve"> PAGEREF _Toc151967923 \h </w:instrText>
        </w:r>
        <w:r w:rsidR="00B87259">
          <w:rPr>
            <w:noProof/>
            <w:webHidden/>
          </w:rPr>
        </w:r>
        <w:r w:rsidR="00B87259">
          <w:rPr>
            <w:noProof/>
            <w:webHidden/>
          </w:rPr>
          <w:fldChar w:fldCharType="separate"/>
        </w:r>
        <w:r w:rsidR="00A01585">
          <w:rPr>
            <w:noProof/>
            <w:webHidden/>
          </w:rPr>
          <w:t>46</w:t>
        </w:r>
        <w:r w:rsidR="00B87259">
          <w:rPr>
            <w:noProof/>
            <w:webHidden/>
          </w:rPr>
          <w:fldChar w:fldCharType="end"/>
        </w:r>
      </w:hyperlink>
    </w:p>
    <w:p w14:paraId="082E7819" w14:textId="5193B265"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24" w:history="1">
        <w:r w:rsidR="00B87259" w:rsidRPr="003E2BAF">
          <w:rPr>
            <w:rStyle w:val="Lienhypertexte"/>
            <w:noProof/>
          </w:rPr>
          <w:t>Table SI. 40 – Illustration of the panel of mycoproteins production set-ups</w:t>
        </w:r>
        <w:r w:rsidR="00B87259">
          <w:rPr>
            <w:noProof/>
            <w:webHidden/>
          </w:rPr>
          <w:tab/>
        </w:r>
        <w:r w:rsidR="00B87259">
          <w:rPr>
            <w:noProof/>
            <w:webHidden/>
          </w:rPr>
          <w:fldChar w:fldCharType="begin"/>
        </w:r>
        <w:r w:rsidR="00B87259">
          <w:rPr>
            <w:noProof/>
            <w:webHidden/>
          </w:rPr>
          <w:instrText xml:space="preserve"> PAGEREF _Toc151967924 \h </w:instrText>
        </w:r>
        <w:r w:rsidR="00B87259">
          <w:rPr>
            <w:noProof/>
            <w:webHidden/>
          </w:rPr>
        </w:r>
        <w:r w:rsidR="00B87259">
          <w:rPr>
            <w:noProof/>
            <w:webHidden/>
          </w:rPr>
          <w:fldChar w:fldCharType="separate"/>
        </w:r>
        <w:r w:rsidR="00A01585">
          <w:rPr>
            <w:noProof/>
            <w:webHidden/>
          </w:rPr>
          <w:t>46</w:t>
        </w:r>
        <w:r w:rsidR="00B87259">
          <w:rPr>
            <w:noProof/>
            <w:webHidden/>
          </w:rPr>
          <w:fldChar w:fldCharType="end"/>
        </w:r>
      </w:hyperlink>
    </w:p>
    <w:p w14:paraId="79C20A8E" w14:textId="2C15E0B4"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25" w:history="1">
        <w:r w:rsidR="00B87259" w:rsidRPr="003E2BAF">
          <w:rPr>
            <w:rStyle w:val="Lienhypertexte"/>
            <w:noProof/>
          </w:rPr>
          <w:t xml:space="preserve">Table SI. 41 </w:t>
        </w:r>
        <w:r w:rsidR="00B87259" w:rsidRPr="003E2BAF">
          <w:rPr>
            <w:rStyle w:val="Lienhypertexte"/>
            <w:rFonts w:cs="Times New Roman"/>
            <w:noProof/>
          </w:rPr>
          <w:t>– Review of lignocellulosic pretreatment performances, with a focus on IL techniques</w:t>
        </w:r>
        <w:r w:rsidR="00B87259">
          <w:rPr>
            <w:noProof/>
            <w:webHidden/>
          </w:rPr>
          <w:tab/>
        </w:r>
        <w:r w:rsidR="00B87259">
          <w:rPr>
            <w:noProof/>
            <w:webHidden/>
          </w:rPr>
          <w:fldChar w:fldCharType="begin"/>
        </w:r>
        <w:r w:rsidR="00B87259">
          <w:rPr>
            <w:noProof/>
            <w:webHidden/>
          </w:rPr>
          <w:instrText xml:space="preserve"> PAGEREF _Toc151967925 \h </w:instrText>
        </w:r>
        <w:r w:rsidR="00B87259">
          <w:rPr>
            <w:noProof/>
            <w:webHidden/>
          </w:rPr>
        </w:r>
        <w:r w:rsidR="00B87259">
          <w:rPr>
            <w:noProof/>
            <w:webHidden/>
          </w:rPr>
          <w:fldChar w:fldCharType="separate"/>
        </w:r>
        <w:r w:rsidR="00A01585">
          <w:rPr>
            <w:noProof/>
            <w:webHidden/>
          </w:rPr>
          <w:t>48</w:t>
        </w:r>
        <w:r w:rsidR="00B87259">
          <w:rPr>
            <w:noProof/>
            <w:webHidden/>
          </w:rPr>
          <w:fldChar w:fldCharType="end"/>
        </w:r>
      </w:hyperlink>
    </w:p>
    <w:p w14:paraId="241BE1A0" w14:textId="46B74B7F"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26" w:history="1">
        <w:r w:rsidR="00B87259" w:rsidRPr="003E2BAF">
          <w:rPr>
            <w:rStyle w:val="Lienhypertexte"/>
            <w:noProof/>
          </w:rPr>
          <w:t>Table SI. 42 – Heat balance modeling involved in IL pretreatment</w:t>
        </w:r>
        <w:r w:rsidR="00B87259">
          <w:rPr>
            <w:noProof/>
            <w:webHidden/>
          </w:rPr>
          <w:tab/>
        </w:r>
        <w:r w:rsidR="00B87259">
          <w:rPr>
            <w:noProof/>
            <w:webHidden/>
          </w:rPr>
          <w:fldChar w:fldCharType="begin"/>
        </w:r>
        <w:r w:rsidR="00B87259">
          <w:rPr>
            <w:noProof/>
            <w:webHidden/>
          </w:rPr>
          <w:instrText xml:space="preserve"> PAGEREF _Toc151967926 \h </w:instrText>
        </w:r>
        <w:r w:rsidR="00B87259">
          <w:rPr>
            <w:noProof/>
            <w:webHidden/>
          </w:rPr>
        </w:r>
        <w:r w:rsidR="00B87259">
          <w:rPr>
            <w:noProof/>
            <w:webHidden/>
          </w:rPr>
          <w:fldChar w:fldCharType="separate"/>
        </w:r>
        <w:r w:rsidR="00A01585">
          <w:rPr>
            <w:noProof/>
            <w:webHidden/>
          </w:rPr>
          <w:t>49</w:t>
        </w:r>
        <w:r w:rsidR="00B87259">
          <w:rPr>
            <w:noProof/>
            <w:webHidden/>
          </w:rPr>
          <w:fldChar w:fldCharType="end"/>
        </w:r>
      </w:hyperlink>
    </w:p>
    <w:p w14:paraId="5CAB6A4D" w14:textId="51647789"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27" w:history="1">
        <w:r w:rsidR="00B87259" w:rsidRPr="003E2BAF">
          <w:rPr>
            <w:rStyle w:val="Lienhypertexte"/>
            <w:noProof/>
          </w:rPr>
          <w:t>Table SI. 43 – IL pretreatment modeling parameters</w:t>
        </w:r>
        <w:r w:rsidR="00B87259">
          <w:rPr>
            <w:noProof/>
            <w:webHidden/>
          </w:rPr>
          <w:tab/>
        </w:r>
        <w:r w:rsidR="00B87259">
          <w:rPr>
            <w:noProof/>
            <w:webHidden/>
          </w:rPr>
          <w:fldChar w:fldCharType="begin"/>
        </w:r>
        <w:r w:rsidR="00B87259">
          <w:rPr>
            <w:noProof/>
            <w:webHidden/>
          </w:rPr>
          <w:instrText xml:space="preserve"> PAGEREF _Toc151967927 \h </w:instrText>
        </w:r>
        <w:r w:rsidR="00B87259">
          <w:rPr>
            <w:noProof/>
            <w:webHidden/>
          </w:rPr>
        </w:r>
        <w:r w:rsidR="00B87259">
          <w:rPr>
            <w:noProof/>
            <w:webHidden/>
          </w:rPr>
          <w:fldChar w:fldCharType="separate"/>
        </w:r>
        <w:r w:rsidR="00A01585">
          <w:rPr>
            <w:noProof/>
            <w:webHidden/>
          </w:rPr>
          <w:t>50</w:t>
        </w:r>
        <w:r w:rsidR="00B87259">
          <w:rPr>
            <w:noProof/>
            <w:webHidden/>
          </w:rPr>
          <w:fldChar w:fldCharType="end"/>
        </w:r>
      </w:hyperlink>
    </w:p>
    <w:p w14:paraId="3719E823" w14:textId="363DBD3F"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28" w:history="1">
        <w:r w:rsidR="00B87259" w:rsidRPr="003E2BAF">
          <w:rPr>
            <w:rStyle w:val="Lienhypertexte"/>
            <w:noProof/>
          </w:rPr>
          <w:t>Table SI. 44 – Heat balance modeling involved in enzymatic hydrolysis</w:t>
        </w:r>
        <w:r w:rsidR="00B87259">
          <w:rPr>
            <w:noProof/>
            <w:webHidden/>
          </w:rPr>
          <w:tab/>
        </w:r>
        <w:r w:rsidR="00B87259">
          <w:rPr>
            <w:noProof/>
            <w:webHidden/>
          </w:rPr>
          <w:fldChar w:fldCharType="begin"/>
        </w:r>
        <w:r w:rsidR="00B87259">
          <w:rPr>
            <w:noProof/>
            <w:webHidden/>
          </w:rPr>
          <w:instrText xml:space="preserve"> PAGEREF _Toc151967928 \h </w:instrText>
        </w:r>
        <w:r w:rsidR="00B87259">
          <w:rPr>
            <w:noProof/>
            <w:webHidden/>
          </w:rPr>
        </w:r>
        <w:r w:rsidR="00B87259">
          <w:rPr>
            <w:noProof/>
            <w:webHidden/>
          </w:rPr>
          <w:fldChar w:fldCharType="separate"/>
        </w:r>
        <w:r w:rsidR="00A01585">
          <w:rPr>
            <w:noProof/>
            <w:webHidden/>
          </w:rPr>
          <w:t>50</w:t>
        </w:r>
        <w:r w:rsidR="00B87259">
          <w:rPr>
            <w:noProof/>
            <w:webHidden/>
          </w:rPr>
          <w:fldChar w:fldCharType="end"/>
        </w:r>
      </w:hyperlink>
    </w:p>
    <w:p w14:paraId="77EB4A39" w14:textId="161B0C50"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29" w:history="1">
        <w:r w:rsidR="00B87259" w:rsidRPr="003E2BAF">
          <w:rPr>
            <w:rStyle w:val="Lienhypertexte"/>
            <w:noProof/>
          </w:rPr>
          <w:t>Table SI. 45 – Lignocellulosic enzymatic hydrolysis modeling parameters</w:t>
        </w:r>
        <w:r w:rsidR="00B87259">
          <w:rPr>
            <w:noProof/>
            <w:webHidden/>
          </w:rPr>
          <w:tab/>
        </w:r>
        <w:r w:rsidR="00B87259">
          <w:rPr>
            <w:noProof/>
            <w:webHidden/>
          </w:rPr>
          <w:fldChar w:fldCharType="begin"/>
        </w:r>
        <w:r w:rsidR="00B87259">
          <w:rPr>
            <w:noProof/>
            <w:webHidden/>
          </w:rPr>
          <w:instrText xml:space="preserve"> PAGEREF _Toc151967929 \h </w:instrText>
        </w:r>
        <w:r w:rsidR="00B87259">
          <w:rPr>
            <w:noProof/>
            <w:webHidden/>
          </w:rPr>
        </w:r>
        <w:r w:rsidR="00B87259">
          <w:rPr>
            <w:noProof/>
            <w:webHidden/>
          </w:rPr>
          <w:fldChar w:fldCharType="separate"/>
        </w:r>
        <w:r w:rsidR="00A01585">
          <w:rPr>
            <w:noProof/>
            <w:webHidden/>
          </w:rPr>
          <w:t>51</w:t>
        </w:r>
        <w:r w:rsidR="00B87259">
          <w:rPr>
            <w:noProof/>
            <w:webHidden/>
          </w:rPr>
          <w:fldChar w:fldCharType="end"/>
        </w:r>
      </w:hyperlink>
    </w:p>
    <w:p w14:paraId="188B5FCD" w14:textId="6021AD8C"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30" w:history="1">
        <w:r w:rsidR="00B87259" w:rsidRPr="003E2BAF">
          <w:rPr>
            <w:rStyle w:val="Lienhypertexte"/>
            <w:noProof/>
          </w:rPr>
          <w:t>Table SI. 46 – Parameters specific to ionic liquid and enzymatic hydrolysis pretreatment operations</w:t>
        </w:r>
        <w:r w:rsidR="00B87259">
          <w:rPr>
            <w:noProof/>
            <w:webHidden/>
          </w:rPr>
          <w:tab/>
        </w:r>
        <w:r w:rsidR="00B87259">
          <w:rPr>
            <w:noProof/>
            <w:webHidden/>
          </w:rPr>
          <w:fldChar w:fldCharType="begin"/>
        </w:r>
        <w:r w:rsidR="00B87259">
          <w:rPr>
            <w:noProof/>
            <w:webHidden/>
          </w:rPr>
          <w:instrText xml:space="preserve"> PAGEREF _Toc151967930 \h </w:instrText>
        </w:r>
        <w:r w:rsidR="00B87259">
          <w:rPr>
            <w:noProof/>
            <w:webHidden/>
          </w:rPr>
        </w:r>
        <w:r w:rsidR="00B87259">
          <w:rPr>
            <w:noProof/>
            <w:webHidden/>
          </w:rPr>
          <w:fldChar w:fldCharType="separate"/>
        </w:r>
        <w:r w:rsidR="00A01585">
          <w:rPr>
            <w:noProof/>
            <w:webHidden/>
          </w:rPr>
          <w:t>51</w:t>
        </w:r>
        <w:r w:rsidR="00B87259">
          <w:rPr>
            <w:noProof/>
            <w:webHidden/>
          </w:rPr>
          <w:fldChar w:fldCharType="end"/>
        </w:r>
      </w:hyperlink>
    </w:p>
    <w:p w14:paraId="35E6EEF3" w14:textId="161567F3"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31" w:history="1">
        <w:r w:rsidR="00B87259" w:rsidRPr="003E2BAF">
          <w:rPr>
            <w:rStyle w:val="Lienhypertexte"/>
            <w:noProof/>
          </w:rPr>
          <w:t>Table SI. 47 – Background processes used specifically for lignocellulosic pretreatment operations</w:t>
        </w:r>
        <w:r w:rsidR="00B87259">
          <w:rPr>
            <w:noProof/>
            <w:webHidden/>
          </w:rPr>
          <w:tab/>
        </w:r>
        <w:r w:rsidR="00B87259">
          <w:rPr>
            <w:noProof/>
            <w:webHidden/>
          </w:rPr>
          <w:fldChar w:fldCharType="begin"/>
        </w:r>
        <w:r w:rsidR="00B87259">
          <w:rPr>
            <w:noProof/>
            <w:webHidden/>
          </w:rPr>
          <w:instrText xml:space="preserve"> PAGEREF _Toc151967931 \h </w:instrText>
        </w:r>
        <w:r w:rsidR="00B87259">
          <w:rPr>
            <w:noProof/>
            <w:webHidden/>
          </w:rPr>
        </w:r>
        <w:r w:rsidR="00B87259">
          <w:rPr>
            <w:noProof/>
            <w:webHidden/>
          </w:rPr>
          <w:fldChar w:fldCharType="separate"/>
        </w:r>
        <w:r w:rsidR="00A01585">
          <w:rPr>
            <w:noProof/>
            <w:webHidden/>
          </w:rPr>
          <w:t>52</w:t>
        </w:r>
        <w:r w:rsidR="00B87259">
          <w:rPr>
            <w:noProof/>
            <w:webHidden/>
          </w:rPr>
          <w:fldChar w:fldCharType="end"/>
        </w:r>
      </w:hyperlink>
    </w:p>
    <w:p w14:paraId="7769B1F2" w14:textId="119990F3"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32" w:history="1">
        <w:r w:rsidR="00B87259" w:rsidRPr="003E2BAF">
          <w:rPr>
            <w:rStyle w:val="Lienhypertexte"/>
            <w:noProof/>
          </w:rPr>
          <w:t>Table SI. 48 – Starch enzymatic hydrolysis modeling parameters</w:t>
        </w:r>
        <w:r w:rsidR="00B87259">
          <w:rPr>
            <w:noProof/>
            <w:webHidden/>
          </w:rPr>
          <w:tab/>
        </w:r>
        <w:r w:rsidR="00B87259">
          <w:rPr>
            <w:noProof/>
            <w:webHidden/>
          </w:rPr>
          <w:fldChar w:fldCharType="begin"/>
        </w:r>
        <w:r w:rsidR="00B87259">
          <w:rPr>
            <w:noProof/>
            <w:webHidden/>
          </w:rPr>
          <w:instrText xml:space="preserve"> PAGEREF _Toc151967932 \h </w:instrText>
        </w:r>
        <w:r w:rsidR="00B87259">
          <w:rPr>
            <w:noProof/>
            <w:webHidden/>
          </w:rPr>
        </w:r>
        <w:r w:rsidR="00B87259">
          <w:rPr>
            <w:noProof/>
            <w:webHidden/>
          </w:rPr>
          <w:fldChar w:fldCharType="separate"/>
        </w:r>
        <w:r w:rsidR="00A01585">
          <w:rPr>
            <w:noProof/>
            <w:webHidden/>
          </w:rPr>
          <w:t>53</w:t>
        </w:r>
        <w:r w:rsidR="00B87259">
          <w:rPr>
            <w:noProof/>
            <w:webHidden/>
          </w:rPr>
          <w:fldChar w:fldCharType="end"/>
        </w:r>
      </w:hyperlink>
    </w:p>
    <w:p w14:paraId="2CDC90AB" w14:textId="222D1704"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33" w:history="1">
        <w:r w:rsidR="00B87259" w:rsidRPr="003E2BAF">
          <w:rPr>
            <w:rStyle w:val="Lienhypertexte"/>
            <w:noProof/>
          </w:rPr>
          <w:t>Table SI. 49 – Review and calculation of mycoproteins growth performances</w:t>
        </w:r>
        <w:r w:rsidR="00B87259">
          <w:rPr>
            <w:noProof/>
            <w:webHidden/>
          </w:rPr>
          <w:tab/>
        </w:r>
        <w:r w:rsidR="00B87259">
          <w:rPr>
            <w:noProof/>
            <w:webHidden/>
          </w:rPr>
          <w:fldChar w:fldCharType="begin"/>
        </w:r>
        <w:r w:rsidR="00B87259">
          <w:rPr>
            <w:noProof/>
            <w:webHidden/>
          </w:rPr>
          <w:instrText xml:space="preserve"> PAGEREF _Toc151967933 \h </w:instrText>
        </w:r>
        <w:r w:rsidR="00B87259">
          <w:rPr>
            <w:noProof/>
            <w:webHidden/>
          </w:rPr>
        </w:r>
        <w:r w:rsidR="00B87259">
          <w:rPr>
            <w:noProof/>
            <w:webHidden/>
          </w:rPr>
          <w:fldChar w:fldCharType="separate"/>
        </w:r>
        <w:r w:rsidR="00A01585">
          <w:rPr>
            <w:noProof/>
            <w:webHidden/>
          </w:rPr>
          <w:t>54</w:t>
        </w:r>
        <w:r w:rsidR="00B87259">
          <w:rPr>
            <w:noProof/>
            <w:webHidden/>
          </w:rPr>
          <w:fldChar w:fldCharType="end"/>
        </w:r>
      </w:hyperlink>
    </w:p>
    <w:p w14:paraId="24A6BE6C" w14:textId="341BF2C2"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34" w:history="1">
        <w:r w:rsidR="00B87259" w:rsidRPr="003E2BAF">
          <w:rPr>
            <w:rStyle w:val="Lienhypertexte"/>
            <w:noProof/>
          </w:rPr>
          <w:t>Table SI. 50 – Medium formulation modeling parameters</w:t>
        </w:r>
        <w:r w:rsidR="00B87259">
          <w:rPr>
            <w:noProof/>
            <w:webHidden/>
          </w:rPr>
          <w:tab/>
        </w:r>
        <w:r w:rsidR="00B87259">
          <w:rPr>
            <w:noProof/>
            <w:webHidden/>
          </w:rPr>
          <w:fldChar w:fldCharType="begin"/>
        </w:r>
        <w:r w:rsidR="00B87259">
          <w:rPr>
            <w:noProof/>
            <w:webHidden/>
          </w:rPr>
          <w:instrText xml:space="preserve"> PAGEREF _Toc151967934 \h </w:instrText>
        </w:r>
        <w:r w:rsidR="00B87259">
          <w:rPr>
            <w:noProof/>
            <w:webHidden/>
          </w:rPr>
        </w:r>
        <w:r w:rsidR="00B87259">
          <w:rPr>
            <w:noProof/>
            <w:webHidden/>
          </w:rPr>
          <w:fldChar w:fldCharType="separate"/>
        </w:r>
        <w:r w:rsidR="00A01585">
          <w:rPr>
            <w:noProof/>
            <w:webHidden/>
          </w:rPr>
          <w:t>55</w:t>
        </w:r>
        <w:r w:rsidR="00B87259">
          <w:rPr>
            <w:noProof/>
            <w:webHidden/>
          </w:rPr>
          <w:fldChar w:fldCharType="end"/>
        </w:r>
      </w:hyperlink>
    </w:p>
    <w:p w14:paraId="2BE407F5" w14:textId="6A6A9069"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35" w:history="1">
        <w:r w:rsidR="00B87259" w:rsidRPr="003E2BAF">
          <w:rPr>
            <w:rStyle w:val="Lienhypertexte"/>
            <w:noProof/>
          </w:rPr>
          <w:t>Table SI. 51 – Mycoproteins composition</w:t>
        </w:r>
        <w:r w:rsidR="00B87259">
          <w:rPr>
            <w:noProof/>
            <w:webHidden/>
          </w:rPr>
          <w:tab/>
        </w:r>
        <w:r w:rsidR="00B87259">
          <w:rPr>
            <w:noProof/>
            <w:webHidden/>
          </w:rPr>
          <w:fldChar w:fldCharType="begin"/>
        </w:r>
        <w:r w:rsidR="00B87259">
          <w:rPr>
            <w:noProof/>
            <w:webHidden/>
          </w:rPr>
          <w:instrText xml:space="preserve"> PAGEREF _Toc151967935 \h </w:instrText>
        </w:r>
        <w:r w:rsidR="00B87259">
          <w:rPr>
            <w:noProof/>
            <w:webHidden/>
          </w:rPr>
        </w:r>
        <w:r w:rsidR="00B87259">
          <w:rPr>
            <w:noProof/>
            <w:webHidden/>
          </w:rPr>
          <w:fldChar w:fldCharType="separate"/>
        </w:r>
        <w:r w:rsidR="00A01585">
          <w:rPr>
            <w:noProof/>
            <w:webHidden/>
          </w:rPr>
          <w:t>56</w:t>
        </w:r>
        <w:r w:rsidR="00B87259">
          <w:rPr>
            <w:noProof/>
            <w:webHidden/>
          </w:rPr>
          <w:fldChar w:fldCharType="end"/>
        </w:r>
      </w:hyperlink>
    </w:p>
    <w:p w14:paraId="661209DC" w14:textId="7913E378"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36" w:history="1">
        <w:r w:rsidR="00B87259" w:rsidRPr="003E2BAF">
          <w:rPr>
            <w:rStyle w:val="Lienhypertexte"/>
            <w:noProof/>
          </w:rPr>
          <w:t>Table SI. 52 – Heat recovery modeling involved in mycoproteins production and post-treatments</w:t>
        </w:r>
        <w:r w:rsidR="00B87259">
          <w:rPr>
            <w:noProof/>
            <w:webHidden/>
          </w:rPr>
          <w:tab/>
        </w:r>
        <w:r w:rsidR="00B87259">
          <w:rPr>
            <w:noProof/>
            <w:webHidden/>
          </w:rPr>
          <w:fldChar w:fldCharType="begin"/>
        </w:r>
        <w:r w:rsidR="00B87259">
          <w:rPr>
            <w:noProof/>
            <w:webHidden/>
          </w:rPr>
          <w:instrText xml:space="preserve"> PAGEREF _Toc151967936 \h </w:instrText>
        </w:r>
        <w:r w:rsidR="00B87259">
          <w:rPr>
            <w:noProof/>
            <w:webHidden/>
          </w:rPr>
        </w:r>
        <w:r w:rsidR="00B87259">
          <w:rPr>
            <w:noProof/>
            <w:webHidden/>
          </w:rPr>
          <w:fldChar w:fldCharType="separate"/>
        </w:r>
        <w:r w:rsidR="00A01585">
          <w:rPr>
            <w:noProof/>
            <w:webHidden/>
          </w:rPr>
          <w:t>56</w:t>
        </w:r>
        <w:r w:rsidR="00B87259">
          <w:rPr>
            <w:noProof/>
            <w:webHidden/>
          </w:rPr>
          <w:fldChar w:fldCharType="end"/>
        </w:r>
      </w:hyperlink>
    </w:p>
    <w:p w14:paraId="5D111E2D" w14:textId="5A9E9C52"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37" w:history="1">
        <w:r w:rsidR="00B87259" w:rsidRPr="003E2BAF">
          <w:rPr>
            <w:rStyle w:val="Lienhypertexte"/>
            <w:noProof/>
          </w:rPr>
          <w:t>Table SI. 53 – Parameters specific to mycoproteins production stage and downstream operations</w:t>
        </w:r>
        <w:r w:rsidR="00B87259">
          <w:rPr>
            <w:noProof/>
            <w:webHidden/>
          </w:rPr>
          <w:tab/>
        </w:r>
        <w:r w:rsidR="00B87259">
          <w:rPr>
            <w:noProof/>
            <w:webHidden/>
          </w:rPr>
          <w:fldChar w:fldCharType="begin"/>
        </w:r>
        <w:r w:rsidR="00B87259">
          <w:rPr>
            <w:noProof/>
            <w:webHidden/>
          </w:rPr>
          <w:instrText xml:space="preserve"> PAGEREF _Toc151967937 \h </w:instrText>
        </w:r>
        <w:r w:rsidR="00B87259">
          <w:rPr>
            <w:noProof/>
            <w:webHidden/>
          </w:rPr>
        </w:r>
        <w:r w:rsidR="00B87259">
          <w:rPr>
            <w:noProof/>
            <w:webHidden/>
          </w:rPr>
          <w:fldChar w:fldCharType="separate"/>
        </w:r>
        <w:r w:rsidR="00A01585">
          <w:rPr>
            <w:noProof/>
            <w:webHidden/>
          </w:rPr>
          <w:t>57</w:t>
        </w:r>
        <w:r w:rsidR="00B87259">
          <w:rPr>
            <w:noProof/>
            <w:webHidden/>
          </w:rPr>
          <w:fldChar w:fldCharType="end"/>
        </w:r>
      </w:hyperlink>
    </w:p>
    <w:p w14:paraId="74BF9BB5" w14:textId="386CCA02"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38" w:history="1">
        <w:r w:rsidR="00B87259" w:rsidRPr="003E2BAF">
          <w:rPr>
            <w:rStyle w:val="Lienhypertexte"/>
            <w:noProof/>
          </w:rPr>
          <w:t>Table SI. 54 – Background processes used specifically for mycoproteins production</w:t>
        </w:r>
        <w:r w:rsidR="00B87259">
          <w:rPr>
            <w:noProof/>
            <w:webHidden/>
          </w:rPr>
          <w:tab/>
        </w:r>
        <w:r w:rsidR="00B87259">
          <w:rPr>
            <w:noProof/>
            <w:webHidden/>
          </w:rPr>
          <w:fldChar w:fldCharType="begin"/>
        </w:r>
        <w:r w:rsidR="00B87259">
          <w:rPr>
            <w:noProof/>
            <w:webHidden/>
          </w:rPr>
          <w:instrText xml:space="preserve"> PAGEREF _Toc151967938 \h </w:instrText>
        </w:r>
        <w:r w:rsidR="00B87259">
          <w:rPr>
            <w:noProof/>
            <w:webHidden/>
          </w:rPr>
        </w:r>
        <w:r w:rsidR="00B87259">
          <w:rPr>
            <w:noProof/>
            <w:webHidden/>
          </w:rPr>
          <w:fldChar w:fldCharType="separate"/>
        </w:r>
        <w:r w:rsidR="00A01585">
          <w:rPr>
            <w:noProof/>
            <w:webHidden/>
          </w:rPr>
          <w:t>57</w:t>
        </w:r>
        <w:r w:rsidR="00B87259">
          <w:rPr>
            <w:noProof/>
            <w:webHidden/>
          </w:rPr>
          <w:fldChar w:fldCharType="end"/>
        </w:r>
      </w:hyperlink>
    </w:p>
    <w:p w14:paraId="75C55627" w14:textId="7594B445"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39" w:history="1">
        <w:r w:rsidR="00B87259" w:rsidRPr="003E2BAF">
          <w:rPr>
            <w:rStyle w:val="Lienhypertexte"/>
            <w:noProof/>
          </w:rPr>
          <w:t>Table SI. 55 – MP production assessment review, to date</w:t>
        </w:r>
        <w:r w:rsidR="00B87259">
          <w:rPr>
            <w:noProof/>
            <w:webHidden/>
          </w:rPr>
          <w:tab/>
        </w:r>
        <w:r w:rsidR="00B87259">
          <w:rPr>
            <w:noProof/>
            <w:webHidden/>
          </w:rPr>
          <w:fldChar w:fldCharType="begin"/>
        </w:r>
        <w:r w:rsidR="00B87259">
          <w:rPr>
            <w:noProof/>
            <w:webHidden/>
          </w:rPr>
          <w:instrText xml:space="preserve"> PAGEREF _Toc151967939 \h </w:instrText>
        </w:r>
        <w:r w:rsidR="00B87259">
          <w:rPr>
            <w:noProof/>
            <w:webHidden/>
          </w:rPr>
        </w:r>
        <w:r w:rsidR="00B87259">
          <w:rPr>
            <w:noProof/>
            <w:webHidden/>
          </w:rPr>
          <w:fldChar w:fldCharType="separate"/>
        </w:r>
        <w:r w:rsidR="00A01585">
          <w:rPr>
            <w:noProof/>
            <w:webHidden/>
          </w:rPr>
          <w:t>58</w:t>
        </w:r>
        <w:r w:rsidR="00B87259">
          <w:rPr>
            <w:noProof/>
            <w:webHidden/>
          </w:rPr>
          <w:fldChar w:fldCharType="end"/>
        </w:r>
      </w:hyperlink>
    </w:p>
    <w:p w14:paraId="2E87097C" w14:textId="3A4DE49B"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40" w:history="1">
        <w:r w:rsidR="00B87259" w:rsidRPr="003E2BAF">
          <w:rPr>
            <w:rStyle w:val="Lienhypertexte"/>
            <w:noProof/>
          </w:rPr>
          <w:t>Table SI. 56 – Main gas origin for HOB and MOB production, review</w:t>
        </w:r>
        <w:r w:rsidR="00B87259">
          <w:rPr>
            <w:noProof/>
            <w:webHidden/>
          </w:rPr>
          <w:tab/>
        </w:r>
        <w:r w:rsidR="00B87259">
          <w:rPr>
            <w:noProof/>
            <w:webHidden/>
          </w:rPr>
          <w:fldChar w:fldCharType="begin"/>
        </w:r>
        <w:r w:rsidR="00B87259">
          <w:rPr>
            <w:noProof/>
            <w:webHidden/>
          </w:rPr>
          <w:instrText xml:space="preserve"> PAGEREF _Toc151967940 \h </w:instrText>
        </w:r>
        <w:r w:rsidR="00B87259">
          <w:rPr>
            <w:noProof/>
            <w:webHidden/>
          </w:rPr>
        </w:r>
        <w:r w:rsidR="00B87259">
          <w:rPr>
            <w:noProof/>
            <w:webHidden/>
          </w:rPr>
          <w:fldChar w:fldCharType="separate"/>
        </w:r>
        <w:r w:rsidR="00A01585">
          <w:rPr>
            <w:noProof/>
            <w:webHidden/>
          </w:rPr>
          <w:t>59</w:t>
        </w:r>
        <w:r w:rsidR="00B87259">
          <w:rPr>
            <w:noProof/>
            <w:webHidden/>
          </w:rPr>
          <w:fldChar w:fldCharType="end"/>
        </w:r>
      </w:hyperlink>
    </w:p>
    <w:p w14:paraId="0D83A282" w14:textId="0F95401F"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41" w:history="1">
        <w:r w:rsidR="00B87259" w:rsidRPr="003E2BAF">
          <w:rPr>
            <w:rStyle w:val="Lienhypertexte"/>
            <w:noProof/>
          </w:rPr>
          <w:t>Table SI. 57 – Selected microbial proteins pathways</w:t>
        </w:r>
        <w:r w:rsidR="00B87259">
          <w:rPr>
            <w:noProof/>
            <w:webHidden/>
          </w:rPr>
          <w:tab/>
        </w:r>
        <w:r w:rsidR="00B87259">
          <w:rPr>
            <w:noProof/>
            <w:webHidden/>
          </w:rPr>
          <w:fldChar w:fldCharType="begin"/>
        </w:r>
        <w:r w:rsidR="00B87259">
          <w:rPr>
            <w:noProof/>
            <w:webHidden/>
          </w:rPr>
          <w:instrText xml:space="preserve"> PAGEREF _Toc151967941 \h </w:instrText>
        </w:r>
        <w:r w:rsidR="00B87259">
          <w:rPr>
            <w:noProof/>
            <w:webHidden/>
          </w:rPr>
        </w:r>
        <w:r w:rsidR="00B87259">
          <w:rPr>
            <w:noProof/>
            <w:webHidden/>
          </w:rPr>
          <w:fldChar w:fldCharType="separate"/>
        </w:r>
        <w:r w:rsidR="00A01585">
          <w:rPr>
            <w:noProof/>
            <w:webHidden/>
          </w:rPr>
          <w:t>60</w:t>
        </w:r>
        <w:r w:rsidR="00B87259">
          <w:rPr>
            <w:noProof/>
            <w:webHidden/>
          </w:rPr>
          <w:fldChar w:fldCharType="end"/>
        </w:r>
      </w:hyperlink>
    </w:p>
    <w:p w14:paraId="0DFDFB25" w14:textId="2404C255"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42" w:history="1">
        <w:r w:rsidR="00B87259" w:rsidRPr="003E2BAF">
          <w:rPr>
            <w:rStyle w:val="Lienhypertexte"/>
            <w:noProof/>
          </w:rPr>
          <w:t>Table SI. 58 – WCS building and catalysis modeling parameters</w:t>
        </w:r>
        <w:r w:rsidR="00B87259">
          <w:rPr>
            <w:noProof/>
            <w:webHidden/>
          </w:rPr>
          <w:tab/>
        </w:r>
        <w:r w:rsidR="00B87259">
          <w:rPr>
            <w:noProof/>
            <w:webHidden/>
          </w:rPr>
          <w:fldChar w:fldCharType="begin"/>
        </w:r>
        <w:r w:rsidR="00B87259">
          <w:rPr>
            <w:noProof/>
            <w:webHidden/>
          </w:rPr>
          <w:instrText xml:space="preserve"> PAGEREF _Toc151967942 \h </w:instrText>
        </w:r>
        <w:r w:rsidR="00B87259">
          <w:rPr>
            <w:noProof/>
            <w:webHidden/>
          </w:rPr>
        </w:r>
        <w:r w:rsidR="00B87259">
          <w:rPr>
            <w:noProof/>
            <w:webHidden/>
          </w:rPr>
          <w:fldChar w:fldCharType="separate"/>
        </w:r>
        <w:r w:rsidR="00A01585">
          <w:rPr>
            <w:noProof/>
            <w:webHidden/>
          </w:rPr>
          <w:t>62</w:t>
        </w:r>
        <w:r w:rsidR="00B87259">
          <w:rPr>
            <w:noProof/>
            <w:webHidden/>
          </w:rPr>
          <w:fldChar w:fldCharType="end"/>
        </w:r>
      </w:hyperlink>
    </w:p>
    <w:p w14:paraId="63986A78" w14:textId="11E3D80A"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43" w:history="1">
        <w:r w:rsidR="00B87259" w:rsidRPr="003E2BAF">
          <w:rPr>
            <w:rStyle w:val="Lienhypertexte"/>
            <w:noProof/>
          </w:rPr>
          <w:t>Table SI. 59 – Methanation building and catalysis modeling parameters</w:t>
        </w:r>
        <w:r w:rsidR="00B87259">
          <w:rPr>
            <w:noProof/>
            <w:webHidden/>
          </w:rPr>
          <w:tab/>
        </w:r>
        <w:r w:rsidR="00B87259">
          <w:rPr>
            <w:noProof/>
            <w:webHidden/>
          </w:rPr>
          <w:fldChar w:fldCharType="begin"/>
        </w:r>
        <w:r w:rsidR="00B87259">
          <w:rPr>
            <w:noProof/>
            <w:webHidden/>
          </w:rPr>
          <w:instrText xml:space="preserve"> PAGEREF _Toc151967943 \h </w:instrText>
        </w:r>
        <w:r w:rsidR="00B87259">
          <w:rPr>
            <w:noProof/>
            <w:webHidden/>
          </w:rPr>
        </w:r>
        <w:r w:rsidR="00B87259">
          <w:rPr>
            <w:noProof/>
            <w:webHidden/>
          </w:rPr>
          <w:fldChar w:fldCharType="separate"/>
        </w:r>
        <w:r w:rsidR="00A01585">
          <w:rPr>
            <w:noProof/>
            <w:webHidden/>
          </w:rPr>
          <w:t>62</w:t>
        </w:r>
        <w:r w:rsidR="00B87259">
          <w:rPr>
            <w:noProof/>
            <w:webHidden/>
          </w:rPr>
          <w:fldChar w:fldCharType="end"/>
        </w:r>
      </w:hyperlink>
    </w:p>
    <w:p w14:paraId="693967FD" w14:textId="04726A54"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44" w:history="1">
        <w:r w:rsidR="00B87259" w:rsidRPr="003E2BAF">
          <w:rPr>
            <w:rStyle w:val="Lienhypertexte"/>
            <w:noProof/>
          </w:rPr>
          <w:t>Table SI. 60 – Electrolysis modeling parameters</w:t>
        </w:r>
        <w:r w:rsidR="00B87259">
          <w:rPr>
            <w:noProof/>
            <w:webHidden/>
          </w:rPr>
          <w:tab/>
        </w:r>
        <w:r w:rsidR="00B87259">
          <w:rPr>
            <w:noProof/>
            <w:webHidden/>
          </w:rPr>
          <w:fldChar w:fldCharType="begin"/>
        </w:r>
        <w:r w:rsidR="00B87259">
          <w:rPr>
            <w:noProof/>
            <w:webHidden/>
          </w:rPr>
          <w:instrText xml:space="preserve"> PAGEREF _Toc151967944 \h </w:instrText>
        </w:r>
        <w:r w:rsidR="00B87259">
          <w:rPr>
            <w:noProof/>
            <w:webHidden/>
          </w:rPr>
        </w:r>
        <w:r w:rsidR="00B87259">
          <w:rPr>
            <w:noProof/>
            <w:webHidden/>
          </w:rPr>
          <w:fldChar w:fldCharType="separate"/>
        </w:r>
        <w:r w:rsidR="00A01585">
          <w:rPr>
            <w:noProof/>
            <w:webHidden/>
          </w:rPr>
          <w:t>63</w:t>
        </w:r>
        <w:r w:rsidR="00B87259">
          <w:rPr>
            <w:noProof/>
            <w:webHidden/>
          </w:rPr>
          <w:fldChar w:fldCharType="end"/>
        </w:r>
      </w:hyperlink>
    </w:p>
    <w:p w14:paraId="5A57526A" w14:textId="778E8C7B"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45" w:history="1">
        <w:r w:rsidR="00B87259" w:rsidRPr="003E2BAF">
          <w:rPr>
            <w:rStyle w:val="Lienhypertexte"/>
            <w:noProof/>
          </w:rPr>
          <w:t>Table SI. 61 – Heat recovery modeling involved in MP_meths pathway</w:t>
        </w:r>
        <w:r w:rsidR="00B87259">
          <w:rPr>
            <w:noProof/>
            <w:webHidden/>
          </w:rPr>
          <w:tab/>
        </w:r>
        <w:r w:rsidR="00B87259">
          <w:rPr>
            <w:noProof/>
            <w:webHidden/>
          </w:rPr>
          <w:fldChar w:fldCharType="begin"/>
        </w:r>
        <w:r w:rsidR="00B87259">
          <w:rPr>
            <w:noProof/>
            <w:webHidden/>
          </w:rPr>
          <w:instrText xml:space="preserve"> PAGEREF _Toc151967945 \h </w:instrText>
        </w:r>
        <w:r w:rsidR="00B87259">
          <w:rPr>
            <w:noProof/>
            <w:webHidden/>
          </w:rPr>
        </w:r>
        <w:r w:rsidR="00B87259">
          <w:rPr>
            <w:noProof/>
            <w:webHidden/>
          </w:rPr>
          <w:fldChar w:fldCharType="separate"/>
        </w:r>
        <w:r w:rsidR="00A01585">
          <w:rPr>
            <w:noProof/>
            <w:webHidden/>
          </w:rPr>
          <w:t>63</w:t>
        </w:r>
        <w:r w:rsidR="00B87259">
          <w:rPr>
            <w:noProof/>
            <w:webHidden/>
          </w:rPr>
          <w:fldChar w:fldCharType="end"/>
        </w:r>
      </w:hyperlink>
    </w:p>
    <w:p w14:paraId="63018FDC" w14:textId="515CEEFD"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46" w:history="1">
        <w:r w:rsidR="00B87259" w:rsidRPr="003E2BAF">
          <w:rPr>
            <w:rStyle w:val="Lienhypertexte"/>
            <w:noProof/>
          </w:rPr>
          <w:t>Table SI. 62 – MP_meths pathway gas flows and energy performances illustrated for hardwood residues</w:t>
        </w:r>
        <w:r w:rsidR="00B87259">
          <w:rPr>
            <w:noProof/>
            <w:webHidden/>
          </w:rPr>
          <w:tab/>
        </w:r>
        <w:r w:rsidR="00B87259">
          <w:rPr>
            <w:noProof/>
            <w:webHidden/>
          </w:rPr>
          <w:fldChar w:fldCharType="begin"/>
        </w:r>
        <w:r w:rsidR="00B87259">
          <w:rPr>
            <w:noProof/>
            <w:webHidden/>
          </w:rPr>
          <w:instrText xml:space="preserve"> PAGEREF _Toc151967946 \h </w:instrText>
        </w:r>
        <w:r w:rsidR="00B87259">
          <w:rPr>
            <w:noProof/>
            <w:webHidden/>
          </w:rPr>
        </w:r>
        <w:r w:rsidR="00B87259">
          <w:rPr>
            <w:noProof/>
            <w:webHidden/>
          </w:rPr>
          <w:fldChar w:fldCharType="separate"/>
        </w:r>
        <w:r w:rsidR="00A01585">
          <w:rPr>
            <w:noProof/>
            <w:webHidden/>
          </w:rPr>
          <w:t>64</w:t>
        </w:r>
        <w:r w:rsidR="00B87259">
          <w:rPr>
            <w:noProof/>
            <w:webHidden/>
          </w:rPr>
          <w:fldChar w:fldCharType="end"/>
        </w:r>
      </w:hyperlink>
    </w:p>
    <w:p w14:paraId="4DF8E594" w14:textId="468E1207"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47" w:history="1">
        <w:r w:rsidR="00B87259" w:rsidRPr="003E2BAF">
          <w:rPr>
            <w:rStyle w:val="Lienhypertexte"/>
            <w:noProof/>
          </w:rPr>
          <w:t>Table SI. 63 – Heat recovery modeling involved in MP_biometh pathway gas pretreatment</w:t>
        </w:r>
        <w:r w:rsidR="00B87259">
          <w:rPr>
            <w:noProof/>
            <w:webHidden/>
          </w:rPr>
          <w:tab/>
        </w:r>
        <w:r w:rsidR="00B87259">
          <w:rPr>
            <w:noProof/>
            <w:webHidden/>
          </w:rPr>
          <w:fldChar w:fldCharType="begin"/>
        </w:r>
        <w:r w:rsidR="00B87259">
          <w:rPr>
            <w:noProof/>
            <w:webHidden/>
          </w:rPr>
          <w:instrText xml:space="preserve"> PAGEREF _Toc151967947 \h </w:instrText>
        </w:r>
        <w:r w:rsidR="00B87259">
          <w:rPr>
            <w:noProof/>
            <w:webHidden/>
          </w:rPr>
        </w:r>
        <w:r w:rsidR="00B87259">
          <w:rPr>
            <w:noProof/>
            <w:webHidden/>
          </w:rPr>
          <w:fldChar w:fldCharType="separate"/>
        </w:r>
        <w:r w:rsidR="00A01585">
          <w:rPr>
            <w:noProof/>
            <w:webHidden/>
          </w:rPr>
          <w:t>64</w:t>
        </w:r>
        <w:r w:rsidR="00B87259">
          <w:rPr>
            <w:noProof/>
            <w:webHidden/>
          </w:rPr>
          <w:fldChar w:fldCharType="end"/>
        </w:r>
      </w:hyperlink>
    </w:p>
    <w:p w14:paraId="608C45DE" w14:textId="66B4F1CC"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48" w:history="1">
        <w:r w:rsidR="00B87259" w:rsidRPr="003E2BAF">
          <w:rPr>
            <w:rStyle w:val="Lienhypertexte"/>
            <w:noProof/>
          </w:rPr>
          <w:t>Table SI. 64 – MP_biometh pathway gas flows and energy performances illustrated for bovine manure</w:t>
        </w:r>
        <w:r w:rsidR="00B87259">
          <w:rPr>
            <w:noProof/>
            <w:webHidden/>
          </w:rPr>
          <w:tab/>
        </w:r>
        <w:r w:rsidR="00B87259">
          <w:rPr>
            <w:noProof/>
            <w:webHidden/>
          </w:rPr>
          <w:fldChar w:fldCharType="begin"/>
        </w:r>
        <w:r w:rsidR="00B87259">
          <w:rPr>
            <w:noProof/>
            <w:webHidden/>
          </w:rPr>
          <w:instrText xml:space="preserve"> PAGEREF _Toc151967948 \h </w:instrText>
        </w:r>
        <w:r w:rsidR="00B87259">
          <w:rPr>
            <w:noProof/>
            <w:webHidden/>
          </w:rPr>
        </w:r>
        <w:r w:rsidR="00B87259">
          <w:rPr>
            <w:noProof/>
            <w:webHidden/>
          </w:rPr>
          <w:fldChar w:fldCharType="separate"/>
        </w:r>
        <w:r w:rsidR="00A01585">
          <w:rPr>
            <w:noProof/>
            <w:webHidden/>
          </w:rPr>
          <w:t>65</w:t>
        </w:r>
        <w:r w:rsidR="00B87259">
          <w:rPr>
            <w:noProof/>
            <w:webHidden/>
          </w:rPr>
          <w:fldChar w:fldCharType="end"/>
        </w:r>
      </w:hyperlink>
    </w:p>
    <w:p w14:paraId="00612D18" w14:textId="1E5CE390"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49" w:history="1">
        <w:r w:rsidR="00B87259" w:rsidRPr="003E2BAF">
          <w:rPr>
            <w:rStyle w:val="Lienhypertexte"/>
            <w:noProof/>
          </w:rPr>
          <w:t>Table SI. 65 – SR building and catalysis modeling parameters</w:t>
        </w:r>
        <w:r w:rsidR="00B87259">
          <w:rPr>
            <w:noProof/>
            <w:webHidden/>
          </w:rPr>
          <w:tab/>
        </w:r>
        <w:r w:rsidR="00B87259">
          <w:rPr>
            <w:noProof/>
            <w:webHidden/>
          </w:rPr>
          <w:fldChar w:fldCharType="begin"/>
        </w:r>
        <w:r w:rsidR="00B87259">
          <w:rPr>
            <w:noProof/>
            <w:webHidden/>
          </w:rPr>
          <w:instrText xml:space="preserve"> PAGEREF _Toc151967949 \h </w:instrText>
        </w:r>
        <w:r w:rsidR="00B87259">
          <w:rPr>
            <w:noProof/>
            <w:webHidden/>
          </w:rPr>
        </w:r>
        <w:r w:rsidR="00B87259">
          <w:rPr>
            <w:noProof/>
            <w:webHidden/>
          </w:rPr>
          <w:fldChar w:fldCharType="separate"/>
        </w:r>
        <w:r w:rsidR="00A01585">
          <w:rPr>
            <w:noProof/>
            <w:webHidden/>
          </w:rPr>
          <w:t>65</w:t>
        </w:r>
        <w:r w:rsidR="00B87259">
          <w:rPr>
            <w:noProof/>
            <w:webHidden/>
          </w:rPr>
          <w:fldChar w:fldCharType="end"/>
        </w:r>
      </w:hyperlink>
    </w:p>
    <w:p w14:paraId="2B0BA439" w14:textId="321504B5"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50" w:history="1">
        <w:r w:rsidR="00B87259" w:rsidRPr="003E2BAF">
          <w:rPr>
            <w:rStyle w:val="Lienhypertexte"/>
            <w:noProof/>
          </w:rPr>
          <w:t>Table SI. 66 – Heat recovery modeling involved in MP_shifts pathway pretreatment</w:t>
        </w:r>
        <w:r w:rsidR="00B87259">
          <w:rPr>
            <w:noProof/>
            <w:webHidden/>
          </w:rPr>
          <w:tab/>
        </w:r>
        <w:r w:rsidR="00B87259">
          <w:rPr>
            <w:noProof/>
            <w:webHidden/>
          </w:rPr>
          <w:fldChar w:fldCharType="begin"/>
        </w:r>
        <w:r w:rsidR="00B87259">
          <w:rPr>
            <w:noProof/>
            <w:webHidden/>
          </w:rPr>
          <w:instrText xml:space="preserve"> PAGEREF _Toc151967950 \h </w:instrText>
        </w:r>
        <w:r w:rsidR="00B87259">
          <w:rPr>
            <w:noProof/>
            <w:webHidden/>
          </w:rPr>
        </w:r>
        <w:r w:rsidR="00B87259">
          <w:rPr>
            <w:noProof/>
            <w:webHidden/>
          </w:rPr>
          <w:fldChar w:fldCharType="separate"/>
        </w:r>
        <w:r w:rsidR="00A01585">
          <w:rPr>
            <w:noProof/>
            <w:webHidden/>
          </w:rPr>
          <w:t>66</w:t>
        </w:r>
        <w:r w:rsidR="00B87259">
          <w:rPr>
            <w:noProof/>
            <w:webHidden/>
          </w:rPr>
          <w:fldChar w:fldCharType="end"/>
        </w:r>
      </w:hyperlink>
    </w:p>
    <w:p w14:paraId="78A7E284" w14:textId="0BA60A57"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51" w:history="1">
        <w:r w:rsidR="00B87259" w:rsidRPr="003E2BAF">
          <w:rPr>
            <w:rStyle w:val="Lienhypertexte"/>
            <w:noProof/>
          </w:rPr>
          <w:t>Table SI. 67 – MP_shifts pathway gas flows and energy performances illustrated for hardwood residues</w:t>
        </w:r>
        <w:r w:rsidR="00B87259">
          <w:rPr>
            <w:noProof/>
            <w:webHidden/>
          </w:rPr>
          <w:tab/>
        </w:r>
        <w:r w:rsidR="00B87259">
          <w:rPr>
            <w:noProof/>
            <w:webHidden/>
          </w:rPr>
          <w:fldChar w:fldCharType="begin"/>
        </w:r>
        <w:r w:rsidR="00B87259">
          <w:rPr>
            <w:noProof/>
            <w:webHidden/>
          </w:rPr>
          <w:instrText xml:space="preserve"> PAGEREF _Toc151967951 \h </w:instrText>
        </w:r>
        <w:r w:rsidR="00B87259">
          <w:rPr>
            <w:noProof/>
            <w:webHidden/>
          </w:rPr>
        </w:r>
        <w:r w:rsidR="00B87259">
          <w:rPr>
            <w:noProof/>
            <w:webHidden/>
          </w:rPr>
          <w:fldChar w:fldCharType="separate"/>
        </w:r>
        <w:r w:rsidR="00A01585">
          <w:rPr>
            <w:noProof/>
            <w:webHidden/>
          </w:rPr>
          <w:t>66</w:t>
        </w:r>
        <w:r w:rsidR="00B87259">
          <w:rPr>
            <w:noProof/>
            <w:webHidden/>
          </w:rPr>
          <w:fldChar w:fldCharType="end"/>
        </w:r>
      </w:hyperlink>
    </w:p>
    <w:p w14:paraId="5BA9D8F0" w14:textId="183AF574"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52" w:history="1">
        <w:r w:rsidR="00B87259" w:rsidRPr="003E2BAF">
          <w:rPr>
            <w:rStyle w:val="Lienhypertexte"/>
            <w:noProof/>
          </w:rPr>
          <w:t>Table SI. 68 – Heat recovery modeling involved in MP_shiftb pathway pretreatment</w:t>
        </w:r>
        <w:r w:rsidR="00B87259">
          <w:rPr>
            <w:noProof/>
            <w:webHidden/>
          </w:rPr>
          <w:tab/>
        </w:r>
        <w:r w:rsidR="00B87259">
          <w:rPr>
            <w:noProof/>
            <w:webHidden/>
          </w:rPr>
          <w:fldChar w:fldCharType="begin"/>
        </w:r>
        <w:r w:rsidR="00B87259">
          <w:rPr>
            <w:noProof/>
            <w:webHidden/>
          </w:rPr>
          <w:instrText xml:space="preserve"> PAGEREF _Toc151967952 \h </w:instrText>
        </w:r>
        <w:r w:rsidR="00B87259">
          <w:rPr>
            <w:noProof/>
            <w:webHidden/>
          </w:rPr>
        </w:r>
        <w:r w:rsidR="00B87259">
          <w:rPr>
            <w:noProof/>
            <w:webHidden/>
          </w:rPr>
          <w:fldChar w:fldCharType="separate"/>
        </w:r>
        <w:r w:rsidR="00A01585">
          <w:rPr>
            <w:noProof/>
            <w:webHidden/>
          </w:rPr>
          <w:t>66</w:t>
        </w:r>
        <w:r w:rsidR="00B87259">
          <w:rPr>
            <w:noProof/>
            <w:webHidden/>
          </w:rPr>
          <w:fldChar w:fldCharType="end"/>
        </w:r>
      </w:hyperlink>
    </w:p>
    <w:p w14:paraId="1DF45A1D" w14:textId="5542C1AF"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53" w:history="1">
        <w:r w:rsidR="00B87259" w:rsidRPr="003E2BAF">
          <w:rPr>
            <w:rStyle w:val="Lienhypertexte"/>
            <w:noProof/>
          </w:rPr>
          <w:t>Table SI. 69 – MP_shiftb pathway gas flows and energy performances illustrated for bovine manure</w:t>
        </w:r>
        <w:r w:rsidR="00B87259">
          <w:rPr>
            <w:noProof/>
            <w:webHidden/>
          </w:rPr>
          <w:tab/>
        </w:r>
        <w:r w:rsidR="00B87259">
          <w:rPr>
            <w:noProof/>
            <w:webHidden/>
          </w:rPr>
          <w:fldChar w:fldCharType="begin"/>
        </w:r>
        <w:r w:rsidR="00B87259">
          <w:rPr>
            <w:noProof/>
            <w:webHidden/>
          </w:rPr>
          <w:instrText xml:space="preserve"> PAGEREF _Toc151967953 \h </w:instrText>
        </w:r>
        <w:r w:rsidR="00B87259">
          <w:rPr>
            <w:noProof/>
            <w:webHidden/>
          </w:rPr>
        </w:r>
        <w:r w:rsidR="00B87259">
          <w:rPr>
            <w:noProof/>
            <w:webHidden/>
          </w:rPr>
          <w:fldChar w:fldCharType="separate"/>
        </w:r>
        <w:r w:rsidR="00A01585">
          <w:rPr>
            <w:noProof/>
            <w:webHidden/>
          </w:rPr>
          <w:t>67</w:t>
        </w:r>
        <w:r w:rsidR="00B87259">
          <w:rPr>
            <w:noProof/>
            <w:webHidden/>
          </w:rPr>
          <w:fldChar w:fldCharType="end"/>
        </w:r>
      </w:hyperlink>
    </w:p>
    <w:p w14:paraId="4231C5BB" w14:textId="3399ECE3"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54" w:history="1">
        <w:r w:rsidR="00B87259" w:rsidRPr="003E2BAF">
          <w:rPr>
            <w:rStyle w:val="Lienhypertexte"/>
            <w:noProof/>
          </w:rPr>
          <w:t>Table SI. 70 – Parameters specific to MP pathways pretreatments</w:t>
        </w:r>
        <w:r w:rsidR="00B87259">
          <w:rPr>
            <w:noProof/>
            <w:webHidden/>
          </w:rPr>
          <w:tab/>
        </w:r>
        <w:r w:rsidR="00B87259">
          <w:rPr>
            <w:noProof/>
            <w:webHidden/>
          </w:rPr>
          <w:fldChar w:fldCharType="begin"/>
        </w:r>
        <w:r w:rsidR="00B87259">
          <w:rPr>
            <w:noProof/>
            <w:webHidden/>
          </w:rPr>
          <w:instrText xml:space="preserve"> PAGEREF _Toc151967954 \h </w:instrText>
        </w:r>
        <w:r w:rsidR="00B87259">
          <w:rPr>
            <w:noProof/>
            <w:webHidden/>
          </w:rPr>
        </w:r>
        <w:r w:rsidR="00B87259">
          <w:rPr>
            <w:noProof/>
            <w:webHidden/>
          </w:rPr>
          <w:fldChar w:fldCharType="separate"/>
        </w:r>
        <w:r w:rsidR="00A01585">
          <w:rPr>
            <w:noProof/>
            <w:webHidden/>
          </w:rPr>
          <w:t>67</w:t>
        </w:r>
        <w:r w:rsidR="00B87259">
          <w:rPr>
            <w:noProof/>
            <w:webHidden/>
          </w:rPr>
          <w:fldChar w:fldCharType="end"/>
        </w:r>
      </w:hyperlink>
    </w:p>
    <w:p w14:paraId="0A7B5D72" w14:textId="6646D68F"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55" w:history="1">
        <w:r w:rsidR="00B87259" w:rsidRPr="003E2BAF">
          <w:rPr>
            <w:rStyle w:val="Lienhypertexte"/>
            <w:noProof/>
          </w:rPr>
          <w:t>Table SI. 71 – Background processes used specifically for MP pathways pretreatments</w:t>
        </w:r>
        <w:r w:rsidR="00B87259">
          <w:rPr>
            <w:noProof/>
            <w:webHidden/>
          </w:rPr>
          <w:tab/>
        </w:r>
        <w:r w:rsidR="00B87259">
          <w:rPr>
            <w:noProof/>
            <w:webHidden/>
          </w:rPr>
          <w:fldChar w:fldCharType="begin"/>
        </w:r>
        <w:r w:rsidR="00B87259">
          <w:rPr>
            <w:noProof/>
            <w:webHidden/>
          </w:rPr>
          <w:instrText xml:space="preserve"> PAGEREF _Toc151967955 \h </w:instrText>
        </w:r>
        <w:r w:rsidR="00B87259">
          <w:rPr>
            <w:noProof/>
            <w:webHidden/>
          </w:rPr>
        </w:r>
        <w:r w:rsidR="00B87259">
          <w:rPr>
            <w:noProof/>
            <w:webHidden/>
          </w:rPr>
          <w:fldChar w:fldCharType="separate"/>
        </w:r>
        <w:r w:rsidR="00A01585">
          <w:rPr>
            <w:noProof/>
            <w:webHidden/>
          </w:rPr>
          <w:t>68</w:t>
        </w:r>
        <w:r w:rsidR="00B87259">
          <w:rPr>
            <w:noProof/>
            <w:webHidden/>
          </w:rPr>
          <w:fldChar w:fldCharType="end"/>
        </w:r>
      </w:hyperlink>
    </w:p>
    <w:p w14:paraId="39BC8EF8" w14:textId="18DC2D42"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56" w:history="1">
        <w:r w:rsidR="00B87259" w:rsidRPr="003E2BAF">
          <w:rPr>
            <w:rStyle w:val="Lienhypertexte"/>
            <w:noProof/>
          </w:rPr>
          <w:t>Table SI. 72 – Review and calculation of MOB and HOB growth performances</w:t>
        </w:r>
        <w:r w:rsidR="00B87259">
          <w:rPr>
            <w:noProof/>
            <w:webHidden/>
          </w:rPr>
          <w:tab/>
        </w:r>
        <w:r w:rsidR="00B87259">
          <w:rPr>
            <w:noProof/>
            <w:webHidden/>
          </w:rPr>
          <w:fldChar w:fldCharType="begin"/>
        </w:r>
        <w:r w:rsidR="00B87259">
          <w:rPr>
            <w:noProof/>
            <w:webHidden/>
          </w:rPr>
          <w:instrText xml:space="preserve"> PAGEREF _Toc151967956 \h </w:instrText>
        </w:r>
        <w:r w:rsidR="00B87259">
          <w:rPr>
            <w:noProof/>
            <w:webHidden/>
          </w:rPr>
        </w:r>
        <w:r w:rsidR="00B87259">
          <w:rPr>
            <w:noProof/>
            <w:webHidden/>
          </w:rPr>
          <w:fldChar w:fldCharType="separate"/>
        </w:r>
        <w:r w:rsidR="00A01585">
          <w:rPr>
            <w:noProof/>
            <w:webHidden/>
          </w:rPr>
          <w:t>69</w:t>
        </w:r>
        <w:r w:rsidR="00B87259">
          <w:rPr>
            <w:noProof/>
            <w:webHidden/>
          </w:rPr>
          <w:fldChar w:fldCharType="end"/>
        </w:r>
      </w:hyperlink>
    </w:p>
    <w:p w14:paraId="11C58E8C" w14:textId="4D14611B"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57" w:history="1">
        <w:r w:rsidR="00B87259" w:rsidRPr="003E2BAF">
          <w:rPr>
            <w:rStyle w:val="Lienhypertexte"/>
            <w:noProof/>
          </w:rPr>
          <w:t>Table SI. 73 – Bioreactor cleaning modeling parameters</w:t>
        </w:r>
        <w:r w:rsidR="00B87259">
          <w:rPr>
            <w:noProof/>
            <w:webHidden/>
          </w:rPr>
          <w:tab/>
        </w:r>
        <w:r w:rsidR="00B87259">
          <w:rPr>
            <w:noProof/>
            <w:webHidden/>
          </w:rPr>
          <w:fldChar w:fldCharType="begin"/>
        </w:r>
        <w:r w:rsidR="00B87259">
          <w:rPr>
            <w:noProof/>
            <w:webHidden/>
          </w:rPr>
          <w:instrText xml:space="preserve"> PAGEREF _Toc151967957 \h </w:instrText>
        </w:r>
        <w:r w:rsidR="00B87259">
          <w:rPr>
            <w:noProof/>
            <w:webHidden/>
          </w:rPr>
        </w:r>
        <w:r w:rsidR="00B87259">
          <w:rPr>
            <w:noProof/>
            <w:webHidden/>
          </w:rPr>
          <w:fldChar w:fldCharType="separate"/>
        </w:r>
        <w:r w:rsidR="00A01585">
          <w:rPr>
            <w:noProof/>
            <w:webHidden/>
          </w:rPr>
          <w:t>72</w:t>
        </w:r>
        <w:r w:rsidR="00B87259">
          <w:rPr>
            <w:noProof/>
            <w:webHidden/>
          </w:rPr>
          <w:fldChar w:fldCharType="end"/>
        </w:r>
      </w:hyperlink>
    </w:p>
    <w:p w14:paraId="62FA4B27" w14:textId="4B92A7A6"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58" w:history="1">
        <w:r w:rsidR="00B87259" w:rsidRPr="003E2BAF">
          <w:rPr>
            <w:rStyle w:val="Lienhypertexte"/>
            <w:noProof/>
          </w:rPr>
          <w:t>Table SI. 74 – Medium formulation modeling parameters</w:t>
        </w:r>
        <w:r w:rsidR="00B87259">
          <w:rPr>
            <w:noProof/>
            <w:webHidden/>
          </w:rPr>
          <w:tab/>
        </w:r>
        <w:r w:rsidR="00B87259">
          <w:rPr>
            <w:noProof/>
            <w:webHidden/>
          </w:rPr>
          <w:fldChar w:fldCharType="begin"/>
        </w:r>
        <w:r w:rsidR="00B87259">
          <w:rPr>
            <w:noProof/>
            <w:webHidden/>
          </w:rPr>
          <w:instrText xml:space="preserve"> PAGEREF _Toc151967958 \h </w:instrText>
        </w:r>
        <w:r w:rsidR="00B87259">
          <w:rPr>
            <w:noProof/>
            <w:webHidden/>
          </w:rPr>
        </w:r>
        <w:r w:rsidR="00B87259">
          <w:rPr>
            <w:noProof/>
            <w:webHidden/>
          </w:rPr>
          <w:fldChar w:fldCharType="separate"/>
        </w:r>
        <w:r w:rsidR="00A01585">
          <w:rPr>
            <w:noProof/>
            <w:webHidden/>
          </w:rPr>
          <w:t>72</w:t>
        </w:r>
        <w:r w:rsidR="00B87259">
          <w:rPr>
            <w:noProof/>
            <w:webHidden/>
          </w:rPr>
          <w:fldChar w:fldCharType="end"/>
        </w:r>
      </w:hyperlink>
    </w:p>
    <w:p w14:paraId="3721FD25" w14:textId="6AAEE50E"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59" w:history="1">
        <w:r w:rsidR="00B87259" w:rsidRPr="003E2BAF">
          <w:rPr>
            <w:rStyle w:val="Lienhypertexte"/>
            <w:noProof/>
          </w:rPr>
          <w:t>Table SI. 75 – MP post-treatments modeling parameters</w:t>
        </w:r>
        <w:r w:rsidR="00B87259">
          <w:rPr>
            <w:noProof/>
            <w:webHidden/>
          </w:rPr>
          <w:tab/>
        </w:r>
        <w:r w:rsidR="00B87259">
          <w:rPr>
            <w:noProof/>
            <w:webHidden/>
          </w:rPr>
          <w:fldChar w:fldCharType="begin"/>
        </w:r>
        <w:r w:rsidR="00B87259">
          <w:rPr>
            <w:noProof/>
            <w:webHidden/>
          </w:rPr>
          <w:instrText xml:space="preserve"> PAGEREF _Toc151967959 \h </w:instrText>
        </w:r>
        <w:r w:rsidR="00B87259">
          <w:rPr>
            <w:noProof/>
            <w:webHidden/>
          </w:rPr>
        </w:r>
        <w:r w:rsidR="00B87259">
          <w:rPr>
            <w:noProof/>
            <w:webHidden/>
          </w:rPr>
          <w:fldChar w:fldCharType="separate"/>
        </w:r>
        <w:r w:rsidR="00A01585">
          <w:rPr>
            <w:noProof/>
            <w:webHidden/>
          </w:rPr>
          <w:t>74</w:t>
        </w:r>
        <w:r w:rsidR="00B87259">
          <w:rPr>
            <w:noProof/>
            <w:webHidden/>
          </w:rPr>
          <w:fldChar w:fldCharType="end"/>
        </w:r>
      </w:hyperlink>
    </w:p>
    <w:p w14:paraId="2DF95673" w14:textId="6C3D07A1"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60" w:history="1">
        <w:r w:rsidR="00B87259" w:rsidRPr="003E2BAF">
          <w:rPr>
            <w:rStyle w:val="Lienhypertexte"/>
            <w:noProof/>
          </w:rPr>
          <w:t>Table SI. 76 – MP composition</w:t>
        </w:r>
        <w:r w:rsidR="00B87259">
          <w:rPr>
            <w:noProof/>
            <w:webHidden/>
          </w:rPr>
          <w:tab/>
        </w:r>
        <w:r w:rsidR="00B87259">
          <w:rPr>
            <w:noProof/>
            <w:webHidden/>
          </w:rPr>
          <w:fldChar w:fldCharType="begin"/>
        </w:r>
        <w:r w:rsidR="00B87259">
          <w:rPr>
            <w:noProof/>
            <w:webHidden/>
          </w:rPr>
          <w:instrText xml:space="preserve"> PAGEREF _Toc151967960 \h </w:instrText>
        </w:r>
        <w:r w:rsidR="00B87259">
          <w:rPr>
            <w:noProof/>
            <w:webHidden/>
          </w:rPr>
        </w:r>
        <w:r w:rsidR="00B87259">
          <w:rPr>
            <w:noProof/>
            <w:webHidden/>
          </w:rPr>
          <w:fldChar w:fldCharType="separate"/>
        </w:r>
        <w:r w:rsidR="00A01585">
          <w:rPr>
            <w:noProof/>
            <w:webHidden/>
          </w:rPr>
          <w:t>75</w:t>
        </w:r>
        <w:r w:rsidR="00B87259">
          <w:rPr>
            <w:noProof/>
            <w:webHidden/>
          </w:rPr>
          <w:fldChar w:fldCharType="end"/>
        </w:r>
      </w:hyperlink>
    </w:p>
    <w:p w14:paraId="517643BB" w14:textId="46F941E4"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61" w:history="1">
        <w:r w:rsidR="00B87259" w:rsidRPr="003E2BAF">
          <w:rPr>
            <w:rStyle w:val="Lienhypertexte"/>
            <w:noProof/>
          </w:rPr>
          <w:t>Table SI. 77 – Heat recovery modeling involved in MP production and post-treatments</w:t>
        </w:r>
        <w:r w:rsidR="00B87259">
          <w:rPr>
            <w:noProof/>
            <w:webHidden/>
          </w:rPr>
          <w:tab/>
        </w:r>
        <w:r w:rsidR="00B87259">
          <w:rPr>
            <w:noProof/>
            <w:webHidden/>
          </w:rPr>
          <w:fldChar w:fldCharType="begin"/>
        </w:r>
        <w:r w:rsidR="00B87259">
          <w:rPr>
            <w:noProof/>
            <w:webHidden/>
          </w:rPr>
          <w:instrText xml:space="preserve"> PAGEREF _Toc151967961 \h </w:instrText>
        </w:r>
        <w:r w:rsidR="00B87259">
          <w:rPr>
            <w:noProof/>
            <w:webHidden/>
          </w:rPr>
        </w:r>
        <w:r w:rsidR="00B87259">
          <w:rPr>
            <w:noProof/>
            <w:webHidden/>
          </w:rPr>
          <w:fldChar w:fldCharType="separate"/>
        </w:r>
        <w:r w:rsidR="00A01585">
          <w:rPr>
            <w:noProof/>
            <w:webHidden/>
          </w:rPr>
          <w:t>76</w:t>
        </w:r>
        <w:r w:rsidR="00B87259">
          <w:rPr>
            <w:noProof/>
            <w:webHidden/>
          </w:rPr>
          <w:fldChar w:fldCharType="end"/>
        </w:r>
      </w:hyperlink>
    </w:p>
    <w:p w14:paraId="4111417D" w14:textId="7558891D"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62" w:history="1">
        <w:r w:rsidR="00B87259" w:rsidRPr="003E2BAF">
          <w:rPr>
            <w:rStyle w:val="Lienhypertexte"/>
            <w:noProof/>
          </w:rPr>
          <w:t>Table SI. 78 – Energy performance of MP production and post-treatments</w:t>
        </w:r>
        <w:r w:rsidR="00B87259">
          <w:rPr>
            <w:noProof/>
            <w:webHidden/>
          </w:rPr>
          <w:tab/>
        </w:r>
        <w:r w:rsidR="00B87259">
          <w:rPr>
            <w:noProof/>
            <w:webHidden/>
          </w:rPr>
          <w:fldChar w:fldCharType="begin"/>
        </w:r>
        <w:r w:rsidR="00B87259">
          <w:rPr>
            <w:noProof/>
            <w:webHidden/>
          </w:rPr>
          <w:instrText xml:space="preserve"> PAGEREF _Toc151967962 \h </w:instrText>
        </w:r>
        <w:r w:rsidR="00B87259">
          <w:rPr>
            <w:noProof/>
            <w:webHidden/>
          </w:rPr>
        </w:r>
        <w:r w:rsidR="00B87259">
          <w:rPr>
            <w:noProof/>
            <w:webHidden/>
          </w:rPr>
          <w:fldChar w:fldCharType="separate"/>
        </w:r>
        <w:r w:rsidR="00A01585">
          <w:rPr>
            <w:noProof/>
            <w:webHidden/>
          </w:rPr>
          <w:t>76</w:t>
        </w:r>
        <w:r w:rsidR="00B87259">
          <w:rPr>
            <w:noProof/>
            <w:webHidden/>
          </w:rPr>
          <w:fldChar w:fldCharType="end"/>
        </w:r>
      </w:hyperlink>
    </w:p>
    <w:p w14:paraId="4E0A291B" w14:textId="398C0004"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63" w:history="1">
        <w:r w:rsidR="00B87259" w:rsidRPr="003E2BAF">
          <w:rPr>
            <w:rStyle w:val="Lienhypertexte"/>
            <w:noProof/>
          </w:rPr>
          <w:t>Table SI. 79 – Productivity of the full second-generation MP production routes</w:t>
        </w:r>
        <w:r w:rsidR="00B87259">
          <w:rPr>
            <w:noProof/>
            <w:webHidden/>
          </w:rPr>
          <w:tab/>
        </w:r>
        <w:r w:rsidR="00B87259">
          <w:rPr>
            <w:noProof/>
            <w:webHidden/>
          </w:rPr>
          <w:fldChar w:fldCharType="begin"/>
        </w:r>
        <w:r w:rsidR="00B87259">
          <w:rPr>
            <w:noProof/>
            <w:webHidden/>
          </w:rPr>
          <w:instrText xml:space="preserve"> PAGEREF _Toc151967963 \h </w:instrText>
        </w:r>
        <w:r w:rsidR="00B87259">
          <w:rPr>
            <w:noProof/>
            <w:webHidden/>
          </w:rPr>
        </w:r>
        <w:r w:rsidR="00B87259">
          <w:rPr>
            <w:noProof/>
            <w:webHidden/>
          </w:rPr>
          <w:fldChar w:fldCharType="separate"/>
        </w:r>
        <w:r w:rsidR="00A01585">
          <w:rPr>
            <w:noProof/>
            <w:webHidden/>
          </w:rPr>
          <w:t>76</w:t>
        </w:r>
        <w:r w:rsidR="00B87259">
          <w:rPr>
            <w:noProof/>
            <w:webHidden/>
          </w:rPr>
          <w:fldChar w:fldCharType="end"/>
        </w:r>
      </w:hyperlink>
    </w:p>
    <w:p w14:paraId="76D7E2B2" w14:textId="4C700918"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64" w:history="1">
        <w:r w:rsidR="00B87259" w:rsidRPr="003E2BAF">
          <w:rPr>
            <w:rStyle w:val="Lienhypertexte"/>
            <w:noProof/>
          </w:rPr>
          <w:t>Table SI. 80 – Calculated biomethane production compared to experimental benchmark</w:t>
        </w:r>
        <w:r w:rsidR="00B87259">
          <w:rPr>
            <w:noProof/>
            <w:webHidden/>
          </w:rPr>
          <w:tab/>
        </w:r>
        <w:r w:rsidR="00B87259">
          <w:rPr>
            <w:noProof/>
            <w:webHidden/>
          </w:rPr>
          <w:fldChar w:fldCharType="begin"/>
        </w:r>
        <w:r w:rsidR="00B87259">
          <w:rPr>
            <w:noProof/>
            <w:webHidden/>
          </w:rPr>
          <w:instrText xml:space="preserve"> PAGEREF _Toc151967964 \h </w:instrText>
        </w:r>
        <w:r w:rsidR="00B87259">
          <w:rPr>
            <w:noProof/>
            <w:webHidden/>
          </w:rPr>
        </w:r>
        <w:r w:rsidR="00B87259">
          <w:rPr>
            <w:noProof/>
            <w:webHidden/>
          </w:rPr>
          <w:fldChar w:fldCharType="separate"/>
        </w:r>
        <w:r w:rsidR="00A01585">
          <w:rPr>
            <w:noProof/>
            <w:webHidden/>
          </w:rPr>
          <w:t>76</w:t>
        </w:r>
        <w:r w:rsidR="00B87259">
          <w:rPr>
            <w:noProof/>
            <w:webHidden/>
          </w:rPr>
          <w:fldChar w:fldCharType="end"/>
        </w:r>
      </w:hyperlink>
    </w:p>
    <w:p w14:paraId="5320CA76" w14:textId="4A89D8B8"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65" w:history="1">
        <w:r w:rsidR="00B87259" w:rsidRPr="003E2BAF">
          <w:rPr>
            <w:rStyle w:val="Lienhypertexte"/>
            <w:noProof/>
          </w:rPr>
          <w:t>Table SI. 81 – Parameters specific to MP production stage and downstream operations</w:t>
        </w:r>
        <w:r w:rsidR="00B87259">
          <w:rPr>
            <w:noProof/>
            <w:webHidden/>
          </w:rPr>
          <w:tab/>
        </w:r>
        <w:r w:rsidR="00B87259">
          <w:rPr>
            <w:noProof/>
            <w:webHidden/>
          </w:rPr>
          <w:fldChar w:fldCharType="begin"/>
        </w:r>
        <w:r w:rsidR="00B87259">
          <w:rPr>
            <w:noProof/>
            <w:webHidden/>
          </w:rPr>
          <w:instrText xml:space="preserve"> PAGEREF _Toc151967965 \h </w:instrText>
        </w:r>
        <w:r w:rsidR="00B87259">
          <w:rPr>
            <w:noProof/>
            <w:webHidden/>
          </w:rPr>
        </w:r>
        <w:r w:rsidR="00B87259">
          <w:rPr>
            <w:noProof/>
            <w:webHidden/>
          </w:rPr>
          <w:fldChar w:fldCharType="separate"/>
        </w:r>
        <w:r w:rsidR="00A01585">
          <w:rPr>
            <w:noProof/>
            <w:webHidden/>
          </w:rPr>
          <w:t>77</w:t>
        </w:r>
        <w:r w:rsidR="00B87259">
          <w:rPr>
            <w:noProof/>
            <w:webHidden/>
          </w:rPr>
          <w:fldChar w:fldCharType="end"/>
        </w:r>
      </w:hyperlink>
    </w:p>
    <w:p w14:paraId="2C03FE30" w14:textId="13F9B151"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66" w:history="1">
        <w:r w:rsidR="00B87259" w:rsidRPr="003E2BAF">
          <w:rPr>
            <w:rStyle w:val="Lienhypertexte"/>
            <w:noProof/>
          </w:rPr>
          <w:t>Table SI. 82 – Background processes used specifically for MP production and downstream operations</w:t>
        </w:r>
        <w:r w:rsidR="00B87259">
          <w:rPr>
            <w:noProof/>
            <w:webHidden/>
          </w:rPr>
          <w:tab/>
        </w:r>
        <w:r w:rsidR="00B87259">
          <w:rPr>
            <w:noProof/>
            <w:webHidden/>
          </w:rPr>
          <w:fldChar w:fldCharType="begin"/>
        </w:r>
        <w:r w:rsidR="00B87259">
          <w:rPr>
            <w:noProof/>
            <w:webHidden/>
          </w:rPr>
          <w:instrText xml:space="preserve"> PAGEREF _Toc151967966 \h </w:instrText>
        </w:r>
        <w:r w:rsidR="00B87259">
          <w:rPr>
            <w:noProof/>
            <w:webHidden/>
          </w:rPr>
        </w:r>
        <w:r w:rsidR="00B87259">
          <w:rPr>
            <w:noProof/>
            <w:webHidden/>
          </w:rPr>
          <w:fldChar w:fldCharType="separate"/>
        </w:r>
        <w:r w:rsidR="00A01585">
          <w:rPr>
            <w:noProof/>
            <w:webHidden/>
          </w:rPr>
          <w:t>78</w:t>
        </w:r>
        <w:r w:rsidR="00B87259">
          <w:rPr>
            <w:noProof/>
            <w:webHidden/>
          </w:rPr>
          <w:fldChar w:fldCharType="end"/>
        </w:r>
      </w:hyperlink>
    </w:p>
    <w:p w14:paraId="303B51CD" w14:textId="3719C166"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67" w:history="1">
        <w:r w:rsidR="00B87259" w:rsidRPr="003E2BAF">
          <w:rPr>
            <w:rStyle w:val="Lienhypertexte"/>
            <w:noProof/>
          </w:rPr>
          <w:t>Table SI. 83 – Published LCA of green biorefinery pathways and assimilated</w:t>
        </w:r>
        <w:r w:rsidR="00B87259">
          <w:rPr>
            <w:noProof/>
            <w:webHidden/>
          </w:rPr>
          <w:tab/>
        </w:r>
        <w:r w:rsidR="00B87259">
          <w:rPr>
            <w:noProof/>
            <w:webHidden/>
          </w:rPr>
          <w:fldChar w:fldCharType="begin"/>
        </w:r>
        <w:r w:rsidR="00B87259">
          <w:rPr>
            <w:noProof/>
            <w:webHidden/>
          </w:rPr>
          <w:instrText xml:space="preserve"> PAGEREF _Toc151967967 \h </w:instrText>
        </w:r>
        <w:r w:rsidR="00B87259">
          <w:rPr>
            <w:noProof/>
            <w:webHidden/>
          </w:rPr>
        </w:r>
        <w:r w:rsidR="00B87259">
          <w:rPr>
            <w:noProof/>
            <w:webHidden/>
          </w:rPr>
          <w:fldChar w:fldCharType="separate"/>
        </w:r>
        <w:r w:rsidR="00A01585">
          <w:rPr>
            <w:noProof/>
            <w:webHidden/>
          </w:rPr>
          <w:t>80</w:t>
        </w:r>
        <w:r w:rsidR="00B87259">
          <w:rPr>
            <w:noProof/>
            <w:webHidden/>
          </w:rPr>
          <w:fldChar w:fldCharType="end"/>
        </w:r>
      </w:hyperlink>
    </w:p>
    <w:p w14:paraId="6EBE018F" w14:textId="518A305A"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68" w:history="1">
        <w:r w:rsidR="00B87259" w:rsidRPr="003E2BAF">
          <w:rPr>
            <w:rStyle w:val="Lienhypertexte"/>
            <w:noProof/>
          </w:rPr>
          <w:t xml:space="preserve">Table SI. 84 </w:t>
        </w:r>
        <w:r w:rsidR="00B87259" w:rsidRPr="003E2BAF">
          <w:rPr>
            <w:rStyle w:val="Lienhypertexte"/>
            <w:rFonts w:cs="Times New Roman"/>
            <w:noProof/>
          </w:rPr>
          <w:t>– GB pretreatment modeling parameters</w:t>
        </w:r>
        <w:r w:rsidR="00B87259">
          <w:rPr>
            <w:noProof/>
            <w:webHidden/>
          </w:rPr>
          <w:tab/>
        </w:r>
        <w:r w:rsidR="00B87259">
          <w:rPr>
            <w:noProof/>
            <w:webHidden/>
          </w:rPr>
          <w:fldChar w:fldCharType="begin"/>
        </w:r>
        <w:r w:rsidR="00B87259">
          <w:rPr>
            <w:noProof/>
            <w:webHidden/>
          </w:rPr>
          <w:instrText xml:space="preserve"> PAGEREF _Toc151967968 \h </w:instrText>
        </w:r>
        <w:r w:rsidR="00B87259">
          <w:rPr>
            <w:noProof/>
            <w:webHidden/>
          </w:rPr>
        </w:r>
        <w:r w:rsidR="00B87259">
          <w:rPr>
            <w:noProof/>
            <w:webHidden/>
          </w:rPr>
          <w:fldChar w:fldCharType="separate"/>
        </w:r>
        <w:r w:rsidR="00A01585">
          <w:rPr>
            <w:noProof/>
            <w:webHidden/>
          </w:rPr>
          <w:t>82</w:t>
        </w:r>
        <w:r w:rsidR="00B87259">
          <w:rPr>
            <w:noProof/>
            <w:webHidden/>
          </w:rPr>
          <w:fldChar w:fldCharType="end"/>
        </w:r>
      </w:hyperlink>
    </w:p>
    <w:p w14:paraId="0A4EADDC" w14:textId="0AFE8447"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69" w:history="1">
        <w:r w:rsidR="00B87259" w:rsidRPr="003E2BAF">
          <w:rPr>
            <w:rStyle w:val="Lienhypertexte"/>
            <w:noProof/>
          </w:rPr>
          <w:t>Table SI. 85 – Benchmark of green juice extraction performances</w:t>
        </w:r>
        <w:r w:rsidR="00B87259">
          <w:rPr>
            <w:noProof/>
            <w:webHidden/>
          </w:rPr>
          <w:tab/>
        </w:r>
        <w:r w:rsidR="00B87259">
          <w:rPr>
            <w:noProof/>
            <w:webHidden/>
          </w:rPr>
          <w:fldChar w:fldCharType="begin"/>
        </w:r>
        <w:r w:rsidR="00B87259">
          <w:rPr>
            <w:noProof/>
            <w:webHidden/>
          </w:rPr>
          <w:instrText xml:space="preserve"> PAGEREF _Toc151967969 \h </w:instrText>
        </w:r>
        <w:r w:rsidR="00B87259">
          <w:rPr>
            <w:noProof/>
            <w:webHidden/>
          </w:rPr>
        </w:r>
        <w:r w:rsidR="00B87259">
          <w:rPr>
            <w:noProof/>
            <w:webHidden/>
          </w:rPr>
          <w:fldChar w:fldCharType="separate"/>
        </w:r>
        <w:r w:rsidR="00A01585">
          <w:rPr>
            <w:noProof/>
            <w:webHidden/>
          </w:rPr>
          <w:t>83</w:t>
        </w:r>
        <w:r w:rsidR="00B87259">
          <w:rPr>
            <w:noProof/>
            <w:webHidden/>
          </w:rPr>
          <w:fldChar w:fldCharType="end"/>
        </w:r>
      </w:hyperlink>
    </w:p>
    <w:p w14:paraId="07707B69" w14:textId="7A9E6625"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70" w:history="1">
        <w:r w:rsidR="00B87259" w:rsidRPr="003E2BAF">
          <w:rPr>
            <w:rStyle w:val="Lienhypertexte"/>
            <w:noProof/>
          </w:rPr>
          <w:t>Table SI. 86 – Selected parameters and variation ranges for green juice extraction</w:t>
        </w:r>
        <w:r w:rsidR="00B87259">
          <w:rPr>
            <w:noProof/>
            <w:webHidden/>
          </w:rPr>
          <w:tab/>
        </w:r>
        <w:r w:rsidR="00B87259">
          <w:rPr>
            <w:noProof/>
            <w:webHidden/>
          </w:rPr>
          <w:fldChar w:fldCharType="begin"/>
        </w:r>
        <w:r w:rsidR="00B87259">
          <w:rPr>
            <w:noProof/>
            <w:webHidden/>
          </w:rPr>
          <w:instrText xml:space="preserve"> PAGEREF _Toc151967970 \h </w:instrText>
        </w:r>
        <w:r w:rsidR="00B87259">
          <w:rPr>
            <w:noProof/>
            <w:webHidden/>
          </w:rPr>
        </w:r>
        <w:r w:rsidR="00B87259">
          <w:rPr>
            <w:noProof/>
            <w:webHidden/>
          </w:rPr>
          <w:fldChar w:fldCharType="separate"/>
        </w:r>
        <w:r w:rsidR="00A01585">
          <w:rPr>
            <w:noProof/>
            <w:webHidden/>
          </w:rPr>
          <w:t>84</w:t>
        </w:r>
        <w:r w:rsidR="00B87259">
          <w:rPr>
            <w:noProof/>
            <w:webHidden/>
          </w:rPr>
          <w:fldChar w:fldCharType="end"/>
        </w:r>
      </w:hyperlink>
    </w:p>
    <w:p w14:paraId="013B1E40" w14:textId="2B7B709B"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71" w:history="1">
        <w:r w:rsidR="00B87259" w:rsidRPr="003E2BAF">
          <w:rPr>
            <w:rStyle w:val="Lienhypertexte"/>
            <w:noProof/>
          </w:rPr>
          <w:t>Table SI. 87 – Benchmark of green protein recovery performances</w:t>
        </w:r>
        <w:r w:rsidR="00B87259">
          <w:rPr>
            <w:noProof/>
            <w:webHidden/>
          </w:rPr>
          <w:tab/>
        </w:r>
        <w:r w:rsidR="00B87259">
          <w:rPr>
            <w:noProof/>
            <w:webHidden/>
          </w:rPr>
          <w:fldChar w:fldCharType="begin"/>
        </w:r>
        <w:r w:rsidR="00B87259">
          <w:rPr>
            <w:noProof/>
            <w:webHidden/>
          </w:rPr>
          <w:instrText xml:space="preserve"> PAGEREF _Toc151967971 \h </w:instrText>
        </w:r>
        <w:r w:rsidR="00B87259">
          <w:rPr>
            <w:noProof/>
            <w:webHidden/>
          </w:rPr>
        </w:r>
        <w:r w:rsidR="00B87259">
          <w:rPr>
            <w:noProof/>
            <w:webHidden/>
          </w:rPr>
          <w:fldChar w:fldCharType="separate"/>
        </w:r>
        <w:r w:rsidR="00A01585">
          <w:rPr>
            <w:noProof/>
            <w:webHidden/>
          </w:rPr>
          <w:t>85</w:t>
        </w:r>
        <w:r w:rsidR="00B87259">
          <w:rPr>
            <w:noProof/>
            <w:webHidden/>
          </w:rPr>
          <w:fldChar w:fldCharType="end"/>
        </w:r>
      </w:hyperlink>
    </w:p>
    <w:p w14:paraId="54042C14" w14:textId="1149D18A"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72" w:history="1">
        <w:r w:rsidR="00B87259" w:rsidRPr="003E2BAF">
          <w:rPr>
            <w:rStyle w:val="Lienhypertexte"/>
            <w:noProof/>
          </w:rPr>
          <w:t>Table SI. 88 – Selected parameters and variation ranges for green proteins recovery</w:t>
        </w:r>
        <w:r w:rsidR="00B87259">
          <w:rPr>
            <w:noProof/>
            <w:webHidden/>
          </w:rPr>
          <w:tab/>
        </w:r>
        <w:r w:rsidR="00B87259">
          <w:rPr>
            <w:noProof/>
            <w:webHidden/>
          </w:rPr>
          <w:fldChar w:fldCharType="begin"/>
        </w:r>
        <w:r w:rsidR="00B87259">
          <w:rPr>
            <w:noProof/>
            <w:webHidden/>
          </w:rPr>
          <w:instrText xml:space="preserve"> PAGEREF _Toc151967972 \h </w:instrText>
        </w:r>
        <w:r w:rsidR="00B87259">
          <w:rPr>
            <w:noProof/>
            <w:webHidden/>
          </w:rPr>
        </w:r>
        <w:r w:rsidR="00B87259">
          <w:rPr>
            <w:noProof/>
            <w:webHidden/>
          </w:rPr>
          <w:fldChar w:fldCharType="separate"/>
        </w:r>
        <w:r w:rsidR="00A01585">
          <w:rPr>
            <w:noProof/>
            <w:webHidden/>
          </w:rPr>
          <w:t>85</w:t>
        </w:r>
        <w:r w:rsidR="00B87259">
          <w:rPr>
            <w:noProof/>
            <w:webHidden/>
          </w:rPr>
          <w:fldChar w:fldCharType="end"/>
        </w:r>
      </w:hyperlink>
    </w:p>
    <w:p w14:paraId="3F1BE943" w14:textId="722A57C3"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73" w:history="1">
        <w:r w:rsidR="00B87259" w:rsidRPr="003E2BAF">
          <w:rPr>
            <w:rStyle w:val="Lienhypertexte"/>
            <w:noProof/>
          </w:rPr>
          <w:t>Table SI. 89 – Calculated green pellet composition and GB efficiency against benchmark</w:t>
        </w:r>
        <w:r w:rsidR="00B87259">
          <w:rPr>
            <w:noProof/>
            <w:webHidden/>
          </w:rPr>
          <w:tab/>
        </w:r>
        <w:r w:rsidR="00B87259">
          <w:rPr>
            <w:noProof/>
            <w:webHidden/>
          </w:rPr>
          <w:fldChar w:fldCharType="begin"/>
        </w:r>
        <w:r w:rsidR="00B87259">
          <w:rPr>
            <w:noProof/>
            <w:webHidden/>
          </w:rPr>
          <w:instrText xml:space="preserve"> PAGEREF _Toc151967973 \h </w:instrText>
        </w:r>
        <w:r w:rsidR="00B87259">
          <w:rPr>
            <w:noProof/>
            <w:webHidden/>
          </w:rPr>
        </w:r>
        <w:r w:rsidR="00B87259">
          <w:rPr>
            <w:noProof/>
            <w:webHidden/>
          </w:rPr>
          <w:fldChar w:fldCharType="separate"/>
        </w:r>
        <w:r w:rsidR="00A01585">
          <w:rPr>
            <w:noProof/>
            <w:webHidden/>
          </w:rPr>
          <w:t>86</w:t>
        </w:r>
        <w:r w:rsidR="00B87259">
          <w:rPr>
            <w:noProof/>
            <w:webHidden/>
          </w:rPr>
          <w:fldChar w:fldCharType="end"/>
        </w:r>
      </w:hyperlink>
    </w:p>
    <w:p w14:paraId="2CD08728" w14:textId="677ED53E"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74" w:history="1">
        <w:r w:rsidR="00B87259" w:rsidRPr="003E2BAF">
          <w:rPr>
            <w:rStyle w:val="Lienhypertexte"/>
            <w:noProof/>
          </w:rPr>
          <w:t>Table SI. 90 – Benchmarked valorization options for green biorefinery co-products</w:t>
        </w:r>
        <w:r w:rsidR="00B87259" w:rsidRPr="003E2BAF">
          <w:rPr>
            <w:rStyle w:val="Lienhypertexte"/>
            <w:noProof/>
            <w:vertAlign w:val="superscript"/>
          </w:rPr>
          <w:t>*</w:t>
        </w:r>
        <w:r w:rsidR="00B87259">
          <w:rPr>
            <w:noProof/>
            <w:webHidden/>
          </w:rPr>
          <w:tab/>
        </w:r>
        <w:r w:rsidR="00B87259">
          <w:rPr>
            <w:noProof/>
            <w:webHidden/>
          </w:rPr>
          <w:fldChar w:fldCharType="begin"/>
        </w:r>
        <w:r w:rsidR="00B87259">
          <w:rPr>
            <w:noProof/>
            <w:webHidden/>
          </w:rPr>
          <w:instrText xml:space="preserve"> PAGEREF _Toc151967974 \h </w:instrText>
        </w:r>
        <w:r w:rsidR="00B87259">
          <w:rPr>
            <w:noProof/>
            <w:webHidden/>
          </w:rPr>
        </w:r>
        <w:r w:rsidR="00B87259">
          <w:rPr>
            <w:noProof/>
            <w:webHidden/>
          </w:rPr>
          <w:fldChar w:fldCharType="separate"/>
        </w:r>
        <w:r w:rsidR="00A01585">
          <w:rPr>
            <w:noProof/>
            <w:webHidden/>
          </w:rPr>
          <w:t>87</w:t>
        </w:r>
        <w:r w:rsidR="00B87259">
          <w:rPr>
            <w:noProof/>
            <w:webHidden/>
          </w:rPr>
          <w:fldChar w:fldCharType="end"/>
        </w:r>
      </w:hyperlink>
    </w:p>
    <w:p w14:paraId="56DDDEE0" w14:textId="32CF2F42"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75" w:history="1">
        <w:r w:rsidR="00B87259" w:rsidRPr="003E2BAF">
          <w:rPr>
            <w:rStyle w:val="Lienhypertexte"/>
            <w:noProof/>
          </w:rPr>
          <w:t>Table SI. 91 – GB mass balances and distribution in final co-products</w:t>
        </w:r>
        <w:r w:rsidR="00B87259">
          <w:rPr>
            <w:noProof/>
            <w:webHidden/>
          </w:rPr>
          <w:tab/>
        </w:r>
        <w:r w:rsidR="00B87259">
          <w:rPr>
            <w:noProof/>
            <w:webHidden/>
          </w:rPr>
          <w:fldChar w:fldCharType="begin"/>
        </w:r>
        <w:r w:rsidR="00B87259">
          <w:rPr>
            <w:noProof/>
            <w:webHidden/>
          </w:rPr>
          <w:instrText xml:space="preserve"> PAGEREF _Toc151967975 \h </w:instrText>
        </w:r>
        <w:r w:rsidR="00B87259">
          <w:rPr>
            <w:noProof/>
            <w:webHidden/>
          </w:rPr>
        </w:r>
        <w:r w:rsidR="00B87259">
          <w:rPr>
            <w:noProof/>
            <w:webHidden/>
          </w:rPr>
          <w:fldChar w:fldCharType="separate"/>
        </w:r>
        <w:r w:rsidR="00A01585">
          <w:rPr>
            <w:noProof/>
            <w:webHidden/>
          </w:rPr>
          <w:t>88</w:t>
        </w:r>
        <w:r w:rsidR="00B87259">
          <w:rPr>
            <w:noProof/>
            <w:webHidden/>
          </w:rPr>
          <w:fldChar w:fldCharType="end"/>
        </w:r>
      </w:hyperlink>
    </w:p>
    <w:p w14:paraId="18BC0CF2" w14:textId="582419A3"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76" w:history="1">
        <w:r w:rsidR="00B87259" w:rsidRPr="003E2BAF">
          <w:rPr>
            <w:rStyle w:val="Lienhypertexte"/>
            <w:noProof/>
          </w:rPr>
          <w:t>Table SI. 92 – Parameters specific to green biorefinery pathways</w:t>
        </w:r>
        <w:r w:rsidR="00B87259">
          <w:rPr>
            <w:noProof/>
            <w:webHidden/>
          </w:rPr>
          <w:tab/>
        </w:r>
        <w:r w:rsidR="00B87259">
          <w:rPr>
            <w:noProof/>
            <w:webHidden/>
          </w:rPr>
          <w:fldChar w:fldCharType="begin"/>
        </w:r>
        <w:r w:rsidR="00B87259">
          <w:rPr>
            <w:noProof/>
            <w:webHidden/>
          </w:rPr>
          <w:instrText xml:space="preserve"> PAGEREF _Toc151967976 \h </w:instrText>
        </w:r>
        <w:r w:rsidR="00B87259">
          <w:rPr>
            <w:noProof/>
            <w:webHidden/>
          </w:rPr>
        </w:r>
        <w:r w:rsidR="00B87259">
          <w:rPr>
            <w:noProof/>
            <w:webHidden/>
          </w:rPr>
          <w:fldChar w:fldCharType="separate"/>
        </w:r>
        <w:r w:rsidR="00A01585">
          <w:rPr>
            <w:noProof/>
            <w:webHidden/>
          </w:rPr>
          <w:t>88</w:t>
        </w:r>
        <w:r w:rsidR="00B87259">
          <w:rPr>
            <w:noProof/>
            <w:webHidden/>
          </w:rPr>
          <w:fldChar w:fldCharType="end"/>
        </w:r>
      </w:hyperlink>
    </w:p>
    <w:p w14:paraId="01496407" w14:textId="175A1757"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77" w:history="1">
        <w:r w:rsidR="00B87259" w:rsidRPr="003E2BAF">
          <w:rPr>
            <w:rStyle w:val="Lienhypertexte"/>
            <w:noProof/>
          </w:rPr>
          <w:t>Table SI. 93 – Background processes used specifically for GB pathways</w:t>
        </w:r>
        <w:r w:rsidR="00B87259">
          <w:rPr>
            <w:noProof/>
            <w:webHidden/>
          </w:rPr>
          <w:tab/>
        </w:r>
        <w:r w:rsidR="00B87259">
          <w:rPr>
            <w:noProof/>
            <w:webHidden/>
          </w:rPr>
          <w:fldChar w:fldCharType="begin"/>
        </w:r>
        <w:r w:rsidR="00B87259">
          <w:rPr>
            <w:noProof/>
            <w:webHidden/>
          </w:rPr>
          <w:instrText xml:space="preserve"> PAGEREF _Toc151967977 \h </w:instrText>
        </w:r>
        <w:r w:rsidR="00B87259">
          <w:rPr>
            <w:noProof/>
            <w:webHidden/>
          </w:rPr>
        </w:r>
        <w:r w:rsidR="00B87259">
          <w:rPr>
            <w:noProof/>
            <w:webHidden/>
          </w:rPr>
          <w:fldChar w:fldCharType="separate"/>
        </w:r>
        <w:r w:rsidR="00A01585">
          <w:rPr>
            <w:noProof/>
            <w:webHidden/>
          </w:rPr>
          <w:t>89</w:t>
        </w:r>
        <w:r w:rsidR="00B87259">
          <w:rPr>
            <w:noProof/>
            <w:webHidden/>
          </w:rPr>
          <w:fldChar w:fldCharType="end"/>
        </w:r>
      </w:hyperlink>
    </w:p>
    <w:p w14:paraId="778F1849" w14:textId="2D77DB9E"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78" w:history="1">
        <w:r w:rsidR="00B87259" w:rsidRPr="003E2BAF">
          <w:rPr>
            <w:rStyle w:val="Lienhypertexte"/>
            <w:noProof/>
          </w:rPr>
          <w:t>Table SI. 94 – GA pretreatment requirements per residual biomass category</w:t>
        </w:r>
        <w:r w:rsidR="00B87259">
          <w:rPr>
            <w:noProof/>
            <w:webHidden/>
          </w:rPr>
          <w:tab/>
        </w:r>
        <w:r w:rsidR="00B87259">
          <w:rPr>
            <w:noProof/>
            <w:webHidden/>
          </w:rPr>
          <w:fldChar w:fldCharType="begin"/>
        </w:r>
        <w:r w:rsidR="00B87259">
          <w:rPr>
            <w:noProof/>
            <w:webHidden/>
          </w:rPr>
          <w:instrText xml:space="preserve"> PAGEREF _Toc151967978 \h </w:instrText>
        </w:r>
        <w:r w:rsidR="00B87259">
          <w:rPr>
            <w:noProof/>
            <w:webHidden/>
          </w:rPr>
        </w:r>
        <w:r w:rsidR="00B87259">
          <w:rPr>
            <w:noProof/>
            <w:webHidden/>
          </w:rPr>
          <w:fldChar w:fldCharType="separate"/>
        </w:r>
        <w:r w:rsidR="00A01585">
          <w:rPr>
            <w:noProof/>
            <w:webHidden/>
          </w:rPr>
          <w:t>91</w:t>
        </w:r>
        <w:r w:rsidR="00B87259">
          <w:rPr>
            <w:noProof/>
            <w:webHidden/>
          </w:rPr>
          <w:fldChar w:fldCharType="end"/>
        </w:r>
      </w:hyperlink>
    </w:p>
    <w:p w14:paraId="47A3AE1E" w14:textId="57C75069"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79" w:history="1">
        <w:r w:rsidR="00B87259" w:rsidRPr="003E2BAF">
          <w:rPr>
            <w:rStyle w:val="Lienhypertexte"/>
            <w:noProof/>
          </w:rPr>
          <w:t>Table SI. 95 – GA storage modeling</w:t>
        </w:r>
        <w:r w:rsidR="00B87259">
          <w:rPr>
            <w:noProof/>
            <w:webHidden/>
          </w:rPr>
          <w:tab/>
        </w:r>
        <w:r w:rsidR="00B87259">
          <w:rPr>
            <w:noProof/>
            <w:webHidden/>
          </w:rPr>
          <w:fldChar w:fldCharType="begin"/>
        </w:r>
        <w:r w:rsidR="00B87259">
          <w:rPr>
            <w:noProof/>
            <w:webHidden/>
          </w:rPr>
          <w:instrText xml:space="preserve"> PAGEREF _Toc151967979 \h </w:instrText>
        </w:r>
        <w:r w:rsidR="00B87259">
          <w:rPr>
            <w:noProof/>
            <w:webHidden/>
          </w:rPr>
        </w:r>
        <w:r w:rsidR="00B87259">
          <w:rPr>
            <w:noProof/>
            <w:webHidden/>
          </w:rPr>
          <w:fldChar w:fldCharType="separate"/>
        </w:r>
        <w:r w:rsidR="00A01585">
          <w:rPr>
            <w:noProof/>
            <w:webHidden/>
          </w:rPr>
          <w:t>92</w:t>
        </w:r>
        <w:r w:rsidR="00B87259">
          <w:rPr>
            <w:noProof/>
            <w:webHidden/>
          </w:rPr>
          <w:fldChar w:fldCharType="end"/>
        </w:r>
      </w:hyperlink>
    </w:p>
    <w:p w14:paraId="6D5B952E" w14:textId="0BB7F9AE"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80" w:history="1">
        <w:r w:rsidR="00B87259" w:rsidRPr="003E2BAF">
          <w:rPr>
            <w:rStyle w:val="Lienhypertexte"/>
            <w:noProof/>
          </w:rPr>
          <w:t>Table SI. 96 – GA standardization modeling</w:t>
        </w:r>
        <w:r w:rsidR="00B87259">
          <w:rPr>
            <w:noProof/>
            <w:webHidden/>
          </w:rPr>
          <w:tab/>
        </w:r>
        <w:r w:rsidR="00B87259">
          <w:rPr>
            <w:noProof/>
            <w:webHidden/>
          </w:rPr>
          <w:fldChar w:fldCharType="begin"/>
        </w:r>
        <w:r w:rsidR="00B87259">
          <w:rPr>
            <w:noProof/>
            <w:webHidden/>
          </w:rPr>
          <w:instrText xml:space="preserve"> PAGEREF _Toc151967980 \h </w:instrText>
        </w:r>
        <w:r w:rsidR="00B87259">
          <w:rPr>
            <w:noProof/>
            <w:webHidden/>
          </w:rPr>
        </w:r>
        <w:r w:rsidR="00B87259">
          <w:rPr>
            <w:noProof/>
            <w:webHidden/>
          </w:rPr>
          <w:fldChar w:fldCharType="separate"/>
        </w:r>
        <w:r w:rsidR="00A01585">
          <w:rPr>
            <w:noProof/>
            <w:webHidden/>
          </w:rPr>
          <w:t>92</w:t>
        </w:r>
        <w:r w:rsidR="00B87259">
          <w:rPr>
            <w:noProof/>
            <w:webHidden/>
          </w:rPr>
          <w:fldChar w:fldCharType="end"/>
        </w:r>
      </w:hyperlink>
    </w:p>
    <w:p w14:paraId="6D76EF35" w14:textId="68BD2495"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81" w:history="1">
        <w:r w:rsidR="00B87259" w:rsidRPr="003E2BAF">
          <w:rPr>
            <w:rStyle w:val="Lienhypertexte"/>
            <w:noProof/>
          </w:rPr>
          <w:t>Table SI. 97 – Reviewed performances of air-based GA performances</w:t>
        </w:r>
        <w:r w:rsidR="00B87259">
          <w:rPr>
            <w:noProof/>
            <w:webHidden/>
          </w:rPr>
          <w:tab/>
        </w:r>
        <w:r w:rsidR="00B87259">
          <w:rPr>
            <w:noProof/>
            <w:webHidden/>
          </w:rPr>
          <w:fldChar w:fldCharType="begin"/>
        </w:r>
        <w:r w:rsidR="00B87259">
          <w:rPr>
            <w:noProof/>
            <w:webHidden/>
          </w:rPr>
          <w:instrText xml:space="preserve"> PAGEREF _Toc151967981 \h </w:instrText>
        </w:r>
        <w:r w:rsidR="00B87259">
          <w:rPr>
            <w:noProof/>
            <w:webHidden/>
          </w:rPr>
        </w:r>
        <w:r w:rsidR="00B87259">
          <w:rPr>
            <w:noProof/>
            <w:webHidden/>
          </w:rPr>
          <w:fldChar w:fldCharType="separate"/>
        </w:r>
        <w:r w:rsidR="00A01585">
          <w:rPr>
            <w:noProof/>
            <w:webHidden/>
          </w:rPr>
          <w:t>93</w:t>
        </w:r>
        <w:r w:rsidR="00B87259">
          <w:rPr>
            <w:noProof/>
            <w:webHidden/>
          </w:rPr>
          <w:fldChar w:fldCharType="end"/>
        </w:r>
      </w:hyperlink>
    </w:p>
    <w:p w14:paraId="06C3BADF" w14:textId="6FC8A036"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82" w:history="1">
        <w:r w:rsidR="00B87259" w:rsidRPr="003E2BAF">
          <w:rPr>
            <w:rStyle w:val="Lienhypertexte"/>
            <w:noProof/>
          </w:rPr>
          <w:t>Table SI. 98 – GA performances calculated on selected case studies</w:t>
        </w:r>
        <w:r w:rsidR="00B87259">
          <w:rPr>
            <w:noProof/>
            <w:webHidden/>
          </w:rPr>
          <w:tab/>
        </w:r>
        <w:r w:rsidR="00B87259">
          <w:rPr>
            <w:noProof/>
            <w:webHidden/>
          </w:rPr>
          <w:fldChar w:fldCharType="begin"/>
        </w:r>
        <w:r w:rsidR="00B87259">
          <w:rPr>
            <w:noProof/>
            <w:webHidden/>
          </w:rPr>
          <w:instrText xml:space="preserve"> PAGEREF _Toc151967982 \h </w:instrText>
        </w:r>
        <w:r w:rsidR="00B87259">
          <w:rPr>
            <w:noProof/>
            <w:webHidden/>
          </w:rPr>
        </w:r>
        <w:r w:rsidR="00B87259">
          <w:rPr>
            <w:noProof/>
            <w:webHidden/>
          </w:rPr>
          <w:fldChar w:fldCharType="separate"/>
        </w:r>
        <w:r w:rsidR="00A01585">
          <w:rPr>
            <w:noProof/>
            <w:webHidden/>
          </w:rPr>
          <w:t>94</w:t>
        </w:r>
        <w:r w:rsidR="00B87259">
          <w:rPr>
            <w:noProof/>
            <w:webHidden/>
          </w:rPr>
          <w:fldChar w:fldCharType="end"/>
        </w:r>
      </w:hyperlink>
    </w:p>
    <w:p w14:paraId="1DE49ECF" w14:textId="6930C3B4"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83" w:history="1">
        <w:r w:rsidR="00B87259" w:rsidRPr="003E2BAF">
          <w:rPr>
            <w:rStyle w:val="Lienhypertexte"/>
            <w:noProof/>
          </w:rPr>
          <w:t>Table SI. 99 – Gaschar management modeling</w:t>
        </w:r>
        <w:r w:rsidR="00B87259">
          <w:rPr>
            <w:noProof/>
            <w:webHidden/>
          </w:rPr>
          <w:tab/>
        </w:r>
        <w:r w:rsidR="00B87259">
          <w:rPr>
            <w:noProof/>
            <w:webHidden/>
          </w:rPr>
          <w:fldChar w:fldCharType="begin"/>
        </w:r>
        <w:r w:rsidR="00B87259">
          <w:rPr>
            <w:noProof/>
            <w:webHidden/>
          </w:rPr>
          <w:instrText xml:space="preserve"> PAGEREF _Toc151967983 \h </w:instrText>
        </w:r>
        <w:r w:rsidR="00B87259">
          <w:rPr>
            <w:noProof/>
            <w:webHidden/>
          </w:rPr>
        </w:r>
        <w:r w:rsidR="00B87259">
          <w:rPr>
            <w:noProof/>
            <w:webHidden/>
          </w:rPr>
          <w:fldChar w:fldCharType="separate"/>
        </w:r>
        <w:r w:rsidR="00A01585">
          <w:rPr>
            <w:noProof/>
            <w:webHidden/>
          </w:rPr>
          <w:t>95</w:t>
        </w:r>
        <w:r w:rsidR="00B87259">
          <w:rPr>
            <w:noProof/>
            <w:webHidden/>
          </w:rPr>
          <w:fldChar w:fldCharType="end"/>
        </w:r>
      </w:hyperlink>
    </w:p>
    <w:p w14:paraId="66AD1B9A" w14:textId="2032BC01"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84" w:history="1">
        <w:r w:rsidR="00B87259" w:rsidRPr="003E2BAF">
          <w:rPr>
            <w:rStyle w:val="Lienhypertexte"/>
            <w:noProof/>
          </w:rPr>
          <w:t>Table SI. 100 – Syngas cleaning modeling parameters</w:t>
        </w:r>
        <w:r w:rsidR="00B87259">
          <w:rPr>
            <w:noProof/>
            <w:webHidden/>
          </w:rPr>
          <w:tab/>
        </w:r>
        <w:r w:rsidR="00B87259">
          <w:rPr>
            <w:noProof/>
            <w:webHidden/>
          </w:rPr>
          <w:fldChar w:fldCharType="begin"/>
        </w:r>
        <w:r w:rsidR="00B87259">
          <w:rPr>
            <w:noProof/>
            <w:webHidden/>
          </w:rPr>
          <w:instrText xml:space="preserve"> PAGEREF _Toc151967984 \h </w:instrText>
        </w:r>
        <w:r w:rsidR="00B87259">
          <w:rPr>
            <w:noProof/>
            <w:webHidden/>
          </w:rPr>
        </w:r>
        <w:r w:rsidR="00B87259">
          <w:rPr>
            <w:noProof/>
            <w:webHidden/>
          </w:rPr>
          <w:fldChar w:fldCharType="separate"/>
        </w:r>
        <w:r w:rsidR="00A01585">
          <w:rPr>
            <w:noProof/>
            <w:webHidden/>
          </w:rPr>
          <w:t>96</w:t>
        </w:r>
        <w:r w:rsidR="00B87259">
          <w:rPr>
            <w:noProof/>
            <w:webHidden/>
          </w:rPr>
          <w:fldChar w:fldCharType="end"/>
        </w:r>
      </w:hyperlink>
    </w:p>
    <w:p w14:paraId="1A08C9D3" w14:textId="69BDEFA2"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85" w:history="1">
        <w:r w:rsidR="00B87259" w:rsidRPr="003E2BAF">
          <w:rPr>
            <w:rStyle w:val="Lienhypertexte"/>
            <w:noProof/>
          </w:rPr>
          <w:t>Table SI. 101 – Parameters specific to GA pathways</w:t>
        </w:r>
        <w:r w:rsidR="00B87259">
          <w:rPr>
            <w:noProof/>
            <w:webHidden/>
          </w:rPr>
          <w:tab/>
        </w:r>
        <w:r w:rsidR="00B87259">
          <w:rPr>
            <w:noProof/>
            <w:webHidden/>
          </w:rPr>
          <w:fldChar w:fldCharType="begin"/>
        </w:r>
        <w:r w:rsidR="00B87259">
          <w:rPr>
            <w:noProof/>
            <w:webHidden/>
          </w:rPr>
          <w:instrText xml:space="preserve"> PAGEREF _Toc151967985 \h </w:instrText>
        </w:r>
        <w:r w:rsidR="00B87259">
          <w:rPr>
            <w:noProof/>
            <w:webHidden/>
          </w:rPr>
        </w:r>
        <w:r w:rsidR="00B87259">
          <w:rPr>
            <w:noProof/>
            <w:webHidden/>
          </w:rPr>
          <w:fldChar w:fldCharType="separate"/>
        </w:r>
        <w:r w:rsidR="00A01585">
          <w:rPr>
            <w:noProof/>
            <w:webHidden/>
          </w:rPr>
          <w:t>96</w:t>
        </w:r>
        <w:r w:rsidR="00B87259">
          <w:rPr>
            <w:noProof/>
            <w:webHidden/>
          </w:rPr>
          <w:fldChar w:fldCharType="end"/>
        </w:r>
      </w:hyperlink>
    </w:p>
    <w:p w14:paraId="5E336630" w14:textId="7414D47C"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86" w:history="1">
        <w:r w:rsidR="00B87259" w:rsidRPr="003E2BAF">
          <w:rPr>
            <w:rStyle w:val="Lienhypertexte"/>
            <w:noProof/>
          </w:rPr>
          <w:t>Table SI. 102 – Background processes used specifically for GA pathways</w:t>
        </w:r>
        <w:r w:rsidR="00B87259">
          <w:rPr>
            <w:noProof/>
            <w:webHidden/>
          </w:rPr>
          <w:tab/>
        </w:r>
        <w:r w:rsidR="00B87259">
          <w:rPr>
            <w:noProof/>
            <w:webHidden/>
          </w:rPr>
          <w:fldChar w:fldCharType="begin"/>
        </w:r>
        <w:r w:rsidR="00B87259">
          <w:rPr>
            <w:noProof/>
            <w:webHidden/>
          </w:rPr>
          <w:instrText xml:space="preserve"> PAGEREF _Toc151967986 \h </w:instrText>
        </w:r>
        <w:r w:rsidR="00B87259">
          <w:rPr>
            <w:noProof/>
            <w:webHidden/>
          </w:rPr>
        </w:r>
        <w:r w:rsidR="00B87259">
          <w:rPr>
            <w:noProof/>
            <w:webHidden/>
          </w:rPr>
          <w:fldChar w:fldCharType="separate"/>
        </w:r>
        <w:r w:rsidR="00A01585">
          <w:rPr>
            <w:noProof/>
            <w:webHidden/>
          </w:rPr>
          <w:t>97</w:t>
        </w:r>
        <w:r w:rsidR="00B87259">
          <w:rPr>
            <w:noProof/>
            <w:webHidden/>
          </w:rPr>
          <w:fldChar w:fldCharType="end"/>
        </w:r>
      </w:hyperlink>
    </w:p>
    <w:p w14:paraId="74E424AA" w14:textId="185D3A28"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87" w:history="1">
        <w:r w:rsidR="00B87259" w:rsidRPr="003E2BAF">
          <w:rPr>
            <w:rStyle w:val="Lienhypertexte"/>
            <w:noProof/>
          </w:rPr>
          <w:t>Table SI. 103 – Technology parameters retained for the LCA model</w:t>
        </w:r>
        <w:r w:rsidR="00B87259">
          <w:rPr>
            <w:noProof/>
            <w:webHidden/>
          </w:rPr>
          <w:tab/>
        </w:r>
        <w:r w:rsidR="00B87259">
          <w:rPr>
            <w:noProof/>
            <w:webHidden/>
          </w:rPr>
          <w:fldChar w:fldCharType="begin"/>
        </w:r>
        <w:r w:rsidR="00B87259">
          <w:rPr>
            <w:noProof/>
            <w:webHidden/>
          </w:rPr>
          <w:instrText xml:space="preserve"> PAGEREF _Toc151967987 \h </w:instrText>
        </w:r>
        <w:r w:rsidR="00B87259">
          <w:rPr>
            <w:noProof/>
            <w:webHidden/>
          </w:rPr>
        </w:r>
        <w:r w:rsidR="00B87259">
          <w:rPr>
            <w:noProof/>
            <w:webHidden/>
          </w:rPr>
          <w:fldChar w:fldCharType="separate"/>
        </w:r>
        <w:r w:rsidR="00A01585">
          <w:rPr>
            <w:noProof/>
            <w:webHidden/>
          </w:rPr>
          <w:t>99</w:t>
        </w:r>
        <w:r w:rsidR="00B87259">
          <w:rPr>
            <w:noProof/>
            <w:webHidden/>
          </w:rPr>
          <w:fldChar w:fldCharType="end"/>
        </w:r>
      </w:hyperlink>
    </w:p>
    <w:p w14:paraId="6F5F76CE" w14:textId="3D913234" w:rsidR="00B87259" w:rsidRDefault="00827449">
      <w:pPr>
        <w:pStyle w:val="Tabledesillustrations"/>
        <w:tabs>
          <w:tab w:val="right" w:leader="underscore" w:pos="9062"/>
        </w:tabs>
        <w:rPr>
          <w:rFonts w:eastAsiaTheme="minorEastAsia" w:cstheme="minorBidi"/>
          <w:i w:val="0"/>
          <w:iCs w:val="0"/>
          <w:noProof/>
          <w:sz w:val="22"/>
          <w:szCs w:val="22"/>
          <w:lang w:val="fr-FR" w:eastAsia="fr-FR"/>
        </w:rPr>
      </w:pPr>
      <w:hyperlink w:anchor="_Toc151967988" w:history="1">
        <w:r w:rsidR="00B87259" w:rsidRPr="003E2BAF">
          <w:rPr>
            <w:rStyle w:val="Lienhypertexte"/>
            <w:noProof/>
          </w:rPr>
          <w:t>Table SI. 104 – Influence of parameters on the different pathways</w:t>
        </w:r>
        <w:r w:rsidR="00B87259">
          <w:rPr>
            <w:noProof/>
            <w:webHidden/>
          </w:rPr>
          <w:tab/>
        </w:r>
        <w:r w:rsidR="00B87259">
          <w:rPr>
            <w:noProof/>
            <w:webHidden/>
          </w:rPr>
          <w:fldChar w:fldCharType="begin"/>
        </w:r>
        <w:r w:rsidR="00B87259">
          <w:rPr>
            <w:noProof/>
            <w:webHidden/>
          </w:rPr>
          <w:instrText xml:space="preserve"> PAGEREF _Toc151967988 \h </w:instrText>
        </w:r>
        <w:r w:rsidR="00B87259">
          <w:rPr>
            <w:noProof/>
            <w:webHidden/>
          </w:rPr>
        </w:r>
        <w:r w:rsidR="00B87259">
          <w:rPr>
            <w:noProof/>
            <w:webHidden/>
          </w:rPr>
          <w:fldChar w:fldCharType="separate"/>
        </w:r>
        <w:r w:rsidR="00A01585">
          <w:rPr>
            <w:noProof/>
            <w:webHidden/>
          </w:rPr>
          <w:t>106</w:t>
        </w:r>
        <w:r w:rsidR="00B87259">
          <w:rPr>
            <w:noProof/>
            <w:webHidden/>
          </w:rPr>
          <w:fldChar w:fldCharType="end"/>
        </w:r>
      </w:hyperlink>
    </w:p>
    <w:p w14:paraId="77997E41" w14:textId="78CBF179" w:rsidR="00447F21" w:rsidRDefault="00447F21">
      <w:pPr>
        <w:rPr>
          <w:b/>
        </w:rPr>
      </w:pPr>
      <w:r>
        <w:rPr>
          <w:b/>
        </w:rPr>
        <w:fldChar w:fldCharType="end"/>
      </w:r>
    </w:p>
    <w:p w14:paraId="3F4A357D" w14:textId="1EDBF6D8" w:rsidR="00936752" w:rsidRDefault="000C3E59">
      <w:pPr>
        <w:rPr>
          <w:b/>
        </w:rPr>
      </w:pPr>
      <w:r>
        <w:rPr>
          <w:b/>
        </w:rPr>
        <w:t>List of a</w:t>
      </w:r>
      <w:r w:rsidRPr="00936752">
        <w:rPr>
          <w:b/>
        </w:rPr>
        <w:t>bbreviation</w:t>
      </w:r>
    </w:p>
    <w:p w14:paraId="16EEC29D" w14:textId="776552B9" w:rsidR="00447F21" w:rsidRDefault="00447F21" w:rsidP="00447F21">
      <w:pPr>
        <w:jc w:val="both"/>
      </w:pPr>
      <w:r>
        <w:t xml:space="preserve">AD, Anaerobic digestion; BSF, Black soldier fly; C1,2,3, Category 1,2,3 (Animal by-product EU legislation); </w:t>
      </w:r>
      <w:r w:rsidR="00B36A0F">
        <w:t xml:space="preserve">CCU, Carbon capture and use; </w:t>
      </w:r>
      <w:r>
        <w:t xml:space="preserve">CIP, Clean in place; CF, Compound feed; </w:t>
      </w:r>
      <w:r w:rsidR="00B36A0F">
        <w:t xml:space="preserve">COD, Chemical oxygen demand; COP, Coefficient of performance; </w:t>
      </w:r>
      <w:r>
        <w:t xml:space="preserve">DM, Dry matter; </w:t>
      </w:r>
      <w:r w:rsidR="00B36A0F">
        <w:t xml:space="preserve">DOL, Day of life; EF, Emission factor; </w:t>
      </w:r>
      <w:r>
        <w:t xml:space="preserve">EFSA, European Food Safety Agency; </w:t>
      </w:r>
      <w:r w:rsidR="00B36A0F">
        <w:t xml:space="preserve">ER, Equivalence ratio; </w:t>
      </w:r>
      <w:r>
        <w:t xml:space="preserve">EU, European Union, FCR, Feed conversion ratio; FU, Functional unit; GA, Gasification; GB, Green biorefinery; </w:t>
      </w:r>
      <w:r w:rsidR="00B36A0F">
        <w:t xml:space="preserve">HHV, Higher heating value; </w:t>
      </w:r>
      <w:r>
        <w:t xml:space="preserve">HOB, Hydrogen-oxidizing bacteria; HT, High temperature; </w:t>
      </w:r>
      <w:r w:rsidR="00B36A0F">
        <w:t xml:space="preserve">IL, Ionic liquid; </w:t>
      </w:r>
      <w:r>
        <w:t xml:space="preserve">K, Potassium; KPI, key performance indicator; LCA, Life cycle assessment; LCI, Life cycle analysis; </w:t>
      </w:r>
      <w:r w:rsidR="00B36A0F">
        <w:t xml:space="preserve">LHV, Lower heating value; </w:t>
      </w:r>
      <w:r>
        <w:t xml:space="preserve">LT, Low temperature; MOB, Methane-oxidizing bacteria; MP, Microbial proteins; Myco, Mycoproteins; N, Nitrogen; OFMSW, Organic fraction of municipal solid waste; OM, Organic matter; P, Phosphorus; PAT, Processed animal proteins; PCR, Protein conversion ratio; PFD, Process flow diagram; </w:t>
      </w:r>
      <w:r w:rsidR="00B36A0F">
        <w:t xml:space="preserve">RME, Rapeseed methyl ether; </w:t>
      </w:r>
      <w:r>
        <w:t xml:space="preserve">RNA, Ribonucleic acid; SFU, Scandinavian feed unit; </w:t>
      </w:r>
      <w:r w:rsidR="00B36A0F">
        <w:t xml:space="preserve">SNG, Synthetic natural gas; SOC, Soil organic carbon; SR, Steam reforming; </w:t>
      </w:r>
      <w:r>
        <w:t xml:space="preserve">SSF, Solid state fermentation; </w:t>
      </w:r>
      <w:r w:rsidR="00B36A0F">
        <w:t xml:space="preserve">TBMP, Theoretical biomethane potential; TEA, Techno-economic analysis; </w:t>
      </w:r>
      <w:r>
        <w:t xml:space="preserve">TRL, Technology readiness level; </w:t>
      </w:r>
      <w:r w:rsidR="00B36A0F">
        <w:t xml:space="preserve">UF, Ultrafiltration; WCS, Water conversion shift; </w:t>
      </w:r>
      <w:r>
        <w:t>WHR, Waste heat recovery; WWTP, Wastewater treatment plant.</w:t>
      </w:r>
    </w:p>
    <w:p w14:paraId="54C87D18" w14:textId="191E26A0" w:rsidR="00145859" w:rsidRDefault="00145859">
      <w:r>
        <w:br w:type="page"/>
      </w:r>
    </w:p>
    <w:p w14:paraId="62CBF1B7" w14:textId="69C04460" w:rsidR="00833050" w:rsidRDefault="009D6669" w:rsidP="00010A01">
      <w:pPr>
        <w:pStyle w:val="Titre1"/>
      </w:pPr>
      <w:bookmarkStart w:id="0" w:name="_Ref144916328"/>
      <w:bookmarkStart w:id="1" w:name="_Toc145069093"/>
      <w:r w:rsidRPr="009D6669">
        <w:lastRenderedPageBreak/>
        <w:t>Feedstock selection</w:t>
      </w:r>
      <w:r w:rsidR="00010A01">
        <w:t xml:space="preserve"> and modeling</w:t>
      </w:r>
      <w:bookmarkEnd w:id="0"/>
      <w:bookmarkEnd w:id="1"/>
    </w:p>
    <w:p w14:paraId="5F2F2971" w14:textId="36052CFC" w:rsidR="00010A01" w:rsidRPr="00010A01" w:rsidRDefault="00010A01" w:rsidP="00F25F8C">
      <w:pPr>
        <w:jc w:val="both"/>
      </w:pPr>
      <w:r>
        <w:t xml:space="preserve">The </w:t>
      </w:r>
      <w:r w:rsidRPr="00010A01">
        <w:rPr>
          <w:b/>
        </w:rPr>
        <w:fldChar w:fldCharType="begin"/>
      </w:r>
      <w:r w:rsidRPr="00010A01">
        <w:rPr>
          <w:b/>
        </w:rPr>
        <w:instrText xml:space="preserve"> REF _Ref144715881 \h </w:instrText>
      </w:r>
      <w:r>
        <w:rPr>
          <w:b/>
        </w:rPr>
        <w:instrText xml:space="preserve"> \* MERGEFORMAT </w:instrText>
      </w:r>
      <w:r w:rsidRPr="00010A01">
        <w:rPr>
          <w:b/>
        </w:rPr>
      </w:r>
      <w:r w:rsidRPr="00010A01">
        <w:rPr>
          <w:b/>
        </w:rPr>
        <w:fldChar w:fldCharType="separate"/>
      </w:r>
      <w:r w:rsidR="00F25F8C" w:rsidRPr="00F25F8C">
        <w:rPr>
          <w:b/>
        </w:rPr>
        <w:t xml:space="preserve">Table SI. </w:t>
      </w:r>
      <w:r w:rsidR="00F25F8C" w:rsidRPr="00F25F8C">
        <w:rPr>
          <w:b/>
          <w:noProof/>
        </w:rPr>
        <w:t>1</w:t>
      </w:r>
      <w:r w:rsidRPr="00010A01">
        <w:rPr>
          <w:b/>
        </w:rPr>
        <w:fldChar w:fldCharType="end"/>
      </w:r>
      <w:r>
        <w:rPr>
          <w:b/>
        </w:rPr>
        <w:t xml:space="preserve"> </w:t>
      </w:r>
      <w:r w:rsidRPr="00010A01">
        <w:t>lays down</w:t>
      </w:r>
      <w:r>
        <w:t xml:space="preserve"> the residual biomass </w:t>
      </w:r>
      <w:r w:rsidR="00932D5C">
        <w:t xml:space="preserve">scope, </w:t>
      </w:r>
      <w:r>
        <w:t>classification and terminology further used in the manuscript</w:t>
      </w:r>
      <w:r w:rsidR="00186654">
        <w:t>, based on Javourez et al., (2021)</w:t>
      </w:r>
      <w:r w:rsidR="00186654" w:rsidRPr="00186654">
        <w:fldChar w:fldCharType="begin"/>
      </w:r>
      <w:r w:rsidR="00682E10">
        <w:instrText xml:space="preserve"> ADDIN ZOTERO_ITEM CSL_CITATION {"citationID":"a217p5s590","properties":{"formattedCitation":"\\super 2\\nosupersub{}","plainCitation":"2","noteIndex":0},"citationItems":[{"id":12313,"uris":["http://zotero.org/users/6423791/items/U9PTD6XB"],"itemData":{"id":12313,"type":"article-journal","abstract":"Residual biomass is acknowledged as a key sustainable feedstock for the transition towards circular and low fossil carbon economies to supply whether energy, chemical, material and food products or services. The latter is receiving increasing attention, in particular in the perspective of decoupling nutrition from arable land demand. In order to provide a comprehensive overview of the technical possibilities to convert residual biomasses into edible ingredients, we reviewed over 950 scientific and industrial records documenting existing and emerging waste-to-nutrition pathways, involving over 150 different feedstocks here grouped under 10 umbrella categories: (i) wood-related residual biomass, (ii) primary crop residues, (iii) manure, (iv) food waste, (v) sludge and wastewater, (vi) green residual biomass, (vii) slaughterhouse by-products, (viii) agrifood co-products, (ix) C1 gases and (x) others. The review includes a detailed description of these pathways, as well as the processes they involve. As a result, we proposed four generic building blocks to systematize waste-to-nutrition conversion sequence patterns, namely enhancement, cracking, extraction and bioconversion. We further introduce a multidimensional representation of the biomasses suitability as potential as nutritional sources according to (i) their content in anti-nutritional compounds, (ii) their degree of structural complexity and (iii) their concentration of macro- and micronutrients. Finally, we suggest that the different pathways can be grouped into eight large families of approaches: (i) insect biorefinery, (ii) green biorefinery, (iii) lignocellulosic biorefinery, (iv) non-soluble protein recovery, (v) gas-intermediate biorefinery, (vi) liquid substrate alternative, (vii) solid-substrate fermentation and (viii) more-out-of-slaughterhouse by-products. The proposed framework aims to support future research in waste recovery and valorization within food systems, along with stimulating reflections on the improvement of resources’ cascading use.","container-title":"Biotechnology Advances","DOI":"10.1016/j.biotechadv.2021.107857","ISSN":"0734-9750","journalAbbreviation":"Biotechnol. Adv.","language":"en","page":"107857","source":"ScienceDirect","title":"Waste-to-nutrition: a review of current and emerging conversion pathways","title-short":"Waste-to-nutrition","volume":"53","author":[{"family":"Javourez","given":"U."},{"family":"O’Donohue","given":"M."},{"family":"Hamelin","given":"L."}],"issued":{"date-parts":[["2021",12,1]]}}}],"schema":"https://github.com/citation-style-language/schema/raw/master/csl-citation.json"} </w:instrText>
      </w:r>
      <w:r w:rsidR="00186654" w:rsidRPr="00186654">
        <w:fldChar w:fldCharType="separate"/>
      </w:r>
      <w:r w:rsidR="00682E10" w:rsidRPr="00682E10">
        <w:rPr>
          <w:rFonts w:ascii="Calibri" w:hAnsi="Calibri" w:cs="Calibri"/>
          <w:szCs w:val="24"/>
          <w:vertAlign w:val="superscript"/>
        </w:rPr>
        <w:t>2</w:t>
      </w:r>
      <w:r w:rsidR="00186654" w:rsidRPr="00186654">
        <w:fldChar w:fldCharType="end"/>
      </w:r>
      <w:r w:rsidRPr="00186654">
        <w:t>.</w:t>
      </w:r>
    </w:p>
    <w:p w14:paraId="0120E439" w14:textId="1F94C8E5" w:rsidR="002C2EA6" w:rsidRPr="00352284" w:rsidRDefault="00010A01" w:rsidP="00CE3893">
      <w:pPr>
        <w:pStyle w:val="Lgende"/>
        <w:jc w:val="left"/>
        <w:rPr>
          <w:b w:val="0"/>
          <w:i/>
        </w:rPr>
      </w:pPr>
      <w:bookmarkStart w:id="2" w:name="_Ref144715881"/>
      <w:bookmarkStart w:id="3" w:name="_Toc126143546"/>
      <w:bookmarkStart w:id="4" w:name="_Toc151967885"/>
      <w:r>
        <w:t xml:space="preserve">Table SI. </w:t>
      </w:r>
      <w:r>
        <w:fldChar w:fldCharType="begin"/>
      </w:r>
      <w:r>
        <w:instrText xml:space="preserve"> SEQ Table_SI. \* ARABIC </w:instrText>
      </w:r>
      <w:r>
        <w:fldChar w:fldCharType="separate"/>
      </w:r>
      <w:r w:rsidR="00F25F8C">
        <w:rPr>
          <w:noProof/>
        </w:rPr>
        <w:t>1</w:t>
      </w:r>
      <w:r>
        <w:fldChar w:fldCharType="end"/>
      </w:r>
      <w:bookmarkEnd w:id="2"/>
      <w:r w:rsidR="002C2EA6">
        <w:t xml:space="preserve"> </w:t>
      </w:r>
      <w:r w:rsidR="002C2EA6" w:rsidRPr="00EC0BD4">
        <w:t>– Scope and classification of residual biomass streams</w:t>
      </w:r>
      <w:bookmarkEnd w:id="3"/>
      <w:bookmarkEnd w:id="4"/>
    </w:p>
    <w:tbl>
      <w:tblPr>
        <w:tblStyle w:val="Tableausimple2"/>
        <w:tblW w:w="0" w:type="auto"/>
        <w:tblLook w:val="04A0" w:firstRow="1" w:lastRow="0" w:firstColumn="1" w:lastColumn="0" w:noHBand="0" w:noVBand="1"/>
      </w:tblPr>
      <w:tblGrid>
        <w:gridCol w:w="2504"/>
        <w:gridCol w:w="2506"/>
      </w:tblGrid>
      <w:tr w:rsidR="002C2EA6" w:rsidRPr="00B959F6" w14:paraId="1EDF6989" w14:textId="77777777" w:rsidTr="00CE3893">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noWrap/>
            <w:hideMark/>
          </w:tcPr>
          <w:p w14:paraId="65E00BD0" w14:textId="77777777" w:rsidR="002C2EA6" w:rsidRPr="00B959F6" w:rsidRDefault="002C2EA6" w:rsidP="00D31C73">
            <w:pPr>
              <w:rPr>
                <w:bCs w:val="0"/>
                <w:sz w:val="18"/>
                <w:szCs w:val="18"/>
                <w:lang w:val="fr-FR"/>
              </w:rPr>
            </w:pPr>
            <w:r w:rsidRPr="00B959F6">
              <w:rPr>
                <w:bCs w:val="0"/>
                <w:sz w:val="18"/>
                <w:szCs w:val="18"/>
              </w:rPr>
              <w:t>Category</w:t>
            </w:r>
            <w:r w:rsidRPr="00B959F6">
              <w:rPr>
                <w:bCs w:val="0"/>
                <w:sz w:val="18"/>
                <w:szCs w:val="18"/>
                <w:vertAlign w:val="superscript"/>
              </w:rPr>
              <w:t>*</w:t>
            </w:r>
          </w:p>
        </w:tc>
        <w:tc>
          <w:tcPr>
            <w:tcW w:w="0" w:type="auto"/>
            <w:noWrap/>
            <w:hideMark/>
          </w:tcPr>
          <w:p w14:paraId="5F3211BD" w14:textId="77777777" w:rsidR="002C2EA6" w:rsidRPr="00B959F6" w:rsidRDefault="002C2EA6" w:rsidP="00D31C73">
            <w:pPr>
              <w:cnfStyle w:val="100000000000" w:firstRow="1" w:lastRow="0" w:firstColumn="0" w:lastColumn="0" w:oddVBand="0" w:evenVBand="0" w:oddHBand="0" w:evenHBand="0" w:firstRowFirstColumn="0" w:firstRowLastColumn="0" w:lastRowFirstColumn="0" w:lastRowLastColumn="0"/>
              <w:rPr>
                <w:bCs w:val="0"/>
                <w:sz w:val="18"/>
                <w:szCs w:val="18"/>
              </w:rPr>
            </w:pPr>
            <w:r w:rsidRPr="00B959F6">
              <w:rPr>
                <w:bCs w:val="0"/>
                <w:sz w:val="18"/>
                <w:szCs w:val="18"/>
              </w:rPr>
              <w:t>Sub-categories</w:t>
            </w:r>
            <w:r w:rsidRPr="00B959F6">
              <w:rPr>
                <w:bCs w:val="0"/>
                <w:sz w:val="18"/>
                <w:szCs w:val="18"/>
                <w:vertAlign w:val="superscript"/>
              </w:rPr>
              <w:t>*</w:t>
            </w:r>
          </w:p>
        </w:tc>
      </w:tr>
      <w:tr w:rsidR="002C2EA6" w:rsidRPr="00B959F6" w14:paraId="74C10690" w14:textId="77777777" w:rsidTr="00CE389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val="restart"/>
            <w:noWrap/>
            <w:hideMark/>
          </w:tcPr>
          <w:p w14:paraId="7BE0797E" w14:textId="77777777" w:rsidR="002C2EA6" w:rsidRPr="00B959F6" w:rsidRDefault="002C2EA6" w:rsidP="00D31C73">
            <w:pPr>
              <w:jc w:val="right"/>
              <w:rPr>
                <w:b w:val="0"/>
                <w:sz w:val="18"/>
                <w:szCs w:val="18"/>
              </w:rPr>
            </w:pPr>
            <w:r w:rsidRPr="00B959F6">
              <w:rPr>
                <w:b w:val="0"/>
                <w:sz w:val="18"/>
                <w:szCs w:val="18"/>
              </w:rPr>
              <w:t>Wood-related residual biomass</w:t>
            </w:r>
          </w:p>
        </w:tc>
        <w:tc>
          <w:tcPr>
            <w:tcW w:w="0" w:type="auto"/>
            <w:noWrap/>
            <w:hideMark/>
          </w:tcPr>
          <w:p w14:paraId="6DA1D6F9" w14:textId="77777777" w:rsidR="002C2EA6" w:rsidRPr="00B959F6" w:rsidRDefault="002C2EA6"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Primary forestry residues</w:t>
            </w:r>
          </w:p>
        </w:tc>
      </w:tr>
      <w:tr w:rsidR="002C2EA6" w:rsidRPr="00B959F6" w14:paraId="7CC900C3" w14:textId="77777777" w:rsidTr="00CE3893">
        <w:trPr>
          <w:trHeight w:val="300"/>
        </w:trPr>
        <w:tc>
          <w:tcPr>
            <w:cnfStyle w:val="001000000000" w:firstRow="0" w:lastRow="0" w:firstColumn="1" w:lastColumn="0" w:oddVBand="0" w:evenVBand="0" w:oddHBand="0" w:evenHBand="0" w:firstRowFirstColumn="0" w:firstRowLastColumn="0" w:lastRowFirstColumn="0" w:lastRowLastColumn="0"/>
            <w:tcW w:w="0" w:type="auto"/>
            <w:vMerge/>
            <w:noWrap/>
            <w:hideMark/>
          </w:tcPr>
          <w:p w14:paraId="2C25C91C" w14:textId="77777777" w:rsidR="002C2EA6" w:rsidRPr="00B959F6" w:rsidRDefault="002C2EA6" w:rsidP="00D31C73">
            <w:pPr>
              <w:jc w:val="right"/>
              <w:rPr>
                <w:b w:val="0"/>
                <w:sz w:val="18"/>
                <w:szCs w:val="18"/>
              </w:rPr>
            </w:pPr>
          </w:p>
        </w:tc>
        <w:tc>
          <w:tcPr>
            <w:tcW w:w="0" w:type="auto"/>
            <w:noWrap/>
            <w:hideMark/>
          </w:tcPr>
          <w:p w14:paraId="40A10852" w14:textId="77777777" w:rsidR="002C2EA6" w:rsidRPr="00B959F6" w:rsidRDefault="002C2EA6"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Pruning residues</w:t>
            </w:r>
          </w:p>
        </w:tc>
      </w:tr>
      <w:tr w:rsidR="002C2EA6" w:rsidRPr="00B959F6" w14:paraId="1AACB038" w14:textId="77777777" w:rsidTr="00CE389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noWrap/>
            <w:hideMark/>
          </w:tcPr>
          <w:p w14:paraId="462F23EA" w14:textId="77777777" w:rsidR="002C2EA6" w:rsidRPr="00B959F6" w:rsidRDefault="002C2EA6" w:rsidP="00D31C73">
            <w:pPr>
              <w:jc w:val="right"/>
              <w:rPr>
                <w:b w:val="0"/>
                <w:sz w:val="18"/>
                <w:szCs w:val="18"/>
              </w:rPr>
            </w:pPr>
          </w:p>
        </w:tc>
        <w:tc>
          <w:tcPr>
            <w:tcW w:w="0" w:type="auto"/>
            <w:noWrap/>
            <w:hideMark/>
          </w:tcPr>
          <w:p w14:paraId="19819137" w14:textId="77777777" w:rsidR="002C2EA6" w:rsidRPr="00B959F6" w:rsidRDefault="002C2EA6"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Wood-processing waste</w:t>
            </w:r>
          </w:p>
        </w:tc>
      </w:tr>
      <w:tr w:rsidR="002C2EA6" w:rsidRPr="00B959F6" w14:paraId="5B6CFC17" w14:textId="77777777" w:rsidTr="00CE3893">
        <w:trPr>
          <w:trHeight w:val="290"/>
        </w:trPr>
        <w:tc>
          <w:tcPr>
            <w:cnfStyle w:val="001000000000" w:firstRow="0" w:lastRow="0" w:firstColumn="1" w:lastColumn="0" w:oddVBand="0" w:evenVBand="0" w:oddHBand="0" w:evenHBand="0" w:firstRowFirstColumn="0" w:firstRowLastColumn="0" w:lastRowFirstColumn="0" w:lastRowLastColumn="0"/>
            <w:tcW w:w="0" w:type="auto"/>
            <w:vMerge/>
            <w:noWrap/>
            <w:hideMark/>
          </w:tcPr>
          <w:p w14:paraId="6DF10186" w14:textId="77777777" w:rsidR="002C2EA6" w:rsidRPr="00B959F6" w:rsidRDefault="002C2EA6" w:rsidP="00D31C73">
            <w:pPr>
              <w:jc w:val="right"/>
              <w:rPr>
                <w:b w:val="0"/>
                <w:sz w:val="18"/>
                <w:szCs w:val="18"/>
              </w:rPr>
            </w:pPr>
          </w:p>
        </w:tc>
        <w:tc>
          <w:tcPr>
            <w:tcW w:w="0" w:type="auto"/>
            <w:shd w:val="clear" w:color="auto" w:fill="FBE4D5" w:themeFill="accent2" w:themeFillTint="33"/>
            <w:noWrap/>
            <w:hideMark/>
          </w:tcPr>
          <w:p w14:paraId="51D45FD3" w14:textId="77777777" w:rsidR="002C2EA6" w:rsidRPr="00B959F6" w:rsidRDefault="002C2EA6"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Paper &amp; packaging waste</w:t>
            </w:r>
          </w:p>
        </w:tc>
      </w:tr>
      <w:tr w:rsidR="002C2EA6" w:rsidRPr="00B959F6" w14:paraId="0F0516C3" w14:textId="77777777" w:rsidTr="00CE389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val="restart"/>
            <w:noWrap/>
            <w:hideMark/>
          </w:tcPr>
          <w:p w14:paraId="7F0FE168" w14:textId="77777777" w:rsidR="002C2EA6" w:rsidRPr="00B959F6" w:rsidRDefault="002C2EA6" w:rsidP="00D31C73">
            <w:pPr>
              <w:jc w:val="right"/>
              <w:rPr>
                <w:b w:val="0"/>
                <w:sz w:val="18"/>
                <w:szCs w:val="18"/>
              </w:rPr>
            </w:pPr>
            <w:r w:rsidRPr="00B959F6">
              <w:rPr>
                <w:b w:val="0"/>
                <w:sz w:val="18"/>
                <w:szCs w:val="18"/>
              </w:rPr>
              <w:t>Primary crop residues</w:t>
            </w:r>
          </w:p>
        </w:tc>
        <w:tc>
          <w:tcPr>
            <w:tcW w:w="0" w:type="auto"/>
            <w:noWrap/>
            <w:hideMark/>
          </w:tcPr>
          <w:p w14:paraId="1F4757EE" w14:textId="77777777" w:rsidR="002C2EA6" w:rsidRPr="00B959F6" w:rsidRDefault="002C2EA6"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Cereals residues</w:t>
            </w:r>
          </w:p>
        </w:tc>
      </w:tr>
      <w:tr w:rsidR="002C2EA6" w:rsidRPr="00B959F6" w14:paraId="123648FE" w14:textId="77777777" w:rsidTr="00CE3893">
        <w:trPr>
          <w:trHeight w:val="290"/>
        </w:trPr>
        <w:tc>
          <w:tcPr>
            <w:cnfStyle w:val="001000000000" w:firstRow="0" w:lastRow="0" w:firstColumn="1" w:lastColumn="0" w:oddVBand="0" w:evenVBand="0" w:oddHBand="0" w:evenHBand="0" w:firstRowFirstColumn="0" w:firstRowLastColumn="0" w:lastRowFirstColumn="0" w:lastRowLastColumn="0"/>
            <w:tcW w:w="0" w:type="auto"/>
            <w:vMerge/>
            <w:noWrap/>
            <w:hideMark/>
          </w:tcPr>
          <w:p w14:paraId="5146ED63" w14:textId="77777777" w:rsidR="002C2EA6" w:rsidRPr="00B959F6" w:rsidRDefault="002C2EA6" w:rsidP="00D31C73">
            <w:pPr>
              <w:jc w:val="right"/>
              <w:rPr>
                <w:b w:val="0"/>
                <w:sz w:val="18"/>
                <w:szCs w:val="18"/>
              </w:rPr>
            </w:pPr>
          </w:p>
        </w:tc>
        <w:tc>
          <w:tcPr>
            <w:tcW w:w="0" w:type="auto"/>
            <w:noWrap/>
            <w:hideMark/>
          </w:tcPr>
          <w:p w14:paraId="290DD1CC" w14:textId="77777777" w:rsidR="002C2EA6" w:rsidRPr="00B959F6" w:rsidRDefault="002C2EA6"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Oilseed residues</w:t>
            </w:r>
          </w:p>
        </w:tc>
      </w:tr>
      <w:tr w:rsidR="002C2EA6" w:rsidRPr="00B959F6" w14:paraId="1C851529" w14:textId="77777777" w:rsidTr="00CE389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noWrap/>
            <w:hideMark/>
          </w:tcPr>
          <w:p w14:paraId="479AEF7F" w14:textId="77777777" w:rsidR="002C2EA6" w:rsidRPr="00B959F6" w:rsidRDefault="002C2EA6" w:rsidP="00D31C73">
            <w:pPr>
              <w:jc w:val="right"/>
              <w:rPr>
                <w:b w:val="0"/>
                <w:sz w:val="18"/>
                <w:szCs w:val="18"/>
              </w:rPr>
            </w:pPr>
          </w:p>
        </w:tc>
        <w:tc>
          <w:tcPr>
            <w:tcW w:w="0" w:type="auto"/>
            <w:noWrap/>
            <w:hideMark/>
          </w:tcPr>
          <w:p w14:paraId="1DE2AFF5" w14:textId="77777777" w:rsidR="002C2EA6" w:rsidRPr="00B959F6" w:rsidRDefault="002C2EA6"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Protein crop residues</w:t>
            </w:r>
          </w:p>
        </w:tc>
      </w:tr>
      <w:tr w:rsidR="002C2EA6" w:rsidRPr="00B959F6" w14:paraId="0D624715" w14:textId="77777777" w:rsidTr="00CE3893">
        <w:trPr>
          <w:trHeight w:val="290"/>
        </w:trPr>
        <w:tc>
          <w:tcPr>
            <w:cnfStyle w:val="001000000000" w:firstRow="0" w:lastRow="0" w:firstColumn="1" w:lastColumn="0" w:oddVBand="0" w:evenVBand="0" w:oddHBand="0" w:evenHBand="0" w:firstRowFirstColumn="0" w:firstRowLastColumn="0" w:lastRowFirstColumn="0" w:lastRowLastColumn="0"/>
            <w:tcW w:w="0" w:type="auto"/>
            <w:vMerge/>
            <w:noWrap/>
          </w:tcPr>
          <w:p w14:paraId="3889807D" w14:textId="77777777" w:rsidR="002C2EA6" w:rsidRPr="00B959F6" w:rsidRDefault="002C2EA6" w:rsidP="00D31C73">
            <w:pPr>
              <w:jc w:val="right"/>
              <w:rPr>
                <w:b w:val="0"/>
                <w:sz w:val="18"/>
                <w:szCs w:val="18"/>
              </w:rPr>
            </w:pPr>
          </w:p>
        </w:tc>
        <w:tc>
          <w:tcPr>
            <w:tcW w:w="0" w:type="auto"/>
            <w:noWrap/>
          </w:tcPr>
          <w:p w14:paraId="0E1316E7" w14:textId="77777777" w:rsidR="002C2EA6" w:rsidRPr="00B959F6" w:rsidRDefault="002C2EA6"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Maize residues</w:t>
            </w:r>
          </w:p>
        </w:tc>
      </w:tr>
      <w:tr w:rsidR="002C2EA6" w:rsidRPr="00B959F6" w14:paraId="2547EA11" w14:textId="77777777" w:rsidTr="00CE389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noWrap/>
          </w:tcPr>
          <w:p w14:paraId="0E4D95B9" w14:textId="77777777" w:rsidR="002C2EA6" w:rsidRPr="00B959F6" w:rsidRDefault="002C2EA6" w:rsidP="00D31C73">
            <w:pPr>
              <w:jc w:val="right"/>
              <w:rPr>
                <w:b w:val="0"/>
                <w:sz w:val="18"/>
                <w:szCs w:val="18"/>
              </w:rPr>
            </w:pPr>
          </w:p>
        </w:tc>
        <w:tc>
          <w:tcPr>
            <w:tcW w:w="0" w:type="auto"/>
            <w:noWrap/>
          </w:tcPr>
          <w:p w14:paraId="51758A4F" w14:textId="77777777" w:rsidR="002C2EA6" w:rsidRPr="00B959F6" w:rsidRDefault="002C2EA6"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Non-food crop residues</w:t>
            </w:r>
          </w:p>
        </w:tc>
      </w:tr>
      <w:tr w:rsidR="002C2EA6" w:rsidRPr="00B959F6" w14:paraId="386887F7" w14:textId="77777777" w:rsidTr="00CE3893">
        <w:trPr>
          <w:trHeight w:val="290"/>
        </w:trPr>
        <w:tc>
          <w:tcPr>
            <w:cnfStyle w:val="001000000000" w:firstRow="0" w:lastRow="0" w:firstColumn="1" w:lastColumn="0" w:oddVBand="0" w:evenVBand="0" w:oddHBand="0" w:evenHBand="0" w:firstRowFirstColumn="0" w:firstRowLastColumn="0" w:lastRowFirstColumn="0" w:lastRowLastColumn="0"/>
            <w:tcW w:w="0" w:type="auto"/>
            <w:noWrap/>
            <w:hideMark/>
          </w:tcPr>
          <w:p w14:paraId="52EB6132" w14:textId="77777777" w:rsidR="002C2EA6" w:rsidRPr="00B959F6" w:rsidRDefault="002C2EA6" w:rsidP="00D31C73">
            <w:pPr>
              <w:jc w:val="right"/>
              <w:rPr>
                <w:b w:val="0"/>
                <w:sz w:val="18"/>
                <w:szCs w:val="18"/>
              </w:rPr>
            </w:pPr>
            <w:r w:rsidRPr="00B959F6">
              <w:rPr>
                <w:b w:val="0"/>
                <w:sz w:val="18"/>
                <w:szCs w:val="18"/>
              </w:rPr>
              <w:t>Manure &amp; slurry</w:t>
            </w:r>
          </w:p>
        </w:tc>
        <w:tc>
          <w:tcPr>
            <w:tcW w:w="0" w:type="auto"/>
            <w:noWrap/>
            <w:hideMark/>
          </w:tcPr>
          <w:p w14:paraId="2AFC9EE5" w14:textId="77777777" w:rsidR="002C2EA6" w:rsidRPr="00B959F6" w:rsidRDefault="002C2EA6" w:rsidP="00D31C73">
            <w:pPr>
              <w:cnfStyle w:val="000000000000" w:firstRow="0" w:lastRow="0" w:firstColumn="0" w:lastColumn="0" w:oddVBand="0" w:evenVBand="0" w:oddHBand="0" w:evenHBand="0" w:firstRowFirstColumn="0" w:firstRowLastColumn="0" w:lastRowFirstColumn="0" w:lastRowLastColumn="0"/>
              <w:rPr>
                <w:i/>
                <w:sz w:val="18"/>
                <w:szCs w:val="18"/>
              </w:rPr>
            </w:pPr>
            <w:r w:rsidRPr="00B959F6">
              <w:rPr>
                <w:i/>
                <w:sz w:val="18"/>
                <w:szCs w:val="18"/>
              </w:rPr>
              <w:t>Classified per livestock</w:t>
            </w:r>
          </w:p>
        </w:tc>
      </w:tr>
      <w:tr w:rsidR="002C2EA6" w:rsidRPr="00B959F6" w14:paraId="7C0C6838" w14:textId="77777777" w:rsidTr="00CE389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val="restart"/>
            <w:noWrap/>
            <w:hideMark/>
          </w:tcPr>
          <w:p w14:paraId="1D34E13B" w14:textId="77777777" w:rsidR="002C2EA6" w:rsidRPr="00B959F6" w:rsidRDefault="002C2EA6" w:rsidP="00D31C73">
            <w:pPr>
              <w:jc w:val="right"/>
              <w:rPr>
                <w:b w:val="0"/>
                <w:sz w:val="18"/>
                <w:szCs w:val="18"/>
              </w:rPr>
            </w:pPr>
            <w:r w:rsidRPr="00B959F6">
              <w:rPr>
                <w:b w:val="0"/>
                <w:sz w:val="18"/>
                <w:szCs w:val="18"/>
              </w:rPr>
              <w:t>Sludge</w:t>
            </w:r>
            <w:r w:rsidRPr="00B959F6">
              <w:rPr>
                <w:b w:val="0"/>
                <w:sz w:val="18"/>
                <w:szCs w:val="18"/>
                <w:vertAlign w:val="superscript"/>
              </w:rPr>
              <w:t>**</w:t>
            </w:r>
          </w:p>
        </w:tc>
        <w:tc>
          <w:tcPr>
            <w:tcW w:w="0" w:type="auto"/>
            <w:noWrap/>
            <w:hideMark/>
          </w:tcPr>
          <w:p w14:paraId="10B14763" w14:textId="77777777" w:rsidR="002C2EA6" w:rsidRPr="00B959F6" w:rsidRDefault="002C2EA6"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Sewage sludge</w:t>
            </w:r>
          </w:p>
        </w:tc>
      </w:tr>
      <w:tr w:rsidR="002C2EA6" w:rsidRPr="00B959F6" w14:paraId="303E9F15" w14:textId="77777777" w:rsidTr="00CE3893">
        <w:trPr>
          <w:trHeight w:val="290"/>
        </w:trPr>
        <w:tc>
          <w:tcPr>
            <w:cnfStyle w:val="001000000000" w:firstRow="0" w:lastRow="0" w:firstColumn="1" w:lastColumn="0" w:oddVBand="0" w:evenVBand="0" w:oddHBand="0" w:evenHBand="0" w:firstRowFirstColumn="0" w:firstRowLastColumn="0" w:lastRowFirstColumn="0" w:lastRowLastColumn="0"/>
            <w:tcW w:w="0" w:type="auto"/>
            <w:vMerge/>
            <w:noWrap/>
            <w:hideMark/>
          </w:tcPr>
          <w:p w14:paraId="03072296" w14:textId="77777777" w:rsidR="002C2EA6" w:rsidRPr="00B959F6" w:rsidRDefault="002C2EA6" w:rsidP="00D31C73">
            <w:pPr>
              <w:jc w:val="right"/>
              <w:rPr>
                <w:b w:val="0"/>
                <w:sz w:val="18"/>
                <w:szCs w:val="18"/>
              </w:rPr>
            </w:pPr>
          </w:p>
        </w:tc>
        <w:tc>
          <w:tcPr>
            <w:tcW w:w="0" w:type="auto"/>
            <w:noWrap/>
            <w:hideMark/>
          </w:tcPr>
          <w:p w14:paraId="43C679E2" w14:textId="77777777" w:rsidR="002C2EA6" w:rsidRPr="00B959F6" w:rsidRDefault="002C2EA6"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Agrifood sludge</w:t>
            </w:r>
          </w:p>
        </w:tc>
      </w:tr>
      <w:tr w:rsidR="002C2EA6" w:rsidRPr="00B959F6" w14:paraId="7170EB4D" w14:textId="77777777" w:rsidTr="00CE389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val="restart"/>
            <w:noWrap/>
            <w:hideMark/>
          </w:tcPr>
          <w:p w14:paraId="6D69BA26" w14:textId="77777777" w:rsidR="002C2EA6" w:rsidRPr="00B959F6" w:rsidRDefault="002C2EA6" w:rsidP="00D31C73">
            <w:pPr>
              <w:jc w:val="right"/>
              <w:rPr>
                <w:b w:val="0"/>
                <w:sz w:val="18"/>
                <w:szCs w:val="18"/>
              </w:rPr>
            </w:pPr>
            <w:r w:rsidRPr="00B959F6">
              <w:rPr>
                <w:b w:val="0"/>
                <w:sz w:val="18"/>
                <w:szCs w:val="18"/>
              </w:rPr>
              <w:t>Green residual biomass</w:t>
            </w:r>
          </w:p>
        </w:tc>
        <w:tc>
          <w:tcPr>
            <w:tcW w:w="0" w:type="auto"/>
            <w:noWrap/>
            <w:hideMark/>
          </w:tcPr>
          <w:p w14:paraId="0C1735A0" w14:textId="77777777" w:rsidR="002C2EA6" w:rsidRPr="00B959F6" w:rsidRDefault="002C2EA6"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Garden and park waste</w:t>
            </w:r>
          </w:p>
        </w:tc>
      </w:tr>
      <w:tr w:rsidR="002C2EA6" w:rsidRPr="00B959F6" w14:paraId="17A02B6E" w14:textId="77777777" w:rsidTr="00CE3893">
        <w:trPr>
          <w:trHeight w:val="290"/>
        </w:trPr>
        <w:tc>
          <w:tcPr>
            <w:cnfStyle w:val="001000000000" w:firstRow="0" w:lastRow="0" w:firstColumn="1" w:lastColumn="0" w:oddVBand="0" w:evenVBand="0" w:oddHBand="0" w:evenHBand="0" w:firstRowFirstColumn="0" w:firstRowLastColumn="0" w:lastRowFirstColumn="0" w:lastRowLastColumn="0"/>
            <w:tcW w:w="0" w:type="auto"/>
            <w:vMerge/>
            <w:noWrap/>
          </w:tcPr>
          <w:p w14:paraId="13FFE14F" w14:textId="77777777" w:rsidR="002C2EA6" w:rsidRPr="00B959F6" w:rsidRDefault="002C2EA6" w:rsidP="00D31C73">
            <w:pPr>
              <w:jc w:val="right"/>
              <w:rPr>
                <w:b w:val="0"/>
                <w:sz w:val="18"/>
                <w:szCs w:val="18"/>
              </w:rPr>
            </w:pPr>
          </w:p>
        </w:tc>
        <w:tc>
          <w:tcPr>
            <w:tcW w:w="0" w:type="auto"/>
            <w:shd w:val="clear" w:color="auto" w:fill="FBE4D5" w:themeFill="accent2" w:themeFillTint="33"/>
            <w:noWrap/>
          </w:tcPr>
          <w:p w14:paraId="5A7362BF" w14:textId="77777777" w:rsidR="002C2EA6" w:rsidRPr="00B959F6" w:rsidRDefault="002C2EA6"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Unused grasslands</w:t>
            </w:r>
          </w:p>
        </w:tc>
      </w:tr>
      <w:tr w:rsidR="002C2EA6" w:rsidRPr="00B959F6" w14:paraId="156A1D3B" w14:textId="77777777" w:rsidTr="00CE389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noWrap/>
            <w:hideMark/>
          </w:tcPr>
          <w:p w14:paraId="76AEDFF8" w14:textId="77777777" w:rsidR="002C2EA6" w:rsidRPr="00B959F6" w:rsidRDefault="002C2EA6" w:rsidP="00D31C73">
            <w:pPr>
              <w:jc w:val="right"/>
              <w:rPr>
                <w:b w:val="0"/>
                <w:sz w:val="18"/>
                <w:szCs w:val="18"/>
              </w:rPr>
            </w:pPr>
          </w:p>
        </w:tc>
        <w:tc>
          <w:tcPr>
            <w:tcW w:w="0" w:type="auto"/>
            <w:noWrap/>
            <w:hideMark/>
          </w:tcPr>
          <w:p w14:paraId="2DD31219" w14:textId="77777777" w:rsidR="002C2EA6" w:rsidRPr="00B959F6" w:rsidRDefault="002C2EA6"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Vegetable tops</w:t>
            </w:r>
          </w:p>
        </w:tc>
      </w:tr>
      <w:tr w:rsidR="002C2EA6" w:rsidRPr="00B959F6" w14:paraId="0A647ACE" w14:textId="77777777" w:rsidTr="00CE3893">
        <w:trPr>
          <w:trHeight w:val="290"/>
        </w:trPr>
        <w:tc>
          <w:tcPr>
            <w:cnfStyle w:val="001000000000" w:firstRow="0" w:lastRow="0" w:firstColumn="1" w:lastColumn="0" w:oddVBand="0" w:evenVBand="0" w:oddHBand="0" w:evenHBand="0" w:firstRowFirstColumn="0" w:firstRowLastColumn="0" w:lastRowFirstColumn="0" w:lastRowLastColumn="0"/>
            <w:tcW w:w="0" w:type="auto"/>
            <w:vMerge w:val="restart"/>
            <w:noWrap/>
            <w:hideMark/>
          </w:tcPr>
          <w:p w14:paraId="22F0133D" w14:textId="77777777" w:rsidR="002C2EA6" w:rsidRPr="00B959F6" w:rsidRDefault="002C2EA6" w:rsidP="00D31C73">
            <w:pPr>
              <w:jc w:val="right"/>
              <w:rPr>
                <w:b w:val="0"/>
                <w:sz w:val="18"/>
                <w:szCs w:val="18"/>
              </w:rPr>
            </w:pPr>
            <w:r w:rsidRPr="00B959F6">
              <w:rPr>
                <w:b w:val="0"/>
                <w:sz w:val="18"/>
                <w:szCs w:val="18"/>
              </w:rPr>
              <w:t>Slaughterhouse by-products</w:t>
            </w:r>
          </w:p>
        </w:tc>
        <w:tc>
          <w:tcPr>
            <w:tcW w:w="0" w:type="auto"/>
            <w:noWrap/>
            <w:hideMark/>
          </w:tcPr>
          <w:p w14:paraId="6F1EC47A" w14:textId="77777777" w:rsidR="002C2EA6" w:rsidRPr="00B959F6" w:rsidRDefault="002C2EA6"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C1/C2</w:t>
            </w:r>
            <w:r w:rsidRPr="00B959F6">
              <w:rPr>
                <w:sz w:val="18"/>
                <w:szCs w:val="18"/>
                <w:vertAlign w:val="superscript"/>
              </w:rPr>
              <w:t>***</w:t>
            </w:r>
          </w:p>
        </w:tc>
      </w:tr>
      <w:tr w:rsidR="002C2EA6" w:rsidRPr="00B959F6" w14:paraId="2A03258E" w14:textId="77777777" w:rsidTr="00CE389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noWrap/>
          </w:tcPr>
          <w:p w14:paraId="4BC7D553" w14:textId="77777777" w:rsidR="002C2EA6" w:rsidRPr="00B959F6" w:rsidRDefault="002C2EA6" w:rsidP="00D31C73">
            <w:pPr>
              <w:jc w:val="right"/>
              <w:rPr>
                <w:b w:val="0"/>
                <w:sz w:val="18"/>
                <w:szCs w:val="18"/>
              </w:rPr>
            </w:pPr>
          </w:p>
        </w:tc>
        <w:tc>
          <w:tcPr>
            <w:tcW w:w="0" w:type="auto"/>
            <w:noWrap/>
          </w:tcPr>
          <w:p w14:paraId="4C4FBC99" w14:textId="77777777" w:rsidR="002C2EA6" w:rsidRPr="00B959F6" w:rsidRDefault="002C2EA6"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Meat production C3</w:t>
            </w:r>
            <w:r w:rsidRPr="00B959F6">
              <w:rPr>
                <w:sz w:val="18"/>
                <w:szCs w:val="18"/>
                <w:vertAlign w:val="superscript"/>
              </w:rPr>
              <w:t>***</w:t>
            </w:r>
          </w:p>
        </w:tc>
      </w:tr>
      <w:tr w:rsidR="002C2EA6" w:rsidRPr="00B959F6" w14:paraId="3F90CDC8" w14:textId="77777777" w:rsidTr="00CE3893">
        <w:trPr>
          <w:trHeight w:val="290"/>
        </w:trPr>
        <w:tc>
          <w:tcPr>
            <w:cnfStyle w:val="001000000000" w:firstRow="0" w:lastRow="0" w:firstColumn="1" w:lastColumn="0" w:oddVBand="0" w:evenVBand="0" w:oddHBand="0" w:evenHBand="0" w:firstRowFirstColumn="0" w:firstRowLastColumn="0" w:lastRowFirstColumn="0" w:lastRowLastColumn="0"/>
            <w:tcW w:w="0" w:type="auto"/>
            <w:vMerge/>
            <w:noWrap/>
            <w:hideMark/>
          </w:tcPr>
          <w:p w14:paraId="55C4889C" w14:textId="77777777" w:rsidR="002C2EA6" w:rsidRPr="00B959F6" w:rsidRDefault="002C2EA6" w:rsidP="00D31C73">
            <w:pPr>
              <w:jc w:val="right"/>
              <w:rPr>
                <w:b w:val="0"/>
                <w:sz w:val="18"/>
                <w:szCs w:val="18"/>
              </w:rPr>
            </w:pPr>
          </w:p>
        </w:tc>
        <w:tc>
          <w:tcPr>
            <w:tcW w:w="0" w:type="auto"/>
            <w:noWrap/>
            <w:hideMark/>
          </w:tcPr>
          <w:p w14:paraId="6FB9A235" w14:textId="77777777" w:rsidR="002C2EA6" w:rsidRPr="00B959F6" w:rsidRDefault="002C2EA6"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Fishery and aquaculture C3</w:t>
            </w:r>
            <w:r w:rsidRPr="00B959F6">
              <w:rPr>
                <w:sz w:val="18"/>
                <w:szCs w:val="18"/>
                <w:vertAlign w:val="superscript"/>
              </w:rPr>
              <w:t>***</w:t>
            </w:r>
          </w:p>
        </w:tc>
      </w:tr>
      <w:tr w:rsidR="002C2EA6" w:rsidRPr="00B959F6" w14:paraId="232E26F4" w14:textId="77777777" w:rsidTr="00CE389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noWrap/>
            <w:hideMark/>
          </w:tcPr>
          <w:p w14:paraId="31333551" w14:textId="77777777" w:rsidR="002C2EA6" w:rsidRPr="00B959F6" w:rsidRDefault="002C2EA6" w:rsidP="00D31C73">
            <w:pPr>
              <w:jc w:val="right"/>
              <w:rPr>
                <w:b w:val="0"/>
                <w:sz w:val="18"/>
                <w:szCs w:val="18"/>
              </w:rPr>
            </w:pPr>
            <w:r w:rsidRPr="00B959F6">
              <w:rPr>
                <w:b w:val="0"/>
                <w:sz w:val="18"/>
                <w:szCs w:val="18"/>
              </w:rPr>
              <w:t>Agrifood co-products</w:t>
            </w:r>
          </w:p>
        </w:tc>
        <w:tc>
          <w:tcPr>
            <w:tcW w:w="0" w:type="auto"/>
            <w:noWrap/>
            <w:hideMark/>
          </w:tcPr>
          <w:p w14:paraId="14913F18" w14:textId="77777777" w:rsidR="002C2EA6" w:rsidRPr="00B959F6" w:rsidRDefault="002C2EA6"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i/>
                <w:sz w:val="18"/>
                <w:szCs w:val="18"/>
              </w:rPr>
              <w:t>Classified per agrifood sector</w:t>
            </w:r>
          </w:p>
        </w:tc>
      </w:tr>
      <w:tr w:rsidR="002C2EA6" w:rsidRPr="00B959F6" w14:paraId="6E5EC145" w14:textId="77777777" w:rsidTr="00CE3893">
        <w:trPr>
          <w:trHeight w:val="290"/>
        </w:trPr>
        <w:tc>
          <w:tcPr>
            <w:cnfStyle w:val="001000000000" w:firstRow="0" w:lastRow="0" w:firstColumn="1" w:lastColumn="0" w:oddVBand="0" w:evenVBand="0" w:oddHBand="0" w:evenHBand="0" w:firstRowFirstColumn="0" w:firstRowLastColumn="0" w:lastRowFirstColumn="0" w:lastRowLastColumn="0"/>
            <w:tcW w:w="0" w:type="auto"/>
            <w:noWrap/>
            <w:hideMark/>
          </w:tcPr>
          <w:p w14:paraId="3C993110" w14:textId="77777777" w:rsidR="002C2EA6" w:rsidRPr="00B959F6" w:rsidRDefault="002C2EA6" w:rsidP="00D31C73">
            <w:pPr>
              <w:jc w:val="right"/>
              <w:rPr>
                <w:b w:val="0"/>
                <w:sz w:val="18"/>
                <w:szCs w:val="18"/>
              </w:rPr>
            </w:pPr>
            <w:r w:rsidRPr="00B959F6">
              <w:rPr>
                <w:b w:val="0"/>
                <w:sz w:val="18"/>
                <w:szCs w:val="18"/>
              </w:rPr>
              <w:t>Food waste</w:t>
            </w:r>
          </w:p>
        </w:tc>
        <w:tc>
          <w:tcPr>
            <w:tcW w:w="0" w:type="auto"/>
            <w:noWrap/>
            <w:hideMark/>
          </w:tcPr>
          <w:p w14:paraId="5BFC0528" w14:textId="77777777" w:rsidR="002C2EA6" w:rsidRPr="00B959F6" w:rsidRDefault="002C2EA6" w:rsidP="00D31C73">
            <w:pPr>
              <w:cnfStyle w:val="000000000000" w:firstRow="0" w:lastRow="0" w:firstColumn="0" w:lastColumn="0" w:oddVBand="0" w:evenVBand="0" w:oddHBand="0" w:evenHBand="0" w:firstRowFirstColumn="0" w:firstRowLastColumn="0" w:lastRowFirstColumn="0" w:lastRowLastColumn="0"/>
              <w:rPr>
                <w:i/>
                <w:sz w:val="18"/>
                <w:szCs w:val="18"/>
              </w:rPr>
            </w:pPr>
            <w:r w:rsidRPr="00B959F6">
              <w:rPr>
                <w:i/>
                <w:sz w:val="18"/>
                <w:szCs w:val="18"/>
              </w:rPr>
              <w:t>Classified per generating sector</w:t>
            </w:r>
          </w:p>
        </w:tc>
      </w:tr>
    </w:tbl>
    <w:p w14:paraId="442969EE" w14:textId="31E264C0" w:rsidR="002C2EA6" w:rsidRPr="00932D5C" w:rsidRDefault="002C2EA6" w:rsidP="00932D5C">
      <w:pPr>
        <w:jc w:val="both"/>
        <w:rPr>
          <w:sz w:val="18"/>
          <w:szCs w:val="18"/>
        </w:rPr>
      </w:pPr>
      <w:r w:rsidRPr="00932D5C">
        <w:rPr>
          <w:sz w:val="18"/>
          <w:szCs w:val="18"/>
          <w:vertAlign w:val="superscript"/>
        </w:rPr>
        <w:t>*</w:t>
      </w:r>
      <w:r w:rsidRPr="00932D5C">
        <w:rPr>
          <w:sz w:val="18"/>
          <w:szCs w:val="18"/>
        </w:rPr>
        <w:t xml:space="preserve">: Waste, residues and co-products terminologies as defined in </w:t>
      </w:r>
      <w:r w:rsidR="00932D5C">
        <w:rPr>
          <w:sz w:val="18"/>
          <w:szCs w:val="18"/>
        </w:rPr>
        <w:t>Javourez et al., (2021)</w:t>
      </w:r>
      <w:r w:rsidR="00932D5C" w:rsidRPr="00932D5C">
        <w:rPr>
          <w:sz w:val="18"/>
          <w:szCs w:val="18"/>
        </w:rPr>
        <w:fldChar w:fldCharType="begin"/>
      </w:r>
      <w:r w:rsidR="00682E10">
        <w:rPr>
          <w:sz w:val="18"/>
          <w:szCs w:val="18"/>
        </w:rPr>
        <w:instrText xml:space="preserve"> ADDIN ZOTERO_ITEM CSL_CITATION {"citationID":"a182a20bt7k","properties":{"formattedCitation":"\\super 2\\nosupersub{}","plainCitation":"2","noteIndex":0},"citationItems":[{"id":12313,"uris":["http://zotero.org/users/6423791/items/U9PTD6XB"],"itemData":{"id":12313,"type":"article-journal","abstract":"Residual biomass is acknowledged as a key sustainable feedstock for the transition towards circular and low fossil carbon economies to supply whether energy, chemical, material and food products or services. The latter is receiving increasing attention, in particular in the perspective of decoupling nutrition from arable land demand. In order to provide a comprehensive overview of the technical possibilities to convert residual biomasses into edible ingredients, we reviewed over 950 scientific and industrial records documenting existing and emerging waste-to-nutrition pathways, involving over 150 different feedstocks here grouped under 10 umbrella categories: (i) wood-related residual biomass, (ii) primary crop residues, (iii) manure, (iv) food waste, (v) sludge and wastewater, (vi) green residual biomass, (vii) slaughterhouse by-products, (viii) agrifood co-products, (ix) C1 gases and (x) others. The review includes a detailed description of these pathways, as well as the processes they involve. As a result, we proposed four generic building blocks to systematize waste-to-nutrition conversion sequence patterns, namely enhancement, cracking, extraction and bioconversion. We further introduce a multidimensional representation of the biomasses suitability as potential as nutritional sources according to (i) their content in anti-nutritional compounds, (ii) their degree of structural complexity and (iii) their concentration of macro- and micronutrients. Finally, we suggest that the different pathways can be grouped into eight large families of approaches: (i) insect biorefinery, (ii) green biorefinery, (iii) lignocellulosic biorefinery, (iv) non-soluble protein recovery, (v) gas-intermediate biorefinery, (vi) liquid substrate alternative, (vii) solid-substrate fermentation and (viii) more-out-of-slaughterhouse by-products. The proposed framework aims to support future research in waste recovery and valorization within food systems, along with stimulating reflections on the improvement of resources’ cascading use.","container-title":"Biotechnology Advances","DOI":"10.1016/j.biotechadv.2021.107857","ISSN":"0734-9750","journalAbbreviation":"Biotechnol. Adv.","language":"en","page":"107857","source":"ScienceDirect","title":"Waste-to-nutrition: a review of current and emerging conversion pathways","title-short":"Waste-to-nutrition","volume":"53","author":[{"family":"Javourez","given":"U."},{"family":"O’Donohue","given":"M."},{"family":"Hamelin","given":"L."}],"issued":{"date-parts":[["2021",12,1]]}}}],"schema":"https://github.com/citation-style-language/schema/raw/master/csl-citation.json"} </w:instrText>
      </w:r>
      <w:r w:rsidR="00932D5C" w:rsidRPr="00932D5C">
        <w:rPr>
          <w:sz w:val="18"/>
          <w:szCs w:val="18"/>
        </w:rPr>
        <w:fldChar w:fldCharType="separate"/>
      </w:r>
      <w:r w:rsidR="00682E10" w:rsidRPr="00682E10">
        <w:rPr>
          <w:rFonts w:ascii="Calibri" w:hAnsi="Calibri" w:cs="Calibri"/>
          <w:sz w:val="18"/>
          <w:szCs w:val="24"/>
          <w:vertAlign w:val="superscript"/>
        </w:rPr>
        <w:t>2</w:t>
      </w:r>
      <w:r w:rsidR="00932D5C" w:rsidRPr="00932D5C">
        <w:rPr>
          <w:sz w:val="18"/>
          <w:szCs w:val="18"/>
        </w:rPr>
        <w:fldChar w:fldCharType="end"/>
      </w:r>
      <w:r w:rsidRPr="00932D5C">
        <w:rPr>
          <w:sz w:val="18"/>
          <w:szCs w:val="18"/>
        </w:rPr>
        <w:t xml:space="preserve">. </w:t>
      </w:r>
      <w:r w:rsidRPr="00932D5C">
        <w:rPr>
          <w:sz w:val="18"/>
          <w:szCs w:val="18"/>
          <w:vertAlign w:val="superscript"/>
        </w:rPr>
        <w:t>**</w:t>
      </w:r>
      <w:r w:rsidRPr="00932D5C">
        <w:rPr>
          <w:sz w:val="18"/>
          <w:szCs w:val="18"/>
        </w:rPr>
        <w:t xml:space="preserve">: Wastewater is not part of the scope of the study, focusing rather on the final waste (here: sludge). </w:t>
      </w:r>
      <w:r w:rsidRPr="00932D5C">
        <w:rPr>
          <w:sz w:val="18"/>
          <w:szCs w:val="18"/>
          <w:vertAlign w:val="superscript"/>
        </w:rPr>
        <w:t>***</w:t>
      </w:r>
      <w:r w:rsidRPr="00932D5C">
        <w:rPr>
          <w:sz w:val="18"/>
          <w:szCs w:val="18"/>
        </w:rPr>
        <w:t>: as defined in the Animal by-products regulation</w:t>
      </w:r>
      <w:r w:rsidRPr="00932D5C">
        <w:rPr>
          <w:sz w:val="18"/>
          <w:szCs w:val="18"/>
          <w:vertAlign w:val="superscript"/>
        </w:rPr>
        <w:fldChar w:fldCharType="begin"/>
      </w:r>
      <w:r w:rsidR="00682E10">
        <w:rPr>
          <w:sz w:val="18"/>
          <w:szCs w:val="18"/>
          <w:vertAlign w:val="superscript"/>
        </w:rPr>
        <w:instrText xml:space="preserve"> ADDIN ZOTERO_ITEM CSL_CITATION {"citationID":"a26fle4i83v","properties":{"formattedCitation":"\\super 3\\nosupersub{}","plainCitation":"3","noteIndex":0},"citationItems":[{"id":11682,"uris":["http://zotero.org/users/6423791/items/F7CR22WZ"],"itemData":{"id":11682,"type":"legislation","container-title":"OJ L","language":"en","note":"Legislative Body: CONSIL, EP","number":"32009R1069","page":"1-33","title":"Regulation (EC) No 1069/2009 of the European Parliament and of the Council of 21 October 2009 laying down health rules as regards animal by-products and derived products not intended for human consumption and repealing Regulation (EC) No 1774/2002 (Animal by-products Regulation)","URL":"http://data.europa.eu/eli/reg/2009/1069/oj/eng","volume":"300","author":[{"literal":"EC Regulation"}],"accessed":{"date-parts":[["2021",8,26]]},"issued":{"date-parts":[["2009",11,14]]}}}],"schema":"https://github.com/citation-style-language/schema/raw/master/csl-citation.json"} </w:instrText>
      </w:r>
      <w:r w:rsidRPr="00932D5C">
        <w:rPr>
          <w:sz w:val="18"/>
          <w:szCs w:val="18"/>
          <w:vertAlign w:val="superscript"/>
        </w:rPr>
        <w:fldChar w:fldCharType="separate"/>
      </w:r>
      <w:r w:rsidR="00682E10" w:rsidRPr="00682E10">
        <w:rPr>
          <w:rFonts w:ascii="Calibri" w:hAnsi="Calibri" w:cs="Calibri"/>
          <w:sz w:val="18"/>
          <w:szCs w:val="24"/>
          <w:vertAlign w:val="superscript"/>
        </w:rPr>
        <w:t>3</w:t>
      </w:r>
      <w:r w:rsidRPr="00932D5C">
        <w:rPr>
          <w:sz w:val="18"/>
          <w:szCs w:val="18"/>
          <w:vertAlign w:val="superscript"/>
        </w:rPr>
        <w:fldChar w:fldCharType="end"/>
      </w:r>
      <w:r w:rsidRPr="00932D5C">
        <w:rPr>
          <w:sz w:val="18"/>
          <w:szCs w:val="18"/>
        </w:rPr>
        <w:t>. Subcategories in orange tinted cells were not retained for further analysis: paper &amp; packaging waste are already managed by centralized supply chains to enhance recycling rates, and unused grasslands are consequences of land allocation decisions (not entering residual biomass definition). Organic/Inorganic composite streams (e.g. solid recovered fuel) were also discarded.</w:t>
      </w:r>
    </w:p>
    <w:p w14:paraId="7BA6E966" w14:textId="7B0B0C18" w:rsidR="0004081E" w:rsidRDefault="00F00FB9" w:rsidP="0004081E">
      <w:pPr>
        <w:jc w:val="both"/>
      </w:pPr>
      <w:r>
        <w:t xml:space="preserve">The identification of individual streams as well as theoretical resource potential estimation were established by inventorying, comparing and complementing data published by studies of similar scope including (but not limited to Javourez </w:t>
      </w:r>
      <w:r w:rsidRPr="003A0A4C">
        <w:t>et al., 2022</w:t>
      </w:r>
      <w:r w:rsidR="00682E10" w:rsidRPr="003A0A4C">
        <w:t>, 202</w:t>
      </w:r>
      <w:r w:rsidR="003A0A4C" w:rsidRPr="003A0A4C">
        <w:t>4</w:t>
      </w:r>
      <w:r w:rsidRPr="003A0A4C">
        <w:t>; Lodato</w:t>
      </w:r>
      <w:r>
        <w:t xml:space="preserve"> et al., 2022; FranceAgrimer, 2021)</w:t>
      </w:r>
      <w:r w:rsidRPr="00682E10">
        <w:fldChar w:fldCharType="begin"/>
      </w:r>
      <w:r w:rsidR="00827449">
        <w:instrText xml:space="preserve"> ADDIN ZOTERO_ITEM CSL_CITATION {"citationID":"a1nqjv4se0h","properties":{"formattedCitation":"\\super 1,4\\uc0\\u8211{}6\\nosupersub{}","plainCitation":"1,4–6","noteIndex":0},"citationItems":[{"id":13553,"uris":["http://zotero.org/users/6423791/items/EU8KLJZY"],"itemData":{"id":13553,"type":"article-journal","abstract":"Transforming residual biomass into edible ingredients is increasingly\npromoted to alleviate the environmental impacts of food systems. Yet,\nthese approaches mostly rely on emerging technologies and constrained\nresources, and their environmental benefits remain unclear. By combining\nprocess-based consequential life cycle analysis, uncertainty assessment\nand biomass resource estimation, we quantified the impacts of deploying\nwaste-to-nutrition pathways, here applied to the upgrading of agrifood\nco-products by solid-state fermentation (SSF). The benefits of reducing the\ndemand for soybean meal by enhancing the protein concentration of feed\nthrough SSF do not compensate for the environmental burdens induced\nby the process on climate change, water depletion and land use. Besides\nunlocking feed markets to low-feed-quality streams, SSF outperforms\nenergy valorization for most environmental impacts but is less competitive\nto mitigate climate change. Yet, SSF yields overall environmental benefits\nwhen unlocking food markets rather than supplying feed and energy\nservices. Systematic methodological harmonization is required to assess the\npotential of novel ingredients, as outcomes vary according to the displaced\nfood and feed baskets, and related land use changes.","container-title":"Nature Food","DOI":"10.1038/s43016-022-00621-9","journalAbbreviation":"Nat Food","language":"en","page":"911-920","title":"Upgrading agrifood co-products via solid fermentation yields environmental benefits under specific conditions only","volume":"3","author":[{"family":"Javourez","given":"Ugo"},{"family":"Rosero Delgado","given":"Ernesto Alonso"},{"family":"Hamelin","given":"Lorie"}],"issued":{"date-parts":[["2022",10,31]]}}},{"id":3400,"uris":["http://zotero.org/users/6423791/items/WT9255RT"],"itemData":{"id":3400,"type":"report","collection-title":"Les données","event-place":"Montreuil","page":"93","publisher-place":"Montreuil","title":"L’Observatoire National des Ressources en Biomasse, Évaluation des ressources agricoles et agroalimentaires disponibles en France – édition 2020","URL":"https://www.franceagrimer.fr/content/download/66147/document/DON-ONRB-2020_VF3.pdf","author":[{"literal":"FranceAgriMer"}],"accessed":{"date-parts":[["2021",2,3]]},"issued":{"date-parts":[["2021"]]}}},{"id":13623,"uris":["http://zotero.org/users/6423791/items/NEF2RYU2"],"itemData":{"id":13623,"type":"article-journal","abstract":"Methane is a versatile and storable energy carrier, which is likely to play an important role in the European transition towards a low fossil carbon energy sector. We investigate the potentials for meeting regional methane demands through conversion of local residual bioresources for supply of bio-based CH4. We have developed a tiered assessment framework involving i) allocation of residual and constrained bioresources to conversion pathways based on physical and biochemical properties, ii) life cycle assessment (LCA) of technology conversion pathways through process-oriented parameterisation of the LCA model, and iii) LCA modelling of system-level technology implementation scenarios for quantification of regional potentials for bio-based CH4 supply and environmental savings, in view of current uses of the same bioresources. Two main technology conversion pathways are included: gasification and anaerobic digestion, both with hydrogen enhancement. The latter was also considered with water scrubbing upgrading. The framework is implemented for the French region, Occitania, with a residual bioresource potential of 48 TWh·y−1 (distributed on 41 different bioresources), and an annual methane demand of 17.5 TWh·y−1, currently supplied by natural gas. The assessment results clearly demonstrate that utilisation of available residual bioresources has tremendous potential both for covering current gas demands in the region (up to about seven times in some scenarios) but also for a reduction in climate change impacts from the region (up to about 37%).","container-title":"Applied Energy","DOI":"10.1016/j.apenergy.2022.119568","ISSN":"0306-2619","journalAbbreviation":"Appl. Energy","language":"en","page":"119568","source":"ScienceDirect","title":"Towards sustainable methane supply from local bioresources: Anaerobic digestion, gasification, and gas upgrading","title-short":"Towards sustainable methane supply from local bioresources","volume":"323","author":[{"family":"Lodato","given":"Concetta"},{"family":"Hamelin","given":"Lorie"},{"family":"Tonini","given":"Davide"},{"family":"Astrup","given":"Thomas Fruergaard"}],"issued":{"date-parts":[["2022",10,1]]}}},{"id":14333,"uris":["http://zotero.org/users/6423791/items/XCNA2SYX"],"itemData":{"id":14333,"type":"article","DOI":"10.21203/rs.3.rs-3626167/v2","genre":"preprint","publisher":"Research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Pr="00682E10">
        <w:fldChar w:fldCharType="separate"/>
      </w:r>
      <w:r w:rsidR="00682E10" w:rsidRPr="00682E10">
        <w:rPr>
          <w:rFonts w:ascii="Calibri" w:hAnsi="Calibri" w:cs="Calibri"/>
          <w:szCs w:val="24"/>
          <w:vertAlign w:val="superscript"/>
        </w:rPr>
        <w:t>1,4–6</w:t>
      </w:r>
      <w:r w:rsidRPr="00682E10">
        <w:fldChar w:fldCharType="end"/>
      </w:r>
      <w:r>
        <w:t>.</w:t>
      </w:r>
      <w:r w:rsidR="0004081E">
        <w:t xml:space="preserve"> </w:t>
      </w:r>
      <w:r w:rsidR="0016358A">
        <w:t xml:space="preserve">The granularity of biomass composition modeling was selected to capture the main biochemical families (lignin, hemicelluloses, cellulose, ashes, proteins, lipids and carbohydrates) and elements (C, H, O, N, P, K, S), to allow differentiation between streams, as performed </w:t>
      </w:r>
      <w:r w:rsidR="0016358A" w:rsidRPr="00682E10">
        <w:t>in</w:t>
      </w:r>
      <w:r w:rsidR="00682E10" w:rsidRPr="00682E10">
        <w:t xml:space="preserve"> Javourez </w:t>
      </w:r>
      <w:r w:rsidR="00682E10" w:rsidRPr="003A0A4C">
        <w:t>et al., (202</w:t>
      </w:r>
      <w:r w:rsidR="003A0A4C" w:rsidRPr="003A0A4C">
        <w:t>4</w:t>
      </w:r>
      <w:r w:rsidR="00682E10" w:rsidRPr="003A0A4C">
        <w:t>)</w:t>
      </w:r>
      <w:r w:rsidR="00682E10" w:rsidRPr="003A0A4C">
        <w:fldChar w:fldCharType="begin"/>
      </w:r>
      <w:r w:rsidR="00827449">
        <w:instrText xml:space="preserve"> ADDIN ZOTERO_ITEM CSL_CITATION {"citationID":"acvnvb65gh","properties":{"formattedCitation":"\\super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682E10" w:rsidRPr="003A0A4C">
        <w:fldChar w:fldCharType="separate"/>
      </w:r>
      <w:r w:rsidR="008C451C" w:rsidRPr="003A0A4C">
        <w:rPr>
          <w:rFonts w:ascii="Calibri" w:hAnsi="Calibri" w:cs="Calibri"/>
          <w:szCs w:val="24"/>
          <w:vertAlign w:val="superscript"/>
        </w:rPr>
        <w:t>1</w:t>
      </w:r>
      <w:r w:rsidR="00682E10" w:rsidRPr="003A0A4C">
        <w:fldChar w:fldCharType="end"/>
      </w:r>
      <w:r w:rsidR="0016358A" w:rsidRPr="003A0A4C">
        <w:t>.</w:t>
      </w:r>
      <w:r w:rsidR="0016358A">
        <w:t xml:space="preserve"> Further refinements such as the content of specific amino acids, fatty acids, tannins, or other compounds are not always documented for residual biomass streams, and are too dispersed to derive a representative average. This is because these are tightly linked with specific management practices, varieties and pedoclimatic conditions, among others. Biomass compositions were mostly derived from specialized </w:t>
      </w:r>
      <w:r w:rsidR="0016358A" w:rsidRPr="0004081E">
        <w:t>databases</w:t>
      </w:r>
      <w:r w:rsidR="0004081E" w:rsidRPr="0004081E">
        <w:fldChar w:fldCharType="begin"/>
      </w:r>
      <w:r w:rsidR="00682E10">
        <w:instrText xml:space="preserve"> ADDIN ZOTERO_ITEM CSL_CITATION {"citationID":"a1r8q2iqk7d","properties":{"formattedCitation":"\\super 7\\uc0\\u8211{}9\\nosupersub{}","plainCitation":"7–9","noteIndex":0},"citationItems":[{"id":10838,"uris":["http://zotero.org/users/6423791/items/3ZVXC7MR"],"itemData":{"id":10838,"type":"document","publisher":"Federatie Nederlandse Diervoederketen","title":"CVB Feed Table 2018 - Chemical composition and nutritional values of feedstuffs","URL":"https://images.engormix.com/externalFiles/6_cvb-feed-table-2016-version-1.pdf","author":[{"family":"Blok","given":"M.C."},{"family":"Spek","given":"J.W."}],"accessed":{"date-parts":[["2021",4,7]]},"issued":{"date-parts":[["2018",9]]}}},{"id":2859,"uris":["http://zotero.org/users/6423791/items/8SCS4TFP"],"itemData":{"id":2859,"type":"webpage","title":"List of feeds","URL":"https://feedipedia.org/content/feeds?category=All","author":[{"literal":"Feedipedia"}],"accessed":{"date-parts":[["2020",11,30]]},"issued":{"date-parts":[["2020"]]}}},{"id":12383,"uris":["http://zotero.org/users/6423791/items/7NNV8WW5"],"itemData":{"id":12383,"type":"webpage","container-title":"INRAE-CIRAD-AFZ Feed tables","title":"Tables of composition and nutritional values of feed materials","URL":"https://feedtables.com/","author":[{"literal":"INRAE"},{"literal":"CIRAD"},{"literal":"AFZ"}],"accessed":{"date-parts":[["2021",11,24]]},"issued":{"date-parts":[["2021"]]}}}],"schema":"https://github.com/citation-style-language/schema/raw/master/csl-citation.json"} </w:instrText>
      </w:r>
      <w:r w:rsidR="0004081E" w:rsidRPr="0004081E">
        <w:fldChar w:fldCharType="separate"/>
      </w:r>
      <w:r w:rsidR="00682E10" w:rsidRPr="00682E10">
        <w:rPr>
          <w:rFonts w:ascii="Calibri" w:hAnsi="Calibri" w:cs="Calibri"/>
          <w:szCs w:val="24"/>
          <w:vertAlign w:val="superscript"/>
        </w:rPr>
        <w:t>7–9</w:t>
      </w:r>
      <w:r w:rsidR="0004081E" w:rsidRPr="0004081E">
        <w:fldChar w:fldCharType="end"/>
      </w:r>
      <w:r w:rsidR="0016358A" w:rsidRPr="0004081E">
        <w:t>, ensuring</w:t>
      </w:r>
      <w:r w:rsidR="0016358A">
        <w:t xml:space="preserve"> completed mass balance (i.e. biochemical fractions summing 100%). When not available, elemental composition (C, H, N, O) were estimated through stoichiometric proxies per fraction as developed in Hamelin et al., 2014</w:t>
      </w:r>
      <w:r w:rsidR="0004081E" w:rsidRPr="0004081E">
        <w:fldChar w:fldCharType="begin"/>
      </w:r>
      <w:r w:rsidR="00682E10">
        <w:instrText xml:space="preserve"> ADDIN ZOTERO_ITEM CSL_CITATION {"citationID":"a2krp81qr9h","properties":{"formattedCitation":"\\super 10\\nosupersub{}","plainCitation":"10","noteIndex":0},"citationItems":[{"id":11593,"uris":["http://zotero.org/users/6423791/items/LLHNGSED"],"itemData":{"id":11593,"type":"article-journal","abstract":"Manure-biogas is a renewable energy resource rather untapped in Europe in comparison to its full potential. Given the current and emerging renewable energy targets, considerable increases in its production can be expected. This consequential life cycle assessment (LCA) study investigated the environmental consequences of different co-substrate strategies for reaching drastic increases in manure-biogas production in Denmark. Six co-substrates not already fully used for biogas were considered: energy crops, straw, household food waste, commercial food waste, garden waste and the solid fraction deriving from source-segregation of animal urine and feces. Soil carbon changes as well as direct and indirect land use changes were included in the LCA. Source-segregated manure stood out as the environmentally best co-substrate, followed by garden waste. Co-substrates already in use for energy recovery (straw, household and commercial food wastes) displayed a more modest environmental performance while energy crops, here represented by maize silage, was the only option giving rise to net greenhouse gas emissions. This was essentially due to the indirect land use change emissions related to this scenario, which were quantified to 357tCO2eq.ha−1 displaced.","container-title":"Applied Energy","DOI":"10.1016/j.apenergy.2013.09.033","ISSN":"0306-2619","journalAbbreviation":"Appl. Energy","language":"en","page":"774-782","source":"ScienceDirect","title":"Environmental consequences of different carbon alternatives for increased manure-based biogas","volume":"114","author":[{"family":"Hamelin","given":"Lorie"},{"family":"Naroznova","given":"Irina"},{"family":"Wenzel","given":"Henrik"}],"issued":{"date-parts":[["2014",2,1]]}}}],"schema":"https://github.com/citation-style-language/schema/raw/master/csl-citation.json"} </w:instrText>
      </w:r>
      <w:r w:rsidR="0004081E" w:rsidRPr="0004081E">
        <w:fldChar w:fldCharType="separate"/>
      </w:r>
      <w:r w:rsidR="00682E10" w:rsidRPr="00682E10">
        <w:rPr>
          <w:rFonts w:ascii="Calibri" w:hAnsi="Calibri" w:cs="Calibri"/>
          <w:szCs w:val="24"/>
          <w:vertAlign w:val="superscript"/>
        </w:rPr>
        <w:t>10</w:t>
      </w:r>
      <w:r w:rsidR="0004081E" w:rsidRPr="0004081E">
        <w:fldChar w:fldCharType="end"/>
      </w:r>
      <w:r w:rsidR="0016358A" w:rsidRPr="0004081E">
        <w:t>.</w:t>
      </w:r>
      <w:r w:rsidR="0004081E">
        <w:t xml:space="preserve"> At all time, we ensured to track back primary data source used by each reference in order to only account for different </w:t>
      </w:r>
      <w:r w:rsidR="00682E10">
        <w:t xml:space="preserve">primary data </w:t>
      </w:r>
      <w:r w:rsidR="0004081E">
        <w:t>sources.</w:t>
      </w:r>
      <w:r w:rsidR="00303633">
        <w:t xml:space="preserve"> Single </w:t>
      </w:r>
      <w:r w:rsidR="00303633">
        <w:lastRenderedPageBreak/>
        <w:t>streams were further clustered per similar composition-structure to feed the case studies’ selection criteria (</w:t>
      </w:r>
      <w:r w:rsidR="00303633" w:rsidRPr="00303633">
        <w:rPr>
          <w:b/>
        </w:rPr>
        <w:fldChar w:fldCharType="begin"/>
      </w:r>
      <w:r w:rsidR="00303633" w:rsidRPr="00303633">
        <w:rPr>
          <w:b/>
        </w:rPr>
        <w:instrText xml:space="preserve"> REF _Ref144717314 \h </w:instrText>
      </w:r>
      <w:r w:rsidR="00303633">
        <w:rPr>
          <w:b/>
        </w:rPr>
        <w:instrText xml:space="preserve"> \* MERGEFORMAT </w:instrText>
      </w:r>
      <w:r w:rsidR="00303633" w:rsidRPr="00303633">
        <w:rPr>
          <w:b/>
        </w:rPr>
      </w:r>
      <w:r w:rsidR="00303633" w:rsidRPr="00303633">
        <w:rPr>
          <w:b/>
        </w:rPr>
        <w:fldChar w:fldCharType="separate"/>
      </w:r>
      <w:r w:rsidR="00F25F8C" w:rsidRPr="00F25F8C">
        <w:rPr>
          <w:b/>
        </w:rPr>
        <w:t xml:space="preserve">Figure SI. </w:t>
      </w:r>
      <w:r w:rsidR="00F25F8C" w:rsidRPr="00F25F8C">
        <w:rPr>
          <w:b/>
          <w:noProof/>
        </w:rPr>
        <w:t>1</w:t>
      </w:r>
      <w:r w:rsidR="00303633" w:rsidRPr="00303633">
        <w:rPr>
          <w:b/>
        </w:rPr>
        <w:fldChar w:fldCharType="end"/>
      </w:r>
      <w:r w:rsidR="00303633">
        <w:t xml:space="preserve">).  </w:t>
      </w:r>
    </w:p>
    <w:p w14:paraId="45C1E690" w14:textId="48C4B714" w:rsidR="0016358A" w:rsidRPr="00233A50" w:rsidRDefault="00303633" w:rsidP="00CE3893">
      <w:pPr>
        <w:pStyle w:val="Lgende"/>
        <w:jc w:val="left"/>
        <w:rPr>
          <w:b w:val="0"/>
          <w:i/>
        </w:rPr>
      </w:pPr>
      <w:bookmarkStart w:id="5" w:name="_Ref144717314"/>
      <w:bookmarkStart w:id="6" w:name="_Toc151967989"/>
      <w:r>
        <w:t xml:space="preserve">Figure SI. </w:t>
      </w:r>
      <w:r>
        <w:fldChar w:fldCharType="begin"/>
      </w:r>
      <w:r>
        <w:instrText xml:space="preserve"> SEQ Figure_SI. \* ARABIC </w:instrText>
      </w:r>
      <w:r>
        <w:fldChar w:fldCharType="separate"/>
      </w:r>
      <w:r w:rsidR="00F25F8C">
        <w:rPr>
          <w:noProof/>
        </w:rPr>
        <w:t>1</w:t>
      </w:r>
      <w:r>
        <w:fldChar w:fldCharType="end"/>
      </w:r>
      <w:bookmarkEnd w:id="5"/>
      <w:r>
        <w:t xml:space="preserve"> </w:t>
      </w:r>
      <w:r w:rsidRPr="007815C0">
        <w:t>– Composition distribution of the 132 identified residual biomass streams for France</w:t>
      </w:r>
      <w:bookmarkEnd w:id="6"/>
    </w:p>
    <w:p w14:paraId="3AB6F183" w14:textId="77777777" w:rsidR="0016358A" w:rsidRDefault="0016358A" w:rsidP="00CE3893">
      <w:pPr>
        <w:rPr>
          <w:sz w:val="18"/>
        </w:rPr>
      </w:pPr>
      <w:r>
        <w:rPr>
          <w:noProof/>
          <w:sz w:val="18"/>
        </w:rPr>
        <w:drawing>
          <wp:inline distT="0" distB="0" distL="0" distR="0" wp14:anchorId="40B39605" wp14:editId="448F2392">
            <wp:extent cx="5714432" cy="4640580"/>
            <wp:effectExtent l="0" t="0" r="635" b="762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C3.2.png"/>
                    <pic:cNvPicPr/>
                  </pic:nvPicPr>
                  <pic:blipFill rotWithShape="1">
                    <a:blip r:embed="rId9" cstate="print">
                      <a:extLst>
                        <a:ext uri="{28A0092B-C50C-407E-A947-70E740481C1C}">
                          <a14:useLocalDpi xmlns:a14="http://schemas.microsoft.com/office/drawing/2010/main" val="0"/>
                        </a:ext>
                      </a:extLst>
                    </a:blip>
                    <a:srcRect l="22090" t="11288" r="18783" b="3351"/>
                    <a:stretch/>
                  </pic:blipFill>
                  <pic:spPr bwMode="auto">
                    <a:xfrm>
                      <a:off x="0" y="0"/>
                      <a:ext cx="5730816" cy="4653885"/>
                    </a:xfrm>
                    <a:prstGeom prst="rect">
                      <a:avLst/>
                    </a:prstGeom>
                    <a:ln>
                      <a:noFill/>
                    </a:ln>
                    <a:extLst>
                      <a:ext uri="{53640926-AAD7-44D8-BBD7-CCE9431645EC}">
                        <a14:shadowObscured xmlns:a14="http://schemas.microsoft.com/office/drawing/2010/main"/>
                      </a:ext>
                    </a:extLst>
                  </pic:spPr>
                </pic:pic>
              </a:graphicData>
            </a:graphic>
          </wp:inline>
        </w:drawing>
      </w:r>
    </w:p>
    <w:p w14:paraId="175C0835" w14:textId="40176198" w:rsidR="0016358A" w:rsidRDefault="0016358A" w:rsidP="0016358A">
      <w:pPr>
        <w:jc w:val="both"/>
        <w:rPr>
          <w:sz w:val="18"/>
        </w:rPr>
      </w:pPr>
      <w:r>
        <w:rPr>
          <w:sz w:val="18"/>
        </w:rPr>
        <w:t xml:space="preserve">Ternary diagram representing the diversity of biomass composition and highlighting common patterns between streams of the same category </w:t>
      </w:r>
      <w:r w:rsidRPr="00303633">
        <w:rPr>
          <w:sz w:val="18"/>
          <w:szCs w:val="18"/>
        </w:rPr>
        <w:t>(</w:t>
      </w:r>
      <w:r w:rsidR="00303633" w:rsidRPr="00303633">
        <w:rPr>
          <w:b/>
          <w:sz w:val="18"/>
          <w:szCs w:val="18"/>
        </w:rPr>
        <w:fldChar w:fldCharType="begin"/>
      </w:r>
      <w:r w:rsidR="00303633" w:rsidRPr="00303633">
        <w:rPr>
          <w:b/>
          <w:sz w:val="18"/>
          <w:szCs w:val="18"/>
        </w:rPr>
        <w:instrText xml:space="preserve"> REF _Ref144715881 \h  \* MERGEFORMAT </w:instrText>
      </w:r>
      <w:r w:rsidR="00303633" w:rsidRPr="00303633">
        <w:rPr>
          <w:b/>
          <w:sz w:val="18"/>
          <w:szCs w:val="18"/>
        </w:rPr>
      </w:r>
      <w:r w:rsidR="00303633" w:rsidRPr="00303633">
        <w:rPr>
          <w:b/>
          <w:sz w:val="18"/>
          <w:szCs w:val="18"/>
        </w:rPr>
        <w:fldChar w:fldCharType="separate"/>
      </w:r>
      <w:r w:rsidR="00F25F8C" w:rsidRPr="00F25F8C">
        <w:rPr>
          <w:b/>
          <w:sz w:val="18"/>
          <w:szCs w:val="18"/>
        </w:rPr>
        <w:t xml:space="preserve">Table SI. </w:t>
      </w:r>
      <w:r w:rsidR="00F25F8C" w:rsidRPr="00F25F8C">
        <w:rPr>
          <w:b/>
          <w:noProof/>
          <w:sz w:val="18"/>
          <w:szCs w:val="18"/>
        </w:rPr>
        <w:t>1</w:t>
      </w:r>
      <w:r w:rsidR="00303633" w:rsidRPr="00303633">
        <w:rPr>
          <w:b/>
          <w:sz w:val="18"/>
          <w:szCs w:val="18"/>
        </w:rPr>
        <w:fldChar w:fldCharType="end"/>
      </w:r>
      <w:r w:rsidRPr="00303633">
        <w:rPr>
          <w:sz w:val="18"/>
          <w:szCs w:val="18"/>
        </w:rPr>
        <w:t>)</w:t>
      </w:r>
      <w:r w:rsidR="00297685">
        <w:rPr>
          <w:sz w:val="18"/>
        </w:rPr>
        <w:t>, as in Javourez et al., 2021</w:t>
      </w:r>
      <w:r w:rsidR="00297685" w:rsidRPr="00297685">
        <w:rPr>
          <w:sz w:val="18"/>
        </w:rPr>
        <w:fldChar w:fldCharType="begin"/>
      </w:r>
      <w:r w:rsidR="00297685">
        <w:rPr>
          <w:sz w:val="18"/>
        </w:rPr>
        <w:instrText xml:space="preserve"> ADDIN ZOTERO_ITEM CSL_CITATION {"citationID":"afsjqrlmck","properties":{"formattedCitation":"\\super 2\\nosupersub{}","plainCitation":"2","noteIndex":0},"citationItems":[{"id":12313,"uris":["http://zotero.org/users/6423791/items/U9PTD6XB"],"itemData":{"id":12313,"type":"article-journal","abstract":"Residual biomass is acknowledged as a key sustainable feedstock for the transition towards circular and low fossil carbon economies to supply whether energy, chemical, material and food products or services. The latter is receiving increasing attention, in particular in the perspective of decoupling nutrition from arable land demand. In order to provide a comprehensive overview of the technical possibilities to convert residual biomasses into edible ingredients, we reviewed over 950 scientific and industrial records documenting existing and emerging waste-to-nutrition pathways, involving over 150 different feedstocks here grouped under 10 umbrella categories: (i) wood-related residual biomass, (ii) primary crop residues, (iii) manure, (iv) food waste, (v) sludge and wastewater, (vi) green residual biomass, (vii) slaughterhouse by-products, (viii) agrifood co-products, (ix) C1 gases and (x) others. The review includes a detailed description of these pathways, as well as the processes they involve. As a result, we proposed four generic building blocks to systematize waste-to-nutrition conversion sequence patterns, namely enhancement, cracking, extraction and bioconversion. We further introduce a multidimensional representation of the biomasses suitability as potential as nutritional sources according to (i) their content in anti-nutritional compounds, (ii) their degree of structural complexity and (iii) their concentration of macro- and micronutrients. Finally, we suggest that the different pathways can be grouped into eight large families of approaches: (i) insect biorefinery, (ii) green biorefinery, (iii) lignocellulosic biorefinery, (iv) non-soluble protein recovery, (v) gas-intermediate biorefinery, (vi) liquid substrate alternative, (vii) solid-substrate fermentation and (viii) more-out-of-slaughterhouse by-products. The proposed framework aims to support future research in waste recovery and valorization within food systems, along with stimulating reflections on the improvement of resources’ cascading use.","container-title":"Biotechnology Advances","DOI":"10.1016/j.biotechadv.2021.107857","ISSN":"0734-9750","journalAbbreviation":"Biotechnol. Adv.","language":"en","page":"107857","source":"ScienceDirect","title":"Waste-to-nutrition: a review of current and emerging conversion pathways","title-short":"Waste-to-nutrition","volume":"53","author":[{"family":"Javourez","given":"U."},{"family":"O’Donohue","given":"M."},{"family":"Hamelin","given":"L."}],"issued":{"date-parts":[["2021",12,1]]}}}],"schema":"https://github.com/citation-style-language/schema/raw/master/csl-citation.json"} </w:instrText>
      </w:r>
      <w:r w:rsidR="00297685" w:rsidRPr="00297685">
        <w:rPr>
          <w:sz w:val="18"/>
        </w:rPr>
        <w:fldChar w:fldCharType="separate"/>
      </w:r>
      <w:r w:rsidR="00297685" w:rsidRPr="00297685">
        <w:rPr>
          <w:rFonts w:ascii="Calibri" w:hAnsi="Calibri" w:cs="Calibri"/>
          <w:sz w:val="18"/>
          <w:szCs w:val="24"/>
          <w:vertAlign w:val="superscript"/>
        </w:rPr>
        <w:t>2</w:t>
      </w:r>
      <w:r w:rsidR="00297685" w:rsidRPr="00297685">
        <w:rPr>
          <w:sz w:val="18"/>
        </w:rPr>
        <w:fldChar w:fldCharType="end"/>
      </w:r>
      <w:r w:rsidR="00297685">
        <w:rPr>
          <w:sz w:val="18"/>
        </w:rPr>
        <w:t xml:space="preserve">. </w:t>
      </w:r>
      <w:r>
        <w:rPr>
          <w:sz w:val="18"/>
        </w:rPr>
        <w:t>Structural content gathers cellulose and hemicelluloses fractions</w:t>
      </w:r>
      <w:r w:rsidR="00297685">
        <w:rPr>
          <w:sz w:val="18"/>
        </w:rPr>
        <w:t>: these are dietary fibers with nutritional value for ruminant. Macronutrient content gathers proteins, lipids and carbohydrates usable by monogastric livestock (mostly free sugars and starch). A</w:t>
      </w:r>
      <w:r>
        <w:rPr>
          <w:sz w:val="18"/>
        </w:rPr>
        <w:t>nti-nutritional content gathers ashes and lignin</w:t>
      </w:r>
      <w:r w:rsidR="00297685">
        <w:rPr>
          <w:sz w:val="18"/>
        </w:rPr>
        <w:t xml:space="preserve">. </w:t>
      </w:r>
      <w:r>
        <w:rPr>
          <w:sz w:val="18"/>
        </w:rPr>
        <w:t xml:space="preserve">The “other” fraction was divided equally between the three axes. The position of the eleven streams selected in </w:t>
      </w:r>
      <w:r w:rsidRPr="00682E10">
        <w:rPr>
          <w:b/>
          <w:sz w:val="18"/>
        </w:rPr>
        <w:t xml:space="preserve">section </w:t>
      </w:r>
      <w:r w:rsidR="00682E10" w:rsidRPr="00682E10">
        <w:rPr>
          <w:b/>
          <w:sz w:val="18"/>
        </w:rPr>
        <w:t>2</w:t>
      </w:r>
      <w:r>
        <w:rPr>
          <w:sz w:val="18"/>
        </w:rPr>
        <w:t xml:space="preserve"> are highlighted. Background data in </w:t>
      </w:r>
      <w:proofErr w:type="gramStart"/>
      <w:r w:rsidRPr="00682E10">
        <w:rPr>
          <w:i/>
          <w:sz w:val="18"/>
        </w:rPr>
        <w:t>A.Res</w:t>
      </w:r>
      <w:r w:rsidR="00682E10" w:rsidRPr="00682E10">
        <w:rPr>
          <w:i/>
          <w:sz w:val="18"/>
        </w:rPr>
        <w:t>ource</w:t>
      </w:r>
      <w:proofErr w:type="gramEnd"/>
      <w:r w:rsidRPr="00682E10">
        <w:rPr>
          <w:i/>
          <w:sz w:val="18"/>
        </w:rPr>
        <w:t>_pot</w:t>
      </w:r>
      <w:r w:rsidR="0032746E">
        <w:rPr>
          <w:i/>
          <w:sz w:val="18"/>
        </w:rPr>
        <w:t xml:space="preserve"> </w:t>
      </w:r>
      <w:r w:rsidR="0032746E">
        <w:rPr>
          <w:sz w:val="18"/>
        </w:rPr>
        <w:t>spreadsheet</w:t>
      </w:r>
      <w:r w:rsidRPr="00682E10">
        <w:rPr>
          <w:sz w:val="18"/>
        </w:rPr>
        <w:t>.</w:t>
      </w:r>
    </w:p>
    <w:p w14:paraId="7BC168B4" w14:textId="11D7D78E" w:rsidR="00367CAA" w:rsidRDefault="0016358A" w:rsidP="0016358A">
      <w:pPr>
        <w:jc w:val="both"/>
      </w:pPr>
      <w:r>
        <w:t>Primary crop residues and wood-related biomass streams appear as clusters, which means that these categories are relatively homogeneous in terms of composition (mostly lignocellulose</w:t>
      </w:r>
      <w:r w:rsidR="00FD3AC7">
        <w:t xml:space="preserve">; </w:t>
      </w:r>
      <w:r w:rsidR="00FD3AC7" w:rsidRPr="00FB5FB6">
        <w:rPr>
          <w:b/>
        </w:rPr>
        <w:fldChar w:fldCharType="begin"/>
      </w:r>
      <w:r w:rsidR="00FD3AC7" w:rsidRPr="00FB5FB6">
        <w:rPr>
          <w:b/>
        </w:rPr>
        <w:instrText xml:space="preserve"> REF _Ref144717314 \h </w:instrText>
      </w:r>
      <w:r w:rsidR="00FB5FB6">
        <w:rPr>
          <w:b/>
        </w:rPr>
        <w:instrText xml:space="preserve"> \* MERGEFORMAT </w:instrText>
      </w:r>
      <w:r w:rsidR="00FD3AC7" w:rsidRPr="00FB5FB6">
        <w:rPr>
          <w:b/>
        </w:rPr>
      </w:r>
      <w:r w:rsidR="00FD3AC7" w:rsidRPr="00FB5FB6">
        <w:rPr>
          <w:b/>
        </w:rPr>
        <w:fldChar w:fldCharType="separate"/>
      </w:r>
      <w:r w:rsidR="00F25F8C" w:rsidRPr="00F25F8C">
        <w:rPr>
          <w:b/>
        </w:rPr>
        <w:t xml:space="preserve">Figure SI. </w:t>
      </w:r>
      <w:r w:rsidR="00F25F8C" w:rsidRPr="00F25F8C">
        <w:rPr>
          <w:b/>
          <w:noProof/>
        </w:rPr>
        <w:t>1</w:t>
      </w:r>
      <w:r w:rsidR="00FD3AC7" w:rsidRPr="00FB5FB6">
        <w:rPr>
          <w:b/>
        </w:rPr>
        <w:fldChar w:fldCharType="end"/>
      </w:r>
      <w:r>
        <w:t>). The main discriminant factor between these two categories is the lignin content (accounted as anti-nutritional in</w:t>
      </w:r>
      <w:r w:rsidR="00FB5FB6">
        <w:rPr>
          <w:b/>
        </w:rPr>
        <w:t xml:space="preserve"> </w:t>
      </w:r>
      <w:r w:rsidR="00FB5FB6" w:rsidRPr="00FB5FB6">
        <w:rPr>
          <w:b/>
        </w:rPr>
        <w:fldChar w:fldCharType="begin"/>
      </w:r>
      <w:r w:rsidR="00FB5FB6" w:rsidRPr="00FB5FB6">
        <w:rPr>
          <w:b/>
        </w:rPr>
        <w:instrText xml:space="preserve"> REF _Ref144717314 \h </w:instrText>
      </w:r>
      <w:r w:rsidR="00FB5FB6">
        <w:rPr>
          <w:b/>
        </w:rPr>
        <w:instrText xml:space="preserve"> \* MERGEFORMAT </w:instrText>
      </w:r>
      <w:r w:rsidR="00FB5FB6" w:rsidRPr="00FB5FB6">
        <w:rPr>
          <w:b/>
        </w:rPr>
      </w:r>
      <w:r w:rsidR="00FB5FB6" w:rsidRPr="00FB5FB6">
        <w:rPr>
          <w:b/>
        </w:rPr>
        <w:fldChar w:fldCharType="separate"/>
      </w:r>
      <w:r w:rsidR="00F25F8C" w:rsidRPr="00F25F8C">
        <w:rPr>
          <w:b/>
        </w:rPr>
        <w:t xml:space="preserve">Figure SI. </w:t>
      </w:r>
      <w:r w:rsidR="00F25F8C" w:rsidRPr="00F25F8C">
        <w:rPr>
          <w:b/>
          <w:noProof/>
        </w:rPr>
        <w:t>1</w:t>
      </w:r>
      <w:r w:rsidR="00FB5FB6" w:rsidRPr="00FB5FB6">
        <w:rPr>
          <w:b/>
        </w:rPr>
        <w:fldChar w:fldCharType="end"/>
      </w:r>
      <w:r>
        <w:t xml:space="preserve">). On the </w:t>
      </w:r>
      <w:r w:rsidR="00367CAA">
        <w:t>other hand</w:t>
      </w:r>
      <w:r>
        <w:t xml:space="preserve">, lignocellulose-free biomasses are grouped close to the lower axis, notably gathering all the slaughterhouse by-products and sludge streams (except for sludge from the paper industry). In turn, the continuous space between lignocellulosic and non-lignocellulosic streams is fully covered. Manure &amp; slurry streams are clustered in the middle, meaning that these still host non neglectable content of macronutrients (e.g. undigested fractions). This is also the case for green residual biomasses, for hosting </w:t>
      </w:r>
      <w:r w:rsidR="00827449">
        <w:t xml:space="preserve">free </w:t>
      </w:r>
      <w:r>
        <w:t>sugars and proteins (Rubisco) within their cellulosic matrix. Finally, agrifood co-products and food waste are heterogeneous families in terms of composition, mostly for being defined by generating sectors (</w:t>
      </w:r>
      <w:r w:rsidR="00367CAA" w:rsidRPr="00010A01">
        <w:rPr>
          <w:b/>
        </w:rPr>
        <w:fldChar w:fldCharType="begin"/>
      </w:r>
      <w:r w:rsidR="00367CAA" w:rsidRPr="00010A01">
        <w:rPr>
          <w:b/>
        </w:rPr>
        <w:instrText xml:space="preserve"> REF _Ref144715881 \h </w:instrText>
      </w:r>
      <w:r w:rsidR="00367CAA">
        <w:rPr>
          <w:b/>
        </w:rPr>
        <w:instrText xml:space="preserve"> \* MERGEFORMAT </w:instrText>
      </w:r>
      <w:r w:rsidR="00367CAA" w:rsidRPr="00010A01">
        <w:rPr>
          <w:b/>
        </w:rPr>
      </w:r>
      <w:r w:rsidR="00367CAA" w:rsidRPr="00010A01">
        <w:rPr>
          <w:b/>
        </w:rPr>
        <w:fldChar w:fldCharType="separate"/>
      </w:r>
      <w:r w:rsidR="00F25F8C" w:rsidRPr="00F25F8C">
        <w:rPr>
          <w:b/>
        </w:rPr>
        <w:t xml:space="preserve">Table SI. </w:t>
      </w:r>
      <w:r w:rsidR="00F25F8C" w:rsidRPr="00F25F8C">
        <w:rPr>
          <w:b/>
          <w:noProof/>
        </w:rPr>
        <w:t>1</w:t>
      </w:r>
      <w:r w:rsidR="00367CAA" w:rsidRPr="00010A01">
        <w:rPr>
          <w:b/>
        </w:rPr>
        <w:fldChar w:fldCharType="end"/>
      </w:r>
      <w:r>
        <w:t>).</w:t>
      </w:r>
      <w:r w:rsidR="00367CAA">
        <w:t xml:space="preserve"> From the 132 identified streams, 11 were </w:t>
      </w:r>
      <w:r w:rsidR="00367CAA">
        <w:lastRenderedPageBreak/>
        <w:t xml:space="preserve">selected as individual case studies (rationales in </w:t>
      </w:r>
      <w:r w:rsidR="00367CAA" w:rsidRPr="00367CAA">
        <w:rPr>
          <w:b/>
        </w:rPr>
        <w:fldChar w:fldCharType="begin"/>
      </w:r>
      <w:r w:rsidR="00367CAA" w:rsidRPr="00367CAA">
        <w:rPr>
          <w:b/>
        </w:rPr>
        <w:instrText xml:space="preserve"> REF _Ref144719907 \h </w:instrText>
      </w:r>
      <w:r w:rsidR="00367CAA">
        <w:rPr>
          <w:b/>
        </w:rPr>
        <w:instrText xml:space="preserve"> \* MERGEFORMAT </w:instrText>
      </w:r>
      <w:r w:rsidR="00367CAA" w:rsidRPr="00367CAA">
        <w:rPr>
          <w:b/>
        </w:rPr>
      </w:r>
      <w:r w:rsidR="00367CAA" w:rsidRPr="00367CAA">
        <w:rPr>
          <w:b/>
        </w:rPr>
        <w:fldChar w:fldCharType="separate"/>
      </w:r>
      <w:r w:rsidR="00F25F8C" w:rsidRPr="00F25F8C">
        <w:rPr>
          <w:b/>
        </w:rPr>
        <w:t xml:space="preserve">Table SI. </w:t>
      </w:r>
      <w:r w:rsidR="00F25F8C" w:rsidRPr="00F25F8C">
        <w:rPr>
          <w:b/>
          <w:noProof/>
        </w:rPr>
        <w:t>2</w:t>
      </w:r>
      <w:r w:rsidR="00367CAA" w:rsidRPr="00367CAA">
        <w:rPr>
          <w:b/>
        </w:rPr>
        <w:fldChar w:fldCharType="end"/>
      </w:r>
      <w:r w:rsidR="00367CAA">
        <w:t xml:space="preserve">), </w:t>
      </w:r>
      <w:r w:rsidR="00367CAA" w:rsidRPr="00B737E4">
        <w:t>nevertheless</w:t>
      </w:r>
      <w:r w:rsidR="00367CAA">
        <w:t xml:space="preserve"> representing around half of the total French residual biomass resource potential</w:t>
      </w:r>
      <w:r w:rsidR="00367CAA" w:rsidRPr="00367CAA">
        <w:t xml:space="preserve"> </w:t>
      </w:r>
      <w:r w:rsidR="00367CAA">
        <w:t>mostly due to wheat straw and bovine manure.</w:t>
      </w:r>
    </w:p>
    <w:p w14:paraId="1C859ADF" w14:textId="0F9F32B2" w:rsidR="0016358A" w:rsidRPr="00A211DC" w:rsidRDefault="00367CAA" w:rsidP="00CE3893">
      <w:pPr>
        <w:pStyle w:val="Lgende"/>
        <w:jc w:val="left"/>
        <w:rPr>
          <w:b w:val="0"/>
          <w:i/>
        </w:rPr>
      </w:pPr>
      <w:bookmarkStart w:id="7" w:name="_Ref144719907"/>
      <w:bookmarkStart w:id="8" w:name="_Toc151967886"/>
      <w:r>
        <w:t xml:space="preserve">Table SI. </w:t>
      </w:r>
      <w:r>
        <w:fldChar w:fldCharType="begin"/>
      </w:r>
      <w:r>
        <w:instrText xml:space="preserve"> SEQ Table_SI. \* ARABIC </w:instrText>
      </w:r>
      <w:r>
        <w:fldChar w:fldCharType="separate"/>
      </w:r>
      <w:r w:rsidR="00F25F8C">
        <w:rPr>
          <w:noProof/>
        </w:rPr>
        <w:t>2</w:t>
      </w:r>
      <w:r>
        <w:fldChar w:fldCharType="end"/>
      </w:r>
      <w:bookmarkEnd w:id="7"/>
      <w:r>
        <w:t xml:space="preserve"> </w:t>
      </w:r>
      <w:r w:rsidRPr="000B4723">
        <w:t>– Selection of eleven representative residual biomass streams for France</w:t>
      </w:r>
      <w:bookmarkEnd w:id="8"/>
    </w:p>
    <w:tbl>
      <w:tblPr>
        <w:tblStyle w:val="Tableausimple2"/>
        <w:tblW w:w="0" w:type="auto"/>
        <w:tblLook w:val="04A0" w:firstRow="1" w:lastRow="0" w:firstColumn="1" w:lastColumn="0" w:noHBand="0" w:noVBand="1"/>
      </w:tblPr>
      <w:tblGrid>
        <w:gridCol w:w="1418"/>
        <w:gridCol w:w="1417"/>
        <w:gridCol w:w="1701"/>
        <w:gridCol w:w="4536"/>
      </w:tblGrid>
      <w:tr w:rsidR="0016358A" w:rsidRPr="00B959F6" w14:paraId="2CE6BFF8" w14:textId="77777777" w:rsidTr="00C828F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Pr>
          <w:p w14:paraId="4C932CF6" w14:textId="77777777" w:rsidR="0016358A" w:rsidRPr="00B959F6" w:rsidRDefault="0016358A" w:rsidP="00D31C73">
            <w:pPr>
              <w:rPr>
                <w:sz w:val="18"/>
                <w:szCs w:val="18"/>
              </w:rPr>
            </w:pPr>
            <w:r w:rsidRPr="00B959F6">
              <w:rPr>
                <w:sz w:val="18"/>
                <w:szCs w:val="18"/>
              </w:rPr>
              <w:t>Category</w:t>
            </w:r>
          </w:p>
        </w:tc>
        <w:tc>
          <w:tcPr>
            <w:tcW w:w="1417" w:type="dxa"/>
          </w:tcPr>
          <w:p w14:paraId="4530ABF0" w14:textId="77777777" w:rsidR="0016358A" w:rsidRPr="00B959F6" w:rsidRDefault="0016358A" w:rsidP="00D31C73">
            <w:pPr>
              <w:cnfStyle w:val="100000000000" w:firstRow="1" w:lastRow="0" w:firstColumn="0" w:lastColumn="0" w:oddVBand="0" w:evenVBand="0" w:oddHBand="0" w:evenHBand="0" w:firstRowFirstColumn="0" w:firstRowLastColumn="0" w:lastRowFirstColumn="0" w:lastRowLastColumn="0"/>
              <w:rPr>
                <w:sz w:val="18"/>
                <w:szCs w:val="18"/>
              </w:rPr>
            </w:pPr>
            <w:r w:rsidRPr="00B959F6">
              <w:rPr>
                <w:sz w:val="18"/>
                <w:szCs w:val="18"/>
              </w:rPr>
              <w:t>Subcategory</w:t>
            </w:r>
          </w:p>
        </w:tc>
        <w:tc>
          <w:tcPr>
            <w:tcW w:w="1701" w:type="dxa"/>
          </w:tcPr>
          <w:p w14:paraId="7740F678" w14:textId="77777777" w:rsidR="0016358A" w:rsidRPr="00B959F6" w:rsidRDefault="0016358A" w:rsidP="00D31C73">
            <w:pPr>
              <w:cnfStyle w:val="100000000000" w:firstRow="1" w:lastRow="0" w:firstColumn="0" w:lastColumn="0" w:oddVBand="0" w:evenVBand="0" w:oddHBand="0" w:evenHBand="0" w:firstRowFirstColumn="0" w:firstRowLastColumn="0" w:lastRowFirstColumn="0" w:lastRowLastColumn="0"/>
              <w:rPr>
                <w:sz w:val="18"/>
                <w:szCs w:val="18"/>
              </w:rPr>
            </w:pPr>
            <w:r w:rsidRPr="00B959F6">
              <w:rPr>
                <w:sz w:val="18"/>
                <w:szCs w:val="18"/>
              </w:rPr>
              <w:t>Representative stream</w:t>
            </w:r>
          </w:p>
        </w:tc>
        <w:tc>
          <w:tcPr>
            <w:tcW w:w="4536" w:type="dxa"/>
          </w:tcPr>
          <w:p w14:paraId="123C4319" w14:textId="77777777" w:rsidR="0016358A" w:rsidRPr="00B959F6" w:rsidRDefault="0016358A" w:rsidP="00E9442B">
            <w:pPr>
              <w:cnfStyle w:val="100000000000" w:firstRow="1" w:lastRow="0" w:firstColumn="0" w:lastColumn="0" w:oddVBand="0" w:evenVBand="0" w:oddHBand="0" w:evenHBand="0" w:firstRowFirstColumn="0" w:firstRowLastColumn="0" w:lastRowFirstColumn="0" w:lastRowLastColumn="0"/>
              <w:rPr>
                <w:i/>
                <w:sz w:val="18"/>
                <w:szCs w:val="18"/>
              </w:rPr>
            </w:pPr>
            <w:r w:rsidRPr="00B959F6">
              <w:rPr>
                <w:i/>
                <w:sz w:val="18"/>
                <w:szCs w:val="18"/>
              </w:rPr>
              <w:t>Comment / Selection rationale</w:t>
            </w:r>
          </w:p>
        </w:tc>
      </w:tr>
      <w:tr w:rsidR="0016358A" w:rsidRPr="00B959F6" w14:paraId="061A3560"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val="restart"/>
          </w:tcPr>
          <w:p w14:paraId="2B5F552D" w14:textId="77777777" w:rsidR="0016358A" w:rsidRPr="00B959F6" w:rsidRDefault="0016358A" w:rsidP="00D31C73">
            <w:pPr>
              <w:jc w:val="right"/>
              <w:rPr>
                <w:sz w:val="18"/>
                <w:szCs w:val="18"/>
              </w:rPr>
            </w:pPr>
            <w:r w:rsidRPr="00B959F6">
              <w:rPr>
                <w:sz w:val="18"/>
                <w:szCs w:val="18"/>
              </w:rPr>
              <w:t>Wood-related residual biomass</w:t>
            </w:r>
          </w:p>
        </w:tc>
        <w:tc>
          <w:tcPr>
            <w:tcW w:w="1417" w:type="dxa"/>
          </w:tcPr>
          <w:p w14:paraId="03536F26" w14:textId="77777777" w:rsidR="0016358A" w:rsidRPr="00B959F6" w:rsidRDefault="0016358A" w:rsidP="00D31C73">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B959F6">
              <w:rPr>
                <w:b/>
                <w:sz w:val="18"/>
                <w:szCs w:val="18"/>
              </w:rPr>
              <w:t>Primary forestry residues</w:t>
            </w:r>
          </w:p>
        </w:tc>
        <w:tc>
          <w:tcPr>
            <w:tcW w:w="1701" w:type="dxa"/>
            <w:vMerge w:val="restart"/>
          </w:tcPr>
          <w:p w14:paraId="32DBC971" w14:textId="77777777" w:rsidR="0016358A" w:rsidRPr="00B959F6" w:rsidRDefault="0016358A"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Hardwood forestry residues</w:t>
            </w:r>
          </w:p>
        </w:tc>
        <w:tc>
          <w:tcPr>
            <w:tcW w:w="4536" w:type="dxa"/>
            <w:vMerge w:val="restart"/>
          </w:tcPr>
          <w:p w14:paraId="34CBB637" w14:textId="5F28AB4D" w:rsidR="0016358A" w:rsidRPr="00B959F6" w:rsidRDefault="0016358A"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B959F6">
              <w:rPr>
                <w:i/>
                <w:sz w:val="18"/>
                <w:szCs w:val="18"/>
              </w:rPr>
              <w:t>Highest theoretical potential of wood-related residual biomass in France</w:t>
            </w:r>
            <w:r w:rsidRPr="00B959F6">
              <w:rPr>
                <w:i/>
                <w:sz w:val="18"/>
                <w:szCs w:val="18"/>
              </w:rPr>
              <w:fldChar w:fldCharType="begin"/>
            </w:r>
            <w:r w:rsidR="00682E10" w:rsidRPr="00B959F6">
              <w:rPr>
                <w:i/>
                <w:sz w:val="18"/>
                <w:szCs w:val="18"/>
              </w:rPr>
              <w:instrText xml:space="preserve"> ADDIN ZOTERO_ITEM CSL_CITATION {"citationID":"QvOl7dNj","properties":{"formattedCitation":"\\super 11\\nosupersub{}","plainCitation":"11","noteIndex":0},"citationItems":[{"id":13692,"uris":["http://zotero.org/users/6423791/items/CYN42HXS"],"itemData":{"id":13692,"type":"article-journal","container-title":"Mendeley Data","DOI":"10.17632/b9sx3h3584.1","title":"Cambioscop RO1: Dataset on characterization, quantity and current use of French residual biomasses.","author":[{"family":"Karan","given":"Shivesh"}],"issued":{"date-parts":[["2022"]]}}}],"schema":"https://github.com/citation-style-language/schema/raw/master/csl-citation.json"} </w:instrText>
            </w:r>
            <w:r w:rsidRPr="00B959F6">
              <w:rPr>
                <w:i/>
                <w:sz w:val="18"/>
                <w:szCs w:val="18"/>
              </w:rPr>
              <w:fldChar w:fldCharType="separate"/>
            </w:r>
            <w:r w:rsidR="00682E10" w:rsidRPr="00B959F6">
              <w:rPr>
                <w:rFonts w:ascii="Calibri" w:hAnsi="Calibri" w:cs="Calibri"/>
                <w:sz w:val="18"/>
                <w:szCs w:val="18"/>
                <w:vertAlign w:val="superscript"/>
              </w:rPr>
              <w:t>11</w:t>
            </w:r>
            <w:r w:rsidRPr="00B959F6">
              <w:rPr>
                <w:i/>
                <w:sz w:val="18"/>
                <w:szCs w:val="18"/>
              </w:rPr>
              <w:fldChar w:fldCharType="end"/>
            </w:r>
            <w:r w:rsidRPr="00B959F6">
              <w:rPr>
                <w:i/>
                <w:sz w:val="18"/>
                <w:szCs w:val="18"/>
              </w:rPr>
              <w:t>. Forestry and pruning residues host similar composition and valorization potentials so only one stream for both sub-categories was selected</w:t>
            </w:r>
          </w:p>
        </w:tc>
      </w:tr>
      <w:tr w:rsidR="0016358A" w:rsidRPr="00B959F6" w14:paraId="777C6EFA" w14:textId="77777777" w:rsidTr="00C828FC">
        <w:tc>
          <w:tcPr>
            <w:cnfStyle w:val="001000000000" w:firstRow="0" w:lastRow="0" w:firstColumn="1" w:lastColumn="0" w:oddVBand="0" w:evenVBand="0" w:oddHBand="0" w:evenHBand="0" w:firstRowFirstColumn="0" w:firstRowLastColumn="0" w:lastRowFirstColumn="0" w:lastRowLastColumn="0"/>
            <w:tcW w:w="1418" w:type="dxa"/>
            <w:vMerge/>
          </w:tcPr>
          <w:p w14:paraId="367E4BBD" w14:textId="77777777" w:rsidR="0016358A" w:rsidRPr="00B959F6" w:rsidRDefault="0016358A" w:rsidP="00D31C73">
            <w:pPr>
              <w:jc w:val="right"/>
              <w:rPr>
                <w:sz w:val="18"/>
                <w:szCs w:val="18"/>
              </w:rPr>
            </w:pPr>
          </w:p>
        </w:tc>
        <w:tc>
          <w:tcPr>
            <w:tcW w:w="1417" w:type="dxa"/>
          </w:tcPr>
          <w:p w14:paraId="262C5D6A" w14:textId="77777777" w:rsidR="0016358A" w:rsidRPr="00B959F6" w:rsidRDefault="0016358A" w:rsidP="00D31C73">
            <w:pPr>
              <w:jc w:val="right"/>
              <w:cnfStyle w:val="000000000000" w:firstRow="0" w:lastRow="0" w:firstColumn="0" w:lastColumn="0" w:oddVBand="0" w:evenVBand="0" w:oddHBand="0" w:evenHBand="0" w:firstRowFirstColumn="0" w:firstRowLastColumn="0" w:lastRowFirstColumn="0" w:lastRowLastColumn="0"/>
              <w:rPr>
                <w:b/>
                <w:sz w:val="18"/>
                <w:szCs w:val="18"/>
              </w:rPr>
            </w:pPr>
            <w:r w:rsidRPr="00B959F6">
              <w:rPr>
                <w:b/>
                <w:sz w:val="18"/>
                <w:szCs w:val="18"/>
              </w:rPr>
              <w:t>Pruning residues</w:t>
            </w:r>
          </w:p>
        </w:tc>
        <w:tc>
          <w:tcPr>
            <w:tcW w:w="1701" w:type="dxa"/>
            <w:vMerge/>
          </w:tcPr>
          <w:p w14:paraId="0F08777D" w14:textId="77777777" w:rsidR="0016358A" w:rsidRPr="00B959F6" w:rsidRDefault="0016358A" w:rsidP="00D31C73">
            <w:pPr>
              <w:cnfStyle w:val="000000000000" w:firstRow="0" w:lastRow="0" w:firstColumn="0" w:lastColumn="0" w:oddVBand="0" w:evenVBand="0" w:oddHBand="0" w:evenHBand="0" w:firstRowFirstColumn="0" w:firstRowLastColumn="0" w:lastRowFirstColumn="0" w:lastRowLastColumn="0"/>
              <w:rPr>
                <w:sz w:val="18"/>
                <w:szCs w:val="18"/>
              </w:rPr>
            </w:pPr>
          </w:p>
        </w:tc>
        <w:tc>
          <w:tcPr>
            <w:tcW w:w="4536" w:type="dxa"/>
            <w:vMerge/>
          </w:tcPr>
          <w:p w14:paraId="52DCB0EE" w14:textId="77777777" w:rsidR="0016358A" w:rsidRPr="00B959F6" w:rsidRDefault="0016358A" w:rsidP="00D31C73">
            <w:pPr>
              <w:jc w:val="both"/>
              <w:cnfStyle w:val="000000000000" w:firstRow="0" w:lastRow="0" w:firstColumn="0" w:lastColumn="0" w:oddVBand="0" w:evenVBand="0" w:oddHBand="0" w:evenHBand="0" w:firstRowFirstColumn="0" w:firstRowLastColumn="0" w:lastRowFirstColumn="0" w:lastRowLastColumn="0"/>
              <w:rPr>
                <w:sz w:val="18"/>
                <w:szCs w:val="18"/>
              </w:rPr>
            </w:pPr>
          </w:p>
        </w:tc>
      </w:tr>
      <w:tr w:rsidR="0016358A" w:rsidRPr="00B959F6" w14:paraId="5788582D"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7BBA68D3" w14:textId="77777777" w:rsidR="0016358A" w:rsidRPr="00B959F6" w:rsidRDefault="0016358A" w:rsidP="00D31C73">
            <w:pPr>
              <w:jc w:val="right"/>
              <w:rPr>
                <w:sz w:val="18"/>
                <w:szCs w:val="18"/>
              </w:rPr>
            </w:pPr>
          </w:p>
        </w:tc>
        <w:tc>
          <w:tcPr>
            <w:tcW w:w="1417" w:type="dxa"/>
          </w:tcPr>
          <w:p w14:paraId="3954582B" w14:textId="2FD49257" w:rsidR="0016358A" w:rsidRPr="00B959F6" w:rsidRDefault="0016358A" w:rsidP="00D31C73">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B959F6">
              <w:rPr>
                <w:b/>
                <w:sz w:val="18"/>
                <w:szCs w:val="18"/>
              </w:rPr>
              <w:t>Wood-processing</w:t>
            </w:r>
          </w:p>
        </w:tc>
        <w:tc>
          <w:tcPr>
            <w:tcW w:w="1701" w:type="dxa"/>
          </w:tcPr>
          <w:p w14:paraId="73C74AA7" w14:textId="77777777" w:rsidR="0016358A" w:rsidRPr="00B959F6" w:rsidRDefault="0016358A"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Sawmill waste</w:t>
            </w:r>
          </w:p>
        </w:tc>
        <w:tc>
          <w:tcPr>
            <w:tcW w:w="4536" w:type="dxa"/>
          </w:tcPr>
          <w:p w14:paraId="3F87CB20" w14:textId="29335FEA" w:rsidR="0016358A" w:rsidRPr="00B959F6" w:rsidRDefault="0016358A"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B959F6">
              <w:rPr>
                <w:i/>
                <w:sz w:val="18"/>
                <w:szCs w:val="18"/>
              </w:rPr>
              <w:t xml:space="preserve">Highest potential of wood-processing waste </w:t>
            </w:r>
            <w:r w:rsidR="00C828FC">
              <w:rPr>
                <w:i/>
                <w:sz w:val="18"/>
                <w:szCs w:val="18"/>
              </w:rPr>
              <w:t>for</w:t>
            </w:r>
            <w:r w:rsidRPr="00B959F6">
              <w:rPr>
                <w:i/>
                <w:sz w:val="18"/>
                <w:szCs w:val="18"/>
              </w:rPr>
              <w:t xml:space="preserve"> France</w:t>
            </w:r>
            <w:r w:rsidRPr="00B959F6">
              <w:rPr>
                <w:i/>
                <w:sz w:val="18"/>
                <w:szCs w:val="18"/>
              </w:rPr>
              <w:fldChar w:fldCharType="begin"/>
            </w:r>
            <w:r w:rsidR="00682E10" w:rsidRPr="00B959F6">
              <w:rPr>
                <w:i/>
                <w:sz w:val="18"/>
                <w:szCs w:val="18"/>
              </w:rPr>
              <w:instrText xml:space="preserve"> ADDIN ZOTERO_ITEM CSL_CITATION {"citationID":"Abzcwtsr","properties":{"formattedCitation":"\\super 12\\nosupersub{}","plainCitation":"12","noteIndex":0},"citationItems":[{"id":11397,"uris":["http://zotero.org/users/6423791/items/LYB8VTF2"],"itemData":{"id":11397,"type":"report","event-place":"Angers","genre":"Etude réalisée pour le compte de l'ADEME par Tech2Market, FRD et CVG","number":"Contrat : 1401C00R3","page":"70","publisher":"ADEME","publisher-place":"Angers","title":"Panorama des coproduits et résidus biomasse à usage des filières chimie et matériaux biosourcés en France","URL":"https://www.ademe.fr/sites/default/files/assets/documents/rapport_final_tech2market.pdf","author":[{"family":"Le Ravalec","given":"V."}],"accessed":{"date-parts":[["2021",5,26]]},"issued":{"date-parts":[["2015",9]]}}}],"schema":"https://github.com/citation-style-language/schema/raw/master/csl-citation.json"} </w:instrText>
            </w:r>
            <w:r w:rsidRPr="00B959F6">
              <w:rPr>
                <w:i/>
                <w:sz w:val="18"/>
                <w:szCs w:val="18"/>
              </w:rPr>
              <w:fldChar w:fldCharType="separate"/>
            </w:r>
            <w:r w:rsidR="00682E10" w:rsidRPr="00B959F6">
              <w:rPr>
                <w:rFonts w:ascii="Calibri" w:hAnsi="Calibri" w:cs="Calibri"/>
                <w:sz w:val="18"/>
                <w:szCs w:val="18"/>
                <w:vertAlign w:val="superscript"/>
              </w:rPr>
              <w:t>12</w:t>
            </w:r>
            <w:r w:rsidRPr="00B959F6">
              <w:rPr>
                <w:i/>
                <w:sz w:val="18"/>
                <w:szCs w:val="18"/>
              </w:rPr>
              <w:fldChar w:fldCharType="end"/>
            </w:r>
            <w:r w:rsidRPr="00B959F6">
              <w:rPr>
                <w:i/>
                <w:sz w:val="18"/>
                <w:szCs w:val="18"/>
              </w:rPr>
              <w:t>.</w:t>
            </w:r>
          </w:p>
        </w:tc>
      </w:tr>
      <w:tr w:rsidR="0016358A" w:rsidRPr="00B959F6" w14:paraId="2A703C56" w14:textId="77777777" w:rsidTr="00C828FC">
        <w:tc>
          <w:tcPr>
            <w:cnfStyle w:val="001000000000" w:firstRow="0" w:lastRow="0" w:firstColumn="1" w:lastColumn="0" w:oddVBand="0" w:evenVBand="0" w:oddHBand="0" w:evenHBand="0" w:firstRowFirstColumn="0" w:firstRowLastColumn="0" w:lastRowFirstColumn="0" w:lastRowLastColumn="0"/>
            <w:tcW w:w="2835" w:type="dxa"/>
            <w:gridSpan w:val="2"/>
          </w:tcPr>
          <w:p w14:paraId="24AB901D" w14:textId="78DDAC85" w:rsidR="0016358A" w:rsidRPr="00B959F6" w:rsidRDefault="0016358A" w:rsidP="00D31C73">
            <w:pPr>
              <w:jc w:val="right"/>
              <w:rPr>
                <w:sz w:val="18"/>
                <w:szCs w:val="18"/>
              </w:rPr>
            </w:pPr>
            <w:r w:rsidRPr="00B959F6">
              <w:rPr>
                <w:sz w:val="18"/>
                <w:szCs w:val="18"/>
              </w:rPr>
              <w:t>Primary crop residues</w:t>
            </w:r>
            <w:r w:rsidR="00C828FC">
              <w:rPr>
                <w:sz w:val="18"/>
                <w:szCs w:val="18"/>
              </w:rPr>
              <w:t xml:space="preserve"> (PCR)</w:t>
            </w:r>
          </w:p>
        </w:tc>
        <w:tc>
          <w:tcPr>
            <w:tcW w:w="1701" w:type="dxa"/>
          </w:tcPr>
          <w:p w14:paraId="64C4733D" w14:textId="77777777" w:rsidR="0016358A" w:rsidRPr="00B959F6" w:rsidRDefault="0016358A"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Wheat straw</w:t>
            </w:r>
          </w:p>
        </w:tc>
        <w:tc>
          <w:tcPr>
            <w:tcW w:w="4536" w:type="dxa"/>
          </w:tcPr>
          <w:p w14:paraId="5F85C8AB" w14:textId="76C4FCB9" w:rsidR="0016358A" w:rsidRPr="00B959F6" w:rsidRDefault="0016358A"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r w:rsidRPr="00B959F6">
              <w:rPr>
                <w:i/>
                <w:sz w:val="18"/>
                <w:szCs w:val="18"/>
              </w:rPr>
              <w:t xml:space="preserve">Highest theoretical potential of </w:t>
            </w:r>
            <w:r w:rsidR="00C828FC">
              <w:rPr>
                <w:i/>
                <w:sz w:val="18"/>
                <w:szCs w:val="18"/>
              </w:rPr>
              <w:t>PCR for</w:t>
            </w:r>
            <w:r w:rsidRPr="00B959F6">
              <w:rPr>
                <w:i/>
                <w:sz w:val="18"/>
                <w:szCs w:val="18"/>
              </w:rPr>
              <w:t xml:space="preserve"> </w:t>
            </w:r>
            <w:r w:rsidR="00C828FC">
              <w:rPr>
                <w:i/>
                <w:sz w:val="18"/>
                <w:szCs w:val="18"/>
              </w:rPr>
              <w:t>for</w:t>
            </w:r>
            <w:r w:rsidRPr="00B959F6">
              <w:rPr>
                <w:i/>
                <w:sz w:val="18"/>
                <w:szCs w:val="18"/>
              </w:rPr>
              <w:t xml:space="preserve"> France</w:t>
            </w:r>
            <w:r w:rsidRPr="00B959F6">
              <w:rPr>
                <w:i/>
                <w:sz w:val="18"/>
                <w:szCs w:val="18"/>
              </w:rPr>
              <w:fldChar w:fldCharType="begin"/>
            </w:r>
            <w:r w:rsidR="00682E10" w:rsidRPr="00B959F6">
              <w:rPr>
                <w:i/>
                <w:sz w:val="18"/>
                <w:szCs w:val="18"/>
              </w:rPr>
              <w:instrText xml:space="preserve"> ADDIN ZOTERO_ITEM CSL_CITATION {"citationID":"YBKyzrGp","properties":{"formattedCitation":"\\super 11\\nosupersub{}","plainCitation":"11","noteIndex":0},"citationItems":[{"id":13692,"uris":["http://zotero.org/users/6423791/items/CYN42HXS"],"itemData":{"id":13692,"type":"article-journal","container-title":"Mendeley Data","DOI":"10.17632/b9sx3h3584.1","title":"Cambioscop RO1: Dataset on characterization, quantity and current use of French residual biomasses.","author":[{"family":"Karan","given":"Shivesh"}],"issued":{"date-parts":[["2022"]]}}}],"schema":"https://github.com/citation-style-language/schema/raw/master/csl-citation.json"} </w:instrText>
            </w:r>
            <w:r w:rsidRPr="00B959F6">
              <w:rPr>
                <w:i/>
                <w:sz w:val="18"/>
                <w:szCs w:val="18"/>
              </w:rPr>
              <w:fldChar w:fldCharType="separate"/>
            </w:r>
            <w:r w:rsidR="00682E10" w:rsidRPr="00B959F6">
              <w:rPr>
                <w:rFonts w:ascii="Calibri" w:hAnsi="Calibri" w:cs="Calibri"/>
                <w:sz w:val="18"/>
                <w:szCs w:val="18"/>
                <w:vertAlign w:val="superscript"/>
              </w:rPr>
              <w:t>11</w:t>
            </w:r>
            <w:r w:rsidRPr="00B959F6">
              <w:rPr>
                <w:i/>
                <w:sz w:val="18"/>
                <w:szCs w:val="18"/>
              </w:rPr>
              <w:fldChar w:fldCharType="end"/>
            </w:r>
            <w:r w:rsidRPr="00B959F6">
              <w:rPr>
                <w:i/>
                <w:sz w:val="18"/>
                <w:szCs w:val="18"/>
              </w:rPr>
              <w:t>.</w:t>
            </w:r>
          </w:p>
        </w:tc>
      </w:tr>
      <w:tr w:rsidR="0016358A" w:rsidRPr="00B959F6" w14:paraId="4A72246B"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5" w:type="dxa"/>
            <w:gridSpan w:val="2"/>
          </w:tcPr>
          <w:p w14:paraId="2EC77E85" w14:textId="77777777" w:rsidR="0016358A" w:rsidRPr="00B959F6" w:rsidRDefault="0016358A" w:rsidP="00D31C73">
            <w:pPr>
              <w:jc w:val="right"/>
              <w:rPr>
                <w:sz w:val="18"/>
                <w:szCs w:val="18"/>
              </w:rPr>
            </w:pPr>
            <w:r w:rsidRPr="00B959F6">
              <w:rPr>
                <w:sz w:val="18"/>
                <w:szCs w:val="18"/>
              </w:rPr>
              <w:t>Manure &amp; Slurry</w:t>
            </w:r>
          </w:p>
        </w:tc>
        <w:tc>
          <w:tcPr>
            <w:tcW w:w="1701" w:type="dxa"/>
          </w:tcPr>
          <w:p w14:paraId="364D6E89" w14:textId="77777777" w:rsidR="0016358A" w:rsidRPr="00B959F6" w:rsidRDefault="0016358A"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Bovine manure</w:t>
            </w:r>
          </w:p>
        </w:tc>
        <w:tc>
          <w:tcPr>
            <w:tcW w:w="4536" w:type="dxa"/>
          </w:tcPr>
          <w:p w14:paraId="53965CC7" w14:textId="75B86428" w:rsidR="0016358A" w:rsidRPr="00B959F6" w:rsidRDefault="0016358A"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B959F6">
              <w:rPr>
                <w:i/>
                <w:sz w:val="18"/>
                <w:szCs w:val="18"/>
              </w:rPr>
              <w:t>Highest theoretical potential of manur</w:t>
            </w:r>
            <w:r w:rsidR="00C828FC">
              <w:rPr>
                <w:i/>
                <w:sz w:val="18"/>
                <w:szCs w:val="18"/>
              </w:rPr>
              <w:t>e</w:t>
            </w:r>
            <w:r w:rsidRPr="00B959F6">
              <w:rPr>
                <w:i/>
                <w:sz w:val="18"/>
                <w:szCs w:val="18"/>
              </w:rPr>
              <w:t xml:space="preserve"> </w:t>
            </w:r>
            <w:r w:rsidR="00C828FC">
              <w:rPr>
                <w:i/>
                <w:sz w:val="18"/>
                <w:szCs w:val="18"/>
              </w:rPr>
              <w:t>for</w:t>
            </w:r>
            <w:r w:rsidRPr="00B959F6">
              <w:rPr>
                <w:i/>
                <w:sz w:val="18"/>
                <w:szCs w:val="18"/>
              </w:rPr>
              <w:t xml:space="preserve"> France </w:t>
            </w:r>
            <w:r w:rsidRPr="00B959F6">
              <w:rPr>
                <w:i/>
                <w:sz w:val="18"/>
                <w:szCs w:val="18"/>
              </w:rPr>
              <w:fldChar w:fldCharType="begin"/>
            </w:r>
            <w:r w:rsidR="00682E10" w:rsidRPr="00B959F6">
              <w:rPr>
                <w:i/>
                <w:sz w:val="18"/>
                <w:szCs w:val="18"/>
              </w:rPr>
              <w:instrText xml:space="preserve"> ADDIN ZOTERO_ITEM CSL_CITATION {"citationID":"jZjb4Fnz","properties":{"formattedCitation":"\\super 11\\nosupersub{}","plainCitation":"11","noteIndex":0},"citationItems":[{"id":13692,"uris":["http://zotero.org/users/6423791/items/CYN42HXS"],"itemData":{"id":13692,"type":"article-journal","container-title":"Mendeley Data","DOI":"10.17632/b9sx3h3584.1","title":"Cambioscop RO1: Dataset on characterization, quantity and current use of French residual biomasses.","author":[{"family":"Karan","given":"Shivesh"}],"issued":{"date-parts":[["2022"]]}}}],"schema":"https://github.com/citation-style-language/schema/raw/master/csl-citation.json"} </w:instrText>
            </w:r>
            <w:r w:rsidRPr="00B959F6">
              <w:rPr>
                <w:i/>
                <w:sz w:val="18"/>
                <w:szCs w:val="18"/>
              </w:rPr>
              <w:fldChar w:fldCharType="separate"/>
            </w:r>
            <w:r w:rsidR="00682E10" w:rsidRPr="00B959F6">
              <w:rPr>
                <w:rFonts w:ascii="Calibri" w:hAnsi="Calibri" w:cs="Calibri"/>
                <w:sz w:val="18"/>
                <w:szCs w:val="18"/>
                <w:vertAlign w:val="superscript"/>
              </w:rPr>
              <w:t>11</w:t>
            </w:r>
            <w:r w:rsidRPr="00B959F6">
              <w:rPr>
                <w:i/>
                <w:sz w:val="18"/>
                <w:szCs w:val="18"/>
              </w:rPr>
              <w:fldChar w:fldCharType="end"/>
            </w:r>
            <w:r w:rsidRPr="00B959F6">
              <w:rPr>
                <w:i/>
                <w:sz w:val="18"/>
                <w:szCs w:val="18"/>
              </w:rPr>
              <w:t>.</w:t>
            </w:r>
          </w:p>
        </w:tc>
      </w:tr>
      <w:tr w:rsidR="0016358A" w:rsidRPr="00B959F6" w14:paraId="5379A8F8" w14:textId="77777777" w:rsidTr="00C828FC">
        <w:tc>
          <w:tcPr>
            <w:cnfStyle w:val="001000000000" w:firstRow="0" w:lastRow="0" w:firstColumn="1" w:lastColumn="0" w:oddVBand="0" w:evenVBand="0" w:oddHBand="0" w:evenHBand="0" w:firstRowFirstColumn="0" w:firstRowLastColumn="0" w:lastRowFirstColumn="0" w:lastRowLastColumn="0"/>
            <w:tcW w:w="2835" w:type="dxa"/>
            <w:gridSpan w:val="2"/>
          </w:tcPr>
          <w:p w14:paraId="17EC0CD1" w14:textId="77777777" w:rsidR="0016358A" w:rsidRPr="00B959F6" w:rsidRDefault="0016358A" w:rsidP="00D31C73">
            <w:pPr>
              <w:jc w:val="right"/>
              <w:rPr>
                <w:sz w:val="18"/>
                <w:szCs w:val="18"/>
              </w:rPr>
            </w:pPr>
            <w:r w:rsidRPr="00B959F6">
              <w:rPr>
                <w:sz w:val="18"/>
                <w:szCs w:val="18"/>
              </w:rPr>
              <w:t>Sludge</w:t>
            </w:r>
          </w:p>
        </w:tc>
        <w:tc>
          <w:tcPr>
            <w:tcW w:w="1701" w:type="dxa"/>
          </w:tcPr>
          <w:p w14:paraId="55B46FA3" w14:textId="77777777" w:rsidR="0016358A" w:rsidRPr="00B959F6" w:rsidRDefault="0016358A"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Sewage sludge</w:t>
            </w:r>
          </w:p>
        </w:tc>
        <w:tc>
          <w:tcPr>
            <w:tcW w:w="4536" w:type="dxa"/>
          </w:tcPr>
          <w:p w14:paraId="062BA586" w14:textId="7C9E16A4" w:rsidR="0016358A" w:rsidRPr="00B959F6" w:rsidRDefault="0016358A"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r w:rsidRPr="00B959F6">
              <w:rPr>
                <w:i/>
                <w:sz w:val="18"/>
                <w:szCs w:val="18"/>
              </w:rPr>
              <w:t xml:space="preserve">No detail at the individual stream, so considered as generic urban </w:t>
            </w:r>
            <w:r w:rsidR="008E6FAD" w:rsidRPr="00B959F6">
              <w:rPr>
                <w:i/>
                <w:sz w:val="18"/>
                <w:szCs w:val="18"/>
              </w:rPr>
              <w:t>wastewater treatment plant</w:t>
            </w:r>
            <w:r w:rsidRPr="00B959F6">
              <w:rPr>
                <w:i/>
                <w:sz w:val="18"/>
                <w:szCs w:val="18"/>
              </w:rPr>
              <w:t xml:space="preserve"> sludge.</w:t>
            </w:r>
          </w:p>
        </w:tc>
      </w:tr>
      <w:tr w:rsidR="0016358A" w:rsidRPr="00B959F6" w14:paraId="6233B522"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val="restart"/>
          </w:tcPr>
          <w:p w14:paraId="7D542122" w14:textId="77777777" w:rsidR="0016358A" w:rsidRPr="00B959F6" w:rsidRDefault="0016358A" w:rsidP="00D31C73">
            <w:pPr>
              <w:jc w:val="right"/>
              <w:rPr>
                <w:sz w:val="18"/>
                <w:szCs w:val="18"/>
              </w:rPr>
            </w:pPr>
            <w:r w:rsidRPr="00B959F6">
              <w:rPr>
                <w:sz w:val="18"/>
                <w:szCs w:val="18"/>
              </w:rPr>
              <w:t>Green residual biomass</w:t>
            </w:r>
          </w:p>
        </w:tc>
        <w:tc>
          <w:tcPr>
            <w:tcW w:w="1417" w:type="dxa"/>
          </w:tcPr>
          <w:p w14:paraId="1F881CE6" w14:textId="77777777" w:rsidR="0016358A" w:rsidRPr="00B959F6" w:rsidRDefault="0016358A" w:rsidP="00D31C73">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B959F6">
              <w:rPr>
                <w:b/>
                <w:sz w:val="18"/>
                <w:szCs w:val="18"/>
              </w:rPr>
              <w:t>Garden &amp; park waste</w:t>
            </w:r>
          </w:p>
        </w:tc>
        <w:tc>
          <w:tcPr>
            <w:tcW w:w="1701" w:type="dxa"/>
          </w:tcPr>
          <w:p w14:paraId="43C96DA9" w14:textId="77777777" w:rsidR="0016358A" w:rsidRPr="00B959F6" w:rsidRDefault="0016358A"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Countryside management grass</w:t>
            </w:r>
          </w:p>
        </w:tc>
        <w:tc>
          <w:tcPr>
            <w:tcW w:w="4536" w:type="dxa"/>
          </w:tcPr>
          <w:p w14:paraId="2180B886" w14:textId="699396CB" w:rsidR="0016358A" w:rsidRPr="00B959F6" w:rsidRDefault="0016358A"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B959F6">
              <w:rPr>
                <w:i/>
                <w:sz w:val="18"/>
                <w:szCs w:val="18"/>
              </w:rPr>
              <w:t>Highest theoretical potential of garden &amp; park waste identified in France</w:t>
            </w:r>
            <w:r w:rsidRPr="00B959F6">
              <w:rPr>
                <w:i/>
                <w:sz w:val="18"/>
                <w:szCs w:val="18"/>
              </w:rPr>
              <w:fldChar w:fldCharType="begin"/>
            </w:r>
            <w:r w:rsidR="00682E10" w:rsidRPr="00B959F6">
              <w:rPr>
                <w:i/>
                <w:sz w:val="18"/>
                <w:szCs w:val="18"/>
              </w:rPr>
              <w:instrText xml:space="preserve"> ADDIN ZOTERO_ITEM CSL_CITATION {"citationID":"xuxDlbXi","properties":{"formattedCitation":"\\super 13\\nosupersub{}","plainCitation":"13","noteIndex":0},"citationItems":[{"id":12332,"uris":["http://zotero.org/users/6423791/items/A469IAHI"],"itemData":{"id":12332,"type":"report","event-place":"Angers","page":"283","publisher-place":"Angers","title":"Un mix de gaz 100% renouvelable en 2050 ? Etude de faisabilité technico-économique","author":[{"literal":"ADEME"}],"issued":{"date-parts":[["2018"]]}}}],"schema":"https://github.com/citation-style-language/schema/raw/master/csl-citation.json"} </w:instrText>
            </w:r>
            <w:r w:rsidRPr="00B959F6">
              <w:rPr>
                <w:i/>
                <w:sz w:val="18"/>
                <w:szCs w:val="18"/>
              </w:rPr>
              <w:fldChar w:fldCharType="separate"/>
            </w:r>
            <w:r w:rsidR="00682E10" w:rsidRPr="00B959F6">
              <w:rPr>
                <w:rFonts w:ascii="Calibri" w:hAnsi="Calibri" w:cs="Calibri"/>
                <w:sz w:val="18"/>
                <w:szCs w:val="18"/>
                <w:vertAlign w:val="superscript"/>
              </w:rPr>
              <w:t>13</w:t>
            </w:r>
            <w:r w:rsidRPr="00B959F6">
              <w:rPr>
                <w:i/>
                <w:sz w:val="18"/>
                <w:szCs w:val="18"/>
              </w:rPr>
              <w:fldChar w:fldCharType="end"/>
            </w:r>
            <w:r w:rsidRPr="00B959F6">
              <w:rPr>
                <w:i/>
                <w:sz w:val="18"/>
                <w:szCs w:val="18"/>
              </w:rPr>
              <w:t>.</w:t>
            </w:r>
          </w:p>
        </w:tc>
      </w:tr>
      <w:tr w:rsidR="0016358A" w:rsidRPr="00B959F6" w14:paraId="5217119A" w14:textId="77777777" w:rsidTr="00C828FC">
        <w:tc>
          <w:tcPr>
            <w:cnfStyle w:val="001000000000" w:firstRow="0" w:lastRow="0" w:firstColumn="1" w:lastColumn="0" w:oddVBand="0" w:evenVBand="0" w:oddHBand="0" w:evenHBand="0" w:firstRowFirstColumn="0" w:firstRowLastColumn="0" w:lastRowFirstColumn="0" w:lastRowLastColumn="0"/>
            <w:tcW w:w="1418" w:type="dxa"/>
            <w:vMerge/>
          </w:tcPr>
          <w:p w14:paraId="74B8CBFD" w14:textId="77777777" w:rsidR="0016358A" w:rsidRPr="00B959F6" w:rsidRDefault="0016358A" w:rsidP="00D31C73">
            <w:pPr>
              <w:jc w:val="right"/>
              <w:rPr>
                <w:sz w:val="18"/>
                <w:szCs w:val="18"/>
              </w:rPr>
            </w:pPr>
          </w:p>
        </w:tc>
        <w:tc>
          <w:tcPr>
            <w:tcW w:w="1417" w:type="dxa"/>
          </w:tcPr>
          <w:p w14:paraId="7076A5AA" w14:textId="77777777" w:rsidR="0016358A" w:rsidRPr="00B959F6" w:rsidRDefault="0016358A" w:rsidP="00D31C73">
            <w:pPr>
              <w:jc w:val="right"/>
              <w:cnfStyle w:val="000000000000" w:firstRow="0" w:lastRow="0" w:firstColumn="0" w:lastColumn="0" w:oddVBand="0" w:evenVBand="0" w:oddHBand="0" w:evenHBand="0" w:firstRowFirstColumn="0" w:firstRowLastColumn="0" w:lastRowFirstColumn="0" w:lastRowLastColumn="0"/>
              <w:rPr>
                <w:b/>
                <w:sz w:val="18"/>
                <w:szCs w:val="18"/>
              </w:rPr>
            </w:pPr>
            <w:r w:rsidRPr="00B959F6">
              <w:rPr>
                <w:b/>
                <w:sz w:val="18"/>
                <w:szCs w:val="18"/>
              </w:rPr>
              <w:t>Vegetable tops</w:t>
            </w:r>
          </w:p>
        </w:tc>
        <w:tc>
          <w:tcPr>
            <w:tcW w:w="1701" w:type="dxa"/>
          </w:tcPr>
          <w:p w14:paraId="12BE553C" w14:textId="77777777" w:rsidR="0016358A" w:rsidRPr="00B959F6" w:rsidRDefault="0016358A"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Sugarbeet tops</w:t>
            </w:r>
          </w:p>
        </w:tc>
        <w:tc>
          <w:tcPr>
            <w:tcW w:w="4536" w:type="dxa"/>
          </w:tcPr>
          <w:p w14:paraId="2AD8969F" w14:textId="16E3742D" w:rsidR="0016358A" w:rsidRPr="00B959F6" w:rsidRDefault="0016358A"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r w:rsidRPr="00B959F6">
              <w:rPr>
                <w:i/>
                <w:sz w:val="18"/>
                <w:szCs w:val="18"/>
              </w:rPr>
              <w:t>Highest theoretical potential of green crops tops identified in France</w:t>
            </w:r>
            <w:r w:rsidRPr="00B959F6">
              <w:rPr>
                <w:i/>
                <w:sz w:val="18"/>
                <w:szCs w:val="18"/>
              </w:rPr>
              <w:fldChar w:fldCharType="begin"/>
            </w:r>
            <w:r w:rsidR="00682E10" w:rsidRPr="00B959F6">
              <w:rPr>
                <w:i/>
                <w:sz w:val="18"/>
                <w:szCs w:val="18"/>
              </w:rPr>
              <w:instrText xml:space="preserve"> ADDIN ZOTERO_ITEM CSL_CITATION {"citationID":"dDPVXGym","properties":{"formattedCitation":"\\super 5\\nosupersub{}","plainCitation":"5","noteIndex":0},"citationItems":[{"id":3400,"uris":["http://zotero.org/users/6423791/items/WT9255RT"],"itemData":{"id":3400,"type":"report","collection-title":"Les données","event-place":"Montreuil","page":"93","publisher-place":"Montreuil","title":"L’Observatoire National des Ressources en Biomasse, Évaluation des ressources agricoles et agroalimentaires disponibles en France – édition 2020","URL":"https://www.franceagrimer.fr/content/download/66147/document/DON-ONRB-2020_VF3.pdf","author":[{"literal":"FranceAgriMer"}],"accessed":{"date-parts":[["2021",2,3]]},"issued":{"date-parts":[["2021"]]}}}],"schema":"https://github.com/citation-style-language/schema/raw/master/csl-citation.json"} </w:instrText>
            </w:r>
            <w:r w:rsidRPr="00B959F6">
              <w:rPr>
                <w:i/>
                <w:sz w:val="18"/>
                <w:szCs w:val="18"/>
              </w:rPr>
              <w:fldChar w:fldCharType="separate"/>
            </w:r>
            <w:r w:rsidR="00682E10" w:rsidRPr="00B959F6">
              <w:rPr>
                <w:rFonts w:ascii="Calibri" w:hAnsi="Calibri" w:cs="Calibri"/>
                <w:sz w:val="18"/>
                <w:szCs w:val="18"/>
                <w:vertAlign w:val="superscript"/>
              </w:rPr>
              <w:t>5</w:t>
            </w:r>
            <w:r w:rsidRPr="00B959F6">
              <w:rPr>
                <w:i/>
                <w:sz w:val="18"/>
                <w:szCs w:val="18"/>
              </w:rPr>
              <w:fldChar w:fldCharType="end"/>
            </w:r>
            <w:r w:rsidRPr="00B959F6">
              <w:rPr>
                <w:i/>
                <w:sz w:val="18"/>
                <w:szCs w:val="18"/>
              </w:rPr>
              <w:t>.</w:t>
            </w:r>
          </w:p>
        </w:tc>
      </w:tr>
      <w:tr w:rsidR="0016358A" w:rsidRPr="00B959F6" w14:paraId="2C05F076"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5" w:type="dxa"/>
            <w:gridSpan w:val="2"/>
          </w:tcPr>
          <w:p w14:paraId="5A0B117E" w14:textId="77777777" w:rsidR="0016358A" w:rsidRPr="00B959F6" w:rsidRDefault="0016358A" w:rsidP="00D31C73">
            <w:pPr>
              <w:jc w:val="right"/>
              <w:rPr>
                <w:sz w:val="18"/>
                <w:szCs w:val="18"/>
              </w:rPr>
            </w:pPr>
            <w:r w:rsidRPr="00B959F6">
              <w:rPr>
                <w:sz w:val="18"/>
                <w:szCs w:val="18"/>
              </w:rPr>
              <w:t>Food waste</w:t>
            </w:r>
          </w:p>
        </w:tc>
        <w:tc>
          <w:tcPr>
            <w:tcW w:w="1701" w:type="dxa"/>
          </w:tcPr>
          <w:p w14:paraId="75AAF2BA" w14:textId="77777777" w:rsidR="0016358A" w:rsidRPr="00B959F6" w:rsidRDefault="0016358A"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Household food waste</w:t>
            </w:r>
          </w:p>
        </w:tc>
        <w:tc>
          <w:tcPr>
            <w:tcW w:w="4536" w:type="dxa"/>
          </w:tcPr>
          <w:p w14:paraId="3A2EAF40" w14:textId="73EC1044" w:rsidR="0016358A" w:rsidRPr="00B959F6" w:rsidRDefault="0016358A"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B959F6">
              <w:rPr>
                <w:i/>
                <w:sz w:val="18"/>
                <w:szCs w:val="18"/>
              </w:rPr>
              <w:t>Aim to be representative of future segregated organic fraction of municipal solid waste (OFMSW). Consumption stage (household) is where the highest amount of food waste is generated in France</w:t>
            </w:r>
            <w:r w:rsidRPr="00B959F6">
              <w:rPr>
                <w:i/>
                <w:sz w:val="18"/>
                <w:szCs w:val="18"/>
              </w:rPr>
              <w:fldChar w:fldCharType="begin"/>
            </w:r>
            <w:r w:rsidR="00682E10" w:rsidRPr="00B959F6">
              <w:rPr>
                <w:i/>
                <w:sz w:val="18"/>
                <w:szCs w:val="18"/>
              </w:rPr>
              <w:instrText xml:space="preserve"> ADDIN ZOTERO_ITEM CSL_CITATION {"citationID":"aiMOMo6n","properties":{"formattedCitation":"\\super 13\\uc0\\u8211{}15\\nosupersub{}","plainCitation":"13–15","noteIndex":0},"citationItems":[{"id":12332,"uris":["http://zotero.org/users/6423791/items/A469IAHI"],"itemData":{"id":12332,"type":"report","event-place":"Angers","page":"283","publisher-place":"Angers","title":"Un mix de gaz 100% renouvelable en 2050 ? Etude de faisabilité technico-économique","author":[{"literal":"ADEME"}],"issued":{"date-parts":[["2018"]]}}},{"id":12789,"uris":["http://zotero.org/users/6423791/items/9V37DIM5"],"itemData":{"id":12789,"type":"book","event-place":"Angers","ISBN":"979-10-297-1887-8","publisher":"ADEME Editions","publisher-place":"Angers","title":"Transition(s) 2050 - Choisir maintenant, Agir pour le climat - Rapport","author":[{"literal":"ADEME"}],"issued":{"date-parts":[["2021",11]]}}},{"id":3391,"uris":["http://zotero.org/users/6423791/items/XIKLXEZ9"],"itemData":{"id":3391,"type":"document","title":"Les scénarios Afterres2050, version 2016","author":[{"literal":"Association Solagro"}],"issued":{"date-parts":[["2016"]]}}}],"schema":"https://github.com/citation-style-language/schema/raw/master/csl-citation.json"} </w:instrText>
            </w:r>
            <w:r w:rsidRPr="00B959F6">
              <w:rPr>
                <w:i/>
                <w:sz w:val="18"/>
                <w:szCs w:val="18"/>
              </w:rPr>
              <w:fldChar w:fldCharType="separate"/>
            </w:r>
            <w:r w:rsidR="00682E10" w:rsidRPr="00B959F6">
              <w:rPr>
                <w:rFonts w:ascii="Calibri" w:hAnsi="Calibri" w:cs="Calibri"/>
                <w:sz w:val="18"/>
                <w:szCs w:val="18"/>
                <w:vertAlign w:val="superscript"/>
              </w:rPr>
              <w:t>13–15</w:t>
            </w:r>
            <w:r w:rsidRPr="00B959F6">
              <w:rPr>
                <w:i/>
                <w:sz w:val="18"/>
                <w:szCs w:val="18"/>
              </w:rPr>
              <w:fldChar w:fldCharType="end"/>
            </w:r>
            <w:r w:rsidRPr="00B959F6">
              <w:rPr>
                <w:i/>
                <w:sz w:val="18"/>
                <w:szCs w:val="18"/>
              </w:rPr>
              <w:t>.</w:t>
            </w:r>
          </w:p>
        </w:tc>
      </w:tr>
      <w:tr w:rsidR="0016358A" w:rsidRPr="00B959F6" w14:paraId="7E3172A5" w14:textId="77777777" w:rsidTr="00C828FC">
        <w:trPr>
          <w:trHeight w:val="370"/>
        </w:trPr>
        <w:tc>
          <w:tcPr>
            <w:cnfStyle w:val="001000000000" w:firstRow="0" w:lastRow="0" w:firstColumn="1" w:lastColumn="0" w:oddVBand="0" w:evenVBand="0" w:oddHBand="0" w:evenHBand="0" w:firstRowFirstColumn="0" w:firstRowLastColumn="0" w:lastRowFirstColumn="0" w:lastRowLastColumn="0"/>
            <w:tcW w:w="1418" w:type="dxa"/>
            <w:vMerge w:val="restart"/>
          </w:tcPr>
          <w:p w14:paraId="7AE699E8" w14:textId="77777777" w:rsidR="0016358A" w:rsidRPr="00B959F6" w:rsidRDefault="0016358A" w:rsidP="00D31C73">
            <w:pPr>
              <w:jc w:val="right"/>
              <w:rPr>
                <w:sz w:val="18"/>
                <w:szCs w:val="18"/>
              </w:rPr>
            </w:pPr>
            <w:r w:rsidRPr="00B959F6">
              <w:rPr>
                <w:sz w:val="18"/>
                <w:szCs w:val="18"/>
              </w:rPr>
              <w:t>Slaughterhouse by-products</w:t>
            </w:r>
          </w:p>
        </w:tc>
        <w:tc>
          <w:tcPr>
            <w:tcW w:w="1417" w:type="dxa"/>
          </w:tcPr>
          <w:p w14:paraId="7BAB5E93" w14:textId="77777777" w:rsidR="0016358A" w:rsidRPr="00B959F6" w:rsidRDefault="0016358A" w:rsidP="00D31C73">
            <w:pPr>
              <w:jc w:val="right"/>
              <w:cnfStyle w:val="000000000000" w:firstRow="0" w:lastRow="0" w:firstColumn="0" w:lastColumn="0" w:oddVBand="0" w:evenVBand="0" w:oddHBand="0" w:evenHBand="0" w:firstRowFirstColumn="0" w:firstRowLastColumn="0" w:lastRowFirstColumn="0" w:lastRowLastColumn="0"/>
              <w:rPr>
                <w:b/>
                <w:sz w:val="18"/>
                <w:szCs w:val="18"/>
              </w:rPr>
            </w:pPr>
            <w:r w:rsidRPr="00B959F6">
              <w:rPr>
                <w:b/>
                <w:sz w:val="18"/>
                <w:szCs w:val="18"/>
              </w:rPr>
              <w:t>C1/C2</w:t>
            </w:r>
          </w:p>
        </w:tc>
        <w:tc>
          <w:tcPr>
            <w:tcW w:w="1701" w:type="dxa"/>
            <w:vMerge w:val="restart"/>
          </w:tcPr>
          <w:p w14:paraId="785832FF" w14:textId="77777777" w:rsidR="0016358A" w:rsidRPr="00B959F6" w:rsidRDefault="0016358A"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“PAT”</w:t>
            </w:r>
          </w:p>
        </w:tc>
        <w:tc>
          <w:tcPr>
            <w:tcW w:w="4536" w:type="dxa"/>
            <w:vMerge w:val="restart"/>
          </w:tcPr>
          <w:p w14:paraId="6AA95BBE" w14:textId="37BDF0F1" w:rsidR="0016358A" w:rsidRPr="00B959F6" w:rsidRDefault="0016358A"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r w:rsidRPr="00B959F6">
              <w:rPr>
                <w:i/>
                <w:sz w:val="18"/>
                <w:szCs w:val="18"/>
              </w:rPr>
              <w:t>“Processed animal proteins”, typical output of slaughterhouse rendering processes (here C3 according to the EU legislation)</w:t>
            </w:r>
            <w:r w:rsidRPr="00B959F6">
              <w:rPr>
                <w:i/>
                <w:sz w:val="18"/>
                <w:szCs w:val="18"/>
              </w:rPr>
              <w:fldChar w:fldCharType="begin"/>
            </w:r>
            <w:r w:rsidR="00682E10" w:rsidRPr="00B959F6">
              <w:rPr>
                <w:i/>
                <w:sz w:val="18"/>
                <w:szCs w:val="18"/>
              </w:rPr>
              <w:instrText xml:space="preserve"> ADDIN ZOTERO_ITEM CSL_CITATION {"citationID":"OWjs9O16","properties":{"formattedCitation":"\\super 3\\nosupersub{}","plainCitation":"3","noteIndex":0},"citationItems":[{"id":11682,"uris":["http://zotero.org/users/6423791/items/F7CR22WZ"],"itemData":{"id":11682,"type":"legislation","container-title":"OJ L","language":"en","note":"Legislative Body: CONSIL, EP","number":"32009R1069","page":"1-33","title":"Regulation (EC) No 1069/2009 of the European Parliament and of the Council of 21 October 2009 laying down health rules as regards animal by-products and derived products not intended for human consumption and repealing Regulation (EC) No 1774/2002 (Animal by-products Regulation)","URL":"http://data.europa.eu/eli/reg/2009/1069/oj/eng","volume":"300","author":[{"literal":"EC Regulation"}],"accessed":{"date-parts":[["2021",8,26]]},"issued":{"date-parts":[["2009",11,14]]}},"locator":"-"}],"schema":"https://github.com/citation-style-language/schema/raw/master/csl-citation.json"} </w:instrText>
            </w:r>
            <w:r w:rsidRPr="00B959F6">
              <w:rPr>
                <w:i/>
                <w:sz w:val="18"/>
                <w:szCs w:val="18"/>
              </w:rPr>
              <w:fldChar w:fldCharType="separate"/>
            </w:r>
            <w:r w:rsidR="00682E10" w:rsidRPr="00B959F6">
              <w:rPr>
                <w:rFonts w:ascii="Calibri" w:hAnsi="Calibri" w:cs="Calibri"/>
                <w:sz w:val="18"/>
                <w:szCs w:val="18"/>
                <w:vertAlign w:val="superscript"/>
              </w:rPr>
              <w:t>3</w:t>
            </w:r>
            <w:r w:rsidRPr="00B959F6">
              <w:rPr>
                <w:i/>
                <w:sz w:val="18"/>
                <w:szCs w:val="18"/>
              </w:rPr>
              <w:fldChar w:fldCharType="end"/>
            </w:r>
            <w:r w:rsidRPr="00B959F6">
              <w:rPr>
                <w:i/>
                <w:sz w:val="18"/>
                <w:szCs w:val="18"/>
              </w:rPr>
              <w:t xml:space="preserve">. See </w:t>
            </w:r>
            <w:r w:rsidRPr="00B959F6">
              <w:rPr>
                <w:b/>
                <w:i/>
                <w:sz w:val="18"/>
                <w:szCs w:val="18"/>
              </w:rPr>
              <w:t xml:space="preserve">Box </w:t>
            </w:r>
            <w:r w:rsidR="001F1730" w:rsidRPr="00B959F6">
              <w:rPr>
                <w:b/>
                <w:i/>
                <w:sz w:val="18"/>
                <w:szCs w:val="18"/>
              </w:rPr>
              <w:t>2</w:t>
            </w:r>
            <w:r w:rsidRPr="00B959F6">
              <w:rPr>
                <w:i/>
                <w:sz w:val="18"/>
                <w:szCs w:val="18"/>
              </w:rPr>
              <w:t>.</w:t>
            </w:r>
          </w:p>
        </w:tc>
      </w:tr>
      <w:tr w:rsidR="0016358A" w:rsidRPr="00B959F6" w14:paraId="763B060C"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vMerge/>
          </w:tcPr>
          <w:p w14:paraId="4A080FFD" w14:textId="77777777" w:rsidR="0016358A" w:rsidRPr="00B959F6" w:rsidRDefault="0016358A" w:rsidP="00D31C73">
            <w:pPr>
              <w:jc w:val="right"/>
              <w:rPr>
                <w:sz w:val="18"/>
                <w:szCs w:val="18"/>
              </w:rPr>
            </w:pPr>
          </w:p>
        </w:tc>
        <w:tc>
          <w:tcPr>
            <w:tcW w:w="1417" w:type="dxa"/>
          </w:tcPr>
          <w:p w14:paraId="325A340E" w14:textId="77777777" w:rsidR="0016358A" w:rsidRPr="00B959F6" w:rsidRDefault="0016358A" w:rsidP="00D31C73">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B959F6">
              <w:rPr>
                <w:b/>
                <w:sz w:val="18"/>
                <w:szCs w:val="18"/>
              </w:rPr>
              <w:t>C3</w:t>
            </w:r>
          </w:p>
        </w:tc>
        <w:tc>
          <w:tcPr>
            <w:tcW w:w="1701" w:type="dxa"/>
            <w:vMerge/>
          </w:tcPr>
          <w:p w14:paraId="498BBA14" w14:textId="77777777" w:rsidR="0016358A" w:rsidRPr="00B959F6" w:rsidRDefault="0016358A" w:rsidP="00D31C73">
            <w:pPr>
              <w:cnfStyle w:val="000000100000" w:firstRow="0" w:lastRow="0" w:firstColumn="0" w:lastColumn="0" w:oddVBand="0" w:evenVBand="0" w:oddHBand="1" w:evenHBand="0" w:firstRowFirstColumn="0" w:firstRowLastColumn="0" w:lastRowFirstColumn="0" w:lastRowLastColumn="0"/>
              <w:rPr>
                <w:sz w:val="18"/>
                <w:szCs w:val="18"/>
              </w:rPr>
            </w:pPr>
          </w:p>
        </w:tc>
        <w:tc>
          <w:tcPr>
            <w:tcW w:w="4536" w:type="dxa"/>
            <w:vMerge/>
          </w:tcPr>
          <w:p w14:paraId="106E6590" w14:textId="77777777" w:rsidR="0016358A" w:rsidRPr="00B959F6" w:rsidRDefault="0016358A"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p>
        </w:tc>
      </w:tr>
      <w:tr w:rsidR="0016358A" w:rsidRPr="00B959F6" w14:paraId="524E03D1" w14:textId="77777777" w:rsidTr="00C828FC">
        <w:tc>
          <w:tcPr>
            <w:cnfStyle w:val="001000000000" w:firstRow="0" w:lastRow="0" w:firstColumn="1" w:lastColumn="0" w:oddVBand="0" w:evenVBand="0" w:oddHBand="0" w:evenHBand="0" w:firstRowFirstColumn="0" w:firstRowLastColumn="0" w:lastRowFirstColumn="0" w:lastRowLastColumn="0"/>
            <w:tcW w:w="2835" w:type="dxa"/>
            <w:gridSpan w:val="2"/>
            <w:vMerge w:val="restart"/>
          </w:tcPr>
          <w:p w14:paraId="5163F82A" w14:textId="77777777" w:rsidR="0016358A" w:rsidRPr="00B959F6" w:rsidRDefault="0016358A" w:rsidP="00D31C73">
            <w:pPr>
              <w:jc w:val="right"/>
              <w:rPr>
                <w:sz w:val="18"/>
                <w:szCs w:val="18"/>
              </w:rPr>
            </w:pPr>
            <w:r w:rsidRPr="00B959F6">
              <w:rPr>
                <w:sz w:val="18"/>
                <w:szCs w:val="18"/>
              </w:rPr>
              <w:t>Agrifood co-products</w:t>
            </w:r>
          </w:p>
        </w:tc>
        <w:tc>
          <w:tcPr>
            <w:tcW w:w="1701" w:type="dxa"/>
          </w:tcPr>
          <w:p w14:paraId="03343C34" w14:textId="77777777" w:rsidR="0016358A" w:rsidRPr="00B959F6" w:rsidRDefault="0016358A"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Corn spent grains</w:t>
            </w:r>
          </w:p>
        </w:tc>
        <w:tc>
          <w:tcPr>
            <w:tcW w:w="4536" w:type="dxa"/>
          </w:tcPr>
          <w:p w14:paraId="05F63B4F" w14:textId="24603E60" w:rsidR="0016358A" w:rsidRPr="00B959F6" w:rsidRDefault="0016358A"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r w:rsidRPr="00B959F6">
              <w:rPr>
                <w:i/>
                <w:sz w:val="18"/>
                <w:szCs w:val="18"/>
              </w:rPr>
              <w:t>Lignocellulose-</w:t>
            </w:r>
            <w:r w:rsidR="00C828FC">
              <w:rPr>
                <w:i/>
                <w:sz w:val="18"/>
                <w:szCs w:val="18"/>
              </w:rPr>
              <w:t xml:space="preserve"> and proteins-</w:t>
            </w:r>
            <w:r w:rsidRPr="00B959F6">
              <w:rPr>
                <w:i/>
                <w:sz w:val="18"/>
                <w:szCs w:val="18"/>
              </w:rPr>
              <w:t xml:space="preserve">rich streams are already represented in other categories e.g. crop residues </w:t>
            </w:r>
            <w:r w:rsidR="00C828FC">
              <w:rPr>
                <w:i/>
                <w:sz w:val="18"/>
                <w:szCs w:val="18"/>
              </w:rPr>
              <w:t>and</w:t>
            </w:r>
            <w:r w:rsidRPr="00B959F6">
              <w:rPr>
                <w:i/>
                <w:sz w:val="18"/>
                <w:szCs w:val="18"/>
              </w:rPr>
              <w:t xml:space="preserve"> PAT. Here, selected stream aim to represent feed-quality and nutritional-balanced co-products from the cereals sector</w:t>
            </w:r>
            <w:r w:rsidR="00367CAA" w:rsidRPr="00B959F6">
              <w:rPr>
                <w:i/>
                <w:sz w:val="18"/>
                <w:szCs w:val="18"/>
              </w:rPr>
              <w:fldChar w:fldCharType="begin"/>
            </w:r>
            <w:r w:rsidR="00682E10" w:rsidRPr="00B959F6">
              <w:rPr>
                <w:i/>
                <w:sz w:val="18"/>
                <w:szCs w:val="18"/>
              </w:rPr>
              <w:instrText xml:space="preserve"> ADDIN ZOTERO_ITEM CSL_CITATION {"citationID":"aqf0cb2ivj","properties":{"formattedCitation":"\\super 4\\nosupersub{}","plainCitation":"4","noteIndex":0},"citationItems":[{"id":13553,"uris":["http://zotero.org/users/6423791/items/EU8KLJZY"],"itemData":{"id":13553,"type":"article-journal","abstract":"Transforming residual biomass into edible ingredients is increasingly\npromoted to alleviate the environmental impacts of food systems. Yet,\nthese approaches mostly rely on emerging technologies and constrained\nresources, and their environmental benefits remain unclear. By combining\nprocess-based consequential life cycle analysis, uncertainty assessment\nand biomass resource estimation, we quantified the impacts of deploying\nwaste-to-nutrition pathways, here applied to the upgrading of agrifood\nco-products by solid-state fermentation (SSF). The benefits of reducing the\ndemand for soybean meal by enhancing the protein concentration of feed\nthrough SSF do not compensate for the environmental burdens induced\nby the process on climate change, water depletion and land use. Besides\nunlocking feed markets to low-feed-quality streams, SSF outperforms\nenergy valorization for most environmental impacts but is less competitive\nto mitigate climate change. Yet, SSF yields overall environmental benefits\nwhen unlocking food markets rather than supplying feed and energy\nservices. Systematic methodological harmonization is required to assess the\npotential of novel ingredients, as outcomes vary according to the displaced\nfood and feed baskets, and related land use changes.","container-title":"Nature Food","DOI":"10.1038/s43016-022-00621-9","journalAbbreviation":"Nat Food","language":"en","page":"911-920","title":"Upgrading agrifood co-products via solid fermentation yields environmental benefits under specific conditions only","volume":"3","author":[{"family":"Javourez","given":"Ugo"},{"family":"Rosero Delgado","given":"Ernesto Alonso"},{"family":"Hamelin","given":"Lorie"}],"issued":{"date-parts":[["2022",10,31]]}}}],"schema":"https://github.com/citation-style-language/schema/raw/master/csl-citation.json"} </w:instrText>
            </w:r>
            <w:r w:rsidR="00367CAA" w:rsidRPr="00B959F6">
              <w:rPr>
                <w:i/>
                <w:sz w:val="18"/>
                <w:szCs w:val="18"/>
              </w:rPr>
              <w:fldChar w:fldCharType="separate"/>
            </w:r>
            <w:r w:rsidR="00682E10" w:rsidRPr="00B959F6">
              <w:rPr>
                <w:rFonts w:ascii="Calibri" w:hAnsi="Calibri" w:cs="Calibri"/>
                <w:sz w:val="18"/>
                <w:szCs w:val="18"/>
                <w:vertAlign w:val="superscript"/>
              </w:rPr>
              <w:t>4</w:t>
            </w:r>
            <w:r w:rsidR="00367CAA" w:rsidRPr="00B959F6">
              <w:rPr>
                <w:i/>
                <w:sz w:val="18"/>
                <w:szCs w:val="18"/>
              </w:rPr>
              <w:fldChar w:fldCharType="end"/>
            </w:r>
            <w:r w:rsidRPr="00B959F6">
              <w:rPr>
                <w:i/>
                <w:sz w:val="18"/>
                <w:szCs w:val="18"/>
              </w:rPr>
              <w:t>.</w:t>
            </w:r>
          </w:p>
        </w:tc>
      </w:tr>
      <w:tr w:rsidR="0016358A" w:rsidRPr="00B959F6" w14:paraId="4D558A6C"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5" w:type="dxa"/>
            <w:gridSpan w:val="2"/>
            <w:vMerge/>
          </w:tcPr>
          <w:p w14:paraId="15F549A7" w14:textId="77777777" w:rsidR="0016358A" w:rsidRPr="00B959F6" w:rsidRDefault="0016358A" w:rsidP="00D31C73">
            <w:pPr>
              <w:jc w:val="right"/>
              <w:rPr>
                <w:b w:val="0"/>
                <w:sz w:val="18"/>
                <w:szCs w:val="18"/>
              </w:rPr>
            </w:pPr>
          </w:p>
        </w:tc>
        <w:tc>
          <w:tcPr>
            <w:tcW w:w="1701" w:type="dxa"/>
          </w:tcPr>
          <w:p w14:paraId="7E1742F6" w14:textId="77777777" w:rsidR="0016358A" w:rsidRPr="00B959F6" w:rsidRDefault="0016358A"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Potato screenings</w:t>
            </w:r>
          </w:p>
        </w:tc>
        <w:tc>
          <w:tcPr>
            <w:tcW w:w="4536" w:type="dxa"/>
          </w:tcPr>
          <w:p w14:paraId="5D70D984" w14:textId="35BCFA68" w:rsidR="0016358A" w:rsidRPr="00B959F6" w:rsidRDefault="0016358A"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B959F6">
              <w:rPr>
                <w:i/>
                <w:sz w:val="18"/>
                <w:szCs w:val="18"/>
              </w:rPr>
              <w:t>Representative of starch-rich co-products</w:t>
            </w:r>
            <w:r w:rsidR="00367CAA" w:rsidRPr="00B959F6">
              <w:rPr>
                <w:i/>
                <w:sz w:val="18"/>
                <w:szCs w:val="18"/>
              </w:rPr>
              <w:fldChar w:fldCharType="begin"/>
            </w:r>
            <w:r w:rsidR="00682E10" w:rsidRPr="00B959F6">
              <w:rPr>
                <w:i/>
                <w:sz w:val="18"/>
                <w:szCs w:val="18"/>
              </w:rPr>
              <w:instrText xml:space="preserve"> ADDIN ZOTERO_ITEM CSL_CITATION {"citationID":"VdwV4ltL","properties":{"formattedCitation":"\\super 4\\nosupersub{}","plainCitation":"4","noteIndex":0},"citationItems":[{"id":13553,"uris":["http://zotero.org/users/6423791/items/EU8KLJZY"],"itemData":{"id":13553,"type":"article-journal","abstract":"Transforming residual biomass into edible ingredients is increasingly\npromoted to alleviate the environmental impacts of food systems. Yet,\nthese approaches mostly rely on emerging technologies and constrained\nresources, and their environmental benefits remain unclear. By combining\nprocess-based consequential life cycle analysis, uncertainty assessment\nand biomass resource estimation, we quantified the impacts of deploying\nwaste-to-nutrition pathways, here applied to the upgrading of agrifood\nco-products by solid-state fermentation (SSF). The benefits of reducing the\ndemand for soybean meal by enhancing the protein concentration of feed\nthrough SSF do not compensate for the environmental burdens induced\nby the process on climate change, water depletion and land use. Besides\nunlocking feed markets to low-feed-quality streams, SSF outperforms\nenergy valorization for most environmental impacts but is less competitive\nto mitigate climate change. Yet, SSF yields overall environmental benefits\nwhen unlocking food markets rather than supplying feed and energy\nservices. Systematic methodological harmonization is required to assess the\npotential of novel ingredients, as outcomes vary according to the displaced\nfood and feed baskets, and related land use changes.","container-title":"Nature Food","DOI":"10.1038/s43016-022-00621-9","journalAbbreviation":"Nat Food","language":"en","page":"911-920","title":"Upgrading agrifood co-products via solid fermentation yields environmental benefits under specific conditions only","volume":"3","author":[{"family":"Javourez","given":"Ugo"},{"family":"Rosero Delgado","given":"Ernesto Alonso"},{"family":"Hamelin","given":"Lorie"}],"issued":{"date-parts":[["2022",10,31]]}}}],"schema":"https://github.com/citation-style-language/schema/raw/master/csl-citation.json"} </w:instrText>
            </w:r>
            <w:r w:rsidR="00367CAA" w:rsidRPr="00B959F6">
              <w:rPr>
                <w:i/>
                <w:sz w:val="18"/>
                <w:szCs w:val="18"/>
              </w:rPr>
              <w:fldChar w:fldCharType="separate"/>
            </w:r>
            <w:r w:rsidR="00682E10" w:rsidRPr="00B959F6">
              <w:rPr>
                <w:rFonts w:ascii="Calibri" w:hAnsi="Calibri" w:cs="Calibri"/>
                <w:sz w:val="18"/>
                <w:szCs w:val="18"/>
                <w:vertAlign w:val="superscript"/>
              </w:rPr>
              <w:t>4</w:t>
            </w:r>
            <w:r w:rsidR="00367CAA" w:rsidRPr="00B959F6">
              <w:rPr>
                <w:i/>
                <w:sz w:val="18"/>
                <w:szCs w:val="18"/>
              </w:rPr>
              <w:fldChar w:fldCharType="end"/>
            </w:r>
            <w:r w:rsidRPr="00B959F6">
              <w:rPr>
                <w:i/>
                <w:sz w:val="18"/>
                <w:szCs w:val="18"/>
              </w:rPr>
              <w:t>.</w:t>
            </w:r>
          </w:p>
        </w:tc>
      </w:tr>
    </w:tbl>
    <w:p w14:paraId="65AC3988" w14:textId="77777777" w:rsidR="0016358A" w:rsidRPr="007D0AF2" w:rsidRDefault="0016358A" w:rsidP="0016358A">
      <w:pPr>
        <w:jc w:val="center"/>
        <w:rPr>
          <w:sz w:val="18"/>
        </w:rPr>
      </w:pPr>
    </w:p>
    <w:p w14:paraId="1B28109E" w14:textId="7CF357AF" w:rsidR="0016358A" w:rsidRDefault="0016358A" w:rsidP="0016358A">
      <w:pPr>
        <w:jc w:val="both"/>
      </w:pPr>
      <w:r>
        <w:t xml:space="preserve">Agrifood co-products category </w:t>
      </w:r>
      <w:r w:rsidR="00367CAA">
        <w:t>wa</w:t>
      </w:r>
      <w:r>
        <w:t>s relatively less represented by choice. This is because this category is made of highly disaggregated streams (</w:t>
      </w:r>
      <w:r w:rsidRPr="00B737E4">
        <w:t>around 85) compared</w:t>
      </w:r>
      <w:r>
        <w:t xml:space="preserve"> to the other categories and because most of its abundant streams (e.g. sugarbeet pulp or wheat bran) are close to crop residues in terms of composition, hence not yielding any additional insights. Moreover, detailed analysis focusing on alternative management practices for agrifood co-products streams were already detailed </w:t>
      </w:r>
      <w:r w:rsidRPr="00367CAA">
        <w:t xml:space="preserve">in </w:t>
      </w:r>
      <w:r w:rsidR="00367CAA" w:rsidRPr="00367CAA">
        <w:t>Javourez et al., (2022)</w:t>
      </w:r>
      <w:r w:rsidR="00367CAA" w:rsidRPr="00367CAA">
        <w:fldChar w:fldCharType="begin"/>
      </w:r>
      <w:r w:rsidR="00682E10">
        <w:instrText xml:space="preserve"> ADDIN ZOTERO_ITEM CSL_CITATION {"citationID":"a2b4nc28epv","properties":{"formattedCitation":"\\super 4\\nosupersub{}","plainCitation":"4","noteIndex":0},"citationItems":[{"id":13553,"uris":["http://zotero.org/users/6423791/items/EU8KLJZY"],"itemData":{"id":13553,"type":"article-journal","abstract":"Transforming residual biomass into edible ingredients is increasingly\npromoted to alleviate the environmental impacts of food systems. Yet,\nthese approaches mostly rely on emerging technologies and constrained\nresources, and their environmental benefits remain unclear. By combining\nprocess-based consequential life cycle analysis, uncertainty assessment\nand biomass resource estimation, we quantified the impacts of deploying\nwaste-to-nutrition pathways, here applied to the upgrading of agrifood\nco-products by solid-state fermentation (SSF). The benefits of reducing the\ndemand for soybean meal by enhancing the protein concentration of feed\nthrough SSF do not compensate for the environmental burdens induced\nby the process on climate change, water depletion and land use. Besides\nunlocking feed markets to low-feed-quality streams, SSF outperforms\nenergy valorization for most environmental impacts but is less competitive\nto mitigate climate change. Yet, SSF yields overall environmental benefits\nwhen unlocking food markets rather than supplying feed and energy\nservices. Systematic methodological harmonization is required to assess the\npotential of novel ingredients, as outcomes vary according to the displaced\nfood and feed baskets, and related land use changes.","container-title":"Nature Food","DOI":"10.1038/s43016-022-00621-9","journalAbbreviation":"Nat Food","language":"en","page":"911-920","title":"Upgrading agrifood co-products via solid fermentation yields environmental benefits under specific conditions only","volume":"3","author":[{"family":"Javourez","given":"Ugo"},{"family":"Rosero Delgado","given":"Ernesto Alonso"},{"family":"Hamelin","given":"Lorie"}],"issued":{"date-parts":[["2022",10,31]]}}}],"schema":"https://github.com/citation-style-language/schema/raw/master/csl-citation.json"} </w:instrText>
      </w:r>
      <w:r w:rsidR="00367CAA" w:rsidRPr="00367CAA">
        <w:fldChar w:fldCharType="separate"/>
      </w:r>
      <w:r w:rsidR="00682E10" w:rsidRPr="00682E10">
        <w:rPr>
          <w:rFonts w:ascii="Calibri" w:hAnsi="Calibri" w:cs="Calibri"/>
          <w:szCs w:val="24"/>
          <w:vertAlign w:val="superscript"/>
        </w:rPr>
        <w:t>4</w:t>
      </w:r>
      <w:r w:rsidR="00367CAA" w:rsidRPr="00367CAA">
        <w:fldChar w:fldCharType="end"/>
      </w:r>
      <w:r w:rsidRPr="00367CAA">
        <w:t>. Therefore, only two streams of this category were retained, representing fe</w:t>
      </w:r>
      <w:r>
        <w:t>ed-grade streams: distiller’s spent grains and potato screenings co-products (</w:t>
      </w:r>
      <w:r w:rsidR="00367CAA" w:rsidRPr="00367CAA">
        <w:rPr>
          <w:b/>
        </w:rPr>
        <w:fldChar w:fldCharType="begin"/>
      </w:r>
      <w:r w:rsidR="00367CAA" w:rsidRPr="00367CAA">
        <w:rPr>
          <w:b/>
        </w:rPr>
        <w:instrText xml:space="preserve"> REF _Ref144719907 \h </w:instrText>
      </w:r>
      <w:r w:rsidR="00367CAA">
        <w:rPr>
          <w:b/>
        </w:rPr>
        <w:instrText xml:space="preserve"> \* MERGEFORMAT </w:instrText>
      </w:r>
      <w:r w:rsidR="00367CAA" w:rsidRPr="00367CAA">
        <w:rPr>
          <w:b/>
        </w:rPr>
      </w:r>
      <w:r w:rsidR="00367CAA" w:rsidRPr="00367CAA">
        <w:rPr>
          <w:b/>
        </w:rPr>
        <w:fldChar w:fldCharType="separate"/>
      </w:r>
      <w:r w:rsidR="00F25F8C" w:rsidRPr="00F25F8C">
        <w:rPr>
          <w:b/>
        </w:rPr>
        <w:t xml:space="preserve">Table SI. </w:t>
      </w:r>
      <w:r w:rsidR="00F25F8C" w:rsidRPr="00F25F8C">
        <w:rPr>
          <w:b/>
          <w:noProof/>
        </w:rPr>
        <w:t>2</w:t>
      </w:r>
      <w:r w:rsidR="00367CAA" w:rsidRPr="00367CAA">
        <w:rPr>
          <w:b/>
        </w:rPr>
        <w:fldChar w:fldCharType="end"/>
      </w:r>
      <w:r>
        <w:t xml:space="preserve">). While capturing the heterogeneity of residual biomass streams in terms of composition, the eleven selected streams also cover different generation sites, pretreatment requirements and legislative backgrounds, hence providing a comprehensive overview of bioresource management conditions and constraints.  </w:t>
      </w:r>
    </w:p>
    <w:p w14:paraId="5BD63479" w14:textId="37D65FEA" w:rsidR="002C2EA6" w:rsidRDefault="0016358A" w:rsidP="00C828FC">
      <w:pPr>
        <w:jc w:val="both"/>
      </w:pPr>
      <w:r>
        <w:t>The residual biomass resource potential drew in this section aimed to picture the French context and specify the scope of this study, but many uncertainties remain when it comes to establish net values for streams’ composition, quantity and share of current use. This is due to the lack of data and the difference in the data quality between streams, leading to highly dispersed levels of aggregation (e.g. specific maize germ cake stream versus generic orchard pruning stream).</w:t>
      </w:r>
      <w:r w:rsidR="00034B1D">
        <w:t xml:space="preserve"> Moreover, while t</w:t>
      </w:r>
      <w:r>
        <w:t>he composition of feed-grade streams (e.g. agrifood co-products and primary crop residues) are already fully characterized by many specialized databases</w:t>
      </w:r>
      <w:r w:rsidR="00034B1D">
        <w:t>, scarce-to-no data is available for residual streams of secondary importance (e.g. carrot tops, small ruminants’ manure, etc.) or heterogeneous and site-specific streams (e.g. retail food waste, agrifood industries sludge, etc.).</w:t>
      </w:r>
      <w:r>
        <w:t xml:space="preserve"> The same considerations apply </w:t>
      </w:r>
      <w:r>
        <w:lastRenderedPageBreak/>
        <w:t>for data on theoretical quantities, with scarce-to-no information on livestock manure other than swine, cattle and poultry sectors, on vegetable tops other than sugarbeet and potato, on bristle and feather generation and current use, among others.</w:t>
      </w:r>
      <w:r w:rsidR="00C828FC">
        <w:br w:type="page"/>
      </w:r>
    </w:p>
    <w:p w14:paraId="13DE132A" w14:textId="51E0ED13" w:rsidR="00034B1D" w:rsidRDefault="00034B1D" w:rsidP="00034B1D">
      <w:pPr>
        <w:pStyle w:val="Titre1"/>
      </w:pPr>
      <w:bookmarkStart w:id="9" w:name="_Ref144916601"/>
      <w:bookmarkStart w:id="10" w:name="_Toc145069094"/>
      <w:r>
        <w:lastRenderedPageBreak/>
        <w:t>Waste-to-nutrition pathways selection</w:t>
      </w:r>
      <w:bookmarkEnd w:id="9"/>
      <w:bookmarkEnd w:id="10"/>
    </w:p>
    <w:p w14:paraId="78BE1C33" w14:textId="503D11AD" w:rsidR="00BC43E5" w:rsidRDefault="00034B1D" w:rsidP="00BC43E5">
      <w:pPr>
        <w:ind w:firstLine="360"/>
        <w:jc w:val="both"/>
      </w:pPr>
      <w:r>
        <w:t>The</w:t>
      </w:r>
      <w:r w:rsidR="00BC43E5" w:rsidRPr="00A21091">
        <w:t xml:space="preserve"> objective of this section is to specify a qualitative selection rationale to focus the modeling efforts on relevant and plausible waste-to-nutrition pathways. </w:t>
      </w:r>
      <w:bookmarkStart w:id="11" w:name="_Hlk140851148"/>
      <w:r w:rsidR="00BC43E5" w:rsidRPr="00A21091">
        <w:t>This means, to refine the scope of the LC</w:t>
      </w:r>
      <w:r>
        <w:t>I</w:t>
      </w:r>
      <w:r w:rsidR="00BC43E5" w:rsidRPr="00A21091">
        <w:t xml:space="preserve"> model</w:t>
      </w:r>
      <w:r>
        <w:t>s</w:t>
      </w:r>
      <w:r w:rsidR="00BC43E5" w:rsidRPr="00A21091">
        <w:t xml:space="preserve"> only to emerging supply chains likely to effectively enter food and feed markets within the time and geographical scope of this study</w:t>
      </w:r>
      <w:bookmarkEnd w:id="11"/>
      <w:r w:rsidR="00BC43E5" w:rsidRPr="00A21091">
        <w:t xml:space="preserve"> (</w:t>
      </w:r>
      <w:r>
        <w:t>see main manuscript</w:t>
      </w:r>
      <w:r w:rsidR="00BC43E5" w:rsidRPr="00A21091">
        <w:t>). Several structured tools exist to develop such screenings, like the PESTEL analysis</w:t>
      </w:r>
      <w:r w:rsidR="00BC43E5" w:rsidRPr="00A21091">
        <w:fldChar w:fldCharType="begin"/>
      </w:r>
      <w:r w:rsidR="00827449">
        <w:instrText xml:space="preserve"> ADDIN ZOTERO_ITEM CSL_CITATION {"citationID":"1eyVx0Nh","properties":{"formattedCitation":"\\super 16\\nosupersub{}","plainCitation":"16","noteIndex":0},"citationItems":[{"id":13930,"uris":["http://zotero.org/users/6423791/items/P28TEYKD"],"itemData":{"id":13930,"type":"book","event-place":"Luxembourg","publisher":"Publications Office of the European Union","publisher-place":"Luxembourg","title":"Prospective LCA methodology for novel and emerging technologies for bio-based products : the Planet Bio project","URL":"https://dx.doi.org/10.2760/167543","author":[{"family":"Cucurachi","given":"S."},{"literal":"Steubing, B."},{"literal":"Siebler, F."},{"literal":"Navarre, N."},{"literal":"Caldeira, C."},{"literal":"Sala, S."}],"issued":{"date-parts":[["2022"]]}}}],"schema":"https://github.com/citation-style-language/schema/raw/master/csl-citation.json"} </w:instrText>
      </w:r>
      <w:r w:rsidR="00BC43E5" w:rsidRPr="00A21091">
        <w:fldChar w:fldCharType="separate"/>
      </w:r>
      <w:r w:rsidR="00682E10" w:rsidRPr="00682E10">
        <w:rPr>
          <w:rFonts w:ascii="Calibri" w:hAnsi="Calibri" w:cs="Calibri"/>
          <w:szCs w:val="24"/>
          <w:vertAlign w:val="superscript"/>
        </w:rPr>
        <w:t>16</w:t>
      </w:r>
      <w:r w:rsidR="00BC43E5" w:rsidRPr="00A21091">
        <w:fldChar w:fldCharType="end"/>
      </w:r>
      <w:r w:rsidR="00BC43E5" w:rsidRPr="00A21091">
        <w:t xml:space="preserve"> to identify the external marketing factors that can impact the development of a project. Due to the explorative scope of the present study, we did not include political, economic nor social limitations. Instead, the potential acceptability of emerging technologies was estimated by positioning them in the landscape of current legislation.</w:t>
      </w:r>
    </w:p>
    <w:p w14:paraId="1E419F92" w14:textId="77777777" w:rsidR="00BC43E5" w:rsidRPr="00320D55" w:rsidRDefault="00BC43E5" w:rsidP="00034B1D">
      <w:pPr>
        <w:pStyle w:val="Titre2"/>
      </w:pPr>
      <w:bookmarkStart w:id="12" w:name="_Ref144721185"/>
      <w:bookmarkStart w:id="13" w:name="_Toc145069095"/>
      <w:r w:rsidRPr="00320D55">
        <w:t>EU Legislative background</w:t>
      </w:r>
      <w:bookmarkEnd w:id="12"/>
      <w:bookmarkEnd w:id="13"/>
    </w:p>
    <w:p w14:paraId="15F556A0" w14:textId="48D3768B" w:rsidR="00B959F6" w:rsidRDefault="00BC43E5" w:rsidP="00034B1D">
      <w:pPr>
        <w:ind w:firstLine="360"/>
        <w:jc w:val="both"/>
      </w:pPr>
      <w:r>
        <w:t>At the frontier of waste/biomass management and food production</w:t>
      </w:r>
      <w:r w:rsidRPr="006654A6">
        <w:t>,</w:t>
      </w:r>
      <w:r>
        <w:t xml:space="preserve"> the legislative body framing the development of waste-to-nutrition pathways is rapidly evolving, challenged by the conundrum of desired acceleration towards innovation for sustainable food systems while maintaining a precautionary principle. This permanent evolution is traduced by the moving terminologies frontiers of “waste”, “by-products”, “co-products” and “residues”, </w:t>
      </w:r>
      <w:r w:rsidR="00034B1D">
        <w:t>whose harmonization</w:t>
      </w:r>
      <w:r w:rsidRPr="00A86B7E">
        <w:t xml:space="preserve"> is still ongoing</w:t>
      </w:r>
      <w:r w:rsidR="00034B1D">
        <w:t xml:space="preserve"> in the EU</w:t>
      </w:r>
      <w:r w:rsidRPr="00034B1D">
        <w:fldChar w:fldCharType="begin"/>
      </w:r>
      <w:r w:rsidR="00682E10">
        <w:instrText xml:space="preserve"> ADDIN ZOTERO_ITEM CSL_CITATION {"citationID":"aefniuupiu","properties":{"formattedCitation":"\\super 17\\nosupersub{}","plainCitation":"17","noteIndex":0},"citationItems":[{"id":13059,"uris":["http://zotero.org/users/6423791/items/BHXRB478"],"itemData":{"id":13059,"type":"chapter","abstract":"The action plan on the ‘circular economy’ includes a number of actions in order to target market barriers in specific sectors or materials, such as food waste. Specifically, food waste is a significant concern in Europe: it is estimated that around 100 million tonnes of food is wasted annually in the European Union (EU). Food is lost or wasted along the whole food supply chain. Food waste reduction and waste treatment therefore are key issues, even in the recent Green Deal Strategy, which aims to achieve climate neutrality by 2050 and decouple economic growth from resource use, while ensuring the long-term competitiveness of the EU and leaving no one behind. The new Waste Framework Directives try to address the problems connected with the definition and the distinguishing between waste, by-product and end of waste. The production of second raw materials from the food waste treatment process and the consequent definition of end of waste is a central issue. European Food Law establishes the rights of consumers to safe food and to accurate and honest information. Whenever the recovery operation has transformed the waste into a food stuff, those rules apply to the endof-waste new food product. The EU has progressively introduced legislation on these issues. The relevance of the different rules depends clearly on the different kinds of food stuff which has been produced by recycling the waste. In the legislative perspective there must be clear definitions of waste, by product and end-of-waste in order to invest for long term research and business programme.","container-title":"Waste to Food - Returning nutrients to the food chain","ISBN":"978-90-8686-377-8","language":"en","page":"197-208","publisher":"Wageningen Academic Publishers","source":"Zotero","title":"Chapter 8. From waste to food: legislative insights","URL":"https://www.wageningenacademic.com/doi/book/10.3920/978-90-8686-929-9","author":[{"family":"Delsignore","given":"M"},{"family":"Siddiqui","given":"S A"}],"issued":{"date-parts":[["2022"]]}}}],"schema":"https://github.com/citation-style-language/schema/raw/master/csl-citation.json"} </w:instrText>
      </w:r>
      <w:r w:rsidRPr="00034B1D">
        <w:fldChar w:fldCharType="separate"/>
      </w:r>
      <w:r w:rsidR="00682E10" w:rsidRPr="00682E10">
        <w:rPr>
          <w:rFonts w:ascii="Calibri" w:hAnsi="Calibri" w:cs="Calibri"/>
          <w:szCs w:val="24"/>
          <w:vertAlign w:val="superscript"/>
        </w:rPr>
        <w:t>17</w:t>
      </w:r>
      <w:r w:rsidRPr="00034B1D">
        <w:fldChar w:fldCharType="end"/>
      </w:r>
      <w:r w:rsidRPr="00A86B7E">
        <w:t>. For example, local legislative bodies ought to identify and label secondary</w:t>
      </w:r>
      <w:r w:rsidRPr="00B44873">
        <w:t xml:space="preserve"> production streams as</w:t>
      </w:r>
      <w:r>
        <w:t xml:space="preserve"> “co-products” whenever possible to unlock industrial symbiosis (e.g. by granting “end-of-waste” status) which would otherwise be prevented by the Waste framework </w:t>
      </w:r>
      <w:r w:rsidRPr="00A86B7E">
        <w:t>regulation (</w:t>
      </w:r>
      <w:r w:rsidR="00034B1D" w:rsidRPr="00034B1D">
        <w:rPr>
          <w:b/>
        </w:rPr>
        <w:fldChar w:fldCharType="begin"/>
      </w:r>
      <w:r w:rsidR="00034B1D" w:rsidRPr="00034B1D">
        <w:rPr>
          <w:b/>
        </w:rPr>
        <w:instrText xml:space="preserve"> REF _Ref144720659 \h </w:instrText>
      </w:r>
      <w:r w:rsidR="00034B1D">
        <w:rPr>
          <w:b/>
        </w:rPr>
        <w:instrText xml:space="preserve"> \* MERGEFORMAT </w:instrText>
      </w:r>
      <w:r w:rsidR="00034B1D" w:rsidRPr="00034B1D">
        <w:rPr>
          <w:b/>
        </w:rPr>
      </w:r>
      <w:r w:rsidR="00034B1D" w:rsidRPr="00034B1D">
        <w:rPr>
          <w:b/>
        </w:rPr>
        <w:fldChar w:fldCharType="separate"/>
      </w:r>
      <w:r w:rsidR="00F25F8C" w:rsidRPr="00F25F8C">
        <w:rPr>
          <w:b/>
        </w:rPr>
        <w:t xml:space="preserve">Table SI. </w:t>
      </w:r>
      <w:r w:rsidR="00F25F8C" w:rsidRPr="00F25F8C">
        <w:rPr>
          <w:b/>
          <w:noProof/>
        </w:rPr>
        <w:t>3</w:t>
      </w:r>
      <w:r w:rsidR="00034B1D" w:rsidRPr="00034B1D">
        <w:rPr>
          <w:b/>
        </w:rPr>
        <w:fldChar w:fldCharType="end"/>
      </w:r>
      <w:r w:rsidRPr="00A86B7E">
        <w:t>). Another harmonization</w:t>
      </w:r>
      <w:r>
        <w:t xml:space="preserve"> attempt by the EU is, for example, the will to label as “product” any material considered as a feed ingredient, instead of by- or co-product (see the Catalogue of feed materials;</w:t>
      </w:r>
      <w:r w:rsidR="00034B1D">
        <w:t xml:space="preserve"> </w:t>
      </w:r>
      <w:r w:rsidR="00034B1D" w:rsidRPr="00034B1D">
        <w:rPr>
          <w:b/>
        </w:rPr>
        <w:fldChar w:fldCharType="begin"/>
      </w:r>
      <w:r w:rsidR="00034B1D" w:rsidRPr="00034B1D">
        <w:rPr>
          <w:b/>
        </w:rPr>
        <w:instrText xml:space="preserve"> REF _Ref144720659 \h </w:instrText>
      </w:r>
      <w:r w:rsidR="00034B1D">
        <w:rPr>
          <w:b/>
        </w:rPr>
        <w:instrText xml:space="preserve"> \* MERGEFORMAT </w:instrText>
      </w:r>
      <w:r w:rsidR="00034B1D" w:rsidRPr="00034B1D">
        <w:rPr>
          <w:b/>
        </w:rPr>
      </w:r>
      <w:r w:rsidR="00034B1D" w:rsidRPr="00034B1D">
        <w:rPr>
          <w:b/>
        </w:rPr>
        <w:fldChar w:fldCharType="separate"/>
      </w:r>
      <w:r w:rsidR="00F25F8C" w:rsidRPr="00F25F8C">
        <w:rPr>
          <w:b/>
        </w:rPr>
        <w:t xml:space="preserve">Table SI. </w:t>
      </w:r>
      <w:r w:rsidR="00F25F8C" w:rsidRPr="00F25F8C">
        <w:rPr>
          <w:b/>
          <w:noProof/>
        </w:rPr>
        <w:t>3</w:t>
      </w:r>
      <w:r w:rsidR="00034B1D" w:rsidRPr="00034B1D">
        <w:rPr>
          <w:b/>
        </w:rPr>
        <w:fldChar w:fldCharType="end"/>
      </w:r>
      <w:r w:rsidRPr="00A86B7E">
        <w:t>).</w:t>
      </w:r>
      <w:r>
        <w:t xml:space="preserve"> The dynamic aspect of related legislation is also witnessed by the many modifications faced by the Animal by-products regulations body during the last decade; the latest change reintroducing authorizations for specific inter-species by-products recycling</w:t>
      </w:r>
      <w:r>
        <w:fldChar w:fldCharType="begin"/>
      </w:r>
      <w:r w:rsidR="00682E10">
        <w:instrText xml:space="preserve"> ADDIN ZOTERO_ITEM CSL_CITATION {"citationID":"UvbsfQqt","properties":{"formattedCitation":"\\super 18\\nosupersub{}","plainCitation":"18","noteIndex":0},"citationItems":[{"id":13116,"uris":["http://zotero.org/users/6423791/items/4F98PUNJ"],"itemData":{"id":13116,"type":"article-journal","abstract":"Circular economy (CE) is an approach that decouples economic activity from the consumption of finite resources, designs out waste, and instead promotes an economic model based on sharing, leasing, reuse, repair, refurbishment and recycling, in an (almost) closed loop. This extensive literature review identified and categorised CE practices within all stages of the food and feed production chain in Europe to provide an overview of current and envisaged practices. Four broad macro areas were identified within which CE practices are envisaged or currently used in Europe: primary production of food and feed; reducing industrial/manufacturing/processing waste; reducing food and feed waste in wholesale, food retail, catering and households; and reducing food and feed packaging waste. In each macro area, there were a variety of practices of interest regarding emerging risk to plant, animal, human health and the environment.","container-title":"EFSA Supporting Publications","DOI":"10.2903/sp.efsa.2022.EN-7226","ISSN":"23978325, 23978325","issue":"3","journalAbbreviation":"EFS3","language":"en","source":"DOI.org (CSL JSON)","title":"Food and feed safety vulnerabilities in the circular economy","URL":"https://data.europa.eu/doi/10.2903/sp.efsa.2022.EN-7226","volume":"19","author":[{"family":"James","given":"Katy"},{"family":"Millington","given":"Anthony"},{"family":"Randall","given":"Nicola"}],"accessed":{"date-parts":[["2022",3,22]]},"issued":{"date-parts":[["2022",3]]}}}],"schema":"https://github.com/citation-style-language/schema/raw/master/csl-citation.json"} </w:instrText>
      </w:r>
      <w:r>
        <w:fldChar w:fldCharType="separate"/>
      </w:r>
      <w:r w:rsidR="00682E10" w:rsidRPr="00682E10">
        <w:rPr>
          <w:rFonts w:ascii="Calibri" w:hAnsi="Calibri" w:cs="Calibri"/>
          <w:szCs w:val="24"/>
          <w:vertAlign w:val="superscript"/>
        </w:rPr>
        <w:t>18</w:t>
      </w:r>
      <w:r>
        <w:fldChar w:fldCharType="end"/>
      </w:r>
      <w:r>
        <w:t>.</w:t>
      </w:r>
    </w:p>
    <w:p w14:paraId="73778AD5" w14:textId="77777777" w:rsidR="00B959F6" w:rsidRDefault="00B959F6">
      <w:r>
        <w:br w:type="page"/>
      </w:r>
    </w:p>
    <w:p w14:paraId="0008E636" w14:textId="11E267B5" w:rsidR="00BC43E5" w:rsidRDefault="00367CAA" w:rsidP="00CE3893">
      <w:pPr>
        <w:pStyle w:val="Lgende"/>
        <w:jc w:val="left"/>
        <w:rPr>
          <w:b w:val="0"/>
          <w:i/>
        </w:rPr>
      </w:pPr>
      <w:bookmarkStart w:id="14" w:name="_Ref144720659"/>
      <w:bookmarkStart w:id="15" w:name="_Toc126143551"/>
      <w:bookmarkStart w:id="16" w:name="_Toc151967887"/>
      <w:r>
        <w:lastRenderedPageBreak/>
        <w:t>Table SI.</w:t>
      </w:r>
      <w:r w:rsidR="00BC43E5">
        <w:t xml:space="preserve"> </w:t>
      </w:r>
      <w:r>
        <w:fldChar w:fldCharType="begin"/>
      </w:r>
      <w:r>
        <w:instrText xml:space="preserve"> SEQ Table_SI. \* ARABIC </w:instrText>
      </w:r>
      <w:r>
        <w:fldChar w:fldCharType="separate"/>
      </w:r>
      <w:r w:rsidR="00F25F8C">
        <w:rPr>
          <w:noProof/>
        </w:rPr>
        <w:t>3</w:t>
      </w:r>
      <w:r>
        <w:fldChar w:fldCharType="end"/>
      </w:r>
      <w:bookmarkEnd w:id="14"/>
      <w:r w:rsidR="00BC43E5">
        <w:t xml:space="preserve"> </w:t>
      </w:r>
      <w:r w:rsidR="00BC43E5" w:rsidRPr="00D975AA">
        <w:t>– Reuse of residual biomass within food system: EU legislative background</w:t>
      </w:r>
      <w:bookmarkEnd w:id="15"/>
      <w:bookmarkEnd w:id="16"/>
    </w:p>
    <w:tbl>
      <w:tblPr>
        <w:tblStyle w:val="Tableausimple2"/>
        <w:tblW w:w="0" w:type="auto"/>
        <w:tblLook w:val="04A0" w:firstRow="1" w:lastRow="0" w:firstColumn="1" w:lastColumn="0" w:noHBand="0" w:noVBand="1"/>
      </w:tblPr>
      <w:tblGrid>
        <w:gridCol w:w="1705"/>
        <w:gridCol w:w="2836"/>
        <w:gridCol w:w="4531"/>
      </w:tblGrid>
      <w:tr w:rsidR="00BC43E5" w:rsidRPr="00B959F6" w14:paraId="13791331" w14:textId="77777777" w:rsidTr="00B959F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0744DED" w14:textId="77777777" w:rsidR="00BC43E5" w:rsidRPr="00B959F6" w:rsidRDefault="00BC43E5" w:rsidP="00D31C73">
            <w:pPr>
              <w:jc w:val="right"/>
              <w:rPr>
                <w:sz w:val="18"/>
                <w:szCs w:val="18"/>
              </w:rPr>
            </w:pPr>
            <w:r w:rsidRPr="00B959F6">
              <w:rPr>
                <w:sz w:val="18"/>
                <w:szCs w:val="18"/>
              </w:rPr>
              <w:t>Name</w:t>
            </w:r>
            <w:r w:rsidRPr="00B959F6">
              <w:rPr>
                <w:sz w:val="18"/>
                <w:szCs w:val="18"/>
                <w:vertAlign w:val="superscript"/>
              </w:rPr>
              <w:t>*</w:t>
            </w:r>
          </w:p>
        </w:tc>
        <w:tc>
          <w:tcPr>
            <w:tcW w:w="2836" w:type="dxa"/>
          </w:tcPr>
          <w:p w14:paraId="38DE72AA" w14:textId="77777777" w:rsidR="00BC43E5" w:rsidRPr="00B959F6" w:rsidRDefault="00BC43E5" w:rsidP="00D31C73">
            <w:pPr>
              <w:cnfStyle w:val="100000000000" w:firstRow="1" w:lastRow="0" w:firstColumn="0" w:lastColumn="0" w:oddVBand="0" w:evenVBand="0" w:oddHBand="0" w:evenHBand="0" w:firstRowFirstColumn="0" w:firstRowLastColumn="0" w:lastRowFirstColumn="0" w:lastRowLastColumn="0"/>
              <w:rPr>
                <w:sz w:val="18"/>
                <w:szCs w:val="18"/>
              </w:rPr>
            </w:pPr>
            <w:r w:rsidRPr="00B959F6">
              <w:rPr>
                <w:sz w:val="18"/>
                <w:szCs w:val="18"/>
              </w:rPr>
              <w:t>Official EU acts</w:t>
            </w:r>
          </w:p>
        </w:tc>
        <w:tc>
          <w:tcPr>
            <w:tcW w:w="4531" w:type="dxa"/>
          </w:tcPr>
          <w:p w14:paraId="48E1A4B8" w14:textId="77777777" w:rsidR="00BC43E5" w:rsidRPr="00B959F6" w:rsidRDefault="00BC43E5" w:rsidP="00E9442B">
            <w:pPr>
              <w:cnfStyle w:val="100000000000" w:firstRow="1" w:lastRow="0" w:firstColumn="0" w:lastColumn="0" w:oddVBand="0" w:evenVBand="0" w:oddHBand="0" w:evenHBand="0" w:firstRowFirstColumn="0" w:firstRowLastColumn="0" w:lastRowFirstColumn="0" w:lastRowLastColumn="0"/>
              <w:rPr>
                <w:i/>
                <w:sz w:val="18"/>
                <w:szCs w:val="18"/>
              </w:rPr>
            </w:pPr>
            <w:r w:rsidRPr="00B959F6">
              <w:rPr>
                <w:i/>
                <w:sz w:val="18"/>
                <w:szCs w:val="18"/>
              </w:rPr>
              <w:t>Comment</w:t>
            </w:r>
          </w:p>
        </w:tc>
      </w:tr>
      <w:tr w:rsidR="00BC43E5" w:rsidRPr="00B959F6" w14:paraId="48D87445" w14:textId="77777777" w:rsidTr="00B959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3"/>
          </w:tcPr>
          <w:p w14:paraId="26E20B4E" w14:textId="77777777" w:rsidR="00BC43E5" w:rsidRPr="00B959F6" w:rsidRDefault="00BC43E5" w:rsidP="00B959F6">
            <w:pPr>
              <w:jc w:val="center"/>
              <w:rPr>
                <w:sz w:val="18"/>
                <w:szCs w:val="18"/>
              </w:rPr>
            </w:pPr>
            <w:r w:rsidRPr="00B959F6">
              <w:rPr>
                <w:sz w:val="18"/>
                <w:szCs w:val="18"/>
              </w:rPr>
              <w:t>Waste/bioresource</w:t>
            </w:r>
          </w:p>
        </w:tc>
      </w:tr>
      <w:tr w:rsidR="00BC43E5" w:rsidRPr="00B959F6" w14:paraId="7322AF8F" w14:textId="77777777" w:rsidTr="00B959F6">
        <w:tc>
          <w:tcPr>
            <w:cnfStyle w:val="001000000000" w:firstRow="0" w:lastRow="0" w:firstColumn="1" w:lastColumn="0" w:oddVBand="0" w:evenVBand="0" w:oddHBand="0" w:evenHBand="0" w:firstRowFirstColumn="0" w:firstRowLastColumn="0" w:lastRowFirstColumn="0" w:lastRowLastColumn="0"/>
            <w:tcW w:w="0" w:type="auto"/>
          </w:tcPr>
          <w:p w14:paraId="32F1591A" w14:textId="77777777" w:rsidR="00BC43E5" w:rsidRPr="00B959F6" w:rsidRDefault="00BC43E5" w:rsidP="00D31C73">
            <w:pPr>
              <w:jc w:val="right"/>
              <w:rPr>
                <w:sz w:val="18"/>
                <w:szCs w:val="18"/>
              </w:rPr>
            </w:pPr>
            <w:r w:rsidRPr="00B959F6">
              <w:rPr>
                <w:sz w:val="18"/>
                <w:szCs w:val="18"/>
              </w:rPr>
              <w:t>Waste framework directive</w:t>
            </w:r>
          </w:p>
        </w:tc>
        <w:tc>
          <w:tcPr>
            <w:tcW w:w="2836" w:type="dxa"/>
          </w:tcPr>
          <w:p w14:paraId="6FF412B5" w14:textId="77777777" w:rsidR="00BC43E5" w:rsidRPr="00B959F6" w:rsidRDefault="00BC43E5"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Directive 2008/98/CE, modified by Directive EU 2018/851</w:t>
            </w:r>
          </w:p>
        </w:tc>
        <w:tc>
          <w:tcPr>
            <w:tcW w:w="4531" w:type="dxa"/>
          </w:tcPr>
          <w:p w14:paraId="017EA8E9" w14:textId="77777777" w:rsidR="00BC43E5" w:rsidRPr="00B959F6" w:rsidRDefault="00BC43E5"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r w:rsidRPr="00B959F6">
              <w:rPr>
                <w:i/>
                <w:sz w:val="18"/>
                <w:szCs w:val="18"/>
              </w:rPr>
              <w:t>Terminology and categorization harmonization. Sets the rules for “</w:t>
            </w:r>
            <w:r w:rsidRPr="00B959F6">
              <w:rPr>
                <w:b/>
                <w:i/>
                <w:sz w:val="18"/>
                <w:szCs w:val="18"/>
              </w:rPr>
              <w:t>end-of-waste</w:t>
            </w:r>
            <w:r w:rsidRPr="00B959F6">
              <w:rPr>
                <w:i/>
                <w:sz w:val="18"/>
                <w:szCs w:val="18"/>
              </w:rPr>
              <w:t>” status as well as waste management hierarchy and responsibility in the EU</w:t>
            </w:r>
          </w:p>
        </w:tc>
      </w:tr>
      <w:tr w:rsidR="00BC43E5" w:rsidRPr="00B959F6" w14:paraId="655A1AA9" w14:textId="77777777" w:rsidTr="00B959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4B5F4A5" w14:textId="77777777" w:rsidR="00BC43E5" w:rsidRPr="00B959F6" w:rsidRDefault="00BC43E5" w:rsidP="00D31C73">
            <w:pPr>
              <w:jc w:val="right"/>
              <w:rPr>
                <w:sz w:val="18"/>
                <w:szCs w:val="18"/>
              </w:rPr>
            </w:pPr>
            <w:r w:rsidRPr="00B959F6">
              <w:rPr>
                <w:sz w:val="18"/>
                <w:szCs w:val="18"/>
              </w:rPr>
              <w:t>List of waste</w:t>
            </w:r>
          </w:p>
        </w:tc>
        <w:tc>
          <w:tcPr>
            <w:tcW w:w="2836" w:type="dxa"/>
          </w:tcPr>
          <w:p w14:paraId="237707FA" w14:textId="77777777" w:rsidR="00BC43E5" w:rsidRPr="00B959F6" w:rsidRDefault="00BC43E5"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Decision 200/532/EC, amended by Decision 2014/955/EU</w:t>
            </w:r>
          </w:p>
        </w:tc>
        <w:tc>
          <w:tcPr>
            <w:tcW w:w="4531" w:type="dxa"/>
          </w:tcPr>
          <w:p w14:paraId="2879D7D7" w14:textId="77777777" w:rsidR="00BC43E5" w:rsidRPr="00B959F6" w:rsidRDefault="00BC43E5"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B959F6">
              <w:rPr>
                <w:i/>
                <w:sz w:val="18"/>
                <w:szCs w:val="18"/>
              </w:rPr>
              <w:t>Harmonized and classified list of materials labelled as waste in the EU</w:t>
            </w:r>
          </w:p>
        </w:tc>
      </w:tr>
      <w:tr w:rsidR="00BC43E5" w:rsidRPr="00B959F6" w14:paraId="1CFB183C" w14:textId="77777777" w:rsidTr="00B959F6">
        <w:tc>
          <w:tcPr>
            <w:cnfStyle w:val="001000000000" w:firstRow="0" w:lastRow="0" w:firstColumn="1" w:lastColumn="0" w:oddVBand="0" w:evenVBand="0" w:oddHBand="0" w:evenHBand="0" w:firstRowFirstColumn="0" w:firstRowLastColumn="0" w:lastRowFirstColumn="0" w:lastRowLastColumn="0"/>
            <w:tcW w:w="0" w:type="auto"/>
          </w:tcPr>
          <w:p w14:paraId="4CBDB124" w14:textId="77777777" w:rsidR="00BC43E5" w:rsidRPr="00B959F6" w:rsidRDefault="00BC43E5" w:rsidP="00D31C73">
            <w:pPr>
              <w:jc w:val="right"/>
              <w:rPr>
                <w:sz w:val="18"/>
                <w:szCs w:val="18"/>
              </w:rPr>
            </w:pPr>
            <w:r w:rsidRPr="00B959F6">
              <w:rPr>
                <w:sz w:val="18"/>
                <w:szCs w:val="18"/>
              </w:rPr>
              <w:t>Circular economy action plan</w:t>
            </w:r>
          </w:p>
        </w:tc>
        <w:tc>
          <w:tcPr>
            <w:tcW w:w="2836" w:type="dxa"/>
          </w:tcPr>
          <w:p w14:paraId="24419390" w14:textId="77777777" w:rsidR="00BC43E5" w:rsidRPr="00B959F6" w:rsidRDefault="00BC43E5"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 xml:space="preserve">Communication </w:t>
            </w:r>
            <w:proofErr w:type="gramStart"/>
            <w:r w:rsidRPr="00B959F6">
              <w:rPr>
                <w:sz w:val="18"/>
                <w:szCs w:val="18"/>
              </w:rPr>
              <w:t>COM(</w:t>
            </w:r>
            <w:proofErr w:type="gramEnd"/>
            <w:r w:rsidRPr="00B959F6">
              <w:rPr>
                <w:sz w:val="18"/>
                <w:szCs w:val="18"/>
              </w:rPr>
              <w:t>2020) 98</w:t>
            </w:r>
          </w:p>
        </w:tc>
        <w:tc>
          <w:tcPr>
            <w:tcW w:w="4531" w:type="dxa"/>
          </w:tcPr>
          <w:p w14:paraId="02C6BADB" w14:textId="77777777" w:rsidR="00BC43E5" w:rsidRPr="00B959F6" w:rsidRDefault="00BC43E5"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r w:rsidRPr="00B959F6">
              <w:rPr>
                <w:i/>
                <w:sz w:val="18"/>
                <w:szCs w:val="18"/>
              </w:rPr>
              <w:t>Part of the EU Green Deal, present next priorities for legislation including the enhancement of waste policies, circularities and markets for secondary raw materials</w:t>
            </w:r>
          </w:p>
        </w:tc>
      </w:tr>
      <w:tr w:rsidR="00BC43E5" w:rsidRPr="00B959F6" w14:paraId="3818FD32" w14:textId="77777777" w:rsidTr="00B959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3"/>
          </w:tcPr>
          <w:p w14:paraId="67DD83DF" w14:textId="77777777" w:rsidR="00BC43E5" w:rsidRPr="00B959F6" w:rsidRDefault="00BC43E5" w:rsidP="00B959F6">
            <w:pPr>
              <w:jc w:val="center"/>
              <w:rPr>
                <w:sz w:val="18"/>
                <w:szCs w:val="18"/>
              </w:rPr>
            </w:pPr>
            <w:r w:rsidRPr="00B959F6">
              <w:rPr>
                <w:sz w:val="18"/>
                <w:szCs w:val="18"/>
              </w:rPr>
              <w:t>Human food</w:t>
            </w:r>
          </w:p>
        </w:tc>
      </w:tr>
      <w:tr w:rsidR="00BC43E5" w:rsidRPr="00B959F6" w14:paraId="4AEAE0E1" w14:textId="77777777" w:rsidTr="00B959F6">
        <w:tc>
          <w:tcPr>
            <w:cnfStyle w:val="001000000000" w:firstRow="0" w:lastRow="0" w:firstColumn="1" w:lastColumn="0" w:oddVBand="0" w:evenVBand="0" w:oddHBand="0" w:evenHBand="0" w:firstRowFirstColumn="0" w:firstRowLastColumn="0" w:lastRowFirstColumn="0" w:lastRowLastColumn="0"/>
            <w:tcW w:w="0" w:type="auto"/>
          </w:tcPr>
          <w:p w14:paraId="31B63251" w14:textId="77777777" w:rsidR="00BC43E5" w:rsidRPr="00B959F6" w:rsidRDefault="00BC43E5" w:rsidP="00D31C73">
            <w:pPr>
              <w:jc w:val="right"/>
              <w:rPr>
                <w:sz w:val="18"/>
                <w:szCs w:val="18"/>
              </w:rPr>
            </w:pPr>
            <w:r w:rsidRPr="00B959F6">
              <w:rPr>
                <w:sz w:val="18"/>
                <w:szCs w:val="18"/>
              </w:rPr>
              <w:t>General food law</w:t>
            </w:r>
          </w:p>
        </w:tc>
        <w:tc>
          <w:tcPr>
            <w:tcW w:w="2836" w:type="dxa"/>
          </w:tcPr>
          <w:p w14:paraId="35B52E62" w14:textId="77777777" w:rsidR="00BC43E5" w:rsidRPr="00B959F6" w:rsidRDefault="00BC43E5"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Regulation EU 2002/178</w:t>
            </w:r>
          </w:p>
        </w:tc>
        <w:tc>
          <w:tcPr>
            <w:tcW w:w="4531" w:type="dxa"/>
          </w:tcPr>
          <w:p w14:paraId="02C14118" w14:textId="77777777" w:rsidR="00BC43E5" w:rsidRPr="00B959F6" w:rsidRDefault="00BC43E5"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r w:rsidRPr="00B959F6">
              <w:rPr>
                <w:i/>
                <w:sz w:val="18"/>
                <w:szCs w:val="18"/>
              </w:rPr>
              <w:t>Framework and requirements to control food chain’s products (including supplements) and safety, creates the EFSA and mentions need of “</w:t>
            </w:r>
            <w:r w:rsidRPr="00B959F6">
              <w:rPr>
                <w:b/>
                <w:i/>
                <w:sz w:val="18"/>
                <w:szCs w:val="18"/>
              </w:rPr>
              <w:t>farm-to-fork</w:t>
            </w:r>
            <w:r w:rsidRPr="00B959F6">
              <w:rPr>
                <w:i/>
                <w:sz w:val="18"/>
                <w:szCs w:val="18"/>
              </w:rPr>
              <w:t>” assessments</w:t>
            </w:r>
          </w:p>
        </w:tc>
      </w:tr>
      <w:tr w:rsidR="00BC43E5" w:rsidRPr="00B959F6" w14:paraId="1BE368FF" w14:textId="77777777" w:rsidTr="00B959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FC1E332" w14:textId="77777777" w:rsidR="00BC43E5" w:rsidRPr="00B959F6" w:rsidRDefault="00BC43E5" w:rsidP="00D31C73">
            <w:pPr>
              <w:jc w:val="right"/>
              <w:rPr>
                <w:sz w:val="18"/>
                <w:szCs w:val="18"/>
              </w:rPr>
            </w:pPr>
            <w:r w:rsidRPr="00B959F6">
              <w:rPr>
                <w:sz w:val="18"/>
                <w:szCs w:val="18"/>
              </w:rPr>
              <w:t>Novel foods regulation</w:t>
            </w:r>
          </w:p>
        </w:tc>
        <w:tc>
          <w:tcPr>
            <w:tcW w:w="2836" w:type="dxa"/>
          </w:tcPr>
          <w:p w14:paraId="3C35BC46" w14:textId="77777777" w:rsidR="00BC43E5" w:rsidRPr="00B959F6" w:rsidRDefault="00BC43E5"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Regulation EU 2011/1169 amended by Regulation EU 2015/2283</w:t>
            </w:r>
          </w:p>
        </w:tc>
        <w:tc>
          <w:tcPr>
            <w:tcW w:w="4531" w:type="dxa"/>
          </w:tcPr>
          <w:p w14:paraId="74848B5D" w14:textId="77777777" w:rsidR="00BC43E5" w:rsidRPr="00B959F6" w:rsidRDefault="00BC43E5"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B959F6">
              <w:rPr>
                <w:i/>
                <w:sz w:val="18"/>
                <w:szCs w:val="18"/>
              </w:rPr>
              <w:t>Ensure food safety of novel products intended for human consumption, based on case-by-case EFSA risk assessments. Set a single list of novel food authorized in EU markets, the “</w:t>
            </w:r>
            <w:r w:rsidRPr="00B959F6">
              <w:rPr>
                <w:b/>
                <w:i/>
                <w:sz w:val="18"/>
                <w:szCs w:val="18"/>
              </w:rPr>
              <w:t>Novel food catalogue</w:t>
            </w:r>
            <w:r w:rsidRPr="00B959F6">
              <w:rPr>
                <w:i/>
                <w:sz w:val="18"/>
                <w:szCs w:val="18"/>
              </w:rPr>
              <w:t>”</w:t>
            </w:r>
          </w:p>
        </w:tc>
      </w:tr>
      <w:tr w:rsidR="00BC43E5" w:rsidRPr="00B959F6" w14:paraId="6DD878BF" w14:textId="77777777" w:rsidTr="00B959F6">
        <w:tc>
          <w:tcPr>
            <w:cnfStyle w:val="001000000000" w:firstRow="0" w:lastRow="0" w:firstColumn="1" w:lastColumn="0" w:oddVBand="0" w:evenVBand="0" w:oddHBand="0" w:evenHBand="0" w:firstRowFirstColumn="0" w:firstRowLastColumn="0" w:lastRowFirstColumn="0" w:lastRowLastColumn="0"/>
            <w:tcW w:w="0" w:type="auto"/>
          </w:tcPr>
          <w:p w14:paraId="7E3FBC00" w14:textId="77777777" w:rsidR="00BC43E5" w:rsidRPr="00B959F6" w:rsidRDefault="00BC43E5" w:rsidP="00D31C73">
            <w:pPr>
              <w:jc w:val="right"/>
              <w:rPr>
                <w:sz w:val="18"/>
                <w:szCs w:val="18"/>
              </w:rPr>
            </w:pPr>
            <w:r w:rsidRPr="00B959F6">
              <w:rPr>
                <w:sz w:val="18"/>
                <w:szCs w:val="18"/>
              </w:rPr>
              <w:t>Qualified presumption of safety (QPS) list</w:t>
            </w:r>
          </w:p>
        </w:tc>
        <w:tc>
          <w:tcPr>
            <w:tcW w:w="2836" w:type="dxa"/>
          </w:tcPr>
          <w:p w14:paraId="6E1C4322" w14:textId="77777777" w:rsidR="00BC43E5" w:rsidRPr="00B959F6" w:rsidRDefault="00BC43E5"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EFSA’ scientific opinion</w:t>
            </w:r>
          </w:p>
        </w:tc>
        <w:tc>
          <w:tcPr>
            <w:tcW w:w="4531" w:type="dxa"/>
          </w:tcPr>
          <w:p w14:paraId="4D48685C" w14:textId="77777777" w:rsidR="00BC43E5" w:rsidRPr="00B959F6" w:rsidRDefault="00BC43E5"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r w:rsidRPr="00B959F6">
              <w:rPr>
                <w:i/>
                <w:sz w:val="18"/>
                <w:szCs w:val="18"/>
              </w:rPr>
              <w:t>List of microorganisms which does not raise safety concerns when integrated in food or feed formulations</w:t>
            </w:r>
          </w:p>
        </w:tc>
      </w:tr>
      <w:tr w:rsidR="00BC43E5" w:rsidRPr="00B959F6" w14:paraId="3B70AFF3" w14:textId="77777777" w:rsidTr="00B959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3"/>
          </w:tcPr>
          <w:p w14:paraId="249D23BC" w14:textId="77777777" w:rsidR="00BC43E5" w:rsidRPr="00B959F6" w:rsidRDefault="00BC43E5" w:rsidP="00B959F6">
            <w:pPr>
              <w:jc w:val="center"/>
              <w:rPr>
                <w:sz w:val="18"/>
                <w:szCs w:val="18"/>
              </w:rPr>
            </w:pPr>
            <w:r w:rsidRPr="00B959F6">
              <w:rPr>
                <w:sz w:val="18"/>
                <w:szCs w:val="18"/>
              </w:rPr>
              <w:t>Animal feed</w:t>
            </w:r>
          </w:p>
        </w:tc>
      </w:tr>
      <w:tr w:rsidR="00BC43E5" w:rsidRPr="00B959F6" w14:paraId="72C69C32" w14:textId="77777777" w:rsidTr="00B959F6">
        <w:tc>
          <w:tcPr>
            <w:cnfStyle w:val="001000000000" w:firstRow="0" w:lastRow="0" w:firstColumn="1" w:lastColumn="0" w:oddVBand="0" w:evenVBand="0" w:oddHBand="0" w:evenHBand="0" w:firstRowFirstColumn="0" w:firstRowLastColumn="0" w:lastRowFirstColumn="0" w:lastRowLastColumn="0"/>
            <w:tcW w:w="0" w:type="auto"/>
          </w:tcPr>
          <w:p w14:paraId="6D1AD025" w14:textId="77777777" w:rsidR="00BC43E5" w:rsidRPr="00B959F6" w:rsidRDefault="00BC43E5" w:rsidP="00D31C73">
            <w:pPr>
              <w:jc w:val="right"/>
              <w:rPr>
                <w:sz w:val="18"/>
                <w:szCs w:val="18"/>
              </w:rPr>
            </w:pPr>
            <w:r w:rsidRPr="00B959F6">
              <w:rPr>
                <w:sz w:val="18"/>
                <w:szCs w:val="18"/>
              </w:rPr>
              <w:t>Undesirable substance legislation</w:t>
            </w:r>
          </w:p>
        </w:tc>
        <w:tc>
          <w:tcPr>
            <w:tcW w:w="2836" w:type="dxa"/>
          </w:tcPr>
          <w:p w14:paraId="38B01799" w14:textId="77777777" w:rsidR="00BC43E5" w:rsidRPr="00B959F6" w:rsidRDefault="00BC43E5"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Directive 2002/32/EC</w:t>
            </w:r>
          </w:p>
        </w:tc>
        <w:tc>
          <w:tcPr>
            <w:tcW w:w="4531" w:type="dxa"/>
          </w:tcPr>
          <w:p w14:paraId="568621AC" w14:textId="77777777" w:rsidR="00BC43E5" w:rsidRPr="00B959F6" w:rsidRDefault="00BC43E5"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r w:rsidRPr="00B959F6">
              <w:rPr>
                <w:i/>
                <w:sz w:val="18"/>
                <w:szCs w:val="18"/>
              </w:rPr>
              <w:t>Sets maximum levels of undesirable substances in animal feed</w:t>
            </w:r>
          </w:p>
        </w:tc>
      </w:tr>
      <w:tr w:rsidR="00BC43E5" w:rsidRPr="00B959F6" w14:paraId="6480EFD0" w14:textId="77777777" w:rsidTr="00B959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8632CC4" w14:textId="77777777" w:rsidR="00BC43E5" w:rsidRPr="00B959F6" w:rsidRDefault="00BC43E5" w:rsidP="00D31C73">
            <w:pPr>
              <w:jc w:val="right"/>
              <w:rPr>
                <w:sz w:val="18"/>
                <w:szCs w:val="18"/>
              </w:rPr>
            </w:pPr>
            <w:r w:rsidRPr="00B959F6">
              <w:rPr>
                <w:sz w:val="18"/>
                <w:szCs w:val="18"/>
              </w:rPr>
              <w:t>Feed additives legislation</w:t>
            </w:r>
          </w:p>
        </w:tc>
        <w:tc>
          <w:tcPr>
            <w:tcW w:w="2836" w:type="dxa"/>
          </w:tcPr>
          <w:p w14:paraId="1FB925C2" w14:textId="77777777" w:rsidR="00BC43E5" w:rsidRPr="00B959F6" w:rsidRDefault="00BC43E5"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Regulation EC 2003/1831</w:t>
            </w:r>
          </w:p>
        </w:tc>
        <w:tc>
          <w:tcPr>
            <w:tcW w:w="4531" w:type="dxa"/>
          </w:tcPr>
          <w:p w14:paraId="1CEA530E" w14:textId="77777777" w:rsidR="00BC43E5" w:rsidRPr="00B959F6" w:rsidRDefault="00BC43E5"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B959F6">
              <w:rPr>
                <w:i/>
                <w:sz w:val="18"/>
                <w:szCs w:val="18"/>
              </w:rPr>
              <w:t xml:space="preserve">Sets procedures for animal feed additives EU markets authorization </w:t>
            </w:r>
          </w:p>
        </w:tc>
      </w:tr>
      <w:tr w:rsidR="00BC43E5" w:rsidRPr="00B959F6" w14:paraId="7E3006F5" w14:textId="77777777" w:rsidTr="00B959F6">
        <w:tc>
          <w:tcPr>
            <w:cnfStyle w:val="001000000000" w:firstRow="0" w:lastRow="0" w:firstColumn="1" w:lastColumn="0" w:oddVBand="0" w:evenVBand="0" w:oddHBand="0" w:evenHBand="0" w:firstRowFirstColumn="0" w:firstRowLastColumn="0" w:lastRowFirstColumn="0" w:lastRowLastColumn="0"/>
            <w:tcW w:w="0" w:type="auto"/>
          </w:tcPr>
          <w:p w14:paraId="417CF373" w14:textId="77777777" w:rsidR="00BC43E5" w:rsidRPr="00B959F6" w:rsidRDefault="00BC43E5" w:rsidP="00D31C73">
            <w:pPr>
              <w:jc w:val="right"/>
              <w:rPr>
                <w:sz w:val="18"/>
                <w:szCs w:val="18"/>
              </w:rPr>
            </w:pPr>
            <w:r w:rsidRPr="00B959F6">
              <w:rPr>
                <w:sz w:val="18"/>
                <w:szCs w:val="18"/>
              </w:rPr>
              <w:t>Feed hygiene regulation</w:t>
            </w:r>
          </w:p>
        </w:tc>
        <w:tc>
          <w:tcPr>
            <w:tcW w:w="2836" w:type="dxa"/>
          </w:tcPr>
          <w:p w14:paraId="71946A67" w14:textId="77777777" w:rsidR="00BC43E5" w:rsidRPr="00B959F6" w:rsidRDefault="00BC43E5"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Regulation EC 2005/183</w:t>
            </w:r>
          </w:p>
        </w:tc>
        <w:tc>
          <w:tcPr>
            <w:tcW w:w="4531" w:type="dxa"/>
          </w:tcPr>
          <w:p w14:paraId="65C2D346" w14:textId="77777777" w:rsidR="00BC43E5" w:rsidRPr="00B959F6" w:rsidRDefault="00BC43E5"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r w:rsidRPr="00B959F6">
              <w:rPr>
                <w:i/>
                <w:sz w:val="18"/>
                <w:szCs w:val="18"/>
              </w:rPr>
              <w:t>Basis for animal feed hygiene compliance and traceability</w:t>
            </w:r>
          </w:p>
        </w:tc>
      </w:tr>
      <w:tr w:rsidR="00BC43E5" w:rsidRPr="00B959F6" w14:paraId="355F129E" w14:textId="77777777" w:rsidTr="00B959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387DFBD" w14:textId="77777777" w:rsidR="00BC43E5" w:rsidRPr="00B959F6" w:rsidRDefault="00BC43E5" w:rsidP="00D31C73">
            <w:pPr>
              <w:jc w:val="right"/>
              <w:rPr>
                <w:sz w:val="18"/>
                <w:szCs w:val="18"/>
              </w:rPr>
            </w:pPr>
            <w:r w:rsidRPr="00B959F6">
              <w:rPr>
                <w:sz w:val="18"/>
                <w:szCs w:val="18"/>
              </w:rPr>
              <w:t>Feed market legislation</w:t>
            </w:r>
          </w:p>
        </w:tc>
        <w:tc>
          <w:tcPr>
            <w:tcW w:w="2836" w:type="dxa"/>
          </w:tcPr>
          <w:p w14:paraId="5E9F1D84" w14:textId="77777777" w:rsidR="00BC43E5" w:rsidRPr="00B959F6" w:rsidRDefault="00BC43E5"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Regulation EC 2009/767</w:t>
            </w:r>
          </w:p>
        </w:tc>
        <w:tc>
          <w:tcPr>
            <w:tcW w:w="4531" w:type="dxa"/>
          </w:tcPr>
          <w:p w14:paraId="193C3236" w14:textId="77777777" w:rsidR="00BC43E5" w:rsidRPr="00B959F6" w:rsidRDefault="00BC43E5"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B959F6">
              <w:rPr>
                <w:i/>
                <w:sz w:val="18"/>
                <w:szCs w:val="18"/>
              </w:rPr>
              <w:t>Harmonized framework and requirements for animal feed markets and use (safety, labelling, etc.).</w:t>
            </w:r>
          </w:p>
        </w:tc>
      </w:tr>
      <w:tr w:rsidR="00BC43E5" w:rsidRPr="00B959F6" w14:paraId="0A0286AE" w14:textId="77777777" w:rsidTr="00B959F6">
        <w:tc>
          <w:tcPr>
            <w:cnfStyle w:val="001000000000" w:firstRow="0" w:lastRow="0" w:firstColumn="1" w:lastColumn="0" w:oddVBand="0" w:evenVBand="0" w:oddHBand="0" w:evenHBand="0" w:firstRowFirstColumn="0" w:firstRowLastColumn="0" w:lastRowFirstColumn="0" w:lastRowLastColumn="0"/>
            <w:tcW w:w="0" w:type="auto"/>
          </w:tcPr>
          <w:p w14:paraId="1B59F870" w14:textId="77777777" w:rsidR="00BC43E5" w:rsidRPr="00B959F6" w:rsidRDefault="00BC43E5" w:rsidP="00D31C73">
            <w:pPr>
              <w:jc w:val="right"/>
              <w:rPr>
                <w:sz w:val="18"/>
                <w:szCs w:val="18"/>
              </w:rPr>
            </w:pPr>
            <w:r w:rsidRPr="00B959F6">
              <w:rPr>
                <w:sz w:val="18"/>
                <w:szCs w:val="18"/>
              </w:rPr>
              <w:t>Catalogue of feed materials</w:t>
            </w:r>
          </w:p>
        </w:tc>
        <w:tc>
          <w:tcPr>
            <w:tcW w:w="2836" w:type="dxa"/>
          </w:tcPr>
          <w:p w14:paraId="659CADA3" w14:textId="77777777" w:rsidR="00BC43E5" w:rsidRPr="00B959F6" w:rsidRDefault="00BC43E5"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Regulation EU 2013/68</w:t>
            </w:r>
          </w:p>
        </w:tc>
        <w:tc>
          <w:tcPr>
            <w:tcW w:w="4531" w:type="dxa"/>
          </w:tcPr>
          <w:p w14:paraId="46BE34F5" w14:textId="77777777" w:rsidR="00BC43E5" w:rsidRPr="00B959F6" w:rsidRDefault="00BC43E5"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r w:rsidRPr="00B959F6">
              <w:rPr>
                <w:i/>
                <w:sz w:val="18"/>
                <w:szCs w:val="18"/>
              </w:rPr>
              <w:t xml:space="preserve">Exhaustive list classifying names and definitions of authorized feed ingredients in the EU </w:t>
            </w:r>
          </w:p>
        </w:tc>
      </w:tr>
      <w:tr w:rsidR="00BC43E5" w:rsidRPr="00B959F6" w14:paraId="6CA43471" w14:textId="77777777" w:rsidTr="00B959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3"/>
          </w:tcPr>
          <w:p w14:paraId="1DF5755D" w14:textId="77777777" w:rsidR="00BC43E5" w:rsidRPr="00B959F6" w:rsidRDefault="00BC43E5" w:rsidP="00B959F6">
            <w:pPr>
              <w:jc w:val="center"/>
              <w:rPr>
                <w:sz w:val="18"/>
                <w:szCs w:val="18"/>
              </w:rPr>
            </w:pPr>
            <w:r w:rsidRPr="00B959F6">
              <w:rPr>
                <w:sz w:val="18"/>
                <w:szCs w:val="18"/>
              </w:rPr>
              <w:t>Fertilizer</w:t>
            </w:r>
            <w:r w:rsidRPr="00B959F6">
              <w:rPr>
                <w:sz w:val="18"/>
                <w:szCs w:val="18"/>
                <w:vertAlign w:val="superscript"/>
              </w:rPr>
              <w:t>**</w:t>
            </w:r>
          </w:p>
        </w:tc>
      </w:tr>
      <w:tr w:rsidR="00BC43E5" w:rsidRPr="00B959F6" w14:paraId="431249C1" w14:textId="77777777" w:rsidTr="00B959F6">
        <w:tc>
          <w:tcPr>
            <w:cnfStyle w:val="001000000000" w:firstRow="0" w:lastRow="0" w:firstColumn="1" w:lastColumn="0" w:oddVBand="0" w:evenVBand="0" w:oddHBand="0" w:evenHBand="0" w:firstRowFirstColumn="0" w:firstRowLastColumn="0" w:lastRowFirstColumn="0" w:lastRowLastColumn="0"/>
            <w:tcW w:w="0" w:type="auto"/>
          </w:tcPr>
          <w:p w14:paraId="727CD413" w14:textId="77777777" w:rsidR="00BC43E5" w:rsidRPr="00B959F6" w:rsidRDefault="00BC43E5" w:rsidP="00D31C73">
            <w:pPr>
              <w:jc w:val="right"/>
              <w:rPr>
                <w:sz w:val="18"/>
                <w:szCs w:val="18"/>
              </w:rPr>
            </w:pPr>
            <w:r w:rsidRPr="00B959F6">
              <w:rPr>
                <w:sz w:val="18"/>
                <w:szCs w:val="18"/>
              </w:rPr>
              <w:t>EU Fertilizing product regulation</w:t>
            </w:r>
          </w:p>
        </w:tc>
        <w:tc>
          <w:tcPr>
            <w:tcW w:w="2836" w:type="dxa"/>
          </w:tcPr>
          <w:p w14:paraId="39E0D503" w14:textId="77777777" w:rsidR="00BC43E5" w:rsidRPr="00B959F6" w:rsidRDefault="00BC43E5"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Regulation EU 2019/1009 repealing Regulation EC 2003/2003</w:t>
            </w:r>
          </w:p>
        </w:tc>
        <w:tc>
          <w:tcPr>
            <w:tcW w:w="4531" w:type="dxa"/>
          </w:tcPr>
          <w:p w14:paraId="0158B487" w14:textId="77777777" w:rsidR="00BC43E5" w:rsidRPr="00B959F6" w:rsidRDefault="00BC43E5"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r w:rsidRPr="00B959F6">
              <w:rPr>
                <w:i/>
                <w:sz w:val="18"/>
                <w:szCs w:val="18"/>
              </w:rPr>
              <w:t>Sets categories and criteria for safe inclusion of residual biomass in fertilizing products based on “</w:t>
            </w:r>
            <w:r w:rsidRPr="00B959F6">
              <w:rPr>
                <w:b/>
                <w:i/>
                <w:sz w:val="18"/>
                <w:szCs w:val="18"/>
              </w:rPr>
              <w:t>component material categories</w:t>
            </w:r>
            <w:r w:rsidRPr="00B959F6">
              <w:rPr>
                <w:i/>
                <w:sz w:val="18"/>
                <w:szCs w:val="18"/>
              </w:rPr>
              <w:t>”</w:t>
            </w:r>
          </w:p>
        </w:tc>
      </w:tr>
      <w:tr w:rsidR="00BC43E5" w:rsidRPr="00B959F6" w14:paraId="2D300B61" w14:textId="77777777" w:rsidTr="00B959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FA4391F" w14:textId="77777777" w:rsidR="00BC43E5" w:rsidRPr="00B959F6" w:rsidRDefault="00BC43E5" w:rsidP="00D31C73">
            <w:pPr>
              <w:jc w:val="right"/>
              <w:rPr>
                <w:sz w:val="18"/>
                <w:szCs w:val="18"/>
              </w:rPr>
            </w:pPr>
            <w:r w:rsidRPr="00B959F6">
              <w:rPr>
                <w:sz w:val="18"/>
                <w:szCs w:val="18"/>
              </w:rPr>
              <w:t>Sewage sludge directive</w:t>
            </w:r>
          </w:p>
        </w:tc>
        <w:tc>
          <w:tcPr>
            <w:tcW w:w="2836" w:type="dxa"/>
          </w:tcPr>
          <w:p w14:paraId="4A302E8E" w14:textId="77777777" w:rsidR="00BC43E5" w:rsidRPr="00B959F6" w:rsidRDefault="00BC43E5"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Directive 86/278/EEC</w:t>
            </w:r>
          </w:p>
        </w:tc>
        <w:tc>
          <w:tcPr>
            <w:tcW w:w="4531" w:type="dxa"/>
          </w:tcPr>
          <w:p w14:paraId="3576E4B0" w14:textId="77777777" w:rsidR="00BC43E5" w:rsidRPr="00B959F6" w:rsidRDefault="00BC43E5"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B959F6">
              <w:rPr>
                <w:i/>
                <w:sz w:val="18"/>
                <w:szCs w:val="18"/>
              </w:rPr>
              <w:t>Sets the framework for reuse of sewage sludge in agriculture</w:t>
            </w:r>
          </w:p>
        </w:tc>
      </w:tr>
      <w:tr w:rsidR="00BC43E5" w:rsidRPr="00B959F6" w14:paraId="4A5FB35B" w14:textId="77777777" w:rsidTr="00B959F6">
        <w:tc>
          <w:tcPr>
            <w:cnfStyle w:val="001000000000" w:firstRow="0" w:lastRow="0" w:firstColumn="1" w:lastColumn="0" w:oddVBand="0" w:evenVBand="0" w:oddHBand="0" w:evenHBand="0" w:firstRowFirstColumn="0" w:firstRowLastColumn="0" w:lastRowFirstColumn="0" w:lastRowLastColumn="0"/>
            <w:tcW w:w="0" w:type="auto"/>
          </w:tcPr>
          <w:p w14:paraId="2731611B" w14:textId="77777777" w:rsidR="00BC43E5" w:rsidRPr="00B959F6" w:rsidRDefault="00BC43E5" w:rsidP="00D31C73">
            <w:pPr>
              <w:jc w:val="right"/>
              <w:rPr>
                <w:sz w:val="18"/>
                <w:szCs w:val="18"/>
              </w:rPr>
            </w:pPr>
            <w:r w:rsidRPr="00B959F6">
              <w:rPr>
                <w:sz w:val="18"/>
                <w:szCs w:val="18"/>
              </w:rPr>
              <w:t>Urban wastewater treatment directive</w:t>
            </w:r>
          </w:p>
        </w:tc>
        <w:tc>
          <w:tcPr>
            <w:tcW w:w="2836" w:type="dxa"/>
          </w:tcPr>
          <w:p w14:paraId="2C670C9F" w14:textId="77777777" w:rsidR="00BC43E5" w:rsidRPr="00B959F6" w:rsidRDefault="00BC43E5"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Directive 91/271/EEC</w:t>
            </w:r>
          </w:p>
        </w:tc>
        <w:tc>
          <w:tcPr>
            <w:tcW w:w="4531" w:type="dxa"/>
          </w:tcPr>
          <w:p w14:paraId="085BF201" w14:textId="77777777" w:rsidR="00BC43E5" w:rsidRPr="00B959F6" w:rsidRDefault="00BC43E5"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r w:rsidRPr="00B959F6">
              <w:rPr>
                <w:i/>
                <w:sz w:val="18"/>
                <w:szCs w:val="18"/>
              </w:rPr>
              <w:t>Sets the framework for urban wastewater management</w:t>
            </w:r>
          </w:p>
        </w:tc>
      </w:tr>
      <w:tr w:rsidR="00BC43E5" w:rsidRPr="00B959F6" w14:paraId="7A810BBC" w14:textId="77777777" w:rsidTr="00B959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3"/>
          </w:tcPr>
          <w:p w14:paraId="54707D3A" w14:textId="77777777" w:rsidR="00BC43E5" w:rsidRPr="00B959F6" w:rsidRDefault="00BC43E5" w:rsidP="00B959F6">
            <w:pPr>
              <w:jc w:val="center"/>
              <w:rPr>
                <w:sz w:val="18"/>
                <w:szCs w:val="18"/>
              </w:rPr>
            </w:pPr>
            <w:r w:rsidRPr="00B959F6">
              <w:rPr>
                <w:sz w:val="18"/>
                <w:szCs w:val="18"/>
              </w:rPr>
              <w:t>Specific</w:t>
            </w:r>
          </w:p>
        </w:tc>
      </w:tr>
      <w:tr w:rsidR="00BC43E5" w:rsidRPr="00B959F6" w14:paraId="0B29B644" w14:textId="77777777" w:rsidTr="00B959F6">
        <w:tc>
          <w:tcPr>
            <w:cnfStyle w:val="001000000000" w:firstRow="0" w:lastRow="0" w:firstColumn="1" w:lastColumn="0" w:oddVBand="0" w:evenVBand="0" w:oddHBand="0" w:evenHBand="0" w:firstRowFirstColumn="0" w:firstRowLastColumn="0" w:lastRowFirstColumn="0" w:lastRowLastColumn="0"/>
            <w:tcW w:w="0" w:type="auto"/>
          </w:tcPr>
          <w:p w14:paraId="43AC1A31" w14:textId="77777777" w:rsidR="00BC43E5" w:rsidRPr="00B959F6" w:rsidRDefault="00BC43E5" w:rsidP="00D31C73">
            <w:pPr>
              <w:jc w:val="right"/>
              <w:rPr>
                <w:sz w:val="18"/>
                <w:szCs w:val="18"/>
              </w:rPr>
            </w:pPr>
            <w:r w:rsidRPr="00B959F6">
              <w:rPr>
                <w:sz w:val="18"/>
                <w:szCs w:val="18"/>
              </w:rPr>
              <w:t>Animal by-products regulations</w:t>
            </w:r>
          </w:p>
        </w:tc>
        <w:tc>
          <w:tcPr>
            <w:tcW w:w="2836" w:type="dxa"/>
          </w:tcPr>
          <w:p w14:paraId="3C759D0C" w14:textId="77777777" w:rsidR="00BC43E5" w:rsidRPr="00B959F6" w:rsidRDefault="00BC43E5"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Regulation EC 2009/1069 repealing Regulation EC 2002/1774. Also considered all amendments to Regulation EC 2001/999 (such as 2017/893 and 2021/1372) and Regulation EU 2011/142</w:t>
            </w:r>
          </w:p>
        </w:tc>
        <w:tc>
          <w:tcPr>
            <w:tcW w:w="4531" w:type="dxa"/>
          </w:tcPr>
          <w:p w14:paraId="0716A7A2" w14:textId="77777777" w:rsidR="00BC43E5" w:rsidRPr="00B959F6" w:rsidRDefault="00BC43E5"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r w:rsidRPr="00B959F6">
              <w:rPr>
                <w:i/>
                <w:sz w:val="18"/>
                <w:szCs w:val="18"/>
              </w:rPr>
              <w:t>Sets of regulations laying down categorization and management practices for animal by-products, particularly when it comes to reuse as food, feed or fertilizer</w:t>
            </w:r>
          </w:p>
        </w:tc>
      </w:tr>
      <w:tr w:rsidR="00BC43E5" w:rsidRPr="00B959F6" w14:paraId="0D5735AC" w14:textId="77777777" w:rsidTr="00B959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A41FBF5" w14:textId="77777777" w:rsidR="00BC43E5" w:rsidRPr="00B959F6" w:rsidRDefault="00BC43E5" w:rsidP="00D31C73">
            <w:pPr>
              <w:jc w:val="right"/>
              <w:rPr>
                <w:sz w:val="18"/>
                <w:szCs w:val="18"/>
              </w:rPr>
            </w:pPr>
            <w:r w:rsidRPr="00B959F6">
              <w:rPr>
                <w:sz w:val="18"/>
                <w:szCs w:val="18"/>
              </w:rPr>
              <w:t>Genetically modified (GM) food and feed regulation</w:t>
            </w:r>
          </w:p>
        </w:tc>
        <w:tc>
          <w:tcPr>
            <w:tcW w:w="2836" w:type="dxa"/>
          </w:tcPr>
          <w:p w14:paraId="306BDB1E" w14:textId="77777777" w:rsidR="00BC43E5" w:rsidRPr="00B959F6" w:rsidRDefault="00BC43E5"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Regulations EC 1829/2003 and 1830/2003</w:t>
            </w:r>
          </w:p>
        </w:tc>
        <w:tc>
          <w:tcPr>
            <w:tcW w:w="4531" w:type="dxa"/>
          </w:tcPr>
          <w:p w14:paraId="34C1E411" w14:textId="77777777" w:rsidR="00BC43E5" w:rsidRPr="00B959F6" w:rsidRDefault="00BC43E5"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B959F6">
              <w:rPr>
                <w:i/>
                <w:sz w:val="18"/>
                <w:szCs w:val="18"/>
              </w:rPr>
              <w:t>Sets authorization, labelling and monitoring procedures for GMOs used as food and feed</w:t>
            </w:r>
          </w:p>
        </w:tc>
      </w:tr>
    </w:tbl>
    <w:p w14:paraId="162E105C" w14:textId="310AF20A" w:rsidR="00BC43E5" w:rsidRPr="003C0285" w:rsidRDefault="00BC43E5" w:rsidP="003A0A4C">
      <w:pPr>
        <w:rPr>
          <w:sz w:val="18"/>
        </w:rPr>
      </w:pPr>
      <w:r>
        <w:rPr>
          <w:sz w:val="18"/>
        </w:rPr>
        <w:t>Non-exhaustive list of applicable EU legislation when it comes to reintroduce waste, residue or co-products directly or indirectly (as agricultural inputs) in the food chain, building on previous works by Delsignore &amp; Siddiqui., 2022</w:t>
      </w:r>
      <w:r>
        <w:rPr>
          <w:sz w:val="18"/>
        </w:rPr>
        <w:fldChar w:fldCharType="begin"/>
      </w:r>
      <w:r w:rsidR="00682E10">
        <w:rPr>
          <w:sz w:val="18"/>
        </w:rPr>
        <w:instrText xml:space="preserve"> ADDIN ZOTERO_ITEM CSL_CITATION {"citationID":"k76bNdBZ","properties":{"formattedCitation":"\\super 17\\nosupersub{}","plainCitation":"17","noteIndex":0},"citationItems":[{"id":13059,"uris":["http://zotero.org/users/6423791/items/BHXRB478"],"itemData":{"id":13059,"type":"chapter","abstract":"The action plan on the ‘circular economy’ includes a number of actions in order to target market barriers in specific sectors or materials, such as food waste. Specifically, food waste is a significant concern in Europe: it is estimated that around 100 million tonnes of food is wasted annually in the European Union (EU). Food is lost or wasted along the whole food supply chain. Food waste reduction and waste treatment therefore are key issues, even in the recent Green Deal Strategy, which aims to achieve climate neutrality by 2050 and decouple economic growth from resource use, while ensuring the long-term competitiveness of the EU and leaving no one behind. The new Waste Framework Directives try to address the problems connected with the definition and the distinguishing between waste, by-product and end of waste. The production of second raw materials from the food waste treatment process and the consequent definition of end of waste is a central issue. European Food Law establishes the rights of consumers to safe food and to accurate and honest information. Whenever the recovery operation has transformed the waste into a food stuff, those rules apply to the endof-waste new food product. The EU has progressively introduced legislation on these issues. The relevance of the different rules depends clearly on the different kinds of food stuff which has been produced by recycling the waste. In the legislative perspective there must be clear definitions of waste, by product and end-of-waste in order to invest for long term research and business programme.","container-title":"Waste to Food - Returning nutrients to the food chain","ISBN":"978-90-8686-377-8","language":"en","page":"197-208","publisher":"Wageningen Academic Publishers","source":"Zotero","title":"Chapter 8. From waste to food: legislative insights","URL":"https://www.wageningenacademic.com/doi/book/10.3920/978-90-8686-929-9","author":[{"family":"Delsignore","given":"M"},{"family":"Siddiqui","given":"S A"}],"issued":{"date-parts":[["2022"]]}}}],"schema":"https://github.com/citation-style-language/schema/raw/master/csl-citation.json"} </w:instrText>
      </w:r>
      <w:r>
        <w:rPr>
          <w:sz w:val="18"/>
        </w:rPr>
        <w:fldChar w:fldCharType="separate"/>
      </w:r>
      <w:r w:rsidR="00682E10" w:rsidRPr="00682E10">
        <w:rPr>
          <w:rFonts w:ascii="Calibri" w:hAnsi="Calibri" w:cs="Calibri"/>
          <w:sz w:val="18"/>
          <w:szCs w:val="24"/>
          <w:vertAlign w:val="superscript"/>
        </w:rPr>
        <w:t>17</w:t>
      </w:r>
      <w:r>
        <w:rPr>
          <w:sz w:val="18"/>
        </w:rPr>
        <w:fldChar w:fldCharType="end"/>
      </w:r>
      <w:r>
        <w:rPr>
          <w:sz w:val="18"/>
        </w:rPr>
        <w:t xml:space="preserve"> and James et al., 2022</w:t>
      </w:r>
      <w:r>
        <w:rPr>
          <w:sz w:val="18"/>
        </w:rPr>
        <w:fldChar w:fldCharType="begin"/>
      </w:r>
      <w:r w:rsidR="00682E10">
        <w:rPr>
          <w:sz w:val="18"/>
        </w:rPr>
        <w:instrText xml:space="preserve"> ADDIN ZOTERO_ITEM CSL_CITATION {"citationID":"oSuVgpGT","properties":{"formattedCitation":"\\super 18\\nosupersub{}","plainCitation":"18","noteIndex":0},"citationItems":[{"id":13116,"uris":["http://zotero.org/users/6423791/items/4F98PUNJ"],"itemData":{"id":13116,"type":"article-journal","abstract":"Circular economy (CE) is an approach that decouples economic activity from the consumption of finite resources, designs out waste, and instead promotes an economic model based on sharing, leasing, reuse, repair, refurbishment and recycling, in an (almost) closed loop. This extensive literature review identified and categorised CE practices within all stages of the food and feed production chain in Europe to provide an overview of current and envisaged practices. Four broad macro areas were identified within which CE practices are envisaged or currently used in Europe: primary production of food and feed; reducing industrial/manufacturing/processing waste; reducing food and feed waste in wholesale, food retail, catering and households; and reducing food and feed packaging waste. In each macro area, there were a variety of practices of interest regarding emerging risk to plant, animal, human health and the environment.","container-title":"EFSA Supporting Publications","DOI":"10.2903/sp.efsa.2022.EN-7226","ISSN":"23978325, 23978325","issue":"3","journalAbbreviation":"EFS3","language":"en","source":"DOI.org (CSL JSON)","title":"Food and feed safety vulnerabilities in the circular economy","URL":"https://data.europa.eu/doi/10.2903/sp.efsa.2022.EN-7226","volume":"19","author":[{"family":"James","given":"Katy"},{"family":"Millington","given":"Anthony"},{"family":"Randall","given":"Nicola"}],"accessed":{"date-parts":[["2022",3,22]]},"issued":{"date-parts":[["2022",3]]}}}],"schema":"https://github.com/citation-style-language/schema/raw/master/csl-citation.json"} </w:instrText>
      </w:r>
      <w:r>
        <w:rPr>
          <w:sz w:val="18"/>
        </w:rPr>
        <w:fldChar w:fldCharType="separate"/>
      </w:r>
      <w:r w:rsidR="00682E10" w:rsidRPr="00682E10">
        <w:rPr>
          <w:rFonts w:ascii="Calibri" w:hAnsi="Calibri" w:cs="Calibri"/>
          <w:sz w:val="18"/>
          <w:szCs w:val="24"/>
          <w:vertAlign w:val="superscript"/>
        </w:rPr>
        <w:t>18</w:t>
      </w:r>
      <w:r>
        <w:rPr>
          <w:sz w:val="18"/>
        </w:rPr>
        <w:fldChar w:fldCharType="end"/>
      </w:r>
      <w:r>
        <w:rPr>
          <w:sz w:val="18"/>
        </w:rPr>
        <w:t>. Subjected to changes (</w:t>
      </w:r>
      <w:r w:rsidRPr="00D84E9C">
        <w:rPr>
          <w:sz w:val="18"/>
        </w:rPr>
        <w:t xml:space="preserve">last update the </w:t>
      </w:r>
      <w:r w:rsidR="008E6FAD">
        <w:rPr>
          <w:sz w:val="18"/>
        </w:rPr>
        <w:t>12</w:t>
      </w:r>
      <w:r w:rsidRPr="00D84E9C">
        <w:rPr>
          <w:sz w:val="18"/>
        </w:rPr>
        <w:t>/</w:t>
      </w:r>
      <w:r w:rsidR="008E6FAD">
        <w:rPr>
          <w:sz w:val="18"/>
        </w:rPr>
        <w:t>04</w:t>
      </w:r>
      <w:r w:rsidRPr="00D84E9C">
        <w:rPr>
          <w:sz w:val="18"/>
        </w:rPr>
        <w:t>/202</w:t>
      </w:r>
      <w:r w:rsidR="008E6FAD">
        <w:rPr>
          <w:sz w:val="18"/>
        </w:rPr>
        <w:t>3</w:t>
      </w:r>
      <w:r w:rsidRPr="00D84E9C">
        <w:rPr>
          <w:sz w:val="18"/>
        </w:rPr>
        <w:t>).</w:t>
      </w:r>
      <w:r w:rsidR="003A0A4C">
        <w:rPr>
          <w:sz w:val="18"/>
        </w:rPr>
        <w:t xml:space="preserve"> </w:t>
      </w:r>
      <w:r w:rsidR="003A0A4C">
        <w:rPr>
          <w:sz w:val="18"/>
          <w:vertAlign w:val="superscript"/>
        </w:rPr>
        <w:t>*</w:t>
      </w:r>
      <w:r w:rsidR="003A0A4C">
        <w:rPr>
          <w:sz w:val="18"/>
        </w:rPr>
        <w:t xml:space="preserve">: as referred to along this study, but does not necessarily correspond to any official name of the juridical acts. </w:t>
      </w:r>
      <w:r w:rsidR="003A0A4C" w:rsidRPr="003C0285">
        <w:rPr>
          <w:sz w:val="18"/>
          <w:vertAlign w:val="superscript"/>
        </w:rPr>
        <w:t>**</w:t>
      </w:r>
      <w:r w:rsidR="003A0A4C">
        <w:rPr>
          <w:sz w:val="18"/>
        </w:rPr>
        <w:t>: more specific legislations exist at the country level.</w:t>
      </w:r>
    </w:p>
    <w:p w14:paraId="05F6F4BD" w14:textId="77777777" w:rsidR="00B959F6" w:rsidRDefault="00B959F6">
      <w:r>
        <w:br w:type="page"/>
      </w:r>
    </w:p>
    <w:p w14:paraId="3689DDC0" w14:textId="4C161380" w:rsidR="004C30BE" w:rsidRDefault="004C30BE" w:rsidP="004C30BE">
      <w:pPr>
        <w:jc w:val="both"/>
      </w:pPr>
      <w:r>
        <w:lastRenderedPageBreak/>
        <w:t xml:space="preserve">The EU legislative background framing the reuse of residual biomass and/or the production of food and feed is strongly oriented towards safety/sanitary risk prevention and transmission mitigation. For example, regarding food production, the General food law enforces constant and comprehensive risk monitoring of the full food system (i.e. the “farm-to-fork” approach) by scientific authorities (here, the European Food Safety Authority; EFSA). Similarly, the Novel food regulation enforces the implementation of exhaustive safety/sanitary assessment of every novel food aiming to enter EU markets, and the body of animal feed legislations (e.g. Feed markets legislation) fixes the conditions under which the animals intended for human consumption can be fed (e.g. maximal amount of undesirable substances, feed management practices, etc.). Finally, risks are also mitigated at the agronomic level, with regulations (e.g. the EU Fertilizing product regulation) framing the reuse of residual biomass streams as agricultural inputs. In this sense, albeit formally prohibited to be directly used as food and feed, some streams (e.g. manure, sewage sludge, etc.) can nevertheless “indirectly” enter the food chain, under specific conditions. The legislative status of the residual biomass streams assessed in this study are further </w:t>
      </w:r>
      <w:r w:rsidRPr="00D84E9C">
        <w:t>summarized in</w:t>
      </w:r>
      <w:r w:rsidR="00337E7E">
        <w:t xml:space="preserve"> </w:t>
      </w:r>
      <w:r w:rsidR="00337E7E" w:rsidRPr="00337E7E">
        <w:rPr>
          <w:b/>
        </w:rPr>
        <w:fldChar w:fldCharType="begin"/>
      </w:r>
      <w:r w:rsidR="00337E7E" w:rsidRPr="00337E7E">
        <w:rPr>
          <w:b/>
        </w:rPr>
        <w:instrText xml:space="preserve"> REF _Ref144720911 \h </w:instrText>
      </w:r>
      <w:r w:rsidR="00337E7E">
        <w:rPr>
          <w:b/>
        </w:rPr>
        <w:instrText xml:space="preserve"> \* MERGEFORMAT </w:instrText>
      </w:r>
      <w:r w:rsidR="00337E7E" w:rsidRPr="00337E7E">
        <w:rPr>
          <w:b/>
        </w:rPr>
      </w:r>
      <w:r w:rsidR="00337E7E" w:rsidRPr="00337E7E">
        <w:rPr>
          <w:b/>
        </w:rPr>
        <w:fldChar w:fldCharType="separate"/>
      </w:r>
      <w:r w:rsidR="00F25F8C" w:rsidRPr="00F25F8C">
        <w:rPr>
          <w:b/>
        </w:rPr>
        <w:t xml:space="preserve">Table SI. </w:t>
      </w:r>
      <w:r w:rsidR="00F25F8C" w:rsidRPr="00F25F8C">
        <w:rPr>
          <w:b/>
          <w:noProof/>
        </w:rPr>
        <w:t>4</w:t>
      </w:r>
      <w:r w:rsidR="00337E7E" w:rsidRPr="00337E7E">
        <w:rPr>
          <w:b/>
        </w:rPr>
        <w:fldChar w:fldCharType="end"/>
      </w:r>
      <w:r w:rsidRPr="00D84E9C">
        <w:t>.</w:t>
      </w:r>
    </w:p>
    <w:p w14:paraId="620CD40F" w14:textId="24757228" w:rsidR="004C30BE" w:rsidRDefault="00367CAA" w:rsidP="00CE3893">
      <w:pPr>
        <w:pStyle w:val="Lgende"/>
        <w:jc w:val="left"/>
        <w:rPr>
          <w:b w:val="0"/>
          <w:i/>
        </w:rPr>
      </w:pPr>
      <w:bookmarkStart w:id="17" w:name="_Ref144720911"/>
      <w:bookmarkStart w:id="18" w:name="_Toc126143552"/>
      <w:bookmarkStart w:id="19" w:name="_Toc151967888"/>
      <w:r>
        <w:t>Table SI.</w:t>
      </w:r>
      <w:r w:rsidR="004C30BE">
        <w:t xml:space="preserve"> </w:t>
      </w:r>
      <w:r>
        <w:fldChar w:fldCharType="begin"/>
      </w:r>
      <w:r>
        <w:instrText xml:space="preserve"> SEQ Table_SI. \* ARABIC </w:instrText>
      </w:r>
      <w:r>
        <w:fldChar w:fldCharType="separate"/>
      </w:r>
      <w:r w:rsidR="00F25F8C">
        <w:rPr>
          <w:noProof/>
        </w:rPr>
        <w:t>4</w:t>
      </w:r>
      <w:r>
        <w:fldChar w:fldCharType="end"/>
      </w:r>
      <w:bookmarkEnd w:id="17"/>
      <w:r w:rsidR="004C30BE">
        <w:t xml:space="preserve"> </w:t>
      </w:r>
      <w:r w:rsidR="004C30BE" w:rsidRPr="0002669B">
        <w:t>– Residual biomass legislative status: an EU overview</w:t>
      </w:r>
      <w:bookmarkEnd w:id="18"/>
      <w:bookmarkEnd w:id="19"/>
    </w:p>
    <w:tbl>
      <w:tblPr>
        <w:tblStyle w:val="Tableausimple2"/>
        <w:tblW w:w="0" w:type="auto"/>
        <w:tblLook w:val="04A0" w:firstRow="1" w:lastRow="0" w:firstColumn="1" w:lastColumn="0" w:noHBand="0" w:noVBand="1"/>
      </w:tblPr>
      <w:tblGrid>
        <w:gridCol w:w="1012"/>
        <w:gridCol w:w="1717"/>
        <w:gridCol w:w="805"/>
        <w:gridCol w:w="1079"/>
        <w:gridCol w:w="1628"/>
        <w:gridCol w:w="2831"/>
      </w:tblGrid>
      <w:tr w:rsidR="004C30BE" w:rsidRPr="00B959F6" w14:paraId="4CAC6FDF" w14:textId="77777777" w:rsidTr="00B959F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vMerge w:val="restart"/>
          </w:tcPr>
          <w:p w14:paraId="21301DF7" w14:textId="77777777" w:rsidR="004C30BE" w:rsidRPr="00B959F6" w:rsidRDefault="004C30BE" w:rsidP="00B959F6">
            <w:pPr>
              <w:jc w:val="right"/>
              <w:rPr>
                <w:sz w:val="18"/>
                <w:szCs w:val="18"/>
              </w:rPr>
            </w:pPr>
            <w:r w:rsidRPr="00B959F6">
              <w:rPr>
                <w:sz w:val="18"/>
                <w:szCs w:val="18"/>
              </w:rPr>
              <w:t>Residual biomass sub-categories</w:t>
            </w:r>
          </w:p>
        </w:tc>
        <w:tc>
          <w:tcPr>
            <w:tcW w:w="0" w:type="auto"/>
            <w:gridSpan w:val="3"/>
          </w:tcPr>
          <w:p w14:paraId="4DFA5064" w14:textId="77777777" w:rsidR="004C30BE" w:rsidRPr="00B959F6" w:rsidRDefault="004C30BE" w:rsidP="00B959F6">
            <w:pPr>
              <w:jc w:val="center"/>
              <w:cnfStyle w:val="100000000000" w:firstRow="1" w:lastRow="0" w:firstColumn="0" w:lastColumn="0" w:oddVBand="0" w:evenVBand="0" w:oddHBand="0" w:evenHBand="0" w:firstRowFirstColumn="0" w:firstRowLastColumn="0" w:lastRowFirstColumn="0" w:lastRowLastColumn="0"/>
              <w:rPr>
                <w:sz w:val="18"/>
                <w:szCs w:val="18"/>
              </w:rPr>
            </w:pPr>
            <w:r w:rsidRPr="00B959F6">
              <w:rPr>
                <w:sz w:val="18"/>
                <w:szCs w:val="18"/>
              </w:rPr>
              <w:t>Legislative status</w:t>
            </w:r>
          </w:p>
        </w:tc>
        <w:tc>
          <w:tcPr>
            <w:tcW w:w="0" w:type="auto"/>
            <w:vMerge w:val="restart"/>
          </w:tcPr>
          <w:p w14:paraId="16EAE6FF" w14:textId="77777777" w:rsidR="004C30BE" w:rsidRPr="00B959F6" w:rsidRDefault="004C30BE" w:rsidP="00E9442B">
            <w:pPr>
              <w:cnfStyle w:val="100000000000" w:firstRow="1" w:lastRow="0" w:firstColumn="0" w:lastColumn="0" w:oddVBand="0" w:evenVBand="0" w:oddHBand="0" w:evenHBand="0" w:firstRowFirstColumn="0" w:firstRowLastColumn="0" w:lastRowFirstColumn="0" w:lastRowLastColumn="0"/>
              <w:rPr>
                <w:i/>
                <w:sz w:val="18"/>
                <w:szCs w:val="18"/>
              </w:rPr>
            </w:pPr>
            <w:r w:rsidRPr="00B959F6">
              <w:rPr>
                <w:i/>
                <w:sz w:val="18"/>
                <w:szCs w:val="18"/>
              </w:rPr>
              <w:t>Comment</w:t>
            </w:r>
          </w:p>
        </w:tc>
      </w:tr>
      <w:tr w:rsidR="004C30BE" w:rsidRPr="00B959F6" w14:paraId="6A68C216" w14:textId="77777777" w:rsidTr="00B959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vMerge/>
          </w:tcPr>
          <w:p w14:paraId="0E4C9070" w14:textId="77777777" w:rsidR="004C30BE" w:rsidRPr="00B959F6" w:rsidRDefault="004C30BE" w:rsidP="00D31C73">
            <w:pPr>
              <w:rPr>
                <w:sz w:val="18"/>
                <w:szCs w:val="18"/>
              </w:rPr>
            </w:pPr>
          </w:p>
        </w:tc>
        <w:tc>
          <w:tcPr>
            <w:tcW w:w="805" w:type="dxa"/>
          </w:tcPr>
          <w:p w14:paraId="2A4DC4AC"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b/>
                <w:sz w:val="18"/>
                <w:szCs w:val="18"/>
              </w:rPr>
            </w:pPr>
            <w:r w:rsidRPr="00B959F6">
              <w:rPr>
                <w:b/>
                <w:sz w:val="18"/>
                <w:szCs w:val="18"/>
              </w:rPr>
              <w:t xml:space="preserve">Waste </w:t>
            </w:r>
            <w:r w:rsidRPr="00B959F6">
              <w:rPr>
                <w:b/>
                <w:sz w:val="18"/>
                <w:szCs w:val="18"/>
                <w:vertAlign w:val="superscript"/>
              </w:rPr>
              <w:t>a</w:t>
            </w:r>
          </w:p>
        </w:tc>
        <w:tc>
          <w:tcPr>
            <w:tcW w:w="1079" w:type="dxa"/>
          </w:tcPr>
          <w:p w14:paraId="047EC5DE"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b/>
                <w:sz w:val="18"/>
                <w:szCs w:val="18"/>
              </w:rPr>
            </w:pPr>
            <w:r w:rsidRPr="00B959F6">
              <w:rPr>
                <w:b/>
                <w:sz w:val="18"/>
                <w:szCs w:val="18"/>
              </w:rPr>
              <w:t xml:space="preserve">Fertilizer </w:t>
            </w:r>
            <w:r w:rsidRPr="00B959F6">
              <w:rPr>
                <w:b/>
                <w:sz w:val="18"/>
                <w:szCs w:val="18"/>
                <w:vertAlign w:val="superscript"/>
              </w:rPr>
              <w:t>b</w:t>
            </w:r>
          </w:p>
        </w:tc>
        <w:tc>
          <w:tcPr>
            <w:tcW w:w="0" w:type="auto"/>
          </w:tcPr>
          <w:p w14:paraId="0E797ECA"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b/>
                <w:sz w:val="18"/>
                <w:szCs w:val="18"/>
              </w:rPr>
            </w:pPr>
            <w:r w:rsidRPr="00B959F6">
              <w:rPr>
                <w:b/>
                <w:sz w:val="18"/>
                <w:szCs w:val="18"/>
              </w:rPr>
              <w:t xml:space="preserve">Feed </w:t>
            </w:r>
            <w:r w:rsidRPr="00B959F6">
              <w:rPr>
                <w:b/>
                <w:sz w:val="18"/>
                <w:szCs w:val="18"/>
                <w:vertAlign w:val="superscript"/>
              </w:rPr>
              <w:t>c</w:t>
            </w:r>
          </w:p>
        </w:tc>
        <w:tc>
          <w:tcPr>
            <w:tcW w:w="0" w:type="auto"/>
            <w:vMerge/>
          </w:tcPr>
          <w:p w14:paraId="6601B424"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b/>
                <w:i/>
                <w:sz w:val="18"/>
                <w:szCs w:val="18"/>
              </w:rPr>
            </w:pPr>
          </w:p>
        </w:tc>
      </w:tr>
      <w:tr w:rsidR="004C30BE" w:rsidRPr="00B959F6" w14:paraId="7E392172" w14:textId="77777777" w:rsidTr="00B959F6">
        <w:tc>
          <w:tcPr>
            <w:cnfStyle w:val="001000000000" w:firstRow="0" w:lastRow="0" w:firstColumn="1" w:lastColumn="0" w:oddVBand="0" w:evenVBand="0" w:oddHBand="0" w:evenHBand="0" w:firstRowFirstColumn="0" w:firstRowLastColumn="0" w:lastRowFirstColumn="0" w:lastRowLastColumn="0"/>
            <w:tcW w:w="0" w:type="auto"/>
            <w:gridSpan w:val="2"/>
          </w:tcPr>
          <w:p w14:paraId="4FEAAD3E" w14:textId="77777777" w:rsidR="004C30BE" w:rsidRPr="00B959F6" w:rsidRDefault="004C30BE" w:rsidP="00D31C73">
            <w:pPr>
              <w:jc w:val="right"/>
              <w:rPr>
                <w:sz w:val="18"/>
                <w:szCs w:val="18"/>
              </w:rPr>
            </w:pPr>
            <w:r w:rsidRPr="00B959F6">
              <w:rPr>
                <w:sz w:val="18"/>
                <w:szCs w:val="18"/>
              </w:rPr>
              <w:t>Primary forestry residues</w:t>
            </w:r>
          </w:p>
        </w:tc>
        <w:tc>
          <w:tcPr>
            <w:tcW w:w="805" w:type="dxa"/>
          </w:tcPr>
          <w:p w14:paraId="790508E6" w14:textId="77777777" w:rsidR="004C30BE" w:rsidRPr="00B959F6" w:rsidRDefault="004C30BE"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x</w:t>
            </w:r>
          </w:p>
        </w:tc>
        <w:tc>
          <w:tcPr>
            <w:tcW w:w="1079" w:type="dxa"/>
          </w:tcPr>
          <w:p w14:paraId="5133568A" w14:textId="77777777" w:rsidR="004C30BE" w:rsidRPr="00B959F6" w:rsidRDefault="004C30BE"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No</w:t>
            </w:r>
          </w:p>
        </w:tc>
        <w:tc>
          <w:tcPr>
            <w:tcW w:w="0" w:type="auto"/>
          </w:tcPr>
          <w:p w14:paraId="398BD70E" w14:textId="77777777" w:rsidR="004C30BE" w:rsidRPr="00B959F6" w:rsidRDefault="004C30BE"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x</w:t>
            </w:r>
          </w:p>
        </w:tc>
        <w:tc>
          <w:tcPr>
            <w:tcW w:w="0" w:type="auto"/>
          </w:tcPr>
          <w:p w14:paraId="44C615A5" w14:textId="77777777" w:rsidR="004C30BE" w:rsidRPr="00B959F6" w:rsidRDefault="004C30BE"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r w:rsidRPr="00B959F6">
              <w:rPr>
                <w:i/>
                <w:sz w:val="18"/>
                <w:szCs w:val="18"/>
              </w:rPr>
              <w:t>both waste &amp; feed-grade</w:t>
            </w:r>
          </w:p>
        </w:tc>
      </w:tr>
      <w:tr w:rsidR="004C30BE" w:rsidRPr="00B959F6" w14:paraId="28BFCB06" w14:textId="77777777" w:rsidTr="00B959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cPr>
          <w:p w14:paraId="70C50FB1" w14:textId="77777777" w:rsidR="004C30BE" w:rsidRPr="00B959F6" w:rsidRDefault="004C30BE" w:rsidP="00D31C73">
            <w:pPr>
              <w:jc w:val="right"/>
              <w:rPr>
                <w:sz w:val="18"/>
                <w:szCs w:val="18"/>
              </w:rPr>
            </w:pPr>
            <w:r w:rsidRPr="00B959F6">
              <w:rPr>
                <w:sz w:val="18"/>
                <w:szCs w:val="18"/>
              </w:rPr>
              <w:t>Pruning residues</w:t>
            </w:r>
          </w:p>
        </w:tc>
        <w:tc>
          <w:tcPr>
            <w:tcW w:w="0" w:type="auto"/>
          </w:tcPr>
          <w:p w14:paraId="52F7EE1D" w14:textId="77777777" w:rsidR="004C30BE" w:rsidRPr="00B959F6" w:rsidRDefault="004C30BE" w:rsidP="00D31C73">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B959F6">
              <w:rPr>
                <w:b/>
                <w:sz w:val="18"/>
                <w:szCs w:val="18"/>
              </w:rPr>
              <w:t>General/Hedges</w:t>
            </w:r>
          </w:p>
        </w:tc>
        <w:tc>
          <w:tcPr>
            <w:tcW w:w="805" w:type="dxa"/>
          </w:tcPr>
          <w:p w14:paraId="0C76AF45"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x</w:t>
            </w:r>
          </w:p>
        </w:tc>
        <w:tc>
          <w:tcPr>
            <w:tcW w:w="1079" w:type="dxa"/>
          </w:tcPr>
          <w:p w14:paraId="402EB0A6"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No</w:t>
            </w:r>
          </w:p>
        </w:tc>
        <w:tc>
          <w:tcPr>
            <w:tcW w:w="0" w:type="auto"/>
          </w:tcPr>
          <w:p w14:paraId="5A3BAE30"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No</w:t>
            </w:r>
          </w:p>
        </w:tc>
        <w:tc>
          <w:tcPr>
            <w:tcW w:w="0" w:type="auto"/>
          </w:tcPr>
          <w:p w14:paraId="3E965821" w14:textId="77777777" w:rsidR="004C30BE" w:rsidRPr="00B959F6" w:rsidRDefault="004C30BE"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B959F6">
              <w:rPr>
                <w:i/>
                <w:sz w:val="18"/>
                <w:szCs w:val="18"/>
              </w:rPr>
              <w:t>Direct reuse prohibited</w:t>
            </w:r>
          </w:p>
        </w:tc>
      </w:tr>
      <w:tr w:rsidR="004C30BE" w:rsidRPr="00B959F6" w14:paraId="023190B3" w14:textId="77777777" w:rsidTr="00B959F6">
        <w:tc>
          <w:tcPr>
            <w:cnfStyle w:val="001000000000" w:firstRow="0" w:lastRow="0" w:firstColumn="1" w:lastColumn="0" w:oddVBand="0" w:evenVBand="0" w:oddHBand="0" w:evenHBand="0" w:firstRowFirstColumn="0" w:firstRowLastColumn="0" w:lastRowFirstColumn="0" w:lastRowLastColumn="0"/>
            <w:tcW w:w="0" w:type="auto"/>
            <w:vMerge/>
          </w:tcPr>
          <w:p w14:paraId="60DC6145" w14:textId="77777777" w:rsidR="004C30BE" w:rsidRPr="00B959F6" w:rsidRDefault="004C30BE" w:rsidP="00D31C73">
            <w:pPr>
              <w:jc w:val="right"/>
              <w:rPr>
                <w:sz w:val="18"/>
                <w:szCs w:val="18"/>
              </w:rPr>
            </w:pPr>
          </w:p>
        </w:tc>
        <w:tc>
          <w:tcPr>
            <w:tcW w:w="0" w:type="auto"/>
          </w:tcPr>
          <w:p w14:paraId="018C87D6" w14:textId="77777777" w:rsidR="004C30BE" w:rsidRPr="00B959F6" w:rsidRDefault="004C30BE" w:rsidP="00D31C73">
            <w:pPr>
              <w:jc w:val="right"/>
              <w:cnfStyle w:val="000000000000" w:firstRow="0" w:lastRow="0" w:firstColumn="0" w:lastColumn="0" w:oddVBand="0" w:evenVBand="0" w:oddHBand="0" w:evenHBand="0" w:firstRowFirstColumn="0" w:firstRowLastColumn="0" w:lastRowFirstColumn="0" w:lastRowLastColumn="0"/>
              <w:rPr>
                <w:b/>
                <w:sz w:val="18"/>
                <w:szCs w:val="18"/>
              </w:rPr>
            </w:pPr>
            <w:r w:rsidRPr="00B959F6">
              <w:rPr>
                <w:b/>
                <w:sz w:val="18"/>
                <w:szCs w:val="18"/>
              </w:rPr>
              <w:t>Vineyards/Orchards</w:t>
            </w:r>
          </w:p>
        </w:tc>
        <w:tc>
          <w:tcPr>
            <w:tcW w:w="805" w:type="dxa"/>
          </w:tcPr>
          <w:p w14:paraId="0743C236" w14:textId="77777777" w:rsidR="004C30BE" w:rsidRPr="00B959F6" w:rsidRDefault="004C30BE" w:rsidP="00D31C73">
            <w:pPr>
              <w:cnfStyle w:val="000000000000" w:firstRow="0" w:lastRow="0" w:firstColumn="0" w:lastColumn="0" w:oddVBand="0" w:evenVBand="0" w:oddHBand="0" w:evenHBand="0" w:firstRowFirstColumn="0" w:firstRowLastColumn="0" w:lastRowFirstColumn="0" w:lastRowLastColumn="0"/>
              <w:rPr>
                <w:sz w:val="18"/>
                <w:szCs w:val="18"/>
              </w:rPr>
            </w:pPr>
          </w:p>
        </w:tc>
        <w:tc>
          <w:tcPr>
            <w:tcW w:w="1079" w:type="dxa"/>
          </w:tcPr>
          <w:p w14:paraId="4D7E3E33" w14:textId="77777777" w:rsidR="004C30BE" w:rsidRPr="00B959F6" w:rsidRDefault="004C30BE" w:rsidP="00D31C73">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7F2512C9" w14:textId="77777777" w:rsidR="004C30BE" w:rsidRPr="00B959F6" w:rsidRDefault="004C30BE" w:rsidP="00D31C73">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4C4EB2E3" w14:textId="77777777" w:rsidR="004C30BE" w:rsidRPr="00B959F6" w:rsidRDefault="004C30BE"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r w:rsidRPr="00B959F6">
              <w:rPr>
                <w:i/>
                <w:sz w:val="18"/>
                <w:szCs w:val="18"/>
              </w:rPr>
              <w:t>Nowhere mentioned</w:t>
            </w:r>
          </w:p>
        </w:tc>
      </w:tr>
      <w:tr w:rsidR="004C30BE" w:rsidRPr="00B959F6" w14:paraId="6786F769" w14:textId="77777777" w:rsidTr="00B959F6">
        <w:trPr>
          <w:cnfStyle w:val="000000100000" w:firstRow="0" w:lastRow="0" w:firstColumn="0" w:lastColumn="0" w:oddVBand="0" w:evenVBand="0" w:oddHBand="1" w:evenHBand="0" w:firstRowFirstColumn="0" w:firstRowLastColumn="0" w:lastRowFirstColumn="0" w:lastRowLastColumn="0"/>
          <w:trHeight w:val="640"/>
        </w:trPr>
        <w:tc>
          <w:tcPr>
            <w:cnfStyle w:val="001000000000" w:firstRow="0" w:lastRow="0" w:firstColumn="1" w:lastColumn="0" w:oddVBand="0" w:evenVBand="0" w:oddHBand="0" w:evenHBand="0" w:firstRowFirstColumn="0" w:firstRowLastColumn="0" w:lastRowFirstColumn="0" w:lastRowLastColumn="0"/>
            <w:tcW w:w="0" w:type="auto"/>
            <w:gridSpan w:val="2"/>
          </w:tcPr>
          <w:p w14:paraId="4288DB86" w14:textId="77777777" w:rsidR="004C30BE" w:rsidRPr="00B959F6" w:rsidRDefault="004C30BE" w:rsidP="00D31C73">
            <w:pPr>
              <w:jc w:val="right"/>
              <w:rPr>
                <w:sz w:val="18"/>
                <w:szCs w:val="18"/>
              </w:rPr>
            </w:pPr>
            <w:r w:rsidRPr="00B959F6">
              <w:rPr>
                <w:sz w:val="18"/>
                <w:szCs w:val="18"/>
              </w:rPr>
              <w:t>Wood-processing waste</w:t>
            </w:r>
          </w:p>
        </w:tc>
        <w:tc>
          <w:tcPr>
            <w:tcW w:w="805" w:type="dxa"/>
          </w:tcPr>
          <w:p w14:paraId="175A7BE0"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x</w:t>
            </w:r>
          </w:p>
        </w:tc>
        <w:tc>
          <w:tcPr>
            <w:tcW w:w="1079" w:type="dxa"/>
          </w:tcPr>
          <w:p w14:paraId="054F02D7"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No</w:t>
            </w:r>
          </w:p>
        </w:tc>
        <w:tc>
          <w:tcPr>
            <w:tcW w:w="0" w:type="auto"/>
          </w:tcPr>
          <w:p w14:paraId="432CAA01"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No</w:t>
            </w:r>
          </w:p>
        </w:tc>
        <w:tc>
          <w:tcPr>
            <w:tcW w:w="0" w:type="auto"/>
          </w:tcPr>
          <w:p w14:paraId="2382AF2C" w14:textId="77777777" w:rsidR="004C30BE" w:rsidRPr="00B959F6" w:rsidRDefault="004C30BE"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B959F6">
              <w:rPr>
                <w:i/>
                <w:sz w:val="18"/>
                <w:szCs w:val="18"/>
              </w:rPr>
              <w:t>Direct reuse prohibited (exception if untreated)</w:t>
            </w:r>
          </w:p>
        </w:tc>
      </w:tr>
      <w:tr w:rsidR="004C30BE" w:rsidRPr="00B959F6" w14:paraId="120A9535" w14:textId="77777777" w:rsidTr="00B959F6">
        <w:tc>
          <w:tcPr>
            <w:cnfStyle w:val="001000000000" w:firstRow="0" w:lastRow="0" w:firstColumn="1" w:lastColumn="0" w:oddVBand="0" w:evenVBand="0" w:oddHBand="0" w:evenHBand="0" w:firstRowFirstColumn="0" w:firstRowLastColumn="0" w:lastRowFirstColumn="0" w:lastRowLastColumn="0"/>
            <w:tcW w:w="0" w:type="auto"/>
            <w:gridSpan w:val="2"/>
          </w:tcPr>
          <w:p w14:paraId="3FCE5B79" w14:textId="77777777" w:rsidR="004C30BE" w:rsidRPr="00B959F6" w:rsidRDefault="004C30BE" w:rsidP="00D31C73">
            <w:pPr>
              <w:jc w:val="right"/>
              <w:rPr>
                <w:sz w:val="18"/>
                <w:szCs w:val="18"/>
              </w:rPr>
            </w:pPr>
            <w:r w:rsidRPr="00B959F6">
              <w:rPr>
                <w:sz w:val="18"/>
                <w:szCs w:val="18"/>
              </w:rPr>
              <w:t>Primary crop residues</w:t>
            </w:r>
          </w:p>
        </w:tc>
        <w:tc>
          <w:tcPr>
            <w:tcW w:w="805" w:type="dxa"/>
          </w:tcPr>
          <w:p w14:paraId="6A98131C" w14:textId="77777777" w:rsidR="004C30BE" w:rsidRPr="00B959F6" w:rsidRDefault="004C30BE" w:rsidP="00D31C73">
            <w:pPr>
              <w:cnfStyle w:val="000000000000" w:firstRow="0" w:lastRow="0" w:firstColumn="0" w:lastColumn="0" w:oddVBand="0" w:evenVBand="0" w:oddHBand="0" w:evenHBand="0" w:firstRowFirstColumn="0" w:firstRowLastColumn="0" w:lastRowFirstColumn="0" w:lastRowLastColumn="0"/>
              <w:rPr>
                <w:sz w:val="18"/>
                <w:szCs w:val="18"/>
              </w:rPr>
            </w:pPr>
          </w:p>
        </w:tc>
        <w:tc>
          <w:tcPr>
            <w:tcW w:w="1079" w:type="dxa"/>
          </w:tcPr>
          <w:p w14:paraId="6722176D" w14:textId="77777777" w:rsidR="004C30BE" w:rsidRPr="00B959F6" w:rsidRDefault="004C30BE"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x</w:t>
            </w:r>
          </w:p>
        </w:tc>
        <w:tc>
          <w:tcPr>
            <w:tcW w:w="0" w:type="auto"/>
          </w:tcPr>
          <w:p w14:paraId="21E98CE9" w14:textId="77777777" w:rsidR="004C30BE" w:rsidRPr="00B959F6" w:rsidRDefault="004C30BE"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x</w:t>
            </w:r>
          </w:p>
        </w:tc>
        <w:tc>
          <w:tcPr>
            <w:tcW w:w="0" w:type="auto"/>
          </w:tcPr>
          <w:p w14:paraId="17CF9818" w14:textId="77777777" w:rsidR="004C30BE" w:rsidRPr="00B959F6" w:rsidRDefault="004C30BE"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r w:rsidRPr="00B959F6">
              <w:rPr>
                <w:i/>
                <w:sz w:val="18"/>
                <w:szCs w:val="18"/>
              </w:rPr>
              <w:t>Considered feed-grade</w:t>
            </w:r>
          </w:p>
        </w:tc>
      </w:tr>
      <w:tr w:rsidR="004C30BE" w:rsidRPr="00B959F6" w14:paraId="23A2F431" w14:textId="77777777" w:rsidTr="00B959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tcPr>
          <w:p w14:paraId="3B0AC67B" w14:textId="77777777" w:rsidR="004C30BE" w:rsidRPr="00B959F6" w:rsidRDefault="004C30BE" w:rsidP="00D31C73">
            <w:pPr>
              <w:jc w:val="right"/>
              <w:rPr>
                <w:sz w:val="18"/>
                <w:szCs w:val="18"/>
              </w:rPr>
            </w:pPr>
            <w:r w:rsidRPr="00B959F6">
              <w:rPr>
                <w:sz w:val="18"/>
                <w:szCs w:val="18"/>
              </w:rPr>
              <w:t>Manure/Slurry</w:t>
            </w:r>
          </w:p>
        </w:tc>
        <w:tc>
          <w:tcPr>
            <w:tcW w:w="805" w:type="dxa"/>
          </w:tcPr>
          <w:p w14:paraId="276D2750"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x</w:t>
            </w:r>
          </w:p>
        </w:tc>
        <w:tc>
          <w:tcPr>
            <w:tcW w:w="1079" w:type="dxa"/>
          </w:tcPr>
          <w:p w14:paraId="2189FE9B"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x</w:t>
            </w:r>
          </w:p>
        </w:tc>
        <w:tc>
          <w:tcPr>
            <w:tcW w:w="0" w:type="auto"/>
          </w:tcPr>
          <w:p w14:paraId="45F95248"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No</w:t>
            </w:r>
          </w:p>
        </w:tc>
        <w:tc>
          <w:tcPr>
            <w:tcW w:w="0" w:type="auto"/>
            <w:vMerge w:val="restart"/>
          </w:tcPr>
          <w:p w14:paraId="08D6630F" w14:textId="77777777" w:rsidR="004C30BE" w:rsidRPr="00B959F6" w:rsidRDefault="004C30BE"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B959F6">
              <w:rPr>
                <w:i/>
                <w:sz w:val="18"/>
                <w:szCs w:val="18"/>
              </w:rPr>
              <w:t>Explicitly prohibited except in agronomy under controlled management plan</w:t>
            </w:r>
          </w:p>
        </w:tc>
      </w:tr>
      <w:tr w:rsidR="004C30BE" w:rsidRPr="00B959F6" w14:paraId="4708458D" w14:textId="77777777" w:rsidTr="00B959F6">
        <w:tc>
          <w:tcPr>
            <w:cnfStyle w:val="001000000000" w:firstRow="0" w:lastRow="0" w:firstColumn="1" w:lastColumn="0" w:oddVBand="0" w:evenVBand="0" w:oddHBand="0" w:evenHBand="0" w:firstRowFirstColumn="0" w:firstRowLastColumn="0" w:lastRowFirstColumn="0" w:lastRowLastColumn="0"/>
            <w:tcW w:w="0" w:type="auto"/>
            <w:gridSpan w:val="2"/>
          </w:tcPr>
          <w:p w14:paraId="3D7EC90D" w14:textId="77777777" w:rsidR="004C30BE" w:rsidRPr="00B959F6" w:rsidRDefault="004C30BE" w:rsidP="00D31C73">
            <w:pPr>
              <w:jc w:val="right"/>
              <w:rPr>
                <w:sz w:val="18"/>
                <w:szCs w:val="18"/>
              </w:rPr>
            </w:pPr>
            <w:r w:rsidRPr="00B959F6">
              <w:rPr>
                <w:sz w:val="18"/>
                <w:szCs w:val="18"/>
              </w:rPr>
              <w:t>Sludge</w:t>
            </w:r>
          </w:p>
        </w:tc>
        <w:tc>
          <w:tcPr>
            <w:tcW w:w="805" w:type="dxa"/>
          </w:tcPr>
          <w:p w14:paraId="43F3DBFA" w14:textId="77777777" w:rsidR="004C30BE" w:rsidRPr="00B959F6" w:rsidRDefault="004C30BE"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x</w:t>
            </w:r>
          </w:p>
        </w:tc>
        <w:tc>
          <w:tcPr>
            <w:tcW w:w="1079" w:type="dxa"/>
          </w:tcPr>
          <w:p w14:paraId="7D4AE101" w14:textId="77777777" w:rsidR="004C30BE" w:rsidRPr="00B959F6" w:rsidRDefault="004C30BE"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Sewage sludge directive</w:t>
            </w:r>
          </w:p>
        </w:tc>
        <w:tc>
          <w:tcPr>
            <w:tcW w:w="0" w:type="auto"/>
          </w:tcPr>
          <w:p w14:paraId="3CA6E5BD" w14:textId="77777777" w:rsidR="004C30BE" w:rsidRPr="00B959F6" w:rsidRDefault="004C30BE"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No</w:t>
            </w:r>
          </w:p>
        </w:tc>
        <w:tc>
          <w:tcPr>
            <w:tcW w:w="0" w:type="auto"/>
            <w:vMerge/>
          </w:tcPr>
          <w:p w14:paraId="69C85F98" w14:textId="77777777" w:rsidR="004C30BE" w:rsidRPr="00B959F6" w:rsidRDefault="004C30BE"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p>
        </w:tc>
      </w:tr>
      <w:tr w:rsidR="004C30BE" w:rsidRPr="00B959F6" w14:paraId="51F142C1" w14:textId="77777777" w:rsidTr="00B959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tcPr>
          <w:p w14:paraId="23610B51" w14:textId="77777777" w:rsidR="004C30BE" w:rsidRPr="00B959F6" w:rsidRDefault="004C30BE" w:rsidP="00D31C73">
            <w:pPr>
              <w:jc w:val="right"/>
              <w:rPr>
                <w:sz w:val="18"/>
                <w:szCs w:val="18"/>
              </w:rPr>
            </w:pPr>
            <w:r w:rsidRPr="00B959F6">
              <w:rPr>
                <w:sz w:val="18"/>
                <w:szCs w:val="18"/>
              </w:rPr>
              <w:t>Garden &amp; park waste</w:t>
            </w:r>
          </w:p>
        </w:tc>
        <w:tc>
          <w:tcPr>
            <w:tcW w:w="805" w:type="dxa"/>
          </w:tcPr>
          <w:p w14:paraId="5CFBD4C7"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x</w:t>
            </w:r>
          </w:p>
        </w:tc>
        <w:tc>
          <w:tcPr>
            <w:tcW w:w="1079" w:type="dxa"/>
          </w:tcPr>
          <w:p w14:paraId="441EB288"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No</w:t>
            </w:r>
          </w:p>
        </w:tc>
        <w:tc>
          <w:tcPr>
            <w:tcW w:w="0" w:type="auto"/>
          </w:tcPr>
          <w:p w14:paraId="68B3D5E2"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No</w:t>
            </w:r>
          </w:p>
        </w:tc>
        <w:tc>
          <w:tcPr>
            <w:tcW w:w="0" w:type="auto"/>
          </w:tcPr>
          <w:p w14:paraId="56212E12" w14:textId="77777777" w:rsidR="004C30BE" w:rsidRPr="00B959F6" w:rsidRDefault="004C30BE"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B959F6">
              <w:rPr>
                <w:i/>
                <w:sz w:val="18"/>
                <w:szCs w:val="18"/>
              </w:rPr>
              <w:t>Direct reuse prohibited</w:t>
            </w:r>
          </w:p>
        </w:tc>
      </w:tr>
      <w:tr w:rsidR="004C30BE" w:rsidRPr="00B959F6" w14:paraId="621E147D" w14:textId="77777777" w:rsidTr="00B959F6">
        <w:tc>
          <w:tcPr>
            <w:cnfStyle w:val="001000000000" w:firstRow="0" w:lastRow="0" w:firstColumn="1" w:lastColumn="0" w:oddVBand="0" w:evenVBand="0" w:oddHBand="0" w:evenHBand="0" w:firstRowFirstColumn="0" w:firstRowLastColumn="0" w:lastRowFirstColumn="0" w:lastRowLastColumn="0"/>
            <w:tcW w:w="0" w:type="auto"/>
            <w:gridSpan w:val="2"/>
          </w:tcPr>
          <w:p w14:paraId="2F9AB444" w14:textId="77777777" w:rsidR="004C30BE" w:rsidRPr="00B959F6" w:rsidRDefault="004C30BE" w:rsidP="00D31C73">
            <w:pPr>
              <w:jc w:val="right"/>
              <w:rPr>
                <w:sz w:val="18"/>
                <w:szCs w:val="18"/>
              </w:rPr>
            </w:pPr>
            <w:r w:rsidRPr="00B959F6">
              <w:rPr>
                <w:sz w:val="18"/>
                <w:szCs w:val="18"/>
              </w:rPr>
              <w:t>Vegetable tops</w:t>
            </w:r>
          </w:p>
        </w:tc>
        <w:tc>
          <w:tcPr>
            <w:tcW w:w="805" w:type="dxa"/>
          </w:tcPr>
          <w:p w14:paraId="5D02597C" w14:textId="77777777" w:rsidR="004C30BE" w:rsidRPr="00B959F6" w:rsidRDefault="004C30BE" w:rsidP="00D31C73">
            <w:pPr>
              <w:cnfStyle w:val="000000000000" w:firstRow="0" w:lastRow="0" w:firstColumn="0" w:lastColumn="0" w:oddVBand="0" w:evenVBand="0" w:oddHBand="0" w:evenHBand="0" w:firstRowFirstColumn="0" w:firstRowLastColumn="0" w:lastRowFirstColumn="0" w:lastRowLastColumn="0"/>
              <w:rPr>
                <w:sz w:val="18"/>
                <w:szCs w:val="18"/>
              </w:rPr>
            </w:pPr>
          </w:p>
        </w:tc>
        <w:tc>
          <w:tcPr>
            <w:tcW w:w="1079" w:type="dxa"/>
          </w:tcPr>
          <w:p w14:paraId="3E2FE082" w14:textId="77777777" w:rsidR="004C30BE" w:rsidRPr="00B959F6" w:rsidRDefault="004C30BE"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x</w:t>
            </w:r>
          </w:p>
        </w:tc>
        <w:tc>
          <w:tcPr>
            <w:tcW w:w="0" w:type="auto"/>
          </w:tcPr>
          <w:p w14:paraId="4DC4BBBC" w14:textId="77777777" w:rsidR="004C30BE" w:rsidRPr="00B959F6" w:rsidRDefault="004C30BE"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Only sugarbeet tops mentioned</w:t>
            </w:r>
          </w:p>
        </w:tc>
        <w:tc>
          <w:tcPr>
            <w:tcW w:w="0" w:type="auto"/>
          </w:tcPr>
          <w:p w14:paraId="0F62F357" w14:textId="77777777" w:rsidR="004C30BE" w:rsidRPr="00B959F6" w:rsidRDefault="004C30BE"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r w:rsidRPr="00B959F6">
              <w:rPr>
                <w:i/>
                <w:sz w:val="18"/>
                <w:szCs w:val="18"/>
              </w:rPr>
              <w:t>Considered feed-grade under conditions</w:t>
            </w:r>
          </w:p>
        </w:tc>
      </w:tr>
      <w:tr w:rsidR="004C30BE" w:rsidRPr="00B959F6" w14:paraId="49BBE032" w14:textId="77777777" w:rsidTr="00B959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tcPr>
          <w:p w14:paraId="3704EEFB" w14:textId="77777777" w:rsidR="004C30BE" w:rsidRPr="00B959F6" w:rsidRDefault="004C30BE" w:rsidP="00D31C73">
            <w:pPr>
              <w:jc w:val="right"/>
              <w:rPr>
                <w:sz w:val="18"/>
                <w:szCs w:val="18"/>
              </w:rPr>
            </w:pPr>
            <w:r w:rsidRPr="00B959F6">
              <w:rPr>
                <w:sz w:val="18"/>
                <w:szCs w:val="18"/>
              </w:rPr>
              <w:t>Municipal food waste</w:t>
            </w:r>
          </w:p>
        </w:tc>
        <w:tc>
          <w:tcPr>
            <w:tcW w:w="805" w:type="dxa"/>
          </w:tcPr>
          <w:p w14:paraId="5350D86B"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x</w:t>
            </w:r>
          </w:p>
        </w:tc>
        <w:tc>
          <w:tcPr>
            <w:tcW w:w="1079" w:type="dxa"/>
          </w:tcPr>
          <w:p w14:paraId="5F8B546A"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No</w:t>
            </w:r>
          </w:p>
        </w:tc>
        <w:tc>
          <w:tcPr>
            <w:tcW w:w="0" w:type="auto"/>
          </w:tcPr>
          <w:p w14:paraId="7F3254A6"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No</w:t>
            </w:r>
          </w:p>
        </w:tc>
        <w:tc>
          <w:tcPr>
            <w:tcW w:w="0" w:type="auto"/>
          </w:tcPr>
          <w:p w14:paraId="48E664F5" w14:textId="77777777" w:rsidR="004C30BE" w:rsidRPr="00B959F6" w:rsidRDefault="004C30BE"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B959F6">
              <w:rPr>
                <w:i/>
                <w:sz w:val="18"/>
                <w:szCs w:val="18"/>
              </w:rPr>
              <w:t>Direct reuse prohibited</w:t>
            </w:r>
          </w:p>
        </w:tc>
      </w:tr>
      <w:tr w:rsidR="004C30BE" w:rsidRPr="00B959F6" w14:paraId="3E4D6EC4" w14:textId="77777777" w:rsidTr="00B959F6">
        <w:tc>
          <w:tcPr>
            <w:cnfStyle w:val="001000000000" w:firstRow="0" w:lastRow="0" w:firstColumn="1" w:lastColumn="0" w:oddVBand="0" w:evenVBand="0" w:oddHBand="0" w:evenHBand="0" w:firstRowFirstColumn="0" w:firstRowLastColumn="0" w:lastRowFirstColumn="0" w:lastRowLastColumn="0"/>
            <w:tcW w:w="0" w:type="auto"/>
            <w:gridSpan w:val="2"/>
          </w:tcPr>
          <w:p w14:paraId="4794CC29" w14:textId="77777777" w:rsidR="004C30BE" w:rsidRPr="00B959F6" w:rsidRDefault="004C30BE" w:rsidP="00D31C73">
            <w:pPr>
              <w:jc w:val="right"/>
              <w:rPr>
                <w:sz w:val="18"/>
                <w:szCs w:val="18"/>
              </w:rPr>
            </w:pPr>
            <w:r w:rsidRPr="00B959F6">
              <w:rPr>
                <w:sz w:val="18"/>
                <w:szCs w:val="18"/>
              </w:rPr>
              <w:t>Industrial &amp; services food waste</w:t>
            </w:r>
          </w:p>
        </w:tc>
        <w:tc>
          <w:tcPr>
            <w:tcW w:w="805" w:type="dxa"/>
          </w:tcPr>
          <w:p w14:paraId="32690D3F" w14:textId="77777777" w:rsidR="004C30BE" w:rsidRPr="00B959F6" w:rsidRDefault="004C30BE"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x</w:t>
            </w:r>
          </w:p>
        </w:tc>
        <w:tc>
          <w:tcPr>
            <w:tcW w:w="1079" w:type="dxa"/>
          </w:tcPr>
          <w:p w14:paraId="032E0740" w14:textId="77777777" w:rsidR="004C30BE" w:rsidRPr="00B959F6" w:rsidRDefault="004C30BE"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No</w:t>
            </w:r>
          </w:p>
        </w:tc>
        <w:tc>
          <w:tcPr>
            <w:tcW w:w="0" w:type="auto"/>
          </w:tcPr>
          <w:p w14:paraId="17D8E22B" w14:textId="77777777" w:rsidR="004C30BE" w:rsidRPr="00B959F6" w:rsidRDefault="004C30BE"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Only catering and retail waste mentioned</w:t>
            </w:r>
          </w:p>
        </w:tc>
        <w:tc>
          <w:tcPr>
            <w:tcW w:w="0" w:type="auto"/>
          </w:tcPr>
          <w:p w14:paraId="76693CC6" w14:textId="77777777" w:rsidR="004C30BE" w:rsidRPr="00B959F6" w:rsidRDefault="004C30BE"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r w:rsidRPr="00B959F6">
              <w:rPr>
                <w:i/>
                <w:sz w:val="18"/>
                <w:szCs w:val="18"/>
              </w:rPr>
              <w:t>Both waste &amp; feed-grade. Animal by-products regulation also applies if animal products present</w:t>
            </w:r>
          </w:p>
        </w:tc>
      </w:tr>
      <w:tr w:rsidR="004C30BE" w:rsidRPr="00B959F6" w14:paraId="2C541613" w14:textId="77777777" w:rsidTr="00B959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tcPr>
          <w:p w14:paraId="3B9F3257" w14:textId="77777777" w:rsidR="004C30BE" w:rsidRPr="00B959F6" w:rsidRDefault="004C30BE" w:rsidP="00D31C73">
            <w:pPr>
              <w:jc w:val="right"/>
              <w:rPr>
                <w:sz w:val="18"/>
                <w:szCs w:val="18"/>
              </w:rPr>
            </w:pPr>
            <w:r w:rsidRPr="00B959F6">
              <w:rPr>
                <w:sz w:val="18"/>
                <w:szCs w:val="18"/>
              </w:rPr>
              <w:t>C1/C2 by-products</w:t>
            </w:r>
          </w:p>
        </w:tc>
        <w:tc>
          <w:tcPr>
            <w:tcW w:w="805" w:type="dxa"/>
          </w:tcPr>
          <w:p w14:paraId="655B04FA"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sz w:val="18"/>
                <w:szCs w:val="18"/>
              </w:rPr>
            </w:pPr>
          </w:p>
        </w:tc>
        <w:tc>
          <w:tcPr>
            <w:tcW w:w="1079" w:type="dxa"/>
          </w:tcPr>
          <w:p w14:paraId="6FDACEB2"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x</w:t>
            </w:r>
          </w:p>
        </w:tc>
        <w:tc>
          <w:tcPr>
            <w:tcW w:w="0" w:type="auto"/>
          </w:tcPr>
          <w:p w14:paraId="383887BD"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No</w:t>
            </w:r>
          </w:p>
        </w:tc>
        <w:tc>
          <w:tcPr>
            <w:tcW w:w="0" w:type="auto"/>
            <w:vMerge w:val="restart"/>
          </w:tcPr>
          <w:p w14:paraId="6BBC27E9" w14:textId="7D2CFFF7" w:rsidR="004C30BE" w:rsidRPr="00B959F6" w:rsidRDefault="004C30BE"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B959F6">
              <w:rPr>
                <w:i/>
                <w:sz w:val="18"/>
                <w:szCs w:val="18"/>
              </w:rPr>
              <w:t>Specific rules of the Animal by-products regulation (</w:t>
            </w:r>
            <w:r w:rsidRPr="00B959F6">
              <w:rPr>
                <w:b/>
                <w:i/>
                <w:sz w:val="18"/>
                <w:szCs w:val="18"/>
              </w:rPr>
              <w:t xml:space="preserve">Box </w:t>
            </w:r>
            <w:r w:rsidR="001F1730" w:rsidRPr="00B959F6">
              <w:rPr>
                <w:b/>
                <w:i/>
                <w:sz w:val="18"/>
                <w:szCs w:val="18"/>
              </w:rPr>
              <w:t>2</w:t>
            </w:r>
            <w:r w:rsidRPr="00B959F6">
              <w:rPr>
                <w:i/>
                <w:sz w:val="18"/>
                <w:szCs w:val="18"/>
              </w:rPr>
              <w:t>)</w:t>
            </w:r>
          </w:p>
        </w:tc>
      </w:tr>
      <w:tr w:rsidR="004C30BE" w:rsidRPr="00B959F6" w14:paraId="199140B7" w14:textId="77777777" w:rsidTr="00B959F6">
        <w:tc>
          <w:tcPr>
            <w:cnfStyle w:val="001000000000" w:firstRow="0" w:lastRow="0" w:firstColumn="1" w:lastColumn="0" w:oddVBand="0" w:evenVBand="0" w:oddHBand="0" w:evenHBand="0" w:firstRowFirstColumn="0" w:firstRowLastColumn="0" w:lastRowFirstColumn="0" w:lastRowLastColumn="0"/>
            <w:tcW w:w="0" w:type="auto"/>
            <w:gridSpan w:val="2"/>
          </w:tcPr>
          <w:p w14:paraId="30DF9744" w14:textId="77777777" w:rsidR="004C30BE" w:rsidRPr="00B959F6" w:rsidRDefault="004C30BE" w:rsidP="00D31C73">
            <w:pPr>
              <w:jc w:val="right"/>
              <w:rPr>
                <w:sz w:val="18"/>
                <w:szCs w:val="18"/>
              </w:rPr>
            </w:pPr>
            <w:r w:rsidRPr="00B959F6">
              <w:rPr>
                <w:sz w:val="18"/>
                <w:szCs w:val="18"/>
              </w:rPr>
              <w:t>C3 by-products</w:t>
            </w:r>
          </w:p>
        </w:tc>
        <w:tc>
          <w:tcPr>
            <w:tcW w:w="805" w:type="dxa"/>
          </w:tcPr>
          <w:p w14:paraId="0CBAE6AB" w14:textId="77777777" w:rsidR="004C30BE" w:rsidRPr="00B959F6" w:rsidRDefault="004C30BE" w:rsidP="00D31C73">
            <w:pPr>
              <w:cnfStyle w:val="000000000000" w:firstRow="0" w:lastRow="0" w:firstColumn="0" w:lastColumn="0" w:oddVBand="0" w:evenVBand="0" w:oddHBand="0" w:evenHBand="0" w:firstRowFirstColumn="0" w:firstRowLastColumn="0" w:lastRowFirstColumn="0" w:lastRowLastColumn="0"/>
              <w:rPr>
                <w:sz w:val="18"/>
                <w:szCs w:val="18"/>
              </w:rPr>
            </w:pPr>
          </w:p>
        </w:tc>
        <w:tc>
          <w:tcPr>
            <w:tcW w:w="1079" w:type="dxa"/>
          </w:tcPr>
          <w:p w14:paraId="792FF53A" w14:textId="77777777" w:rsidR="004C30BE" w:rsidRPr="00B959F6" w:rsidRDefault="004C30BE"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x</w:t>
            </w:r>
          </w:p>
        </w:tc>
        <w:tc>
          <w:tcPr>
            <w:tcW w:w="0" w:type="auto"/>
          </w:tcPr>
          <w:p w14:paraId="3FDF9A5F" w14:textId="77777777" w:rsidR="004C30BE" w:rsidRPr="00B959F6" w:rsidRDefault="004C30BE"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x</w:t>
            </w:r>
          </w:p>
        </w:tc>
        <w:tc>
          <w:tcPr>
            <w:tcW w:w="0" w:type="auto"/>
            <w:vMerge/>
          </w:tcPr>
          <w:p w14:paraId="0032025C" w14:textId="77777777" w:rsidR="004C30BE" w:rsidRPr="00B959F6" w:rsidRDefault="004C30BE"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p>
        </w:tc>
      </w:tr>
      <w:tr w:rsidR="004C30BE" w:rsidRPr="00B959F6" w14:paraId="4DE41951" w14:textId="77777777" w:rsidTr="00B959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tcPr>
          <w:p w14:paraId="746C7649" w14:textId="77777777" w:rsidR="004C30BE" w:rsidRPr="00B959F6" w:rsidRDefault="004C30BE" w:rsidP="00D31C73">
            <w:pPr>
              <w:jc w:val="right"/>
              <w:rPr>
                <w:sz w:val="18"/>
                <w:szCs w:val="18"/>
              </w:rPr>
            </w:pPr>
            <w:r w:rsidRPr="00B959F6">
              <w:rPr>
                <w:sz w:val="18"/>
                <w:szCs w:val="18"/>
              </w:rPr>
              <w:t>Agrifood co-products</w:t>
            </w:r>
          </w:p>
        </w:tc>
        <w:tc>
          <w:tcPr>
            <w:tcW w:w="805" w:type="dxa"/>
          </w:tcPr>
          <w:p w14:paraId="0002B382"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sz w:val="18"/>
                <w:szCs w:val="18"/>
              </w:rPr>
            </w:pPr>
          </w:p>
        </w:tc>
        <w:tc>
          <w:tcPr>
            <w:tcW w:w="1079" w:type="dxa"/>
          </w:tcPr>
          <w:p w14:paraId="02AD37F4"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x</w:t>
            </w:r>
          </w:p>
        </w:tc>
        <w:tc>
          <w:tcPr>
            <w:tcW w:w="0" w:type="auto"/>
          </w:tcPr>
          <w:p w14:paraId="4A48482F" w14:textId="77777777" w:rsidR="004C30BE" w:rsidRPr="00B959F6" w:rsidRDefault="004C30BE"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x</w:t>
            </w:r>
          </w:p>
        </w:tc>
        <w:tc>
          <w:tcPr>
            <w:tcW w:w="0" w:type="auto"/>
          </w:tcPr>
          <w:p w14:paraId="520611C2" w14:textId="77777777" w:rsidR="004C30BE" w:rsidRPr="00B959F6" w:rsidRDefault="004C30BE"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B959F6">
              <w:rPr>
                <w:i/>
                <w:sz w:val="18"/>
                <w:szCs w:val="18"/>
              </w:rPr>
              <w:t>Considered feed-grade</w:t>
            </w:r>
          </w:p>
        </w:tc>
      </w:tr>
    </w:tbl>
    <w:p w14:paraId="5D0C3A78" w14:textId="7B765794" w:rsidR="004C30BE" w:rsidRPr="002002ED" w:rsidRDefault="004C30BE" w:rsidP="004C30BE">
      <w:pPr>
        <w:rPr>
          <w:sz w:val="18"/>
        </w:rPr>
      </w:pPr>
      <w:r>
        <w:rPr>
          <w:sz w:val="18"/>
        </w:rPr>
        <w:t xml:space="preserve">Generic trend at the sub-category </w:t>
      </w:r>
      <w:r w:rsidRPr="00B171E5">
        <w:rPr>
          <w:sz w:val="18"/>
        </w:rPr>
        <w:t xml:space="preserve">level, </w:t>
      </w:r>
      <w:r>
        <w:rPr>
          <w:sz w:val="18"/>
        </w:rPr>
        <w:t xml:space="preserve">the reader is </w:t>
      </w:r>
      <w:r w:rsidRPr="00B171E5">
        <w:rPr>
          <w:sz w:val="18"/>
        </w:rPr>
        <w:t>refer</w:t>
      </w:r>
      <w:r>
        <w:rPr>
          <w:sz w:val="18"/>
        </w:rPr>
        <w:t>red</w:t>
      </w:r>
      <w:r w:rsidRPr="00B171E5">
        <w:rPr>
          <w:sz w:val="18"/>
        </w:rPr>
        <w:t xml:space="preserve"> to </w:t>
      </w:r>
      <w:proofErr w:type="gramStart"/>
      <w:r w:rsidRPr="00B959F6">
        <w:rPr>
          <w:i/>
          <w:sz w:val="18"/>
        </w:rPr>
        <w:t>A.Res</w:t>
      </w:r>
      <w:r w:rsidR="00B959F6" w:rsidRPr="00B959F6">
        <w:rPr>
          <w:i/>
          <w:sz w:val="18"/>
        </w:rPr>
        <w:t>ource</w:t>
      </w:r>
      <w:proofErr w:type="gramEnd"/>
      <w:r w:rsidRPr="00B959F6">
        <w:rPr>
          <w:i/>
          <w:sz w:val="18"/>
        </w:rPr>
        <w:t>_pot</w:t>
      </w:r>
      <w:r w:rsidRPr="00B171E5">
        <w:rPr>
          <w:sz w:val="18"/>
        </w:rPr>
        <w:t xml:space="preserve"> </w:t>
      </w:r>
      <w:r w:rsidR="00B959F6">
        <w:rPr>
          <w:sz w:val="18"/>
        </w:rPr>
        <w:t xml:space="preserve">spreadsheet </w:t>
      </w:r>
      <w:r w:rsidRPr="00B171E5">
        <w:rPr>
          <w:sz w:val="18"/>
        </w:rPr>
        <w:t>for stream-level details.</w:t>
      </w:r>
      <w:r w:rsidR="003A0A4C">
        <w:rPr>
          <w:sz w:val="18"/>
        </w:rPr>
        <w:t xml:space="preserve"> </w:t>
      </w:r>
      <w:r>
        <w:rPr>
          <w:sz w:val="18"/>
          <w:vertAlign w:val="superscript"/>
        </w:rPr>
        <w:t>a</w:t>
      </w:r>
      <w:r>
        <w:rPr>
          <w:sz w:val="18"/>
        </w:rPr>
        <w:t>: Mentioned in the EU List of waste. Empty if not explicitly mentioned.</w:t>
      </w:r>
      <w:r w:rsidR="003A0A4C">
        <w:rPr>
          <w:sz w:val="18"/>
        </w:rPr>
        <w:t xml:space="preserve"> </w:t>
      </w:r>
      <w:r>
        <w:rPr>
          <w:sz w:val="18"/>
          <w:vertAlign w:val="superscript"/>
        </w:rPr>
        <w:t>b</w:t>
      </w:r>
      <w:r>
        <w:rPr>
          <w:sz w:val="18"/>
        </w:rPr>
        <w:t>: Mentioned as a “component material category” in the EU Fertilizing product regulation. “No” if explicitly discarded, and empty if not explicitly mentioned.</w:t>
      </w:r>
      <w:r w:rsidR="003A0A4C">
        <w:rPr>
          <w:sz w:val="18"/>
        </w:rPr>
        <w:t xml:space="preserve"> </w:t>
      </w:r>
      <w:r>
        <w:rPr>
          <w:sz w:val="18"/>
          <w:vertAlign w:val="superscript"/>
        </w:rPr>
        <w:t>c</w:t>
      </w:r>
      <w:r>
        <w:rPr>
          <w:sz w:val="18"/>
        </w:rPr>
        <w:t>: Mentioned in the EU Catalogue of feed materials. “No” when explicitly prohibited by the Animal by-products regulation or the EU Feed market legislation. Empty if not explicitly mentioned in corresponding texts.</w:t>
      </w:r>
      <w:r>
        <w:rPr>
          <w:sz w:val="18"/>
        </w:rPr>
        <w:br/>
      </w:r>
    </w:p>
    <w:p w14:paraId="392C022F" w14:textId="2B9E4E64" w:rsidR="004C30BE" w:rsidRDefault="00337E7E" w:rsidP="004C30BE">
      <w:pPr>
        <w:jc w:val="both"/>
      </w:pPr>
      <w:r>
        <w:t xml:space="preserve">Overall, there is </w:t>
      </w:r>
      <w:r w:rsidR="004C30BE">
        <w:t>a relative consistency between the different EU legislative texts applicable to residual biomass streams</w:t>
      </w:r>
      <w:r>
        <w:t xml:space="preserve"> (</w:t>
      </w:r>
      <w:r w:rsidRPr="00337E7E">
        <w:rPr>
          <w:b/>
        </w:rPr>
        <w:fldChar w:fldCharType="begin"/>
      </w:r>
      <w:r w:rsidRPr="00337E7E">
        <w:rPr>
          <w:b/>
        </w:rPr>
        <w:instrText xml:space="preserve"> REF _Ref144720911 \h </w:instrText>
      </w:r>
      <w:r>
        <w:rPr>
          <w:b/>
        </w:rPr>
        <w:instrText xml:space="preserve"> \* MERGEFORMAT </w:instrText>
      </w:r>
      <w:r w:rsidRPr="00337E7E">
        <w:rPr>
          <w:b/>
        </w:rPr>
      </w:r>
      <w:r w:rsidRPr="00337E7E">
        <w:rPr>
          <w:b/>
        </w:rPr>
        <w:fldChar w:fldCharType="separate"/>
      </w:r>
      <w:r w:rsidR="00F25F8C" w:rsidRPr="00F25F8C">
        <w:rPr>
          <w:b/>
        </w:rPr>
        <w:t xml:space="preserve">Table SI. </w:t>
      </w:r>
      <w:r w:rsidR="00F25F8C" w:rsidRPr="00F25F8C">
        <w:rPr>
          <w:b/>
          <w:noProof/>
        </w:rPr>
        <w:t>4</w:t>
      </w:r>
      <w:r w:rsidRPr="00337E7E">
        <w:rPr>
          <w:b/>
        </w:rPr>
        <w:fldChar w:fldCharType="end"/>
      </w:r>
      <w:r>
        <w:t>)</w:t>
      </w:r>
      <w:r w:rsidR="004C30BE">
        <w:t>. As a generic trend, streams considered as feed-grade do not host the waste status and also meet requirements to be reused as agricultural inputs. On the other hand, waste streams which are not granted with a “end-of-waste” status to be reused as agricultural inputs seems to be limited to streams currently incompatible with traceability standards (e.g. from municipal origins</w:t>
      </w:r>
      <w:r w:rsidR="004C30BE">
        <w:fldChar w:fldCharType="begin"/>
      </w:r>
      <w:r w:rsidR="00682E10">
        <w:instrText xml:space="preserve"> ADDIN ZOTERO_ITEM CSL_CITATION {"citationID":"KMN1V7Xq","properties":{"formattedCitation":"\\super 19\\nosupersub{}","plainCitation":"19","noteIndex":0},"citationItems":[{"id":2934,"uris":["http://zotero.org/users/6423791/items/PXVMPUHZ"],"itemData":{"id":2934,"type":"article-journal","abstract":"Using larvae of the black soldier fly (Hermetia illucens; BSF) to convert low-value residual organic resources into high-value products like protein-rich animal feed ingredients and biofuel while managing organic waste has developed into a global industry. Considering the associated exponential increase in publications dealing with diet conversion efficiency by BSF larvae, it is timely to suggest procedures to arrive at an improved harmonization and reproducibility among studies. This means establishing protocols for describing the basic experiment design, fly colony origin, rearing procedures, reference and experimental feeding substrates, and sampling preparations including microbiota and chemical analyses. Such standardised protocols are instrumental to allow conversion efficiencies to be calculated. Some of these parameters are relatively easy to describe such as giving the origin and rearing conditions, while others are more challenging (e.g. description of microbe community). In this article we discuss and propose such procedures with the aim to arrive at standardisation of how future resource conversion studies with BSF larvae are conducted and how results are communicated.","container-title":"Journal of Insects as Food and Feed","DOI":"10.3920/JIFF2019.0004","ISSN":"2352-4588","issue":"2","journalAbbreviation":"Journal of Insects as Food and Feed","language":"en","page":"95-109","source":"DOI.org (Crossref)","title":"Standardisation of quantitative resource conversion studies with black soldier fly larvae","volume":"6","author":[{"family":"Bosch","given":"G."},{"family":"Oonincx","given":"D.G.A.B."},{"family":"Jordan","given":"H.R."},{"family":"Zhang","given":"J."},{"family":"Loon","given":"J.J.A.","non-dropping-particle":"van"},{"family":"Huis","given":"A.","non-dropping-particle":"van"},{"family":"Tomberlin","given":"J.K."}],"issued":{"date-parts":[["2020",4,8]]}}}],"schema":"https://github.com/citation-style-language/schema/raw/master/csl-citation.json"} </w:instrText>
      </w:r>
      <w:r w:rsidR="004C30BE">
        <w:fldChar w:fldCharType="separate"/>
      </w:r>
      <w:r w:rsidR="00682E10" w:rsidRPr="00682E10">
        <w:rPr>
          <w:rFonts w:ascii="Calibri" w:hAnsi="Calibri" w:cs="Calibri"/>
          <w:szCs w:val="24"/>
          <w:vertAlign w:val="superscript"/>
        </w:rPr>
        <w:t>19</w:t>
      </w:r>
      <w:r w:rsidR="004C30BE">
        <w:fldChar w:fldCharType="end"/>
      </w:r>
      <w:r w:rsidR="004C30BE">
        <w:t xml:space="preserve">). While the full detail at the individual stream level is available in the </w:t>
      </w:r>
      <w:proofErr w:type="gramStart"/>
      <w:r w:rsidR="004C30BE" w:rsidRPr="00B959F6">
        <w:rPr>
          <w:i/>
        </w:rPr>
        <w:t>A.Res</w:t>
      </w:r>
      <w:r w:rsidR="00B959F6" w:rsidRPr="00B959F6">
        <w:rPr>
          <w:i/>
        </w:rPr>
        <w:t>ource</w:t>
      </w:r>
      <w:proofErr w:type="gramEnd"/>
      <w:r w:rsidR="004C30BE" w:rsidRPr="00B959F6">
        <w:rPr>
          <w:i/>
        </w:rPr>
        <w:t>_pot</w:t>
      </w:r>
      <w:r w:rsidR="00B959F6">
        <w:t xml:space="preserve"> spreadsheet</w:t>
      </w:r>
      <w:r w:rsidR="004C30BE">
        <w:t xml:space="preserve">, there are two notable exceptions of categories which, despite being present in the EU </w:t>
      </w:r>
      <w:r w:rsidR="004C30BE">
        <w:lastRenderedPageBreak/>
        <w:t>List of waste, are also present in the Catalogue of feed materials: primary forestry residues and catering/retail food waste.</w:t>
      </w:r>
    </w:p>
    <w:p w14:paraId="6FAABA36" w14:textId="6688FE7A" w:rsidR="00C64F16" w:rsidRDefault="004C30BE" w:rsidP="00C64F16">
      <w:pPr>
        <w:jc w:val="both"/>
      </w:pPr>
      <w:r>
        <w:t>Regardless of the residual biomass categories, transversal rules also apply, such as the prohibition of fecally-contaminated material in feed formulations (Catalogue of feed materials). Similarly, many exceptions also exist as each novel (bioresource; valorization pathway) combination is individually assessed. Moreover, these principles and rules are far from being homogeneously considered worldwide, indicating the blurry lines and constantly evolving interactions between legislation, science, practice and technology development (</w:t>
      </w:r>
      <w:r w:rsidR="001F1730">
        <w:t xml:space="preserve">e.g. </w:t>
      </w:r>
      <w:r w:rsidRPr="001F1730">
        <w:rPr>
          <w:b/>
        </w:rPr>
        <w:t xml:space="preserve">Box </w:t>
      </w:r>
      <w:r w:rsidR="001F1730" w:rsidRPr="001F1730">
        <w:rPr>
          <w:b/>
        </w:rPr>
        <w:t>1</w:t>
      </w:r>
      <w:r w:rsidRPr="001F1730">
        <w:t>).</w:t>
      </w:r>
      <w:r w:rsidR="009A134C">
        <w:t xml:space="preserve"> </w:t>
      </w:r>
      <w:r w:rsidR="00C64F16">
        <w:t>In a nutshell, while the origin and initial composition of residual biomass streams strongly conditions their legal acceptability to enter the food chain, their management practices (e.g. implementation of risks clearance barriers</w:t>
      </w:r>
      <w:r w:rsidR="00C64F16">
        <w:fldChar w:fldCharType="begin"/>
      </w:r>
      <w:r w:rsidR="00682E10">
        <w:instrText xml:space="preserve"> ADDIN ZOTERO_ITEM CSL_CITATION {"citationID":"6xIqqtaV","properties":{"formattedCitation":"\\super 20\\nosupersub{}","plainCitation":"20","noteIndex":0},"citationItems":[{"id":11249,"uris":["http://zotero.org/users/6423791/items/TKJ63UIS"],"itemData":{"id":11249,"type":"article-journal","abstract":"There is an urgent need to secure global supplies in safe water and proteinaceous food in an eco-sustainable manner, as manifested from tensions in the nexus Nutrients–Energy–Water–Environment–Land. This paper is concept based and provides solutions based on resource recovery from municipal and industrial wastewater and from manure. A set of decisive factors is reviewed facilitating an attractive business case. Our key message is that a robust barrier must clear the recovered product from its original status. Besides refined inorganic fertilizers, a central role for five types of microbial protein is proposed. A resource cycling solution for the extremely confined environment of space habitation should serve as an incentive to assimilate a new user mindset. To achieve the ambitious goal of sustainable food security, the solutions suggested here need a broad implementation, hand in hand with minimizing losses along the entire fertilizer–feed–food–fork chain.","container-title":"Bioresource Technology","DOI":"10.1016/j.biortech.2016.04.094","ISSN":"0960-8524","journalAbbreviation":"Bioresour. Technol.","language":"en","page":"199-208","source":"ScienceDirect","title":"Used water and nutrients: Recovery perspectives in a ‘panta rhei’ context","title-short":"Used water and nutrients","volume":"215","author":[{"family":"Verstraete","given":"Willy"},{"family":"Clauwaert","given":"Peter"},{"family":"Vlaeminck","given":"Siegfried E."}],"issued":{"date-parts":[["2016",9,1]]}}}],"schema":"https://github.com/citation-style-language/schema/raw/master/csl-citation.json"} </w:instrText>
      </w:r>
      <w:r w:rsidR="00C64F16">
        <w:fldChar w:fldCharType="separate"/>
      </w:r>
      <w:r w:rsidR="00682E10" w:rsidRPr="00682E10">
        <w:rPr>
          <w:rFonts w:ascii="Calibri" w:hAnsi="Calibri" w:cs="Calibri"/>
          <w:szCs w:val="24"/>
          <w:vertAlign w:val="superscript"/>
        </w:rPr>
        <w:t>20</w:t>
      </w:r>
      <w:r w:rsidR="00C64F16">
        <w:fldChar w:fldCharType="end"/>
      </w:r>
      <w:r w:rsidR="00C64F16">
        <w:t>, their traceability, etc.) and final target markets</w:t>
      </w:r>
      <w:r w:rsidR="00C64F16">
        <w:fldChar w:fldCharType="begin"/>
      </w:r>
      <w:r w:rsidR="00682E10">
        <w:instrText xml:space="preserve"> ADDIN ZOTERO_ITEM CSL_CITATION {"citationID":"GMia2zs4","properties":{"formattedCitation":"\\super 17\\nosupersub{}","plainCitation":"17","noteIndex":0},"citationItems":[{"id":13059,"uris":["http://zotero.org/users/6423791/items/BHXRB478"],"itemData":{"id":13059,"type":"chapter","abstract":"The action plan on the ‘circular economy’ includes a number of actions in order to target market barriers in specific sectors or materials, such as food waste. Specifically, food waste is a significant concern in Europe: it is estimated that around 100 million tonnes of food is wasted annually in the European Union (EU). Food is lost or wasted along the whole food supply chain. Food waste reduction and waste treatment therefore are key issues, even in the recent Green Deal Strategy, which aims to achieve climate neutrality by 2050 and decouple economic growth from resource use, while ensuring the long-term competitiveness of the EU and leaving no one behind. The new Waste Framework Directives try to address the problems connected with the definition and the distinguishing between waste, by-product and end of waste. The production of second raw materials from the food waste treatment process and the consequent definition of end of waste is a central issue. European Food Law establishes the rights of consumers to safe food and to accurate and honest information. Whenever the recovery operation has transformed the waste into a food stuff, those rules apply to the endof-waste new food product. The EU has progressively introduced legislation on these issues. The relevance of the different rules depends clearly on the different kinds of food stuff which has been produced by recycling the waste. In the legislative perspective there must be clear definitions of waste, by product and end-of-waste in order to invest for long term research and business programme.","container-title":"Waste to Food - Returning nutrients to the food chain","ISBN":"978-90-8686-377-8","language":"en","page":"197-208","publisher":"Wageningen Academic Publishers","source":"Zotero","title":"Chapter 8. From waste to food: legislative insights","URL":"https://www.wageningenacademic.com/doi/book/10.3920/978-90-8686-929-9","author":[{"family":"Delsignore","given":"M"},{"family":"Siddiqui","given":"S A"}],"issued":{"date-parts":[["2022"]]}}}],"schema":"https://github.com/citation-style-language/schema/raw/master/csl-citation.json"} </w:instrText>
      </w:r>
      <w:r w:rsidR="00C64F16">
        <w:fldChar w:fldCharType="separate"/>
      </w:r>
      <w:r w:rsidR="00682E10" w:rsidRPr="00682E10">
        <w:rPr>
          <w:rFonts w:ascii="Calibri" w:hAnsi="Calibri" w:cs="Calibri"/>
          <w:szCs w:val="24"/>
          <w:vertAlign w:val="superscript"/>
        </w:rPr>
        <w:t>17</w:t>
      </w:r>
      <w:r w:rsidR="00C64F16">
        <w:fldChar w:fldCharType="end"/>
      </w:r>
      <w:r w:rsidR="00C64F16">
        <w:t xml:space="preserve"> (as agricultural input, feed or food ingredients) are also decisive factors.</w:t>
      </w:r>
    </w:p>
    <w:p w14:paraId="03B68DE0" w14:textId="77777777" w:rsidR="00C64F16" w:rsidRDefault="00C64F16" w:rsidP="009A134C">
      <w:pPr>
        <w:pStyle w:val="Titre2"/>
      </w:pPr>
      <w:bookmarkStart w:id="20" w:name="_Ref144743765"/>
      <w:bookmarkStart w:id="21" w:name="_Toc145069096"/>
      <w:r>
        <w:t>Process intensity to mitigate risk transmission</w:t>
      </w:r>
      <w:bookmarkEnd w:id="20"/>
      <w:bookmarkEnd w:id="21"/>
    </w:p>
    <w:p w14:paraId="0D6D7F5A" w14:textId="65B9CD1D" w:rsidR="00C64F16" w:rsidRDefault="00C64F16" w:rsidP="009A134C">
      <w:pPr>
        <w:ind w:firstLine="360"/>
        <w:jc w:val="both"/>
      </w:pPr>
      <w:r>
        <w:t xml:space="preserve">While none of the residual biomass streams included in the scope </w:t>
      </w:r>
      <w:r w:rsidR="009A134C">
        <w:t>were</w:t>
      </w:r>
      <w:r>
        <w:t xml:space="preserve"> labelled as hazardous waste, the whole legislation body framing their reuse builds on their potential chemical and/or biological contamination risks</w:t>
      </w:r>
      <w:r w:rsidR="009A134C">
        <w:t xml:space="preserve"> (</w:t>
      </w:r>
      <w:r w:rsidR="009A134C" w:rsidRPr="009A134C">
        <w:rPr>
          <w:b/>
        </w:rPr>
        <w:t xml:space="preserve">section </w:t>
      </w:r>
      <w:r w:rsidR="00C913E1">
        <w:rPr>
          <w:b/>
        </w:rPr>
        <w:t xml:space="preserve">SI. </w:t>
      </w:r>
      <w:r w:rsidR="009A134C" w:rsidRPr="009A134C">
        <w:rPr>
          <w:b/>
        </w:rPr>
        <w:fldChar w:fldCharType="begin"/>
      </w:r>
      <w:r w:rsidR="009A134C" w:rsidRPr="009A134C">
        <w:rPr>
          <w:b/>
        </w:rPr>
        <w:instrText xml:space="preserve"> REF _Ref144721185 \r \h </w:instrText>
      </w:r>
      <w:r w:rsidR="009A134C">
        <w:rPr>
          <w:b/>
        </w:rPr>
        <w:instrText xml:space="preserve"> \* MERGEFORMAT </w:instrText>
      </w:r>
      <w:r w:rsidR="009A134C" w:rsidRPr="009A134C">
        <w:rPr>
          <w:b/>
        </w:rPr>
      </w:r>
      <w:r w:rsidR="009A134C" w:rsidRPr="009A134C">
        <w:rPr>
          <w:b/>
        </w:rPr>
        <w:fldChar w:fldCharType="separate"/>
      </w:r>
      <w:r w:rsidR="00F25F8C">
        <w:rPr>
          <w:b/>
        </w:rPr>
        <w:t>2.1</w:t>
      </w:r>
      <w:r w:rsidR="009A134C" w:rsidRPr="009A134C">
        <w:rPr>
          <w:b/>
        </w:rPr>
        <w:fldChar w:fldCharType="end"/>
      </w:r>
      <w:r w:rsidR="009A134C">
        <w:t>)</w:t>
      </w:r>
      <w:r>
        <w:t>. The list of undesirable substances monitored in safety assessments of edible ingredients can be found elsewhere (e.g. in applicable regulations listed in</w:t>
      </w:r>
      <w:r w:rsidR="009A134C">
        <w:t xml:space="preserve"> </w:t>
      </w:r>
      <w:r w:rsidR="009A134C" w:rsidRPr="00034B1D">
        <w:rPr>
          <w:b/>
        </w:rPr>
        <w:fldChar w:fldCharType="begin"/>
      </w:r>
      <w:r w:rsidR="009A134C" w:rsidRPr="00034B1D">
        <w:rPr>
          <w:b/>
        </w:rPr>
        <w:instrText xml:space="preserve"> REF _Ref144720659 \h </w:instrText>
      </w:r>
      <w:r w:rsidR="009A134C">
        <w:rPr>
          <w:b/>
        </w:rPr>
        <w:instrText xml:space="preserve"> \* MERGEFORMAT </w:instrText>
      </w:r>
      <w:r w:rsidR="009A134C" w:rsidRPr="00034B1D">
        <w:rPr>
          <w:b/>
        </w:rPr>
      </w:r>
      <w:r w:rsidR="009A134C" w:rsidRPr="00034B1D">
        <w:rPr>
          <w:b/>
        </w:rPr>
        <w:fldChar w:fldCharType="separate"/>
      </w:r>
      <w:r w:rsidR="00F25F8C" w:rsidRPr="00F25F8C">
        <w:rPr>
          <w:b/>
        </w:rPr>
        <w:t xml:space="preserve">Table SI. </w:t>
      </w:r>
      <w:r w:rsidR="00F25F8C" w:rsidRPr="00F25F8C">
        <w:rPr>
          <w:b/>
          <w:noProof/>
        </w:rPr>
        <w:t>3</w:t>
      </w:r>
      <w:r w:rsidR="009A134C" w:rsidRPr="00034B1D">
        <w:rPr>
          <w:b/>
        </w:rPr>
        <w:fldChar w:fldCharType="end"/>
      </w:r>
      <w:r w:rsidRPr="006D2A80">
        <w:t>), an</w:t>
      </w:r>
      <w:r>
        <w:t>d include substances from atomic (e.g. heavy metals) to macromolecular or biological structures (e.g. pathogens) scales, spanning the whole panel of micropollutants, allergens, carcinogens, mycotoxins and so one</w:t>
      </w:r>
      <w:r>
        <w:fldChar w:fldCharType="begin"/>
      </w:r>
      <w:r w:rsidR="00827449">
        <w:instrText xml:space="preserve"> ADDIN ZOTERO_ITEM CSL_CITATION {"citationID":"8R5lynGP","properties":{"formattedCitation":"\\super 18,21,22\\nosupersub{}","plainCitation":"18,21,22","noteIndex":0},"citationItems":[{"id":13116,"uris":["http://zotero.org/users/6423791/items/4F98PUNJ"],"itemData":{"id":13116,"type":"article-journal","abstract":"Circular economy (CE) is an approach that decouples economic activity from the consumption of finite resources, designs out waste, and instead promotes an economic model based on sharing, leasing, reuse, repair, refurbishment and recycling, in an (almost) closed loop. This extensive literature review identified and categorised CE practices within all stages of the food and feed production chain in Europe to provide an overview of current and envisaged practices. Four broad macro areas were identified within which CE practices are envisaged or currently used in Europe: primary production of food and feed; reducing industrial/manufacturing/processing waste; reducing food and feed waste in wholesale, food retail, catering and households; and reducing food and feed packaging waste. In each macro area, there were a variety of practices of interest regarding emerging risk to plant, animal, human health and the environment.","container-title":"EFSA Supporting Publications","DOI":"10.2903/sp.efsa.2022.EN-7226","ISSN":"23978325, 23978325","issue":"3","journalAbbreviation":"EFS3","language":"en","source":"DOI.org (CSL JSON)","title":"Food and feed safety vulnerabilities in the circular economy","URL":"https://data.europa.eu/doi/10.2903/sp.efsa.2022.EN-7226","volume":"19","author":[{"family":"James","given":"Katy"},{"family":"Millington","given":"Anthony"},{"family":"Randall","given":"Nicola"}],"accessed":{"date-parts":[["2022",3,22]]},"issued":{"date-parts":[["2022",3]]}}},{"id":13063,"uris":["http://zotero.org/users/6423791/items/H49CN8W7"],"itemData":{"id":13063,"type":"article-journal","abstract":"Food security and environmental issues have become global crises that need transformative solutions. As livestock production is becoming less sustainable, alternative sources of proteins are urgently required. These include cultured meat, plant-based meat, insect protein and single-cell protein. Here, we describe the food safety aspects of these novel protein sources, in terms of their technological backgrounds, environmental impacts and the necessary regulatory framework for future mass-scale production. Briefly, cultured meat grown in fetal bovine serum-based media can be exposed to viruses or infectious prion, in addition to other safety risks associated with the use of genetic engineering. Plant-based meat may contain allergens, anti-nutrients and thermally induced carcinogens. Microbiological risks and allergens are the primary concerns associated with insect protein. Single-cell protein sources are divided into microalgae, fungi and bacteria, all of which have specific food safety risks that include toxins, allergens and high ribonucleic acid (RNA) contents. The environmental impacts of these alternative proteins can mainly be attributed to the production of growth substrates or during cultivation. Legislations related to novel food or genetic modification are the relevant regulatory framework to ensure the safety of alternative proteins. Lastly, additional studies on the food safety aspects of alternative proteins are urgently needed for providing relevant food governing authorities with sufficient data to oversee that the technological progress in this area is balanced with robust safety standards.","container-title":"Foods","DOI":"10.3390/foods10061226","ISSN":"2304-8158","issue":"6","language":"en","license":"http://creativecommons.org/licenses/by/3.0/","note":"number: 6\npublisher: Multidisciplinary Digital Publishing Institute","page":"1226","source":"www.mdpi.com","title":"Safety of Alternative Proteins: Technological, Environmental and Regulatory Aspects of Cultured Meat, Plant-Based Meat, Insect Protein and Single-Cell Protein","title-short":"Safety of Alternative Proteins","volume":"10","author":[{"family":"Hadi","given":"Joshua"},{"family":"Brightwell","given":"Gale"}],"issued":{"date-parts":[["2021",6]]}}},{"id":12862,"uris":["http://zotero.org/users/6423791/items/YGDJPK4F"],"itemData":{"id":12862,"type":"article-journal","abstract":"The concerns over food security and protein scarcity, driven by population increase and higher standards of living, have pushed scientists toward finding new protein sources. A considerable proportion of resources and agricultural lands are currently dedicated to proteinaceous feed production to raise livestock and poultry for human consumption. The 1st generation of microbial protein (MP) came into the market as land-independent proteinaceous feed for livestock and aquaculture. However, MP may be a less sustainable alternative to conventional feeds, such as soybean meal and fishmeal, because this technology currently requires natural gas and synthetic chemicals. These challenges have directed researchers toward the production of 2nd generation MP by integrating renewable energies, anaerobic digestion, nutrient recovery, biogas cleaning and upgrading, carbon-capture technologies, and fermentation. The fermentation of methane-oxidizing bacteria (MOB) and hydrogen-oxidizing bacteria (HOB), i.e., two protein rich microorganisms, has shown a great potential, on the one hand, to upcycle effluents from anaerobic digestion into protein rich biomass, and on the other hand, to be coupled to renewable energy systems under the concept of Power-to-X. This work compares various production routes for 2nd generation MP by reviewing the latest studies conducted in this context and introducing the state-of-the-art technologies, hoping that the findings can accelerate and facilitate upscaling of MP production. The results show that 2nd generation MP depends on the expansion of renewable energies. In countries with high penetration of renewable electricity, such as Nordic countries, off-peak surplus electricity can be used within MP-industry by supplying electrolytic H2, which is the driving factor for both MOB and HOB-based MP production. However, nutrient recovery technologies are the heart of the 2nd generation MP industry as they determine the process costs and quality of the final product. Although huge attempts have been made to date in this context, some bottlenecks such as immature nutrient recovery technologies, less efficient fermenters with insufficient gas-to-liquid transfer, and costly electrolytic hydrogen production and storage have hindered the scale up of MP production. Furthermore, further research into techno-economic feasibility and life cycle assessment (LCA) of coupled technologies is still needed to identify key points for improvement and thereby secure a sustainable production system.","container-title":"Renewable and Sustainable Energy Reviews","DOI":"10.1016/j.rser.2021.112041","ISSN":"1364-0321","journalAbbreviation":"Renew. Sust. Energ. Rev.","language":"en","page":"112041","source":"ScienceDirect","title":"From renewable energy to sustainable protein sources: Advancement, challenges, and future roadmaps","title-short":"From renewable energy to sustainable protein sources","volume":"157","author":[{"family":"Khoshnevisan","given":"Benyamin"},{"family":"He","given":"Li"},{"family":"Xu","given":"Mingyi"},{"family":"Valverde-Pérez","given":"Borja"},{"family":"Sillman","given":"Jani"},{"family":"Mitraka","given":"Georgia-Christina"},{"family":"Kougias","given":"Panagiotis G."},{"family":"Zhang","given":"Yifeng"},{"family":"Yan","given":"Shuiping"},{"family":"Ji","given":"Long"},{"family":"Carbajales-Dale","given":"Michael"},{"family":"Elyasi","given":"Seyedeh Nashmin"},{"family":"Marami","given":"Hadis"},{"family":"Tsapekos","given":"Panagiotis"},{"family":"Liu","given":"Hongbin"},{"family":"Angelidaki","given":"Irini"}],"issued":{"date-parts":[["2022",4,1]]}}}],"schema":"https://github.com/citation-style-language/schema/raw/master/csl-citation.json"} </w:instrText>
      </w:r>
      <w:r>
        <w:fldChar w:fldCharType="separate"/>
      </w:r>
      <w:r w:rsidR="00682E10" w:rsidRPr="00682E10">
        <w:rPr>
          <w:rFonts w:ascii="Calibri" w:hAnsi="Calibri" w:cs="Calibri"/>
          <w:szCs w:val="24"/>
          <w:vertAlign w:val="superscript"/>
        </w:rPr>
        <w:t>18,21,22</w:t>
      </w:r>
      <w:r>
        <w:fldChar w:fldCharType="end"/>
      </w:r>
      <w:r>
        <w:t>. For example, the Animal by-products regulation builds on the challenge of mitigating the risks of prions (degenerative proteins) diseases transmissions and dioxins contaminations (</w:t>
      </w:r>
      <w:r w:rsidRPr="001F1730">
        <w:rPr>
          <w:b/>
        </w:rPr>
        <w:t xml:space="preserve">Box </w:t>
      </w:r>
      <w:r w:rsidR="001F1730" w:rsidRPr="001F1730">
        <w:rPr>
          <w:b/>
        </w:rPr>
        <w:t>2</w:t>
      </w:r>
      <w:r w:rsidRPr="001F1730">
        <w:t>).</w:t>
      </w:r>
    </w:p>
    <w:p w14:paraId="3CBB6348" w14:textId="0A1BC1F6" w:rsidR="00C64F16" w:rsidRDefault="00C64F16" w:rsidP="00C64F16">
      <w:pPr>
        <w:jc w:val="both"/>
      </w:pPr>
      <w:r>
        <w:t>On the other hand, risk mitigation measures enabling reuse of residual biomasses in food systems are already existing and implemented. These build on valorization chains including processes which act as risk clearance barriers</w:t>
      </w:r>
      <w:r>
        <w:fldChar w:fldCharType="begin"/>
      </w:r>
      <w:r w:rsidR="00682E10">
        <w:instrText xml:space="preserve"> ADDIN ZOTERO_ITEM CSL_CITATION {"citationID":"TtYIvS6N","properties":{"formattedCitation":"\\super 20\\nosupersub{}","plainCitation":"20","noteIndex":0},"citationItems":[{"id":11249,"uris":["http://zotero.org/users/6423791/items/TKJ63UIS"],"itemData":{"id":11249,"type":"article-journal","abstract":"There is an urgent need to secure global supplies in safe water and proteinaceous food in an eco-sustainable manner, as manifested from tensions in the nexus Nutrients–Energy–Water–Environment–Land. This paper is concept based and provides solutions based on resource recovery from municipal and industrial wastewater and from manure. A set of decisive factors is reviewed facilitating an attractive business case. Our key message is that a robust barrier must clear the recovered product from its original status. Besides refined inorganic fertilizers, a central role for five types of microbial protein is proposed. A resource cycling solution for the extremely confined environment of space habitation should serve as an incentive to assimilate a new user mindset. To achieve the ambitious goal of sustainable food security, the solutions suggested here need a broad implementation, hand in hand with minimizing losses along the entire fertilizer–feed–food–fork chain.","container-title":"Bioresource Technology","DOI":"10.1016/j.biortech.2016.04.094","ISSN":"0960-8524","journalAbbreviation":"Bioresour. Technol.","language":"en","page":"199-208","source":"ScienceDirect","title":"Used water and nutrients: Recovery perspectives in a ‘panta rhei’ context","title-short":"Used water and nutrients","volume":"215","author":[{"family":"Verstraete","given":"Willy"},{"family":"Clauwaert","given":"Peter"},{"family":"Vlaeminck","given":"Siegfried E."}],"issued":{"date-parts":[["2016",9,1]]}}}],"schema":"https://github.com/citation-style-language/schema/raw/master/csl-citation.json"} </w:instrText>
      </w:r>
      <w:r>
        <w:fldChar w:fldCharType="separate"/>
      </w:r>
      <w:r w:rsidR="00682E10" w:rsidRPr="00682E10">
        <w:rPr>
          <w:rFonts w:ascii="Calibri" w:hAnsi="Calibri" w:cs="Calibri"/>
          <w:szCs w:val="24"/>
          <w:vertAlign w:val="superscript"/>
        </w:rPr>
        <w:t>20</w:t>
      </w:r>
      <w:r>
        <w:fldChar w:fldCharType="end"/>
      </w:r>
      <w:r>
        <w:t xml:space="preserve">. For example, biological activity risks mitigation by sterilization/hygienization heat treatments, lime treatment (e.g. of activated sludge), composting (e.g. of municipal waste) are part of the considerations enabling the reuse of corresponding treated waste as agricultural inputs in the EU (while prohibited if untreated, </w:t>
      </w:r>
      <w:r w:rsidRPr="004D542A">
        <w:t>see</w:t>
      </w:r>
      <w:r w:rsidR="007333D2">
        <w:t xml:space="preserve"> </w:t>
      </w:r>
      <w:r w:rsidR="007333D2" w:rsidRPr="00337E7E">
        <w:rPr>
          <w:b/>
        </w:rPr>
        <w:fldChar w:fldCharType="begin"/>
      </w:r>
      <w:r w:rsidR="007333D2" w:rsidRPr="00337E7E">
        <w:rPr>
          <w:b/>
        </w:rPr>
        <w:instrText xml:space="preserve"> REF _Ref144720911 \h </w:instrText>
      </w:r>
      <w:r w:rsidR="007333D2">
        <w:rPr>
          <w:b/>
        </w:rPr>
        <w:instrText xml:space="preserve"> \* MERGEFORMAT </w:instrText>
      </w:r>
      <w:r w:rsidR="007333D2" w:rsidRPr="00337E7E">
        <w:rPr>
          <w:b/>
        </w:rPr>
      </w:r>
      <w:r w:rsidR="007333D2" w:rsidRPr="00337E7E">
        <w:rPr>
          <w:b/>
        </w:rPr>
        <w:fldChar w:fldCharType="separate"/>
      </w:r>
      <w:r w:rsidR="00F25F8C" w:rsidRPr="00F25F8C">
        <w:rPr>
          <w:b/>
        </w:rPr>
        <w:t xml:space="preserve">Table SI. </w:t>
      </w:r>
      <w:r w:rsidR="00F25F8C" w:rsidRPr="00F25F8C">
        <w:rPr>
          <w:b/>
          <w:noProof/>
        </w:rPr>
        <w:t>4</w:t>
      </w:r>
      <w:r w:rsidR="007333D2" w:rsidRPr="00337E7E">
        <w:rPr>
          <w:b/>
        </w:rPr>
        <w:fldChar w:fldCharType="end"/>
      </w:r>
      <w:r w:rsidRPr="004D542A">
        <w:t>).</w:t>
      </w:r>
      <w:r>
        <w:t xml:space="preserve"> Similarly, proteolysis of animal by-products enables to mitigate prions transmission risks and participated to the slackening of eponym EU legislation in the past years</w:t>
      </w:r>
      <w:r w:rsidRPr="004D542A">
        <w:t>. As not</w:t>
      </w:r>
      <w:r>
        <w:t>ed by Verstraete et al., 2016</w:t>
      </w:r>
      <w:r>
        <w:fldChar w:fldCharType="begin"/>
      </w:r>
      <w:r w:rsidR="00682E10">
        <w:instrText xml:space="preserve"> ADDIN ZOTERO_ITEM CSL_CITATION {"citationID":"U0bHMm3L","properties":{"formattedCitation":"\\super 20\\nosupersub{}","plainCitation":"20","noteIndex":0},"citationItems":[{"id":11249,"uris":["http://zotero.org/users/6423791/items/TKJ63UIS"],"itemData":{"id":11249,"type":"article-journal","abstract":"There is an urgent need to secure global supplies in safe water and proteinaceous food in an eco-sustainable manner, as manifested from tensions in the nexus Nutrients–Energy–Water–Environment–Land. This paper is concept based and provides solutions based on resource recovery from municipal and industrial wastewater and from manure. A set of decisive factors is reviewed facilitating an attractive business case. Our key message is that a robust barrier must clear the recovered product from its original status. Besides refined inorganic fertilizers, a central role for five types of microbial protein is proposed. A resource cycling solution for the extremely confined environment of space habitation should serve as an incentive to assimilate a new user mindset. To achieve the ambitious goal of sustainable food security, the solutions suggested here need a broad implementation, hand in hand with minimizing losses along the entire fertilizer–feed–food–fork chain.","container-title":"Bioresource Technology","DOI":"10.1016/j.biortech.2016.04.094","ISSN":"0960-8524","journalAbbreviation":"Bioresour. Technol.","language":"en","page":"199-208","source":"ScienceDirect","title":"Used water and nutrients: Recovery perspectives in a ‘panta rhei’ context","title-short":"Used water and nutrients","volume":"215","author":[{"family":"Verstraete","given":"Willy"},{"family":"Clauwaert","given":"Peter"},{"family":"Vlaeminck","given":"Siegfried E."}],"issued":{"date-parts":[["2016",9,1]]}}}],"schema":"https://github.com/citation-style-language/schema/raw/master/csl-citation.json"} </w:instrText>
      </w:r>
      <w:r>
        <w:fldChar w:fldCharType="separate"/>
      </w:r>
      <w:r w:rsidR="00682E10" w:rsidRPr="00682E10">
        <w:rPr>
          <w:rFonts w:ascii="Calibri" w:hAnsi="Calibri" w:cs="Calibri"/>
          <w:szCs w:val="24"/>
          <w:vertAlign w:val="superscript"/>
        </w:rPr>
        <w:t>20</w:t>
      </w:r>
      <w:r>
        <w:fldChar w:fldCharType="end"/>
      </w:r>
      <w:r>
        <w:t>, on top of technically mitigating risks, the implementation of various process steps also establishes a relative (and subjective) “distance” between the initial input and the final product which can favor public acceptance by lowering the GIGO effect (standing for “garbage in, garbage out”)</w:t>
      </w:r>
      <w:r>
        <w:fldChar w:fldCharType="begin"/>
      </w:r>
      <w:r w:rsidR="00682E10">
        <w:instrText xml:space="preserve"> ADDIN ZOTERO_ITEM CSL_CITATION {"citationID":"6yRBZxxY","properties":{"formattedCitation":"\\super 23\\nosupersub{}","plainCitation":"23","noteIndex":0},"citationItems":[{"id":12808,"uris":["http://zotero.org/users/6423791/items/VYPVDFVV"],"itemData":{"id":12808,"type":"article-journal","container-title":"Microbial Biotechnology","DOI":"10.1111/1751-7915.13986","ISSN":"1751-7915, 1751-7915","journalAbbreviation":"Microb. Biotechnol.","language":"en","page":"1751-7915.13986","source":"DOI.org (Crossref)","title":"Engineering microbial technologies for environmental sustainability: choices to make","title-short":"Engineering microbial technologies for environmental sustainability","author":[{"family":"Verstraete","given":"Willy"},{"family":"Yanuka‐Golub","given":"Keren"},{"family":"Driesen","given":"Nele"},{"family":"De Vrieze","given":"Jo"}],"issued":{"date-parts":[["2021",12,7]]}}}],"schema":"https://github.com/citation-style-language/schema/raw/master/csl-citation.json"} </w:instrText>
      </w:r>
      <w:r>
        <w:fldChar w:fldCharType="separate"/>
      </w:r>
      <w:r w:rsidR="00682E10" w:rsidRPr="00682E10">
        <w:rPr>
          <w:rFonts w:ascii="Calibri" w:hAnsi="Calibri" w:cs="Calibri"/>
          <w:szCs w:val="24"/>
          <w:vertAlign w:val="superscript"/>
        </w:rPr>
        <w:t>23</w:t>
      </w:r>
      <w:r>
        <w:fldChar w:fldCharType="end"/>
      </w:r>
      <w:r>
        <w:t xml:space="preserve">. As illustrated </w:t>
      </w:r>
      <w:r w:rsidRPr="001F1730">
        <w:t xml:space="preserve">in </w:t>
      </w:r>
      <w:r w:rsidRPr="001F1730">
        <w:rPr>
          <w:b/>
        </w:rPr>
        <w:t xml:space="preserve">Box </w:t>
      </w:r>
      <w:r w:rsidR="001F1730" w:rsidRPr="001F1730">
        <w:rPr>
          <w:b/>
        </w:rPr>
        <w:t>1</w:t>
      </w:r>
      <w:r w:rsidRPr="001F1730">
        <w:t xml:space="preserve"> for</w:t>
      </w:r>
      <w:r>
        <w:t xml:space="preserve"> the case of fecal-related inputs, many risk clearance barriers (i.e. conversion chains) for safe and accepted reintroduction of residual biomass into the food chain are already existing. These aim to modify the composition-structure properties of the input streams (i.e. generate the input-output “distance”), but also to mitigate risk transmission (</w:t>
      </w:r>
      <w:r w:rsidR="005C55DE">
        <w:t>e.g.</w:t>
      </w:r>
      <w:r>
        <w:t xml:space="preserve"> removal of anti-nutritional compounds</w:t>
      </w:r>
      <w:r w:rsidRPr="004D542A">
        <w:t>). Albeit</w:t>
      </w:r>
      <w:r>
        <w:t xml:space="preserve"> culturally differentiated, the acceptability by legislative bodies of novel/emerging supply chains (in particular when it comes to safety risk mitigation) will likely depend on the type, the duration and the intensity of the conversion chains involved</w:t>
      </w:r>
      <w:r>
        <w:fldChar w:fldCharType="begin"/>
      </w:r>
      <w:r w:rsidR="00682E10">
        <w:instrText xml:space="preserve"> ADDIN ZOTERO_ITEM CSL_CITATION {"citationID":"6umiTju7","properties":{"formattedCitation":"\\super 24\\nosupersub{}","plainCitation":"24","noteIndex":0},"citationItems":[{"id":13274,"uris":["http://zotero.org/users/6423791/items/P3HSZNVQ"],"itemData":{"id":13274,"type":"article-journal","abstract":"Despite the large debate about the relationship between ultra-processed foods and the prevalence of some diet-related diseases, the innovative potential of various processing technologies has been evidenced in pathways that could lead to modifications of the food matrix with beneficial health effects. Many efforts have been directed toward the conjugation of a healthy diet and sustainable exploitation of natural resources for the preparation of accessible foods. This minireview highlights the possible links between processing, sustainability, and circular economy through the valorization of by-products that could be exploited to prepare nutrient-rich ingredients at lower economic and environmental costs. The assessment of the quality and safety of functional foods based on ingredients derived from food waste requires a more robust validation by means of the food-omics approach, which considers not only the composition of the final products but also the structural characterization of the matrix, as the bioaccessibility and the bioavailability of nutrients are strictly dependent on the functional characteristics of the innovative ingredients.","container-title":"Frontiers in Nutrition","DOI":"10.3389/fnut.2022.886220","ISSN":"2296-861X","journalAbbreviation":"Front. Nutr.","language":"en","page":"886220","source":"DOI.org (Crossref)","title":"Food Innovation in the Frame of Circular Economy by Designing Ultra-Processed Foods Optimized for Sustainable Nutrition","volume":"9","author":[{"family":"Capozzi","given":"Francesco"}],"issued":{"date-parts":[["2022",5,3]]}}}],"schema":"https://github.com/citation-style-language/schema/raw/master/csl-citation.json"} </w:instrText>
      </w:r>
      <w:r>
        <w:fldChar w:fldCharType="separate"/>
      </w:r>
      <w:r w:rsidR="00682E10" w:rsidRPr="00682E10">
        <w:rPr>
          <w:rFonts w:ascii="Calibri" w:hAnsi="Calibri" w:cs="Calibri"/>
          <w:szCs w:val="24"/>
          <w:vertAlign w:val="superscript"/>
        </w:rPr>
        <w:t>24</w:t>
      </w:r>
      <w:r>
        <w:fldChar w:fldCharType="end"/>
      </w:r>
      <w:r>
        <w:t>.</w:t>
      </w:r>
    </w:p>
    <w:p w14:paraId="073D36CD" w14:textId="54F9C512" w:rsidR="00CE4EC1" w:rsidRPr="006D2A80" w:rsidRDefault="00CE4EC1" w:rsidP="00CE4EC1">
      <w:pPr>
        <w:pStyle w:val="Lgende"/>
      </w:pPr>
      <w:r w:rsidRPr="006D2A80">
        <w:t>Box 1: Examples of reuse of fecally-contaminated inputs in food systems</w:t>
      </w:r>
    </w:p>
    <w:tbl>
      <w:tblPr>
        <w:tblStyle w:val="Tableausimple4"/>
        <w:tblW w:w="0" w:type="auto"/>
        <w:tblLook w:val="04A0" w:firstRow="1" w:lastRow="0" w:firstColumn="1" w:lastColumn="0" w:noHBand="0" w:noVBand="1"/>
      </w:tblPr>
      <w:tblGrid>
        <w:gridCol w:w="9062"/>
      </w:tblGrid>
      <w:tr w:rsidR="00CE4EC1" w14:paraId="16141D76" w14:textId="77777777" w:rsidTr="00D31C7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62" w:type="dxa"/>
            <w:shd w:val="clear" w:color="auto" w:fill="F2F2F2" w:themeFill="background1" w:themeFillShade="F2"/>
          </w:tcPr>
          <w:p w14:paraId="526C0BF8" w14:textId="511F1200" w:rsidR="00CE4EC1" w:rsidRPr="00C646D4" w:rsidRDefault="00CE4EC1" w:rsidP="00D31C73">
            <w:pPr>
              <w:jc w:val="both"/>
              <w:rPr>
                <w:b w:val="0"/>
                <w:i/>
              </w:rPr>
            </w:pPr>
            <w:r w:rsidRPr="00C646D4">
              <w:rPr>
                <w:b w:val="0"/>
                <w:i/>
              </w:rPr>
              <w:t>Manure and sludge are commonly reused as a fertilizing agent. Mushroom culture on wood-straw-manure substrate</w:t>
            </w:r>
            <w:r w:rsidR="005C55DE">
              <w:rPr>
                <w:b w:val="0"/>
                <w:i/>
              </w:rPr>
              <w:t>s</w:t>
            </w:r>
            <w:r w:rsidRPr="00C646D4">
              <w:rPr>
                <w:b w:val="0"/>
                <w:i/>
              </w:rPr>
              <w:t xml:space="preserve"> also illustrates the conventional reuse of manure to formulate food ingredients (according to the EU legislation, fertilizing plants or mushrooms is the same). The integration of fish pond with poultry production, commonly performed in some regions, is an example where fecal matter is reused directly as feed ingredient. Under specific conditions, initially fecally-contaminated materials can even reach European markets, such as the “Kopi Luwak” coffee beans. Examples retrieved from the waste-to-nutrition database established </w:t>
            </w:r>
            <w:r w:rsidRPr="005C55DE">
              <w:rPr>
                <w:b w:val="0"/>
                <w:i/>
              </w:rPr>
              <w:t>in</w:t>
            </w:r>
            <w:r w:rsidR="005C55DE" w:rsidRPr="005C55DE">
              <w:rPr>
                <w:b w:val="0"/>
                <w:i/>
              </w:rPr>
              <w:t xml:space="preserve"> Javourez et al., 2021</w:t>
            </w:r>
            <w:r w:rsidR="005C55DE" w:rsidRPr="005C55DE">
              <w:rPr>
                <w:i/>
              </w:rPr>
              <w:fldChar w:fldCharType="begin"/>
            </w:r>
            <w:r w:rsidR="00682E10">
              <w:rPr>
                <w:b w:val="0"/>
                <w:i/>
              </w:rPr>
              <w:instrText xml:space="preserve"> ADDIN ZOTERO_ITEM CSL_CITATION {"citationID":"a1bkfrlkmud","properties":{"formattedCitation":"\\super 2\\nosupersub{}","plainCitation":"2","noteIndex":0},"citationItems":[{"id":12313,"uris":["http://zotero.org/users/6423791/items/U9PTD6XB"],"itemData":{"id":12313,"type":"article-journal","abstract":"Residual biomass is acknowledged as a key sustainable feedstock for the transition towards circular and low fossil carbon economies to supply whether energy, chemical, material and food products or services. The latter is receiving increasing attention, in particular in the perspective of decoupling nutrition from arable land demand. In order to provide a comprehensive overview of the technical possibilities to convert residual biomasses into edible ingredients, we reviewed over 950 scientific and industrial records documenting existing and emerging waste-to-nutrition pathways, involving over 150 different feedstocks here grouped under 10 umbrella categories: (i) wood-related residual biomass, (ii) primary crop residues, (iii) manure, (iv) food waste, (v) sludge and wastewater, (vi) green residual biomass, (vii) slaughterhouse by-products, (viii) agrifood co-products, (ix) C1 gases and (x) others. The review includes a detailed description of these pathways, as well as the processes they involve. As a result, we proposed four generic building blocks to systematize waste-to-nutrition conversion sequence patterns, namely enhancement, cracking, extraction and bioconversion. We further introduce a multidimensional representation of the biomasses suitability as potential as nutritional sources according to (i) their content in anti-nutritional compounds, (ii) their degree of structural complexity and (iii) their concentration of macro- and micronutrients. Finally, we suggest that the different pathways can be grouped into eight large families of approaches: (i) insect biorefinery, (ii) green biorefinery, (iii) lignocellulosic biorefinery, (iv) non-soluble protein recovery, (v) gas-intermediate biorefinery, (vi) liquid substrate alternative, (vii) solid-substrate fermentation and (viii) more-out-of-slaughterhouse by-products. The proposed framework aims to support future research in waste recovery and valorization within food systems, along with stimulating reflections on the improvement of resources’ cascading use.","container-title":"Biotechnology Advances","DOI":"10.1016/j.biotechadv.2021.107857","ISSN":"0734-9750","journalAbbreviation":"Biotechnol. Adv.","language":"en","page":"107857","source":"ScienceDirect","title":"Waste-to-nutrition: a review of current and emerging conversion pathways","title-short":"Waste-to-nutrition","volume":"53","author":[{"family":"Javourez","given":"U."},{"family":"O’Donohue","given":"M."},{"family":"Hamelin","given":"L."}],"issued":{"date-parts":[["2021",12,1]]}}}],"schema":"https://github.com/citation-style-language/schema/raw/master/csl-citation.json"} </w:instrText>
            </w:r>
            <w:r w:rsidR="005C55DE" w:rsidRPr="005C55DE">
              <w:rPr>
                <w:i/>
              </w:rPr>
              <w:fldChar w:fldCharType="separate"/>
            </w:r>
            <w:r w:rsidR="00682E10" w:rsidRPr="00682E10">
              <w:rPr>
                <w:rFonts w:ascii="Calibri" w:hAnsi="Calibri" w:cs="Calibri"/>
                <w:szCs w:val="24"/>
                <w:vertAlign w:val="superscript"/>
              </w:rPr>
              <w:t>2</w:t>
            </w:r>
            <w:r w:rsidR="005C55DE" w:rsidRPr="005C55DE">
              <w:rPr>
                <w:i/>
              </w:rPr>
              <w:fldChar w:fldCharType="end"/>
            </w:r>
            <w:r w:rsidRPr="005C55DE">
              <w:rPr>
                <w:b w:val="0"/>
                <w:i/>
              </w:rPr>
              <w:t>.</w:t>
            </w:r>
          </w:p>
        </w:tc>
      </w:tr>
    </w:tbl>
    <w:p w14:paraId="4AE4B525" w14:textId="0EDF1495" w:rsidR="00CE4EC1" w:rsidRDefault="00CE4EC1" w:rsidP="00CE4EC1">
      <w:pPr>
        <w:pStyle w:val="Lgende"/>
      </w:pPr>
      <w:r w:rsidRPr="004D542A">
        <w:lastRenderedPageBreak/>
        <w:t>Box 2:</w:t>
      </w:r>
      <w:r>
        <w:t xml:space="preserve"> The Animal by-products regulation</w:t>
      </w:r>
    </w:p>
    <w:p w14:paraId="43063843" w14:textId="77777777" w:rsidR="00CE4EC1" w:rsidRPr="00C646D4" w:rsidRDefault="00CE4EC1" w:rsidP="00CE4EC1">
      <w:pPr>
        <w:shd w:val="clear" w:color="auto" w:fill="F2F2F2" w:themeFill="background1" w:themeFillShade="F2"/>
        <w:jc w:val="both"/>
        <w:rPr>
          <w:i/>
        </w:rPr>
      </w:pPr>
      <w:r w:rsidRPr="00C646D4">
        <w:rPr>
          <w:i/>
          <w:sz w:val="18"/>
        </w:rPr>
        <w:t>The EU Animal by-products regulations defines three categories framing their reuse. Categories 1 and 2 (C1/C2) by-products are stemming from animals not intended for human consumption and/or hosting prohibited substances (e.g. veterinary), but also digestive tract and manure, among others. These are considered hosting intrinsic sanitary risks and need proper disposal (mostly eliminated through incineration or landfill). Albeit some exceptions exist (e.g. reuse of some streams as feed for circus or zoo animals under specific conditions), C1/C2 by-products are prohibited as feed. Category 3 (C3) by-products are only stemming from animal intended for human consumption and complying with applicable food standards. If not introduced within food markets, these can be reused as animal feed either for animals not intended for human consumption (e.g. pets), either for livestock. For the latter, reuse framework is differentiated per animal species group (e.g. swine, poultry, aquaculture, etc.) and mostly enforces proteolysis as part of rendering operations to inactivate risks, leading to transformed animal proteins (PAT)</w:t>
      </w:r>
      <w:r>
        <w:rPr>
          <w:i/>
          <w:sz w:val="18"/>
        </w:rPr>
        <w:t xml:space="preserve"> and tallow as</w:t>
      </w:r>
      <w:r w:rsidRPr="00C646D4">
        <w:rPr>
          <w:i/>
          <w:sz w:val="18"/>
        </w:rPr>
        <w:t xml:space="preserve"> final products.</w:t>
      </w:r>
    </w:p>
    <w:p w14:paraId="76528B6D" w14:textId="77777777" w:rsidR="00A37C75" w:rsidRPr="00A37C75" w:rsidRDefault="00A37C75" w:rsidP="00A37C75">
      <w:pPr>
        <w:jc w:val="both"/>
      </w:pPr>
      <w:r w:rsidRPr="00A37C75">
        <w:t>To screen the plausible waste-to-nutrition pathways for further assessments, a selection rationale was established. It builds on the identification of the minimum level of processing intensity likely required to mitigate the specific risks associated with each residual biomass streams. The following considerations remain qualitative and only serve as a generic screening guideline.</w:t>
      </w:r>
    </w:p>
    <w:p w14:paraId="57BBCFC7" w14:textId="0D87F2C8" w:rsidR="00A37C75" w:rsidRPr="00A37C75" w:rsidRDefault="00A37C75" w:rsidP="00A37C75">
      <w:pPr>
        <w:jc w:val="both"/>
      </w:pPr>
      <w:r w:rsidRPr="00A37C75">
        <w:t xml:space="preserve">First, the multidimensional panel of safety risks associated with residual biomass streams were simplified into three umbrella categories based on their legislative status (see </w:t>
      </w:r>
      <w:r w:rsidRPr="00337E7E">
        <w:rPr>
          <w:b/>
        </w:rPr>
        <w:fldChar w:fldCharType="begin"/>
      </w:r>
      <w:r w:rsidRPr="00337E7E">
        <w:rPr>
          <w:b/>
        </w:rPr>
        <w:instrText xml:space="preserve"> REF _Ref144720911 \h </w:instrText>
      </w:r>
      <w:r>
        <w:rPr>
          <w:b/>
        </w:rPr>
        <w:instrText xml:space="preserve"> \* MERGEFORMAT </w:instrText>
      </w:r>
      <w:r w:rsidRPr="00337E7E">
        <w:rPr>
          <w:b/>
        </w:rPr>
      </w:r>
      <w:r w:rsidRPr="00337E7E">
        <w:rPr>
          <w:b/>
        </w:rPr>
        <w:fldChar w:fldCharType="separate"/>
      </w:r>
      <w:r w:rsidR="00F25F8C" w:rsidRPr="00F25F8C">
        <w:rPr>
          <w:b/>
        </w:rPr>
        <w:t xml:space="preserve">Table SI. </w:t>
      </w:r>
      <w:r w:rsidR="00F25F8C" w:rsidRPr="00F25F8C">
        <w:rPr>
          <w:b/>
          <w:noProof/>
        </w:rPr>
        <w:t>4</w:t>
      </w:r>
      <w:r w:rsidRPr="00337E7E">
        <w:rPr>
          <w:b/>
        </w:rPr>
        <w:fldChar w:fldCharType="end"/>
      </w:r>
      <w:r w:rsidRPr="00A37C75">
        <w:t>).</w:t>
      </w:r>
    </w:p>
    <w:p w14:paraId="5B1EF6CF" w14:textId="77777777" w:rsidR="00A37C75" w:rsidRPr="00A37C75" w:rsidRDefault="00A37C75" w:rsidP="00027C37">
      <w:pPr>
        <w:pStyle w:val="Paragraphedeliste"/>
        <w:numPr>
          <w:ilvl w:val="1"/>
          <w:numId w:val="3"/>
        </w:numPr>
        <w:jc w:val="both"/>
      </w:pPr>
      <w:r w:rsidRPr="00A37C75">
        <w:t xml:space="preserve">Streams under the </w:t>
      </w:r>
      <w:r w:rsidRPr="00A37C75">
        <w:rPr>
          <w:b/>
        </w:rPr>
        <w:t>EU waste status</w:t>
      </w:r>
      <w:r w:rsidRPr="00A37C75">
        <w:t xml:space="preserve">: </w:t>
      </w:r>
    </w:p>
    <w:p w14:paraId="4DEF4428" w14:textId="77777777" w:rsidR="00A37C75" w:rsidRPr="00A37C75" w:rsidRDefault="00A37C75" w:rsidP="00A37C75">
      <w:pPr>
        <w:pStyle w:val="Paragraphedeliste"/>
        <w:ind w:left="1440"/>
        <w:jc w:val="both"/>
      </w:pPr>
      <w:bookmarkStart w:id="22" w:name="_Hlk141091327"/>
      <w:r w:rsidRPr="00A37C75">
        <w:t>These potentially host a cocktail of safety risk concerns stemming from their intrinsic characteristics (e.g. sewage sludge and manure hosting pathogens, toxins, antibiotics residues, etc., but also treated wood) and/or the contamination risk associated with their incompliance with traceability standards (e.g. municipal waste). As defined, this category includes C1/C2 animal by-products categories. These are explicitly prohibited for direct reuse as feed ingredients in the EU.</w:t>
      </w:r>
    </w:p>
    <w:bookmarkEnd w:id="22"/>
    <w:p w14:paraId="6F168E04" w14:textId="77777777" w:rsidR="00A37C75" w:rsidRPr="00A37C75" w:rsidRDefault="00A37C75" w:rsidP="00027C37">
      <w:pPr>
        <w:pStyle w:val="Paragraphedeliste"/>
        <w:numPr>
          <w:ilvl w:val="1"/>
          <w:numId w:val="3"/>
        </w:numPr>
        <w:jc w:val="both"/>
      </w:pPr>
      <w:r w:rsidRPr="00A37C75">
        <w:t xml:space="preserve">Streams mentioned in the </w:t>
      </w:r>
      <w:r w:rsidRPr="00A37C75">
        <w:rPr>
          <w:b/>
        </w:rPr>
        <w:t>EU Catalogue of feed materials</w:t>
      </w:r>
      <w:r w:rsidRPr="00A37C75">
        <w:t xml:space="preserve">: </w:t>
      </w:r>
    </w:p>
    <w:p w14:paraId="4F532756" w14:textId="77777777" w:rsidR="00A37C75" w:rsidRPr="00A37C75" w:rsidRDefault="00A37C75" w:rsidP="00A37C75">
      <w:pPr>
        <w:pStyle w:val="Paragraphedeliste"/>
        <w:ind w:left="1440"/>
        <w:jc w:val="both"/>
      </w:pPr>
      <w:bookmarkStart w:id="23" w:name="_Hlk141091402"/>
      <w:r w:rsidRPr="00A37C75">
        <w:t>Providing their compliance with enforced management practices, these streams are considered risk-free to directly enter the food chain as feed ingredients. In some cases, these even meet food markets standards.</w:t>
      </w:r>
    </w:p>
    <w:bookmarkEnd w:id="23"/>
    <w:p w14:paraId="4419000F" w14:textId="77777777" w:rsidR="00A37C75" w:rsidRPr="00A37C75" w:rsidRDefault="00A37C75" w:rsidP="00027C37">
      <w:pPr>
        <w:pStyle w:val="Paragraphedeliste"/>
        <w:numPr>
          <w:ilvl w:val="1"/>
          <w:numId w:val="3"/>
        </w:numPr>
        <w:jc w:val="both"/>
      </w:pPr>
      <w:r w:rsidRPr="00A37C75">
        <w:rPr>
          <w:b/>
        </w:rPr>
        <w:t>C3 animal by-products</w:t>
      </w:r>
      <w:r w:rsidRPr="00A37C75">
        <w:t xml:space="preserve"> as a standalone category:</w:t>
      </w:r>
    </w:p>
    <w:p w14:paraId="0E2415EB" w14:textId="099E72D2" w:rsidR="00A37C75" w:rsidRPr="00A37C75" w:rsidRDefault="00A37C75" w:rsidP="00A37C75">
      <w:pPr>
        <w:pStyle w:val="Paragraphedeliste"/>
        <w:ind w:left="1440"/>
        <w:jc w:val="both"/>
      </w:pPr>
      <w:r w:rsidRPr="00A37C75">
        <w:t xml:space="preserve">Indeed, despite being mostly food-grade, it nevertheless hosts specific transmission risks conditioning their reuse as animal feed (see </w:t>
      </w:r>
      <w:r w:rsidRPr="00A37C75">
        <w:rPr>
          <w:b/>
        </w:rPr>
        <w:t>Box 2</w:t>
      </w:r>
      <w:r w:rsidRPr="00A37C75">
        <w:t>).</w:t>
      </w:r>
    </w:p>
    <w:p w14:paraId="226425B9" w14:textId="68A83EB5" w:rsidR="00A37C75" w:rsidRDefault="00A37C75" w:rsidP="00A37C75">
      <w:pPr>
        <w:jc w:val="both"/>
      </w:pPr>
      <w:r>
        <w:t>Some agricultural residues are not explicitly mentioned in the reviewed legislation bodies (</w:t>
      </w:r>
      <w:r w:rsidRPr="00337E7E">
        <w:rPr>
          <w:b/>
        </w:rPr>
        <w:fldChar w:fldCharType="begin"/>
      </w:r>
      <w:r w:rsidRPr="00337E7E">
        <w:rPr>
          <w:b/>
        </w:rPr>
        <w:instrText xml:space="preserve"> REF _Ref144720911 \h </w:instrText>
      </w:r>
      <w:r>
        <w:rPr>
          <w:b/>
        </w:rPr>
        <w:instrText xml:space="preserve"> \* MERGEFORMAT </w:instrText>
      </w:r>
      <w:r w:rsidRPr="00337E7E">
        <w:rPr>
          <w:b/>
        </w:rPr>
      </w:r>
      <w:r w:rsidRPr="00337E7E">
        <w:rPr>
          <w:b/>
        </w:rPr>
        <w:fldChar w:fldCharType="separate"/>
      </w:r>
      <w:r w:rsidR="00F25F8C" w:rsidRPr="00F25F8C">
        <w:rPr>
          <w:b/>
        </w:rPr>
        <w:t xml:space="preserve">Table SI. </w:t>
      </w:r>
      <w:r w:rsidR="00F25F8C" w:rsidRPr="00F25F8C">
        <w:rPr>
          <w:b/>
          <w:noProof/>
        </w:rPr>
        <w:t>4</w:t>
      </w:r>
      <w:r w:rsidRPr="00337E7E">
        <w:rPr>
          <w:b/>
        </w:rPr>
        <w:fldChar w:fldCharType="end"/>
      </w:r>
      <w:r>
        <w:t>). We considered here that their reuse risk level depends on field management practices, for example on the frequency and intensity of chemical inputs application, such as pesticides. Therefore, these are further assumed as feed-grade, considering that practices can evolve to emerging reuse constraints.</w:t>
      </w:r>
    </w:p>
    <w:p w14:paraId="4DCC04AC" w14:textId="051147C7" w:rsidR="00B959F6" w:rsidRDefault="00A37C75" w:rsidP="00102091">
      <w:pPr>
        <w:jc w:val="both"/>
      </w:pPr>
      <w:r w:rsidRPr="00A37C75">
        <w:t>Second, the waste-to-nutrition description framework established in</w:t>
      </w:r>
      <w:r>
        <w:t xml:space="preserve"> Javourez et al., (2021)</w:t>
      </w:r>
      <w:r w:rsidRPr="00A37C75">
        <w:fldChar w:fldCharType="begin"/>
      </w:r>
      <w:r w:rsidR="00682E10">
        <w:instrText xml:space="preserve"> ADDIN ZOTERO_ITEM CSL_CITATION {"citationID":"a1hc3hpr338","properties":{"formattedCitation":"\\super 2\\nosupersub{}","plainCitation":"2","noteIndex":0},"citationItems":[{"id":12313,"uris":["http://zotero.org/users/6423791/items/U9PTD6XB"],"itemData":{"id":12313,"type":"article-journal","abstract":"Residual biomass is acknowledged as a key sustainable feedstock for the transition towards circular and low fossil carbon economies to supply whether energy, chemical, material and food products or services. The latter is receiving increasing attention, in particular in the perspective of decoupling nutrition from arable land demand. In order to provide a comprehensive overview of the technical possibilities to convert residual biomasses into edible ingredients, we reviewed over 950 scientific and industrial records documenting existing and emerging waste-to-nutrition pathways, involving over 150 different feedstocks here grouped under 10 umbrella categories: (i) wood-related residual biomass, (ii) primary crop residues, (iii) manure, (iv) food waste, (v) sludge and wastewater, (vi) green residual biomass, (vii) slaughterhouse by-products, (viii) agrifood co-products, (ix) C1 gases and (x) others. The review includes a detailed description of these pathways, as well as the processes they involve. As a result, we proposed four generic building blocks to systematize waste-to-nutrition conversion sequence patterns, namely enhancement, cracking, extraction and bioconversion. We further introduce a multidimensional representation of the biomasses suitability as potential as nutritional sources according to (i) their content in anti-nutritional compounds, (ii) their degree of structural complexity and (iii) their concentration of macro- and micronutrients. Finally, we suggest that the different pathways can be grouped into eight large families of approaches: (i) insect biorefinery, (ii) green biorefinery, (iii) lignocellulosic biorefinery, (iv) non-soluble protein recovery, (v) gas-intermediate biorefinery, (vi) liquid substrate alternative, (vii) solid-substrate fermentation and (viii) more-out-of-slaughterhouse by-products. The proposed framework aims to support future research in waste recovery and valorization within food systems, along with stimulating reflections on the improvement of resources’ cascading use.","container-title":"Biotechnology Advances","DOI":"10.1016/j.biotechadv.2021.107857","ISSN":"0734-9750","journalAbbreviation":"Biotechnol. Adv.","language":"en","page":"107857","source":"ScienceDirect","title":"Waste-to-nutrition: a review of current and emerging conversion pathways","title-short":"Waste-to-nutrition","volume":"53","author":[{"family":"Javourez","given":"U."},{"family":"O’Donohue","given":"M."},{"family":"Hamelin","given":"L."}],"issued":{"date-parts":[["2021",12,1]]}}}],"schema":"https://github.com/citation-style-language/schema/raw/master/csl-citation.json"} </w:instrText>
      </w:r>
      <w:r w:rsidRPr="00A37C75">
        <w:fldChar w:fldCharType="separate"/>
      </w:r>
      <w:r w:rsidR="00682E10" w:rsidRPr="00682E10">
        <w:rPr>
          <w:rFonts w:ascii="Calibri" w:hAnsi="Calibri" w:cs="Calibri"/>
          <w:szCs w:val="24"/>
          <w:vertAlign w:val="superscript"/>
        </w:rPr>
        <w:t>2</w:t>
      </w:r>
      <w:r w:rsidRPr="00A37C75">
        <w:fldChar w:fldCharType="end"/>
      </w:r>
      <w:r>
        <w:t xml:space="preserve"> </w:t>
      </w:r>
      <w:r w:rsidRPr="00A37C75">
        <w:t>was reuse</w:t>
      </w:r>
      <w:r>
        <w:t>d</w:t>
      </w:r>
      <w:r w:rsidRPr="00A37C75">
        <w:t xml:space="preserve"> to estimate a process intensity level for each pathway. Indeed, these pathways were systematically expressed as a sequence of unit operations varying in nature and intensity, generically classified into four building blocks umbrella categories. </w:t>
      </w:r>
      <w:bookmarkStart w:id="24" w:name="_Hlk141087841"/>
      <w:r w:rsidRPr="00A37C75">
        <w:t xml:space="preserve">These process blocks were adapted and ranked according to their risk mitigation potential. This was done acknowledging that some substances can be inactivated through generalized deconstruction (breaking them up to inoffensive compounds, such as prions into amino acids), while other cannot be inactivated through deconstruction (e.g. presence of heavy metals). </w:t>
      </w:r>
      <w:bookmarkEnd w:id="24"/>
      <w:r w:rsidRPr="00A37C75">
        <w:rPr>
          <w:b/>
        </w:rPr>
        <w:fldChar w:fldCharType="begin"/>
      </w:r>
      <w:r w:rsidRPr="00A37C75">
        <w:rPr>
          <w:b/>
        </w:rPr>
        <w:instrText xml:space="preserve"> REF _Ref144722000 \h </w:instrText>
      </w:r>
      <w:r>
        <w:rPr>
          <w:b/>
        </w:rPr>
        <w:instrText xml:space="preserve"> \* MERGEFORMAT </w:instrText>
      </w:r>
      <w:r w:rsidRPr="00A37C75">
        <w:rPr>
          <w:b/>
        </w:rPr>
      </w:r>
      <w:r w:rsidRPr="00A37C75">
        <w:rPr>
          <w:b/>
        </w:rPr>
        <w:fldChar w:fldCharType="separate"/>
      </w:r>
      <w:r w:rsidR="00F25F8C" w:rsidRPr="00F25F8C">
        <w:rPr>
          <w:b/>
        </w:rPr>
        <w:t xml:space="preserve">Table SI. </w:t>
      </w:r>
      <w:r w:rsidR="00F25F8C" w:rsidRPr="00F25F8C">
        <w:rPr>
          <w:b/>
          <w:noProof/>
        </w:rPr>
        <w:t>5</w:t>
      </w:r>
      <w:r w:rsidRPr="00A37C75">
        <w:rPr>
          <w:b/>
        </w:rPr>
        <w:fldChar w:fldCharType="end"/>
      </w:r>
      <w:r>
        <w:t xml:space="preserve"> </w:t>
      </w:r>
      <w:r w:rsidRPr="00A37C75">
        <w:t>summarizes the main rationale pairing process intensity and input risk level.</w:t>
      </w:r>
    </w:p>
    <w:p w14:paraId="02FB4E9A" w14:textId="77777777" w:rsidR="00B959F6" w:rsidRDefault="00B959F6">
      <w:r>
        <w:br w:type="page"/>
      </w:r>
    </w:p>
    <w:p w14:paraId="26DC27CE" w14:textId="62DCB3DB" w:rsidR="00102091" w:rsidRPr="0017208F" w:rsidRDefault="00367CAA" w:rsidP="00CE3893">
      <w:pPr>
        <w:pStyle w:val="Lgende"/>
        <w:jc w:val="left"/>
        <w:rPr>
          <w:b w:val="0"/>
          <w:i/>
        </w:rPr>
      </w:pPr>
      <w:bookmarkStart w:id="25" w:name="_Ref144722000"/>
      <w:bookmarkStart w:id="26" w:name="_Toc126143553"/>
      <w:bookmarkStart w:id="27" w:name="_Toc151967889"/>
      <w:r>
        <w:lastRenderedPageBreak/>
        <w:t>Table SI.</w:t>
      </w:r>
      <w:r w:rsidR="00102091">
        <w:t xml:space="preserve"> </w:t>
      </w:r>
      <w:r>
        <w:fldChar w:fldCharType="begin"/>
      </w:r>
      <w:r>
        <w:instrText xml:space="preserve"> SEQ Table_SI. \* ARABIC </w:instrText>
      </w:r>
      <w:r>
        <w:fldChar w:fldCharType="separate"/>
      </w:r>
      <w:r w:rsidR="00F25F8C">
        <w:rPr>
          <w:noProof/>
        </w:rPr>
        <w:t>5</w:t>
      </w:r>
      <w:r>
        <w:fldChar w:fldCharType="end"/>
      </w:r>
      <w:bookmarkEnd w:id="25"/>
      <w:r w:rsidR="00102091">
        <w:t xml:space="preserve"> </w:t>
      </w:r>
      <w:r w:rsidR="00102091" w:rsidRPr="00ED44F8">
        <w:t>– Estimation of process operation’s risk mitigation potential</w:t>
      </w:r>
      <w:r w:rsidR="004D0FCE">
        <w:t xml:space="preserve"> for</w:t>
      </w:r>
      <w:r w:rsidR="00102091" w:rsidRPr="00ED44F8">
        <w:t xml:space="preserve"> waste-to-nutrition pathways</w:t>
      </w:r>
      <w:bookmarkEnd w:id="26"/>
      <w:bookmarkEnd w:id="27"/>
    </w:p>
    <w:tbl>
      <w:tblPr>
        <w:tblStyle w:val="Tableausimple2"/>
        <w:tblW w:w="0" w:type="auto"/>
        <w:tblLook w:val="04A0" w:firstRow="1" w:lastRow="0" w:firstColumn="1" w:lastColumn="0" w:noHBand="0" w:noVBand="1"/>
      </w:tblPr>
      <w:tblGrid>
        <w:gridCol w:w="1301"/>
        <w:gridCol w:w="1897"/>
        <w:gridCol w:w="2339"/>
        <w:gridCol w:w="1971"/>
        <w:gridCol w:w="1564"/>
      </w:tblGrid>
      <w:tr w:rsidR="00102091" w:rsidRPr="00B959F6" w14:paraId="0644EDF2" w14:textId="77777777" w:rsidTr="00B959F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tcPr>
          <w:p w14:paraId="66EFE433" w14:textId="77777777" w:rsidR="00102091" w:rsidRPr="00B959F6" w:rsidRDefault="00102091" w:rsidP="00D31C73">
            <w:pPr>
              <w:rPr>
                <w:sz w:val="18"/>
                <w:szCs w:val="18"/>
              </w:rPr>
            </w:pPr>
            <w:r w:rsidRPr="00B959F6">
              <w:rPr>
                <w:sz w:val="18"/>
                <w:szCs w:val="18"/>
              </w:rPr>
              <w:t>Waste-to-nutrition pathways</w:t>
            </w:r>
            <w:r w:rsidRPr="00B959F6">
              <w:rPr>
                <w:sz w:val="18"/>
                <w:szCs w:val="18"/>
                <w:vertAlign w:val="superscript"/>
              </w:rPr>
              <w:t xml:space="preserve"> a</w:t>
            </w:r>
          </w:p>
        </w:tc>
        <w:tc>
          <w:tcPr>
            <w:tcW w:w="0" w:type="auto"/>
            <w:gridSpan w:val="3"/>
          </w:tcPr>
          <w:p w14:paraId="1C12549E" w14:textId="77777777" w:rsidR="00102091" w:rsidRPr="00B959F6" w:rsidRDefault="00102091" w:rsidP="00B959F6">
            <w:pPr>
              <w:jc w:val="center"/>
              <w:cnfStyle w:val="100000000000" w:firstRow="1" w:lastRow="0" w:firstColumn="0" w:lastColumn="0" w:oddVBand="0" w:evenVBand="0" w:oddHBand="0" w:evenHBand="0" w:firstRowFirstColumn="0" w:firstRowLastColumn="0" w:lastRowFirstColumn="0" w:lastRowLastColumn="0"/>
              <w:rPr>
                <w:sz w:val="18"/>
                <w:szCs w:val="18"/>
              </w:rPr>
            </w:pPr>
            <w:r w:rsidRPr="00B959F6">
              <w:rPr>
                <w:sz w:val="18"/>
                <w:szCs w:val="18"/>
              </w:rPr>
              <w:t>Risk mitigation potential per input risk level</w:t>
            </w:r>
          </w:p>
        </w:tc>
      </w:tr>
      <w:tr w:rsidR="00102091" w:rsidRPr="00B959F6" w14:paraId="57B234CF" w14:textId="77777777" w:rsidTr="00B959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D690767" w14:textId="77777777" w:rsidR="00102091" w:rsidRPr="00B959F6" w:rsidRDefault="00102091" w:rsidP="00D31C73">
            <w:pPr>
              <w:jc w:val="right"/>
              <w:rPr>
                <w:sz w:val="18"/>
                <w:szCs w:val="18"/>
              </w:rPr>
            </w:pPr>
            <w:r w:rsidRPr="00B959F6">
              <w:rPr>
                <w:sz w:val="18"/>
                <w:szCs w:val="18"/>
              </w:rPr>
              <w:t>Core unit operation</w:t>
            </w:r>
          </w:p>
        </w:tc>
        <w:tc>
          <w:tcPr>
            <w:tcW w:w="0" w:type="auto"/>
          </w:tcPr>
          <w:p w14:paraId="614DAD84" w14:textId="77777777" w:rsidR="00102091" w:rsidRPr="00B959F6" w:rsidRDefault="00102091" w:rsidP="00D31C73">
            <w:pPr>
              <w:cnfStyle w:val="000000100000" w:firstRow="0" w:lastRow="0" w:firstColumn="0" w:lastColumn="0" w:oddVBand="0" w:evenVBand="0" w:oddHBand="1" w:evenHBand="0" w:firstRowFirstColumn="0" w:firstRowLastColumn="0" w:lastRowFirstColumn="0" w:lastRowLastColumn="0"/>
              <w:rPr>
                <w:b/>
                <w:sz w:val="18"/>
                <w:szCs w:val="18"/>
              </w:rPr>
            </w:pPr>
            <w:r w:rsidRPr="00B959F6">
              <w:rPr>
                <w:b/>
                <w:sz w:val="18"/>
                <w:szCs w:val="18"/>
              </w:rPr>
              <w:t>Pathways included</w:t>
            </w:r>
          </w:p>
        </w:tc>
        <w:tc>
          <w:tcPr>
            <w:tcW w:w="0" w:type="auto"/>
          </w:tcPr>
          <w:p w14:paraId="7C069C82" w14:textId="77777777" w:rsidR="00102091" w:rsidRPr="00B959F6" w:rsidRDefault="00102091" w:rsidP="00D31C73">
            <w:pPr>
              <w:cnfStyle w:val="000000100000" w:firstRow="0" w:lastRow="0" w:firstColumn="0" w:lastColumn="0" w:oddVBand="0" w:evenVBand="0" w:oddHBand="1" w:evenHBand="0" w:firstRowFirstColumn="0" w:firstRowLastColumn="0" w:lastRowFirstColumn="0" w:lastRowLastColumn="0"/>
              <w:rPr>
                <w:b/>
                <w:sz w:val="18"/>
                <w:szCs w:val="18"/>
              </w:rPr>
            </w:pPr>
            <w:r w:rsidRPr="00B959F6">
              <w:rPr>
                <w:b/>
                <w:sz w:val="18"/>
                <w:szCs w:val="18"/>
              </w:rPr>
              <w:t>Waste</w:t>
            </w:r>
          </w:p>
        </w:tc>
        <w:tc>
          <w:tcPr>
            <w:tcW w:w="0" w:type="auto"/>
          </w:tcPr>
          <w:p w14:paraId="24AF1539" w14:textId="77777777" w:rsidR="00102091" w:rsidRPr="00B959F6" w:rsidRDefault="00102091" w:rsidP="00D31C73">
            <w:pPr>
              <w:cnfStyle w:val="000000100000" w:firstRow="0" w:lastRow="0" w:firstColumn="0" w:lastColumn="0" w:oddVBand="0" w:evenVBand="0" w:oddHBand="1" w:evenHBand="0" w:firstRowFirstColumn="0" w:firstRowLastColumn="0" w:lastRowFirstColumn="0" w:lastRowLastColumn="0"/>
              <w:rPr>
                <w:b/>
                <w:sz w:val="18"/>
                <w:szCs w:val="18"/>
              </w:rPr>
            </w:pPr>
            <w:r w:rsidRPr="00B959F6">
              <w:rPr>
                <w:b/>
                <w:sz w:val="18"/>
                <w:szCs w:val="18"/>
              </w:rPr>
              <w:t xml:space="preserve">C3 by-products </w:t>
            </w:r>
            <w:r w:rsidRPr="00B959F6">
              <w:rPr>
                <w:b/>
                <w:sz w:val="18"/>
                <w:szCs w:val="18"/>
                <w:vertAlign w:val="superscript"/>
              </w:rPr>
              <w:t>b</w:t>
            </w:r>
          </w:p>
        </w:tc>
        <w:tc>
          <w:tcPr>
            <w:tcW w:w="0" w:type="auto"/>
          </w:tcPr>
          <w:p w14:paraId="6BCDF80E" w14:textId="77777777" w:rsidR="00102091" w:rsidRPr="00B959F6" w:rsidRDefault="00102091" w:rsidP="00D31C73">
            <w:pPr>
              <w:cnfStyle w:val="000000100000" w:firstRow="0" w:lastRow="0" w:firstColumn="0" w:lastColumn="0" w:oddVBand="0" w:evenVBand="0" w:oddHBand="1" w:evenHBand="0" w:firstRowFirstColumn="0" w:firstRowLastColumn="0" w:lastRowFirstColumn="0" w:lastRowLastColumn="0"/>
              <w:rPr>
                <w:b/>
                <w:sz w:val="18"/>
                <w:szCs w:val="18"/>
              </w:rPr>
            </w:pPr>
            <w:r w:rsidRPr="00B959F6">
              <w:rPr>
                <w:b/>
                <w:sz w:val="18"/>
                <w:szCs w:val="18"/>
              </w:rPr>
              <w:t>Feed-grade</w:t>
            </w:r>
          </w:p>
        </w:tc>
      </w:tr>
      <w:tr w:rsidR="00102091" w:rsidRPr="00B959F6" w14:paraId="4153C58B" w14:textId="77777777" w:rsidTr="00B959F6">
        <w:tc>
          <w:tcPr>
            <w:cnfStyle w:val="001000000000" w:firstRow="0" w:lastRow="0" w:firstColumn="1" w:lastColumn="0" w:oddVBand="0" w:evenVBand="0" w:oddHBand="0" w:evenHBand="0" w:firstRowFirstColumn="0" w:firstRowLastColumn="0" w:lastRowFirstColumn="0" w:lastRowLastColumn="0"/>
            <w:tcW w:w="0" w:type="auto"/>
          </w:tcPr>
          <w:p w14:paraId="6AA0CFA0" w14:textId="77777777" w:rsidR="00102091" w:rsidRPr="00B959F6" w:rsidRDefault="00102091" w:rsidP="00D31C73">
            <w:pPr>
              <w:jc w:val="right"/>
              <w:rPr>
                <w:sz w:val="18"/>
                <w:szCs w:val="18"/>
              </w:rPr>
            </w:pPr>
            <w:r w:rsidRPr="00B959F6">
              <w:rPr>
                <w:sz w:val="18"/>
                <w:szCs w:val="18"/>
              </w:rPr>
              <w:t>Enhancement</w:t>
            </w:r>
          </w:p>
        </w:tc>
        <w:tc>
          <w:tcPr>
            <w:tcW w:w="0" w:type="auto"/>
          </w:tcPr>
          <w:p w14:paraId="364A1294" w14:textId="77777777" w:rsidR="00102091" w:rsidRPr="00B959F6" w:rsidRDefault="00102091" w:rsidP="00B959F6">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Nutritional enhancement pathways</w:t>
            </w:r>
          </w:p>
        </w:tc>
        <w:tc>
          <w:tcPr>
            <w:tcW w:w="0" w:type="auto"/>
          </w:tcPr>
          <w:p w14:paraId="52B78F5B" w14:textId="77777777" w:rsidR="00102091" w:rsidRPr="00B959F6" w:rsidRDefault="00102091" w:rsidP="00D31C73">
            <w:pPr>
              <w:jc w:val="both"/>
              <w:cnfStyle w:val="000000000000" w:firstRow="0" w:lastRow="0" w:firstColumn="0" w:lastColumn="0" w:oddVBand="0" w:evenVBand="0" w:oddHBand="0" w:evenHBand="0" w:firstRowFirstColumn="0" w:firstRowLastColumn="0" w:lastRowFirstColumn="0" w:lastRowLastColumn="0"/>
              <w:rPr>
                <w:b/>
                <w:sz w:val="18"/>
                <w:szCs w:val="18"/>
              </w:rPr>
            </w:pPr>
            <w:r w:rsidRPr="00B959F6">
              <w:rPr>
                <w:b/>
                <w:sz w:val="18"/>
                <w:szCs w:val="18"/>
              </w:rPr>
              <w:t>None</w:t>
            </w:r>
          </w:p>
        </w:tc>
        <w:tc>
          <w:tcPr>
            <w:tcW w:w="0" w:type="auto"/>
            <w:vMerge w:val="restart"/>
          </w:tcPr>
          <w:p w14:paraId="67037CDC" w14:textId="77777777" w:rsidR="00102091" w:rsidRPr="00B959F6" w:rsidRDefault="00102091" w:rsidP="00D31C73">
            <w:pPr>
              <w:jc w:val="both"/>
              <w:cnfStyle w:val="000000000000" w:firstRow="0" w:lastRow="0" w:firstColumn="0" w:lastColumn="0" w:oddVBand="0" w:evenVBand="0" w:oddHBand="0" w:evenHBand="0" w:firstRowFirstColumn="0" w:firstRowLastColumn="0" w:lastRowFirstColumn="0" w:lastRowLastColumn="0"/>
              <w:rPr>
                <w:sz w:val="18"/>
                <w:szCs w:val="18"/>
              </w:rPr>
            </w:pPr>
            <w:r w:rsidRPr="00B959F6">
              <w:rPr>
                <w:b/>
                <w:sz w:val="18"/>
                <w:szCs w:val="18"/>
              </w:rPr>
              <w:t>None</w:t>
            </w:r>
            <w:r w:rsidRPr="00B959F6">
              <w:rPr>
                <w:sz w:val="18"/>
                <w:szCs w:val="18"/>
              </w:rPr>
              <w:t>, not enough to inactivate prions transmission risks when reused as feed.</w:t>
            </w:r>
          </w:p>
        </w:tc>
        <w:tc>
          <w:tcPr>
            <w:tcW w:w="0" w:type="auto"/>
            <w:vMerge w:val="restart"/>
          </w:tcPr>
          <w:p w14:paraId="0BD9E5DB" w14:textId="77777777" w:rsidR="00102091" w:rsidRPr="00B959F6" w:rsidRDefault="00102091" w:rsidP="00D31C73">
            <w:pPr>
              <w:jc w:val="both"/>
              <w:cnfStyle w:val="000000000000" w:firstRow="0" w:lastRow="0" w:firstColumn="0" w:lastColumn="0" w:oddVBand="0" w:evenVBand="0" w:oddHBand="0" w:evenHBand="0" w:firstRowFirstColumn="0" w:firstRowLastColumn="0" w:lastRowFirstColumn="0" w:lastRowLastColumn="0"/>
              <w:rPr>
                <w:sz w:val="18"/>
                <w:szCs w:val="18"/>
              </w:rPr>
            </w:pPr>
            <w:r w:rsidRPr="00B959F6">
              <w:rPr>
                <w:b/>
                <w:sz w:val="18"/>
                <w:szCs w:val="18"/>
              </w:rPr>
              <w:t>No need:</w:t>
            </w:r>
            <w:r w:rsidRPr="00B959F6">
              <w:rPr>
                <w:sz w:val="18"/>
                <w:szCs w:val="18"/>
              </w:rPr>
              <w:t xml:space="preserve"> already considered safe enough for direct reuse as feed ingredients (when not prevented by other barriers such as digestibility)</w:t>
            </w:r>
          </w:p>
        </w:tc>
      </w:tr>
      <w:tr w:rsidR="00102091" w:rsidRPr="00B959F6" w14:paraId="555B7F19" w14:textId="77777777" w:rsidTr="00B959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5CE4E2C" w14:textId="77777777" w:rsidR="00102091" w:rsidRPr="00B959F6" w:rsidRDefault="00102091" w:rsidP="00D31C73">
            <w:pPr>
              <w:jc w:val="right"/>
              <w:rPr>
                <w:sz w:val="18"/>
                <w:szCs w:val="18"/>
              </w:rPr>
            </w:pPr>
            <w:r w:rsidRPr="00B959F6">
              <w:rPr>
                <w:sz w:val="18"/>
                <w:szCs w:val="18"/>
              </w:rPr>
              <w:t>Extraction</w:t>
            </w:r>
          </w:p>
        </w:tc>
        <w:tc>
          <w:tcPr>
            <w:tcW w:w="0" w:type="auto"/>
          </w:tcPr>
          <w:p w14:paraId="1699BE4F" w14:textId="77777777" w:rsidR="00102091" w:rsidRPr="00B959F6" w:rsidRDefault="00102091" w:rsidP="00B959F6">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Proteins recovery from agrifood co-products, green residual biomasses and activated sludge</w:t>
            </w:r>
          </w:p>
        </w:tc>
        <w:tc>
          <w:tcPr>
            <w:tcW w:w="0" w:type="auto"/>
          </w:tcPr>
          <w:p w14:paraId="2326ABC0" w14:textId="77777777" w:rsidR="00102091" w:rsidRPr="00B959F6" w:rsidRDefault="00102091" w:rsidP="00D31C73">
            <w:pPr>
              <w:jc w:val="both"/>
              <w:cnfStyle w:val="000000100000" w:firstRow="0" w:lastRow="0" w:firstColumn="0" w:lastColumn="0" w:oddVBand="0" w:evenVBand="0" w:oddHBand="1" w:evenHBand="0" w:firstRowFirstColumn="0" w:firstRowLastColumn="0" w:lastRowFirstColumn="0" w:lastRowLastColumn="0"/>
              <w:rPr>
                <w:sz w:val="18"/>
                <w:szCs w:val="18"/>
              </w:rPr>
            </w:pPr>
            <w:r w:rsidRPr="00B959F6">
              <w:rPr>
                <w:b/>
                <w:sz w:val="18"/>
                <w:szCs w:val="18"/>
              </w:rPr>
              <w:t xml:space="preserve">None </w:t>
            </w:r>
            <w:r w:rsidRPr="00B959F6">
              <w:rPr>
                <w:sz w:val="18"/>
                <w:szCs w:val="18"/>
                <w:vertAlign w:val="superscript"/>
              </w:rPr>
              <w:t>c</w:t>
            </w:r>
            <w:r w:rsidRPr="00B959F6">
              <w:rPr>
                <w:sz w:val="18"/>
                <w:szCs w:val="18"/>
              </w:rPr>
              <w:t>: current technical difficulties of refining and purifying complex solid structures or liquid matrices to reach food standards.</w:t>
            </w:r>
          </w:p>
        </w:tc>
        <w:tc>
          <w:tcPr>
            <w:tcW w:w="0" w:type="auto"/>
            <w:vMerge/>
          </w:tcPr>
          <w:p w14:paraId="1D97B06E" w14:textId="77777777" w:rsidR="00102091" w:rsidRPr="00B959F6" w:rsidRDefault="00102091" w:rsidP="00D31C73">
            <w:pPr>
              <w:jc w:val="both"/>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tcPr>
          <w:p w14:paraId="5F5830F8" w14:textId="77777777" w:rsidR="00102091" w:rsidRPr="00B959F6" w:rsidRDefault="00102091" w:rsidP="00D31C73">
            <w:pPr>
              <w:cnfStyle w:val="000000100000" w:firstRow="0" w:lastRow="0" w:firstColumn="0" w:lastColumn="0" w:oddVBand="0" w:evenVBand="0" w:oddHBand="1" w:evenHBand="0" w:firstRowFirstColumn="0" w:firstRowLastColumn="0" w:lastRowFirstColumn="0" w:lastRowLastColumn="0"/>
              <w:rPr>
                <w:sz w:val="18"/>
                <w:szCs w:val="18"/>
              </w:rPr>
            </w:pPr>
          </w:p>
        </w:tc>
      </w:tr>
      <w:tr w:rsidR="00102091" w:rsidRPr="00B959F6" w14:paraId="01D7168F" w14:textId="77777777" w:rsidTr="00B959F6">
        <w:tc>
          <w:tcPr>
            <w:cnfStyle w:val="001000000000" w:firstRow="0" w:lastRow="0" w:firstColumn="1" w:lastColumn="0" w:oddVBand="0" w:evenVBand="0" w:oddHBand="0" w:evenHBand="0" w:firstRowFirstColumn="0" w:firstRowLastColumn="0" w:lastRowFirstColumn="0" w:lastRowLastColumn="0"/>
            <w:tcW w:w="0" w:type="auto"/>
          </w:tcPr>
          <w:p w14:paraId="3227B63A" w14:textId="77777777" w:rsidR="00102091" w:rsidRPr="00B959F6" w:rsidRDefault="00102091" w:rsidP="00D31C73">
            <w:pPr>
              <w:jc w:val="right"/>
              <w:rPr>
                <w:sz w:val="18"/>
                <w:szCs w:val="18"/>
              </w:rPr>
            </w:pPr>
            <w:r w:rsidRPr="00B959F6">
              <w:rPr>
                <w:sz w:val="18"/>
                <w:szCs w:val="18"/>
              </w:rPr>
              <w:t>Bioconversion</w:t>
            </w:r>
          </w:p>
        </w:tc>
        <w:tc>
          <w:tcPr>
            <w:tcW w:w="0" w:type="auto"/>
          </w:tcPr>
          <w:p w14:paraId="3886A83C" w14:textId="77777777" w:rsidR="00102091" w:rsidRPr="00B959F6" w:rsidRDefault="00102091" w:rsidP="00B959F6">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Only direct bioconversion, rest of (indirect) bioconversion pathways act after cracking / Wastewater-to-nutrition pathways / Insects bioconversion</w:t>
            </w:r>
          </w:p>
        </w:tc>
        <w:tc>
          <w:tcPr>
            <w:tcW w:w="0" w:type="auto"/>
          </w:tcPr>
          <w:p w14:paraId="20F0E57C" w14:textId="77777777" w:rsidR="00102091" w:rsidRPr="00B959F6" w:rsidRDefault="00102091" w:rsidP="00D31C73">
            <w:pPr>
              <w:jc w:val="both"/>
              <w:cnfStyle w:val="000000000000" w:firstRow="0" w:lastRow="0" w:firstColumn="0" w:lastColumn="0" w:oddVBand="0" w:evenVBand="0" w:oddHBand="0" w:evenHBand="0" w:firstRowFirstColumn="0" w:firstRowLastColumn="0" w:lastRowFirstColumn="0" w:lastRowLastColumn="0"/>
              <w:rPr>
                <w:sz w:val="18"/>
                <w:szCs w:val="18"/>
              </w:rPr>
            </w:pPr>
            <w:r w:rsidRPr="00B959F6">
              <w:rPr>
                <w:b/>
                <w:sz w:val="18"/>
                <w:szCs w:val="18"/>
              </w:rPr>
              <w:t xml:space="preserve">None </w:t>
            </w:r>
            <w:r w:rsidRPr="00B959F6">
              <w:rPr>
                <w:sz w:val="18"/>
                <w:szCs w:val="18"/>
                <w:vertAlign w:val="superscript"/>
              </w:rPr>
              <w:t>d</w:t>
            </w:r>
            <w:r w:rsidRPr="00B959F6">
              <w:rPr>
                <w:sz w:val="18"/>
                <w:szCs w:val="18"/>
              </w:rPr>
              <w:t>: risk of bioaccumulation and neoformed compounds. To add to the limitations of the extraction block.</w:t>
            </w:r>
          </w:p>
        </w:tc>
        <w:tc>
          <w:tcPr>
            <w:tcW w:w="0" w:type="auto"/>
          </w:tcPr>
          <w:p w14:paraId="54A077CC" w14:textId="77777777" w:rsidR="00102091" w:rsidRPr="00B959F6" w:rsidRDefault="00102091" w:rsidP="00D31C73">
            <w:pPr>
              <w:jc w:val="both"/>
              <w:cnfStyle w:val="000000000000" w:firstRow="0" w:lastRow="0" w:firstColumn="0" w:lastColumn="0" w:oddVBand="0" w:evenVBand="0" w:oddHBand="0" w:evenHBand="0" w:firstRowFirstColumn="0" w:firstRowLastColumn="0" w:lastRowFirstColumn="0" w:lastRowLastColumn="0"/>
              <w:rPr>
                <w:sz w:val="18"/>
                <w:szCs w:val="18"/>
              </w:rPr>
            </w:pPr>
            <w:r w:rsidRPr="00B959F6">
              <w:rPr>
                <w:b/>
                <w:sz w:val="18"/>
                <w:szCs w:val="18"/>
              </w:rPr>
              <w:t>None</w:t>
            </w:r>
            <w:r w:rsidRPr="00B959F6">
              <w:rPr>
                <w:sz w:val="18"/>
                <w:szCs w:val="18"/>
              </w:rPr>
              <w:t>: precisely what aims to avoid current legislation, because prions are transmissible through direct bioconversion of animal by-products by other animals (difference between intra and/or inter-species recycling).</w:t>
            </w:r>
          </w:p>
          <w:p w14:paraId="2B20BE54" w14:textId="66FE8744" w:rsidR="00102091" w:rsidRPr="00B959F6" w:rsidRDefault="00102091" w:rsidP="00D31C73">
            <w:pPr>
              <w:jc w:val="both"/>
              <w:cnfStyle w:val="000000000000" w:firstRow="0" w:lastRow="0" w:firstColumn="0" w:lastColumn="0" w:oddVBand="0" w:evenVBand="0" w:oddHBand="0" w:evenHBand="0" w:firstRowFirstColumn="0" w:firstRowLastColumn="0" w:lastRowFirstColumn="0" w:lastRowLastColumn="0"/>
              <w:rPr>
                <w:sz w:val="18"/>
                <w:szCs w:val="18"/>
              </w:rPr>
            </w:pPr>
            <w:r w:rsidRPr="00B959F6">
              <w:rPr>
                <w:b/>
                <w:sz w:val="18"/>
                <w:szCs w:val="18"/>
              </w:rPr>
              <w:t>Unknown risks for novel livestock</w:t>
            </w:r>
            <w:r w:rsidRPr="00B959F6">
              <w:rPr>
                <w:sz w:val="18"/>
                <w:szCs w:val="18"/>
              </w:rPr>
              <w:t xml:space="preserve"> (e.g. insects)</w:t>
            </w:r>
            <w:r w:rsidRPr="00B959F6">
              <w:rPr>
                <w:sz w:val="18"/>
                <w:szCs w:val="18"/>
              </w:rPr>
              <w:fldChar w:fldCharType="begin"/>
            </w:r>
            <w:r w:rsidR="00682E10" w:rsidRPr="00B959F6">
              <w:rPr>
                <w:sz w:val="18"/>
                <w:szCs w:val="18"/>
              </w:rPr>
              <w:instrText xml:space="preserve"> ADDIN ZOTERO_ITEM CSL_CITATION {"citationID":"7UQsR2QA","properties":{"formattedCitation":"\\super 18\\nosupersub{}","plainCitation":"18","noteIndex":0},"citationItems":[{"id":13116,"uris":["http://zotero.org/users/6423791/items/4F98PUNJ"],"itemData":{"id":13116,"type":"article-journal","abstract":"Circular economy (CE) is an approach that decouples economic activity from the consumption of finite resources, designs out waste, and instead promotes an economic model based on sharing, leasing, reuse, repair, refurbishment and recycling, in an (almost) closed loop. This extensive literature review identified and categorised CE practices within all stages of the food and feed production chain in Europe to provide an overview of current and envisaged practices. Four broad macro areas were identified within which CE practices are envisaged or currently used in Europe: primary production of food and feed; reducing industrial/manufacturing/processing waste; reducing food and feed waste in wholesale, food retail, catering and households; and reducing food and feed packaging waste. In each macro area, there were a variety of practices of interest regarding emerging risk to plant, animal, human health and the environment.","container-title":"EFSA Supporting Publications","DOI":"10.2903/sp.efsa.2022.EN-7226","ISSN":"23978325, 23978325","issue":"3","journalAbbreviation":"EFS3","language":"en","source":"DOI.org (CSL JSON)","title":"Food and feed safety vulnerabilities in the circular economy","URL":"https://data.europa.eu/doi/10.2903/sp.efsa.2022.EN-7226","volume":"19","author":[{"family":"James","given":"Katy"},{"family":"Millington","given":"Anthony"},{"family":"Randall","given":"Nicola"}],"accessed":{"date-parts":[["2022",3,22]]},"issued":{"date-parts":[["2022",3]]}}}],"schema":"https://github.com/citation-style-language/schema/raw/master/csl-citation.json"} </w:instrText>
            </w:r>
            <w:r w:rsidRPr="00B959F6">
              <w:rPr>
                <w:sz w:val="18"/>
                <w:szCs w:val="18"/>
              </w:rPr>
              <w:fldChar w:fldCharType="separate"/>
            </w:r>
            <w:r w:rsidR="00682E10" w:rsidRPr="00B959F6">
              <w:rPr>
                <w:rFonts w:ascii="Calibri" w:hAnsi="Calibri" w:cs="Calibri"/>
                <w:sz w:val="18"/>
                <w:szCs w:val="18"/>
                <w:vertAlign w:val="superscript"/>
              </w:rPr>
              <w:t>18</w:t>
            </w:r>
            <w:r w:rsidRPr="00B959F6">
              <w:rPr>
                <w:sz w:val="18"/>
                <w:szCs w:val="18"/>
              </w:rPr>
              <w:fldChar w:fldCharType="end"/>
            </w:r>
          </w:p>
        </w:tc>
        <w:tc>
          <w:tcPr>
            <w:tcW w:w="0" w:type="auto"/>
            <w:vMerge/>
          </w:tcPr>
          <w:p w14:paraId="2232619A" w14:textId="77777777" w:rsidR="00102091" w:rsidRPr="00B959F6" w:rsidRDefault="00102091" w:rsidP="00D31C73">
            <w:pPr>
              <w:cnfStyle w:val="000000000000" w:firstRow="0" w:lastRow="0" w:firstColumn="0" w:lastColumn="0" w:oddVBand="0" w:evenVBand="0" w:oddHBand="0" w:evenHBand="0" w:firstRowFirstColumn="0" w:firstRowLastColumn="0" w:lastRowFirstColumn="0" w:lastRowLastColumn="0"/>
              <w:rPr>
                <w:sz w:val="18"/>
                <w:szCs w:val="18"/>
              </w:rPr>
            </w:pPr>
          </w:p>
        </w:tc>
      </w:tr>
      <w:tr w:rsidR="00102091" w:rsidRPr="00B959F6" w14:paraId="44A49BF0" w14:textId="77777777" w:rsidTr="00B959F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389159C" w14:textId="77777777" w:rsidR="00102091" w:rsidRPr="00B959F6" w:rsidRDefault="00102091" w:rsidP="00D31C73">
            <w:pPr>
              <w:jc w:val="right"/>
              <w:rPr>
                <w:b w:val="0"/>
                <w:bCs w:val="0"/>
                <w:sz w:val="18"/>
                <w:szCs w:val="18"/>
              </w:rPr>
            </w:pPr>
            <w:r w:rsidRPr="00B959F6">
              <w:rPr>
                <w:sz w:val="18"/>
                <w:szCs w:val="18"/>
              </w:rPr>
              <w:t xml:space="preserve">Cracking </w:t>
            </w:r>
          </w:p>
          <w:p w14:paraId="2D0EDB37" w14:textId="77777777" w:rsidR="00102091" w:rsidRPr="00B959F6" w:rsidRDefault="00102091" w:rsidP="00D31C73">
            <w:pPr>
              <w:jc w:val="right"/>
              <w:rPr>
                <w:sz w:val="18"/>
                <w:szCs w:val="18"/>
              </w:rPr>
            </w:pPr>
            <w:r w:rsidRPr="00B959F6">
              <w:rPr>
                <w:sz w:val="18"/>
                <w:szCs w:val="18"/>
              </w:rPr>
              <w:t>(to soluble nutrients)</w:t>
            </w:r>
          </w:p>
        </w:tc>
        <w:tc>
          <w:tcPr>
            <w:tcW w:w="0" w:type="auto"/>
          </w:tcPr>
          <w:p w14:paraId="2DFC99C9" w14:textId="77777777" w:rsidR="00102091" w:rsidRPr="00B959F6" w:rsidRDefault="00102091" w:rsidP="00B959F6">
            <w:pPr>
              <w:cnfStyle w:val="000000100000" w:firstRow="0" w:lastRow="0" w:firstColumn="0" w:lastColumn="0" w:oddVBand="0" w:evenVBand="0" w:oddHBand="1" w:evenHBand="0" w:firstRowFirstColumn="0" w:firstRowLastColumn="0" w:lastRowFirstColumn="0" w:lastRowLastColumn="0"/>
              <w:rPr>
                <w:sz w:val="18"/>
                <w:szCs w:val="18"/>
              </w:rPr>
            </w:pPr>
            <w:r w:rsidRPr="00B959F6">
              <w:rPr>
                <w:sz w:val="18"/>
                <w:szCs w:val="18"/>
              </w:rPr>
              <w:t>Amino acids recovery from slaughterhouse by-products / Lignocellulosic feedstocks to sugars and dietary fibers / Liquid substrate alternative for microbial bioconversion</w:t>
            </w:r>
          </w:p>
        </w:tc>
        <w:tc>
          <w:tcPr>
            <w:tcW w:w="0" w:type="auto"/>
          </w:tcPr>
          <w:p w14:paraId="4EA46E77" w14:textId="77777777" w:rsidR="00102091" w:rsidRPr="00B959F6" w:rsidRDefault="00102091" w:rsidP="00D31C73">
            <w:pPr>
              <w:jc w:val="both"/>
              <w:cnfStyle w:val="000000100000" w:firstRow="0" w:lastRow="0" w:firstColumn="0" w:lastColumn="0" w:oddVBand="0" w:evenVBand="0" w:oddHBand="1" w:evenHBand="0" w:firstRowFirstColumn="0" w:firstRowLastColumn="0" w:lastRowFirstColumn="0" w:lastRowLastColumn="0"/>
              <w:rPr>
                <w:sz w:val="18"/>
                <w:szCs w:val="18"/>
              </w:rPr>
            </w:pPr>
            <w:r w:rsidRPr="00B959F6">
              <w:rPr>
                <w:b/>
                <w:sz w:val="18"/>
                <w:szCs w:val="18"/>
              </w:rPr>
              <w:t>None</w:t>
            </w:r>
            <w:r w:rsidRPr="00B959F6">
              <w:rPr>
                <w:sz w:val="18"/>
                <w:szCs w:val="18"/>
              </w:rPr>
              <w:t>: Risks remain latent in the lysed medium (small molecular scale toxicity remaining from the input and potentially neoformed), and not confidently mitigated by extraction or bioconversion as pre/post treatments (see corresponding lines)</w:t>
            </w:r>
          </w:p>
        </w:tc>
        <w:tc>
          <w:tcPr>
            <w:tcW w:w="0" w:type="auto"/>
          </w:tcPr>
          <w:p w14:paraId="152E98C9" w14:textId="77777777" w:rsidR="00102091" w:rsidRPr="00B959F6" w:rsidRDefault="00102091" w:rsidP="00D31C73">
            <w:pPr>
              <w:jc w:val="both"/>
              <w:cnfStyle w:val="000000100000" w:firstRow="0" w:lastRow="0" w:firstColumn="0" w:lastColumn="0" w:oddVBand="0" w:evenVBand="0" w:oddHBand="1" w:evenHBand="0" w:firstRowFirstColumn="0" w:firstRowLastColumn="0" w:lastRowFirstColumn="0" w:lastRowLastColumn="0"/>
              <w:rPr>
                <w:sz w:val="18"/>
                <w:szCs w:val="18"/>
              </w:rPr>
            </w:pPr>
            <w:r w:rsidRPr="00B959F6">
              <w:rPr>
                <w:b/>
                <w:sz w:val="18"/>
                <w:szCs w:val="18"/>
              </w:rPr>
              <w:t>Acceptable</w:t>
            </w:r>
            <w:r w:rsidRPr="00B959F6">
              <w:rPr>
                <w:sz w:val="18"/>
                <w:szCs w:val="18"/>
              </w:rPr>
              <w:t>: proteolysis already considered enough to inactivate risks linked to this category</w:t>
            </w:r>
          </w:p>
        </w:tc>
        <w:tc>
          <w:tcPr>
            <w:tcW w:w="0" w:type="auto"/>
            <w:vMerge/>
          </w:tcPr>
          <w:p w14:paraId="37A80A6C" w14:textId="77777777" w:rsidR="00102091" w:rsidRPr="00B959F6" w:rsidRDefault="00102091" w:rsidP="00D31C73">
            <w:pPr>
              <w:cnfStyle w:val="000000100000" w:firstRow="0" w:lastRow="0" w:firstColumn="0" w:lastColumn="0" w:oddVBand="0" w:evenVBand="0" w:oddHBand="1" w:evenHBand="0" w:firstRowFirstColumn="0" w:firstRowLastColumn="0" w:lastRowFirstColumn="0" w:lastRowLastColumn="0"/>
              <w:rPr>
                <w:sz w:val="18"/>
                <w:szCs w:val="18"/>
              </w:rPr>
            </w:pPr>
          </w:p>
        </w:tc>
      </w:tr>
      <w:tr w:rsidR="00102091" w:rsidRPr="00B959F6" w14:paraId="2CFF77DE" w14:textId="77777777" w:rsidTr="00B959F6">
        <w:tc>
          <w:tcPr>
            <w:cnfStyle w:val="001000000000" w:firstRow="0" w:lastRow="0" w:firstColumn="1" w:lastColumn="0" w:oddVBand="0" w:evenVBand="0" w:oddHBand="0" w:evenHBand="0" w:firstRowFirstColumn="0" w:firstRowLastColumn="0" w:lastRowFirstColumn="0" w:lastRowLastColumn="0"/>
            <w:tcW w:w="0" w:type="auto"/>
          </w:tcPr>
          <w:p w14:paraId="79FF23B2" w14:textId="77777777" w:rsidR="00102091" w:rsidRPr="00B959F6" w:rsidRDefault="00102091" w:rsidP="00D31C73">
            <w:pPr>
              <w:jc w:val="right"/>
              <w:rPr>
                <w:b w:val="0"/>
                <w:bCs w:val="0"/>
                <w:sz w:val="18"/>
                <w:szCs w:val="18"/>
              </w:rPr>
            </w:pPr>
            <w:r w:rsidRPr="00B959F6">
              <w:rPr>
                <w:sz w:val="18"/>
                <w:szCs w:val="18"/>
              </w:rPr>
              <w:t>Cracking</w:t>
            </w:r>
          </w:p>
          <w:p w14:paraId="4C0957E1" w14:textId="77777777" w:rsidR="00102091" w:rsidRPr="00B959F6" w:rsidRDefault="00102091" w:rsidP="00D31C73">
            <w:pPr>
              <w:jc w:val="right"/>
              <w:rPr>
                <w:sz w:val="18"/>
                <w:szCs w:val="18"/>
              </w:rPr>
            </w:pPr>
            <w:r w:rsidRPr="00B959F6">
              <w:rPr>
                <w:sz w:val="18"/>
                <w:szCs w:val="18"/>
              </w:rPr>
              <w:t>(to gases)</w:t>
            </w:r>
          </w:p>
        </w:tc>
        <w:tc>
          <w:tcPr>
            <w:tcW w:w="0" w:type="auto"/>
          </w:tcPr>
          <w:p w14:paraId="1D7D2217" w14:textId="77777777" w:rsidR="00102091" w:rsidRPr="00B959F6" w:rsidRDefault="00102091" w:rsidP="00B959F6">
            <w:pPr>
              <w:cnfStyle w:val="000000000000" w:firstRow="0" w:lastRow="0" w:firstColumn="0" w:lastColumn="0" w:oddVBand="0" w:evenVBand="0" w:oddHBand="0" w:evenHBand="0" w:firstRowFirstColumn="0" w:firstRowLastColumn="0" w:lastRowFirstColumn="0" w:lastRowLastColumn="0"/>
              <w:rPr>
                <w:sz w:val="18"/>
                <w:szCs w:val="18"/>
              </w:rPr>
            </w:pPr>
            <w:r w:rsidRPr="00B959F6">
              <w:rPr>
                <w:sz w:val="18"/>
                <w:szCs w:val="18"/>
              </w:rPr>
              <w:t>Gas-to-nutrition pathways</w:t>
            </w:r>
          </w:p>
        </w:tc>
        <w:tc>
          <w:tcPr>
            <w:tcW w:w="0" w:type="auto"/>
          </w:tcPr>
          <w:p w14:paraId="64918D8B" w14:textId="77777777" w:rsidR="00102091" w:rsidRPr="00B959F6" w:rsidRDefault="00102091" w:rsidP="00D31C73">
            <w:pPr>
              <w:jc w:val="both"/>
              <w:cnfStyle w:val="000000000000" w:firstRow="0" w:lastRow="0" w:firstColumn="0" w:lastColumn="0" w:oddVBand="0" w:evenVBand="0" w:oddHBand="0" w:evenHBand="0" w:firstRowFirstColumn="0" w:firstRowLastColumn="0" w:lastRowFirstColumn="0" w:lastRowLastColumn="0"/>
              <w:rPr>
                <w:sz w:val="18"/>
                <w:szCs w:val="18"/>
              </w:rPr>
            </w:pPr>
            <w:r w:rsidRPr="00B959F6">
              <w:rPr>
                <w:b/>
                <w:sz w:val="18"/>
                <w:szCs w:val="18"/>
              </w:rPr>
              <w:t>Acceptable</w:t>
            </w:r>
            <w:r w:rsidRPr="00B959F6">
              <w:rPr>
                <w:sz w:val="18"/>
                <w:szCs w:val="18"/>
              </w:rPr>
              <w:t xml:space="preserve">: combined deconstruction </w:t>
            </w:r>
            <w:r w:rsidRPr="00B959F6">
              <w:rPr>
                <w:sz w:val="18"/>
                <w:szCs w:val="18"/>
                <w:vertAlign w:val="superscript"/>
              </w:rPr>
              <w:t>e</w:t>
            </w:r>
            <w:r w:rsidRPr="00B959F6">
              <w:rPr>
                <w:sz w:val="18"/>
                <w:szCs w:val="18"/>
              </w:rPr>
              <w:t xml:space="preserve"> and phase separation. Volatile (light) compounds can be purified up to microbial production requirements with already high TRL techniques. Sanitary risks of the remaining solid/liquid phase as for the cracking (to solubles) case.</w:t>
            </w:r>
          </w:p>
        </w:tc>
        <w:tc>
          <w:tcPr>
            <w:tcW w:w="0" w:type="auto"/>
          </w:tcPr>
          <w:p w14:paraId="3EEFE862" w14:textId="77777777" w:rsidR="00102091" w:rsidRPr="00B959F6" w:rsidRDefault="00102091" w:rsidP="00D31C73">
            <w:pPr>
              <w:jc w:val="both"/>
              <w:cnfStyle w:val="000000000000" w:firstRow="0" w:lastRow="0" w:firstColumn="0" w:lastColumn="0" w:oddVBand="0" w:evenVBand="0" w:oddHBand="0" w:evenHBand="0" w:firstRowFirstColumn="0" w:firstRowLastColumn="0" w:lastRowFirstColumn="0" w:lastRowLastColumn="0"/>
              <w:rPr>
                <w:b/>
                <w:sz w:val="18"/>
                <w:szCs w:val="18"/>
              </w:rPr>
            </w:pPr>
            <w:r w:rsidRPr="00B959F6">
              <w:rPr>
                <w:b/>
                <w:sz w:val="18"/>
                <w:szCs w:val="18"/>
              </w:rPr>
              <w:t>No need</w:t>
            </w:r>
          </w:p>
        </w:tc>
        <w:tc>
          <w:tcPr>
            <w:tcW w:w="0" w:type="auto"/>
            <w:vMerge/>
          </w:tcPr>
          <w:p w14:paraId="14B2DE1B" w14:textId="77777777" w:rsidR="00102091" w:rsidRPr="00B959F6" w:rsidRDefault="00102091" w:rsidP="00D31C73">
            <w:pPr>
              <w:cnfStyle w:val="000000000000" w:firstRow="0" w:lastRow="0" w:firstColumn="0" w:lastColumn="0" w:oddVBand="0" w:evenVBand="0" w:oddHBand="0" w:evenHBand="0" w:firstRowFirstColumn="0" w:firstRowLastColumn="0" w:lastRowFirstColumn="0" w:lastRowLastColumn="0"/>
              <w:rPr>
                <w:sz w:val="18"/>
                <w:szCs w:val="18"/>
              </w:rPr>
            </w:pPr>
          </w:p>
        </w:tc>
      </w:tr>
    </w:tbl>
    <w:p w14:paraId="4A64BAD2" w14:textId="767FCD96" w:rsidR="00CE4EC1" w:rsidRDefault="00102091" w:rsidP="003A0A4C">
      <w:pPr>
        <w:jc w:val="both"/>
        <w:rPr>
          <w:sz w:val="18"/>
        </w:rPr>
      </w:pPr>
      <w:r>
        <w:rPr>
          <w:sz w:val="18"/>
        </w:rPr>
        <w:t xml:space="preserve">Summary of the potential of waste-to-nutrition conversion chains in mitigating safety risks associated with residual biomass streams. Those are qualitative considerations to provide a global picture. The risks linked with the processing activities themselves are not included here, these will be discussed case by case with the retained supply </w:t>
      </w:r>
      <w:r w:rsidRPr="00E90976">
        <w:rPr>
          <w:sz w:val="18"/>
        </w:rPr>
        <w:t>chains (</w:t>
      </w:r>
      <w:r w:rsidR="00A37C75" w:rsidRPr="00B959F6">
        <w:rPr>
          <w:b/>
          <w:sz w:val="18"/>
        </w:rPr>
        <w:t xml:space="preserve">section </w:t>
      </w:r>
      <w:r w:rsidR="00C913E1">
        <w:rPr>
          <w:b/>
          <w:sz w:val="18"/>
        </w:rPr>
        <w:t xml:space="preserve">SI. </w:t>
      </w:r>
      <w:r w:rsidR="00B959F6" w:rsidRPr="00B959F6">
        <w:rPr>
          <w:b/>
          <w:sz w:val="18"/>
        </w:rPr>
        <w:t>4</w:t>
      </w:r>
      <w:r w:rsidRPr="00E90976">
        <w:rPr>
          <w:sz w:val="18"/>
        </w:rPr>
        <w:t>).</w:t>
      </w:r>
      <w:r>
        <w:rPr>
          <w:sz w:val="18"/>
        </w:rPr>
        <w:t xml:space="preserve"> </w:t>
      </w:r>
      <w:r w:rsidR="00F22EB0">
        <w:rPr>
          <w:sz w:val="18"/>
        </w:rPr>
        <w:t>F</w:t>
      </w:r>
      <w:r>
        <w:rPr>
          <w:sz w:val="18"/>
        </w:rPr>
        <w:t>or this first screening, the technical and upscaling challenges of developing food-grade processing (e.g. for lignocellulosic fractionation) are considered not limiti</w:t>
      </w:r>
      <w:r w:rsidRPr="006D0995">
        <w:rPr>
          <w:sz w:val="18"/>
          <w:szCs w:val="18"/>
        </w:rPr>
        <w:t>ng</w:t>
      </w:r>
      <w:r w:rsidRPr="006D0995">
        <w:rPr>
          <w:sz w:val="18"/>
          <w:szCs w:val="18"/>
        </w:rPr>
        <w:fldChar w:fldCharType="begin"/>
      </w:r>
      <w:r w:rsidR="00682E10">
        <w:rPr>
          <w:sz w:val="18"/>
          <w:szCs w:val="18"/>
        </w:rPr>
        <w:instrText xml:space="preserve"> ADDIN ZOTERO_ITEM CSL_CITATION {"citationID":"d7bfZl9G","properties":{"formattedCitation":"\\super 25\\nosupersub{}","plainCitation":"25","noteIndex":0},"citationItems":[{"id":13067,"uris":["http://zotero.org/users/6423791/items/L4AHN66K"],"itemData":{"id":13067,"type":"article-journal","container-title":"Current Opinion in Biotechnology","DOI":"10.1016/j.copbio.2022.102707","ISSN":"09581669","journalAbbreviation":"Curr. Opin. Biotechnol.","language":"en","page":"102707","source":"DOI.org (Crossref)","title":"Industrial production of microbial protein products","volume":"75","author":[{"family":"Banks","given":"Mason"},{"family":"Johnson","given":"Rob"},{"family":"Giver","given":"Lori"},{"family":"Bryant","given":"Geoff"},{"family":"Guo","given":"Miao"}],"issued":{"date-parts":[["2022",6]]}}}],"schema":"https://github.com/citation-style-language/schema/raw/master/csl-citation.json"} </w:instrText>
      </w:r>
      <w:r w:rsidRPr="006D0995">
        <w:rPr>
          <w:sz w:val="18"/>
          <w:szCs w:val="18"/>
        </w:rPr>
        <w:fldChar w:fldCharType="separate"/>
      </w:r>
      <w:r w:rsidR="00682E10" w:rsidRPr="00682E10">
        <w:rPr>
          <w:rFonts w:ascii="Calibri" w:hAnsi="Calibri" w:cs="Calibri"/>
          <w:sz w:val="18"/>
          <w:szCs w:val="24"/>
          <w:vertAlign w:val="superscript"/>
        </w:rPr>
        <w:t>25</w:t>
      </w:r>
      <w:r w:rsidRPr="006D0995">
        <w:rPr>
          <w:sz w:val="18"/>
          <w:szCs w:val="18"/>
        </w:rPr>
        <w:fldChar w:fldCharType="end"/>
      </w:r>
      <w:r>
        <w:rPr>
          <w:sz w:val="18"/>
        </w:rPr>
        <w:t>. TRL: Technology Readiness Level.</w:t>
      </w:r>
      <w:r w:rsidR="003A0A4C">
        <w:rPr>
          <w:sz w:val="18"/>
        </w:rPr>
        <w:t xml:space="preserve"> </w:t>
      </w:r>
      <w:r>
        <w:rPr>
          <w:sz w:val="18"/>
          <w:vertAlign w:val="superscript"/>
        </w:rPr>
        <w:t>a</w:t>
      </w:r>
      <w:r>
        <w:rPr>
          <w:sz w:val="18"/>
        </w:rPr>
        <w:t>: Pathways core unit operation and families as defined in</w:t>
      </w:r>
      <w:r w:rsidR="00F22EB0">
        <w:rPr>
          <w:sz w:val="18"/>
        </w:rPr>
        <w:t xml:space="preserve"> Javourez et al., (2021)</w:t>
      </w:r>
      <w:r w:rsidR="00F22EB0" w:rsidRPr="00F22EB0">
        <w:rPr>
          <w:sz w:val="18"/>
        </w:rPr>
        <w:fldChar w:fldCharType="begin"/>
      </w:r>
      <w:r w:rsidR="00682E10">
        <w:rPr>
          <w:sz w:val="18"/>
        </w:rPr>
        <w:instrText xml:space="preserve"> ADDIN ZOTERO_ITEM CSL_CITATION {"citationID":"a2btcvg8p6g","properties":{"formattedCitation":"\\super 2\\nosupersub{}","plainCitation":"2","noteIndex":0},"citationItems":[{"id":12313,"uris":["http://zotero.org/users/6423791/items/U9PTD6XB"],"itemData":{"id":12313,"type":"article-journal","abstract":"Residual biomass is acknowledged as a key sustainable feedstock for the transition towards circular and low fossil carbon economies to supply whether energy, chemical, material and food products or services. The latter is receiving increasing attention, in particular in the perspective of decoupling nutrition from arable land demand. In order to provide a comprehensive overview of the technical possibilities to convert residual biomasses into edible ingredients, we reviewed over 950 scientific and industrial records documenting existing and emerging waste-to-nutrition pathways, involving over 150 different feedstocks here grouped under 10 umbrella categories: (i) wood-related residual biomass, (ii) primary crop residues, (iii) manure, (iv) food waste, (v) sludge and wastewater, (vi) green residual biomass, (vii) slaughterhouse by-products, (viii) agrifood co-products, (ix) C1 gases and (x) others. The review includes a detailed description of these pathways, as well as the processes they involve. As a result, we proposed four generic building blocks to systematize waste-to-nutrition conversion sequence patterns, namely enhancement, cracking, extraction and bioconversion. We further introduce a multidimensional representation of the biomasses suitability as potential as nutritional sources according to (i) their content in anti-nutritional compounds, (ii) their degree of structural complexity and (iii) their concentration of macro- and micronutrients. Finally, we suggest that the different pathways can be grouped into eight large families of approaches: (i) insect biorefinery, (ii) green biorefinery, (iii) lignocellulosic biorefinery, (iv) non-soluble protein recovery, (v) gas-intermediate biorefinery, (vi) liquid substrate alternative, (vii) solid-substrate fermentation and (viii) more-out-of-slaughterhouse by-products. The proposed framework aims to support future research in waste recovery and valorization within food systems, along with stimulating reflections on the improvement of resources’ cascading use.","container-title":"Biotechnology Advances","DOI":"10.1016/j.biotechadv.2021.107857","ISSN":"0734-9750","journalAbbreviation":"Biotechnol. Adv.","language":"en","page":"107857","source":"ScienceDirect","title":"Waste-to-nutrition: a review of current and emerging conversion pathways","title-short":"Waste-to-nutrition","volume":"53","author":[{"family":"Javourez","given":"U."},{"family":"O’Donohue","given":"M."},{"family":"Hamelin","given":"L."}],"issued":{"date-parts":[["2021",12,1]]}}}],"schema":"https://github.com/citation-style-language/schema/raw/master/csl-citation.json"} </w:instrText>
      </w:r>
      <w:r w:rsidR="00F22EB0" w:rsidRPr="00F22EB0">
        <w:rPr>
          <w:sz w:val="18"/>
        </w:rPr>
        <w:fldChar w:fldCharType="separate"/>
      </w:r>
      <w:r w:rsidR="00682E10" w:rsidRPr="00682E10">
        <w:rPr>
          <w:rFonts w:ascii="Calibri" w:hAnsi="Calibri" w:cs="Calibri"/>
          <w:sz w:val="18"/>
          <w:szCs w:val="24"/>
          <w:vertAlign w:val="superscript"/>
        </w:rPr>
        <w:t>2</w:t>
      </w:r>
      <w:r w:rsidR="00F22EB0" w:rsidRPr="00F22EB0">
        <w:rPr>
          <w:sz w:val="18"/>
        </w:rPr>
        <w:fldChar w:fldCharType="end"/>
      </w:r>
      <w:r>
        <w:rPr>
          <w:sz w:val="18"/>
        </w:rPr>
        <w:t>. The cracking building block was separated in two sub-blocks.</w:t>
      </w:r>
      <w:r w:rsidR="003A0A4C">
        <w:rPr>
          <w:sz w:val="18"/>
        </w:rPr>
        <w:t xml:space="preserve"> </w:t>
      </w:r>
      <w:r>
        <w:rPr>
          <w:sz w:val="18"/>
          <w:vertAlign w:val="superscript"/>
        </w:rPr>
        <w:t>b</w:t>
      </w:r>
      <w:r>
        <w:rPr>
          <w:sz w:val="18"/>
        </w:rPr>
        <w:t>: Interpretation of current EU Animal by-products regulations, here considering feed markets</w:t>
      </w:r>
      <w:r w:rsidR="003A0A4C">
        <w:rPr>
          <w:sz w:val="18"/>
        </w:rPr>
        <w:t xml:space="preserve">. </w:t>
      </w:r>
      <w:r>
        <w:rPr>
          <w:sz w:val="18"/>
          <w:vertAlign w:val="superscript"/>
        </w:rPr>
        <w:t>c</w:t>
      </w:r>
      <w:r>
        <w:rPr>
          <w:sz w:val="18"/>
        </w:rPr>
        <w:t xml:space="preserve">: Mostly linked to the intrinsic </w:t>
      </w:r>
      <w:r w:rsidRPr="00CF6BB9">
        <w:rPr>
          <w:i/>
          <w:sz w:val="18"/>
        </w:rPr>
        <w:t>a-priori</w:t>
      </w:r>
      <w:r>
        <w:rPr>
          <w:sz w:val="18"/>
        </w:rPr>
        <w:t xml:space="preserve"> unknown nature of the potential substances present within the input</w:t>
      </w:r>
      <w:r w:rsidR="003A0A4C">
        <w:rPr>
          <w:sz w:val="18"/>
        </w:rPr>
        <w:t xml:space="preserve">. </w:t>
      </w:r>
      <w:r>
        <w:rPr>
          <w:sz w:val="18"/>
          <w:vertAlign w:val="superscript"/>
        </w:rPr>
        <w:t>d</w:t>
      </w:r>
      <w:r>
        <w:rPr>
          <w:sz w:val="18"/>
        </w:rPr>
        <w:t>: Only reported exception: the use of streams compliant with the EU fertilizing product regulation for fungiculture, considered as an agronomy practice by EU legislation (</w:t>
      </w:r>
      <w:r w:rsidR="00B959F6">
        <w:rPr>
          <w:sz w:val="18"/>
        </w:rPr>
        <w:t>i.e. fungiculture assimilated as crop culture</w:t>
      </w:r>
      <w:r w:rsidRPr="00F22EB0">
        <w:rPr>
          <w:sz w:val="18"/>
        </w:rPr>
        <w:t>)</w:t>
      </w:r>
      <w:r w:rsidR="003A0A4C">
        <w:rPr>
          <w:sz w:val="18"/>
        </w:rPr>
        <w:t xml:space="preserve">. </w:t>
      </w:r>
      <w:r>
        <w:rPr>
          <w:sz w:val="18"/>
          <w:vertAlign w:val="superscript"/>
        </w:rPr>
        <w:t>e</w:t>
      </w:r>
      <w:r>
        <w:rPr>
          <w:sz w:val="18"/>
        </w:rPr>
        <w:t>: Anaerobic digestion consists in a complex chain of bioconversion operations, but here is considered as a black box converting organic inputs into biogas and digestate (hence from the gas standpoint, a cracking operation has been developed).</w:t>
      </w:r>
    </w:p>
    <w:p w14:paraId="01E5C800" w14:textId="77777777" w:rsidR="007E5651" w:rsidRPr="007E5651" w:rsidRDefault="007E5651" w:rsidP="007E5651">
      <w:pPr>
        <w:jc w:val="both"/>
      </w:pPr>
      <w:r w:rsidRPr="007E5651">
        <w:t>Third, the following principles were used to refine the selection of waste-to-nutrition pathways for further assessments. The pathways should preferably (in order):</w:t>
      </w:r>
    </w:p>
    <w:p w14:paraId="673649F1" w14:textId="77777777" w:rsidR="007E5651" w:rsidRPr="007E5651" w:rsidRDefault="007E5651" w:rsidP="00027C37">
      <w:pPr>
        <w:pStyle w:val="Paragraphedeliste"/>
        <w:numPr>
          <w:ilvl w:val="0"/>
          <w:numId w:val="4"/>
        </w:numPr>
      </w:pPr>
      <w:r w:rsidRPr="007E5651">
        <w:lastRenderedPageBreak/>
        <w:t xml:space="preserve">be based on </w:t>
      </w:r>
      <w:r w:rsidRPr="007E5651">
        <w:rPr>
          <w:b/>
        </w:rPr>
        <w:t>unavoidable</w:t>
      </w:r>
      <w:r w:rsidRPr="007E5651">
        <w:t xml:space="preserve"> residual biomass streams (under current production patterns).</w:t>
      </w:r>
    </w:p>
    <w:p w14:paraId="28BF8742" w14:textId="77777777" w:rsidR="007E5651" w:rsidRPr="007E5651" w:rsidRDefault="007E5651" w:rsidP="00027C37">
      <w:pPr>
        <w:pStyle w:val="Paragraphedeliste"/>
        <w:numPr>
          <w:ilvl w:val="0"/>
          <w:numId w:val="4"/>
        </w:numPr>
      </w:pPr>
      <w:r w:rsidRPr="007E5651">
        <w:rPr>
          <w:b/>
        </w:rPr>
        <w:t>upgrade current use</w:t>
      </w:r>
      <w:r w:rsidRPr="007E5651">
        <w:t xml:space="preserve"> of the target streams regarding its contribution to food system (</w:t>
      </w:r>
      <w:r>
        <w:t>according to the waste management hierarchy framework</w:t>
      </w:r>
      <w:r w:rsidRPr="007E5651">
        <w:t>).</w:t>
      </w:r>
    </w:p>
    <w:p w14:paraId="56B4BE40" w14:textId="433DDE78" w:rsidR="007E5651" w:rsidRPr="007E5651" w:rsidRDefault="007E5651" w:rsidP="00027C37">
      <w:pPr>
        <w:pStyle w:val="Paragraphedeliste"/>
        <w:numPr>
          <w:ilvl w:val="0"/>
          <w:numId w:val="4"/>
        </w:numPr>
      </w:pPr>
      <w:r w:rsidRPr="007E5651">
        <w:rPr>
          <w:b/>
        </w:rPr>
        <w:t>ensure</w:t>
      </w:r>
      <w:r w:rsidRPr="007E5651">
        <w:t xml:space="preserve"> acceptable </w:t>
      </w:r>
      <w:r w:rsidRPr="007E5651">
        <w:rPr>
          <w:b/>
        </w:rPr>
        <w:t>safety</w:t>
      </w:r>
      <w:r w:rsidRPr="007E5651">
        <w:t xml:space="preserve"> </w:t>
      </w:r>
      <w:r w:rsidRPr="007E5651">
        <w:rPr>
          <w:b/>
        </w:rPr>
        <w:t>risk mitigation</w:t>
      </w:r>
      <w:r w:rsidRPr="007E5651">
        <w:t xml:space="preserve"> potential (as previously defined, see </w:t>
      </w:r>
      <w:r w:rsidRPr="00A37C75">
        <w:rPr>
          <w:b/>
        </w:rPr>
        <w:fldChar w:fldCharType="begin"/>
      </w:r>
      <w:r w:rsidRPr="00A37C75">
        <w:rPr>
          <w:b/>
        </w:rPr>
        <w:instrText xml:space="preserve"> REF _Ref144722000 \h </w:instrText>
      </w:r>
      <w:r>
        <w:rPr>
          <w:b/>
        </w:rPr>
        <w:instrText xml:space="preserve"> \* MERGEFORMAT </w:instrText>
      </w:r>
      <w:r w:rsidRPr="00A37C75">
        <w:rPr>
          <w:b/>
        </w:rPr>
      </w:r>
      <w:r w:rsidRPr="00A37C75">
        <w:rPr>
          <w:b/>
        </w:rPr>
        <w:fldChar w:fldCharType="separate"/>
      </w:r>
      <w:r w:rsidR="00F25F8C" w:rsidRPr="00F25F8C">
        <w:rPr>
          <w:b/>
        </w:rPr>
        <w:t xml:space="preserve">Table SI. </w:t>
      </w:r>
      <w:r w:rsidR="00F25F8C" w:rsidRPr="00F25F8C">
        <w:rPr>
          <w:b/>
          <w:noProof/>
        </w:rPr>
        <w:t>5</w:t>
      </w:r>
      <w:r w:rsidRPr="00A37C75">
        <w:rPr>
          <w:b/>
        </w:rPr>
        <w:fldChar w:fldCharType="end"/>
      </w:r>
      <w:r w:rsidRPr="007E5651">
        <w:t>)</w:t>
      </w:r>
    </w:p>
    <w:p w14:paraId="6EF37DD4" w14:textId="5DECC060" w:rsidR="007E5651" w:rsidRPr="007E5651" w:rsidRDefault="007E5651" w:rsidP="00027C37">
      <w:pPr>
        <w:pStyle w:val="Paragraphedeliste"/>
        <w:numPr>
          <w:ilvl w:val="0"/>
          <w:numId w:val="4"/>
        </w:numPr>
      </w:pPr>
      <w:r w:rsidRPr="007E5651">
        <w:t xml:space="preserve">be designed around </w:t>
      </w:r>
      <w:r w:rsidRPr="007E5651">
        <w:rPr>
          <w:b/>
        </w:rPr>
        <w:t>minimal processing</w:t>
      </w:r>
      <w:r w:rsidRPr="007E5651">
        <w:t xml:space="preserve"> principles (same as for green chemistry) to minimize risks of burden-shifting</w:t>
      </w:r>
      <w:bookmarkStart w:id="28" w:name="_Hlk141089732"/>
      <w:r w:rsidRPr="007E5651">
        <w:fldChar w:fldCharType="begin"/>
      </w:r>
      <w:r w:rsidR="00682E10">
        <w:instrText xml:space="preserve"> ADDIN ZOTERO_ITEM CSL_CITATION {"citationID":"gkBOVvmV","properties":{"formattedCitation":"\\super 26\\nosupersub{}","plainCitation":"26","noteIndex":0},"citationItems":[{"id":11363,"uris":["http://zotero.org/users/6423791/items/KDDILPTS"],"itemData":{"id":11363,"type":"entry-encyclopedia","collection-number":"CHV602","collection-title":"Procédés chimie - bio - agro | Chimie verte","container-title":"Techniques de l'ingénieur","edition":"Techniques de l'ingénieur","page":"27","title":"Bioraffineries","URL":"https://www.techniques-ingenieur.fr/base-documentaire/procedes-chimie-bio-agro-th2/chimie-du-vegetal-et-produits-biosources-42570210/bioraffineries-chv602/","author":[{"family":"Colonna","given":"Paul"}],"issued":{"date-parts":[["2020",2,10]]}}}],"schema":"https://github.com/citation-style-language/schema/raw/master/csl-citation.json"} </w:instrText>
      </w:r>
      <w:r w:rsidRPr="007E5651">
        <w:fldChar w:fldCharType="separate"/>
      </w:r>
      <w:r w:rsidR="00682E10" w:rsidRPr="00682E10">
        <w:rPr>
          <w:rFonts w:ascii="Calibri" w:hAnsi="Calibri" w:cs="Calibri"/>
          <w:szCs w:val="24"/>
          <w:vertAlign w:val="superscript"/>
        </w:rPr>
        <w:t>26</w:t>
      </w:r>
      <w:r w:rsidRPr="007E5651">
        <w:fldChar w:fldCharType="end"/>
      </w:r>
      <w:r w:rsidRPr="007E5651">
        <w:t>.</w:t>
      </w:r>
      <w:bookmarkEnd w:id="28"/>
    </w:p>
    <w:p w14:paraId="0E2F3364" w14:textId="77777777" w:rsidR="007E5651" w:rsidRPr="007E5651" w:rsidRDefault="007E5651" w:rsidP="00027C37">
      <w:pPr>
        <w:pStyle w:val="Paragraphedeliste"/>
        <w:numPr>
          <w:ilvl w:val="0"/>
          <w:numId w:val="4"/>
        </w:numPr>
      </w:pPr>
      <w:r w:rsidRPr="007E5651">
        <w:rPr>
          <w:b/>
        </w:rPr>
        <w:t>offer substitution of commodities</w:t>
      </w:r>
      <w:r w:rsidRPr="007E5651">
        <w:t xml:space="preserve"> associated with relatively important environmental impacts.</w:t>
      </w:r>
    </w:p>
    <w:p w14:paraId="43D34318" w14:textId="4A9AE764" w:rsidR="007E5651" w:rsidRPr="007E5651" w:rsidRDefault="007E5651" w:rsidP="00027C37">
      <w:pPr>
        <w:pStyle w:val="Paragraphedeliste"/>
        <w:numPr>
          <w:ilvl w:val="0"/>
          <w:numId w:val="4"/>
        </w:numPr>
      </w:pPr>
      <w:r w:rsidRPr="007E5651">
        <w:t xml:space="preserve">present reasonably </w:t>
      </w:r>
      <w:r w:rsidRPr="007E5651">
        <w:rPr>
          <w:b/>
        </w:rPr>
        <w:t>enough published data</w:t>
      </w:r>
      <w:r w:rsidRPr="007E5651">
        <w:t xml:space="preserve"> enabling the identification of a representative process workflow set-up and the elaboration of parametric LCI.</w:t>
      </w:r>
    </w:p>
    <w:p w14:paraId="737DA8DC" w14:textId="1D1AA073" w:rsidR="00455144" w:rsidRDefault="00455144" w:rsidP="00BC43E5">
      <w:r>
        <w:t>A detailed version of the outcome of the selection criteria is available in</w:t>
      </w:r>
      <w:r w:rsidR="00DB67AA">
        <w:t xml:space="preserve"> </w:t>
      </w:r>
      <w:r w:rsidR="00DB67AA">
        <w:fldChar w:fldCharType="begin"/>
      </w:r>
      <w:r w:rsidR="00DB67AA">
        <w:instrText xml:space="preserve"> REF _Ref144731582 \h </w:instrText>
      </w:r>
      <w:r w:rsidR="00DB67AA">
        <w:fldChar w:fldCharType="separate"/>
      </w:r>
      <w:r w:rsidR="00F25F8C" w:rsidRPr="00447F21">
        <w:rPr>
          <w:b/>
        </w:rPr>
        <w:t xml:space="preserve">Table SI. </w:t>
      </w:r>
      <w:r w:rsidR="00F25F8C">
        <w:rPr>
          <w:b/>
          <w:noProof/>
        </w:rPr>
        <w:t>6</w:t>
      </w:r>
      <w:r w:rsidR="00DB67AA">
        <w:fldChar w:fldCharType="end"/>
      </w:r>
      <w:r>
        <w:t xml:space="preserve">, complementing the </w:t>
      </w:r>
      <w:r w:rsidRPr="00455144">
        <w:rPr>
          <w:b/>
        </w:rPr>
        <w:t>Table 1</w:t>
      </w:r>
      <w:r>
        <w:t xml:space="preserve"> </w:t>
      </w:r>
      <w:r w:rsidRPr="003A0A4C">
        <w:rPr>
          <w:b/>
        </w:rPr>
        <w:t>of the main manuscript</w:t>
      </w:r>
      <w:r>
        <w:t>.</w:t>
      </w:r>
    </w:p>
    <w:p w14:paraId="218A0BBC" w14:textId="77777777" w:rsidR="003A663A" w:rsidRDefault="003A663A" w:rsidP="00BC43E5"/>
    <w:p w14:paraId="14B1571B" w14:textId="6ABE71D1" w:rsidR="00DB67AA" w:rsidRPr="00B94C7D" w:rsidRDefault="00DB67AA" w:rsidP="00CE3893">
      <w:pPr>
        <w:keepNext/>
        <w:rPr>
          <w:b/>
          <w:sz w:val="20"/>
        </w:rPr>
      </w:pPr>
      <w:bookmarkStart w:id="29" w:name="_Ref144731582"/>
      <w:bookmarkStart w:id="30" w:name="_Toc151967890"/>
      <w:r w:rsidRPr="00B94C7D">
        <w:rPr>
          <w:b/>
          <w:sz w:val="20"/>
        </w:rPr>
        <w:t xml:space="preserve">Table SI. </w:t>
      </w:r>
      <w:r w:rsidRPr="00B94C7D">
        <w:rPr>
          <w:b/>
          <w:sz w:val="20"/>
        </w:rPr>
        <w:fldChar w:fldCharType="begin"/>
      </w:r>
      <w:r w:rsidRPr="00B94C7D">
        <w:rPr>
          <w:b/>
          <w:sz w:val="20"/>
        </w:rPr>
        <w:instrText xml:space="preserve"> SEQ Table_SI. \* ARABIC </w:instrText>
      </w:r>
      <w:r w:rsidRPr="00B94C7D">
        <w:rPr>
          <w:b/>
          <w:sz w:val="20"/>
        </w:rPr>
        <w:fldChar w:fldCharType="separate"/>
      </w:r>
      <w:r w:rsidR="00F25F8C" w:rsidRPr="00B94C7D">
        <w:rPr>
          <w:b/>
          <w:noProof/>
          <w:sz w:val="20"/>
        </w:rPr>
        <w:t>6</w:t>
      </w:r>
      <w:r w:rsidRPr="00B94C7D">
        <w:rPr>
          <w:b/>
          <w:sz w:val="20"/>
        </w:rPr>
        <w:fldChar w:fldCharType="end"/>
      </w:r>
      <w:bookmarkEnd w:id="29"/>
      <w:r w:rsidRPr="00B94C7D">
        <w:rPr>
          <w:b/>
          <w:sz w:val="20"/>
        </w:rPr>
        <w:t xml:space="preserve"> – Selection principles for waste-to-nutrition pathways</w:t>
      </w:r>
      <w:bookmarkEnd w:id="30"/>
    </w:p>
    <w:tbl>
      <w:tblPr>
        <w:tblStyle w:val="Grilledutableau"/>
        <w:tblW w:w="0" w:type="auto"/>
        <w:jc w:val="center"/>
        <w:tblLook w:val="04A0" w:firstRow="1" w:lastRow="0" w:firstColumn="1" w:lastColumn="0" w:noHBand="0" w:noVBand="1"/>
      </w:tblPr>
      <w:tblGrid>
        <w:gridCol w:w="1188"/>
        <w:gridCol w:w="1955"/>
        <w:gridCol w:w="967"/>
        <w:gridCol w:w="1863"/>
        <w:gridCol w:w="585"/>
        <w:gridCol w:w="1504"/>
        <w:gridCol w:w="980"/>
      </w:tblGrid>
      <w:tr w:rsidR="00455144" w:rsidRPr="005C2296" w14:paraId="5FBFD535" w14:textId="77777777" w:rsidTr="00DB67AA">
        <w:trPr>
          <w:jc w:val="center"/>
        </w:trPr>
        <w:tc>
          <w:tcPr>
            <w:tcW w:w="3143" w:type="dxa"/>
            <w:gridSpan w:val="2"/>
            <w:vMerge w:val="restart"/>
            <w:tcBorders>
              <w:top w:val="single" w:sz="12" w:space="0" w:color="auto"/>
              <w:left w:val="single" w:sz="12" w:space="0" w:color="auto"/>
              <w:right w:val="single" w:sz="12" w:space="0" w:color="auto"/>
            </w:tcBorders>
            <w:vAlign w:val="center"/>
          </w:tcPr>
          <w:p w14:paraId="11A0E625" w14:textId="77777777" w:rsidR="00455144" w:rsidRPr="005F0FA1" w:rsidRDefault="00455144" w:rsidP="001560C9">
            <w:pPr>
              <w:jc w:val="center"/>
              <w:rPr>
                <w:b/>
                <w:sz w:val="18"/>
              </w:rPr>
            </w:pPr>
            <w:r>
              <w:rPr>
                <w:b/>
                <w:sz w:val="18"/>
              </w:rPr>
              <w:t>(Pathways; feedstocks) combinations at the sub-category level</w:t>
            </w:r>
          </w:p>
        </w:tc>
        <w:tc>
          <w:tcPr>
            <w:tcW w:w="5899" w:type="dxa"/>
            <w:gridSpan w:val="5"/>
            <w:tcBorders>
              <w:top w:val="single" w:sz="12" w:space="0" w:color="auto"/>
              <w:left w:val="single" w:sz="12" w:space="0" w:color="auto"/>
              <w:right w:val="single" w:sz="12" w:space="0" w:color="auto"/>
            </w:tcBorders>
            <w:vAlign w:val="center"/>
          </w:tcPr>
          <w:p w14:paraId="64A9C38D" w14:textId="77777777" w:rsidR="00455144" w:rsidRPr="005F0FA1" w:rsidRDefault="00455144" w:rsidP="001560C9">
            <w:pPr>
              <w:jc w:val="center"/>
              <w:rPr>
                <w:b/>
                <w:sz w:val="18"/>
              </w:rPr>
            </w:pPr>
            <w:r>
              <w:rPr>
                <w:b/>
                <w:sz w:val="18"/>
              </w:rPr>
              <w:t>Selection principles</w:t>
            </w:r>
          </w:p>
        </w:tc>
      </w:tr>
      <w:tr w:rsidR="00455144" w:rsidRPr="005C2296" w14:paraId="3D582161" w14:textId="77777777" w:rsidTr="00DB67AA">
        <w:trPr>
          <w:cantSplit/>
          <w:trHeight w:val="1393"/>
          <w:jc w:val="center"/>
        </w:trPr>
        <w:tc>
          <w:tcPr>
            <w:tcW w:w="3143" w:type="dxa"/>
            <w:gridSpan w:val="2"/>
            <w:vMerge/>
            <w:tcBorders>
              <w:left w:val="single" w:sz="12" w:space="0" w:color="auto"/>
              <w:right w:val="single" w:sz="12" w:space="0" w:color="auto"/>
            </w:tcBorders>
            <w:vAlign w:val="center"/>
          </w:tcPr>
          <w:p w14:paraId="5D633C0D" w14:textId="77777777" w:rsidR="00455144" w:rsidRDefault="00455144" w:rsidP="001560C9">
            <w:pPr>
              <w:jc w:val="center"/>
              <w:rPr>
                <w:sz w:val="18"/>
              </w:rPr>
            </w:pPr>
          </w:p>
        </w:tc>
        <w:tc>
          <w:tcPr>
            <w:tcW w:w="967" w:type="dxa"/>
            <w:tcBorders>
              <w:top w:val="single" w:sz="12" w:space="0" w:color="auto"/>
              <w:left w:val="single" w:sz="12" w:space="0" w:color="auto"/>
              <w:bottom w:val="single" w:sz="12" w:space="0" w:color="auto"/>
            </w:tcBorders>
            <w:textDirection w:val="btLr"/>
            <w:vAlign w:val="center"/>
          </w:tcPr>
          <w:p w14:paraId="4303AAD8" w14:textId="77777777" w:rsidR="00455144" w:rsidRPr="00352F68" w:rsidRDefault="00455144" w:rsidP="001560C9">
            <w:pPr>
              <w:ind w:left="113" w:right="113"/>
              <w:jc w:val="center"/>
              <w:rPr>
                <w:b/>
                <w:sz w:val="18"/>
              </w:rPr>
            </w:pPr>
            <w:r>
              <w:rPr>
                <w:b/>
                <w:sz w:val="18"/>
              </w:rPr>
              <w:t>Unavoidable</w:t>
            </w:r>
          </w:p>
        </w:tc>
        <w:tc>
          <w:tcPr>
            <w:tcW w:w="0" w:type="auto"/>
            <w:tcBorders>
              <w:top w:val="single" w:sz="12" w:space="0" w:color="auto"/>
              <w:bottom w:val="single" w:sz="12" w:space="0" w:color="auto"/>
            </w:tcBorders>
            <w:textDirection w:val="btLr"/>
            <w:vAlign w:val="center"/>
          </w:tcPr>
          <w:p w14:paraId="7EBDFE6D" w14:textId="77777777" w:rsidR="00455144" w:rsidRPr="00352F68" w:rsidRDefault="00455144" w:rsidP="001560C9">
            <w:pPr>
              <w:ind w:left="113" w:right="113"/>
              <w:jc w:val="center"/>
              <w:rPr>
                <w:b/>
                <w:sz w:val="18"/>
              </w:rPr>
            </w:pPr>
            <w:r>
              <w:rPr>
                <w:b/>
                <w:sz w:val="18"/>
              </w:rPr>
              <w:t>Upgrade current use</w:t>
            </w:r>
          </w:p>
        </w:tc>
        <w:tc>
          <w:tcPr>
            <w:tcW w:w="0" w:type="auto"/>
            <w:tcBorders>
              <w:top w:val="single" w:sz="12" w:space="0" w:color="auto"/>
              <w:bottom w:val="single" w:sz="12" w:space="0" w:color="auto"/>
            </w:tcBorders>
            <w:textDirection w:val="btLr"/>
            <w:vAlign w:val="center"/>
          </w:tcPr>
          <w:p w14:paraId="59D69342" w14:textId="77777777" w:rsidR="00455144" w:rsidRPr="00352F68" w:rsidRDefault="00455144" w:rsidP="001560C9">
            <w:pPr>
              <w:ind w:left="113" w:right="113"/>
              <w:jc w:val="center"/>
              <w:rPr>
                <w:b/>
                <w:sz w:val="18"/>
              </w:rPr>
            </w:pPr>
            <w:r>
              <w:rPr>
                <w:b/>
                <w:sz w:val="18"/>
              </w:rPr>
              <w:t xml:space="preserve">Risk mitigation compliance </w:t>
            </w:r>
            <w:r>
              <w:rPr>
                <w:b/>
                <w:sz w:val="18"/>
                <w:vertAlign w:val="superscript"/>
              </w:rPr>
              <w:t>a</w:t>
            </w:r>
          </w:p>
        </w:tc>
        <w:tc>
          <w:tcPr>
            <w:tcW w:w="0" w:type="auto"/>
            <w:tcBorders>
              <w:top w:val="single" w:sz="12" w:space="0" w:color="auto"/>
              <w:bottom w:val="single" w:sz="12" w:space="0" w:color="auto"/>
            </w:tcBorders>
            <w:textDirection w:val="btLr"/>
            <w:vAlign w:val="center"/>
          </w:tcPr>
          <w:p w14:paraId="17DC27F7" w14:textId="77777777" w:rsidR="00455144" w:rsidRPr="00352F68" w:rsidRDefault="00455144" w:rsidP="001560C9">
            <w:pPr>
              <w:ind w:left="113" w:right="113"/>
              <w:jc w:val="center"/>
              <w:rPr>
                <w:b/>
                <w:sz w:val="18"/>
              </w:rPr>
            </w:pPr>
            <w:r>
              <w:rPr>
                <w:b/>
                <w:sz w:val="18"/>
              </w:rPr>
              <w:t>Target markets</w:t>
            </w:r>
          </w:p>
        </w:tc>
        <w:tc>
          <w:tcPr>
            <w:tcW w:w="0" w:type="auto"/>
            <w:tcBorders>
              <w:top w:val="single" w:sz="12" w:space="0" w:color="auto"/>
              <w:bottom w:val="single" w:sz="12" w:space="0" w:color="auto"/>
              <w:right w:val="single" w:sz="12" w:space="0" w:color="auto"/>
            </w:tcBorders>
            <w:textDirection w:val="btLr"/>
            <w:vAlign w:val="center"/>
          </w:tcPr>
          <w:p w14:paraId="73F5F22A" w14:textId="77777777" w:rsidR="00455144" w:rsidRPr="00352F68" w:rsidRDefault="00455144" w:rsidP="001560C9">
            <w:pPr>
              <w:ind w:left="113" w:right="113"/>
              <w:jc w:val="center"/>
              <w:rPr>
                <w:b/>
                <w:sz w:val="18"/>
              </w:rPr>
            </w:pPr>
            <w:r>
              <w:rPr>
                <w:b/>
                <w:sz w:val="18"/>
              </w:rPr>
              <w:t>Data availability</w:t>
            </w:r>
          </w:p>
        </w:tc>
      </w:tr>
      <w:tr w:rsidR="00455144" w:rsidRPr="005C2296" w14:paraId="30ECD5FE" w14:textId="77777777" w:rsidTr="00DB67AA">
        <w:trPr>
          <w:jc w:val="center"/>
        </w:trPr>
        <w:tc>
          <w:tcPr>
            <w:tcW w:w="0" w:type="auto"/>
            <w:vMerge w:val="restart"/>
            <w:tcBorders>
              <w:top w:val="single" w:sz="12" w:space="0" w:color="auto"/>
              <w:left w:val="single" w:sz="12" w:space="0" w:color="auto"/>
              <w:right w:val="single" w:sz="4" w:space="0" w:color="auto"/>
            </w:tcBorders>
            <w:textDirection w:val="btLr"/>
            <w:vAlign w:val="center"/>
          </w:tcPr>
          <w:p w14:paraId="79056445" w14:textId="77777777" w:rsidR="00455144" w:rsidRDefault="00455144" w:rsidP="001560C9">
            <w:pPr>
              <w:ind w:left="113" w:right="113"/>
              <w:jc w:val="center"/>
              <w:rPr>
                <w:b/>
                <w:sz w:val="18"/>
              </w:rPr>
            </w:pPr>
            <w:r w:rsidRPr="009166E7">
              <w:rPr>
                <w:b/>
                <w:sz w:val="18"/>
              </w:rPr>
              <w:t>Nutritional enhancement</w:t>
            </w:r>
          </w:p>
          <w:p w14:paraId="5EE4A9B2" w14:textId="77777777" w:rsidR="00455144" w:rsidRPr="009166E7" w:rsidRDefault="00455144" w:rsidP="001560C9">
            <w:pPr>
              <w:ind w:left="113" w:right="113"/>
              <w:jc w:val="center"/>
              <w:rPr>
                <w:b/>
                <w:sz w:val="18"/>
              </w:rPr>
            </w:pPr>
            <w:r w:rsidRPr="009166E7">
              <w:rPr>
                <w:b/>
                <w:sz w:val="18"/>
              </w:rPr>
              <w:t>(includes direct feeding)</w:t>
            </w:r>
          </w:p>
        </w:tc>
        <w:tc>
          <w:tcPr>
            <w:tcW w:w="1955" w:type="dxa"/>
            <w:tcBorders>
              <w:top w:val="single" w:sz="12" w:space="0" w:color="auto"/>
              <w:left w:val="single" w:sz="4" w:space="0" w:color="auto"/>
              <w:right w:val="single" w:sz="12" w:space="0" w:color="auto"/>
            </w:tcBorders>
            <w:vAlign w:val="center"/>
          </w:tcPr>
          <w:p w14:paraId="054EEA9C" w14:textId="77777777" w:rsidR="00455144" w:rsidRPr="00352F68" w:rsidRDefault="00455144" w:rsidP="001560C9">
            <w:pPr>
              <w:jc w:val="right"/>
              <w:rPr>
                <w:b/>
                <w:sz w:val="18"/>
              </w:rPr>
            </w:pPr>
            <w:r>
              <w:rPr>
                <w:b/>
                <w:sz w:val="18"/>
              </w:rPr>
              <w:t>Municipal food waste</w:t>
            </w:r>
          </w:p>
        </w:tc>
        <w:tc>
          <w:tcPr>
            <w:tcW w:w="967" w:type="dxa"/>
            <w:tcBorders>
              <w:top w:val="single" w:sz="12" w:space="0" w:color="auto"/>
              <w:left w:val="single" w:sz="12" w:space="0" w:color="auto"/>
            </w:tcBorders>
            <w:shd w:val="clear" w:color="auto" w:fill="F4B083" w:themeFill="accent2" w:themeFillTint="99"/>
            <w:vAlign w:val="center"/>
          </w:tcPr>
          <w:p w14:paraId="3F8B0716" w14:textId="77777777" w:rsidR="00455144" w:rsidRPr="005C2296" w:rsidRDefault="00455144" w:rsidP="001560C9">
            <w:pPr>
              <w:jc w:val="center"/>
              <w:rPr>
                <w:sz w:val="18"/>
              </w:rPr>
            </w:pPr>
            <w:r>
              <w:rPr>
                <w:sz w:val="18"/>
              </w:rPr>
              <w:t>Arguable</w:t>
            </w:r>
          </w:p>
        </w:tc>
        <w:tc>
          <w:tcPr>
            <w:tcW w:w="0" w:type="auto"/>
            <w:vMerge w:val="restart"/>
            <w:tcBorders>
              <w:top w:val="single" w:sz="12" w:space="0" w:color="auto"/>
            </w:tcBorders>
            <w:shd w:val="clear" w:color="auto" w:fill="C5E0B3" w:themeFill="accent6" w:themeFillTint="66"/>
            <w:vAlign w:val="center"/>
          </w:tcPr>
          <w:p w14:paraId="539BBB78" w14:textId="77777777" w:rsidR="00455144" w:rsidRPr="005C2296" w:rsidRDefault="00455144" w:rsidP="001560C9">
            <w:pPr>
              <w:jc w:val="center"/>
              <w:rPr>
                <w:sz w:val="18"/>
              </w:rPr>
            </w:pPr>
            <w:r w:rsidRPr="008A5AB6">
              <w:rPr>
                <w:sz w:val="18"/>
              </w:rPr>
              <w:t>Agronomy to feed</w:t>
            </w:r>
          </w:p>
        </w:tc>
        <w:tc>
          <w:tcPr>
            <w:tcW w:w="0" w:type="auto"/>
            <w:tcBorders>
              <w:top w:val="single" w:sz="12" w:space="0" w:color="auto"/>
            </w:tcBorders>
            <w:shd w:val="clear" w:color="auto" w:fill="C00000"/>
            <w:vAlign w:val="center"/>
          </w:tcPr>
          <w:p w14:paraId="1873DAB0" w14:textId="77777777" w:rsidR="00455144" w:rsidRPr="005C2296" w:rsidRDefault="00455144" w:rsidP="001560C9">
            <w:pPr>
              <w:jc w:val="center"/>
              <w:rPr>
                <w:sz w:val="18"/>
              </w:rPr>
            </w:pPr>
            <w:r>
              <w:rPr>
                <w:sz w:val="18"/>
              </w:rPr>
              <w:t>No</w:t>
            </w:r>
          </w:p>
        </w:tc>
        <w:tc>
          <w:tcPr>
            <w:tcW w:w="0" w:type="auto"/>
            <w:vMerge w:val="restart"/>
            <w:tcBorders>
              <w:top w:val="single" w:sz="12" w:space="0" w:color="auto"/>
            </w:tcBorders>
            <w:shd w:val="clear" w:color="auto" w:fill="F4B083" w:themeFill="accent2" w:themeFillTint="99"/>
            <w:vAlign w:val="center"/>
          </w:tcPr>
          <w:p w14:paraId="2F996196" w14:textId="77777777" w:rsidR="00455144" w:rsidRPr="005C2296" w:rsidRDefault="00455144" w:rsidP="001560C9">
            <w:pPr>
              <w:jc w:val="center"/>
              <w:rPr>
                <w:sz w:val="18"/>
              </w:rPr>
            </w:pPr>
            <w:r>
              <w:rPr>
                <w:sz w:val="18"/>
              </w:rPr>
              <w:t>Feed</w:t>
            </w:r>
          </w:p>
        </w:tc>
        <w:tc>
          <w:tcPr>
            <w:tcW w:w="0" w:type="auto"/>
            <w:vMerge w:val="restart"/>
            <w:tcBorders>
              <w:top w:val="single" w:sz="12" w:space="0" w:color="auto"/>
              <w:right w:val="single" w:sz="12" w:space="0" w:color="auto"/>
            </w:tcBorders>
            <w:shd w:val="clear" w:color="auto" w:fill="C5E0B3" w:themeFill="accent6" w:themeFillTint="66"/>
            <w:vAlign w:val="center"/>
          </w:tcPr>
          <w:p w14:paraId="2A41948E" w14:textId="77777777" w:rsidR="00455144" w:rsidRPr="005C2296" w:rsidRDefault="00455144" w:rsidP="001560C9">
            <w:pPr>
              <w:jc w:val="center"/>
              <w:rPr>
                <w:sz w:val="18"/>
              </w:rPr>
            </w:pPr>
            <w:r>
              <w:rPr>
                <w:sz w:val="18"/>
              </w:rPr>
              <w:t>Yes</w:t>
            </w:r>
          </w:p>
        </w:tc>
      </w:tr>
      <w:tr w:rsidR="00455144" w:rsidRPr="005C2296" w14:paraId="730B6BE6" w14:textId="77777777" w:rsidTr="00DB67AA">
        <w:trPr>
          <w:jc w:val="center"/>
        </w:trPr>
        <w:tc>
          <w:tcPr>
            <w:tcW w:w="0" w:type="auto"/>
            <w:vMerge/>
            <w:tcBorders>
              <w:left w:val="single" w:sz="12" w:space="0" w:color="auto"/>
              <w:right w:val="single" w:sz="4" w:space="0" w:color="auto"/>
            </w:tcBorders>
            <w:textDirection w:val="btLr"/>
            <w:vAlign w:val="center"/>
          </w:tcPr>
          <w:p w14:paraId="08DA32EA" w14:textId="77777777" w:rsidR="00455144" w:rsidRDefault="00455144" w:rsidP="001560C9">
            <w:pPr>
              <w:ind w:left="113" w:right="113"/>
              <w:jc w:val="center"/>
              <w:rPr>
                <w:b/>
                <w:sz w:val="18"/>
              </w:rPr>
            </w:pPr>
          </w:p>
        </w:tc>
        <w:tc>
          <w:tcPr>
            <w:tcW w:w="1955" w:type="dxa"/>
            <w:tcBorders>
              <w:left w:val="single" w:sz="4" w:space="0" w:color="auto"/>
              <w:right w:val="single" w:sz="12" w:space="0" w:color="auto"/>
            </w:tcBorders>
            <w:vAlign w:val="center"/>
          </w:tcPr>
          <w:p w14:paraId="35DFF2FB" w14:textId="77777777" w:rsidR="00455144" w:rsidRDefault="00455144" w:rsidP="001560C9">
            <w:pPr>
              <w:jc w:val="right"/>
              <w:rPr>
                <w:b/>
                <w:sz w:val="18"/>
              </w:rPr>
            </w:pPr>
            <w:r>
              <w:rPr>
                <w:b/>
                <w:sz w:val="18"/>
              </w:rPr>
              <w:t>Industrial &amp; services food waste</w:t>
            </w:r>
          </w:p>
        </w:tc>
        <w:tc>
          <w:tcPr>
            <w:tcW w:w="967" w:type="dxa"/>
            <w:tcBorders>
              <w:left w:val="single" w:sz="12" w:space="0" w:color="auto"/>
            </w:tcBorders>
            <w:shd w:val="clear" w:color="auto" w:fill="F4B083" w:themeFill="accent2" w:themeFillTint="99"/>
            <w:vAlign w:val="center"/>
          </w:tcPr>
          <w:p w14:paraId="6B7954F5" w14:textId="77777777" w:rsidR="00455144" w:rsidRDefault="00455144" w:rsidP="001560C9">
            <w:pPr>
              <w:jc w:val="center"/>
              <w:rPr>
                <w:sz w:val="18"/>
              </w:rPr>
            </w:pPr>
            <w:r>
              <w:rPr>
                <w:sz w:val="18"/>
              </w:rPr>
              <w:t>Arguable</w:t>
            </w:r>
          </w:p>
        </w:tc>
        <w:tc>
          <w:tcPr>
            <w:tcW w:w="0" w:type="auto"/>
            <w:vMerge/>
            <w:shd w:val="clear" w:color="auto" w:fill="C5E0B3" w:themeFill="accent6" w:themeFillTint="66"/>
            <w:vAlign w:val="center"/>
          </w:tcPr>
          <w:p w14:paraId="28BD29AD" w14:textId="77777777" w:rsidR="00455144" w:rsidRDefault="00455144" w:rsidP="001560C9">
            <w:pPr>
              <w:jc w:val="center"/>
              <w:rPr>
                <w:sz w:val="18"/>
              </w:rPr>
            </w:pPr>
          </w:p>
        </w:tc>
        <w:tc>
          <w:tcPr>
            <w:tcW w:w="0" w:type="auto"/>
            <w:shd w:val="clear" w:color="auto" w:fill="F4B083" w:themeFill="accent2" w:themeFillTint="99"/>
            <w:vAlign w:val="center"/>
          </w:tcPr>
          <w:p w14:paraId="7BF49042" w14:textId="77777777" w:rsidR="00455144" w:rsidRPr="005C2296" w:rsidRDefault="00455144" w:rsidP="001560C9">
            <w:pPr>
              <w:jc w:val="center"/>
              <w:rPr>
                <w:sz w:val="18"/>
              </w:rPr>
            </w:pPr>
            <w:r>
              <w:rPr>
                <w:sz w:val="18"/>
              </w:rPr>
              <w:t>No need if no C3</w:t>
            </w:r>
          </w:p>
        </w:tc>
        <w:tc>
          <w:tcPr>
            <w:tcW w:w="0" w:type="auto"/>
            <w:vMerge/>
            <w:shd w:val="clear" w:color="auto" w:fill="F4B083" w:themeFill="accent2" w:themeFillTint="99"/>
            <w:vAlign w:val="center"/>
          </w:tcPr>
          <w:p w14:paraId="704F3FF1" w14:textId="77777777" w:rsidR="00455144" w:rsidRDefault="00455144" w:rsidP="001560C9">
            <w:pPr>
              <w:jc w:val="center"/>
              <w:rPr>
                <w:sz w:val="18"/>
              </w:rPr>
            </w:pPr>
          </w:p>
        </w:tc>
        <w:tc>
          <w:tcPr>
            <w:tcW w:w="0" w:type="auto"/>
            <w:vMerge/>
            <w:tcBorders>
              <w:right w:val="single" w:sz="12" w:space="0" w:color="auto"/>
            </w:tcBorders>
            <w:shd w:val="clear" w:color="auto" w:fill="F4B083" w:themeFill="accent2" w:themeFillTint="99"/>
            <w:vAlign w:val="center"/>
          </w:tcPr>
          <w:p w14:paraId="2B54E615" w14:textId="77777777" w:rsidR="00455144" w:rsidRDefault="00455144" w:rsidP="001560C9">
            <w:pPr>
              <w:jc w:val="center"/>
              <w:rPr>
                <w:sz w:val="18"/>
              </w:rPr>
            </w:pPr>
          </w:p>
        </w:tc>
      </w:tr>
      <w:tr w:rsidR="00455144" w:rsidRPr="005C2296" w14:paraId="11FB57C7" w14:textId="77777777" w:rsidTr="00DB67AA">
        <w:trPr>
          <w:jc w:val="center"/>
        </w:trPr>
        <w:tc>
          <w:tcPr>
            <w:tcW w:w="0" w:type="auto"/>
            <w:vMerge/>
            <w:tcBorders>
              <w:left w:val="single" w:sz="12" w:space="0" w:color="auto"/>
              <w:right w:val="single" w:sz="4" w:space="0" w:color="auto"/>
            </w:tcBorders>
            <w:textDirection w:val="btLr"/>
            <w:vAlign w:val="center"/>
          </w:tcPr>
          <w:p w14:paraId="18374035" w14:textId="77777777" w:rsidR="00455144" w:rsidRDefault="00455144" w:rsidP="001560C9">
            <w:pPr>
              <w:ind w:left="113" w:right="113"/>
              <w:jc w:val="center"/>
              <w:rPr>
                <w:b/>
                <w:sz w:val="18"/>
              </w:rPr>
            </w:pPr>
          </w:p>
        </w:tc>
        <w:tc>
          <w:tcPr>
            <w:tcW w:w="1955" w:type="dxa"/>
            <w:tcBorders>
              <w:left w:val="single" w:sz="4" w:space="0" w:color="auto"/>
              <w:right w:val="single" w:sz="12" w:space="0" w:color="auto"/>
            </w:tcBorders>
            <w:vAlign w:val="center"/>
          </w:tcPr>
          <w:p w14:paraId="1AA6E93A" w14:textId="77777777" w:rsidR="00455144" w:rsidRDefault="00455144" w:rsidP="001560C9">
            <w:pPr>
              <w:jc w:val="right"/>
              <w:rPr>
                <w:b/>
                <w:sz w:val="18"/>
              </w:rPr>
            </w:pPr>
            <w:r>
              <w:rPr>
                <w:b/>
                <w:sz w:val="18"/>
              </w:rPr>
              <w:t>Primary crop residues</w:t>
            </w:r>
          </w:p>
        </w:tc>
        <w:tc>
          <w:tcPr>
            <w:tcW w:w="967" w:type="dxa"/>
            <w:vMerge w:val="restart"/>
            <w:tcBorders>
              <w:left w:val="single" w:sz="12" w:space="0" w:color="auto"/>
            </w:tcBorders>
            <w:shd w:val="clear" w:color="auto" w:fill="C5E0B3" w:themeFill="accent6" w:themeFillTint="66"/>
            <w:vAlign w:val="center"/>
          </w:tcPr>
          <w:p w14:paraId="104E23D9" w14:textId="77777777" w:rsidR="00455144" w:rsidRDefault="00455144" w:rsidP="001560C9">
            <w:pPr>
              <w:jc w:val="center"/>
              <w:rPr>
                <w:sz w:val="18"/>
              </w:rPr>
            </w:pPr>
            <w:r>
              <w:rPr>
                <w:sz w:val="18"/>
              </w:rPr>
              <w:t>Yes</w:t>
            </w:r>
          </w:p>
        </w:tc>
        <w:tc>
          <w:tcPr>
            <w:tcW w:w="1863" w:type="dxa"/>
            <w:vMerge/>
            <w:shd w:val="clear" w:color="auto" w:fill="F4B083" w:themeFill="accent2" w:themeFillTint="99"/>
            <w:vAlign w:val="center"/>
          </w:tcPr>
          <w:p w14:paraId="20C20424" w14:textId="77777777" w:rsidR="00455144" w:rsidRDefault="00455144" w:rsidP="001560C9">
            <w:pPr>
              <w:jc w:val="center"/>
              <w:rPr>
                <w:sz w:val="18"/>
              </w:rPr>
            </w:pPr>
          </w:p>
        </w:tc>
        <w:tc>
          <w:tcPr>
            <w:tcW w:w="585" w:type="dxa"/>
            <w:shd w:val="clear" w:color="auto" w:fill="F4B083" w:themeFill="accent2" w:themeFillTint="99"/>
            <w:vAlign w:val="center"/>
          </w:tcPr>
          <w:p w14:paraId="4E25976B" w14:textId="77777777" w:rsidR="00455144" w:rsidRDefault="00455144" w:rsidP="001560C9">
            <w:pPr>
              <w:jc w:val="center"/>
              <w:rPr>
                <w:sz w:val="18"/>
              </w:rPr>
            </w:pPr>
            <w:r>
              <w:rPr>
                <w:sz w:val="18"/>
              </w:rPr>
              <w:t>No need</w:t>
            </w:r>
          </w:p>
        </w:tc>
        <w:tc>
          <w:tcPr>
            <w:tcW w:w="0" w:type="auto"/>
            <w:vMerge w:val="restart"/>
            <w:shd w:val="clear" w:color="auto" w:fill="F4B083" w:themeFill="accent2" w:themeFillTint="99"/>
            <w:vAlign w:val="center"/>
          </w:tcPr>
          <w:p w14:paraId="132EC282" w14:textId="77777777" w:rsidR="00455144" w:rsidRDefault="00455144" w:rsidP="001560C9">
            <w:pPr>
              <w:jc w:val="center"/>
              <w:rPr>
                <w:sz w:val="18"/>
              </w:rPr>
            </w:pPr>
            <w:r>
              <w:rPr>
                <w:sz w:val="18"/>
              </w:rPr>
              <w:t>Ruminant (roughage) feed</w:t>
            </w:r>
          </w:p>
        </w:tc>
        <w:tc>
          <w:tcPr>
            <w:tcW w:w="0" w:type="auto"/>
            <w:vMerge/>
            <w:tcBorders>
              <w:right w:val="single" w:sz="12" w:space="0" w:color="auto"/>
            </w:tcBorders>
            <w:shd w:val="clear" w:color="auto" w:fill="F4B083" w:themeFill="accent2" w:themeFillTint="99"/>
            <w:vAlign w:val="center"/>
          </w:tcPr>
          <w:p w14:paraId="03E8B884" w14:textId="77777777" w:rsidR="00455144" w:rsidRDefault="00455144" w:rsidP="001560C9">
            <w:pPr>
              <w:jc w:val="center"/>
              <w:rPr>
                <w:sz w:val="18"/>
              </w:rPr>
            </w:pPr>
          </w:p>
        </w:tc>
      </w:tr>
      <w:tr w:rsidR="00455144" w:rsidRPr="005C2296" w14:paraId="6C2F5FC8" w14:textId="77777777" w:rsidTr="00DB67AA">
        <w:trPr>
          <w:jc w:val="center"/>
        </w:trPr>
        <w:tc>
          <w:tcPr>
            <w:tcW w:w="0" w:type="auto"/>
            <w:vMerge/>
            <w:tcBorders>
              <w:left w:val="single" w:sz="12" w:space="0" w:color="auto"/>
              <w:right w:val="single" w:sz="4" w:space="0" w:color="auto"/>
            </w:tcBorders>
            <w:textDirection w:val="btLr"/>
            <w:vAlign w:val="center"/>
          </w:tcPr>
          <w:p w14:paraId="72632D21" w14:textId="77777777" w:rsidR="00455144" w:rsidRDefault="00455144" w:rsidP="001560C9">
            <w:pPr>
              <w:ind w:left="113" w:right="113"/>
              <w:jc w:val="center"/>
              <w:rPr>
                <w:b/>
                <w:sz w:val="18"/>
              </w:rPr>
            </w:pPr>
          </w:p>
        </w:tc>
        <w:tc>
          <w:tcPr>
            <w:tcW w:w="1955" w:type="dxa"/>
            <w:tcBorders>
              <w:left w:val="single" w:sz="4" w:space="0" w:color="auto"/>
              <w:right w:val="single" w:sz="12" w:space="0" w:color="auto"/>
            </w:tcBorders>
            <w:vAlign w:val="center"/>
          </w:tcPr>
          <w:p w14:paraId="61C741E6" w14:textId="77777777" w:rsidR="00455144" w:rsidRDefault="00455144" w:rsidP="001560C9">
            <w:pPr>
              <w:jc w:val="right"/>
              <w:rPr>
                <w:b/>
                <w:sz w:val="18"/>
              </w:rPr>
            </w:pPr>
            <w:r>
              <w:rPr>
                <w:b/>
                <w:sz w:val="18"/>
              </w:rPr>
              <w:t>Garden &amp; park waste</w:t>
            </w:r>
          </w:p>
        </w:tc>
        <w:tc>
          <w:tcPr>
            <w:tcW w:w="967" w:type="dxa"/>
            <w:vMerge/>
            <w:tcBorders>
              <w:left w:val="single" w:sz="12" w:space="0" w:color="auto"/>
            </w:tcBorders>
            <w:shd w:val="clear" w:color="auto" w:fill="C5E0B3" w:themeFill="accent6" w:themeFillTint="66"/>
            <w:vAlign w:val="center"/>
          </w:tcPr>
          <w:p w14:paraId="3437F896" w14:textId="77777777" w:rsidR="00455144" w:rsidRDefault="00455144" w:rsidP="001560C9">
            <w:pPr>
              <w:jc w:val="center"/>
              <w:rPr>
                <w:sz w:val="18"/>
              </w:rPr>
            </w:pPr>
          </w:p>
        </w:tc>
        <w:tc>
          <w:tcPr>
            <w:tcW w:w="1863" w:type="dxa"/>
            <w:vMerge/>
            <w:shd w:val="clear" w:color="auto" w:fill="F4B083" w:themeFill="accent2" w:themeFillTint="99"/>
            <w:vAlign w:val="center"/>
          </w:tcPr>
          <w:p w14:paraId="624858C6" w14:textId="77777777" w:rsidR="00455144" w:rsidRDefault="00455144" w:rsidP="001560C9">
            <w:pPr>
              <w:jc w:val="center"/>
              <w:rPr>
                <w:sz w:val="18"/>
              </w:rPr>
            </w:pPr>
          </w:p>
        </w:tc>
        <w:tc>
          <w:tcPr>
            <w:tcW w:w="585" w:type="dxa"/>
            <w:shd w:val="clear" w:color="auto" w:fill="C00000"/>
            <w:vAlign w:val="center"/>
          </w:tcPr>
          <w:p w14:paraId="0C828C4F" w14:textId="77777777" w:rsidR="00455144" w:rsidRDefault="00455144" w:rsidP="001560C9">
            <w:pPr>
              <w:jc w:val="center"/>
              <w:rPr>
                <w:sz w:val="18"/>
              </w:rPr>
            </w:pPr>
            <w:r>
              <w:rPr>
                <w:sz w:val="18"/>
              </w:rPr>
              <w:t>No</w:t>
            </w:r>
          </w:p>
        </w:tc>
        <w:tc>
          <w:tcPr>
            <w:tcW w:w="0" w:type="auto"/>
            <w:vMerge/>
            <w:shd w:val="clear" w:color="auto" w:fill="F4B083" w:themeFill="accent2" w:themeFillTint="99"/>
            <w:vAlign w:val="center"/>
          </w:tcPr>
          <w:p w14:paraId="074D6727" w14:textId="77777777" w:rsidR="00455144" w:rsidRDefault="00455144" w:rsidP="001560C9">
            <w:pPr>
              <w:jc w:val="center"/>
              <w:rPr>
                <w:sz w:val="18"/>
              </w:rPr>
            </w:pPr>
          </w:p>
        </w:tc>
        <w:tc>
          <w:tcPr>
            <w:tcW w:w="0" w:type="auto"/>
            <w:vMerge/>
            <w:tcBorders>
              <w:right w:val="single" w:sz="12" w:space="0" w:color="auto"/>
            </w:tcBorders>
            <w:shd w:val="clear" w:color="auto" w:fill="F4B083" w:themeFill="accent2" w:themeFillTint="99"/>
            <w:vAlign w:val="center"/>
          </w:tcPr>
          <w:p w14:paraId="3F7AFC57" w14:textId="77777777" w:rsidR="00455144" w:rsidRDefault="00455144" w:rsidP="001560C9">
            <w:pPr>
              <w:jc w:val="center"/>
              <w:rPr>
                <w:sz w:val="18"/>
              </w:rPr>
            </w:pPr>
          </w:p>
        </w:tc>
      </w:tr>
      <w:tr w:rsidR="00455144" w:rsidRPr="005C2296" w14:paraId="6A2D726F" w14:textId="77777777" w:rsidTr="00DB67AA">
        <w:trPr>
          <w:jc w:val="center"/>
        </w:trPr>
        <w:tc>
          <w:tcPr>
            <w:tcW w:w="0" w:type="auto"/>
            <w:vMerge/>
            <w:tcBorders>
              <w:left w:val="single" w:sz="12" w:space="0" w:color="auto"/>
              <w:right w:val="single" w:sz="4" w:space="0" w:color="auto"/>
            </w:tcBorders>
            <w:textDirection w:val="btLr"/>
            <w:vAlign w:val="center"/>
          </w:tcPr>
          <w:p w14:paraId="707A751D" w14:textId="77777777" w:rsidR="00455144" w:rsidRDefault="00455144" w:rsidP="001560C9">
            <w:pPr>
              <w:ind w:left="113" w:right="113"/>
              <w:jc w:val="center"/>
              <w:rPr>
                <w:b/>
                <w:sz w:val="18"/>
              </w:rPr>
            </w:pPr>
          </w:p>
        </w:tc>
        <w:tc>
          <w:tcPr>
            <w:tcW w:w="1955" w:type="dxa"/>
            <w:tcBorders>
              <w:left w:val="single" w:sz="4" w:space="0" w:color="auto"/>
              <w:right w:val="single" w:sz="12" w:space="0" w:color="auto"/>
            </w:tcBorders>
            <w:vAlign w:val="center"/>
          </w:tcPr>
          <w:p w14:paraId="24EBC44F" w14:textId="77777777" w:rsidR="00455144" w:rsidRDefault="00455144" w:rsidP="001560C9">
            <w:pPr>
              <w:jc w:val="right"/>
              <w:rPr>
                <w:b/>
                <w:sz w:val="18"/>
              </w:rPr>
            </w:pPr>
            <w:r>
              <w:rPr>
                <w:b/>
                <w:sz w:val="18"/>
              </w:rPr>
              <w:t>Vegetable tops</w:t>
            </w:r>
          </w:p>
        </w:tc>
        <w:tc>
          <w:tcPr>
            <w:tcW w:w="967" w:type="dxa"/>
            <w:vMerge/>
            <w:tcBorders>
              <w:left w:val="single" w:sz="12" w:space="0" w:color="auto"/>
            </w:tcBorders>
            <w:shd w:val="clear" w:color="auto" w:fill="C5E0B3" w:themeFill="accent6" w:themeFillTint="66"/>
            <w:vAlign w:val="center"/>
          </w:tcPr>
          <w:p w14:paraId="03D6DE66" w14:textId="77777777" w:rsidR="00455144" w:rsidRDefault="00455144" w:rsidP="001560C9">
            <w:pPr>
              <w:jc w:val="center"/>
              <w:rPr>
                <w:sz w:val="18"/>
              </w:rPr>
            </w:pPr>
          </w:p>
        </w:tc>
        <w:tc>
          <w:tcPr>
            <w:tcW w:w="1863" w:type="dxa"/>
            <w:vMerge/>
            <w:shd w:val="clear" w:color="auto" w:fill="F4B083" w:themeFill="accent2" w:themeFillTint="99"/>
            <w:vAlign w:val="center"/>
          </w:tcPr>
          <w:p w14:paraId="651E9E68" w14:textId="77777777" w:rsidR="00455144" w:rsidRDefault="00455144" w:rsidP="001560C9">
            <w:pPr>
              <w:jc w:val="center"/>
              <w:rPr>
                <w:sz w:val="18"/>
              </w:rPr>
            </w:pPr>
          </w:p>
        </w:tc>
        <w:tc>
          <w:tcPr>
            <w:tcW w:w="585" w:type="dxa"/>
            <w:shd w:val="clear" w:color="auto" w:fill="F4B083" w:themeFill="accent2" w:themeFillTint="99"/>
            <w:vAlign w:val="center"/>
          </w:tcPr>
          <w:p w14:paraId="62AFF430" w14:textId="77777777" w:rsidR="00455144" w:rsidRDefault="00455144" w:rsidP="001560C9">
            <w:pPr>
              <w:jc w:val="center"/>
              <w:rPr>
                <w:sz w:val="18"/>
              </w:rPr>
            </w:pPr>
            <w:r>
              <w:rPr>
                <w:sz w:val="18"/>
              </w:rPr>
              <w:t>No need</w:t>
            </w:r>
          </w:p>
        </w:tc>
        <w:tc>
          <w:tcPr>
            <w:tcW w:w="0" w:type="auto"/>
            <w:vMerge/>
            <w:shd w:val="clear" w:color="auto" w:fill="F4B083" w:themeFill="accent2" w:themeFillTint="99"/>
            <w:vAlign w:val="center"/>
          </w:tcPr>
          <w:p w14:paraId="1337D1AC" w14:textId="77777777" w:rsidR="00455144" w:rsidRDefault="00455144" w:rsidP="001560C9">
            <w:pPr>
              <w:jc w:val="center"/>
              <w:rPr>
                <w:sz w:val="18"/>
              </w:rPr>
            </w:pPr>
          </w:p>
        </w:tc>
        <w:tc>
          <w:tcPr>
            <w:tcW w:w="0" w:type="auto"/>
            <w:vMerge/>
            <w:tcBorders>
              <w:right w:val="single" w:sz="12" w:space="0" w:color="auto"/>
            </w:tcBorders>
            <w:shd w:val="clear" w:color="auto" w:fill="F4B083" w:themeFill="accent2" w:themeFillTint="99"/>
            <w:vAlign w:val="center"/>
          </w:tcPr>
          <w:p w14:paraId="5F736D1A" w14:textId="77777777" w:rsidR="00455144" w:rsidRDefault="00455144" w:rsidP="001560C9">
            <w:pPr>
              <w:jc w:val="center"/>
              <w:rPr>
                <w:sz w:val="18"/>
              </w:rPr>
            </w:pPr>
          </w:p>
        </w:tc>
      </w:tr>
      <w:tr w:rsidR="00455144" w:rsidRPr="005C2296" w14:paraId="46DFAF97" w14:textId="77777777" w:rsidTr="00DB67AA">
        <w:trPr>
          <w:jc w:val="center"/>
        </w:trPr>
        <w:tc>
          <w:tcPr>
            <w:tcW w:w="0" w:type="auto"/>
            <w:vMerge/>
            <w:tcBorders>
              <w:left w:val="single" w:sz="12" w:space="0" w:color="auto"/>
              <w:right w:val="single" w:sz="4" w:space="0" w:color="auto"/>
            </w:tcBorders>
            <w:textDirection w:val="btLr"/>
            <w:vAlign w:val="center"/>
          </w:tcPr>
          <w:p w14:paraId="6C8BED0E" w14:textId="77777777" w:rsidR="00455144" w:rsidRDefault="00455144" w:rsidP="001560C9">
            <w:pPr>
              <w:ind w:left="113" w:right="113"/>
              <w:jc w:val="center"/>
              <w:rPr>
                <w:b/>
                <w:sz w:val="18"/>
              </w:rPr>
            </w:pPr>
          </w:p>
        </w:tc>
        <w:tc>
          <w:tcPr>
            <w:tcW w:w="1955" w:type="dxa"/>
            <w:tcBorders>
              <w:left w:val="single" w:sz="4" w:space="0" w:color="auto"/>
              <w:right w:val="single" w:sz="12" w:space="0" w:color="auto"/>
            </w:tcBorders>
            <w:vAlign w:val="center"/>
          </w:tcPr>
          <w:p w14:paraId="4F121F08" w14:textId="77777777" w:rsidR="00455144" w:rsidRDefault="00455144" w:rsidP="001560C9">
            <w:pPr>
              <w:jc w:val="right"/>
              <w:rPr>
                <w:b/>
                <w:sz w:val="18"/>
              </w:rPr>
            </w:pPr>
            <w:r>
              <w:rPr>
                <w:b/>
                <w:sz w:val="18"/>
              </w:rPr>
              <w:t>C3 by-products (for food reuse)</w:t>
            </w:r>
          </w:p>
        </w:tc>
        <w:tc>
          <w:tcPr>
            <w:tcW w:w="967" w:type="dxa"/>
            <w:vMerge/>
            <w:tcBorders>
              <w:left w:val="single" w:sz="12" w:space="0" w:color="auto"/>
            </w:tcBorders>
            <w:shd w:val="clear" w:color="auto" w:fill="C5E0B3" w:themeFill="accent6" w:themeFillTint="66"/>
            <w:vAlign w:val="center"/>
          </w:tcPr>
          <w:p w14:paraId="053D53F2" w14:textId="77777777" w:rsidR="00455144" w:rsidRDefault="00455144" w:rsidP="001560C9">
            <w:pPr>
              <w:jc w:val="center"/>
              <w:rPr>
                <w:sz w:val="18"/>
              </w:rPr>
            </w:pPr>
          </w:p>
        </w:tc>
        <w:tc>
          <w:tcPr>
            <w:tcW w:w="1863" w:type="dxa"/>
            <w:shd w:val="clear" w:color="auto" w:fill="F4B083" w:themeFill="accent2" w:themeFillTint="99"/>
            <w:vAlign w:val="center"/>
          </w:tcPr>
          <w:p w14:paraId="1CCA1CD2" w14:textId="77777777" w:rsidR="00455144" w:rsidRDefault="00455144" w:rsidP="001560C9">
            <w:pPr>
              <w:jc w:val="center"/>
              <w:rPr>
                <w:sz w:val="18"/>
              </w:rPr>
            </w:pPr>
            <w:r>
              <w:rPr>
                <w:sz w:val="18"/>
              </w:rPr>
              <w:t>Already performed when possible (acceptance)</w:t>
            </w:r>
          </w:p>
        </w:tc>
        <w:tc>
          <w:tcPr>
            <w:tcW w:w="585" w:type="dxa"/>
            <w:vMerge w:val="restart"/>
            <w:shd w:val="clear" w:color="auto" w:fill="F4B083" w:themeFill="accent2" w:themeFillTint="99"/>
            <w:vAlign w:val="center"/>
          </w:tcPr>
          <w:p w14:paraId="10C056B8" w14:textId="77777777" w:rsidR="00455144" w:rsidRPr="005C2296" w:rsidRDefault="00455144" w:rsidP="001560C9">
            <w:pPr>
              <w:jc w:val="center"/>
              <w:rPr>
                <w:sz w:val="18"/>
              </w:rPr>
            </w:pPr>
            <w:r>
              <w:rPr>
                <w:sz w:val="18"/>
              </w:rPr>
              <w:t>No need</w:t>
            </w:r>
          </w:p>
        </w:tc>
        <w:tc>
          <w:tcPr>
            <w:tcW w:w="0" w:type="auto"/>
            <w:shd w:val="clear" w:color="auto" w:fill="C5E0B3" w:themeFill="accent6" w:themeFillTint="66"/>
            <w:vAlign w:val="center"/>
          </w:tcPr>
          <w:p w14:paraId="3DCB8DB0" w14:textId="77777777" w:rsidR="00455144" w:rsidRDefault="00455144" w:rsidP="001560C9">
            <w:pPr>
              <w:jc w:val="center"/>
              <w:rPr>
                <w:sz w:val="18"/>
              </w:rPr>
            </w:pPr>
            <w:r>
              <w:rPr>
                <w:sz w:val="18"/>
              </w:rPr>
              <w:t>Meat-equivalent (animal proteins)</w:t>
            </w:r>
          </w:p>
        </w:tc>
        <w:tc>
          <w:tcPr>
            <w:tcW w:w="0" w:type="auto"/>
            <w:vMerge/>
            <w:tcBorders>
              <w:right w:val="single" w:sz="12" w:space="0" w:color="auto"/>
            </w:tcBorders>
            <w:shd w:val="clear" w:color="auto" w:fill="F4B083" w:themeFill="accent2" w:themeFillTint="99"/>
            <w:vAlign w:val="center"/>
          </w:tcPr>
          <w:p w14:paraId="45075F4C" w14:textId="77777777" w:rsidR="00455144" w:rsidRDefault="00455144" w:rsidP="001560C9">
            <w:pPr>
              <w:jc w:val="center"/>
              <w:rPr>
                <w:sz w:val="18"/>
              </w:rPr>
            </w:pPr>
          </w:p>
        </w:tc>
      </w:tr>
      <w:tr w:rsidR="00455144" w:rsidRPr="005C2296" w14:paraId="62677824" w14:textId="77777777" w:rsidTr="00DB67AA">
        <w:trPr>
          <w:jc w:val="center"/>
        </w:trPr>
        <w:tc>
          <w:tcPr>
            <w:tcW w:w="0" w:type="auto"/>
            <w:vMerge/>
            <w:tcBorders>
              <w:left w:val="single" w:sz="12" w:space="0" w:color="auto"/>
              <w:bottom w:val="single" w:sz="12" w:space="0" w:color="auto"/>
              <w:right w:val="single" w:sz="4" w:space="0" w:color="auto"/>
            </w:tcBorders>
            <w:textDirection w:val="btLr"/>
            <w:vAlign w:val="center"/>
          </w:tcPr>
          <w:p w14:paraId="0E600A8D" w14:textId="77777777" w:rsidR="00455144" w:rsidRDefault="00455144" w:rsidP="001560C9">
            <w:pPr>
              <w:ind w:left="113" w:right="113"/>
              <w:jc w:val="center"/>
              <w:rPr>
                <w:b/>
                <w:sz w:val="18"/>
              </w:rPr>
            </w:pPr>
          </w:p>
        </w:tc>
        <w:tc>
          <w:tcPr>
            <w:tcW w:w="1955" w:type="dxa"/>
            <w:tcBorders>
              <w:left w:val="single" w:sz="4" w:space="0" w:color="auto"/>
              <w:bottom w:val="single" w:sz="12" w:space="0" w:color="auto"/>
              <w:right w:val="single" w:sz="12" w:space="0" w:color="auto"/>
            </w:tcBorders>
            <w:vAlign w:val="center"/>
          </w:tcPr>
          <w:p w14:paraId="15817CC5" w14:textId="77777777" w:rsidR="00455144" w:rsidRDefault="00455144" w:rsidP="001560C9">
            <w:pPr>
              <w:jc w:val="right"/>
              <w:rPr>
                <w:b/>
                <w:sz w:val="18"/>
              </w:rPr>
            </w:pPr>
            <w:r>
              <w:rPr>
                <w:b/>
                <w:sz w:val="18"/>
              </w:rPr>
              <w:t>Agrifood co-products</w:t>
            </w:r>
          </w:p>
        </w:tc>
        <w:tc>
          <w:tcPr>
            <w:tcW w:w="967" w:type="dxa"/>
            <w:tcBorders>
              <w:left w:val="single" w:sz="12" w:space="0" w:color="auto"/>
              <w:bottom w:val="single" w:sz="12" w:space="0" w:color="auto"/>
            </w:tcBorders>
            <w:shd w:val="clear" w:color="auto" w:fill="C5E0B3" w:themeFill="accent6" w:themeFillTint="66"/>
            <w:vAlign w:val="center"/>
          </w:tcPr>
          <w:p w14:paraId="239C583A" w14:textId="77777777" w:rsidR="00455144" w:rsidRDefault="00455144" w:rsidP="001560C9">
            <w:pPr>
              <w:jc w:val="center"/>
              <w:rPr>
                <w:sz w:val="18"/>
              </w:rPr>
            </w:pPr>
            <w:r>
              <w:rPr>
                <w:sz w:val="18"/>
              </w:rPr>
              <w:t>Most streams</w:t>
            </w:r>
          </w:p>
        </w:tc>
        <w:tc>
          <w:tcPr>
            <w:tcW w:w="1863" w:type="dxa"/>
            <w:tcBorders>
              <w:bottom w:val="single" w:sz="12" w:space="0" w:color="auto"/>
            </w:tcBorders>
            <w:shd w:val="clear" w:color="auto" w:fill="C5E0B3" w:themeFill="accent6" w:themeFillTint="66"/>
            <w:vAlign w:val="center"/>
          </w:tcPr>
          <w:p w14:paraId="3FF16790" w14:textId="77777777" w:rsidR="00455144" w:rsidRPr="005C2296" w:rsidRDefault="00455144" w:rsidP="001560C9">
            <w:pPr>
              <w:jc w:val="center"/>
              <w:rPr>
                <w:sz w:val="18"/>
              </w:rPr>
            </w:pPr>
            <w:r>
              <w:rPr>
                <w:sz w:val="18"/>
              </w:rPr>
              <w:t>Only if feed to food</w:t>
            </w:r>
          </w:p>
        </w:tc>
        <w:tc>
          <w:tcPr>
            <w:tcW w:w="585" w:type="dxa"/>
            <w:vMerge/>
            <w:tcBorders>
              <w:bottom w:val="single" w:sz="12" w:space="0" w:color="auto"/>
            </w:tcBorders>
            <w:shd w:val="clear" w:color="auto" w:fill="F4B083" w:themeFill="accent2" w:themeFillTint="99"/>
            <w:vAlign w:val="center"/>
          </w:tcPr>
          <w:p w14:paraId="2B1EC586" w14:textId="77777777" w:rsidR="00455144" w:rsidRPr="005C2296" w:rsidRDefault="00455144" w:rsidP="001560C9">
            <w:pPr>
              <w:jc w:val="center"/>
              <w:rPr>
                <w:sz w:val="18"/>
              </w:rPr>
            </w:pPr>
          </w:p>
        </w:tc>
        <w:tc>
          <w:tcPr>
            <w:tcW w:w="0" w:type="auto"/>
            <w:gridSpan w:val="2"/>
            <w:tcBorders>
              <w:bottom w:val="single" w:sz="12" w:space="0" w:color="auto"/>
              <w:right w:val="single" w:sz="12" w:space="0" w:color="auto"/>
            </w:tcBorders>
            <w:shd w:val="clear" w:color="auto" w:fill="F4B083" w:themeFill="accent2" w:themeFillTint="99"/>
            <w:vAlign w:val="center"/>
          </w:tcPr>
          <w:p w14:paraId="568C60B9" w14:textId="77777777" w:rsidR="00455144" w:rsidRDefault="00455144" w:rsidP="001560C9">
            <w:pPr>
              <w:jc w:val="center"/>
              <w:rPr>
                <w:sz w:val="18"/>
              </w:rPr>
            </w:pPr>
            <w:r>
              <w:rPr>
                <w:sz w:val="18"/>
              </w:rPr>
              <w:t>Stream- and pathway-specific</w:t>
            </w:r>
          </w:p>
        </w:tc>
      </w:tr>
      <w:tr w:rsidR="00455144" w:rsidRPr="005C2296" w14:paraId="0605493A" w14:textId="77777777" w:rsidTr="001560C9">
        <w:trPr>
          <w:jc w:val="center"/>
        </w:trPr>
        <w:tc>
          <w:tcPr>
            <w:tcW w:w="0" w:type="auto"/>
            <w:vMerge w:val="restart"/>
            <w:tcBorders>
              <w:top w:val="single" w:sz="12" w:space="0" w:color="auto"/>
              <w:left w:val="single" w:sz="12" w:space="0" w:color="auto"/>
            </w:tcBorders>
            <w:textDirection w:val="btLr"/>
            <w:vAlign w:val="center"/>
          </w:tcPr>
          <w:p w14:paraId="3678DC3D" w14:textId="77777777" w:rsidR="00455144" w:rsidRDefault="00455144" w:rsidP="001560C9">
            <w:pPr>
              <w:ind w:left="113" w:right="113"/>
              <w:jc w:val="center"/>
              <w:rPr>
                <w:b/>
                <w:sz w:val="18"/>
              </w:rPr>
            </w:pPr>
            <w:r>
              <w:rPr>
                <w:b/>
                <w:sz w:val="18"/>
              </w:rPr>
              <w:t>Proteins extraction</w:t>
            </w:r>
          </w:p>
        </w:tc>
        <w:tc>
          <w:tcPr>
            <w:tcW w:w="0" w:type="auto"/>
            <w:tcBorders>
              <w:top w:val="single" w:sz="12" w:space="0" w:color="auto"/>
              <w:right w:val="single" w:sz="12" w:space="0" w:color="auto"/>
            </w:tcBorders>
            <w:vAlign w:val="center"/>
          </w:tcPr>
          <w:p w14:paraId="55A5DDDC" w14:textId="77777777" w:rsidR="00455144" w:rsidRDefault="00455144" w:rsidP="001560C9">
            <w:pPr>
              <w:jc w:val="right"/>
              <w:rPr>
                <w:b/>
                <w:sz w:val="18"/>
              </w:rPr>
            </w:pPr>
            <w:r>
              <w:rPr>
                <w:b/>
                <w:sz w:val="18"/>
              </w:rPr>
              <w:t>Sludge</w:t>
            </w:r>
          </w:p>
        </w:tc>
        <w:tc>
          <w:tcPr>
            <w:tcW w:w="0" w:type="auto"/>
            <w:tcBorders>
              <w:top w:val="single" w:sz="12" w:space="0" w:color="auto"/>
              <w:left w:val="single" w:sz="12" w:space="0" w:color="auto"/>
            </w:tcBorders>
            <w:shd w:val="clear" w:color="auto" w:fill="C5E0B3" w:themeFill="accent6" w:themeFillTint="66"/>
            <w:vAlign w:val="center"/>
          </w:tcPr>
          <w:p w14:paraId="573D289F" w14:textId="77777777" w:rsidR="00455144" w:rsidRDefault="00455144" w:rsidP="001560C9">
            <w:pPr>
              <w:jc w:val="center"/>
              <w:rPr>
                <w:sz w:val="18"/>
              </w:rPr>
            </w:pPr>
            <w:r>
              <w:rPr>
                <w:sz w:val="18"/>
              </w:rPr>
              <w:t>Yes</w:t>
            </w:r>
          </w:p>
        </w:tc>
        <w:tc>
          <w:tcPr>
            <w:tcW w:w="0" w:type="auto"/>
            <w:vMerge w:val="restart"/>
            <w:tcBorders>
              <w:top w:val="single" w:sz="12" w:space="0" w:color="auto"/>
            </w:tcBorders>
            <w:shd w:val="clear" w:color="auto" w:fill="C5E0B3" w:themeFill="accent6" w:themeFillTint="66"/>
            <w:vAlign w:val="center"/>
          </w:tcPr>
          <w:p w14:paraId="604C4496" w14:textId="77777777" w:rsidR="00455144" w:rsidRPr="005C2296" w:rsidRDefault="00455144" w:rsidP="001560C9">
            <w:pPr>
              <w:jc w:val="center"/>
              <w:rPr>
                <w:sz w:val="18"/>
              </w:rPr>
            </w:pPr>
            <w:r>
              <w:rPr>
                <w:sz w:val="18"/>
              </w:rPr>
              <w:t xml:space="preserve">Agronomy to feed </w:t>
            </w:r>
          </w:p>
        </w:tc>
        <w:tc>
          <w:tcPr>
            <w:tcW w:w="585" w:type="dxa"/>
            <w:tcBorders>
              <w:top w:val="single" w:sz="12" w:space="0" w:color="auto"/>
            </w:tcBorders>
            <w:shd w:val="clear" w:color="auto" w:fill="C00000"/>
            <w:vAlign w:val="center"/>
          </w:tcPr>
          <w:p w14:paraId="68F00CC0" w14:textId="77777777" w:rsidR="00455144" w:rsidRPr="005C2296" w:rsidRDefault="00455144" w:rsidP="001560C9">
            <w:pPr>
              <w:jc w:val="center"/>
              <w:rPr>
                <w:sz w:val="18"/>
              </w:rPr>
            </w:pPr>
            <w:r>
              <w:rPr>
                <w:sz w:val="18"/>
              </w:rPr>
              <w:t>No</w:t>
            </w:r>
          </w:p>
        </w:tc>
        <w:tc>
          <w:tcPr>
            <w:tcW w:w="1504" w:type="dxa"/>
            <w:tcBorders>
              <w:top w:val="single" w:sz="12" w:space="0" w:color="auto"/>
            </w:tcBorders>
            <w:shd w:val="clear" w:color="auto" w:fill="F4B083" w:themeFill="accent2" w:themeFillTint="99"/>
            <w:vAlign w:val="center"/>
          </w:tcPr>
          <w:p w14:paraId="5C260EEB" w14:textId="77777777" w:rsidR="00455144" w:rsidRDefault="00455144" w:rsidP="001560C9">
            <w:pPr>
              <w:jc w:val="center"/>
              <w:rPr>
                <w:sz w:val="18"/>
              </w:rPr>
            </w:pPr>
            <w:r>
              <w:rPr>
                <w:sz w:val="18"/>
              </w:rPr>
              <w:t>Protein feed</w:t>
            </w:r>
          </w:p>
        </w:tc>
        <w:tc>
          <w:tcPr>
            <w:tcW w:w="980" w:type="dxa"/>
            <w:vMerge w:val="restart"/>
            <w:tcBorders>
              <w:top w:val="single" w:sz="12" w:space="0" w:color="auto"/>
              <w:right w:val="single" w:sz="12" w:space="0" w:color="auto"/>
            </w:tcBorders>
            <w:shd w:val="clear" w:color="auto" w:fill="C00000"/>
            <w:vAlign w:val="center"/>
          </w:tcPr>
          <w:p w14:paraId="3B174029" w14:textId="77777777" w:rsidR="00455144" w:rsidRDefault="00455144" w:rsidP="001560C9">
            <w:pPr>
              <w:jc w:val="center"/>
              <w:rPr>
                <w:sz w:val="18"/>
              </w:rPr>
            </w:pPr>
            <w:r>
              <w:rPr>
                <w:sz w:val="18"/>
              </w:rPr>
              <w:t>Low</w:t>
            </w:r>
          </w:p>
        </w:tc>
      </w:tr>
      <w:tr w:rsidR="00455144" w:rsidRPr="005C2296" w14:paraId="0A6F845C" w14:textId="77777777" w:rsidTr="001560C9">
        <w:trPr>
          <w:jc w:val="center"/>
        </w:trPr>
        <w:tc>
          <w:tcPr>
            <w:tcW w:w="0" w:type="auto"/>
            <w:vMerge/>
            <w:tcBorders>
              <w:left w:val="single" w:sz="12" w:space="0" w:color="auto"/>
            </w:tcBorders>
            <w:vAlign w:val="center"/>
          </w:tcPr>
          <w:p w14:paraId="13D6F1DE" w14:textId="77777777" w:rsidR="00455144" w:rsidRDefault="00455144" w:rsidP="001560C9">
            <w:pPr>
              <w:jc w:val="right"/>
              <w:rPr>
                <w:b/>
                <w:sz w:val="18"/>
              </w:rPr>
            </w:pPr>
          </w:p>
        </w:tc>
        <w:tc>
          <w:tcPr>
            <w:tcW w:w="0" w:type="auto"/>
            <w:tcBorders>
              <w:right w:val="single" w:sz="12" w:space="0" w:color="auto"/>
            </w:tcBorders>
            <w:vAlign w:val="center"/>
          </w:tcPr>
          <w:p w14:paraId="3809832D" w14:textId="77777777" w:rsidR="00455144" w:rsidRDefault="00455144" w:rsidP="001560C9">
            <w:pPr>
              <w:jc w:val="right"/>
              <w:rPr>
                <w:b/>
                <w:sz w:val="18"/>
              </w:rPr>
            </w:pPr>
            <w:r>
              <w:rPr>
                <w:b/>
                <w:sz w:val="18"/>
              </w:rPr>
              <w:t>Primary crop residues</w:t>
            </w:r>
          </w:p>
        </w:tc>
        <w:tc>
          <w:tcPr>
            <w:tcW w:w="0" w:type="auto"/>
            <w:tcBorders>
              <w:left w:val="single" w:sz="12" w:space="0" w:color="auto"/>
            </w:tcBorders>
            <w:shd w:val="clear" w:color="auto" w:fill="C5E0B3" w:themeFill="accent6" w:themeFillTint="66"/>
            <w:vAlign w:val="center"/>
          </w:tcPr>
          <w:p w14:paraId="5FFA31A8" w14:textId="77777777" w:rsidR="00455144" w:rsidRDefault="00455144" w:rsidP="001560C9">
            <w:pPr>
              <w:jc w:val="center"/>
              <w:rPr>
                <w:sz w:val="18"/>
              </w:rPr>
            </w:pPr>
            <w:r>
              <w:rPr>
                <w:sz w:val="18"/>
              </w:rPr>
              <w:t>Yes</w:t>
            </w:r>
          </w:p>
        </w:tc>
        <w:tc>
          <w:tcPr>
            <w:tcW w:w="0" w:type="auto"/>
            <w:vMerge/>
            <w:shd w:val="clear" w:color="auto" w:fill="C5E0B3" w:themeFill="accent6" w:themeFillTint="66"/>
            <w:vAlign w:val="center"/>
          </w:tcPr>
          <w:p w14:paraId="1C4FF1D8" w14:textId="77777777" w:rsidR="00455144" w:rsidRPr="005C2296" w:rsidRDefault="00455144" w:rsidP="001560C9">
            <w:pPr>
              <w:jc w:val="center"/>
              <w:rPr>
                <w:sz w:val="18"/>
              </w:rPr>
            </w:pPr>
          </w:p>
        </w:tc>
        <w:tc>
          <w:tcPr>
            <w:tcW w:w="585" w:type="dxa"/>
            <w:shd w:val="clear" w:color="auto" w:fill="F4B083" w:themeFill="accent2" w:themeFillTint="99"/>
            <w:vAlign w:val="center"/>
          </w:tcPr>
          <w:p w14:paraId="41FDAFF4" w14:textId="77777777" w:rsidR="00455144" w:rsidRDefault="00455144" w:rsidP="001560C9">
            <w:pPr>
              <w:jc w:val="center"/>
              <w:rPr>
                <w:sz w:val="18"/>
              </w:rPr>
            </w:pPr>
            <w:r>
              <w:rPr>
                <w:sz w:val="18"/>
              </w:rPr>
              <w:t>No need</w:t>
            </w:r>
          </w:p>
        </w:tc>
        <w:tc>
          <w:tcPr>
            <w:tcW w:w="1504" w:type="dxa"/>
            <w:vMerge w:val="restart"/>
            <w:shd w:val="clear" w:color="auto" w:fill="F4B083" w:themeFill="accent2" w:themeFillTint="99"/>
            <w:vAlign w:val="center"/>
          </w:tcPr>
          <w:p w14:paraId="3C53FE3B" w14:textId="77777777" w:rsidR="00455144" w:rsidRDefault="00455144" w:rsidP="001560C9">
            <w:pPr>
              <w:jc w:val="center"/>
              <w:rPr>
                <w:sz w:val="18"/>
              </w:rPr>
            </w:pPr>
            <w:r>
              <w:rPr>
                <w:sz w:val="18"/>
              </w:rPr>
              <w:t>Protein feed (ruminant to monogastric)</w:t>
            </w:r>
          </w:p>
        </w:tc>
        <w:tc>
          <w:tcPr>
            <w:tcW w:w="980" w:type="dxa"/>
            <w:vMerge/>
            <w:tcBorders>
              <w:right w:val="single" w:sz="12" w:space="0" w:color="auto"/>
            </w:tcBorders>
            <w:shd w:val="clear" w:color="auto" w:fill="C5E0B3" w:themeFill="accent6" w:themeFillTint="66"/>
            <w:vAlign w:val="center"/>
          </w:tcPr>
          <w:p w14:paraId="7D4CE80F" w14:textId="77777777" w:rsidR="00455144" w:rsidRDefault="00455144" w:rsidP="001560C9">
            <w:pPr>
              <w:jc w:val="center"/>
              <w:rPr>
                <w:sz w:val="18"/>
              </w:rPr>
            </w:pPr>
          </w:p>
        </w:tc>
      </w:tr>
      <w:tr w:rsidR="00455144" w:rsidRPr="005C2296" w14:paraId="2697B016" w14:textId="77777777" w:rsidTr="001560C9">
        <w:trPr>
          <w:jc w:val="center"/>
        </w:trPr>
        <w:tc>
          <w:tcPr>
            <w:tcW w:w="0" w:type="auto"/>
            <w:vMerge/>
            <w:tcBorders>
              <w:left w:val="single" w:sz="12" w:space="0" w:color="auto"/>
            </w:tcBorders>
            <w:vAlign w:val="center"/>
          </w:tcPr>
          <w:p w14:paraId="7335691A" w14:textId="77777777" w:rsidR="00455144" w:rsidRDefault="00455144" w:rsidP="001560C9">
            <w:pPr>
              <w:jc w:val="right"/>
              <w:rPr>
                <w:b/>
                <w:sz w:val="18"/>
              </w:rPr>
            </w:pPr>
          </w:p>
        </w:tc>
        <w:tc>
          <w:tcPr>
            <w:tcW w:w="0" w:type="auto"/>
            <w:tcBorders>
              <w:right w:val="single" w:sz="12" w:space="0" w:color="auto"/>
            </w:tcBorders>
            <w:vAlign w:val="center"/>
          </w:tcPr>
          <w:p w14:paraId="630E06AD" w14:textId="77777777" w:rsidR="00455144" w:rsidRDefault="00455144" w:rsidP="001560C9">
            <w:pPr>
              <w:jc w:val="right"/>
              <w:rPr>
                <w:b/>
                <w:sz w:val="18"/>
              </w:rPr>
            </w:pPr>
            <w:r>
              <w:rPr>
                <w:b/>
                <w:sz w:val="18"/>
              </w:rPr>
              <w:t>Garden &amp; park waste</w:t>
            </w:r>
          </w:p>
        </w:tc>
        <w:tc>
          <w:tcPr>
            <w:tcW w:w="0" w:type="auto"/>
            <w:tcBorders>
              <w:left w:val="single" w:sz="12" w:space="0" w:color="auto"/>
            </w:tcBorders>
            <w:shd w:val="clear" w:color="auto" w:fill="C5E0B3" w:themeFill="accent6" w:themeFillTint="66"/>
            <w:vAlign w:val="center"/>
          </w:tcPr>
          <w:p w14:paraId="2C22FAFB" w14:textId="77777777" w:rsidR="00455144" w:rsidRDefault="00455144" w:rsidP="001560C9">
            <w:pPr>
              <w:jc w:val="center"/>
              <w:rPr>
                <w:sz w:val="18"/>
              </w:rPr>
            </w:pPr>
            <w:r>
              <w:rPr>
                <w:sz w:val="18"/>
              </w:rPr>
              <w:t>Yes</w:t>
            </w:r>
          </w:p>
        </w:tc>
        <w:tc>
          <w:tcPr>
            <w:tcW w:w="0" w:type="auto"/>
            <w:vMerge/>
            <w:shd w:val="clear" w:color="auto" w:fill="C5E0B3" w:themeFill="accent6" w:themeFillTint="66"/>
            <w:vAlign w:val="center"/>
          </w:tcPr>
          <w:p w14:paraId="55034ABF" w14:textId="77777777" w:rsidR="00455144" w:rsidRPr="005C2296" w:rsidRDefault="00455144" w:rsidP="001560C9">
            <w:pPr>
              <w:jc w:val="center"/>
              <w:rPr>
                <w:sz w:val="18"/>
              </w:rPr>
            </w:pPr>
          </w:p>
        </w:tc>
        <w:tc>
          <w:tcPr>
            <w:tcW w:w="585" w:type="dxa"/>
            <w:shd w:val="clear" w:color="auto" w:fill="C00000"/>
            <w:vAlign w:val="center"/>
          </w:tcPr>
          <w:p w14:paraId="7A5759E0" w14:textId="77777777" w:rsidR="00455144" w:rsidRPr="005C2296" w:rsidRDefault="00455144" w:rsidP="001560C9">
            <w:pPr>
              <w:jc w:val="center"/>
              <w:rPr>
                <w:sz w:val="18"/>
              </w:rPr>
            </w:pPr>
            <w:r>
              <w:rPr>
                <w:sz w:val="18"/>
              </w:rPr>
              <w:t>No</w:t>
            </w:r>
          </w:p>
        </w:tc>
        <w:tc>
          <w:tcPr>
            <w:tcW w:w="1504" w:type="dxa"/>
            <w:vMerge/>
            <w:shd w:val="clear" w:color="auto" w:fill="F4B083" w:themeFill="accent2" w:themeFillTint="99"/>
            <w:vAlign w:val="center"/>
          </w:tcPr>
          <w:p w14:paraId="041FD413" w14:textId="77777777" w:rsidR="00455144" w:rsidRDefault="00455144" w:rsidP="001560C9">
            <w:pPr>
              <w:jc w:val="center"/>
              <w:rPr>
                <w:sz w:val="18"/>
              </w:rPr>
            </w:pPr>
          </w:p>
        </w:tc>
        <w:tc>
          <w:tcPr>
            <w:tcW w:w="980" w:type="dxa"/>
            <w:vMerge w:val="restart"/>
            <w:tcBorders>
              <w:right w:val="single" w:sz="12" w:space="0" w:color="auto"/>
            </w:tcBorders>
            <w:shd w:val="clear" w:color="auto" w:fill="C5E0B3" w:themeFill="accent6" w:themeFillTint="66"/>
            <w:vAlign w:val="center"/>
          </w:tcPr>
          <w:p w14:paraId="54178D61" w14:textId="77777777" w:rsidR="00455144" w:rsidRDefault="00455144" w:rsidP="001560C9">
            <w:pPr>
              <w:jc w:val="center"/>
              <w:rPr>
                <w:sz w:val="18"/>
              </w:rPr>
            </w:pPr>
            <w:r>
              <w:rPr>
                <w:sz w:val="18"/>
              </w:rPr>
              <w:t>Yes</w:t>
            </w:r>
          </w:p>
        </w:tc>
      </w:tr>
      <w:tr w:rsidR="00455144" w:rsidRPr="005C2296" w14:paraId="1A1A2453" w14:textId="77777777" w:rsidTr="001560C9">
        <w:trPr>
          <w:jc w:val="center"/>
        </w:trPr>
        <w:tc>
          <w:tcPr>
            <w:tcW w:w="0" w:type="auto"/>
            <w:vMerge/>
            <w:tcBorders>
              <w:left w:val="single" w:sz="12" w:space="0" w:color="auto"/>
            </w:tcBorders>
            <w:vAlign w:val="center"/>
          </w:tcPr>
          <w:p w14:paraId="244AFA69" w14:textId="77777777" w:rsidR="00455144" w:rsidRDefault="00455144" w:rsidP="001560C9">
            <w:pPr>
              <w:jc w:val="right"/>
              <w:rPr>
                <w:b/>
                <w:sz w:val="18"/>
              </w:rPr>
            </w:pPr>
          </w:p>
        </w:tc>
        <w:tc>
          <w:tcPr>
            <w:tcW w:w="0" w:type="auto"/>
            <w:tcBorders>
              <w:right w:val="single" w:sz="12" w:space="0" w:color="auto"/>
            </w:tcBorders>
            <w:vAlign w:val="center"/>
          </w:tcPr>
          <w:p w14:paraId="6B754D62" w14:textId="77777777" w:rsidR="00455144" w:rsidRDefault="00455144" w:rsidP="001560C9">
            <w:pPr>
              <w:jc w:val="right"/>
              <w:rPr>
                <w:b/>
                <w:sz w:val="18"/>
              </w:rPr>
            </w:pPr>
            <w:r>
              <w:rPr>
                <w:b/>
                <w:sz w:val="18"/>
              </w:rPr>
              <w:t>Vegetable tops</w:t>
            </w:r>
          </w:p>
        </w:tc>
        <w:tc>
          <w:tcPr>
            <w:tcW w:w="0" w:type="auto"/>
            <w:tcBorders>
              <w:left w:val="single" w:sz="12" w:space="0" w:color="auto"/>
            </w:tcBorders>
            <w:shd w:val="clear" w:color="auto" w:fill="C5E0B3" w:themeFill="accent6" w:themeFillTint="66"/>
            <w:vAlign w:val="center"/>
          </w:tcPr>
          <w:p w14:paraId="0E268E22" w14:textId="77777777" w:rsidR="00455144" w:rsidRDefault="00455144" w:rsidP="001560C9">
            <w:pPr>
              <w:jc w:val="center"/>
              <w:rPr>
                <w:sz w:val="18"/>
              </w:rPr>
            </w:pPr>
            <w:r>
              <w:rPr>
                <w:sz w:val="18"/>
              </w:rPr>
              <w:t>Yes</w:t>
            </w:r>
          </w:p>
        </w:tc>
        <w:tc>
          <w:tcPr>
            <w:tcW w:w="0" w:type="auto"/>
            <w:vMerge/>
            <w:shd w:val="clear" w:color="auto" w:fill="C5E0B3" w:themeFill="accent6" w:themeFillTint="66"/>
            <w:vAlign w:val="center"/>
          </w:tcPr>
          <w:p w14:paraId="7827669F" w14:textId="77777777" w:rsidR="00455144" w:rsidRPr="005C2296" w:rsidRDefault="00455144" w:rsidP="001560C9">
            <w:pPr>
              <w:jc w:val="center"/>
              <w:rPr>
                <w:sz w:val="18"/>
              </w:rPr>
            </w:pPr>
          </w:p>
        </w:tc>
        <w:tc>
          <w:tcPr>
            <w:tcW w:w="585" w:type="dxa"/>
            <w:shd w:val="clear" w:color="auto" w:fill="F4B083" w:themeFill="accent2" w:themeFillTint="99"/>
            <w:vAlign w:val="center"/>
          </w:tcPr>
          <w:p w14:paraId="1A98CB6A" w14:textId="77777777" w:rsidR="00455144" w:rsidRPr="005C2296" w:rsidRDefault="00455144" w:rsidP="001560C9">
            <w:pPr>
              <w:jc w:val="center"/>
              <w:rPr>
                <w:sz w:val="18"/>
              </w:rPr>
            </w:pPr>
            <w:r>
              <w:rPr>
                <w:sz w:val="18"/>
              </w:rPr>
              <w:t>No need</w:t>
            </w:r>
          </w:p>
        </w:tc>
        <w:tc>
          <w:tcPr>
            <w:tcW w:w="1504" w:type="dxa"/>
            <w:vMerge/>
            <w:shd w:val="clear" w:color="auto" w:fill="F4B083" w:themeFill="accent2" w:themeFillTint="99"/>
            <w:vAlign w:val="center"/>
          </w:tcPr>
          <w:p w14:paraId="72C0597A" w14:textId="77777777" w:rsidR="00455144" w:rsidRDefault="00455144" w:rsidP="001560C9">
            <w:pPr>
              <w:jc w:val="center"/>
              <w:rPr>
                <w:sz w:val="18"/>
              </w:rPr>
            </w:pPr>
          </w:p>
        </w:tc>
        <w:tc>
          <w:tcPr>
            <w:tcW w:w="980" w:type="dxa"/>
            <w:vMerge/>
            <w:tcBorders>
              <w:right w:val="single" w:sz="12" w:space="0" w:color="auto"/>
            </w:tcBorders>
            <w:shd w:val="clear" w:color="auto" w:fill="C5E0B3" w:themeFill="accent6" w:themeFillTint="66"/>
            <w:vAlign w:val="center"/>
          </w:tcPr>
          <w:p w14:paraId="58359175" w14:textId="77777777" w:rsidR="00455144" w:rsidRDefault="00455144" w:rsidP="001560C9">
            <w:pPr>
              <w:jc w:val="center"/>
              <w:rPr>
                <w:sz w:val="18"/>
              </w:rPr>
            </w:pPr>
          </w:p>
        </w:tc>
      </w:tr>
      <w:tr w:rsidR="00455144" w:rsidRPr="005C2296" w14:paraId="446CBD5D" w14:textId="77777777" w:rsidTr="001560C9">
        <w:trPr>
          <w:jc w:val="center"/>
        </w:trPr>
        <w:tc>
          <w:tcPr>
            <w:tcW w:w="0" w:type="auto"/>
            <w:vMerge/>
            <w:tcBorders>
              <w:left w:val="single" w:sz="12" w:space="0" w:color="auto"/>
              <w:bottom w:val="single" w:sz="12" w:space="0" w:color="auto"/>
            </w:tcBorders>
            <w:vAlign w:val="center"/>
          </w:tcPr>
          <w:p w14:paraId="77F0506D" w14:textId="77777777" w:rsidR="00455144" w:rsidRDefault="00455144" w:rsidP="001560C9">
            <w:pPr>
              <w:jc w:val="right"/>
              <w:rPr>
                <w:b/>
                <w:sz w:val="18"/>
              </w:rPr>
            </w:pPr>
          </w:p>
        </w:tc>
        <w:tc>
          <w:tcPr>
            <w:tcW w:w="0" w:type="auto"/>
            <w:tcBorders>
              <w:bottom w:val="single" w:sz="6" w:space="0" w:color="auto"/>
              <w:right w:val="single" w:sz="12" w:space="0" w:color="auto"/>
            </w:tcBorders>
            <w:vAlign w:val="center"/>
          </w:tcPr>
          <w:p w14:paraId="594A625A" w14:textId="77777777" w:rsidR="00455144" w:rsidRDefault="00455144" w:rsidP="001560C9">
            <w:pPr>
              <w:jc w:val="right"/>
              <w:rPr>
                <w:b/>
                <w:sz w:val="18"/>
              </w:rPr>
            </w:pPr>
            <w:r>
              <w:rPr>
                <w:b/>
                <w:sz w:val="18"/>
              </w:rPr>
              <w:t>Municipal food waste</w:t>
            </w:r>
          </w:p>
        </w:tc>
        <w:tc>
          <w:tcPr>
            <w:tcW w:w="0" w:type="auto"/>
            <w:tcBorders>
              <w:left w:val="single" w:sz="12" w:space="0" w:color="auto"/>
              <w:bottom w:val="single" w:sz="6" w:space="0" w:color="auto"/>
            </w:tcBorders>
            <w:shd w:val="clear" w:color="auto" w:fill="F4B083" w:themeFill="accent2" w:themeFillTint="99"/>
            <w:vAlign w:val="center"/>
          </w:tcPr>
          <w:p w14:paraId="15AC012C" w14:textId="77777777" w:rsidR="00455144" w:rsidRDefault="00455144" w:rsidP="001560C9">
            <w:pPr>
              <w:jc w:val="center"/>
              <w:rPr>
                <w:sz w:val="18"/>
              </w:rPr>
            </w:pPr>
            <w:r>
              <w:rPr>
                <w:sz w:val="18"/>
              </w:rPr>
              <w:t>Arguable</w:t>
            </w:r>
          </w:p>
        </w:tc>
        <w:tc>
          <w:tcPr>
            <w:tcW w:w="0" w:type="auto"/>
            <w:vMerge/>
            <w:shd w:val="clear" w:color="auto" w:fill="C5E0B3" w:themeFill="accent6" w:themeFillTint="66"/>
            <w:vAlign w:val="center"/>
          </w:tcPr>
          <w:p w14:paraId="02B5ACBC" w14:textId="77777777" w:rsidR="00455144" w:rsidRDefault="00455144" w:rsidP="001560C9">
            <w:pPr>
              <w:jc w:val="center"/>
              <w:rPr>
                <w:sz w:val="18"/>
              </w:rPr>
            </w:pPr>
          </w:p>
        </w:tc>
        <w:tc>
          <w:tcPr>
            <w:tcW w:w="585" w:type="dxa"/>
            <w:tcBorders>
              <w:bottom w:val="single" w:sz="6" w:space="0" w:color="auto"/>
            </w:tcBorders>
            <w:shd w:val="clear" w:color="auto" w:fill="C00000"/>
            <w:vAlign w:val="center"/>
          </w:tcPr>
          <w:p w14:paraId="0EB0612C" w14:textId="77777777" w:rsidR="00455144" w:rsidRDefault="00455144" w:rsidP="001560C9">
            <w:pPr>
              <w:jc w:val="center"/>
              <w:rPr>
                <w:sz w:val="18"/>
              </w:rPr>
            </w:pPr>
            <w:r>
              <w:rPr>
                <w:sz w:val="18"/>
              </w:rPr>
              <w:t>No</w:t>
            </w:r>
          </w:p>
        </w:tc>
        <w:tc>
          <w:tcPr>
            <w:tcW w:w="1504" w:type="dxa"/>
            <w:vMerge w:val="restart"/>
            <w:shd w:val="clear" w:color="auto" w:fill="F4B083" w:themeFill="accent2" w:themeFillTint="99"/>
            <w:vAlign w:val="center"/>
          </w:tcPr>
          <w:p w14:paraId="1F8C834B" w14:textId="77777777" w:rsidR="00455144" w:rsidRDefault="00455144" w:rsidP="001560C9">
            <w:pPr>
              <w:jc w:val="center"/>
              <w:rPr>
                <w:sz w:val="18"/>
              </w:rPr>
            </w:pPr>
            <w:r>
              <w:rPr>
                <w:sz w:val="18"/>
              </w:rPr>
              <w:t>Protein feed</w:t>
            </w:r>
          </w:p>
        </w:tc>
        <w:tc>
          <w:tcPr>
            <w:tcW w:w="980" w:type="dxa"/>
            <w:vMerge w:val="restart"/>
            <w:tcBorders>
              <w:right w:val="single" w:sz="12" w:space="0" w:color="auto"/>
            </w:tcBorders>
            <w:shd w:val="clear" w:color="auto" w:fill="F4B083" w:themeFill="accent2" w:themeFillTint="99"/>
            <w:vAlign w:val="center"/>
          </w:tcPr>
          <w:p w14:paraId="6C95A877" w14:textId="77777777" w:rsidR="00455144" w:rsidRDefault="00455144" w:rsidP="001560C9">
            <w:pPr>
              <w:jc w:val="center"/>
              <w:rPr>
                <w:sz w:val="18"/>
              </w:rPr>
            </w:pPr>
            <w:r>
              <w:rPr>
                <w:sz w:val="18"/>
              </w:rPr>
              <w:t>Limited</w:t>
            </w:r>
          </w:p>
        </w:tc>
      </w:tr>
      <w:tr w:rsidR="00455144" w:rsidRPr="005C2296" w14:paraId="544F020E" w14:textId="77777777" w:rsidTr="001560C9">
        <w:trPr>
          <w:jc w:val="center"/>
        </w:trPr>
        <w:tc>
          <w:tcPr>
            <w:tcW w:w="0" w:type="auto"/>
            <w:vMerge/>
            <w:tcBorders>
              <w:left w:val="single" w:sz="12" w:space="0" w:color="auto"/>
              <w:bottom w:val="single" w:sz="12" w:space="0" w:color="auto"/>
            </w:tcBorders>
            <w:vAlign w:val="center"/>
          </w:tcPr>
          <w:p w14:paraId="1AA9746D" w14:textId="77777777" w:rsidR="00455144" w:rsidRDefault="00455144" w:rsidP="001560C9">
            <w:pPr>
              <w:jc w:val="right"/>
              <w:rPr>
                <w:b/>
                <w:sz w:val="18"/>
              </w:rPr>
            </w:pPr>
          </w:p>
        </w:tc>
        <w:tc>
          <w:tcPr>
            <w:tcW w:w="0" w:type="auto"/>
            <w:tcBorders>
              <w:top w:val="single" w:sz="6" w:space="0" w:color="auto"/>
              <w:bottom w:val="single" w:sz="6" w:space="0" w:color="auto"/>
              <w:right w:val="single" w:sz="12" w:space="0" w:color="auto"/>
            </w:tcBorders>
            <w:vAlign w:val="center"/>
          </w:tcPr>
          <w:p w14:paraId="71E432B1" w14:textId="77777777" w:rsidR="00455144" w:rsidRDefault="00455144" w:rsidP="001560C9">
            <w:pPr>
              <w:jc w:val="right"/>
              <w:rPr>
                <w:b/>
                <w:sz w:val="18"/>
              </w:rPr>
            </w:pPr>
            <w:r>
              <w:rPr>
                <w:b/>
                <w:sz w:val="18"/>
              </w:rPr>
              <w:t>Industrial &amp; services food waste</w:t>
            </w:r>
          </w:p>
        </w:tc>
        <w:tc>
          <w:tcPr>
            <w:tcW w:w="0" w:type="auto"/>
            <w:tcBorders>
              <w:top w:val="single" w:sz="6" w:space="0" w:color="auto"/>
              <w:left w:val="single" w:sz="12" w:space="0" w:color="auto"/>
              <w:bottom w:val="single" w:sz="6" w:space="0" w:color="auto"/>
            </w:tcBorders>
            <w:shd w:val="clear" w:color="auto" w:fill="F4B083" w:themeFill="accent2" w:themeFillTint="99"/>
            <w:vAlign w:val="center"/>
          </w:tcPr>
          <w:p w14:paraId="5A7999E0" w14:textId="77777777" w:rsidR="00455144" w:rsidRDefault="00455144" w:rsidP="001560C9">
            <w:pPr>
              <w:jc w:val="center"/>
              <w:rPr>
                <w:sz w:val="18"/>
              </w:rPr>
            </w:pPr>
            <w:r>
              <w:rPr>
                <w:sz w:val="18"/>
              </w:rPr>
              <w:t>Arguable</w:t>
            </w:r>
          </w:p>
        </w:tc>
        <w:tc>
          <w:tcPr>
            <w:tcW w:w="0" w:type="auto"/>
            <w:vMerge/>
            <w:tcBorders>
              <w:bottom w:val="single" w:sz="6" w:space="0" w:color="auto"/>
            </w:tcBorders>
            <w:shd w:val="clear" w:color="auto" w:fill="C5E0B3" w:themeFill="accent6" w:themeFillTint="66"/>
            <w:vAlign w:val="center"/>
          </w:tcPr>
          <w:p w14:paraId="0610FDAC" w14:textId="77777777" w:rsidR="00455144" w:rsidRDefault="00455144" w:rsidP="001560C9">
            <w:pPr>
              <w:jc w:val="center"/>
              <w:rPr>
                <w:sz w:val="18"/>
              </w:rPr>
            </w:pPr>
          </w:p>
        </w:tc>
        <w:tc>
          <w:tcPr>
            <w:tcW w:w="585" w:type="dxa"/>
            <w:tcBorders>
              <w:top w:val="single" w:sz="6" w:space="0" w:color="auto"/>
              <w:bottom w:val="single" w:sz="6" w:space="0" w:color="auto"/>
            </w:tcBorders>
            <w:shd w:val="clear" w:color="auto" w:fill="F4B083" w:themeFill="accent2" w:themeFillTint="99"/>
            <w:vAlign w:val="center"/>
          </w:tcPr>
          <w:p w14:paraId="54E0540C" w14:textId="77777777" w:rsidR="00455144" w:rsidRDefault="00455144" w:rsidP="001560C9">
            <w:pPr>
              <w:jc w:val="center"/>
              <w:rPr>
                <w:sz w:val="18"/>
              </w:rPr>
            </w:pPr>
            <w:r>
              <w:rPr>
                <w:sz w:val="18"/>
              </w:rPr>
              <w:t>No need if no C3</w:t>
            </w:r>
          </w:p>
        </w:tc>
        <w:tc>
          <w:tcPr>
            <w:tcW w:w="1504" w:type="dxa"/>
            <w:vMerge/>
            <w:tcBorders>
              <w:bottom w:val="single" w:sz="6" w:space="0" w:color="auto"/>
            </w:tcBorders>
            <w:shd w:val="clear" w:color="auto" w:fill="F4B083" w:themeFill="accent2" w:themeFillTint="99"/>
            <w:vAlign w:val="center"/>
          </w:tcPr>
          <w:p w14:paraId="3D0542C6" w14:textId="77777777" w:rsidR="00455144" w:rsidRDefault="00455144" w:rsidP="001560C9">
            <w:pPr>
              <w:jc w:val="center"/>
              <w:rPr>
                <w:sz w:val="18"/>
              </w:rPr>
            </w:pPr>
          </w:p>
        </w:tc>
        <w:tc>
          <w:tcPr>
            <w:tcW w:w="980" w:type="dxa"/>
            <w:vMerge/>
            <w:tcBorders>
              <w:right w:val="single" w:sz="12" w:space="0" w:color="auto"/>
            </w:tcBorders>
            <w:shd w:val="clear" w:color="auto" w:fill="F4B083" w:themeFill="accent2" w:themeFillTint="99"/>
            <w:vAlign w:val="center"/>
          </w:tcPr>
          <w:p w14:paraId="0DDF8DC9" w14:textId="77777777" w:rsidR="00455144" w:rsidRDefault="00455144" w:rsidP="001560C9">
            <w:pPr>
              <w:jc w:val="center"/>
              <w:rPr>
                <w:sz w:val="18"/>
              </w:rPr>
            </w:pPr>
          </w:p>
        </w:tc>
      </w:tr>
      <w:tr w:rsidR="00455144" w:rsidRPr="005C2296" w14:paraId="50484FAD" w14:textId="77777777" w:rsidTr="001560C9">
        <w:trPr>
          <w:jc w:val="center"/>
        </w:trPr>
        <w:tc>
          <w:tcPr>
            <w:tcW w:w="0" w:type="auto"/>
            <w:vMerge/>
            <w:tcBorders>
              <w:left w:val="single" w:sz="12" w:space="0" w:color="auto"/>
              <w:bottom w:val="single" w:sz="12" w:space="0" w:color="auto"/>
            </w:tcBorders>
            <w:vAlign w:val="center"/>
          </w:tcPr>
          <w:p w14:paraId="760EA91A" w14:textId="77777777" w:rsidR="00455144" w:rsidRDefault="00455144" w:rsidP="001560C9">
            <w:pPr>
              <w:jc w:val="right"/>
              <w:rPr>
                <w:b/>
                <w:sz w:val="18"/>
              </w:rPr>
            </w:pPr>
          </w:p>
        </w:tc>
        <w:tc>
          <w:tcPr>
            <w:tcW w:w="0" w:type="auto"/>
            <w:tcBorders>
              <w:top w:val="single" w:sz="6" w:space="0" w:color="auto"/>
              <w:bottom w:val="single" w:sz="6" w:space="0" w:color="auto"/>
              <w:right w:val="single" w:sz="12" w:space="0" w:color="auto"/>
            </w:tcBorders>
            <w:vAlign w:val="center"/>
          </w:tcPr>
          <w:p w14:paraId="2B7A385E" w14:textId="77777777" w:rsidR="00455144" w:rsidRDefault="00455144" w:rsidP="001560C9">
            <w:pPr>
              <w:jc w:val="right"/>
              <w:rPr>
                <w:b/>
                <w:sz w:val="18"/>
              </w:rPr>
            </w:pPr>
            <w:r>
              <w:rPr>
                <w:b/>
                <w:sz w:val="18"/>
              </w:rPr>
              <w:t>C3 by-products (for food reuse)</w:t>
            </w:r>
          </w:p>
        </w:tc>
        <w:tc>
          <w:tcPr>
            <w:tcW w:w="0" w:type="auto"/>
            <w:tcBorders>
              <w:top w:val="single" w:sz="6" w:space="0" w:color="auto"/>
              <w:left w:val="single" w:sz="12" w:space="0" w:color="auto"/>
              <w:bottom w:val="single" w:sz="6" w:space="0" w:color="auto"/>
            </w:tcBorders>
            <w:shd w:val="clear" w:color="auto" w:fill="C5E0B3" w:themeFill="accent6" w:themeFillTint="66"/>
            <w:vAlign w:val="center"/>
          </w:tcPr>
          <w:p w14:paraId="0AD1339C" w14:textId="77777777" w:rsidR="00455144" w:rsidRDefault="00455144" w:rsidP="001560C9">
            <w:pPr>
              <w:jc w:val="center"/>
              <w:rPr>
                <w:sz w:val="18"/>
              </w:rPr>
            </w:pPr>
            <w:r>
              <w:rPr>
                <w:sz w:val="18"/>
              </w:rPr>
              <w:t>Yes</w:t>
            </w:r>
          </w:p>
        </w:tc>
        <w:tc>
          <w:tcPr>
            <w:tcW w:w="0" w:type="auto"/>
            <w:vMerge w:val="restart"/>
            <w:tcBorders>
              <w:top w:val="single" w:sz="6" w:space="0" w:color="auto"/>
            </w:tcBorders>
            <w:shd w:val="clear" w:color="auto" w:fill="C5E0B3" w:themeFill="accent6" w:themeFillTint="66"/>
            <w:vAlign w:val="center"/>
          </w:tcPr>
          <w:p w14:paraId="16B5A9C3" w14:textId="77777777" w:rsidR="00455144" w:rsidRDefault="00455144" w:rsidP="001560C9">
            <w:pPr>
              <w:jc w:val="center"/>
              <w:rPr>
                <w:sz w:val="18"/>
              </w:rPr>
            </w:pPr>
            <w:r>
              <w:rPr>
                <w:sz w:val="18"/>
              </w:rPr>
              <w:t>Only if feed to food</w:t>
            </w:r>
          </w:p>
        </w:tc>
        <w:tc>
          <w:tcPr>
            <w:tcW w:w="585" w:type="dxa"/>
            <w:vMerge w:val="restart"/>
            <w:tcBorders>
              <w:top w:val="single" w:sz="6" w:space="0" w:color="auto"/>
            </w:tcBorders>
            <w:shd w:val="clear" w:color="auto" w:fill="F4B083" w:themeFill="accent2" w:themeFillTint="99"/>
            <w:vAlign w:val="center"/>
          </w:tcPr>
          <w:p w14:paraId="523E5942" w14:textId="77777777" w:rsidR="00455144" w:rsidRDefault="00455144" w:rsidP="001560C9">
            <w:pPr>
              <w:jc w:val="center"/>
              <w:rPr>
                <w:sz w:val="18"/>
              </w:rPr>
            </w:pPr>
            <w:r>
              <w:rPr>
                <w:sz w:val="18"/>
              </w:rPr>
              <w:t>No need</w:t>
            </w:r>
          </w:p>
        </w:tc>
        <w:tc>
          <w:tcPr>
            <w:tcW w:w="1504" w:type="dxa"/>
            <w:tcBorders>
              <w:top w:val="single" w:sz="6" w:space="0" w:color="auto"/>
              <w:bottom w:val="single" w:sz="6" w:space="0" w:color="auto"/>
            </w:tcBorders>
            <w:shd w:val="clear" w:color="auto" w:fill="C5E0B3" w:themeFill="accent6" w:themeFillTint="66"/>
            <w:vAlign w:val="center"/>
          </w:tcPr>
          <w:p w14:paraId="3CF31464" w14:textId="77777777" w:rsidR="00455144" w:rsidRDefault="00455144" w:rsidP="001560C9">
            <w:pPr>
              <w:jc w:val="center"/>
              <w:rPr>
                <w:sz w:val="18"/>
              </w:rPr>
            </w:pPr>
            <w:r>
              <w:rPr>
                <w:sz w:val="18"/>
              </w:rPr>
              <w:t>Meat-equivalent (animal proteins)</w:t>
            </w:r>
          </w:p>
        </w:tc>
        <w:tc>
          <w:tcPr>
            <w:tcW w:w="980" w:type="dxa"/>
            <w:tcBorders>
              <w:right w:val="single" w:sz="12" w:space="0" w:color="auto"/>
            </w:tcBorders>
            <w:shd w:val="clear" w:color="auto" w:fill="C5E0B3" w:themeFill="accent6" w:themeFillTint="66"/>
            <w:vAlign w:val="center"/>
          </w:tcPr>
          <w:p w14:paraId="54620AE1" w14:textId="77777777" w:rsidR="00455144" w:rsidRDefault="00455144" w:rsidP="001560C9">
            <w:pPr>
              <w:jc w:val="center"/>
              <w:rPr>
                <w:sz w:val="18"/>
              </w:rPr>
            </w:pPr>
            <w:r>
              <w:rPr>
                <w:sz w:val="18"/>
              </w:rPr>
              <w:t>Yes</w:t>
            </w:r>
          </w:p>
        </w:tc>
      </w:tr>
      <w:tr w:rsidR="00455144" w:rsidRPr="005C2296" w14:paraId="5AF065E4" w14:textId="77777777" w:rsidTr="001560C9">
        <w:trPr>
          <w:jc w:val="center"/>
        </w:trPr>
        <w:tc>
          <w:tcPr>
            <w:tcW w:w="0" w:type="auto"/>
            <w:vMerge/>
            <w:tcBorders>
              <w:left w:val="single" w:sz="12" w:space="0" w:color="auto"/>
              <w:bottom w:val="single" w:sz="12" w:space="0" w:color="auto"/>
            </w:tcBorders>
            <w:vAlign w:val="center"/>
          </w:tcPr>
          <w:p w14:paraId="012575F2" w14:textId="77777777" w:rsidR="00455144" w:rsidRDefault="00455144" w:rsidP="001560C9">
            <w:pPr>
              <w:jc w:val="right"/>
              <w:rPr>
                <w:b/>
                <w:sz w:val="18"/>
              </w:rPr>
            </w:pPr>
          </w:p>
        </w:tc>
        <w:tc>
          <w:tcPr>
            <w:tcW w:w="0" w:type="auto"/>
            <w:tcBorders>
              <w:top w:val="single" w:sz="6" w:space="0" w:color="auto"/>
              <w:bottom w:val="single" w:sz="12" w:space="0" w:color="auto"/>
              <w:right w:val="single" w:sz="12" w:space="0" w:color="auto"/>
            </w:tcBorders>
            <w:vAlign w:val="center"/>
          </w:tcPr>
          <w:p w14:paraId="152A6D14" w14:textId="77777777" w:rsidR="00455144" w:rsidRDefault="00455144" w:rsidP="001560C9">
            <w:pPr>
              <w:jc w:val="right"/>
              <w:rPr>
                <w:b/>
                <w:sz w:val="18"/>
              </w:rPr>
            </w:pPr>
            <w:r>
              <w:rPr>
                <w:b/>
                <w:sz w:val="18"/>
              </w:rPr>
              <w:t>Agrifood co-products</w:t>
            </w:r>
          </w:p>
        </w:tc>
        <w:tc>
          <w:tcPr>
            <w:tcW w:w="0" w:type="auto"/>
            <w:tcBorders>
              <w:top w:val="single" w:sz="6" w:space="0" w:color="auto"/>
              <w:left w:val="single" w:sz="12" w:space="0" w:color="auto"/>
              <w:bottom w:val="single" w:sz="12" w:space="0" w:color="auto"/>
            </w:tcBorders>
            <w:shd w:val="clear" w:color="auto" w:fill="C5E0B3" w:themeFill="accent6" w:themeFillTint="66"/>
            <w:vAlign w:val="center"/>
          </w:tcPr>
          <w:p w14:paraId="17A75988" w14:textId="77777777" w:rsidR="00455144" w:rsidRDefault="00455144" w:rsidP="001560C9">
            <w:pPr>
              <w:jc w:val="center"/>
              <w:rPr>
                <w:sz w:val="18"/>
              </w:rPr>
            </w:pPr>
            <w:r>
              <w:rPr>
                <w:sz w:val="18"/>
              </w:rPr>
              <w:t>Most streams</w:t>
            </w:r>
          </w:p>
        </w:tc>
        <w:tc>
          <w:tcPr>
            <w:tcW w:w="0" w:type="auto"/>
            <w:vMerge/>
            <w:tcBorders>
              <w:bottom w:val="single" w:sz="12" w:space="0" w:color="auto"/>
            </w:tcBorders>
            <w:shd w:val="clear" w:color="auto" w:fill="C5E0B3" w:themeFill="accent6" w:themeFillTint="66"/>
            <w:vAlign w:val="center"/>
          </w:tcPr>
          <w:p w14:paraId="0A227D68" w14:textId="77777777" w:rsidR="00455144" w:rsidRPr="005C2296" w:rsidRDefault="00455144" w:rsidP="001560C9">
            <w:pPr>
              <w:jc w:val="center"/>
              <w:rPr>
                <w:sz w:val="18"/>
              </w:rPr>
            </w:pPr>
          </w:p>
        </w:tc>
        <w:tc>
          <w:tcPr>
            <w:tcW w:w="585" w:type="dxa"/>
            <w:vMerge/>
            <w:tcBorders>
              <w:bottom w:val="single" w:sz="12" w:space="0" w:color="auto"/>
            </w:tcBorders>
            <w:shd w:val="clear" w:color="auto" w:fill="F4B083" w:themeFill="accent2" w:themeFillTint="99"/>
            <w:vAlign w:val="center"/>
          </w:tcPr>
          <w:p w14:paraId="6831A315" w14:textId="77777777" w:rsidR="00455144" w:rsidRPr="005C2296" w:rsidRDefault="00455144" w:rsidP="001560C9">
            <w:pPr>
              <w:jc w:val="center"/>
              <w:rPr>
                <w:sz w:val="18"/>
              </w:rPr>
            </w:pPr>
          </w:p>
        </w:tc>
        <w:tc>
          <w:tcPr>
            <w:tcW w:w="1504" w:type="dxa"/>
            <w:tcBorders>
              <w:top w:val="single" w:sz="6" w:space="0" w:color="auto"/>
              <w:bottom w:val="single" w:sz="12" w:space="0" w:color="auto"/>
            </w:tcBorders>
            <w:shd w:val="clear" w:color="auto" w:fill="C5E0B3" w:themeFill="accent6" w:themeFillTint="66"/>
            <w:vAlign w:val="center"/>
          </w:tcPr>
          <w:p w14:paraId="534A49D6" w14:textId="77777777" w:rsidR="00455144" w:rsidRDefault="00455144" w:rsidP="001560C9">
            <w:pPr>
              <w:jc w:val="center"/>
              <w:rPr>
                <w:sz w:val="18"/>
              </w:rPr>
            </w:pPr>
            <w:r>
              <w:rPr>
                <w:sz w:val="18"/>
              </w:rPr>
              <w:t>Meat-equivalent (plant-based proteins isolates)</w:t>
            </w:r>
          </w:p>
        </w:tc>
        <w:tc>
          <w:tcPr>
            <w:tcW w:w="980" w:type="dxa"/>
            <w:tcBorders>
              <w:right w:val="single" w:sz="12" w:space="0" w:color="auto"/>
            </w:tcBorders>
            <w:shd w:val="clear" w:color="auto" w:fill="F4B083" w:themeFill="accent2" w:themeFillTint="99"/>
            <w:vAlign w:val="center"/>
          </w:tcPr>
          <w:p w14:paraId="63FF79CC" w14:textId="77777777" w:rsidR="00455144" w:rsidRDefault="00455144" w:rsidP="001560C9">
            <w:pPr>
              <w:jc w:val="center"/>
              <w:rPr>
                <w:sz w:val="18"/>
              </w:rPr>
            </w:pPr>
            <w:r>
              <w:rPr>
                <w:sz w:val="18"/>
              </w:rPr>
              <w:t>Stream-specific</w:t>
            </w:r>
          </w:p>
        </w:tc>
      </w:tr>
      <w:tr w:rsidR="00455144" w:rsidRPr="005C2296" w14:paraId="2AECC071" w14:textId="77777777" w:rsidTr="001560C9">
        <w:trPr>
          <w:jc w:val="center"/>
        </w:trPr>
        <w:tc>
          <w:tcPr>
            <w:tcW w:w="0" w:type="auto"/>
            <w:tcBorders>
              <w:top w:val="single" w:sz="12" w:space="0" w:color="auto"/>
              <w:left w:val="single" w:sz="12" w:space="0" w:color="auto"/>
              <w:bottom w:val="single" w:sz="12" w:space="0" w:color="auto"/>
            </w:tcBorders>
            <w:vAlign w:val="center"/>
          </w:tcPr>
          <w:p w14:paraId="5381D36A" w14:textId="77777777" w:rsidR="00455144" w:rsidRDefault="00455144" w:rsidP="001560C9">
            <w:pPr>
              <w:jc w:val="right"/>
              <w:rPr>
                <w:b/>
                <w:sz w:val="18"/>
              </w:rPr>
            </w:pPr>
            <w:r>
              <w:rPr>
                <w:b/>
                <w:sz w:val="18"/>
              </w:rPr>
              <w:t>Wastewater-to-nutrition</w:t>
            </w:r>
          </w:p>
        </w:tc>
        <w:tc>
          <w:tcPr>
            <w:tcW w:w="0" w:type="auto"/>
            <w:tcBorders>
              <w:top w:val="single" w:sz="12" w:space="0" w:color="auto"/>
              <w:bottom w:val="single" w:sz="12" w:space="0" w:color="auto"/>
              <w:right w:val="single" w:sz="12" w:space="0" w:color="auto"/>
            </w:tcBorders>
            <w:vAlign w:val="center"/>
          </w:tcPr>
          <w:p w14:paraId="36985F74" w14:textId="77777777" w:rsidR="00455144" w:rsidRDefault="00455144" w:rsidP="001560C9">
            <w:pPr>
              <w:jc w:val="right"/>
              <w:rPr>
                <w:b/>
                <w:sz w:val="18"/>
              </w:rPr>
            </w:pPr>
            <w:r>
              <w:rPr>
                <w:b/>
                <w:sz w:val="18"/>
              </w:rPr>
              <w:t>Wastewater</w:t>
            </w:r>
          </w:p>
        </w:tc>
        <w:tc>
          <w:tcPr>
            <w:tcW w:w="0" w:type="auto"/>
            <w:gridSpan w:val="5"/>
            <w:tcBorders>
              <w:top w:val="single" w:sz="12" w:space="0" w:color="auto"/>
              <w:left w:val="single" w:sz="12" w:space="0" w:color="auto"/>
              <w:bottom w:val="single" w:sz="12" w:space="0" w:color="auto"/>
              <w:right w:val="single" w:sz="12" w:space="0" w:color="auto"/>
            </w:tcBorders>
            <w:vAlign w:val="center"/>
          </w:tcPr>
          <w:p w14:paraId="0E92A5BB" w14:textId="77777777" w:rsidR="00455144" w:rsidRPr="001F17F1" w:rsidRDefault="00455144" w:rsidP="001560C9">
            <w:pPr>
              <w:jc w:val="center"/>
              <w:rPr>
                <w:i/>
                <w:sz w:val="18"/>
              </w:rPr>
            </w:pPr>
            <w:r>
              <w:rPr>
                <w:i/>
                <w:sz w:val="18"/>
              </w:rPr>
              <w:t>Out of scope (solid streams only)</w:t>
            </w:r>
          </w:p>
        </w:tc>
      </w:tr>
      <w:tr w:rsidR="00455144" w:rsidRPr="005C2296" w14:paraId="0CDB7106" w14:textId="77777777" w:rsidTr="001560C9">
        <w:trPr>
          <w:jc w:val="center"/>
        </w:trPr>
        <w:tc>
          <w:tcPr>
            <w:tcW w:w="0" w:type="auto"/>
            <w:vMerge w:val="restart"/>
            <w:tcBorders>
              <w:top w:val="single" w:sz="12" w:space="0" w:color="auto"/>
              <w:left w:val="single" w:sz="12" w:space="0" w:color="auto"/>
            </w:tcBorders>
            <w:textDirection w:val="btLr"/>
            <w:vAlign w:val="center"/>
          </w:tcPr>
          <w:p w14:paraId="579F69CB" w14:textId="77777777" w:rsidR="00455144" w:rsidRDefault="00455144" w:rsidP="001560C9">
            <w:pPr>
              <w:ind w:left="113" w:right="113"/>
              <w:jc w:val="center"/>
              <w:rPr>
                <w:b/>
                <w:sz w:val="18"/>
              </w:rPr>
            </w:pPr>
            <w:r>
              <w:rPr>
                <w:b/>
                <w:sz w:val="18"/>
              </w:rPr>
              <w:lastRenderedPageBreak/>
              <w:t>Insects bioconversion</w:t>
            </w:r>
          </w:p>
        </w:tc>
        <w:tc>
          <w:tcPr>
            <w:tcW w:w="0" w:type="auto"/>
            <w:tcBorders>
              <w:top w:val="single" w:sz="12" w:space="0" w:color="auto"/>
              <w:right w:val="single" w:sz="12" w:space="0" w:color="auto"/>
            </w:tcBorders>
            <w:vAlign w:val="center"/>
          </w:tcPr>
          <w:p w14:paraId="19AA7A2C" w14:textId="77777777" w:rsidR="00455144" w:rsidRDefault="00455144" w:rsidP="001560C9">
            <w:pPr>
              <w:jc w:val="right"/>
              <w:rPr>
                <w:b/>
                <w:sz w:val="18"/>
              </w:rPr>
            </w:pPr>
            <w:r>
              <w:rPr>
                <w:b/>
                <w:sz w:val="18"/>
              </w:rPr>
              <w:t>Manure/Slurry</w:t>
            </w:r>
          </w:p>
        </w:tc>
        <w:tc>
          <w:tcPr>
            <w:tcW w:w="0" w:type="auto"/>
            <w:tcBorders>
              <w:top w:val="single" w:sz="12" w:space="0" w:color="auto"/>
              <w:left w:val="single" w:sz="12" w:space="0" w:color="auto"/>
            </w:tcBorders>
            <w:shd w:val="clear" w:color="auto" w:fill="C5E0B3" w:themeFill="accent6" w:themeFillTint="66"/>
            <w:vAlign w:val="center"/>
          </w:tcPr>
          <w:p w14:paraId="3C1DB344" w14:textId="77777777" w:rsidR="00455144" w:rsidRDefault="00455144" w:rsidP="001560C9">
            <w:pPr>
              <w:jc w:val="center"/>
              <w:rPr>
                <w:sz w:val="18"/>
              </w:rPr>
            </w:pPr>
            <w:r>
              <w:rPr>
                <w:sz w:val="18"/>
              </w:rPr>
              <w:t>Yes</w:t>
            </w:r>
          </w:p>
        </w:tc>
        <w:tc>
          <w:tcPr>
            <w:tcW w:w="0" w:type="auto"/>
            <w:vMerge w:val="restart"/>
            <w:tcBorders>
              <w:top w:val="single" w:sz="12" w:space="0" w:color="auto"/>
            </w:tcBorders>
            <w:shd w:val="clear" w:color="auto" w:fill="C5E0B3" w:themeFill="accent6" w:themeFillTint="66"/>
            <w:vAlign w:val="center"/>
          </w:tcPr>
          <w:p w14:paraId="5A7303E7" w14:textId="77777777" w:rsidR="00455144" w:rsidRPr="005C2296" w:rsidRDefault="00455144" w:rsidP="001560C9">
            <w:pPr>
              <w:jc w:val="center"/>
              <w:rPr>
                <w:sz w:val="18"/>
              </w:rPr>
            </w:pPr>
            <w:r>
              <w:rPr>
                <w:sz w:val="18"/>
              </w:rPr>
              <w:t>Agronomy/Energy to feed</w:t>
            </w:r>
          </w:p>
        </w:tc>
        <w:tc>
          <w:tcPr>
            <w:tcW w:w="585" w:type="dxa"/>
            <w:tcBorders>
              <w:top w:val="single" w:sz="12" w:space="0" w:color="auto"/>
            </w:tcBorders>
            <w:shd w:val="clear" w:color="auto" w:fill="C00000"/>
            <w:vAlign w:val="center"/>
          </w:tcPr>
          <w:p w14:paraId="0969AAB5" w14:textId="77777777" w:rsidR="00455144" w:rsidRPr="005C2296" w:rsidRDefault="00455144" w:rsidP="001560C9">
            <w:pPr>
              <w:jc w:val="center"/>
              <w:rPr>
                <w:sz w:val="18"/>
              </w:rPr>
            </w:pPr>
            <w:r>
              <w:rPr>
                <w:sz w:val="18"/>
              </w:rPr>
              <w:t>No</w:t>
            </w:r>
          </w:p>
        </w:tc>
        <w:tc>
          <w:tcPr>
            <w:tcW w:w="1504" w:type="dxa"/>
            <w:vMerge w:val="restart"/>
            <w:tcBorders>
              <w:top w:val="single" w:sz="12" w:space="0" w:color="auto"/>
            </w:tcBorders>
            <w:shd w:val="clear" w:color="auto" w:fill="F4B083" w:themeFill="accent2" w:themeFillTint="99"/>
            <w:vAlign w:val="center"/>
          </w:tcPr>
          <w:p w14:paraId="35C6A9E9" w14:textId="77777777" w:rsidR="00455144" w:rsidRDefault="00455144" w:rsidP="001560C9">
            <w:pPr>
              <w:jc w:val="center"/>
              <w:rPr>
                <w:sz w:val="18"/>
              </w:rPr>
            </w:pPr>
            <w:r>
              <w:rPr>
                <w:sz w:val="18"/>
              </w:rPr>
              <w:t>Protein and lipid feed</w:t>
            </w:r>
          </w:p>
        </w:tc>
        <w:tc>
          <w:tcPr>
            <w:tcW w:w="980" w:type="dxa"/>
            <w:vMerge w:val="restart"/>
            <w:tcBorders>
              <w:top w:val="single" w:sz="12" w:space="0" w:color="auto"/>
              <w:right w:val="single" w:sz="12" w:space="0" w:color="auto"/>
            </w:tcBorders>
            <w:shd w:val="clear" w:color="auto" w:fill="C5E0B3" w:themeFill="accent6" w:themeFillTint="66"/>
            <w:vAlign w:val="center"/>
          </w:tcPr>
          <w:p w14:paraId="2171266A" w14:textId="77777777" w:rsidR="00455144" w:rsidRDefault="00455144" w:rsidP="001560C9">
            <w:pPr>
              <w:jc w:val="center"/>
              <w:rPr>
                <w:sz w:val="18"/>
              </w:rPr>
            </w:pPr>
            <w:r>
              <w:rPr>
                <w:sz w:val="18"/>
              </w:rPr>
              <w:t>Yes, but on few species</w:t>
            </w:r>
          </w:p>
        </w:tc>
      </w:tr>
      <w:tr w:rsidR="00455144" w:rsidRPr="005C2296" w14:paraId="796DC6EE" w14:textId="77777777" w:rsidTr="001560C9">
        <w:trPr>
          <w:jc w:val="center"/>
        </w:trPr>
        <w:tc>
          <w:tcPr>
            <w:tcW w:w="0" w:type="auto"/>
            <w:vMerge/>
            <w:tcBorders>
              <w:left w:val="single" w:sz="12" w:space="0" w:color="auto"/>
            </w:tcBorders>
            <w:vAlign w:val="center"/>
          </w:tcPr>
          <w:p w14:paraId="598BB5B7" w14:textId="77777777" w:rsidR="00455144" w:rsidRDefault="00455144" w:rsidP="001560C9">
            <w:pPr>
              <w:jc w:val="right"/>
              <w:rPr>
                <w:b/>
                <w:sz w:val="18"/>
              </w:rPr>
            </w:pPr>
          </w:p>
        </w:tc>
        <w:tc>
          <w:tcPr>
            <w:tcW w:w="0" w:type="auto"/>
            <w:tcBorders>
              <w:right w:val="single" w:sz="12" w:space="0" w:color="auto"/>
            </w:tcBorders>
            <w:vAlign w:val="center"/>
          </w:tcPr>
          <w:p w14:paraId="5FC712B5" w14:textId="77777777" w:rsidR="00455144" w:rsidRDefault="00455144" w:rsidP="001560C9">
            <w:pPr>
              <w:jc w:val="right"/>
              <w:rPr>
                <w:b/>
                <w:sz w:val="18"/>
              </w:rPr>
            </w:pPr>
            <w:r>
              <w:rPr>
                <w:b/>
                <w:sz w:val="18"/>
              </w:rPr>
              <w:t>Sludge</w:t>
            </w:r>
          </w:p>
        </w:tc>
        <w:tc>
          <w:tcPr>
            <w:tcW w:w="0" w:type="auto"/>
            <w:tcBorders>
              <w:left w:val="single" w:sz="12" w:space="0" w:color="auto"/>
            </w:tcBorders>
            <w:shd w:val="clear" w:color="auto" w:fill="C5E0B3" w:themeFill="accent6" w:themeFillTint="66"/>
            <w:vAlign w:val="center"/>
          </w:tcPr>
          <w:p w14:paraId="732592CD" w14:textId="77777777" w:rsidR="00455144" w:rsidRDefault="00455144" w:rsidP="001560C9">
            <w:pPr>
              <w:jc w:val="center"/>
              <w:rPr>
                <w:sz w:val="18"/>
              </w:rPr>
            </w:pPr>
            <w:r>
              <w:rPr>
                <w:sz w:val="18"/>
              </w:rPr>
              <w:t>Yes</w:t>
            </w:r>
          </w:p>
        </w:tc>
        <w:tc>
          <w:tcPr>
            <w:tcW w:w="0" w:type="auto"/>
            <w:vMerge/>
            <w:shd w:val="clear" w:color="auto" w:fill="C5E0B3" w:themeFill="accent6" w:themeFillTint="66"/>
            <w:vAlign w:val="center"/>
          </w:tcPr>
          <w:p w14:paraId="037DB5A4" w14:textId="77777777" w:rsidR="00455144" w:rsidRPr="005C2296" w:rsidRDefault="00455144" w:rsidP="001560C9">
            <w:pPr>
              <w:jc w:val="center"/>
              <w:rPr>
                <w:sz w:val="18"/>
              </w:rPr>
            </w:pPr>
          </w:p>
        </w:tc>
        <w:tc>
          <w:tcPr>
            <w:tcW w:w="585" w:type="dxa"/>
            <w:shd w:val="clear" w:color="auto" w:fill="C00000"/>
            <w:vAlign w:val="center"/>
          </w:tcPr>
          <w:p w14:paraId="08AE0F1A" w14:textId="77777777" w:rsidR="00455144" w:rsidRPr="005C2296" w:rsidRDefault="00455144" w:rsidP="001560C9">
            <w:pPr>
              <w:jc w:val="center"/>
              <w:rPr>
                <w:sz w:val="18"/>
              </w:rPr>
            </w:pPr>
            <w:r>
              <w:rPr>
                <w:sz w:val="18"/>
              </w:rPr>
              <w:t>No</w:t>
            </w:r>
          </w:p>
        </w:tc>
        <w:tc>
          <w:tcPr>
            <w:tcW w:w="1504" w:type="dxa"/>
            <w:vMerge/>
            <w:shd w:val="clear" w:color="auto" w:fill="F4B083" w:themeFill="accent2" w:themeFillTint="99"/>
            <w:vAlign w:val="center"/>
          </w:tcPr>
          <w:p w14:paraId="1886069B" w14:textId="77777777" w:rsidR="00455144" w:rsidRDefault="00455144" w:rsidP="001560C9">
            <w:pPr>
              <w:jc w:val="center"/>
              <w:rPr>
                <w:sz w:val="18"/>
              </w:rPr>
            </w:pPr>
          </w:p>
        </w:tc>
        <w:tc>
          <w:tcPr>
            <w:tcW w:w="980" w:type="dxa"/>
            <w:vMerge/>
            <w:tcBorders>
              <w:right w:val="single" w:sz="12" w:space="0" w:color="auto"/>
            </w:tcBorders>
            <w:shd w:val="clear" w:color="auto" w:fill="C5E0B3" w:themeFill="accent6" w:themeFillTint="66"/>
            <w:vAlign w:val="center"/>
          </w:tcPr>
          <w:p w14:paraId="68B81796" w14:textId="77777777" w:rsidR="00455144" w:rsidRDefault="00455144" w:rsidP="001560C9">
            <w:pPr>
              <w:jc w:val="center"/>
              <w:rPr>
                <w:sz w:val="18"/>
              </w:rPr>
            </w:pPr>
          </w:p>
        </w:tc>
      </w:tr>
      <w:tr w:rsidR="00455144" w:rsidRPr="005C2296" w14:paraId="103293A2" w14:textId="77777777" w:rsidTr="001560C9">
        <w:trPr>
          <w:jc w:val="center"/>
        </w:trPr>
        <w:tc>
          <w:tcPr>
            <w:tcW w:w="0" w:type="auto"/>
            <w:vMerge/>
            <w:tcBorders>
              <w:left w:val="single" w:sz="12" w:space="0" w:color="auto"/>
            </w:tcBorders>
            <w:vAlign w:val="center"/>
          </w:tcPr>
          <w:p w14:paraId="037598D1" w14:textId="77777777" w:rsidR="00455144" w:rsidRDefault="00455144" w:rsidP="001560C9">
            <w:pPr>
              <w:jc w:val="right"/>
              <w:rPr>
                <w:b/>
                <w:sz w:val="18"/>
              </w:rPr>
            </w:pPr>
          </w:p>
        </w:tc>
        <w:tc>
          <w:tcPr>
            <w:tcW w:w="0" w:type="auto"/>
            <w:tcBorders>
              <w:right w:val="single" w:sz="12" w:space="0" w:color="auto"/>
            </w:tcBorders>
            <w:vAlign w:val="center"/>
          </w:tcPr>
          <w:p w14:paraId="5174433F" w14:textId="77777777" w:rsidR="00455144" w:rsidRDefault="00455144" w:rsidP="001560C9">
            <w:pPr>
              <w:jc w:val="right"/>
              <w:rPr>
                <w:b/>
                <w:sz w:val="18"/>
              </w:rPr>
            </w:pPr>
            <w:r>
              <w:rPr>
                <w:b/>
                <w:sz w:val="18"/>
              </w:rPr>
              <w:t>Garden &amp; park waste</w:t>
            </w:r>
          </w:p>
        </w:tc>
        <w:tc>
          <w:tcPr>
            <w:tcW w:w="0" w:type="auto"/>
            <w:tcBorders>
              <w:left w:val="single" w:sz="12" w:space="0" w:color="auto"/>
            </w:tcBorders>
            <w:shd w:val="clear" w:color="auto" w:fill="C5E0B3" w:themeFill="accent6" w:themeFillTint="66"/>
            <w:vAlign w:val="center"/>
          </w:tcPr>
          <w:p w14:paraId="7444A000" w14:textId="77777777" w:rsidR="00455144" w:rsidRDefault="00455144" w:rsidP="001560C9">
            <w:pPr>
              <w:jc w:val="center"/>
              <w:rPr>
                <w:sz w:val="18"/>
              </w:rPr>
            </w:pPr>
            <w:r>
              <w:rPr>
                <w:sz w:val="18"/>
              </w:rPr>
              <w:t>Yes</w:t>
            </w:r>
          </w:p>
        </w:tc>
        <w:tc>
          <w:tcPr>
            <w:tcW w:w="0" w:type="auto"/>
            <w:vMerge/>
            <w:shd w:val="clear" w:color="auto" w:fill="C5E0B3" w:themeFill="accent6" w:themeFillTint="66"/>
            <w:vAlign w:val="center"/>
          </w:tcPr>
          <w:p w14:paraId="07BB1138" w14:textId="77777777" w:rsidR="00455144" w:rsidRPr="005C2296" w:rsidRDefault="00455144" w:rsidP="001560C9">
            <w:pPr>
              <w:jc w:val="center"/>
              <w:rPr>
                <w:sz w:val="18"/>
              </w:rPr>
            </w:pPr>
          </w:p>
        </w:tc>
        <w:tc>
          <w:tcPr>
            <w:tcW w:w="585" w:type="dxa"/>
            <w:shd w:val="clear" w:color="auto" w:fill="C00000"/>
            <w:vAlign w:val="center"/>
          </w:tcPr>
          <w:p w14:paraId="2E905681" w14:textId="77777777" w:rsidR="00455144" w:rsidRPr="005C2296" w:rsidRDefault="00455144" w:rsidP="001560C9">
            <w:pPr>
              <w:jc w:val="center"/>
              <w:rPr>
                <w:sz w:val="18"/>
              </w:rPr>
            </w:pPr>
            <w:r>
              <w:rPr>
                <w:sz w:val="18"/>
              </w:rPr>
              <w:t>No</w:t>
            </w:r>
          </w:p>
        </w:tc>
        <w:tc>
          <w:tcPr>
            <w:tcW w:w="1504" w:type="dxa"/>
            <w:vMerge/>
            <w:shd w:val="clear" w:color="auto" w:fill="F4B083" w:themeFill="accent2" w:themeFillTint="99"/>
            <w:vAlign w:val="center"/>
          </w:tcPr>
          <w:p w14:paraId="72535F70" w14:textId="77777777" w:rsidR="00455144" w:rsidRDefault="00455144" w:rsidP="001560C9">
            <w:pPr>
              <w:jc w:val="center"/>
              <w:rPr>
                <w:sz w:val="18"/>
              </w:rPr>
            </w:pPr>
          </w:p>
        </w:tc>
        <w:tc>
          <w:tcPr>
            <w:tcW w:w="980" w:type="dxa"/>
            <w:vMerge/>
            <w:tcBorders>
              <w:right w:val="single" w:sz="12" w:space="0" w:color="auto"/>
            </w:tcBorders>
            <w:shd w:val="clear" w:color="auto" w:fill="C5E0B3" w:themeFill="accent6" w:themeFillTint="66"/>
            <w:vAlign w:val="center"/>
          </w:tcPr>
          <w:p w14:paraId="03813DF5" w14:textId="77777777" w:rsidR="00455144" w:rsidRDefault="00455144" w:rsidP="001560C9">
            <w:pPr>
              <w:jc w:val="center"/>
              <w:rPr>
                <w:sz w:val="18"/>
              </w:rPr>
            </w:pPr>
          </w:p>
        </w:tc>
      </w:tr>
      <w:tr w:rsidR="00455144" w:rsidRPr="005C2296" w14:paraId="5C75A51E" w14:textId="77777777" w:rsidTr="001560C9">
        <w:trPr>
          <w:jc w:val="center"/>
        </w:trPr>
        <w:tc>
          <w:tcPr>
            <w:tcW w:w="0" w:type="auto"/>
            <w:vMerge/>
            <w:tcBorders>
              <w:left w:val="single" w:sz="12" w:space="0" w:color="auto"/>
            </w:tcBorders>
            <w:vAlign w:val="center"/>
          </w:tcPr>
          <w:p w14:paraId="7F566718" w14:textId="77777777" w:rsidR="00455144" w:rsidRDefault="00455144" w:rsidP="001560C9">
            <w:pPr>
              <w:jc w:val="right"/>
              <w:rPr>
                <w:b/>
                <w:sz w:val="18"/>
              </w:rPr>
            </w:pPr>
          </w:p>
        </w:tc>
        <w:tc>
          <w:tcPr>
            <w:tcW w:w="0" w:type="auto"/>
            <w:tcBorders>
              <w:right w:val="single" w:sz="12" w:space="0" w:color="auto"/>
            </w:tcBorders>
            <w:vAlign w:val="center"/>
          </w:tcPr>
          <w:p w14:paraId="30BDFB3B" w14:textId="77777777" w:rsidR="00455144" w:rsidRDefault="00455144" w:rsidP="001560C9">
            <w:pPr>
              <w:jc w:val="right"/>
              <w:rPr>
                <w:b/>
                <w:sz w:val="18"/>
              </w:rPr>
            </w:pPr>
            <w:r>
              <w:rPr>
                <w:b/>
                <w:sz w:val="18"/>
              </w:rPr>
              <w:t>Vegetable tops</w:t>
            </w:r>
          </w:p>
        </w:tc>
        <w:tc>
          <w:tcPr>
            <w:tcW w:w="0" w:type="auto"/>
            <w:tcBorders>
              <w:left w:val="single" w:sz="12" w:space="0" w:color="auto"/>
            </w:tcBorders>
            <w:shd w:val="clear" w:color="auto" w:fill="C5E0B3" w:themeFill="accent6" w:themeFillTint="66"/>
            <w:vAlign w:val="center"/>
          </w:tcPr>
          <w:p w14:paraId="035BD57D" w14:textId="77777777" w:rsidR="00455144" w:rsidRDefault="00455144" w:rsidP="001560C9">
            <w:pPr>
              <w:jc w:val="center"/>
              <w:rPr>
                <w:sz w:val="18"/>
              </w:rPr>
            </w:pPr>
            <w:r>
              <w:rPr>
                <w:sz w:val="18"/>
              </w:rPr>
              <w:t>Yes</w:t>
            </w:r>
          </w:p>
        </w:tc>
        <w:tc>
          <w:tcPr>
            <w:tcW w:w="0" w:type="auto"/>
            <w:vMerge/>
            <w:shd w:val="clear" w:color="auto" w:fill="C5E0B3" w:themeFill="accent6" w:themeFillTint="66"/>
            <w:vAlign w:val="center"/>
          </w:tcPr>
          <w:p w14:paraId="7519C1B9" w14:textId="77777777" w:rsidR="00455144" w:rsidRPr="005C2296" w:rsidRDefault="00455144" w:rsidP="001560C9">
            <w:pPr>
              <w:jc w:val="center"/>
              <w:rPr>
                <w:sz w:val="18"/>
              </w:rPr>
            </w:pPr>
          </w:p>
        </w:tc>
        <w:tc>
          <w:tcPr>
            <w:tcW w:w="585" w:type="dxa"/>
            <w:shd w:val="clear" w:color="auto" w:fill="F4B083" w:themeFill="accent2" w:themeFillTint="99"/>
            <w:vAlign w:val="center"/>
          </w:tcPr>
          <w:p w14:paraId="7829C194" w14:textId="77777777" w:rsidR="00455144" w:rsidRPr="005C2296" w:rsidRDefault="00455144" w:rsidP="001560C9">
            <w:pPr>
              <w:jc w:val="center"/>
              <w:rPr>
                <w:sz w:val="18"/>
              </w:rPr>
            </w:pPr>
            <w:r>
              <w:rPr>
                <w:sz w:val="18"/>
              </w:rPr>
              <w:t>No need</w:t>
            </w:r>
          </w:p>
        </w:tc>
        <w:tc>
          <w:tcPr>
            <w:tcW w:w="1504" w:type="dxa"/>
            <w:vMerge/>
            <w:shd w:val="clear" w:color="auto" w:fill="F4B083" w:themeFill="accent2" w:themeFillTint="99"/>
            <w:vAlign w:val="center"/>
          </w:tcPr>
          <w:p w14:paraId="74F42FD7" w14:textId="77777777" w:rsidR="00455144" w:rsidRDefault="00455144" w:rsidP="001560C9">
            <w:pPr>
              <w:jc w:val="center"/>
              <w:rPr>
                <w:sz w:val="18"/>
              </w:rPr>
            </w:pPr>
          </w:p>
        </w:tc>
        <w:tc>
          <w:tcPr>
            <w:tcW w:w="980" w:type="dxa"/>
            <w:vMerge/>
            <w:tcBorders>
              <w:right w:val="single" w:sz="12" w:space="0" w:color="auto"/>
            </w:tcBorders>
            <w:shd w:val="clear" w:color="auto" w:fill="C5E0B3" w:themeFill="accent6" w:themeFillTint="66"/>
            <w:vAlign w:val="center"/>
          </w:tcPr>
          <w:p w14:paraId="56DC4CA8" w14:textId="77777777" w:rsidR="00455144" w:rsidRDefault="00455144" w:rsidP="001560C9">
            <w:pPr>
              <w:jc w:val="center"/>
              <w:rPr>
                <w:sz w:val="18"/>
              </w:rPr>
            </w:pPr>
          </w:p>
        </w:tc>
      </w:tr>
      <w:tr w:rsidR="00455144" w:rsidRPr="005C2296" w14:paraId="50DC489B" w14:textId="77777777" w:rsidTr="001560C9">
        <w:trPr>
          <w:jc w:val="center"/>
        </w:trPr>
        <w:tc>
          <w:tcPr>
            <w:tcW w:w="0" w:type="auto"/>
            <w:vMerge/>
            <w:tcBorders>
              <w:left w:val="single" w:sz="12" w:space="0" w:color="auto"/>
            </w:tcBorders>
            <w:vAlign w:val="center"/>
          </w:tcPr>
          <w:p w14:paraId="284C52CE" w14:textId="77777777" w:rsidR="00455144" w:rsidRDefault="00455144" w:rsidP="001560C9">
            <w:pPr>
              <w:jc w:val="right"/>
              <w:rPr>
                <w:b/>
                <w:sz w:val="18"/>
              </w:rPr>
            </w:pPr>
          </w:p>
        </w:tc>
        <w:tc>
          <w:tcPr>
            <w:tcW w:w="0" w:type="auto"/>
            <w:tcBorders>
              <w:right w:val="single" w:sz="12" w:space="0" w:color="auto"/>
            </w:tcBorders>
            <w:vAlign w:val="center"/>
          </w:tcPr>
          <w:p w14:paraId="131179B0" w14:textId="77777777" w:rsidR="00455144" w:rsidRDefault="00455144" w:rsidP="001560C9">
            <w:pPr>
              <w:jc w:val="right"/>
              <w:rPr>
                <w:b/>
                <w:sz w:val="18"/>
              </w:rPr>
            </w:pPr>
            <w:r>
              <w:rPr>
                <w:b/>
                <w:sz w:val="18"/>
              </w:rPr>
              <w:t>Municipal food waste</w:t>
            </w:r>
          </w:p>
        </w:tc>
        <w:tc>
          <w:tcPr>
            <w:tcW w:w="0" w:type="auto"/>
            <w:tcBorders>
              <w:left w:val="single" w:sz="12" w:space="0" w:color="auto"/>
            </w:tcBorders>
            <w:shd w:val="clear" w:color="auto" w:fill="F4B083" w:themeFill="accent2" w:themeFillTint="99"/>
            <w:vAlign w:val="center"/>
          </w:tcPr>
          <w:p w14:paraId="2076080A" w14:textId="77777777" w:rsidR="00455144" w:rsidRDefault="00455144" w:rsidP="001560C9">
            <w:pPr>
              <w:jc w:val="center"/>
              <w:rPr>
                <w:sz w:val="18"/>
              </w:rPr>
            </w:pPr>
            <w:r>
              <w:rPr>
                <w:sz w:val="18"/>
              </w:rPr>
              <w:t>Arguable</w:t>
            </w:r>
          </w:p>
        </w:tc>
        <w:tc>
          <w:tcPr>
            <w:tcW w:w="0" w:type="auto"/>
            <w:vMerge/>
            <w:shd w:val="clear" w:color="auto" w:fill="C5E0B3" w:themeFill="accent6" w:themeFillTint="66"/>
            <w:vAlign w:val="center"/>
          </w:tcPr>
          <w:p w14:paraId="6B1F3CD3" w14:textId="77777777" w:rsidR="00455144" w:rsidRPr="005C2296" w:rsidRDefault="00455144" w:rsidP="001560C9">
            <w:pPr>
              <w:jc w:val="center"/>
              <w:rPr>
                <w:sz w:val="18"/>
              </w:rPr>
            </w:pPr>
          </w:p>
        </w:tc>
        <w:tc>
          <w:tcPr>
            <w:tcW w:w="585" w:type="dxa"/>
            <w:shd w:val="clear" w:color="auto" w:fill="C00000"/>
            <w:vAlign w:val="center"/>
          </w:tcPr>
          <w:p w14:paraId="286D58A6" w14:textId="77777777" w:rsidR="00455144" w:rsidRPr="005C2296" w:rsidRDefault="00455144" w:rsidP="001560C9">
            <w:pPr>
              <w:jc w:val="center"/>
              <w:rPr>
                <w:sz w:val="18"/>
              </w:rPr>
            </w:pPr>
            <w:r>
              <w:rPr>
                <w:sz w:val="18"/>
              </w:rPr>
              <w:t>No</w:t>
            </w:r>
          </w:p>
        </w:tc>
        <w:tc>
          <w:tcPr>
            <w:tcW w:w="1504" w:type="dxa"/>
            <w:vMerge/>
            <w:shd w:val="clear" w:color="auto" w:fill="F4B083" w:themeFill="accent2" w:themeFillTint="99"/>
            <w:vAlign w:val="center"/>
          </w:tcPr>
          <w:p w14:paraId="05EEA4A9" w14:textId="77777777" w:rsidR="00455144" w:rsidRDefault="00455144" w:rsidP="001560C9">
            <w:pPr>
              <w:jc w:val="center"/>
              <w:rPr>
                <w:sz w:val="18"/>
              </w:rPr>
            </w:pPr>
          </w:p>
        </w:tc>
        <w:tc>
          <w:tcPr>
            <w:tcW w:w="980" w:type="dxa"/>
            <w:vMerge/>
            <w:tcBorders>
              <w:right w:val="single" w:sz="12" w:space="0" w:color="auto"/>
            </w:tcBorders>
            <w:shd w:val="clear" w:color="auto" w:fill="C5E0B3" w:themeFill="accent6" w:themeFillTint="66"/>
            <w:vAlign w:val="center"/>
          </w:tcPr>
          <w:p w14:paraId="2F2F9E65" w14:textId="77777777" w:rsidR="00455144" w:rsidRDefault="00455144" w:rsidP="001560C9">
            <w:pPr>
              <w:jc w:val="center"/>
              <w:rPr>
                <w:sz w:val="18"/>
              </w:rPr>
            </w:pPr>
          </w:p>
        </w:tc>
      </w:tr>
      <w:tr w:rsidR="00455144" w:rsidRPr="005C2296" w14:paraId="0780E5E9" w14:textId="77777777" w:rsidTr="001560C9">
        <w:trPr>
          <w:jc w:val="center"/>
        </w:trPr>
        <w:tc>
          <w:tcPr>
            <w:tcW w:w="0" w:type="auto"/>
            <w:vMerge/>
            <w:tcBorders>
              <w:left w:val="single" w:sz="12" w:space="0" w:color="auto"/>
            </w:tcBorders>
            <w:vAlign w:val="center"/>
          </w:tcPr>
          <w:p w14:paraId="2DDA39D4" w14:textId="77777777" w:rsidR="00455144" w:rsidRDefault="00455144" w:rsidP="001560C9">
            <w:pPr>
              <w:jc w:val="right"/>
              <w:rPr>
                <w:b/>
                <w:sz w:val="18"/>
              </w:rPr>
            </w:pPr>
          </w:p>
        </w:tc>
        <w:tc>
          <w:tcPr>
            <w:tcW w:w="0" w:type="auto"/>
            <w:tcBorders>
              <w:right w:val="single" w:sz="12" w:space="0" w:color="auto"/>
            </w:tcBorders>
            <w:vAlign w:val="center"/>
          </w:tcPr>
          <w:p w14:paraId="27E9337D" w14:textId="77777777" w:rsidR="00455144" w:rsidRDefault="00455144" w:rsidP="001560C9">
            <w:pPr>
              <w:jc w:val="right"/>
              <w:rPr>
                <w:b/>
                <w:sz w:val="18"/>
              </w:rPr>
            </w:pPr>
            <w:r>
              <w:rPr>
                <w:b/>
                <w:sz w:val="18"/>
              </w:rPr>
              <w:t>Industrial &amp; services food waste</w:t>
            </w:r>
          </w:p>
        </w:tc>
        <w:tc>
          <w:tcPr>
            <w:tcW w:w="0" w:type="auto"/>
            <w:tcBorders>
              <w:left w:val="single" w:sz="12" w:space="0" w:color="auto"/>
            </w:tcBorders>
            <w:shd w:val="clear" w:color="auto" w:fill="F4B083" w:themeFill="accent2" w:themeFillTint="99"/>
            <w:vAlign w:val="center"/>
          </w:tcPr>
          <w:p w14:paraId="3869021A" w14:textId="77777777" w:rsidR="00455144" w:rsidRDefault="00455144" w:rsidP="001560C9">
            <w:pPr>
              <w:jc w:val="center"/>
              <w:rPr>
                <w:sz w:val="18"/>
              </w:rPr>
            </w:pPr>
            <w:r>
              <w:rPr>
                <w:sz w:val="18"/>
              </w:rPr>
              <w:t>Arguable</w:t>
            </w:r>
          </w:p>
        </w:tc>
        <w:tc>
          <w:tcPr>
            <w:tcW w:w="0" w:type="auto"/>
            <w:vMerge/>
            <w:shd w:val="clear" w:color="auto" w:fill="C5E0B3" w:themeFill="accent6" w:themeFillTint="66"/>
            <w:vAlign w:val="center"/>
          </w:tcPr>
          <w:p w14:paraId="2F82620F" w14:textId="77777777" w:rsidR="00455144" w:rsidRPr="005C2296" w:rsidRDefault="00455144" w:rsidP="001560C9">
            <w:pPr>
              <w:jc w:val="center"/>
              <w:rPr>
                <w:sz w:val="18"/>
              </w:rPr>
            </w:pPr>
          </w:p>
        </w:tc>
        <w:tc>
          <w:tcPr>
            <w:tcW w:w="585" w:type="dxa"/>
            <w:shd w:val="clear" w:color="auto" w:fill="F4B083" w:themeFill="accent2" w:themeFillTint="99"/>
            <w:vAlign w:val="center"/>
          </w:tcPr>
          <w:p w14:paraId="37F89F49" w14:textId="77777777" w:rsidR="00455144" w:rsidRPr="005C2296" w:rsidRDefault="00455144" w:rsidP="001560C9">
            <w:pPr>
              <w:jc w:val="center"/>
              <w:rPr>
                <w:sz w:val="18"/>
              </w:rPr>
            </w:pPr>
            <w:r>
              <w:rPr>
                <w:sz w:val="18"/>
              </w:rPr>
              <w:t>No need if no C3</w:t>
            </w:r>
          </w:p>
        </w:tc>
        <w:tc>
          <w:tcPr>
            <w:tcW w:w="1504" w:type="dxa"/>
            <w:vMerge/>
            <w:shd w:val="clear" w:color="auto" w:fill="F4B083" w:themeFill="accent2" w:themeFillTint="99"/>
            <w:vAlign w:val="center"/>
          </w:tcPr>
          <w:p w14:paraId="58037215" w14:textId="77777777" w:rsidR="00455144" w:rsidRDefault="00455144" w:rsidP="001560C9">
            <w:pPr>
              <w:jc w:val="center"/>
              <w:rPr>
                <w:sz w:val="18"/>
              </w:rPr>
            </w:pPr>
          </w:p>
        </w:tc>
        <w:tc>
          <w:tcPr>
            <w:tcW w:w="980" w:type="dxa"/>
            <w:vMerge/>
            <w:tcBorders>
              <w:right w:val="single" w:sz="12" w:space="0" w:color="auto"/>
            </w:tcBorders>
            <w:shd w:val="clear" w:color="auto" w:fill="C5E0B3" w:themeFill="accent6" w:themeFillTint="66"/>
            <w:vAlign w:val="center"/>
          </w:tcPr>
          <w:p w14:paraId="173C832C" w14:textId="77777777" w:rsidR="00455144" w:rsidRDefault="00455144" w:rsidP="001560C9">
            <w:pPr>
              <w:jc w:val="center"/>
              <w:rPr>
                <w:sz w:val="18"/>
              </w:rPr>
            </w:pPr>
          </w:p>
        </w:tc>
      </w:tr>
      <w:tr w:rsidR="00455144" w:rsidRPr="005C2296" w14:paraId="1D3775D1" w14:textId="77777777" w:rsidTr="001560C9">
        <w:trPr>
          <w:jc w:val="center"/>
        </w:trPr>
        <w:tc>
          <w:tcPr>
            <w:tcW w:w="0" w:type="auto"/>
            <w:vMerge/>
            <w:tcBorders>
              <w:left w:val="single" w:sz="12" w:space="0" w:color="auto"/>
            </w:tcBorders>
            <w:vAlign w:val="center"/>
          </w:tcPr>
          <w:p w14:paraId="7700D496" w14:textId="77777777" w:rsidR="00455144" w:rsidRDefault="00455144" w:rsidP="001560C9">
            <w:pPr>
              <w:jc w:val="right"/>
              <w:rPr>
                <w:b/>
                <w:sz w:val="18"/>
              </w:rPr>
            </w:pPr>
          </w:p>
        </w:tc>
        <w:tc>
          <w:tcPr>
            <w:tcW w:w="0" w:type="auto"/>
            <w:tcBorders>
              <w:right w:val="single" w:sz="12" w:space="0" w:color="auto"/>
            </w:tcBorders>
            <w:vAlign w:val="center"/>
          </w:tcPr>
          <w:p w14:paraId="75E8807D" w14:textId="77777777" w:rsidR="00455144" w:rsidRDefault="00455144" w:rsidP="001560C9">
            <w:pPr>
              <w:jc w:val="right"/>
              <w:rPr>
                <w:b/>
                <w:sz w:val="18"/>
              </w:rPr>
            </w:pPr>
            <w:r>
              <w:rPr>
                <w:b/>
                <w:sz w:val="18"/>
              </w:rPr>
              <w:t>C1/C2 by-products</w:t>
            </w:r>
          </w:p>
        </w:tc>
        <w:tc>
          <w:tcPr>
            <w:tcW w:w="0" w:type="auto"/>
            <w:tcBorders>
              <w:left w:val="single" w:sz="12" w:space="0" w:color="auto"/>
            </w:tcBorders>
            <w:shd w:val="clear" w:color="auto" w:fill="C5E0B3" w:themeFill="accent6" w:themeFillTint="66"/>
            <w:vAlign w:val="center"/>
          </w:tcPr>
          <w:p w14:paraId="7396414E" w14:textId="77777777" w:rsidR="00455144" w:rsidRDefault="00455144" w:rsidP="001560C9">
            <w:pPr>
              <w:jc w:val="center"/>
              <w:rPr>
                <w:sz w:val="18"/>
              </w:rPr>
            </w:pPr>
            <w:r>
              <w:rPr>
                <w:sz w:val="18"/>
              </w:rPr>
              <w:t>Yes</w:t>
            </w:r>
          </w:p>
        </w:tc>
        <w:tc>
          <w:tcPr>
            <w:tcW w:w="0" w:type="auto"/>
            <w:vMerge/>
            <w:shd w:val="clear" w:color="auto" w:fill="C5E0B3" w:themeFill="accent6" w:themeFillTint="66"/>
            <w:vAlign w:val="center"/>
          </w:tcPr>
          <w:p w14:paraId="66543DF3" w14:textId="77777777" w:rsidR="00455144" w:rsidRPr="005C2296" w:rsidRDefault="00455144" w:rsidP="001560C9">
            <w:pPr>
              <w:jc w:val="center"/>
              <w:rPr>
                <w:sz w:val="18"/>
              </w:rPr>
            </w:pPr>
          </w:p>
        </w:tc>
        <w:tc>
          <w:tcPr>
            <w:tcW w:w="585" w:type="dxa"/>
            <w:shd w:val="clear" w:color="auto" w:fill="C00000"/>
            <w:vAlign w:val="center"/>
          </w:tcPr>
          <w:p w14:paraId="48D993C7" w14:textId="77777777" w:rsidR="00455144" w:rsidRPr="005C2296" w:rsidRDefault="00455144" w:rsidP="001560C9">
            <w:pPr>
              <w:jc w:val="center"/>
              <w:rPr>
                <w:sz w:val="18"/>
              </w:rPr>
            </w:pPr>
            <w:r>
              <w:rPr>
                <w:sz w:val="18"/>
              </w:rPr>
              <w:t>No</w:t>
            </w:r>
          </w:p>
        </w:tc>
        <w:tc>
          <w:tcPr>
            <w:tcW w:w="1504" w:type="dxa"/>
            <w:vMerge/>
            <w:shd w:val="clear" w:color="auto" w:fill="F4B083" w:themeFill="accent2" w:themeFillTint="99"/>
            <w:vAlign w:val="center"/>
          </w:tcPr>
          <w:p w14:paraId="5E0726D6" w14:textId="77777777" w:rsidR="00455144" w:rsidRDefault="00455144" w:rsidP="001560C9">
            <w:pPr>
              <w:jc w:val="center"/>
              <w:rPr>
                <w:sz w:val="18"/>
              </w:rPr>
            </w:pPr>
          </w:p>
        </w:tc>
        <w:tc>
          <w:tcPr>
            <w:tcW w:w="980" w:type="dxa"/>
            <w:vMerge/>
            <w:tcBorders>
              <w:right w:val="single" w:sz="12" w:space="0" w:color="auto"/>
            </w:tcBorders>
            <w:shd w:val="clear" w:color="auto" w:fill="C5E0B3" w:themeFill="accent6" w:themeFillTint="66"/>
            <w:vAlign w:val="center"/>
          </w:tcPr>
          <w:p w14:paraId="5369CF03" w14:textId="77777777" w:rsidR="00455144" w:rsidRDefault="00455144" w:rsidP="001560C9">
            <w:pPr>
              <w:jc w:val="center"/>
              <w:rPr>
                <w:sz w:val="18"/>
              </w:rPr>
            </w:pPr>
          </w:p>
        </w:tc>
      </w:tr>
      <w:tr w:rsidR="00455144" w:rsidRPr="005C2296" w14:paraId="25706036" w14:textId="77777777" w:rsidTr="001560C9">
        <w:trPr>
          <w:jc w:val="center"/>
        </w:trPr>
        <w:tc>
          <w:tcPr>
            <w:tcW w:w="0" w:type="auto"/>
            <w:vMerge/>
            <w:tcBorders>
              <w:left w:val="single" w:sz="12" w:space="0" w:color="auto"/>
            </w:tcBorders>
            <w:vAlign w:val="center"/>
          </w:tcPr>
          <w:p w14:paraId="73AF9097" w14:textId="77777777" w:rsidR="00455144" w:rsidRDefault="00455144" w:rsidP="001560C9">
            <w:pPr>
              <w:jc w:val="right"/>
              <w:rPr>
                <w:b/>
                <w:sz w:val="18"/>
              </w:rPr>
            </w:pPr>
          </w:p>
        </w:tc>
        <w:tc>
          <w:tcPr>
            <w:tcW w:w="0" w:type="auto"/>
            <w:tcBorders>
              <w:right w:val="single" w:sz="12" w:space="0" w:color="auto"/>
            </w:tcBorders>
            <w:vAlign w:val="center"/>
          </w:tcPr>
          <w:p w14:paraId="314ADD81" w14:textId="77777777" w:rsidR="00455144" w:rsidRDefault="00455144" w:rsidP="001560C9">
            <w:pPr>
              <w:jc w:val="right"/>
              <w:rPr>
                <w:b/>
                <w:sz w:val="18"/>
              </w:rPr>
            </w:pPr>
            <w:r>
              <w:rPr>
                <w:b/>
                <w:sz w:val="18"/>
              </w:rPr>
              <w:t>C3 by-products</w:t>
            </w:r>
          </w:p>
        </w:tc>
        <w:tc>
          <w:tcPr>
            <w:tcW w:w="0" w:type="auto"/>
            <w:tcBorders>
              <w:left w:val="single" w:sz="12" w:space="0" w:color="auto"/>
            </w:tcBorders>
            <w:shd w:val="clear" w:color="auto" w:fill="C5E0B3" w:themeFill="accent6" w:themeFillTint="66"/>
            <w:vAlign w:val="center"/>
          </w:tcPr>
          <w:p w14:paraId="20206007" w14:textId="77777777" w:rsidR="00455144" w:rsidRDefault="00455144" w:rsidP="001560C9">
            <w:pPr>
              <w:jc w:val="center"/>
              <w:rPr>
                <w:sz w:val="18"/>
              </w:rPr>
            </w:pPr>
            <w:r>
              <w:rPr>
                <w:sz w:val="18"/>
              </w:rPr>
              <w:t>Yes</w:t>
            </w:r>
          </w:p>
        </w:tc>
        <w:tc>
          <w:tcPr>
            <w:tcW w:w="0" w:type="auto"/>
            <w:vMerge w:val="restart"/>
            <w:shd w:val="clear" w:color="auto" w:fill="C5E0B3" w:themeFill="accent6" w:themeFillTint="66"/>
            <w:vAlign w:val="center"/>
          </w:tcPr>
          <w:p w14:paraId="1510AEEF" w14:textId="77777777" w:rsidR="00455144" w:rsidRPr="005C2296" w:rsidRDefault="00455144" w:rsidP="001560C9">
            <w:pPr>
              <w:jc w:val="center"/>
              <w:rPr>
                <w:sz w:val="18"/>
              </w:rPr>
            </w:pPr>
            <w:r>
              <w:rPr>
                <w:sz w:val="18"/>
              </w:rPr>
              <w:t>Only if feed to food</w:t>
            </w:r>
          </w:p>
        </w:tc>
        <w:tc>
          <w:tcPr>
            <w:tcW w:w="585" w:type="dxa"/>
            <w:vAlign w:val="center"/>
          </w:tcPr>
          <w:p w14:paraId="3C13B7C1" w14:textId="77777777" w:rsidR="00455144" w:rsidRPr="005C2296" w:rsidRDefault="00455144" w:rsidP="001560C9">
            <w:pPr>
              <w:jc w:val="center"/>
              <w:rPr>
                <w:sz w:val="18"/>
              </w:rPr>
            </w:pPr>
            <w:r>
              <w:rPr>
                <w:sz w:val="18"/>
              </w:rPr>
              <w:t>?</w:t>
            </w:r>
          </w:p>
        </w:tc>
        <w:tc>
          <w:tcPr>
            <w:tcW w:w="1504" w:type="dxa"/>
            <w:vMerge w:val="restart"/>
            <w:shd w:val="clear" w:color="auto" w:fill="C5E0B3" w:themeFill="accent6" w:themeFillTint="66"/>
            <w:vAlign w:val="center"/>
          </w:tcPr>
          <w:p w14:paraId="5B7D320A" w14:textId="77777777" w:rsidR="00455144" w:rsidRDefault="00455144" w:rsidP="001560C9">
            <w:pPr>
              <w:jc w:val="center"/>
              <w:rPr>
                <w:sz w:val="18"/>
              </w:rPr>
            </w:pPr>
            <w:r>
              <w:rPr>
                <w:sz w:val="18"/>
              </w:rPr>
              <w:t>Meat-equivalent (insects) / Snacks</w:t>
            </w:r>
          </w:p>
        </w:tc>
        <w:tc>
          <w:tcPr>
            <w:tcW w:w="980" w:type="dxa"/>
            <w:vMerge/>
            <w:tcBorders>
              <w:right w:val="single" w:sz="12" w:space="0" w:color="auto"/>
            </w:tcBorders>
            <w:shd w:val="clear" w:color="auto" w:fill="C5E0B3" w:themeFill="accent6" w:themeFillTint="66"/>
            <w:vAlign w:val="center"/>
          </w:tcPr>
          <w:p w14:paraId="6CF59C0C" w14:textId="77777777" w:rsidR="00455144" w:rsidRDefault="00455144" w:rsidP="001560C9">
            <w:pPr>
              <w:jc w:val="center"/>
              <w:rPr>
                <w:sz w:val="18"/>
              </w:rPr>
            </w:pPr>
          </w:p>
        </w:tc>
      </w:tr>
      <w:tr w:rsidR="00455144" w:rsidRPr="005C2296" w14:paraId="61BFB489" w14:textId="77777777" w:rsidTr="001560C9">
        <w:trPr>
          <w:jc w:val="center"/>
        </w:trPr>
        <w:tc>
          <w:tcPr>
            <w:tcW w:w="0" w:type="auto"/>
            <w:vMerge/>
            <w:tcBorders>
              <w:left w:val="single" w:sz="12" w:space="0" w:color="auto"/>
              <w:bottom w:val="single" w:sz="12" w:space="0" w:color="auto"/>
            </w:tcBorders>
            <w:vAlign w:val="center"/>
          </w:tcPr>
          <w:p w14:paraId="6327C82A" w14:textId="77777777" w:rsidR="00455144" w:rsidRDefault="00455144" w:rsidP="001560C9">
            <w:pPr>
              <w:jc w:val="right"/>
              <w:rPr>
                <w:b/>
                <w:sz w:val="18"/>
              </w:rPr>
            </w:pPr>
          </w:p>
        </w:tc>
        <w:tc>
          <w:tcPr>
            <w:tcW w:w="0" w:type="auto"/>
            <w:tcBorders>
              <w:bottom w:val="single" w:sz="12" w:space="0" w:color="auto"/>
              <w:right w:val="single" w:sz="12" w:space="0" w:color="auto"/>
            </w:tcBorders>
            <w:vAlign w:val="center"/>
          </w:tcPr>
          <w:p w14:paraId="0836D737" w14:textId="77777777" w:rsidR="00455144" w:rsidRDefault="00455144" w:rsidP="001560C9">
            <w:pPr>
              <w:jc w:val="right"/>
              <w:rPr>
                <w:b/>
                <w:sz w:val="18"/>
              </w:rPr>
            </w:pPr>
            <w:r>
              <w:rPr>
                <w:b/>
                <w:sz w:val="18"/>
              </w:rPr>
              <w:t>Agrifood co-products</w:t>
            </w:r>
          </w:p>
        </w:tc>
        <w:tc>
          <w:tcPr>
            <w:tcW w:w="0" w:type="auto"/>
            <w:tcBorders>
              <w:left w:val="single" w:sz="12" w:space="0" w:color="auto"/>
              <w:bottom w:val="single" w:sz="12" w:space="0" w:color="auto"/>
            </w:tcBorders>
            <w:shd w:val="clear" w:color="auto" w:fill="C5E0B3" w:themeFill="accent6" w:themeFillTint="66"/>
            <w:vAlign w:val="center"/>
          </w:tcPr>
          <w:p w14:paraId="3AEB184C" w14:textId="77777777" w:rsidR="00455144" w:rsidRDefault="00455144" w:rsidP="001560C9">
            <w:pPr>
              <w:jc w:val="center"/>
              <w:rPr>
                <w:sz w:val="18"/>
              </w:rPr>
            </w:pPr>
            <w:r>
              <w:rPr>
                <w:sz w:val="18"/>
              </w:rPr>
              <w:t>Most streams</w:t>
            </w:r>
          </w:p>
        </w:tc>
        <w:tc>
          <w:tcPr>
            <w:tcW w:w="0" w:type="auto"/>
            <w:vMerge/>
            <w:tcBorders>
              <w:bottom w:val="single" w:sz="12" w:space="0" w:color="auto"/>
            </w:tcBorders>
            <w:shd w:val="clear" w:color="auto" w:fill="C5E0B3" w:themeFill="accent6" w:themeFillTint="66"/>
            <w:vAlign w:val="center"/>
          </w:tcPr>
          <w:p w14:paraId="680FE1BD" w14:textId="77777777" w:rsidR="00455144" w:rsidRPr="005C2296" w:rsidRDefault="00455144" w:rsidP="001560C9">
            <w:pPr>
              <w:jc w:val="center"/>
              <w:rPr>
                <w:sz w:val="18"/>
              </w:rPr>
            </w:pPr>
          </w:p>
        </w:tc>
        <w:tc>
          <w:tcPr>
            <w:tcW w:w="585" w:type="dxa"/>
            <w:tcBorders>
              <w:bottom w:val="single" w:sz="12" w:space="0" w:color="auto"/>
            </w:tcBorders>
            <w:shd w:val="clear" w:color="auto" w:fill="F4B083" w:themeFill="accent2" w:themeFillTint="99"/>
            <w:vAlign w:val="center"/>
          </w:tcPr>
          <w:p w14:paraId="44541076" w14:textId="77777777" w:rsidR="00455144" w:rsidRPr="005C2296" w:rsidRDefault="00455144" w:rsidP="001560C9">
            <w:pPr>
              <w:jc w:val="center"/>
              <w:rPr>
                <w:sz w:val="18"/>
              </w:rPr>
            </w:pPr>
            <w:r>
              <w:rPr>
                <w:sz w:val="18"/>
              </w:rPr>
              <w:t>No need</w:t>
            </w:r>
          </w:p>
        </w:tc>
        <w:tc>
          <w:tcPr>
            <w:tcW w:w="1504" w:type="dxa"/>
            <w:vMerge/>
            <w:tcBorders>
              <w:bottom w:val="single" w:sz="12" w:space="0" w:color="auto"/>
            </w:tcBorders>
            <w:shd w:val="clear" w:color="auto" w:fill="C5E0B3" w:themeFill="accent6" w:themeFillTint="66"/>
            <w:vAlign w:val="center"/>
          </w:tcPr>
          <w:p w14:paraId="680861EC" w14:textId="77777777" w:rsidR="00455144" w:rsidRDefault="00455144" w:rsidP="001560C9">
            <w:pPr>
              <w:jc w:val="center"/>
              <w:rPr>
                <w:sz w:val="18"/>
              </w:rPr>
            </w:pPr>
          </w:p>
        </w:tc>
        <w:tc>
          <w:tcPr>
            <w:tcW w:w="980" w:type="dxa"/>
            <w:vMerge/>
            <w:tcBorders>
              <w:bottom w:val="single" w:sz="12" w:space="0" w:color="auto"/>
              <w:right w:val="single" w:sz="12" w:space="0" w:color="auto"/>
            </w:tcBorders>
            <w:shd w:val="clear" w:color="auto" w:fill="C5E0B3" w:themeFill="accent6" w:themeFillTint="66"/>
            <w:vAlign w:val="center"/>
          </w:tcPr>
          <w:p w14:paraId="24A17985" w14:textId="77777777" w:rsidR="00455144" w:rsidRDefault="00455144" w:rsidP="001560C9">
            <w:pPr>
              <w:jc w:val="center"/>
              <w:rPr>
                <w:sz w:val="18"/>
              </w:rPr>
            </w:pPr>
          </w:p>
        </w:tc>
      </w:tr>
      <w:tr w:rsidR="00455144" w:rsidRPr="005C2296" w14:paraId="4CEB6E14" w14:textId="77777777" w:rsidTr="001560C9">
        <w:trPr>
          <w:jc w:val="center"/>
        </w:trPr>
        <w:tc>
          <w:tcPr>
            <w:tcW w:w="0" w:type="auto"/>
            <w:vMerge w:val="restart"/>
            <w:tcBorders>
              <w:top w:val="single" w:sz="12" w:space="0" w:color="auto"/>
              <w:left w:val="single" w:sz="12" w:space="0" w:color="auto"/>
            </w:tcBorders>
            <w:vAlign w:val="center"/>
          </w:tcPr>
          <w:p w14:paraId="127DE814" w14:textId="77777777" w:rsidR="00455144" w:rsidRDefault="00455144" w:rsidP="001560C9">
            <w:pPr>
              <w:jc w:val="right"/>
              <w:rPr>
                <w:b/>
                <w:sz w:val="18"/>
              </w:rPr>
            </w:pPr>
            <w:r>
              <w:rPr>
                <w:b/>
                <w:sz w:val="18"/>
              </w:rPr>
              <w:t>Amino acids recovery</w:t>
            </w:r>
          </w:p>
        </w:tc>
        <w:tc>
          <w:tcPr>
            <w:tcW w:w="0" w:type="auto"/>
            <w:tcBorders>
              <w:top w:val="single" w:sz="12" w:space="0" w:color="auto"/>
              <w:right w:val="single" w:sz="12" w:space="0" w:color="auto"/>
            </w:tcBorders>
            <w:vAlign w:val="center"/>
          </w:tcPr>
          <w:p w14:paraId="033D07DC" w14:textId="77777777" w:rsidR="00455144" w:rsidRDefault="00455144" w:rsidP="001560C9">
            <w:pPr>
              <w:jc w:val="right"/>
              <w:rPr>
                <w:b/>
                <w:sz w:val="18"/>
              </w:rPr>
            </w:pPr>
            <w:r>
              <w:rPr>
                <w:b/>
                <w:sz w:val="18"/>
              </w:rPr>
              <w:t>C1/C2 by-products</w:t>
            </w:r>
          </w:p>
        </w:tc>
        <w:tc>
          <w:tcPr>
            <w:tcW w:w="0" w:type="auto"/>
            <w:tcBorders>
              <w:top w:val="single" w:sz="12" w:space="0" w:color="auto"/>
              <w:left w:val="single" w:sz="12" w:space="0" w:color="auto"/>
            </w:tcBorders>
            <w:shd w:val="clear" w:color="auto" w:fill="C5E0B3" w:themeFill="accent6" w:themeFillTint="66"/>
            <w:vAlign w:val="center"/>
          </w:tcPr>
          <w:p w14:paraId="57632610" w14:textId="77777777" w:rsidR="00455144" w:rsidRDefault="00455144" w:rsidP="001560C9">
            <w:pPr>
              <w:jc w:val="center"/>
              <w:rPr>
                <w:sz w:val="18"/>
              </w:rPr>
            </w:pPr>
            <w:r>
              <w:rPr>
                <w:sz w:val="18"/>
              </w:rPr>
              <w:t>Yes</w:t>
            </w:r>
          </w:p>
        </w:tc>
        <w:tc>
          <w:tcPr>
            <w:tcW w:w="0" w:type="auto"/>
            <w:tcBorders>
              <w:top w:val="single" w:sz="12" w:space="0" w:color="auto"/>
            </w:tcBorders>
            <w:shd w:val="clear" w:color="auto" w:fill="C5E0B3" w:themeFill="accent6" w:themeFillTint="66"/>
            <w:vAlign w:val="center"/>
          </w:tcPr>
          <w:p w14:paraId="11B814ED" w14:textId="77777777" w:rsidR="00455144" w:rsidRPr="005C2296" w:rsidRDefault="00455144" w:rsidP="001560C9">
            <w:pPr>
              <w:jc w:val="center"/>
              <w:rPr>
                <w:sz w:val="18"/>
              </w:rPr>
            </w:pPr>
            <w:r>
              <w:rPr>
                <w:sz w:val="18"/>
              </w:rPr>
              <w:t>Agronomy/Energy to feed</w:t>
            </w:r>
          </w:p>
        </w:tc>
        <w:tc>
          <w:tcPr>
            <w:tcW w:w="585" w:type="dxa"/>
            <w:tcBorders>
              <w:top w:val="single" w:sz="12" w:space="0" w:color="auto"/>
            </w:tcBorders>
            <w:shd w:val="clear" w:color="auto" w:fill="C00000"/>
            <w:vAlign w:val="center"/>
          </w:tcPr>
          <w:p w14:paraId="5E077BCC" w14:textId="77777777" w:rsidR="00455144" w:rsidRPr="005C2296" w:rsidRDefault="00455144" w:rsidP="001560C9">
            <w:pPr>
              <w:jc w:val="center"/>
              <w:rPr>
                <w:sz w:val="18"/>
              </w:rPr>
            </w:pPr>
            <w:r>
              <w:rPr>
                <w:sz w:val="18"/>
              </w:rPr>
              <w:t>No</w:t>
            </w:r>
          </w:p>
        </w:tc>
        <w:tc>
          <w:tcPr>
            <w:tcW w:w="1504" w:type="dxa"/>
            <w:tcBorders>
              <w:top w:val="single" w:sz="12" w:space="0" w:color="auto"/>
            </w:tcBorders>
            <w:shd w:val="clear" w:color="auto" w:fill="F4B083" w:themeFill="accent2" w:themeFillTint="99"/>
            <w:vAlign w:val="center"/>
          </w:tcPr>
          <w:p w14:paraId="602527AF" w14:textId="77777777" w:rsidR="00455144" w:rsidRDefault="00455144" w:rsidP="001560C9">
            <w:pPr>
              <w:jc w:val="center"/>
              <w:rPr>
                <w:sz w:val="18"/>
              </w:rPr>
            </w:pPr>
            <w:r>
              <w:rPr>
                <w:sz w:val="18"/>
              </w:rPr>
              <w:t>Protein feed</w:t>
            </w:r>
          </w:p>
        </w:tc>
        <w:tc>
          <w:tcPr>
            <w:tcW w:w="980" w:type="dxa"/>
            <w:vMerge w:val="restart"/>
            <w:tcBorders>
              <w:top w:val="single" w:sz="12" w:space="0" w:color="auto"/>
              <w:right w:val="single" w:sz="12" w:space="0" w:color="auto"/>
            </w:tcBorders>
            <w:shd w:val="clear" w:color="auto" w:fill="F4B083" w:themeFill="accent2" w:themeFillTint="99"/>
            <w:vAlign w:val="center"/>
          </w:tcPr>
          <w:p w14:paraId="0C7057F8" w14:textId="77777777" w:rsidR="00455144" w:rsidRDefault="00455144" w:rsidP="001560C9">
            <w:pPr>
              <w:jc w:val="center"/>
              <w:rPr>
                <w:sz w:val="18"/>
              </w:rPr>
            </w:pPr>
            <w:r>
              <w:rPr>
                <w:sz w:val="18"/>
              </w:rPr>
              <w:t>Limited for keratin</w:t>
            </w:r>
          </w:p>
        </w:tc>
      </w:tr>
      <w:tr w:rsidR="00455144" w:rsidRPr="005C2296" w14:paraId="0A375F75" w14:textId="77777777" w:rsidTr="001560C9">
        <w:trPr>
          <w:jc w:val="center"/>
        </w:trPr>
        <w:tc>
          <w:tcPr>
            <w:tcW w:w="0" w:type="auto"/>
            <w:vMerge/>
            <w:tcBorders>
              <w:left w:val="single" w:sz="12" w:space="0" w:color="auto"/>
              <w:bottom w:val="single" w:sz="12" w:space="0" w:color="auto"/>
            </w:tcBorders>
            <w:vAlign w:val="center"/>
          </w:tcPr>
          <w:p w14:paraId="7EEADCD0" w14:textId="77777777" w:rsidR="00455144" w:rsidRDefault="00455144" w:rsidP="001560C9">
            <w:pPr>
              <w:jc w:val="right"/>
              <w:rPr>
                <w:b/>
                <w:sz w:val="18"/>
              </w:rPr>
            </w:pPr>
          </w:p>
        </w:tc>
        <w:tc>
          <w:tcPr>
            <w:tcW w:w="0" w:type="auto"/>
            <w:tcBorders>
              <w:bottom w:val="single" w:sz="12" w:space="0" w:color="auto"/>
              <w:right w:val="single" w:sz="12" w:space="0" w:color="auto"/>
            </w:tcBorders>
            <w:vAlign w:val="center"/>
          </w:tcPr>
          <w:p w14:paraId="132618D1" w14:textId="77777777" w:rsidR="00455144" w:rsidRDefault="00455144" w:rsidP="001560C9">
            <w:pPr>
              <w:jc w:val="right"/>
              <w:rPr>
                <w:b/>
                <w:sz w:val="18"/>
              </w:rPr>
            </w:pPr>
            <w:r>
              <w:rPr>
                <w:b/>
                <w:sz w:val="18"/>
              </w:rPr>
              <w:t>C3 by-products</w:t>
            </w:r>
          </w:p>
        </w:tc>
        <w:tc>
          <w:tcPr>
            <w:tcW w:w="0" w:type="auto"/>
            <w:tcBorders>
              <w:left w:val="single" w:sz="12" w:space="0" w:color="auto"/>
              <w:bottom w:val="single" w:sz="12" w:space="0" w:color="auto"/>
            </w:tcBorders>
            <w:shd w:val="clear" w:color="auto" w:fill="C5E0B3" w:themeFill="accent6" w:themeFillTint="66"/>
            <w:vAlign w:val="center"/>
          </w:tcPr>
          <w:p w14:paraId="3792CA24" w14:textId="77777777" w:rsidR="00455144" w:rsidRDefault="00455144" w:rsidP="001560C9">
            <w:pPr>
              <w:jc w:val="center"/>
              <w:rPr>
                <w:sz w:val="18"/>
              </w:rPr>
            </w:pPr>
            <w:r>
              <w:rPr>
                <w:sz w:val="18"/>
              </w:rPr>
              <w:t>Yes</w:t>
            </w:r>
          </w:p>
        </w:tc>
        <w:tc>
          <w:tcPr>
            <w:tcW w:w="0" w:type="auto"/>
            <w:tcBorders>
              <w:bottom w:val="single" w:sz="12" w:space="0" w:color="auto"/>
            </w:tcBorders>
            <w:shd w:val="clear" w:color="auto" w:fill="F4B083" w:themeFill="accent2" w:themeFillTint="99"/>
            <w:vAlign w:val="center"/>
          </w:tcPr>
          <w:p w14:paraId="1561941B" w14:textId="77777777" w:rsidR="00455144" w:rsidRPr="005C2296" w:rsidRDefault="00455144" w:rsidP="001560C9">
            <w:pPr>
              <w:jc w:val="center"/>
              <w:rPr>
                <w:sz w:val="18"/>
              </w:rPr>
            </w:pPr>
            <w:r>
              <w:rPr>
                <w:sz w:val="18"/>
              </w:rPr>
              <w:t>Already performed when required</w:t>
            </w:r>
          </w:p>
        </w:tc>
        <w:tc>
          <w:tcPr>
            <w:tcW w:w="585" w:type="dxa"/>
            <w:tcBorders>
              <w:bottom w:val="single" w:sz="12" w:space="0" w:color="auto"/>
            </w:tcBorders>
            <w:shd w:val="clear" w:color="auto" w:fill="C5E0B3" w:themeFill="accent6" w:themeFillTint="66"/>
            <w:vAlign w:val="center"/>
          </w:tcPr>
          <w:p w14:paraId="5B7B9F28" w14:textId="77777777" w:rsidR="00455144" w:rsidRPr="005C2296" w:rsidRDefault="00455144" w:rsidP="001560C9">
            <w:pPr>
              <w:jc w:val="center"/>
              <w:rPr>
                <w:sz w:val="18"/>
              </w:rPr>
            </w:pPr>
            <w:r>
              <w:rPr>
                <w:sz w:val="18"/>
              </w:rPr>
              <w:t>Yes</w:t>
            </w:r>
          </w:p>
        </w:tc>
        <w:tc>
          <w:tcPr>
            <w:tcW w:w="1504" w:type="dxa"/>
            <w:tcBorders>
              <w:bottom w:val="single" w:sz="12" w:space="0" w:color="auto"/>
            </w:tcBorders>
            <w:shd w:val="clear" w:color="auto" w:fill="F4B083" w:themeFill="accent2" w:themeFillTint="99"/>
            <w:vAlign w:val="center"/>
          </w:tcPr>
          <w:p w14:paraId="3095A915" w14:textId="77777777" w:rsidR="00455144" w:rsidRDefault="00455144" w:rsidP="001560C9">
            <w:pPr>
              <w:jc w:val="center"/>
              <w:rPr>
                <w:sz w:val="18"/>
              </w:rPr>
            </w:pPr>
            <w:r>
              <w:rPr>
                <w:sz w:val="18"/>
              </w:rPr>
              <w:t>Protein feed</w:t>
            </w:r>
          </w:p>
        </w:tc>
        <w:tc>
          <w:tcPr>
            <w:tcW w:w="980" w:type="dxa"/>
            <w:vMerge/>
            <w:tcBorders>
              <w:bottom w:val="single" w:sz="12" w:space="0" w:color="auto"/>
              <w:right w:val="single" w:sz="12" w:space="0" w:color="auto"/>
            </w:tcBorders>
            <w:shd w:val="clear" w:color="auto" w:fill="F4B083" w:themeFill="accent2" w:themeFillTint="99"/>
            <w:vAlign w:val="center"/>
          </w:tcPr>
          <w:p w14:paraId="78846584" w14:textId="77777777" w:rsidR="00455144" w:rsidRDefault="00455144" w:rsidP="001560C9">
            <w:pPr>
              <w:jc w:val="center"/>
              <w:rPr>
                <w:sz w:val="18"/>
              </w:rPr>
            </w:pPr>
          </w:p>
        </w:tc>
      </w:tr>
      <w:tr w:rsidR="00455144" w:rsidRPr="005C2296" w14:paraId="0A5D4625" w14:textId="77777777" w:rsidTr="001560C9">
        <w:trPr>
          <w:jc w:val="center"/>
        </w:trPr>
        <w:tc>
          <w:tcPr>
            <w:tcW w:w="0" w:type="auto"/>
            <w:vMerge w:val="restart"/>
            <w:tcBorders>
              <w:top w:val="single" w:sz="12" w:space="0" w:color="auto"/>
              <w:left w:val="single" w:sz="12" w:space="0" w:color="auto"/>
            </w:tcBorders>
            <w:textDirection w:val="btLr"/>
            <w:vAlign w:val="center"/>
          </w:tcPr>
          <w:p w14:paraId="0955D191" w14:textId="77777777" w:rsidR="00455144" w:rsidRDefault="00455144" w:rsidP="001560C9">
            <w:pPr>
              <w:ind w:left="113" w:right="113"/>
              <w:jc w:val="center"/>
              <w:rPr>
                <w:b/>
                <w:sz w:val="18"/>
              </w:rPr>
            </w:pPr>
            <w:r>
              <w:rPr>
                <w:b/>
                <w:sz w:val="18"/>
              </w:rPr>
              <w:t>Lignocellulosic feedstocks to sugars and dietary fibers</w:t>
            </w:r>
          </w:p>
          <w:p w14:paraId="3C5554C8" w14:textId="77777777" w:rsidR="00455144" w:rsidRDefault="00455144" w:rsidP="001560C9">
            <w:pPr>
              <w:ind w:left="113" w:right="113"/>
              <w:jc w:val="center"/>
              <w:rPr>
                <w:b/>
                <w:sz w:val="18"/>
              </w:rPr>
            </w:pPr>
            <w:r>
              <w:rPr>
                <w:b/>
                <w:sz w:val="18"/>
              </w:rPr>
              <w:t>(includes further bioconversion)</w:t>
            </w:r>
          </w:p>
        </w:tc>
        <w:tc>
          <w:tcPr>
            <w:tcW w:w="0" w:type="auto"/>
            <w:tcBorders>
              <w:top w:val="single" w:sz="12" w:space="0" w:color="auto"/>
              <w:right w:val="single" w:sz="12" w:space="0" w:color="auto"/>
            </w:tcBorders>
            <w:vAlign w:val="center"/>
          </w:tcPr>
          <w:p w14:paraId="30A263D5" w14:textId="77777777" w:rsidR="00455144" w:rsidRDefault="00455144" w:rsidP="001560C9">
            <w:pPr>
              <w:jc w:val="right"/>
              <w:rPr>
                <w:b/>
                <w:sz w:val="18"/>
              </w:rPr>
            </w:pPr>
            <w:r>
              <w:rPr>
                <w:b/>
                <w:sz w:val="18"/>
              </w:rPr>
              <w:t>Primary forestry residues</w:t>
            </w:r>
          </w:p>
        </w:tc>
        <w:tc>
          <w:tcPr>
            <w:tcW w:w="0" w:type="auto"/>
            <w:tcBorders>
              <w:top w:val="single" w:sz="12" w:space="0" w:color="auto"/>
              <w:left w:val="single" w:sz="12" w:space="0" w:color="auto"/>
            </w:tcBorders>
            <w:shd w:val="clear" w:color="auto" w:fill="C5E0B3" w:themeFill="accent6" w:themeFillTint="66"/>
            <w:vAlign w:val="center"/>
          </w:tcPr>
          <w:p w14:paraId="60DCC0C9" w14:textId="77777777" w:rsidR="00455144" w:rsidRDefault="00455144" w:rsidP="001560C9">
            <w:pPr>
              <w:jc w:val="center"/>
              <w:rPr>
                <w:sz w:val="18"/>
              </w:rPr>
            </w:pPr>
            <w:r>
              <w:rPr>
                <w:sz w:val="18"/>
              </w:rPr>
              <w:t>Yes</w:t>
            </w:r>
          </w:p>
        </w:tc>
        <w:tc>
          <w:tcPr>
            <w:tcW w:w="0" w:type="auto"/>
            <w:vMerge w:val="restart"/>
            <w:tcBorders>
              <w:top w:val="single" w:sz="12" w:space="0" w:color="auto"/>
            </w:tcBorders>
            <w:shd w:val="clear" w:color="auto" w:fill="C5E0B3" w:themeFill="accent6" w:themeFillTint="66"/>
            <w:vAlign w:val="center"/>
          </w:tcPr>
          <w:p w14:paraId="0FDCDA21" w14:textId="77777777" w:rsidR="00455144" w:rsidRPr="005C2296" w:rsidRDefault="00455144" w:rsidP="001560C9">
            <w:pPr>
              <w:jc w:val="center"/>
              <w:rPr>
                <w:sz w:val="18"/>
              </w:rPr>
            </w:pPr>
            <w:r>
              <w:rPr>
                <w:sz w:val="18"/>
              </w:rPr>
              <w:t>Agronomy/Energy to feed</w:t>
            </w:r>
          </w:p>
        </w:tc>
        <w:tc>
          <w:tcPr>
            <w:tcW w:w="585" w:type="dxa"/>
            <w:tcBorders>
              <w:top w:val="single" w:sz="12" w:space="0" w:color="auto"/>
            </w:tcBorders>
            <w:shd w:val="clear" w:color="auto" w:fill="F4B083" w:themeFill="accent2" w:themeFillTint="99"/>
            <w:vAlign w:val="center"/>
          </w:tcPr>
          <w:p w14:paraId="26A8E82D" w14:textId="77777777" w:rsidR="00455144" w:rsidRPr="005C2296" w:rsidRDefault="00455144" w:rsidP="001560C9">
            <w:pPr>
              <w:jc w:val="center"/>
              <w:rPr>
                <w:sz w:val="18"/>
              </w:rPr>
            </w:pPr>
            <w:r>
              <w:rPr>
                <w:sz w:val="18"/>
              </w:rPr>
              <w:t>No need</w:t>
            </w:r>
          </w:p>
        </w:tc>
        <w:tc>
          <w:tcPr>
            <w:tcW w:w="1504" w:type="dxa"/>
            <w:vMerge w:val="restart"/>
            <w:tcBorders>
              <w:top w:val="single" w:sz="12" w:space="0" w:color="auto"/>
            </w:tcBorders>
            <w:shd w:val="clear" w:color="auto" w:fill="F4B083" w:themeFill="accent2" w:themeFillTint="99"/>
            <w:vAlign w:val="center"/>
          </w:tcPr>
          <w:p w14:paraId="38DFC510" w14:textId="77777777" w:rsidR="00455144" w:rsidRDefault="00455144" w:rsidP="001560C9">
            <w:pPr>
              <w:jc w:val="center"/>
              <w:rPr>
                <w:sz w:val="18"/>
              </w:rPr>
            </w:pPr>
            <w:r>
              <w:rPr>
                <w:sz w:val="18"/>
              </w:rPr>
              <w:t>Either sugars, fibers or protein feed (microorganisms)</w:t>
            </w:r>
          </w:p>
        </w:tc>
        <w:tc>
          <w:tcPr>
            <w:tcW w:w="980" w:type="dxa"/>
            <w:vMerge w:val="restart"/>
            <w:tcBorders>
              <w:top w:val="single" w:sz="12" w:space="0" w:color="auto"/>
              <w:right w:val="single" w:sz="12" w:space="0" w:color="auto"/>
            </w:tcBorders>
            <w:shd w:val="clear" w:color="auto" w:fill="C5E0B3" w:themeFill="accent6" w:themeFillTint="66"/>
            <w:vAlign w:val="center"/>
          </w:tcPr>
          <w:p w14:paraId="7B97D1EC" w14:textId="77777777" w:rsidR="00455144" w:rsidRDefault="00455144" w:rsidP="001560C9">
            <w:pPr>
              <w:jc w:val="center"/>
              <w:rPr>
                <w:sz w:val="18"/>
              </w:rPr>
            </w:pPr>
            <w:r>
              <w:rPr>
                <w:sz w:val="18"/>
              </w:rPr>
              <w:t>Yes (but limited for the full route towards proteins)</w:t>
            </w:r>
          </w:p>
        </w:tc>
      </w:tr>
      <w:tr w:rsidR="00455144" w:rsidRPr="005C2296" w14:paraId="7B379F38" w14:textId="77777777" w:rsidTr="001560C9">
        <w:trPr>
          <w:jc w:val="center"/>
        </w:trPr>
        <w:tc>
          <w:tcPr>
            <w:tcW w:w="0" w:type="auto"/>
            <w:vMerge/>
            <w:tcBorders>
              <w:left w:val="single" w:sz="12" w:space="0" w:color="auto"/>
            </w:tcBorders>
            <w:textDirection w:val="btLr"/>
            <w:vAlign w:val="center"/>
          </w:tcPr>
          <w:p w14:paraId="3758B336" w14:textId="77777777" w:rsidR="00455144" w:rsidRDefault="00455144" w:rsidP="001560C9">
            <w:pPr>
              <w:ind w:left="113" w:right="113"/>
              <w:jc w:val="center"/>
              <w:rPr>
                <w:b/>
                <w:sz w:val="18"/>
              </w:rPr>
            </w:pPr>
          </w:p>
        </w:tc>
        <w:tc>
          <w:tcPr>
            <w:tcW w:w="0" w:type="auto"/>
            <w:tcBorders>
              <w:right w:val="single" w:sz="12" w:space="0" w:color="auto"/>
            </w:tcBorders>
            <w:vAlign w:val="center"/>
          </w:tcPr>
          <w:p w14:paraId="60DFFA2E" w14:textId="77777777" w:rsidR="00455144" w:rsidRDefault="00455144" w:rsidP="001560C9">
            <w:pPr>
              <w:jc w:val="right"/>
              <w:rPr>
                <w:b/>
                <w:sz w:val="18"/>
              </w:rPr>
            </w:pPr>
            <w:r>
              <w:rPr>
                <w:b/>
                <w:sz w:val="18"/>
              </w:rPr>
              <w:t>General/Hedges</w:t>
            </w:r>
          </w:p>
        </w:tc>
        <w:tc>
          <w:tcPr>
            <w:tcW w:w="0" w:type="auto"/>
            <w:tcBorders>
              <w:left w:val="single" w:sz="12" w:space="0" w:color="auto"/>
            </w:tcBorders>
            <w:shd w:val="clear" w:color="auto" w:fill="C5E0B3" w:themeFill="accent6" w:themeFillTint="66"/>
            <w:vAlign w:val="center"/>
          </w:tcPr>
          <w:p w14:paraId="0B8D8F34" w14:textId="77777777" w:rsidR="00455144" w:rsidRDefault="00455144" w:rsidP="001560C9">
            <w:pPr>
              <w:jc w:val="center"/>
              <w:rPr>
                <w:sz w:val="18"/>
              </w:rPr>
            </w:pPr>
            <w:r>
              <w:rPr>
                <w:sz w:val="18"/>
              </w:rPr>
              <w:t>Yes</w:t>
            </w:r>
          </w:p>
        </w:tc>
        <w:tc>
          <w:tcPr>
            <w:tcW w:w="0" w:type="auto"/>
            <w:vMerge/>
            <w:shd w:val="clear" w:color="auto" w:fill="C5E0B3" w:themeFill="accent6" w:themeFillTint="66"/>
            <w:vAlign w:val="center"/>
          </w:tcPr>
          <w:p w14:paraId="50BB8539" w14:textId="77777777" w:rsidR="00455144" w:rsidRPr="005C2296" w:rsidRDefault="00455144" w:rsidP="001560C9">
            <w:pPr>
              <w:jc w:val="center"/>
              <w:rPr>
                <w:sz w:val="18"/>
              </w:rPr>
            </w:pPr>
          </w:p>
        </w:tc>
        <w:tc>
          <w:tcPr>
            <w:tcW w:w="585" w:type="dxa"/>
            <w:shd w:val="clear" w:color="auto" w:fill="C00000"/>
            <w:vAlign w:val="center"/>
          </w:tcPr>
          <w:p w14:paraId="44F2B28D" w14:textId="77777777" w:rsidR="00455144" w:rsidRPr="005C2296" w:rsidRDefault="00455144" w:rsidP="001560C9">
            <w:pPr>
              <w:jc w:val="center"/>
              <w:rPr>
                <w:sz w:val="18"/>
              </w:rPr>
            </w:pPr>
            <w:r>
              <w:rPr>
                <w:sz w:val="18"/>
              </w:rPr>
              <w:t>No</w:t>
            </w:r>
          </w:p>
        </w:tc>
        <w:tc>
          <w:tcPr>
            <w:tcW w:w="1504" w:type="dxa"/>
            <w:vMerge/>
            <w:shd w:val="clear" w:color="auto" w:fill="F4B083" w:themeFill="accent2" w:themeFillTint="99"/>
            <w:vAlign w:val="center"/>
          </w:tcPr>
          <w:p w14:paraId="2DB892B5" w14:textId="77777777" w:rsidR="00455144" w:rsidRDefault="00455144" w:rsidP="001560C9">
            <w:pPr>
              <w:jc w:val="center"/>
              <w:rPr>
                <w:sz w:val="18"/>
              </w:rPr>
            </w:pPr>
          </w:p>
        </w:tc>
        <w:tc>
          <w:tcPr>
            <w:tcW w:w="980" w:type="dxa"/>
            <w:vMerge/>
            <w:tcBorders>
              <w:right w:val="single" w:sz="12" w:space="0" w:color="auto"/>
            </w:tcBorders>
            <w:shd w:val="clear" w:color="auto" w:fill="C5E0B3" w:themeFill="accent6" w:themeFillTint="66"/>
            <w:vAlign w:val="center"/>
          </w:tcPr>
          <w:p w14:paraId="1CE0E82C" w14:textId="77777777" w:rsidR="00455144" w:rsidRDefault="00455144" w:rsidP="001560C9">
            <w:pPr>
              <w:jc w:val="center"/>
              <w:rPr>
                <w:sz w:val="18"/>
              </w:rPr>
            </w:pPr>
          </w:p>
        </w:tc>
      </w:tr>
      <w:tr w:rsidR="00455144" w:rsidRPr="005C2296" w14:paraId="4A7DC00D" w14:textId="77777777" w:rsidTr="001560C9">
        <w:trPr>
          <w:jc w:val="center"/>
        </w:trPr>
        <w:tc>
          <w:tcPr>
            <w:tcW w:w="0" w:type="auto"/>
            <w:vMerge/>
            <w:tcBorders>
              <w:left w:val="single" w:sz="12" w:space="0" w:color="auto"/>
            </w:tcBorders>
            <w:textDirection w:val="btLr"/>
            <w:vAlign w:val="center"/>
          </w:tcPr>
          <w:p w14:paraId="1FE4333D" w14:textId="77777777" w:rsidR="00455144" w:rsidRDefault="00455144" w:rsidP="001560C9">
            <w:pPr>
              <w:ind w:left="113" w:right="113"/>
              <w:jc w:val="center"/>
              <w:rPr>
                <w:b/>
                <w:sz w:val="18"/>
              </w:rPr>
            </w:pPr>
          </w:p>
        </w:tc>
        <w:tc>
          <w:tcPr>
            <w:tcW w:w="0" w:type="auto"/>
            <w:tcBorders>
              <w:right w:val="single" w:sz="12" w:space="0" w:color="auto"/>
            </w:tcBorders>
            <w:vAlign w:val="center"/>
          </w:tcPr>
          <w:p w14:paraId="108E636F" w14:textId="77777777" w:rsidR="00455144" w:rsidRDefault="00455144" w:rsidP="001560C9">
            <w:pPr>
              <w:jc w:val="right"/>
              <w:rPr>
                <w:b/>
                <w:sz w:val="18"/>
              </w:rPr>
            </w:pPr>
            <w:r>
              <w:rPr>
                <w:b/>
                <w:sz w:val="18"/>
              </w:rPr>
              <w:t>Vineyards/Orchards</w:t>
            </w:r>
          </w:p>
        </w:tc>
        <w:tc>
          <w:tcPr>
            <w:tcW w:w="0" w:type="auto"/>
            <w:tcBorders>
              <w:left w:val="single" w:sz="12" w:space="0" w:color="auto"/>
            </w:tcBorders>
            <w:shd w:val="clear" w:color="auto" w:fill="C5E0B3" w:themeFill="accent6" w:themeFillTint="66"/>
            <w:vAlign w:val="center"/>
          </w:tcPr>
          <w:p w14:paraId="41895C9C" w14:textId="77777777" w:rsidR="00455144" w:rsidRDefault="00455144" w:rsidP="001560C9">
            <w:pPr>
              <w:jc w:val="center"/>
              <w:rPr>
                <w:sz w:val="18"/>
              </w:rPr>
            </w:pPr>
            <w:r>
              <w:rPr>
                <w:sz w:val="18"/>
              </w:rPr>
              <w:t>Yes</w:t>
            </w:r>
          </w:p>
        </w:tc>
        <w:tc>
          <w:tcPr>
            <w:tcW w:w="0" w:type="auto"/>
            <w:vMerge/>
            <w:shd w:val="clear" w:color="auto" w:fill="C5E0B3" w:themeFill="accent6" w:themeFillTint="66"/>
            <w:vAlign w:val="center"/>
          </w:tcPr>
          <w:p w14:paraId="4DB2AADB" w14:textId="77777777" w:rsidR="00455144" w:rsidRPr="005C2296" w:rsidRDefault="00455144" w:rsidP="001560C9">
            <w:pPr>
              <w:jc w:val="center"/>
              <w:rPr>
                <w:sz w:val="18"/>
              </w:rPr>
            </w:pPr>
          </w:p>
        </w:tc>
        <w:tc>
          <w:tcPr>
            <w:tcW w:w="585" w:type="dxa"/>
            <w:shd w:val="clear" w:color="auto" w:fill="F4B083" w:themeFill="accent2" w:themeFillTint="99"/>
            <w:vAlign w:val="center"/>
          </w:tcPr>
          <w:p w14:paraId="5A5179C2" w14:textId="77777777" w:rsidR="00455144" w:rsidRPr="005C2296" w:rsidRDefault="00455144" w:rsidP="001560C9">
            <w:pPr>
              <w:jc w:val="center"/>
              <w:rPr>
                <w:sz w:val="18"/>
              </w:rPr>
            </w:pPr>
            <w:r>
              <w:rPr>
                <w:sz w:val="18"/>
              </w:rPr>
              <w:t>No need</w:t>
            </w:r>
          </w:p>
        </w:tc>
        <w:tc>
          <w:tcPr>
            <w:tcW w:w="1504" w:type="dxa"/>
            <w:vMerge/>
            <w:shd w:val="clear" w:color="auto" w:fill="F4B083" w:themeFill="accent2" w:themeFillTint="99"/>
            <w:vAlign w:val="center"/>
          </w:tcPr>
          <w:p w14:paraId="02B8FE64" w14:textId="77777777" w:rsidR="00455144" w:rsidRDefault="00455144" w:rsidP="001560C9">
            <w:pPr>
              <w:jc w:val="center"/>
              <w:rPr>
                <w:sz w:val="18"/>
              </w:rPr>
            </w:pPr>
          </w:p>
        </w:tc>
        <w:tc>
          <w:tcPr>
            <w:tcW w:w="980" w:type="dxa"/>
            <w:vMerge/>
            <w:tcBorders>
              <w:right w:val="single" w:sz="12" w:space="0" w:color="auto"/>
            </w:tcBorders>
            <w:shd w:val="clear" w:color="auto" w:fill="C5E0B3" w:themeFill="accent6" w:themeFillTint="66"/>
            <w:vAlign w:val="center"/>
          </w:tcPr>
          <w:p w14:paraId="0E03FFEC" w14:textId="77777777" w:rsidR="00455144" w:rsidRDefault="00455144" w:rsidP="001560C9">
            <w:pPr>
              <w:jc w:val="center"/>
              <w:rPr>
                <w:sz w:val="18"/>
              </w:rPr>
            </w:pPr>
          </w:p>
        </w:tc>
      </w:tr>
      <w:tr w:rsidR="00455144" w:rsidRPr="005C2296" w14:paraId="15149D94" w14:textId="77777777" w:rsidTr="001560C9">
        <w:trPr>
          <w:jc w:val="center"/>
        </w:trPr>
        <w:tc>
          <w:tcPr>
            <w:tcW w:w="0" w:type="auto"/>
            <w:vMerge/>
            <w:tcBorders>
              <w:left w:val="single" w:sz="12" w:space="0" w:color="auto"/>
            </w:tcBorders>
            <w:textDirection w:val="btLr"/>
            <w:vAlign w:val="center"/>
          </w:tcPr>
          <w:p w14:paraId="553D8FDC" w14:textId="77777777" w:rsidR="00455144" w:rsidRDefault="00455144" w:rsidP="001560C9">
            <w:pPr>
              <w:ind w:left="113" w:right="113"/>
              <w:jc w:val="center"/>
              <w:rPr>
                <w:b/>
                <w:sz w:val="18"/>
              </w:rPr>
            </w:pPr>
          </w:p>
        </w:tc>
        <w:tc>
          <w:tcPr>
            <w:tcW w:w="0" w:type="auto"/>
            <w:tcBorders>
              <w:right w:val="single" w:sz="12" w:space="0" w:color="auto"/>
            </w:tcBorders>
            <w:vAlign w:val="center"/>
          </w:tcPr>
          <w:p w14:paraId="35C4BC4C" w14:textId="77777777" w:rsidR="00455144" w:rsidRDefault="00455144" w:rsidP="001560C9">
            <w:pPr>
              <w:jc w:val="right"/>
              <w:rPr>
                <w:b/>
                <w:sz w:val="18"/>
              </w:rPr>
            </w:pPr>
            <w:r>
              <w:rPr>
                <w:b/>
                <w:sz w:val="18"/>
              </w:rPr>
              <w:t>Wood-processing waste</w:t>
            </w:r>
          </w:p>
        </w:tc>
        <w:tc>
          <w:tcPr>
            <w:tcW w:w="0" w:type="auto"/>
            <w:tcBorders>
              <w:left w:val="single" w:sz="12" w:space="0" w:color="auto"/>
            </w:tcBorders>
            <w:shd w:val="clear" w:color="auto" w:fill="C5E0B3" w:themeFill="accent6" w:themeFillTint="66"/>
            <w:vAlign w:val="center"/>
          </w:tcPr>
          <w:p w14:paraId="57786D20" w14:textId="77777777" w:rsidR="00455144" w:rsidRDefault="00455144" w:rsidP="001560C9">
            <w:pPr>
              <w:jc w:val="center"/>
              <w:rPr>
                <w:sz w:val="18"/>
              </w:rPr>
            </w:pPr>
            <w:r>
              <w:rPr>
                <w:sz w:val="18"/>
              </w:rPr>
              <w:t>Yes</w:t>
            </w:r>
          </w:p>
        </w:tc>
        <w:tc>
          <w:tcPr>
            <w:tcW w:w="0" w:type="auto"/>
            <w:vMerge/>
            <w:shd w:val="clear" w:color="auto" w:fill="C5E0B3" w:themeFill="accent6" w:themeFillTint="66"/>
            <w:vAlign w:val="center"/>
          </w:tcPr>
          <w:p w14:paraId="41FF4356" w14:textId="77777777" w:rsidR="00455144" w:rsidRPr="005C2296" w:rsidRDefault="00455144" w:rsidP="001560C9">
            <w:pPr>
              <w:jc w:val="center"/>
              <w:rPr>
                <w:sz w:val="18"/>
              </w:rPr>
            </w:pPr>
          </w:p>
        </w:tc>
        <w:tc>
          <w:tcPr>
            <w:tcW w:w="585" w:type="dxa"/>
            <w:shd w:val="clear" w:color="auto" w:fill="C00000"/>
            <w:vAlign w:val="center"/>
          </w:tcPr>
          <w:p w14:paraId="78C7047E" w14:textId="77777777" w:rsidR="00455144" w:rsidRPr="005C2296" w:rsidRDefault="00455144" w:rsidP="001560C9">
            <w:pPr>
              <w:jc w:val="center"/>
              <w:rPr>
                <w:sz w:val="18"/>
              </w:rPr>
            </w:pPr>
            <w:r>
              <w:rPr>
                <w:sz w:val="18"/>
              </w:rPr>
              <w:t>No</w:t>
            </w:r>
          </w:p>
        </w:tc>
        <w:tc>
          <w:tcPr>
            <w:tcW w:w="1504" w:type="dxa"/>
            <w:vMerge/>
            <w:shd w:val="clear" w:color="auto" w:fill="F4B083" w:themeFill="accent2" w:themeFillTint="99"/>
            <w:vAlign w:val="center"/>
          </w:tcPr>
          <w:p w14:paraId="06045634" w14:textId="77777777" w:rsidR="00455144" w:rsidRDefault="00455144" w:rsidP="001560C9">
            <w:pPr>
              <w:jc w:val="center"/>
              <w:rPr>
                <w:sz w:val="18"/>
              </w:rPr>
            </w:pPr>
          </w:p>
        </w:tc>
        <w:tc>
          <w:tcPr>
            <w:tcW w:w="980" w:type="dxa"/>
            <w:vMerge/>
            <w:tcBorders>
              <w:right w:val="single" w:sz="12" w:space="0" w:color="auto"/>
            </w:tcBorders>
            <w:shd w:val="clear" w:color="auto" w:fill="C5E0B3" w:themeFill="accent6" w:themeFillTint="66"/>
            <w:vAlign w:val="center"/>
          </w:tcPr>
          <w:p w14:paraId="6F6BC940" w14:textId="77777777" w:rsidR="00455144" w:rsidRDefault="00455144" w:rsidP="001560C9">
            <w:pPr>
              <w:jc w:val="center"/>
              <w:rPr>
                <w:sz w:val="18"/>
              </w:rPr>
            </w:pPr>
          </w:p>
        </w:tc>
      </w:tr>
      <w:tr w:rsidR="00455144" w:rsidRPr="005C2296" w14:paraId="07E7DA45" w14:textId="77777777" w:rsidTr="001560C9">
        <w:trPr>
          <w:jc w:val="center"/>
        </w:trPr>
        <w:tc>
          <w:tcPr>
            <w:tcW w:w="0" w:type="auto"/>
            <w:vMerge/>
            <w:tcBorders>
              <w:left w:val="single" w:sz="12" w:space="0" w:color="auto"/>
            </w:tcBorders>
            <w:textDirection w:val="btLr"/>
            <w:vAlign w:val="center"/>
          </w:tcPr>
          <w:p w14:paraId="52EDFE06" w14:textId="77777777" w:rsidR="00455144" w:rsidRDefault="00455144" w:rsidP="001560C9">
            <w:pPr>
              <w:ind w:left="113" w:right="113"/>
              <w:jc w:val="center"/>
              <w:rPr>
                <w:b/>
                <w:sz w:val="18"/>
              </w:rPr>
            </w:pPr>
          </w:p>
        </w:tc>
        <w:tc>
          <w:tcPr>
            <w:tcW w:w="0" w:type="auto"/>
            <w:tcBorders>
              <w:right w:val="single" w:sz="12" w:space="0" w:color="auto"/>
            </w:tcBorders>
            <w:vAlign w:val="center"/>
          </w:tcPr>
          <w:p w14:paraId="0F36FC0E" w14:textId="77777777" w:rsidR="00455144" w:rsidRDefault="00455144" w:rsidP="001560C9">
            <w:pPr>
              <w:jc w:val="right"/>
              <w:rPr>
                <w:b/>
                <w:sz w:val="18"/>
              </w:rPr>
            </w:pPr>
            <w:r>
              <w:rPr>
                <w:b/>
                <w:sz w:val="18"/>
              </w:rPr>
              <w:t>Primary crop residues</w:t>
            </w:r>
          </w:p>
        </w:tc>
        <w:tc>
          <w:tcPr>
            <w:tcW w:w="0" w:type="auto"/>
            <w:tcBorders>
              <w:left w:val="single" w:sz="12" w:space="0" w:color="auto"/>
            </w:tcBorders>
            <w:shd w:val="clear" w:color="auto" w:fill="C5E0B3" w:themeFill="accent6" w:themeFillTint="66"/>
            <w:vAlign w:val="center"/>
          </w:tcPr>
          <w:p w14:paraId="4B7070B0" w14:textId="77777777" w:rsidR="00455144" w:rsidRDefault="00455144" w:rsidP="001560C9">
            <w:pPr>
              <w:jc w:val="center"/>
              <w:rPr>
                <w:sz w:val="18"/>
              </w:rPr>
            </w:pPr>
            <w:r>
              <w:rPr>
                <w:sz w:val="18"/>
              </w:rPr>
              <w:t>Yes</w:t>
            </w:r>
          </w:p>
        </w:tc>
        <w:tc>
          <w:tcPr>
            <w:tcW w:w="0" w:type="auto"/>
            <w:vMerge/>
            <w:shd w:val="clear" w:color="auto" w:fill="C5E0B3" w:themeFill="accent6" w:themeFillTint="66"/>
            <w:vAlign w:val="center"/>
          </w:tcPr>
          <w:p w14:paraId="339FF458" w14:textId="77777777" w:rsidR="00455144" w:rsidRPr="005C2296" w:rsidRDefault="00455144" w:rsidP="001560C9">
            <w:pPr>
              <w:jc w:val="center"/>
              <w:rPr>
                <w:sz w:val="18"/>
              </w:rPr>
            </w:pPr>
          </w:p>
        </w:tc>
        <w:tc>
          <w:tcPr>
            <w:tcW w:w="585" w:type="dxa"/>
            <w:shd w:val="clear" w:color="auto" w:fill="F4B083" w:themeFill="accent2" w:themeFillTint="99"/>
            <w:vAlign w:val="center"/>
          </w:tcPr>
          <w:p w14:paraId="1A6D96BC" w14:textId="77777777" w:rsidR="00455144" w:rsidRPr="005C2296" w:rsidRDefault="00455144" w:rsidP="001560C9">
            <w:pPr>
              <w:jc w:val="center"/>
              <w:rPr>
                <w:sz w:val="18"/>
              </w:rPr>
            </w:pPr>
            <w:r>
              <w:rPr>
                <w:sz w:val="18"/>
              </w:rPr>
              <w:t>No need</w:t>
            </w:r>
          </w:p>
        </w:tc>
        <w:tc>
          <w:tcPr>
            <w:tcW w:w="1504" w:type="dxa"/>
            <w:vMerge/>
            <w:shd w:val="clear" w:color="auto" w:fill="F4B083" w:themeFill="accent2" w:themeFillTint="99"/>
            <w:vAlign w:val="center"/>
          </w:tcPr>
          <w:p w14:paraId="793C57B3" w14:textId="77777777" w:rsidR="00455144" w:rsidRDefault="00455144" w:rsidP="001560C9">
            <w:pPr>
              <w:jc w:val="center"/>
              <w:rPr>
                <w:sz w:val="18"/>
              </w:rPr>
            </w:pPr>
          </w:p>
        </w:tc>
        <w:tc>
          <w:tcPr>
            <w:tcW w:w="980" w:type="dxa"/>
            <w:vMerge/>
            <w:tcBorders>
              <w:right w:val="single" w:sz="12" w:space="0" w:color="auto"/>
            </w:tcBorders>
            <w:shd w:val="clear" w:color="auto" w:fill="C5E0B3" w:themeFill="accent6" w:themeFillTint="66"/>
            <w:vAlign w:val="center"/>
          </w:tcPr>
          <w:p w14:paraId="1AFD7114" w14:textId="77777777" w:rsidR="00455144" w:rsidRDefault="00455144" w:rsidP="001560C9">
            <w:pPr>
              <w:jc w:val="center"/>
              <w:rPr>
                <w:sz w:val="18"/>
              </w:rPr>
            </w:pPr>
          </w:p>
        </w:tc>
      </w:tr>
      <w:tr w:rsidR="00455144" w:rsidRPr="005C2296" w14:paraId="4C166F7F" w14:textId="77777777" w:rsidTr="001560C9">
        <w:trPr>
          <w:jc w:val="center"/>
        </w:trPr>
        <w:tc>
          <w:tcPr>
            <w:tcW w:w="0" w:type="auto"/>
            <w:vMerge/>
            <w:tcBorders>
              <w:left w:val="single" w:sz="12" w:space="0" w:color="auto"/>
            </w:tcBorders>
            <w:textDirection w:val="btLr"/>
            <w:vAlign w:val="center"/>
          </w:tcPr>
          <w:p w14:paraId="64AD3FE9" w14:textId="77777777" w:rsidR="00455144" w:rsidRDefault="00455144" w:rsidP="001560C9">
            <w:pPr>
              <w:ind w:left="113" w:right="113"/>
              <w:jc w:val="center"/>
              <w:rPr>
                <w:b/>
                <w:sz w:val="18"/>
              </w:rPr>
            </w:pPr>
          </w:p>
        </w:tc>
        <w:tc>
          <w:tcPr>
            <w:tcW w:w="0" w:type="auto"/>
            <w:tcBorders>
              <w:right w:val="single" w:sz="12" w:space="0" w:color="auto"/>
            </w:tcBorders>
            <w:vAlign w:val="center"/>
          </w:tcPr>
          <w:p w14:paraId="6579CC59" w14:textId="77777777" w:rsidR="00455144" w:rsidRDefault="00455144" w:rsidP="001560C9">
            <w:pPr>
              <w:jc w:val="right"/>
              <w:rPr>
                <w:b/>
                <w:sz w:val="18"/>
              </w:rPr>
            </w:pPr>
            <w:r>
              <w:rPr>
                <w:b/>
                <w:sz w:val="18"/>
              </w:rPr>
              <w:t>Garden &amp; park waste</w:t>
            </w:r>
          </w:p>
        </w:tc>
        <w:tc>
          <w:tcPr>
            <w:tcW w:w="0" w:type="auto"/>
            <w:tcBorders>
              <w:left w:val="single" w:sz="12" w:space="0" w:color="auto"/>
            </w:tcBorders>
            <w:shd w:val="clear" w:color="auto" w:fill="C5E0B3" w:themeFill="accent6" w:themeFillTint="66"/>
            <w:vAlign w:val="center"/>
          </w:tcPr>
          <w:p w14:paraId="0CA15218" w14:textId="77777777" w:rsidR="00455144" w:rsidRDefault="00455144" w:rsidP="001560C9">
            <w:pPr>
              <w:jc w:val="center"/>
              <w:rPr>
                <w:sz w:val="18"/>
              </w:rPr>
            </w:pPr>
            <w:r>
              <w:rPr>
                <w:sz w:val="18"/>
              </w:rPr>
              <w:t>Yes</w:t>
            </w:r>
          </w:p>
        </w:tc>
        <w:tc>
          <w:tcPr>
            <w:tcW w:w="0" w:type="auto"/>
            <w:vMerge/>
            <w:shd w:val="clear" w:color="auto" w:fill="C5E0B3" w:themeFill="accent6" w:themeFillTint="66"/>
            <w:vAlign w:val="center"/>
          </w:tcPr>
          <w:p w14:paraId="23D71B71" w14:textId="77777777" w:rsidR="00455144" w:rsidRPr="005C2296" w:rsidRDefault="00455144" w:rsidP="001560C9">
            <w:pPr>
              <w:jc w:val="center"/>
              <w:rPr>
                <w:sz w:val="18"/>
              </w:rPr>
            </w:pPr>
          </w:p>
        </w:tc>
        <w:tc>
          <w:tcPr>
            <w:tcW w:w="585" w:type="dxa"/>
            <w:shd w:val="clear" w:color="auto" w:fill="C00000"/>
            <w:vAlign w:val="center"/>
          </w:tcPr>
          <w:p w14:paraId="0E4484C9" w14:textId="77777777" w:rsidR="00455144" w:rsidRPr="005C2296" w:rsidRDefault="00455144" w:rsidP="001560C9">
            <w:pPr>
              <w:jc w:val="center"/>
              <w:rPr>
                <w:sz w:val="18"/>
              </w:rPr>
            </w:pPr>
            <w:r>
              <w:rPr>
                <w:sz w:val="18"/>
              </w:rPr>
              <w:t>No</w:t>
            </w:r>
          </w:p>
        </w:tc>
        <w:tc>
          <w:tcPr>
            <w:tcW w:w="1504" w:type="dxa"/>
            <w:vMerge/>
            <w:shd w:val="clear" w:color="auto" w:fill="F4B083" w:themeFill="accent2" w:themeFillTint="99"/>
            <w:vAlign w:val="center"/>
          </w:tcPr>
          <w:p w14:paraId="75A6D87A" w14:textId="77777777" w:rsidR="00455144" w:rsidRDefault="00455144" w:rsidP="001560C9">
            <w:pPr>
              <w:jc w:val="center"/>
              <w:rPr>
                <w:sz w:val="18"/>
              </w:rPr>
            </w:pPr>
          </w:p>
        </w:tc>
        <w:tc>
          <w:tcPr>
            <w:tcW w:w="980" w:type="dxa"/>
            <w:vMerge w:val="restart"/>
            <w:tcBorders>
              <w:right w:val="single" w:sz="12" w:space="0" w:color="auto"/>
            </w:tcBorders>
            <w:shd w:val="clear" w:color="auto" w:fill="F4B083" w:themeFill="accent2" w:themeFillTint="99"/>
            <w:vAlign w:val="center"/>
          </w:tcPr>
          <w:p w14:paraId="1CCBA8C6" w14:textId="77777777" w:rsidR="00455144" w:rsidRDefault="00455144" w:rsidP="001560C9">
            <w:pPr>
              <w:jc w:val="center"/>
              <w:rPr>
                <w:sz w:val="18"/>
              </w:rPr>
            </w:pPr>
            <w:r>
              <w:rPr>
                <w:sz w:val="18"/>
              </w:rPr>
              <w:t>Limited</w:t>
            </w:r>
          </w:p>
        </w:tc>
      </w:tr>
      <w:tr w:rsidR="00455144" w:rsidRPr="005C2296" w14:paraId="5E4A32A6" w14:textId="77777777" w:rsidTr="001560C9">
        <w:trPr>
          <w:jc w:val="center"/>
        </w:trPr>
        <w:tc>
          <w:tcPr>
            <w:tcW w:w="0" w:type="auto"/>
            <w:vMerge/>
            <w:tcBorders>
              <w:left w:val="single" w:sz="12" w:space="0" w:color="auto"/>
            </w:tcBorders>
            <w:textDirection w:val="btLr"/>
            <w:vAlign w:val="center"/>
          </w:tcPr>
          <w:p w14:paraId="13C0447D" w14:textId="77777777" w:rsidR="00455144" w:rsidRDefault="00455144" w:rsidP="001560C9">
            <w:pPr>
              <w:ind w:left="113" w:right="113"/>
              <w:jc w:val="center"/>
              <w:rPr>
                <w:b/>
                <w:sz w:val="18"/>
              </w:rPr>
            </w:pPr>
          </w:p>
        </w:tc>
        <w:tc>
          <w:tcPr>
            <w:tcW w:w="0" w:type="auto"/>
            <w:tcBorders>
              <w:right w:val="single" w:sz="12" w:space="0" w:color="auto"/>
            </w:tcBorders>
            <w:vAlign w:val="center"/>
          </w:tcPr>
          <w:p w14:paraId="521031B9" w14:textId="77777777" w:rsidR="00455144" w:rsidRDefault="00455144" w:rsidP="001560C9">
            <w:pPr>
              <w:jc w:val="right"/>
              <w:rPr>
                <w:b/>
                <w:sz w:val="18"/>
              </w:rPr>
            </w:pPr>
            <w:r>
              <w:rPr>
                <w:b/>
                <w:sz w:val="18"/>
              </w:rPr>
              <w:t>Vegetable tops</w:t>
            </w:r>
          </w:p>
        </w:tc>
        <w:tc>
          <w:tcPr>
            <w:tcW w:w="0" w:type="auto"/>
            <w:tcBorders>
              <w:left w:val="single" w:sz="12" w:space="0" w:color="auto"/>
            </w:tcBorders>
            <w:shd w:val="clear" w:color="auto" w:fill="C5E0B3" w:themeFill="accent6" w:themeFillTint="66"/>
            <w:vAlign w:val="center"/>
          </w:tcPr>
          <w:p w14:paraId="52505688" w14:textId="77777777" w:rsidR="00455144" w:rsidRDefault="00455144" w:rsidP="001560C9">
            <w:pPr>
              <w:jc w:val="center"/>
              <w:rPr>
                <w:sz w:val="18"/>
              </w:rPr>
            </w:pPr>
            <w:r>
              <w:rPr>
                <w:sz w:val="18"/>
              </w:rPr>
              <w:t>Yes</w:t>
            </w:r>
          </w:p>
        </w:tc>
        <w:tc>
          <w:tcPr>
            <w:tcW w:w="0" w:type="auto"/>
            <w:vMerge/>
            <w:shd w:val="clear" w:color="auto" w:fill="C5E0B3" w:themeFill="accent6" w:themeFillTint="66"/>
            <w:vAlign w:val="center"/>
          </w:tcPr>
          <w:p w14:paraId="6F146E74" w14:textId="77777777" w:rsidR="00455144" w:rsidRPr="005C2296" w:rsidRDefault="00455144" w:rsidP="001560C9">
            <w:pPr>
              <w:jc w:val="center"/>
              <w:rPr>
                <w:sz w:val="18"/>
              </w:rPr>
            </w:pPr>
          </w:p>
        </w:tc>
        <w:tc>
          <w:tcPr>
            <w:tcW w:w="585" w:type="dxa"/>
            <w:shd w:val="clear" w:color="auto" w:fill="F4B083" w:themeFill="accent2" w:themeFillTint="99"/>
            <w:vAlign w:val="center"/>
          </w:tcPr>
          <w:p w14:paraId="7DDE4A2E" w14:textId="77777777" w:rsidR="00455144" w:rsidRPr="005C2296" w:rsidRDefault="00455144" w:rsidP="001560C9">
            <w:pPr>
              <w:jc w:val="center"/>
              <w:rPr>
                <w:sz w:val="18"/>
              </w:rPr>
            </w:pPr>
            <w:r>
              <w:rPr>
                <w:sz w:val="18"/>
              </w:rPr>
              <w:t>No need</w:t>
            </w:r>
          </w:p>
        </w:tc>
        <w:tc>
          <w:tcPr>
            <w:tcW w:w="1504" w:type="dxa"/>
            <w:vMerge/>
            <w:shd w:val="clear" w:color="auto" w:fill="F4B083" w:themeFill="accent2" w:themeFillTint="99"/>
            <w:vAlign w:val="center"/>
          </w:tcPr>
          <w:p w14:paraId="53D0B23B" w14:textId="77777777" w:rsidR="00455144" w:rsidRDefault="00455144" w:rsidP="001560C9">
            <w:pPr>
              <w:jc w:val="center"/>
              <w:rPr>
                <w:sz w:val="18"/>
              </w:rPr>
            </w:pPr>
          </w:p>
        </w:tc>
        <w:tc>
          <w:tcPr>
            <w:tcW w:w="980" w:type="dxa"/>
            <w:vMerge/>
            <w:tcBorders>
              <w:right w:val="single" w:sz="12" w:space="0" w:color="auto"/>
            </w:tcBorders>
            <w:shd w:val="clear" w:color="auto" w:fill="F4B083" w:themeFill="accent2" w:themeFillTint="99"/>
            <w:vAlign w:val="center"/>
          </w:tcPr>
          <w:p w14:paraId="08527474" w14:textId="77777777" w:rsidR="00455144" w:rsidRDefault="00455144" w:rsidP="001560C9">
            <w:pPr>
              <w:jc w:val="center"/>
              <w:rPr>
                <w:sz w:val="18"/>
              </w:rPr>
            </w:pPr>
          </w:p>
        </w:tc>
      </w:tr>
      <w:tr w:rsidR="00455144" w:rsidRPr="005C2296" w14:paraId="2B84D598" w14:textId="77777777" w:rsidTr="001560C9">
        <w:trPr>
          <w:jc w:val="center"/>
        </w:trPr>
        <w:tc>
          <w:tcPr>
            <w:tcW w:w="0" w:type="auto"/>
            <w:vMerge/>
            <w:tcBorders>
              <w:left w:val="single" w:sz="12" w:space="0" w:color="auto"/>
            </w:tcBorders>
            <w:textDirection w:val="btLr"/>
            <w:vAlign w:val="center"/>
          </w:tcPr>
          <w:p w14:paraId="5F85E019" w14:textId="77777777" w:rsidR="00455144" w:rsidRDefault="00455144" w:rsidP="001560C9">
            <w:pPr>
              <w:ind w:left="113" w:right="113"/>
              <w:jc w:val="center"/>
              <w:rPr>
                <w:b/>
                <w:sz w:val="18"/>
              </w:rPr>
            </w:pPr>
          </w:p>
        </w:tc>
        <w:tc>
          <w:tcPr>
            <w:tcW w:w="0" w:type="auto"/>
            <w:tcBorders>
              <w:right w:val="single" w:sz="12" w:space="0" w:color="auto"/>
            </w:tcBorders>
            <w:vAlign w:val="center"/>
          </w:tcPr>
          <w:p w14:paraId="2DF2F819" w14:textId="77777777" w:rsidR="00455144" w:rsidRDefault="00455144" w:rsidP="001560C9">
            <w:pPr>
              <w:jc w:val="right"/>
              <w:rPr>
                <w:b/>
                <w:sz w:val="18"/>
              </w:rPr>
            </w:pPr>
            <w:r>
              <w:rPr>
                <w:b/>
                <w:sz w:val="18"/>
              </w:rPr>
              <w:t>Municipal food waste</w:t>
            </w:r>
          </w:p>
        </w:tc>
        <w:tc>
          <w:tcPr>
            <w:tcW w:w="0" w:type="auto"/>
            <w:tcBorders>
              <w:left w:val="single" w:sz="12" w:space="0" w:color="auto"/>
            </w:tcBorders>
            <w:shd w:val="clear" w:color="auto" w:fill="F4B083" w:themeFill="accent2" w:themeFillTint="99"/>
            <w:vAlign w:val="center"/>
          </w:tcPr>
          <w:p w14:paraId="5D24A8D4" w14:textId="77777777" w:rsidR="00455144" w:rsidRDefault="00455144" w:rsidP="001560C9">
            <w:pPr>
              <w:jc w:val="center"/>
              <w:rPr>
                <w:sz w:val="18"/>
              </w:rPr>
            </w:pPr>
            <w:r>
              <w:rPr>
                <w:sz w:val="18"/>
              </w:rPr>
              <w:t>Arguable</w:t>
            </w:r>
          </w:p>
        </w:tc>
        <w:tc>
          <w:tcPr>
            <w:tcW w:w="0" w:type="auto"/>
            <w:vMerge/>
            <w:shd w:val="clear" w:color="auto" w:fill="C5E0B3" w:themeFill="accent6" w:themeFillTint="66"/>
            <w:vAlign w:val="center"/>
          </w:tcPr>
          <w:p w14:paraId="626DAD5F" w14:textId="77777777" w:rsidR="00455144" w:rsidRPr="005C2296" w:rsidRDefault="00455144" w:rsidP="001560C9">
            <w:pPr>
              <w:jc w:val="center"/>
              <w:rPr>
                <w:sz w:val="18"/>
              </w:rPr>
            </w:pPr>
          </w:p>
        </w:tc>
        <w:tc>
          <w:tcPr>
            <w:tcW w:w="585" w:type="dxa"/>
            <w:shd w:val="clear" w:color="auto" w:fill="C00000"/>
            <w:vAlign w:val="center"/>
          </w:tcPr>
          <w:p w14:paraId="24A105FB" w14:textId="77777777" w:rsidR="00455144" w:rsidRPr="005C2296" w:rsidRDefault="00455144" w:rsidP="001560C9">
            <w:pPr>
              <w:jc w:val="center"/>
              <w:rPr>
                <w:sz w:val="18"/>
              </w:rPr>
            </w:pPr>
            <w:r>
              <w:rPr>
                <w:sz w:val="18"/>
              </w:rPr>
              <w:t>No</w:t>
            </w:r>
          </w:p>
        </w:tc>
        <w:tc>
          <w:tcPr>
            <w:tcW w:w="1504" w:type="dxa"/>
            <w:vMerge/>
            <w:shd w:val="clear" w:color="auto" w:fill="F4B083" w:themeFill="accent2" w:themeFillTint="99"/>
            <w:vAlign w:val="center"/>
          </w:tcPr>
          <w:p w14:paraId="506F3A4F" w14:textId="77777777" w:rsidR="00455144" w:rsidRDefault="00455144" w:rsidP="001560C9">
            <w:pPr>
              <w:jc w:val="center"/>
              <w:rPr>
                <w:sz w:val="18"/>
              </w:rPr>
            </w:pPr>
          </w:p>
        </w:tc>
        <w:tc>
          <w:tcPr>
            <w:tcW w:w="980" w:type="dxa"/>
            <w:vMerge/>
            <w:tcBorders>
              <w:right w:val="single" w:sz="12" w:space="0" w:color="auto"/>
            </w:tcBorders>
            <w:shd w:val="clear" w:color="auto" w:fill="F4B083" w:themeFill="accent2" w:themeFillTint="99"/>
            <w:vAlign w:val="center"/>
          </w:tcPr>
          <w:p w14:paraId="561CD784" w14:textId="77777777" w:rsidR="00455144" w:rsidRDefault="00455144" w:rsidP="001560C9">
            <w:pPr>
              <w:jc w:val="center"/>
              <w:rPr>
                <w:sz w:val="18"/>
              </w:rPr>
            </w:pPr>
          </w:p>
        </w:tc>
      </w:tr>
      <w:tr w:rsidR="00455144" w:rsidRPr="005C2296" w14:paraId="0380E72D" w14:textId="77777777" w:rsidTr="001560C9">
        <w:trPr>
          <w:jc w:val="center"/>
        </w:trPr>
        <w:tc>
          <w:tcPr>
            <w:tcW w:w="0" w:type="auto"/>
            <w:vMerge/>
            <w:tcBorders>
              <w:left w:val="single" w:sz="12" w:space="0" w:color="auto"/>
            </w:tcBorders>
            <w:textDirection w:val="btLr"/>
            <w:vAlign w:val="center"/>
          </w:tcPr>
          <w:p w14:paraId="2202FE9D" w14:textId="77777777" w:rsidR="00455144" w:rsidRDefault="00455144" w:rsidP="001560C9">
            <w:pPr>
              <w:ind w:left="113" w:right="113"/>
              <w:jc w:val="center"/>
              <w:rPr>
                <w:b/>
                <w:sz w:val="18"/>
              </w:rPr>
            </w:pPr>
          </w:p>
        </w:tc>
        <w:tc>
          <w:tcPr>
            <w:tcW w:w="0" w:type="auto"/>
            <w:tcBorders>
              <w:right w:val="single" w:sz="12" w:space="0" w:color="auto"/>
            </w:tcBorders>
            <w:vAlign w:val="center"/>
          </w:tcPr>
          <w:p w14:paraId="67EE9111" w14:textId="77777777" w:rsidR="00455144" w:rsidRDefault="00455144" w:rsidP="001560C9">
            <w:pPr>
              <w:jc w:val="right"/>
              <w:rPr>
                <w:b/>
                <w:sz w:val="18"/>
              </w:rPr>
            </w:pPr>
            <w:r>
              <w:rPr>
                <w:b/>
                <w:sz w:val="18"/>
              </w:rPr>
              <w:t>Industrial &amp; services food waste</w:t>
            </w:r>
          </w:p>
        </w:tc>
        <w:tc>
          <w:tcPr>
            <w:tcW w:w="0" w:type="auto"/>
            <w:tcBorders>
              <w:left w:val="single" w:sz="12" w:space="0" w:color="auto"/>
            </w:tcBorders>
            <w:shd w:val="clear" w:color="auto" w:fill="F4B083" w:themeFill="accent2" w:themeFillTint="99"/>
            <w:vAlign w:val="center"/>
          </w:tcPr>
          <w:p w14:paraId="464036AE" w14:textId="77777777" w:rsidR="00455144" w:rsidRDefault="00455144" w:rsidP="001560C9">
            <w:pPr>
              <w:jc w:val="center"/>
              <w:rPr>
                <w:sz w:val="18"/>
              </w:rPr>
            </w:pPr>
            <w:r>
              <w:rPr>
                <w:sz w:val="18"/>
              </w:rPr>
              <w:t>Arguable</w:t>
            </w:r>
          </w:p>
        </w:tc>
        <w:tc>
          <w:tcPr>
            <w:tcW w:w="0" w:type="auto"/>
            <w:vMerge/>
            <w:shd w:val="clear" w:color="auto" w:fill="C5E0B3" w:themeFill="accent6" w:themeFillTint="66"/>
            <w:vAlign w:val="center"/>
          </w:tcPr>
          <w:p w14:paraId="287E9491" w14:textId="77777777" w:rsidR="00455144" w:rsidRPr="005C2296" w:rsidRDefault="00455144" w:rsidP="001560C9">
            <w:pPr>
              <w:jc w:val="center"/>
              <w:rPr>
                <w:sz w:val="18"/>
              </w:rPr>
            </w:pPr>
          </w:p>
        </w:tc>
        <w:tc>
          <w:tcPr>
            <w:tcW w:w="585" w:type="dxa"/>
            <w:shd w:val="clear" w:color="auto" w:fill="F4B083" w:themeFill="accent2" w:themeFillTint="99"/>
            <w:vAlign w:val="center"/>
          </w:tcPr>
          <w:p w14:paraId="1B1652F9" w14:textId="77777777" w:rsidR="00455144" w:rsidRPr="005C2296" w:rsidRDefault="00455144" w:rsidP="001560C9">
            <w:pPr>
              <w:jc w:val="center"/>
              <w:rPr>
                <w:sz w:val="18"/>
              </w:rPr>
            </w:pPr>
            <w:r>
              <w:rPr>
                <w:sz w:val="18"/>
              </w:rPr>
              <w:t>No need if no C3</w:t>
            </w:r>
          </w:p>
        </w:tc>
        <w:tc>
          <w:tcPr>
            <w:tcW w:w="1504" w:type="dxa"/>
            <w:vMerge/>
            <w:shd w:val="clear" w:color="auto" w:fill="F4B083" w:themeFill="accent2" w:themeFillTint="99"/>
            <w:vAlign w:val="center"/>
          </w:tcPr>
          <w:p w14:paraId="4279DB32" w14:textId="77777777" w:rsidR="00455144" w:rsidRDefault="00455144" w:rsidP="001560C9">
            <w:pPr>
              <w:jc w:val="center"/>
              <w:rPr>
                <w:sz w:val="18"/>
              </w:rPr>
            </w:pPr>
          </w:p>
        </w:tc>
        <w:tc>
          <w:tcPr>
            <w:tcW w:w="980" w:type="dxa"/>
            <w:vMerge/>
            <w:tcBorders>
              <w:right w:val="single" w:sz="12" w:space="0" w:color="auto"/>
            </w:tcBorders>
            <w:shd w:val="clear" w:color="auto" w:fill="F4B083" w:themeFill="accent2" w:themeFillTint="99"/>
            <w:vAlign w:val="center"/>
          </w:tcPr>
          <w:p w14:paraId="57DAE49B" w14:textId="77777777" w:rsidR="00455144" w:rsidRDefault="00455144" w:rsidP="001560C9">
            <w:pPr>
              <w:jc w:val="center"/>
              <w:rPr>
                <w:sz w:val="18"/>
              </w:rPr>
            </w:pPr>
          </w:p>
        </w:tc>
      </w:tr>
      <w:tr w:rsidR="00455144" w:rsidRPr="005C2296" w14:paraId="6B5D6F3B" w14:textId="77777777" w:rsidTr="001560C9">
        <w:trPr>
          <w:jc w:val="center"/>
        </w:trPr>
        <w:tc>
          <w:tcPr>
            <w:tcW w:w="0" w:type="auto"/>
            <w:vMerge/>
            <w:tcBorders>
              <w:left w:val="single" w:sz="12" w:space="0" w:color="auto"/>
            </w:tcBorders>
            <w:textDirection w:val="btLr"/>
            <w:vAlign w:val="center"/>
          </w:tcPr>
          <w:p w14:paraId="03316D29" w14:textId="77777777" w:rsidR="00455144" w:rsidRDefault="00455144" w:rsidP="001560C9">
            <w:pPr>
              <w:ind w:left="113" w:right="113"/>
              <w:jc w:val="center"/>
              <w:rPr>
                <w:b/>
                <w:sz w:val="18"/>
              </w:rPr>
            </w:pPr>
          </w:p>
        </w:tc>
        <w:tc>
          <w:tcPr>
            <w:tcW w:w="0" w:type="auto"/>
            <w:tcBorders>
              <w:right w:val="single" w:sz="12" w:space="0" w:color="auto"/>
            </w:tcBorders>
            <w:vAlign w:val="center"/>
          </w:tcPr>
          <w:p w14:paraId="1A358022" w14:textId="77777777" w:rsidR="00455144" w:rsidRDefault="00455144" w:rsidP="001560C9">
            <w:pPr>
              <w:jc w:val="right"/>
              <w:rPr>
                <w:b/>
                <w:sz w:val="18"/>
              </w:rPr>
            </w:pPr>
            <w:r>
              <w:rPr>
                <w:b/>
                <w:sz w:val="18"/>
              </w:rPr>
              <w:t>Agrifood co-products</w:t>
            </w:r>
          </w:p>
        </w:tc>
        <w:tc>
          <w:tcPr>
            <w:tcW w:w="0" w:type="auto"/>
            <w:tcBorders>
              <w:left w:val="single" w:sz="12" w:space="0" w:color="auto"/>
            </w:tcBorders>
            <w:shd w:val="clear" w:color="auto" w:fill="C5E0B3" w:themeFill="accent6" w:themeFillTint="66"/>
            <w:vAlign w:val="center"/>
          </w:tcPr>
          <w:p w14:paraId="118161B6" w14:textId="77777777" w:rsidR="00455144" w:rsidRDefault="00455144" w:rsidP="001560C9">
            <w:pPr>
              <w:jc w:val="center"/>
              <w:rPr>
                <w:sz w:val="18"/>
              </w:rPr>
            </w:pPr>
            <w:r>
              <w:rPr>
                <w:sz w:val="18"/>
              </w:rPr>
              <w:t>Most streams</w:t>
            </w:r>
          </w:p>
        </w:tc>
        <w:tc>
          <w:tcPr>
            <w:tcW w:w="0" w:type="auto"/>
            <w:shd w:val="clear" w:color="auto" w:fill="C5E0B3" w:themeFill="accent6" w:themeFillTint="66"/>
            <w:vAlign w:val="center"/>
          </w:tcPr>
          <w:p w14:paraId="2B8E46EE" w14:textId="77777777" w:rsidR="00455144" w:rsidRPr="005C2296" w:rsidRDefault="00455144" w:rsidP="001560C9">
            <w:pPr>
              <w:jc w:val="center"/>
              <w:rPr>
                <w:sz w:val="18"/>
              </w:rPr>
            </w:pPr>
            <w:r>
              <w:rPr>
                <w:sz w:val="18"/>
              </w:rPr>
              <w:t>Only if feed to food</w:t>
            </w:r>
          </w:p>
        </w:tc>
        <w:tc>
          <w:tcPr>
            <w:tcW w:w="585" w:type="dxa"/>
            <w:shd w:val="clear" w:color="auto" w:fill="F4B083" w:themeFill="accent2" w:themeFillTint="99"/>
            <w:vAlign w:val="center"/>
          </w:tcPr>
          <w:p w14:paraId="0C43DAB3" w14:textId="77777777" w:rsidR="00455144" w:rsidRPr="005C2296" w:rsidRDefault="00455144" w:rsidP="001560C9">
            <w:pPr>
              <w:jc w:val="center"/>
              <w:rPr>
                <w:sz w:val="18"/>
              </w:rPr>
            </w:pPr>
            <w:r>
              <w:rPr>
                <w:sz w:val="18"/>
              </w:rPr>
              <w:t>No need</w:t>
            </w:r>
          </w:p>
        </w:tc>
        <w:tc>
          <w:tcPr>
            <w:tcW w:w="1504" w:type="dxa"/>
            <w:shd w:val="clear" w:color="auto" w:fill="C5E0B3" w:themeFill="accent6" w:themeFillTint="66"/>
            <w:vAlign w:val="center"/>
          </w:tcPr>
          <w:p w14:paraId="2229CE62" w14:textId="77777777" w:rsidR="00455144" w:rsidRDefault="00455144" w:rsidP="001560C9">
            <w:pPr>
              <w:jc w:val="center"/>
              <w:rPr>
                <w:sz w:val="18"/>
              </w:rPr>
            </w:pPr>
            <w:r>
              <w:rPr>
                <w:sz w:val="18"/>
              </w:rPr>
              <w:t>Either sugars, fibers or meat-equivalent (microorganisms)</w:t>
            </w:r>
          </w:p>
        </w:tc>
        <w:tc>
          <w:tcPr>
            <w:tcW w:w="980" w:type="dxa"/>
            <w:vMerge/>
            <w:tcBorders>
              <w:right w:val="single" w:sz="12" w:space="0" w:color="auto"/>
            </w:tcBorders>
            <w:shd w:val="clear" w:color="auto" w:fill="F4B083" w:themeFill="accent2" w:themeFillTint="99"/>
            <w:vAlign w:val="center"/>
          </w:tcPr>
          <w:p w14:paraId="38DF58C6" w14:textId="77777777" w:rsidR="00455144" w:rsidRDefault="00455144" w:rsidP="001560C9">
            <w:pPr>
              <w:jc w:val="center"/>
              <w:rPr>
                <w:sz w:val="18"/>
              </w:rPr>
            </w:pPr>
          </w:p>
        </w:tc>
      </w:tr>
      <w:tr w:rsidR="00455144" w:rsidRPr="005C2296" w14:paraId="2ABB7D36" w14:textId="77777777" w:rsidTr="001560C9">
        <w:trPr>
          <w:jc w:val="center"/>
        </w:trPr>
        <w:tc>
          <w:tcPr>
            <w:tcW w:w="0" w:type="auto"/>
            <w:vMerge w:val="restart"/>
            <w:tcBorders>
              <w:top w:val="single" w:sz="12" w:space="0" w:color="auto"/>
              <w:left w:val="single" w:sz="12" w:space="0" w:color="auto"/>
            </w:tcBorders>
            <w:textDirection w:val="btLr"/>
            <w:vAlign w:val="center"/>
          </w:tcPr>
          <w:p w14:paraId="7A811953" w14:textId="77777777" w:rsidR="00455144" w:rsidRDefault="00455144" w:rsidP="001560C9">
            <w:pPr>
              <w:ind w:left="113" w:right="113"/>
              <w:jc w:val="center"/>
              <w:rPr>
                <w:b/>
                <w:sz w:val="18"/>
              </w:rPr>
            </w:pPr>
            <w:r>
              <w:rPr>
                <w:b/>
                <w:sz w:val="18"/>
              </w:rPr>
              <w:t>Gas-to-nutrition</w:t>
            </w:r>
          </w:p>
        </w:tc>
        <w:tc>
          <w:tcPr>
            <w:tcW w:w="0" w:type="auto"/>
            <w:tcBorders>
              <w:top w:val="single" w:sz="12" w:space="0" w:color="auto"/>
              <w:right w:val="single" w:sz="12" w:space="0" w:color="auto"/>
            </w:tcBorders>
            <w:vAlign w:val="center"/>
          </w:tcPr>
          <w:p w14:paraId="45B57EC3" w14:textId="77777777" w:rsidR="00455144" w:rsidRDefault="00455144" w:rsidP="001560C9">
            <w:pPr>
              <w:jc w:val="right"/>
              <w:rPr>
                <w:b/>
                <w:sz w:val="18"/>
              </w:rPr>
            </w:pPr>
            <w:r>
              <w:rPr>
                <w:b/>
                <w:sz w:val="18"/>
              </w:rPr>
              <w:t>Primary forestry residues</w:t>
            </w:r>
          </w:p>
        </w:tc>
        <w:tc>
          <w:tcPr>
            <w:tcW w:w="0" w:type="auto"/>
            <w:tcBorders>
              <w:top w:val="single" w:sz="12" w:space="0" w:color="auto"/>
              <w:left w:val="single" w:sz="12" w:space="0" w:color="auto"/>
            </w:tcBorders>
            <w:shd w:val="clear" w:color="auto" w:fill="C5E0B3" w:themeFill="accent6" w:themeFillTint="66"/>
            <w:vAlign w:val="center"/>
          </w:tcPr>
          <w:p w14:paraId="5ECCD12F" w14:textId="77777777" w:rsidR="00455144" w:rsidRDefault="00455144" w:rsidP="001560C9">
            <w:pPr>
              <w:jc w:val="center"/>
              <w:rPr>
                <w:sz w:val="18"/>
              </w:rPr>
            </w:pPr>
            <w:r>
              <w:rPr>
                <w:sz w:val="18"/>
              </w:rPr>
              <w:t>Yes</w:t>
            </w:r>
          </w:p>
        </w:tc>
        <w:tc>
          <w:tcPr>
            <w:tcW w:w="0" w:type="auto"/>
            <w:vMerge w:val="restart"/>
            <w:tcBorders>
              <w:top w:val="single" w:sz="12" w:space="0" w:color="auto"/>
            </w:tcBorders>
            <w:shd w:val="clear" w:color="auto" w:fill="C5E0B3" w:themeFill="accent6" w:themeFillTint="66"/>
            <w:vAlign w:val="center"/>
          </w:tcPr>
          <w:p w14:paraId="7281E9D0" w14:textId="77777777" w:rsidR="00455144" w:rsidRPr="005C2296" w:rsidRDefault="00455144" w:rsidP="001560C9">
            <w:pPr>
              <w:jc w:val="center"/>
              <w:rPr>
                <w:sz w:val="18"/>
              </w:rPr>
            </w:pPr>
            <w:r>
              <w:rPr>
                <w:sz w:val="18"/>
              </w:rPr>
              <w:t>Agronomy/Energy to feed</w:t>
            </w:r>
          </w:p>
        </w:tc>
        <w:tc>
          <w:tcPr>
            <w:tcW w:w="585" w:type="dxa"/>
            <w:tcBorders>
              <w:top w:val="single" w:sz="12" w:space="0" w:color="auto"/>
            </w:tcBorders>
            <w:shd w:val="clear" w:color="auto" w:fill="F4B083" w:themeFill="accent2" w:themeFillTint="99"/>
            <w:vAlign w:val="center"/>
          </w:tcPr>
          <w:p w14:paraId="7CF3C66C" w14:textId="77777777" w:rsidR="00455144" w:rsidRPr="005C2296" w:rsidRDefault="00455144" w:rsidP="001560C9">
            <w:pPr>
              <w:jc w:val="center"/>
              <w:rPr>
                <w:sz w:val="18"/>
              </w:rPr>
            </w:pPr>
            <w:r>
              <w:rPr>
                <w:sz w:val="18"/>
              </w:rPr>
              <w:t>No need</w:t>
            </w:r>
          </w:p>
        </w:tc>
        <w:tc>
          <w:tcPr>
            <w:tcW w:w="1504" w:type="dxa"/>
            <w:vMerge w:val="restart"/>
            <w:tcBorders>
              <w:top w:val="single" w:sz="12" w:space="0" w:color="auto"/>
            </w:tcBorders>
            <w:shd w:val="clear" w:color="auto" w:fill="F4B083" w:themeFill="accent2" w:themeFillTint="99"/>
            <w:vAlign w:val="center"/>
          </w:tcPr>
          <w:p w14:paraId="2F1012CC" w14:textId="77777777" w:rsidR="00455144" w:rsidRDefault="00455144" w:rsidP="001560C9">
            <w:pPr>
              <w:jc w:val="center"/>
              <w:rPr>
                <w:sz w:val="18"/>
              </w:rPr>
            </w:pPr>
            <w:r>
              <w:rPr>
                <w:sz w:val="18"/>
              </w:rPr>
              <w:t>Protein feed (microorganisms)</w:t>
            </w:r>
          </w:p>
        </w:tc>
        <w:tc>
          <w:tcPr>
            <w:tcW w:w="980" w:type="dxa"/>
            <w:vMerge w:val="restart"/>
            <w:tcBorders>
              <w:top w:val="single" w:sz="12" w:space="0" w:color="auto"/>
              <w:right w:val="single" w:sz="12" w:space="0" w:color="auto"/>
            </w:tcBorders>
            <w:shd w:val="clear" w:color="auto" w:fill="F4B083" w:themeFill="accent2" w:themeFillTint="99"/>
            <w:vAlign w:val="center"/>
          </w:tcPr>
          <w:p w14:paraId="16ADF5CD" w14:textId="77777777" w:rsidR="00455144" w:rsidRDefault="00455144" w:rsidP="001560C9">
            <w:pPr>
              <w:jc w:val="center"/>
              <w:rPr>
                <w:sz w:val="18"/>
              </w:rPr>
            </w:pPr>
            <w:r>
              <w:rPr>
                <w:sz w:val="18"/>
              </w:rPr>
              <w:t>Limited (yes for bioreactor stage, no for the integrated route)</w:t>
            </w:r>
          </w:p>
        </w:tc>
      </w:tr>
      <w:tr w:rsidR="00455144" w:rsidRPr="005C2296" w14:paraId="76DDA130" w14:textId="77777777" w:rsidTr="001560C9">
        <w:trPr>
          <w:jc w:val="center"/>
        </w:trPr>
        <w:tc>
          <w:tcPr>
            <w:tcW w:w="0" w:type="auto"/>
            <w:vMerge/>
            <w:tcBorders>
              <w:left w:val="single" w:sz="12" w:space="0" w:color="auto"/>
            </w:tcBorders>
            <w:vAlign w:val="center"/>
          </w:tcPr>
          <w:p w14:paraId="75BF3BE2" w14:textId="77777777" w:rsidR="00455144" w:rsidRPr="00352F68" w:rsidRDefault="00455144" w:rsidP="001560C9">
            <w:pPr>
              <w:jc w:val="right"/>
              <w:rPr>
                <w:b/>
                <w:sz w:val="18"/>
              </w:rPr>
            </w:pPr>
          </w:p>
        </w:tc>
        <w:tc>
          <w:tcPr>
            <w:tcW w:w="0" w:type="auto"/>
            <w:tcBorders>
              <w:right w:val="single" w:sz="12" w:space="0" w:color="auto"/>
            </w:tcBorders>
            <w:vAlign w:val="center"/>
          </w:tcPr>
          <w:p w14:paraId="446940F1" w14:textId="77777777" w:rsidR="00455144" w:rsidRPr="00352F68" w:rsidRDefault="00455144" w:rsidP="001560C9">
            <w:pPr>
              <w:jc w:val="right"/>
              <w:rPr>
                <w:b/>
                <w:sz w:val="18"/>
              </w:rPr>
            </w:pPr>
            <w:r>
              <w:rPr>
                <w:b/>
                <w:sz w:val="18"/>
              </w:rPr>
              <w:t>General/Hedges</w:t>
            </w:r>
          </w:p>
        </w:tc>
        <w:tc>
          <w:tcPr>
            <w:tcW w:w="0" w:type="auto"/>
            <w:tcBorders>
              <w:left w:val="single" w:sz="12" w:space="0" w:color="auto"/>
            </w:tcBorders>
            <w:shd w:val="clear" w:color="auto" w:fill="C5E0B3" w:themeFill="accent6" w:themeFillTint="66"/>
            <w:vAlign w:val="center"/>
          </w:tcPr>
          <w:p w14:paraId="14ED3080" w14:textId="77777777" w:rsidR="00455144" w:rsidRDefault="00455144" w:rsidP="001560C9">
            <w:pPr>
              <w:jc w:val="center"/>
              <w:rPr>
                <w:sz w:val="18"/>
              </w:rPr>
            </w:pPr>
            <w:r>
              <w:rPr>
                <w:sz w:val="18"/>
              </w:rPr>
              <w:t>Yes</w:t>
            </w:r>
          </w:p>
        </w:tc>
        <w:tc>
          <w:tcPr>
            <w:tcW w:w="0" w:type="auto"/>
            <w:vMerge/>
            <w:shd w:val="clear" w:color="auto" w:fill="C5E0B3" w:themeFill="accent6" w:themeFillTint="66"/>
            <w:vAlign w:val="center"/>
          </w:tcPr>
          <w:p w14:paraId="6A6A54E5" w14:textId="77777777" w:rsidR="00455144" w:rsidRPr="005C2296" w:rsidRDefault="00455144" w:rsidP="001560C9">
            <w:pPr>
              <w:jc w:val="center"/>
              <w:rPr>
                <w:sz w:val="18"/>
              </w:rPr>
            </w:pPr>
          </w:p>
        </w:tc>
        <w:tc>
          <w:tcPr>
            <w:tcW w:w="585" w:type="dxa"/>
            <w:shd w:val="clear" w:color="auto" w:fill="C5E0B3" w:themeFill="accent6" w:themeFillTint="66"/>
            <w:vAlign w:val="center"/>
          </w:tcPr>
          <w:p w14:paraId="0C47D074" w14:textId="77777777" w:rsidR="00455144" w:rsidRPr="005C2296" w:rsidRDefault="00455144" w:rsidP="001560C9">
            <w:pPr>
              <w:jc w:val="center"/>
              <w:rPr>
                <w:sz w:val="18"/>
              </w:rPr>
            </w:pPr>
            <w:r>
              <w:rPr>
                <w:sz w:val="18"/>
              </w:rPr>
              <w:t>Yes</w:t>
            </w:r>
          </w:p>
        </w:tc>
        <w:tc>
          <w:tcPr>
            <w:tcW w:w="1504" w:type="dxa"/>
            <w:vMerge/>
            <w:shd w:val="clear" w:color="auto" w:fill="F4B083" w:themeFill="accent2" w:themeFillTint="99"/>
            <w:vAlign w:val="center"/>
          </w:tcPr>
          <w:p w14:paraId="3A149DE6" w14:textId="77777777" w:rsidR="00455144" w:rsidRDefault="00455144" w:rsidP="001560C9">
            <w:pPr>
              <w:jc w:val="center"/>
              <w:rPr>
                <w:sz w:val="18"/>
              </w:rPr>
            </w:pPr>
          </w:p>
        </w:tc>
        <w:tc>
          <w:tcPr>
            <w:tcW w:w="980" w:type="dxa"/>
            <w:vMerge/>
            <w:tcBorders>
              <w:right w:val="single" w:sz="12" w:space="0" w:color="auto"/>
            </w:tcBorders>
            <w:shd w:val="clear" w:color="auto" w:fill="F4B083" w:themeFill="accent2" w:themeFillTint="99"/>
            <w:vAlign w:val="center"/>
          </w:tcPr>
          <w:p w14:paraId="43FA5D64" w14:textId="77777777" w:rsidR="00455144" w:rsidRDefault="00455144" w:rsidP="001560C9">
            <w:pPr>
              <w:jc w:val="center"/>
              <w:rPr>
                <w:sz w:val="18"/>
              </w:rPr>
            </w:pPr>
          </w:p>
        </w:tc>
      </w:tr>
      <w:tr w:rsidR="00455144" w:rsidRPr="005C2296" w14:paraId="2856BB4E" w14:textId="77777777" w:rsidTr="001560C9">
        <w:trPr>
          <w:jc w:val="center"/>
        </w:trPr>
        <w:tc>
          <w:tcPr>
            <w:tcW w:w="0" w:type="auto"/>
            <w:vMerge/>
            <w:tcBorders>
              <w:left w:val="single" w:sz="12" w:space="0" w:color="auto"/>
            </w:tcBorders>
            <w:vAlign w:val="center"/>
          </w:tcPr>
          <w:p w14:paraId="2F7DA2CD" w14:textId="77777777" w:rsidR="00455144" w:rsidRPr="00352F68" w:rsidRDefault="00455144" w:rsidP="001560C9">
            <w:pPr>
              <w:jc w:val="right"/>
              <w:rPr>
                <w:b/>
                <w:sz w:val="18"/>
              </w:rPr>
            </w:pPr>
          </w:p>
        </w:tc>
        <w:tc>
          <w:tcPr>
            <w:tcW w:w="0" w:type="auto"/>
            <w:tcBorders>
              <w:right w:val="single" w:sz="12" w:space="0" w:color="auto"/>
            </w:tcBorders>
            <w:vAlign w:val="center"/>
          </w:tcPr>
          <w:p w14:paraId="01DB6FC3" w14:textId="77777777" w:rsidR="00455144" w:rsidRPr="00352F68" w:rsidRDefault="00455144" w:rsidP="001560C9">
            <w:pPr>
              <w:jc w:val="right"/>
              <w:rPr>
                <w:b/>
                <w:sz w:val="18"/>
              </w:rPr>
            </w:pPr>
            <w:r>
              <w:rPr>
                <w:b/>
                <w:sz w:val="18"/>
              </w:rPr>
              <w:t>Vineyards/Orchards</w:t>
            </w:r>
          </w:p>
        </w:tc>
        <w:tc>
          <w:tcPr>
            <w:tcW w:w="0" w:type="auto"/>
            <w:tcBorders>
              <w:left w:val="single" w:sz="12" w:space="0" w:color="auto"/>
            </w:tcBorders>
            <w:shd w:val="clear" w:color="auto" w:fill="C5E0B3" w:themeFill="accent6" w:themeFillTint="66"/>
            <w:vAlign w:val="center"/>
          </w:tcPr>
          <w:p w14:paraId="5A5B44C9" w14:textId="77777777" w:rsidR="00455144" w:rsidRPr="005C2296" w:rsidRDefault="00455144" w:rsidP="001560C9">
            <w:pPr>
              <w:jc w:val="center"/>
              <w:rPr>
                <w:sz w:val="18"/>
              </w:rPr>
            </w:pPr>
            <w:r>
              <w:rPr>
                <w:sz w:val="18"/>
              </w:rPr>
              <w:t>Yes</w:t>
            </w:r>
          </w:p>
        </w:tc>
        <w:tc>
          <w:tcPr>
            <w:tcW w:w="0" w:type="auto"/>
            <w:vMerge/>
            <w:shd w:val="clear" w:color="auto" w:fill="C5E0B3" w:themeFill="accent6" w:themeFillTint="66"/>
            <w:vAlign w:val="center"/>
          </w:tcPr>
          <w:p w14:paraId="7A6AAEA8" w14:textId="77777777" w:rsidR="00455144" w:rsidRPr="005C2296" w:rsidRDefault="00455144" w:rsidP="001560C9">
            <w:pPr>
              <w:jc w:val="center"/>
              <w:rPr>
                <w:sz w:val="18"/>
              </w:rPr>
            </w:pPr>
          </w:p>
        </w:tc>
        <w:tc>
          <w:tcPr>
            <w:tcW w:w="585" w:type="dxa"/>
            <w:shd w:val="clear" w:color="auto" w:fill="F4B083" w:themeFill="accent2" w:themeFillTint="99"/>
            <w:vAlign w:val="center"/>
          </w:tcPr>
          <w:p w14:paraId="69BB597E" w14:textId="77777777" w:rsidR="00455144" w:rsidRPr="005C2296" w:rsidRDefault="00455144" w:rsidP="001560C9">
            <w:pPr>
              <w:jc w:val="center"/>
              <w:rPr>
                <w:sz w:val="18"/>
              </w:rPr>
            </w:pPr>
            <w:r>
              <w:rPr>
                <w:sz w:val="18"/>
              </w:rPr>
              <w:t>No need</w:t>
            </w:r>
          </w:p>
        </w:tc>
        <w:tc>
          <w:tcPr>
            <w:tcW w:w="1504" w:type="dxa"/>
            <w:vMerge/>
            <w:shd w:val="clear" w:color="auto" w:fill="F4B083" w:themeFill="accent2" w:themeFillTint="99"/>
            <w:vAlign w:val="center"/>
          </w:tcPr>
          <w:p w14:paraId="5365175B" w14:textId="77777777" w:rsidR="00455144" w:rsidRPr="005C2296" w:rsidRDefault="00455144" w:rsidP="001560C9">
            <w:pPr>
              <w:jc w:val="center"/>
              <w:rPr>
                <w:sz w:val="18"/>
              </w:rPr>
            </w:pPr>
          </w:p>
        </w:tc>
        <w:tc>
          <w:tcPr>
            <w:tcW w:w="980" w:type="dxa"/>
            <w:vMerge/>
            <w:tcBorders>
              <w:right w:val="single" w:sz="12" w:space="0" w:color="auto"/>
            </w:tcBorders>
            <w:shd w:val="clear" w:color="auto" w:fill="F4B083" w:themeFill="accent2" w:themeFillTint="99"/>
            <w:vAlign w:val="center"/>
          </w:tcPr>
          <w:p w14:paraId="683DDD11" w14:textId="77777777" w:rsidR="00455144" w:rsidRPr="005C2296" w:rsidRDefault="00455144" w:rsidP="001560C9">
            <w:pPr>
              <w:jc w:val="center"/>
              <w:rPr>
                <w:sz w:val="18"/>
              </w:rPr>
            </w:pPr>
          </w:p>
        </w:tc>
      </w:tr>
      <w:tr w:rsidR="00455144" w:rsidRPr="005C2296" w14:paraId="3CAE4091" w14:textId="77777777" w:rsidTr="001560C9">
        <w:trPr>
          <w:trHeight w:val="640"/>
          <w:jc w:val="center"/>
        </w:trPr>
        <w:tc>
          <w:tcPr>
            <w:tcW w:w="0" w:type="auto"/>
            <w:vMerge/>
            <w:tcBorders>
              <w:left w:val="single" w:sz="12" w:space="0" w:color="auto"/>
            </w:tcBorders>
            <w:vAlign w:val="center"/>
          </w:tcPr>
          <w:p w14:paraId="225C68EB" w14:textId="77777777" w:rsidR="00455144" w:rsidRPr="00352F68" w:rsidRDefault="00455144" w:rsidP="001560C9">
            <w:pPr>
              <w:jc w:val="right"/>
              <w:rPr>
                <w:b/>
                <w:sz w:val="18"/>
              </w:rPr>
            </w:pPr>
          </w:p>
        </w:tc>
        <w:tc>
          <w:tcPr>
            <w:tcW w:w="0" w:type="auto"/>
            <w:tcBorders>
              <w:right w:val="single" w:sz="12" w:space="0" w:color="auto"/>
            </w:tcBorders>
            <w:vAlign w:val="center"/>
          </w:tcPr>
          <w:p w14:paraId="4E31C115" w14:textId="77777777" w:rsidR="00455144" w:rsidRPr="00352F68" w:rsidRDefault="00455144" w:rsidP="001560C9">
            <w:pPr>
              <w:jc w:val="right"/>
              <w:rPr>
                <w:b/>
                <w:sz w:val="18"/>
              </w:rPr>
            </w:pPr>
            <w:r>
              <w:rPr>
                <w:b/>
                <w:sz w:val="18"/>
              </w:rPr>
              <w:t>Wood-processing waste</w:t>
            </w:r>
          </w:p>
        </w:tc>
        <w:tc>
          <w:tcPr>
            <w:tcW w:w="0" w:type="auto"/>
            <w:tcBorders>
              <w:left w:val="single" w:sz="12" w:space="0" w:color="auto"/>
            </w:tcBorders>
            <w:shd w:val="clear" w:color="auto" w:fill="C5E0B3" w:themeFill="accent6" w:themeFillTint="66"/>
            <w:vAlign w:val="center"/>
          </w:tcPr>
          <w:p w14:paraId="65C927EE" w14:textId="77777777" w:rsidR="00455144" w:rsidRPr="005C2296" w:rsidRDefault="00455144" w:rsidP="001560C9">
            <w:pPr>
              <w:jc w:val="center"/>
              <w:rPr>
                <w:sz w:val="18"/>
              </w:rPr>
            </w:pPr>
            <w:r>
              <w:rPr>
                <w:sz w:val="18"/>
              </w:rPr>
              <w:t>Yes</w:t>
            </w:r>
          </w:p>
        </w:tc>
        <w:tc>
          <w:tcPr>
            <w:tcW w:w="0" w:type="auto"/>
            <w:vMerge/>
            <w:shd w:val="clear" w:color="auto" w:fill="C5E0B3" w:themeFill="accent6" w:themeFillTint="66"/>
            <w:vAlign w:val="center"/>
          </w:tcPr>
          <w:p w14:paraId="710DC57A" w14:textId="77777777" w:rsidR="00455144" w:rsidRPr="005C2296" w:rsidRDefault="00455144" w:rsidP="001560C9">
            <w:pPr>
              <w:jc w:val="center"/>
              <w:rPr>
                <w:sz w:val="18"/>
              </w:rPr>
            </w:pPr>
          </w:p>
        </w:tc>
        <w:tc>
          <w:tcPr>
            <w:tcW w:w="585" w:type="dxa"/>
            <w:shd w:val="clear" w:color="auto" w:fill="C5E0B3" w:themeFill="accent6" w:themeFillTint="66"/>
            <w:vAlign w:val="center"/>
          </w:tcPr>
          <w:p w14:paraId="385DC85D" w14:textId="77777777" w:rsidR="00455144" w:rsidRPr="005C2296" w:rsidRDefault="00455144" w:rsidP="001560C9">
            <w:pPr>
              <w:jc w:val="center"/>
              <w:rPr>
                <w:sz w:val="18"/>
              </w:rPr>
            </w:pPr>
            <w:r>
              <w:rPr>
                <w:sz w:val="18"/>
              </w:rPr>
              <w:t>Yes</w:t>
            </w:r>
          </w:p>
        </w:tc>
        <w:tc>
          <w:tcPr>
            <w:tcW w:w="1504" w:type="dxa"/>
            <w:vMerge/>
            <w:shd w:val="clear" w:color="auto" w:fill="F4B083" w:themeFill="accent2" w:themeFillTint="99"/>
            <w:vAlign w:val="center"/>
          </w:tcPr>
          <w:p w14:paraId="00DC791F" w14:textId="77777777" w:rsidR="00455144" w:rsidRPr="005C2296" w:rsidRDefault="00455144" w:rsidP="001560C9">
            <w:pPr>
              <w:jc w:val="center"/>
              <w:rPr>
                <w:sz w:val="18"/>
              </w:rPr>
            </w:pPr>
          </w:p>
        </w:tc>
        <w:tc>
          <w:tcPr>
            <w:tcW w:w="980" w:type="dxa"/>
            <w:vMerge/>
            <w:tcBorders>
              <w:right w:val="single" w:sz="12" w:space="0" w:color="auto"/>
            </w:tcBorders>
            <w:shd w:val="clear" w:color="auto" w:fill="F4B083" w:themeFill="accent2" w:themeFillTint="99"/>
            <w:vAlign w:val="center"/>
          </w:tcPr>
          <w:p w14:paraId="251F4BDE" w14:textId="77777777" w:rsidR="00455144" w:rsidRPr="005C2296" w:rsidRDefault="00455144" w:rsidP="001560C9">
            <w:pPr>
              <w:jc w:val="center"/>
              <w:rPr>
                <w:sz w:val="18"/>
              </w:rPr>
            </w:pPr>
          </w:p>
        </w:tc>
      </w:tr>
      <w:tr w:rsidR="00455144" w:rsidRPr="005C2296" w14:paraId="109CA376" w14:textId="77777777" w:rsidTr="001560C9">
        <w:trPr>
          <w:jc w:val="center"/>
        </w:trPr>
        <w:tc>
          <w:tcPr>
            <w:tcW w:w="0" w:type="auto"/>
            <w:vMerge/>
            <w:tcBorders>
              <w:left w:val="single" w:sz="12" w:space="0" w:color="auto"/>
            </w:tcBorders>
            <w:vAlign w:val="center"/>
          </w:tcPr>
          <w:p w14:paraId="03EFD382" w14:textId="77777777" w:rsidR="00455144" w:rsidRPr="00352F68" w:rsidRDefault="00455144" w:rsidP="001560C9">
            <w:pPr>
              <w:jc w:val="right"/>
              <w:rPr>
                <w:b/>
                <w:sz w:val="18"/>
              </w:rPr>
            </w:pPr>
          </w:p>
        </w:tc>
        <w:tc>
          <w:tcPr>
            <w:tcW w:w="0" w:type="auto"/>
            <w:tcBorders>
              <w:right w:val="single" w:sz="12" w:space="0" w:color="auto"/>
            </w:tcBorders>
            <w:vAlign w:val="center"/>
          </w:tcPr>
          <w:p w14:paraId="2291CF56" w14:textId="77777777" w:rsidR="00455144" w:rsidRPr="00352F68" w:rsidRDefault="00455144" w:rsidP="001560C9">
            <w:pPr>
              <w:jc w:val="right"/>
              <w:rPr>
                <w:b/>
                <w:sz w:val="18"/>
              </w:rPr>
            </w:pPr>
            <w:r>
              <w:rPr>
                <w:b/>
                <w:sz w:val="18"/>
              </w:rPr>
              <w:t>Primary crop residues</w:t>
            </w:r>
          </w:p>
        </w:tc>
        <w:tc>
          <w:tcPr>
            <w:tcW w:w="0" w:type="auto"/>
            <w:tcBorders>
              <w:left w:val="single" w:sz="12" w:space="0" w:color="auto"/>
            </w:tcBorders>
            <w:shd w:val="clear" w:color="auto" w:fill="C5E0B3" w:themeFill="accent6" w:themeFillTint="66"/>
            <w:vAlign w:val="center"/>
          </w:tcPr>
          <w:p w14:paraId="4ECBD70E" w14:textId="77777777" w:rsidR="00455144" w:rsidRPr="005C2296" w:rsidRDefault="00455144" w:rsidP="001560C9">
            <w:pPr>
              <w:jc w:val="center"/>
              <w:rPr>
                <w:sz w:val="18"/>
              </w:rPr>
            </w:pPr>
            <w:r>
              <w:rPr>
                <w:sz w:val="18"/>
              </w:rPr>
              <w:t>Yes</w:t>
            </w:r>
          </w:p>
        </w:tc>
        <w:tc>
          <w:tcPr>
            <w:tcW w:w="0" w:type="auto"/>
            <w:vMerge/>
            <w:shd w:val="clear" w:color="auto" w:fill="C5E0B3" w:themeFill="accent6" w:themeFillTint="66"/>
            <w:vAlign w:val="center"/>
          </w:tcPr>
          <w:p w14:paraId="7D06127E" w14:textId="77777777" w:rsidR="00455144" w:rsidRPr="005C2296" w:rsidRDefault="00455144" w:rsidP="001560C9">
            <w:pPr>
              <w:jc w:val="center"/>
              <w:rPr>
                <w:sz w:val="18"/>
              </w:rPr>
            </w:pPr>
          </w:p>
        </w:tc>
        <w:tc>
          <w:tcPr>
            <w:tcW w:w="585" w:type="dxa"/>
            <w:shd w:val="clear" w:color="auto" w:fill="F4B083" w:themeFill="accent2" w:themeFillTint="99"/>
            <w:vAlign w:val="center"/>
          </w:tcPr>
          <w:p w14:paraId="6D0066E1" w14:textId="77777777" w:rsidR="00455144" w:rsidRPr="005C2296" w:rsidRDefault="00455144" w:rsidP="001560C9">
            <w:pPr>
              <w:jc w:val="center"/>
              <w:rPr>
                <w:sz w:val="18"/>
              </w:rPr>
            </w:pPr>
            <w:r>
              <w:rPr>
                <w:sz w:val="18"/>
              </w:rPr>
              <w:t>No need</w:t>
            </w:r>
          </w:p>
        </w:tc>
        <w:tc>
          <w:tcPr>
            <w:tcW w:w="1504" w:type="dxa"/>
            <w:vMerge/>
            <w:shd w:val="clear" w:color="auto" w:fill="F4B083" w:themeFill="accent2" w:themeFillTint="99"/>
            <w:vAlign w:val="center"/>
          </w:tcPr>
          <w:p w14:paraId="4377B05D" w14:textId="77777777" w:rsidR="00455144" w:rsidRPr="005C2296" w:rsidRDefault="00455144" w:rsidP="001560C9">
            <w:pPr>
              <w:jc w:val="center"/>
              <w:rPr>
                <w:sz w:val="18"/>
              </w:rPr>
            </w:pPr>
          </w:p>
        </w:tc>
        <w:tc>
          <w:tcPr>
            <w:tcW w:w="980" w:type="dxa"/>
            <w:vMerge/>
            <w:tcBorders>
              <w:right w:val="single" w:sz="12" w:space="0" w:color="auto"/>
            </w:tcBorders>
            <w:shd w:val="clear" w:color="auto" w:fill="F4B083" w:themeFill="accent2" w:themeFillTint="99"/>
            <w:vAlign w:val="center"/>
          </w:tcPr>
          <w:p w14:paraId="61B5A58B" w14:textId="77777777" w:rsidR="00455144" w:rsidRPr="005C2296" w:rsidRDefault="00455144" w:rsidP="001560C9">
            <w:pPr>
              <w:jc w:val="center"/>
              <w:rPr>
                <w:sz w:val="18"/>
              </w:rPr>
            </w:pPr>
          </w:p>
        </w:tc>
      </w:tr>
      <w:tr w:rsidR="00455144" w:rsidRPr="005C2296" w14:paraId="11D6E865" w14:textId="77777777" w:rsidTr="001560C9">
        <w:trPr>
          <w:jc w:val="center"/>
        </w:trPr>
        <w:tc>
          <w:tcPr>
            <w:tcW w:w="0" w:type="auto"/>
            <w:vMerge/>
            <w:tcBorders>
              <w:left w:val="single" w:sz="12" w:space="0" w:color="auto"/>
            </w:tcBorders>
            <w:vAlign w:val="center"/>
          </w:tcPr>
          <w:p w14:paraId="643790CD" w14:textId="77777777" w:rsidR="00455144" w:rsidRPr="00352F68" w:rsidRDefault="00455144" w:rsidP="001560C9">
            <w:pPr>
              <w:jc w:val="right"/>
              <w:rPr>
                <w:b/>
                <w:sz w:val="18"/>
              </w:rPr>
            </w:pPr>
          </w:p>
        </w:tc>
        <w:tc>
          <w:tcPr>
            <w:tcW w:w="0" w:type="auto"/>
            <w:tcBorders>
              <w:right w:val="single" w:sz="12" w:space="0" w:color="auto"/>
            </w:tcBorders>
            <w:vAlign w:val="center"/>
          </w:tcPr>
          <w:p w14:paraId="42BAE562" w14:textId="77777777" w:rsidR="00455144" w:rsidRPr="00352F68" w:rsidRDefault="00455144" w:rsidP="001560C9">
            <w:pPr>
              <w:jc w:val="right"/>
              <w:rPr>
                <w:b/>
                <w:sz w:val="18"/>
              </w:rPr>
            </w:pPr>
            <w:r>
              <w:rPr>
                <w:b/>
                <w:sz w:val="18"/>
              </w:rPr>
              <w:t>Manure/Slurry</w:t>
            </w:r>
          </w:p>
        </w:tc>
        <w:tc>
          <w:tcPr>
            <w:tcW w:w="0" w:type="auto"/>
            <w:tcBorders>
              <w:left w:val="single" w:sz="12" w:space="0" w:color="auto"/>
            </w:tcBorders>
            <w:shd w:val="clear" w:color="auto" w:fill="C5E0B3" w:themeFill="accent6" w:themeFillTint="66"/>
            <w:vAlign w:val="center"/>
          </w:tcPr>
          <w:p w14:paraId="16FEC36F" w14:textId="77777777" w:rsidR="00455144" w:rsidRPr="005C2296" w:rsidRDefault="00455144" w:rsidP="001560C9">
            <w:pPr>
              <w:jc w:val="center"/>
              <w:rPr>
                <w:sz w:val="18"/>
              </w:rPr>
            </w:pPr>
            <w:r>
              <w:rPr>
                <w:sz w:val="18"/>
              </w:rPr>
              <w:t>Yes</w:t>
            </w:r>
          </w:p>
        </w:tc>
        <w:tc>
          <w:tcPr>
            <w:tcW w:w="0" w:type="auto"/>
            <w:vMerge/>
            <w:shd w:val="clear" w:color="auto" w:fill="C5E0B3" w:themeFill="accent6" w:themeFillTint="66"/>
            <w:vAlign w:val="center"/>
          </w:tcPr>
          <w:p w14:paraId="469C4334" w14:textId="77777777" w:rsidR="00455144" w:rsidRPr="005C2296" w:rsidRDefault="00455144" w:rsidP="001560C9">
            <w:pPr>
              <w:jc w:val="center"/>
              <w:rPr>
                <w:sz w:val="18"/>
              </w:rPr>
            </w:pPr>
          </w:p>
        </w:tc>
        <w:tc>
          <w:tcPr>
            <w:tcW w:w="585" w:type="dxa"/>
            <w:shd w:val="clear" w:color="auto" w:fill="C5E0B3" w:themeFill="accent6" w:themeFillTint="66"/>
            <w:vAlign w:val="center"/>
          </w:tcPr>
          <w:p w14:paraId="73CAFF79" w14:textId="77777777" w:rsidR="00455144" w:rsidRPr="005C2296" w:rsidRDefault="00455144" w:rsidP="001560C9">
            <w:pPr>
              <w:jc w:val="center"/>
              <w:rPr>
                <w:sz w:val="18"/>
              </w:rPr>
            </w:pPr>
            <w:r>
              <w:rPr>
                <w:sz w:val="18"/>
              </w:rPr>
              <w:t>Yes</w:t>
            </w:r>
          </w:p>
        </w:tc>
        <w:tc>
          <w:tcPr>
            <w:tcW w:w="1504" w:type="dxa"/>
            <w:vMerge/>
            <w:shd w:val="clear" w:color="auto" w:fill="F4B083" w:themeFill="accent2" w:themeFillTint="99"/>
            <w:vAlign w:val="center"/>
          </w:tcPr>
          <w:p w14:paraId="4DB7C023" w14:textId="77777777" w:rsidR="00455144" w:rsidRPr="005C2296" w:rsidRDefault="00455144" w:rsidP="001560C9">
            <w:pPr>
              <w:jc w:val="center"/>
              <w:rPr>
                <w:sz w:val="18"/>
              </w:rPr>
            </w:pPr>
          </w:p>
        </w:tc>
        <w:tc>
          <w:tcPr>
            <w:tcW w:w="980" w:type="dxa"/>
            <w:vMerge/>
            <w:tcBorders>
              <w:right w:val="single" w:sz="12" w:space="0" w:color="auto"/>
            </w:tcBorders>
            <w:shd w:val="clear" w:color="auto" w:fill="F4B083" w:themeFill="accent2" w:themeFillTint="99"/>
            <w:vAlign w:val="center"/>
          </w:tcPr>
          <w:p w14:paraId="1D52F03C" w14:textId="77777777" w:rsidR="00455144" w:rsidRPr="005C2296" w:rsidRDefault="00455144" w:rsidP="001560C9">
            <w:pPr>
              <w:jc w:val="center"/>
              <w:rPr>
                <w:sz w:val="18"/>
              </w:rPr>
            </w:pPr>
          </w:p>
        </w:tc>
      </w:tr>
      <w:tr w:rsidR="00455144" w:rsidRPr="005C2296" w14:paraId="385A1214" w14:textId="77777777" w:rsidTr="001560C9">
        <w:trPr>
          <w:jc w:val="center"/>
        </w:trPr>
        <w:tc>
          <w:tcPr>
            <w:tcW w:w="0" w:type="auto"/>
            <w:vMerge/>
            <w:tcBorders>
              <w:left w:val="single" w:sz="12" w:space="0" w:color="auto"/>
            </w:tcBorders>
            <w:vAlign w:val="center"/>
          </w:tcPr>
          <w:p w14:paraId="7C9E1FD0" w14:textId="77777777" w:rsidR="00455144" w:rsidRPr="00352F68" w:rsidRDefault="00455144" w:rsidP="001560C9">
            <w:pPr>
              <w:jc w:val="right"/>
              <w:rPr>
                <w:b/>
                <w:sz w:val="18"/>
              </w:rPr>
            </w:pPr>
          </w:p>
        </w:tc>
        <w:tc>
          <w:tcPr>
            <w:tcW w:w="0" w:type="auto"/>
            <w:tcBorders>
              <w:right w:val="single" w:sz="12" w:space="0" w:color="auto"/>
            </w:tcBorders>
            <w:vAlign w:val="center"/>
          </w:tcPr>
          <w:p w14:paraId="59376672" w14:textId="77777777" w:rsidR="00455144" w:rsidRPr="00352F68" w:rsidRDefault="00455144" w:rsidP="001560C9">
            <w:pPr>
              <w:jc w:val="right"/>
              <w:rPr>
                <w:b/>
                <w:sz w:val="18"/>
              </w:rPr>
            </w:pPr>
            <w:r>
              <w:rPr>
                <w:b/>
                <w:sz w:val="18"/>
              </w:rPr>
              <w:t>Sludge</w:t>
            </w:r>
          </w:p>
        </w:tc>
        <w:tc>
          <w:tcPr>
            <w:tcW w:w="0" w:type="auto"/>
            <w:tcBorders>
              <w:left w:val="single" w:sz="12" w:space="0" w:color="auto"/>
            </w:tcBorders>
            <w:shd w:val="clear" w:color="auto" w:fill="C5E0B3" w:themeFill="accent6" w:themeFillTint="66"/>
            <w:vAlign w:val="center"/>
          </w:tcPr>
          <w:p w14:paraId="3D62153B" w14:textId="77777777" w:rsidR="00455144" w:rsidRPr="005C2296" w:rsidRDefault="00455144" w:rsidP="001560C9">
            <w:pPr>
              <w:jc w:val="center"/>
              <w:rPr>
                <w:sz w:val="18"/>
              </w:rPr>
            </w:pPr>
            <w:r>
              <w:rPr>
                <w:sz w:val="18"/>
              </w:rPr>
              <w:t>Yes</w:t>
            </w:r>
          </w:p>
        </w:tc>
        <w:tc>
          <w:tcPr>
            <w:tcW w:w="0" w:type="auto"/>
            <w:vMerge/>
            <w:shd w:val="clear" w:color="auto" w:fill="C5E0B3" w:themeFill="accent6" w:themeFillTint="66"/>
            <w:vAlign w:val="center"/>
          </w:tcPr>
          <w:p w14:paraId="76D54EE6" w14:textId="77777777" w:rsidR="00455144" w:rsidRPr="005C2296" w:rsidRDefault="00455144" w:rsidP="001560C9">
            <w:pPr>
              <w:jc w:val="center"/>
              <w:rPr>
                <w:sz w:val="18"/>
              </w:rPr>
            </w:pPr>
          </w:p>
        </w:tc>
        <w:tc>
          <w:tcPr>
            <w:tcW w:w="585" w:type="dxa"/>
            <w:shd w:val="clear" w:color="auto" w:fill="C5E0B3" w:themeFill="accent6" w:themeFillTint="66"/>
            <w:vAlign w:val="center"/>
          </w:tcPr>
          <w:p w14:paraId="7040BEEB" w14:textId="77777777" w:rsidR="00455144" w:rsidRPr="005C2296" w:rsidRDefault="00455144" w:rsidP="001560C9">
            <w:pPr>
              <w:jc w:val="center"/>
              <w:rPr>
                <w:sz w:val="18"/>
              </w:rPr>
            </w:pPr>
            <w:r>
              <w:rPr>
                <w:sz w:val="18"/>
              </w:rPr>
              <w:t>Yes</w:t>
            </w:r>
          </w:p>
        </w:tc>
        <w:tc>
          <w:tcPr>
            <w:tcW w:w="1504" w:type="dxa"/>
            <w:vMerge/>
            <w:shd w:val="clear" w:color="auto" w:fill="F4B083" w:themeFill="accent2" w:themeFillTint="99"/>
            <w:vAlign w:val="center"/>
          </w:tcPr>
          <w:p w14:paraId="7EE936D4" w14:textId="77777777" w:rsidR="00455144" w:rsidRPr="005C2296" w:rsidRDefault="00455144" w:rsidP="001560C9">
            <w:pPr>
              <w:jc w:val="center"/>
              <w:rPr>
                <w:sz w:val="18"/>
              </w:rPr>
            </w:pPr>
          </w:p>
        </w:tc>
        <w:tc>
          <w:tcPr>
            <w:tcW w:w="980" w:type="dxa"/>
            <w:vMerge/>
            <w:tcBorders>
              <w:right w:val="single" w:sz="12" w:space="0" w:color="auto"/>
            </w:tcBorders>
            <w:shd w:val="clear" w:color="auto" w:fill="F4B083" w:themeFill="accent2" w:themeFillTint="99"/>
            <w:vAlign w:val="center"/>
          </w:tcPr>
          <w:p w14:paraId="53E94DCA" w14:textId="77777777" w:rsidR="00455144" w:rsidRPr="005C2296" w:rsidRDefault="00455144" w:rsidP="001560C9">
            <w:pPr>
              <w:jc w:val="center"/>
              <w:rPr>
                <w:sz w:val="18"/>
              </w:rPr>
            </w:pPr>
          </w:p>
        </w:tc>
      </w:tr>
      <w:tr w:rsidR="00455144" w:rsidRPr="005C2296" w14:paraId="373A9720" w14:textId="77777777" w:rsidTr="001560C9">
        <w:trPr>
          <w:jc w:val="center"/>
        </w:trPr>
        <w:tc>
          <w:tcPr>
            <w:tcW w:w="0" w:type="auto"/>
            <w:vMerge/>
            <w:tcBorders>
              <w:left w:val="single" w:sz="12" w:space="0" w:color="auto"/>
            </w:tcBorders>
            <w:vAlign w:val="center"/>
          </w:tcPr>
          <w:p w14:paraId="72745EFB" w14:textId="77777777" w:rsidR="00455144" w:rsidRPr="00352F68" w:rsidRDefault="00455144" w:rsidP="001560C9">
            <w:pPr>
              <w:jc w:val="right"/>
              <w:rPr>
                <w:b/>
                <w:sz w:val="18"/>
              </w:rPr>
            </w:pPr>
          </w:p>
        </w:tc>
        <w:tc>
          <w:tcPr>
            <w:tcW w:w="0" w:type="auto"/>
            <w:tcBorders>
              <w:right w:val="single" w:sz="12" w:space="0" w:color="auto"/>
            </w:tcBorders>
            <w:vAlign w:val="center"/>
          </w:tcPr>
          <w:p w14:paraId="756CBB97" w14:textId="77777777" w:rsidR="00455144" w:rsidRPr="00352F68" w:rsidRDefault="00455144" w:rsidP="001560C9">
            <w:pPr>
              <w:jc w:val="right"/>
              <w:rPr>
                <w:b/>
                <w:sz w:val="18"/>
              </w:rPr>
            </w:pPr>
            <w:r>
              <w:rPr>
                <w:b/>
                <w:sz w:val="18"/>
              </w:rPr>
              <w:t>Garden &amp; park waste</w:t>
            </w:r>
          </w:p>
        </w:tc>
        <w:tc>
          <w:tcPr>
            <w:tcW w:w="0" w:type="auto"/>
            <w:tcBorders>
              <w:left w:val="single" w:sz="12" w:space="0" w:color="auto"/>
            </w:tcBorders>
            <w:shd w:val="clear" w:color="auto" w:fill="C5E0B3" w:themeFill="accent6" w:themeFillTint="66"/>
            <w:vAlign w:val="center"/>
          </w:tcPr>
          <w:p w14:paraId="67658C29" w14:textId="77777777" w:rsidR="00455144" w:rsidRPr="005C2296" w:rsidRDefault="00455144" w:rsidP="001560C9">
            <w:pPr>
              <w:jc w:val="center"/>
              <w:rPr>
                <w:sz w:val="18"/>
              </w:rPr>
            </w:pPr>
            <w:r>
              <w:rPr>
                <w:sz w:val="18"/>
              </w:rPr>
              <w:t>Yes</w:t>
            </w:r>
          </w:p>
        </w:tc>
        <w:tc>
          <w:tcPr>
            <w:tcW w:w="0" w:type="auto"/>
            <w:vMerge/>
            <w:shd w:val="clear" w:color="auto" w:fill="C5E0B3" w:themeFill="accent6" w:themeFillTint="66"/>
            <w:vAlign w:val="center"/>
          </w:tcPr>
          <w:p w14:paraId="3DBEE7EC" w14:textId="77777777" w:rsidR="00455144" w:rsidRPr="005C2296" w:rsidRDefault="00455144" w:rsidP="001560C9">
            <w:pPr>
              <w:jc w:val="center"/>
              <w:rPr>
                <w:sz w:val="18"/>
              </w:rPr>
            </w:pPr>
          </w:p>
        </w:tc>
        <w:tc>
          <w:tcPr>
            <w:tcW w:w="585" w:type="dxa"/>
            <w:shd w:val="clear" w:color="auto" w:fill="C5E0B3" w:themeFill="accent6" w:themeFillTint="66"/>
            <w:vAlign w:val="center"/>
          </w:tcPr>
          <w:p w14:paraId="5FD41935" w14:textId="77777777" w:rsidR="00455144" w:rsidRPr="005C2296" w:rsidRDefault="00455144" w:rsidP="001560C9">
            <w:pPr>
              <w:jc w:val="center"/>
              <w:rPr>
                <w:sz w:val="18"/>
              </w:rPr>
            </w:pPr>
            <w:r>
              <w:rPr>
                <w:sz w:val="18"/>
              </w:rPr>
              <w:t>Yes</w:t>
            </w:r>
          </w:p>
        </w:tc>
        <w:tc>
          <w:tcPr>
            <w:tcW w:w="1504" w:type="dxa"/>
            <w:vMerge/>
            <w:shd w:val="clear" w:color="auto" w:fill="F4B083" w:themeFill="accent2" w:themeFillTint="99"/>
            <w:vAlign w:val="center"/>
          </w:tcPr>
          <w:p w14:paraId="66D7E33D" w14:textId="77777777" w:rsidR="00455144" w:rsidRPr="005C2296" w:rsidRDefault="00455144" w:rsidP="001560C9">
            <w:pPr>
              <w:jc w:val="center"/>
              <w:rPr>
                <w:sz w:val="18"/>
              </w:rPr>
            </w:pPr>
          </w:p>
        </w:tc>
        <w:tc>
          <w:tcPr>
            <w:tcW w:w="980" w:type="dxa"/>
            <w:vMerge/>
            <w:tcBorders>
              <w:right w:val="single" w:sz="12" w:space="0" w:color="auto"/>
            </w:tcBorders>
            <w:shd w:val="clear" w:color="auto" w:fill="F4B083" w:themeFill="accent2" w:themeFillTint="99"/>
            <w:vAlign w:val="center"/>
          </w:tcPr>
          <w:p w14:paraId="033584F7" w14:textId="77777777" w:rsidR="00455144" w:rsidRPr="005C2296" w:rsidRDefault="00455144" w:rsidP="001560C9">
            <w:pPr>
              <w:jc w:val="center"/>
              <w:rPr>
                <w:sz w:val="18"/>
              </w:rPr>
            </w:pPr>
          </w:p>
        </w:tc>
      </w:tr>
      <w:tr w:rsidR="00455144" w:rsidRPr="005C2296" w14:paraId="3374065C" w14:textId="77777777" w:rsidTr="001560C9">
        <w:trPr>
          <w:jc w:val="center"/>
        </w:trPr>
        <w:tc>
          <w:tcPr>
            <w:tcW w:w="0" w:type="auto"/>
            <w:vMerge/>
            <w:tcBorders>
              <w:left w:val="single" w:sz="12" w:space="0" w:color="auto"/>
            </w:tcBorders>
            <w:vAlign w:val="center"/>
          </w:tcPr>
          <w:p w14:paraId="5DC48496" w14:textId="77777777" w:rsidR="00455144" w:rsidRPr="00352F68" w:rsidRDefault="00455144" w:rsidP="001560C9">
            <w:pPr>
              <w:jc w:val="right"/>
              <w:rPr>
                <w:b/>
                <w:sz w:val="18"/>
              </w:rPr>
            </w:pPr>
          </w:p>
        </w:tc>
        <w:tc>
          <w:tcPr>
            <w:tcW w:w="0" w:type="auto"/>
            <w:tcBorders>
              <w:right w:val="single" w:sz="12" w:space="0" w:color="auto"/>
            </w:tcBorders>
            <w:vAlign w:val="center"/>
          </w:tcPr>
          <w:p w14:paraId="571F56CB" w14:textId="77777777" w:rsidR="00455144" w:rsidRPr="00352F68" w:rsidRDefault="00455144" w:rsidP="001560C9">
            <w:pPr>
              <w:jc w:val="right"/>
              <w:rPr>
                <w:b/>
                <w:sz w:val="18"/>
              </w:rPr>
            </w:pPr>
            <w:r>
              <w:rPr>
                <w:b/>
                <w:sz w:val="18"/>
              </w:rPr>
              <w:t>Vegetable tops</w:t>
            </w:r>
          </w:p>
        </w:tc>
        <w:tc>
          <w:tcPr>
            <w:tcW w:w="0" w:type="auto"/>
            <w:tcBorders>
              <w:left w:val="single" w:sz="12" w:space="0" w:color="auto"/>
            </w:tcBorders>
            <w:shd w:val="clear" w:color="auto" w:fill="C5E0B3" w:themeFill="accent6" w:themeFillTint="66"/>
            <w:vAlign w:val="center"/>
          </w:tcPr>
          <w:p w14:paraId="68517D97" w14:textId="77777777" w:rsidR="00455144" w:rsidRPr="005C2296" w:rsidRDefault="00455144" w:rsidP="001560C9">
            <w:pPr>
              <w:jc w:val="center"/>
              <w:rPr>
                <w:sz w:val="18"/>
              </w:rPr>
            </w:pPr>
            <w:r>
              <w:rPr>
                <w:sz w:val="18"/>
              </w:rPr>
              <w:t>Yes</w:t>
            </w:r>
          </w:p>
        </w:tc>
        <w:tc>
          <w:tcPr>
            <w:tcW w:w="0" w:type="auto"/>
            <w:vMerge/>
            <w:shd w:val="clear" w:color="auto" w:fill="C5E0B3" w:themeFill="accent6" w:themeFillTint="66"/>
            <w:vAlign w:val="center"/>
          </w:tcPr>
          <w:p w14:paraId="194BED83" w14:textId="77777777" w:rsidR="00455144" w:rsidRPr="005C2296" w:rsidRDefault="00455144" w:rsidP="001560C9">
            <w:pPr>
              <w:jc w:val="center"/>
              <w:rPr>
                <w:sz w:val="18"/>
              </w:rPr>
            </w:pPr>
          </w:p>
        </w:tc>
        <w:tc>
          <w:tcPr>
            <w:tcW w:w="585" w:type="dxa"/>
            <w:shd w:val="clear" w:color="auto" w:fill="F4B083" w:themeFill="accent2" w:themeFillTint="99"/>
            <w:vAlign w:val="center"/>
          </w:tcPr>
          <w:p w14:paraId="10E38466" w14:textId="77777777" w:rsidR="00455144" w:rsidRPr="005C2296" w:rsidRDefault="00455144" w:rsidP="001560C9">
            <w:pPr>
              <w:jc w:val="center"/>
              <w:rPr>
                <w:sz w:val="18"/>
              </w:rPr>
            </w:pPr>
            <w:r>
              <w:rPr>
                <w:sz w:val="18"/>
              </w:rPr>
              <w:t>No need</w:t>
            </w:r>
          </w:p>
        </w:tc>
        <w:tc>
          <w:tcPr>
            <w:tcW w:w="1504" w:type="dxa"/>
            <w:vMerge/>
            <w:shd w:val="clear" w:color="auto" w:fill="F4B083" w:themeFill="accent2" w:themeFillTint="99"/>
            <w:vAlign w:val="center"/>
          </w:tcPr>
          <w:p w14:paraId="035AED50" w14:textId="77777777" w:rsidR="00455144" w:rsidRPr="005C2296" w:rsidRDefault="00455144" w:rsidP="001560C9">
            <w:pPr>
              <w:jc w:val="center"/>
              <w:rPr>
                <w:sz w:val="18"/>
              </w:rPr>
            </w:pPr>
          </w:p>
        </w:tc>
        <w:tc>
          <w:tcPr>
            <w:tcW w:w="980" w:type="dxa"/>
            <w:vMerge/>
            <w:tcBorders>
              <w:right w:val="single" w:sz="12" w:space="0" w:color="auto"/>
            </w:tcBorders>
            <w:shd w:val="clear" w:color="auto" w:fill="F4B083" w:themeFill="accent2" w:themeFillTint="99"/>
            <w:vAlign w:val="center"/>
          </w:tcPr>
          <w:p w14:paraId="524EC8A3" w14:textId="77777777" w:rsidR="00455144" w:rsidRPr="005C2296" w:rsidRDefault="00455144" w:rsidP="001560C9">
            <w:pPr>
              <w:jc w:val="center"/>
              <w:rPr>
                <w:sz w:val="18"/>
              </w:rPr>
            </w:pPr>
          </w:p>
        </w:tc>
      </w:tr>
      <w:tr w:rsidR="00455144" w:rsidRPr="005C2296" w14:paraId="0901EEBA" w14:textId="77777777" w:rsidTr="001560C9">
        <w:trPr>
          <w:jc w:val="center"/>
        </w:trPr>
        <w:tc>
          <w:tcPr>
            <w:tcW w:w="0" w:type="auto"/>
            <w:vMerge/>
            <w:tcBorders>
              <w:left w:val="single" w:sz="12" w:space="0" w:color="auto"/>
            </w:tcBorders>
            <w:vAlign w:val="center"/>
          </w:tcPr>
          <w:p w14:paraId="0524B58B" w14:textId="77777777" w:rsidR="00455144" w:rsidRPr="00352F68" w:rsidRDefault="00455144" w:rsidP="001560C9">
            <w:pPr>
              <w:jc w:val="right"/>
              <w:rPr>
                <w:b/>
                <w:sz w:val="18"/>
              </w:rPr>
            </w:pPr>
          </w:p>
        </w:tc>
        <w:tc>
          <w:tcPr>
            <w:tcW w:w="0" w:type="auto"/>
            <w:tcBorders>
              <w:right w:val="single" w:sz="12" w:space="0" w:color="auto"/>
            </w:tcBorders>
            <w:vAlign w:val="center"/>
          </w:tcPr>
          <w:p w14:paraId="6C5538DC" w14:textId="77777777" w:rsidR="00455144" w:rsidRPr="00352F68" w:rsidRDefault="00455144" w:rsidP="001560C9">
            <w:pPr>
              <w:jc w:val="right"/>
              <w:rPr>
                <w:b/>
                <w:sz w:val="18"/>
              </w:rPr>
            </w:pPr>
            <w:r>
              <w:rPr>
                <w:b/>
                <w:sz w:val="18"/>
              </w:rPr>
              <w:t>Municipal food waste</w:t>
            </w:r>
          </w:p>
        </w:tc>
        <w:tc>
          <w:tcPr>
            <w:tcW w:w="0" w:type="auto"/>
            <w:tcBorders>
              <w:left w:val="single" w:sz="12" w:space="0" w:color="auto"/>
            </w:tcBorders>
            <w:shd w:val="clear" w:color="auto" w:fill="F4B083" w:themeFill="accent2" w:themeFillTint="99"/>
            <w:vAlign w:val="center"/>
          </w:tcPr>
          <w:p w14:paraId="1C7345F0" w14:textId="77777777" w:rsidR="00455144" w:rsidRPr="005C2296" w:rsidRDefault="00455144" w:rsidP="001560C9">
            <w:pPr>
              <w:jc w:val="center"/>
              <w:rPr>
                <w:sz w:val="18"/>
              </w:rPr>
            </w:pPr>
            <w:r>
              <w:rPr>
                <w:sz w:val="18"/>
              </w:rPr>
              <w:t>Arguable</w:t>
            </w:r>
          </w:p>
        </w:tc>
        <w:tc>
          <w:tcPr>
            <w:tcW w:w="0" w:type="auto"/>
            <w:vMerge/>
            <w:shd w:val="clear" w:color="auto" w:fill="C5E0B3" w:themeFill="accent6" w:themeFillTint="66"/>
            <w:vAlign w:val="center"/>
          </w:tcPr>
          <w:p w14:paraId="0D4EBEF7" w14:textId="77777777" w:rsidR="00455144" w:rsidRPr="005C2296" w:rsidRDefault="00455144" w:rsidP="001560C9">
            <w:pPr>
              <w:jc w:val="center"/>
              <w:rPr>
                <w:sz w:val="18"/>
              </w:rPr>
            </w:pPr>
          </w:p>
        </w:tc>
        <w:tc>
          <w:tcPr>
            <w:tcW w:w="585" w:type="dxa"/>
            <w:shd w:val="clear" w:color="auto" w:fill="C5E0B3" w:themeFill="accent6" w:themeFillTint="66"/>
            <w:vAlign w:val="center"/>
          </w:tcPr>
          <w:p w14:paraId="2100B4BE" w14:textId="77777777" w:rsidR="00455144" w:rsidRPr="005C2296" w:rsidRDefault="00455144" w:rsidP="001560C9">
            <w:pPr>
              <w:jc w:val="center"/>
              <w:rPr>
                <w:sz w:val="18"/>
              </w:rPr>
            </w:pPr>
            <w:r>
              <w:rPr>
                <w:sz w:val="18"/>
              </w:rPr>
              <w:t>Yes</w:t>
            </w:r>
          </w:p>
        </w:tc>
        <w:tc>
          <w:tcPr>
            <w:tcW w:w="1504" w:type="dxa"/>
            <w:vMerge/>
            <w:shd w:val="clear" w:color="auto" w:fill="F4B083" w:themeFill="accent2" w:themeFillTint="99"/>
            <w:vAlign w:val="center"/>
          </w:tcPr>
          <w:p w14:paraId="33229A8A" w14:textId="77777777" w:rsidR="00455144" w:rsidRPr="005C2296" w:rsidRDefault="00455144" w:rsidP="001560C9">
            <w:pPr>
              <w:jc w:val="center"/>
              <w:rPr>
                <w:sz w:val="18"/>
              </w:rPr>
            </w:pPr>
          </w:p>
        </w:tc>
        <w:tc>
          <w:tcPr>
            <w:tcW w:w="980" w:type="dxa"/>
            <w:vMerge/>
            <w:tcBorders>
              <w:right w:val="single" w:sz="12" w:space="0" w:color="auto"/>
            </w:tcBorders>
            <w:shd w:val="clear" w:color="auto" w:fill="F4B083" w:themeFill="accent2" w:themeFillTint="99"/>
            <w:vAlign w:val="center"/>
          </w:tcPr>
          <w:p w14:paraId="518F7ED7" w14:textId="77777777" w:rsidR="00455144" w:rsidRPr="005C2296" w:rsidRDefault="00455144" w:rsidP="001560C9">
            <w:pPr>
              <w:jc w:val="center"/>
              <w:rPr>
                <w:sz w:val="18"/>
              </w:rPr>
            </w:pPr>
          </w:p>
        </w:tc>
      </w:tr>
      <w:tr w:rsidR="00455144" w:rsidRPr="005C2296" w14:paraId="75DAA628" w14:textId="77777777" w:rsidTr="001560C9">
        <w:trPr>
          <w:jc w:val="center"/>
        </w:trPr>
        <w:tc>
          <w:tcPr>
            <w:tcW w:w="0" w:type="auto"/>
            <w:vMerge/>
            <w:tcBorders>
              <w:left w:val="single" w:sz="12" w:space="0" w:color="auto"/>
            </w:tcBorders>
            <w:vAlign w:val="center"/>
          </w:tcPr>
          <w:p w14:paraId="2A300946" w14:textId="77777777" w:rsidR="00455144" w:rsidRDefault="00455144" w:rsidP="001560C9">
            <w:pPr>
              <w:jc w:val="right"/>
              <w:rPr>
                <w:b/>
                <w:sz w:val="18"/>
              </w:rPr>
            </w:pPr>
          </w:p>
        </w:tc>
        <w:tc>
          <w:tcPr>
            <w:tcW w:w="0" w:type="auto"/>
            <w:tcBorders>
              <w:right w:val="single" w:sz="12" w:space="0" w:color="auto"/>
            </w:tcBorders>
            <w:vAlign w:val="center"/>
          </w:tcPr>
          <w:p w14:paraId="0FE082A6" w14:textId="77777777" w:rsidR="00455144" w:rsidRDefault="00455144" w:rsidP="001560C9">
            <w:pPr>
              <w:jc w:val="right"/>
              <w:rPr>
                <w:b/>
                <w:sz w:val="18"/>
              </w:rPr>
            </w:pPr>
            <w:r>
              <w:rPr>
                <w:b/>
                <w:sz w:val="18"/>
              </w:rPr>
              <w:t>Industrial &amp; services food waste</w:t>
            </w:r>
          </w:p>
        </w:tc>
        <w:tc>
          <w:tcPr>
            <w:tcW w:w="0" w:type="auto"/>
            <w:tcBorders>
              <w:left w:val="single" w:sz="12" w:space="0" w:color="auto"/>
            </w:tcBorders>
            <w:shd w:val="clear" w:color="auto" w:fill="F4B083" w:themeFill="accent2" w:themeFillTint="99"/>
            <w:vAlign w:val="center"/>
          </w:tcPr>
          <w:p w14:paraId="3300C0F8" w14:textId="77777777" w:rsidR="00455144" w:rsidRPr="005C2296" w:rsidRDefault="00455144" w:rsidP="001560C9">
            <w:pPr>
              <w:jc w:val="center"/>
              <w:rPr>
                <w:sz w:val="18"/>
              </w:rPr>
            </w:pPr>
            <w:r>
              <w:rPr>
                <w:sz w:val="18"/>
              </w:rPr>
              <w:t>Arguable</w:t>
            </w:r>
          </w:p>
        </w:tc>
        <w:tc>
          <w:tcPr>
            <w:tcW w:w="0" w:type="auto"/>
            <w:vMerge/>
            <w:shd w:val="clear" w:color="auto" w:fill="C5E0B3" w:themeFill="accent6" w:themeFillTint="66"/>
            <w:vAlign w:val="center"/>
          </w:tcPr>
          <w:p w14:paraId="3EF7B971" w14:textId="77777777" w:rsidR="00455144" w:rsidRPr="005C2296" w:rsidRDefault="00455144" w:rsidP="001560C9">
            <w:pPr>
              <w:jc w:val="center"/>
              <w:rPr>
                <w:sz w:val="18"/>
              </w:rPr>
            </w:pPr>
          </w:p>
        </w:tc>
        <w:tc>
          <w:tcPr>
            <w:tcW w:w="585" w:type="dxa"/>
            <w:shd w:val="clear" w:color="auto" w:fill="F4B083" w:themeFill="accent2" w:themeFillTint="99"/>
            <w:vAlign w:val="center"/>
          </w:tcPr>
          <w:p w14:paraId="40920B9A" w14:textId="77777777" w:rsidR="00455144" w:rsidRPr="005C2296" w:rsidRDefault="00455144" w:rsidP="001560C9">
            <w:pPr>
              <w:jc w:val="center"/>
              <w:rPr>
                <w:sz w:val="18"/>
              </w:rPr>
            </w:pPr>
            <w:r>
              <w:rPr>
                <w:sz w:val="18"/>
              </w:rPr>
              <w:t>No need</w:t>
            </w:r>
          </w:p>
        </w:tc>
        <w:tc>
          <w:tcPr>
            <w:tcW w:w="1504" w:type="dxa"/>
            <w:vMerge/>
            <w:shd w:val="clear" w:color="auto" w:fill="F4B083" w:themeFill="accent2" w:themeFillTint="99"/>
            <w:vAlign w:val="center"/>
          </w:tcPr>
          <w:p w14:paraId="3DD3EDD5" w14:textId="77777777" w:rsidR="00455144" w:rsidRPr="005C2296" w:rsidRDefault="00455144" w:rsidP="001560C9">
            <w:pPr>
              <w:jc w:val="center"/>
              <w:rPr>
                <w:sz w:val="18"/>
              </w:rPr>
            </w:pPr>
          </w:p>
        </w:tc>
        <w:tc>
          <w:tcPr>
            <w:tcW w:w="980" w:type="dxa"/>
            <w:vMerge/>
            <w:tcBorders>
              <w:right w:val="single" w:sz="12" w:space="0" w:color="auto"/>
            </w:tcBorders>
            <w:shd w:val="clear" w:color="auto" w:fill="F4B083" w:themeFill="accent2" w:themeFillTint="99"/>
            <w:vAlign w:val="center"/>
          </w:tcPr>
          <w:p w14:paraId="0657EAE2" w14:textId="77777777" w:rsidR="00455144" w:rsidRPr="005C2296" w:rsidRDefault="00455144" w:rsidP="001560C9">
            <w:pPr>
              <w:jc w:val="center"/>
              <w:rPr>
                <w:sz w:val="18"/>
              </w:rPr>
            </w:pPr>
          </w:p>
        </w:tc>
      </w:tr>
      <w:tr w:rsidR="00455144" w:rsidRPr="005C2296" w14:paraId="43A292AC" w14:textId="77777777" w:rsidTr="001560C9">
        <w:trPr>
          <w:jc w:val="center"/>
        </w:trPr>
        <w:tc>
          <w:tcPr>
            <w:tcW w:w="0" w:type="auto"/>
            <w:vMerge/>
            <w:tcBorders>
              <w:left w:val="single" w:sz="12" w:space="0" w:color="auto"/>
            </w:tcBorders>
            <w:vAlign w:val="center"/>
          </w:tcPr>
          <w:p w14:paraId="6025465D" w14:textId="77777777" w:rsidR="00455144" w:rsidRDefault="00455144" w:rsidP="001560C9">
            <w:pPr>
              <w:jc w:val="right"/>
              <w:rPr>
                <w:b/>
                <w:sz w:val="18"/>
              </w:rPr>
            </w:pPr>
          </w:p>
        </w:tc>
        <w:tc>
          <w:tcPr>
            <w:tcW w:w="0" w:type="auto"/>
            <w:tcBorders>
              <w:right w:val="single" w:sz="12" w:space="0" w:color="auto"/>
            </w:tcBorders>
            <w:vAlign w:val="center"/>
          </w:tcPr>
          <w:p w14:paraId="1109451D" w14:textId="77777777" w:rsidR="00455144" w:rsidRDefault="00455144" w:rsidP="001560C9">
            <w:pPr>
              <w:jc w:val="right"/>
              <w:rPr>
                <w:b/>
                <w:sz w:val="18"/>
              </w:rPr>
            </w:pPr>
            <w:r>
              <w:rPr>
                <w:b/>
                <w:sz w:val="18"/>
              </w:rPr>
              <w:t>C1/C2 co-products</w:t>
            </w:r>
          </w:p>
        </w:tc>
        <w:tc>
          <w:tcPr>
            <w:tcW w:w="0" w:type="auto"/>
            <w:tcBorders>
              <w:left w:val="single" w:sz="12" w:space="0" w:color="auto"/>
            </w:tcBorders>
            <w:shd w:val="clear" w:color="auto" w:fill="C5E0B3" w:themeFill="accent6" w:themeFillTint="66"/>
            <w:vAlign w:val="center"/>
          </w:tcPr>
          <w:p w14:paraId="2BAD2F85" w14:textId="77777777" w:rsidR="00455144" w:rsidRDefault="00455144" w:rsidP="001560C9">
            <w:pPr>
              <w:jc w:val="center"/>
              <w:rPr>
                <w:sz w:val="18"/>
              </w:rPr>
            </w:pPr>
            <w:r>
              <w:rPr>
                <w:sz w:val="18"/>
              </w:rPr>
              <w:t>Yes</w:t>
            </w:r>
          </w:p>
        </w:tc>
        <w:tc>
          <w:tcPr>
            <w:tcW w:w="0" w:type="auto"/>
            <w:vMerge/>
            <w:shd w:val="clear" w:color="auto" w:fill="C5E0B3" w:themeFill="accent6" w:themeFillTint="66"/>
            <w:vAlign w:val="center"/>
          </w:tcPr>
          <w:p w14:paraId="2E04CDD2" w14:textId="77777777" w:rsidR="00455144" w:rsidRPr="005C2296" w:rsidRDefault="00455144" w:rsidP="001560C9">
            <w:pPr>
              <w:jc w:val="center"/>
              <w:rPr>
                <w:sz w:val="18"/>
              </w:rPr>
            </w:pPr>
          </w:p>
        </w:tc>
        <w:tc>
          <w:tcPr>
            <w:tcW w:w="585" w:type="dxa"/>
            <w:shd w:val="clear" w:color="auto" w:fill="C5E0B3" w:themeFill="accent6" w:themeFillTint="66"/>
            <w:vAlign w:val="center"/>
          </w:tcPr>
          <w:p w14:paraId="0958B63A" w14:textId="77777777" w:rsidR="00455144" w:rsidRPr="005C2296" w:rsidRDefault="00455144" w:rsidP="001560C9">
            <w:pPr>
              <w:jc w:val="center"/>
              <w:rPr>
                <w:sz w:val="18"/>
              </w:rPr>
            </w:pPr>
            <w:r>
              <w:rPr>
                <w:sz w:val="18"/>
              </w:rPr>
              <w:t>Yes</w:t>
            </w:r>
          </w:p>
        </w:tc>
        <w:tc>
          <w:tcPr>
            <w:tcW w:w="1504" w:type="dxa"/>
            <w:vMerge/>
            <w:shd w:val="clear" w:color="auto" w:fill="F4B083" w:themeFill="accent2" w:themeFillTint="99"/>
            <w:vAlign w:val="center"/>
          </w:tcPr>
          <w:p w14:paraId="2B5386BE" w14:textId="77777777" w:rsidR="00455144" w:rsidRPr="005C2296" w:rsidRDefault="00455144" w:rsidP="001560C9">
            <w:pPr>
              <w:jc w:val="center"/>
              <w:rPr>
                <w:sz w:val="18"/>
              </w:rPr>
            </w:pPr>
          </w:p>
        </w:tc>
        <w:tc>
          <w:tcPr>
            <w:tcW w:w="980" w:type="dxa"/>
            <w:vMerge/>
            <w:tcBorders>
              <w:right w:val="single" w:sz="12" w:space="0" w:color="auto"/>
            </w:tcBorders>
            <w:shd w:val="clear" w:color="auto" w:fill="F4B083" w:themeFill="accent2" w:themeFillTint="99"/>
            <w:vAlign w:val="center"/>
          </w:tcPr>
          <w:p w14:paraId="3E64FF4A" w14:textId="77777777" w:rsidR="00455144" w:rsidRPr="005C2296" w:rsidRDefault="00455144" w:rsidP="001560C9">
            <w:pPr>
              <w:jc w:val="center"/>
              <w:rPr>
                <w:sz w:val="18"/>
              </w:rPr>
            </w:pPr>
          </w:p>
        </w:tc>
      </w:tr>
      <w:tr w:rsidR="00455144" w:rsidRPr="005C2296" w14:paraId="147682CF" w14:textId="77777777" w:rsidTr="001560C9">
        <w:trPr>
          <w:jc w:val="center"/>
        </w:trPr>
        <w:tc>
          <w:tcPr>
            <w:tcW w:w="0" w:type="auto"/>
            <w:vMerge/>
            <w:tcBorders>
              <w:left w:val="single" w:sz="12" w:space="0" w:color="auto"/>
            </w:tcBorders>
            <w:vAlign w:val="center"/>
          </w:tcPr>
          <w:p w14:paraId="4EE1B3B0" w14:textId="77777777" w:rsidR="00455144" w:rsidRDefault="00455144" w:rsidP="001560C9">
            <w:pPr>
              <w:jc w:val="right"/>
              <w:rPr>
                <w:b/>
                <w:sz w:val="18"/>
              </w:rPr>
            </w:pPr>
          </w:p>
        </w:tc>
        <w:tc>
          <w:tcPr>
            <w:tcW w:w="0" w:type="auto"/>
            <w:tcBorders>
              <w:right w:val="single" w:sz="12" w:space="0" w:color="auto"/>
            </w:tcBorders>
            <w:vAlign w:val="center"/>
          </w:tcPr>
          <w:p w14:paraId="43B753A9" w14:textId="77777777" w:rsidR="00455144" w:rsidRDefault="00455144" w:rsidP="001560C9">
            <w:pPr>
              <w:jc w:val="right"/>
              <w:rPr>
                <w:b/>
                <w:sz w:val="18"/>
              </w:rPr>
            </w:pPr>
            <w:r>
              <w:rPr>
                <w:b/>
                <w:sz w:val="18"/>
              </w:rPr>
              <w:t>C3 co-products</w:t>
            </w:r>
          </w:p>
        </w:tc>
        <w:tc>
          <w:tcPr>
            <w:tcW w:w="0" w:type="auto"/>
            <w:tcBorders>
              <w:left w:val="single" w:sz="12" w:space="0" w:color="auto"/>
            </w:tcBorders>
            <w:shd w:val="clear" w:color="auto" w:fill="C5E0B3" w:themeFill="accent6" w:themeFillTint="66"/>
            <w:vAlign w:val="center"/>
          </w:tcPr>
          <w:p w14:paraId="6B11435F" w14:textId="77777777" w:rsidR="00455144" w:rsidRDefault="00455144" w:rsidP="001560C9">
            <w:pPr>
              <w:jc w:val="center"/>
              <w:rPr>
                <w:sz w:val="18"/>
              </w:rPr>
            </w:pPr>
            <w:r>
              <w:rPr>
                <w:sz w:val="18"/>
              </w:rPr>
              <w:t>Yes</w:t>
            </w:r>
          </w:p>
        </w:tc>
        <w:tc>
          <w:tcPr>
            <w:tcW w:w="0" w:type="auto"/>
            <w:vMerge w:val="restart"/>
            <w:shd w:val="clear" w:color="auto" w:fill="C5E0B3" w:themeFill="accent6" w:themeFillTint="66"/>
            <w:vAlign w:val="center"/>
          </w:tcPr>
          <w:p w14:paraId="10529092" w14:textId="77777777" w:rsidR="00455144" w:rsidRPr="005C2296" w:rsidRDefault="00455144" w:rsidP="001560C9">
            <w:pPr>
              <w:jc w:val="center"/>
              <w:rPr>
                <w:sz w:val="18"/>
              </w:rPr>
            </w:pPr>
            <w:r>
              <w:rPr>
                <w:sz w:val="18"/>
              </w:rPr>
              <w:t>Only if feed to food</w:t>
            </w:r>
          </w:p>
        </w:tc>
        <w:tc>
          <w:tcPr>
            <w:tcW w:w="585" w:type="dxa"/>
            <w:shd w:val="clear" w:color="auto" w:fill="F4B083" w:themeFill="accent2" w:themeFillTint="99"/>
            <w:vAlign w:val="center"/>
          </w:tcPr>
          <w:p w14:paraId="4A80EAA9" w14:textId="77777777" w:rsidR="00455144" w:rsidRPr="005C2296" w:rsidRDefault="00455144" w:rsidP="001560C9">
            <w:pPr>
              <w:jc w:val="center"/>
              <w:rPr>
                <w:sz w:val="18"/>
              </w:rPr>
            </w:pPr>
            <w:r>
              <w:rPr>
                <w:sz w:val="18"/>
              </w:rPr>
              <w:t>No need</w:t>
            </w:r>
          </w:p>
        </w:tc>
        <w:tc>
          <w:tcPr>
            <w:tcW w:w="1504" w:type="dxa"/>
            <w:vMerge w:val="restart"/>
            <w:shd w:val="clear" w:color="auto" w:fill="C5E0B3" w:themeFill="accent6" w:themeFillTint="66"/>
            <w:vAlign w:val="center"/>
          </w:tcPr>
          <w:p w14:paraId="4EB72305" w14:textId="77777777" w:rsidR="00455144" w:rsidRPr="005C2296" w:rsidRDefault="00455144" w:rsidP="001560C9">
            <w:pPr>
              <w:jc w:val="center"/>
              <w:rPr>
                <w:sz w:val="18"/>
              </w:rPr>
            </w:pPr>
            <w:r>
              <w:rPr>
                <w:sz w:val="18"/>
              </w:rPr>
              <w:t>Meat-equivalent (Microorganisms)</w:t>
            </w:r>
          </w:p>
        </w:tc>
        <w:tc>
          <w:tcPr>
            <w:tcW w:w="980" w:type="dxa"/>
            <w:vMerge/>
            <w:tcBorders>
              <w:right w:val="single" w:sz="12" w:space="0" w:color="auto"/>
            </w:tcBorders>
            <w:shd w:val="clear" w:color="auto" w:fill="F4B083" w:themeFill="accent2" w:themeFillTint="99"/>
            <w:vAlign w:val="center"/>
          </w:tcPr>
          <w:p w14:paraId="62C7578C" w14:textId="77777777" w:rsidR="00455144" w:rsidRPr="005C2296" w:rsidRDefault="00455144" w:rsidP="001560C9">
            <w:pPr>
              <w:jc w:val="center"/>
              <w:rPr>
                <w:sz w:val="18"/>
              </w:rPr>
            </w:pPr>
          </w:p>
        </w:tc>
      </w:tr>
      <w:tr w:rsidR="00455144" w:rsidRPr="005C2296" w14:paraId="20C100BA" w14:textId="77777777" w:rsidTr="001560C9">
        <w:trPr>
          <w:jc w:val="center"/>
        </w:trPr>
        <w:tc>
          <w:tcPr>
            <w:tcW w:w="0" w:type="auto"/>
            <w:vMerge/>
            <w:tcBorders>
              <w:left w:val="single" w:sz="12" w:space="0" w:color="auto"/>
              <w:bottom w:val="single" w:sz="12" w:space="0" w:color="auto"/>
            </w:tcBorders>
            <w:vAlign w:val="center"/>
          </w:tcPr>
          <w:p w14:paraId="2184F6B9" w14:textId="77777777" w:rsidR="00455144" w:rsidRPr="00352F68" w:rsidRDefault="00455144" w:rsidP="001560C9">
            <w:pPr>
              <w:jc w:val="right"/>
              <w:rPr>
                <w:b/>
                <w:sz w:val="18"/>
              </w:rPr>
            </w:pPr>
          </w:p>
        </w:tc>
        <w:tc>
          <w:tcPr>
            <w:tcW w:w="0" w:type="auto"/>
            <w:tcBorders>
              <w:bottom w:val="single" w:sz="12" w:space="0" w:color="auto"/>
              <w:right w:val="single" w:sz="12" w:space="0" w:color="auto"/>
            </w:tcBorders>
            <w:vAlign w:val="center"/>
          </w:tcPr>
          <w:p w14:paraId="04F9E18A" w14:textId="77777777" w:rsidR="00455144" w:rsidRPr="00352F68" w:rsidRDefault="00455144" w:rsidP="001560C9">
            <w:pPr>
              <w:jc w:val="right"/>
              <w:rPr>
                <w:b/>
                <w:sz w:val="18"/>
              </w:rPr>
            </w:pPr>
            <w:r>
              <w:rPr>
                <w:b/>
                <w:sz w:val="18"/>
              </w:rPr>
              <w:t>Agrifood co-products</w:t>
            </w:r>
          </w:p>
        </w:tc>
        <w:tc>
          <w:tcPr>
            <w:tcW w:w="0" w:type="auto"/>
            <w:tcBorders>
              <w:left w:val="single" w:sz="12" w:space="0" w:color="auto"/>
              <w:bottom w:val="single" w:sz="12" w:space="0" w:color="auto"/>
            </w:tcBorders>
            <w:shd w:val="clear" w:color="auto" w:fill="C5E0B3" w:themeFill="accent6" w:themeFillTint="66"/>
            <w:vAlign w:val="center"/>
          </w:tcPr>
          <w:p w14:paraId="014E25CE" w14:textId="77777777" w:rsidR="00455144" w:rsidRPr="005C2296" w:rsidRDefault="00455144" w:rsidP="001560C9">
            <w:pPr>
              <w:jc w:val="center"/>
              <w:rPr>
                <w:sz w:val="18"/>
              </w:rPr>
            </w:pPr>
            <w:r>
              <w:rPr>
                <w:sz w:val="18"/>
              </w:rPr>
              <w:t>Most streams</w:t>
            </w:r>
          </w:p>
        </w:tc>
        <w:tc>
          <w:tcPr>
            <w:tcW w:w="0" w:type="auto"/>
            <w:vMerge/>
            <w:tcBorders>
              <w:bottom w:val="single" w:sz="12" w:space="0" w:color="auto"/>
            </w:tcBorders>
            <w:shd w:val="clear" w:color="auto" w:fill="C5E0B3" w:themeFill="accent6" w:themeFillTint="66"/>
            <w:vAlign w:val="center"/>
          </w:tcPr>
          <w:p w14:paraId="2E0D0BEE" w14:textId="77777777" w:rsidR="00455144" w:rsidRPr="005C2296" w:rsidRDefault="00455144" w:rsidP="001560C9">
            <w:pPr>
              <w:jc w:val="center"/>
              <w:rPr>
                <w:sz w:val="18"/>
              </w:rPr>
            </w:pPr>
          </w:p>
        </w:tc>
        <w:tc>
          <w:tcPr>
            <w:tcW w:w="585" w:type="dxa"/>
            <w:tcBorders>
              <w:bottom w:val="single" w:sz="12" w:space="0" w:color="auto"/>
            </w:tcBorders>
            <w:shd w:val="clear" w:color="auto" w:fill="F4B083" w:themeFill="accent2" w:themeFillTint="99"/>
            <w:vAlign w:val="center"/>
          </w:tcPr>
          <w:p w14:paraId="458F76DD" w14:textId="77777777" w:rsidR="00455144" w:rsidRPr="005C2296" w:rsidRDefault="00455144" w:rsidP="001560C9">
            <w:pPr>
              <w:jc w:val="center"/>
              <w:rPr>
                <w:sz w:val="18"/>
              </w:rPr>
            </w:pPr>
            <w:r>
              <w:rPr>
                <w:sz w:val="18"/>
              </w:rPr>
              <w:t>No need</w:t>
            </w:r>
          </w:p>
        </w:tc>
        <w:tc>
          <w:tcPr>
            <w:tcW w:w="1504" w:type="dxa"/>
            <w:vMerge/>
            <w:tcBorders>
              <w:bottom w:val="single" w:sz="12" w:space="0" w:color="auto"/>
            </w:tcBorders>
            <w:shd w:val="clear" w:color="auto" w:fill="C5E0B3" w:themeFill="accent6" w:themeFillTint="66"/>
            <w:vAlign w:val="center"/>
          </w:tcPr>
          <w:p w14:paraId="2BCFD39E" w14:textId="77777777" w:rsidR="00455144" w:rsidRPr="005C2296" w:rsidRDefault="00455144" w:rsidP="001560C9">
            <w:pPr>
              <w:jc w:val="center"/>
              <w:rPr>
                <w:sz w:val="18"/>
              </w:rPr>
            </w:pPr>
          </w:p>
        </w:tc>
        <w:tc>
          <w:tcPr>
            <w:tcW w:w="980" w:type="dxa"/>
            <w:vMerge/>
            <w:tcBorders>
              <w:bottom w:val="single" w:sz="12" w:space="0" w:color="auto"/>
              <w:right w:val="single" w:sz="12" w:space="0" w:color="auto"/>
            </w:tcBorders>
            <w:shd w:val="clear" w:color="auto" w:fill="F4B083" w:themeFill="accent2" w:themeFillTint="99"/>
            <w:vAlign w:val="center"/>
          </w:tcPr>
          <w:p w14:paraId="5EF60F97" w14:textId="77777777" w:rsidR="00455144" w:rsidRPr="005C2296" w:rsidRDefault="00455144" w:rsidP="001560C9">
            <w:pPr>
              <w:jc w:val="center"/>
              <w:rPr>
                <w:sz w:val="18"/>
              </w:rPr>
            </w:pPr>
          </w:p>
        </w:tc>
      </w:tr>
    </w:tbl>
    <w:p w14:paraId="2745B67D" w14:textId="020BE990" w:rsidR="00455144" w:rsidRDefault="00455144" w:rsidP="00DB67AA">
      <w:pPr>
        <w:jc w:val="both"/>
        <w:rPr>
          <w:sz w:val="18"/>
        </w:rPr>
      </w:pPr>
      <w:r>
        <w:rPr>
          <w:sz w:val="18"/>
        </w:rPr>
        <w:t xml:space="preserve">Only (pathways; feedstocks) pairs with compatible composition-structure were included. The table was filled based on </w:t>
      </w:r>
      <w:r w:rsidR="00DB67AA">
        <w:rPr>
          <w:sz w:val="18"/>
        </w:rPr>
        <w:t>information reviewed in Javourez et al., (2021</w:t>
      </w:r>
      <w:r w:rsidR="00DB67AA" w:rsidRPr="00DB67AA">
        <w:rPr>
          <w:sz w:val="18"/>
        </w:rPr>
        <w:t>)</w:t>
      </w:r>
      <w:r w:rsidR="00DB67AA" w:rsidRPr="00DB67AA">
        <w:rPr>
          <w:sz w:val="18"/>
        </w:rPr>
        <w:fldChar w:fldCharType="begin"/>
      </w:r>
      <w:r w:rsidR="00682E10">
        <w:rPr>
          <w:sz w:val="18"/>
        </w:rPr>
        <w:instrText xml:space="preserve"> ADDIN ZOTERO_ITEM CSL_CITATION {"citationID":"a8629a8fpn","properties":{"formattedCitation":"\\super 2\\nosupersub{}","plainCitation":"2","noteIndex":0},"citationItems":[{"id":12313,"uris":["http://zotero.org/users/6423791/items/U9PTD6XB"],"itemData":{"id":12313,"type":"article-journal","abstract":"Residual biomass is acknowledged as a key sustainable feedstock for the transition towards circular and low fossil carbon economies to supply whether energy, chemical, material and food products or services. The latter is receiving increasing attention, in particular in the perspective of decoupling nutrition from arable land demand. In order to provide a comprehensive overview of the technical possibilities to convert residual biomasses into edible ingredients, we reviewed over 950 scientific and industrial records documenting existing and emerging waste-to-nutrition pathways, involving over 150 different feedstocks here grouped under 10 umbrella categories: (i) wood-related residual biomass, (ii) primary crop residues, (iii) manure, (iv) food waste, (v) sludge and wastewater, (vi) green residual biomass, (vii) slaughterhouse by-products, (viii) agrifood co-products, (ix) C1 gases and (x) others. The review includes a detailed description of these pathways, as well as the processes they involve. As a result, we proposed four generic building blocks to systematize waste-to-nutrition conversion sequence patterns, namely enhancement, cracking, extraction and bioconversion. We further introduce a multidimensional representation of the biomasses suitability as potential as nutritional sources according to (i) their content in anti-nutritional compounds, (ii) their degree of structural complexity and (iii) their concentration of macro- and micronutrients. Finally, we suggest that the different pathways can be grouped into eight large families of approaches: (i) insect biorefinery, (ii) green biorefinery, (iii) lignocellulosic biorefinery, (iv) non-soluble protein recovery, (v) gas-intermediate biorefinery, (vi) liquid substrate alternative, (vii) solid-substrate fermentation and (viii) more-out-of-slaughterhouse by-products. The proposed framework aims to support future research in waste recovery and valorization within food systems, along with stimulating reflections on the improvement of resources’ cascading use.","container-title":"Biotechnology Advances","DOI":"10.1016/j.biotechadv.2021.107857","ISSN":"0734-9750","journalAbbreviation":"Biotechnol. Adv.","language":"en","page":"107857","source":"ScienceDirect","title":"Waste-to-nutrition: a review of current and emerging conversion pathways","title-short":"Waste-to-nutrition","volume":"53","author":[{"family":"Javourez","given":"U."},{"family":"O’Donohue","given":"M."},{"family":"Hamelin","given":"L."}],"issued":{"date-parts":[["2021",12,1]]}}}],"schema":"https://github.com/citation-style-language/schema/raw/master/csl-citation.json"} </w:instrText>
      </w:r>
      <w:r w:rsidR="00DB67AA" w:rsidRPr="00DB67AA">
        <w:rPr>
          <w:sz w:val="18"/>
        </w:rPr>
        <w:fldChar w:fldCharType="separate"/>
      </w:r>
      <w:r w:rsidR="00682E10" w:rsidRPr="00682E10">
        <w:rPr>
          <w:rFonts w:ascii="Calibri" w:hAnsi="Calibri" w:cs="Calibri"/>
          <w:sz w:val="18"/>
          <w:szCs w:val="24"/>
          <w:vertAlign w:val="superscript"/>
        </w:rPr>
        <w:t>2</w:t>
      </w:r>
      <w:r w:rsidR="00DB67AA" w:rsidRPr="00DB67AA">
        <w:rPr>
          <w:sz w:val="18"/>
        </w:rPr>
        <w:fldChar w:fldCharType="end"/>
      </w:r>
      <w:r w:rsidR="00DB67AA">
        <w:rPr>
          <w:sz w:val="18"/>
        </w:rPr>
        <w:t xml:space="preserve"> </w:t>
      </w:r>
      <w:r>
        <w:rPr>
          <w:sz w:val="18"/>
        </w:rPr>
        <w:t xml:space="preserve">and the pathway-specific literature review (detailed </w:t>
      </w:r>
      <w:r w:rsidR="00DB67AA">
        <w:rPr>
          <w:sz w:val="18"/>
        </w:rPr>
        <w:t xml:space="preserve">along </w:t>
      </w:r>
      <w:r w:rsidR="00DB67AA" w:rsidRPr="00B94C7D">
        <w:rPr>
          <w:b/>
          <w:sz w:val="18"/>
        </w:rPr>
        <w:t>section</w:t>
      </w:r>
      <w:r w:rsidR="00C913E1">
        <w:rPr>
          <w:b/>
          <w:sz w:val="18"/>
        </w:rPr>
        <w:t xml:space="preserve"> SI.</w:t>
      </w:r>
      <w:r w:rsidR="00DB67AA" w:rsidRPr="00B94C7D">
        <w:rPr>
          <w:b/>
          <w:sz w:val="18"/>
        </w:rPr>
        <w:t xml:space="preserve"> </w:t>
      </w:r>
      <w:r w:rsidR="00B94C7D" w:rsidRPr="00B94C7D">
        <w:rPr>
          <w:b/>
          <w:sz w:val="18"/>
        </w:rPr>
        <w:t>4</w:t>
      </w:r>
      <w:r w:rsidRPr="00F80982">
        <w:rPr>
          <w:sz w:val="18"/>
        </w:rPr>
        <w:t>)</w:t>
      </w:r>
      <w:r>
        <w:rPr>
          <w:sz w:val="18"/>
        </w:rPr>
        <w:t xml:space="preserve">. </w:t>
      </w:r>
      <w:r>
        <w:rPr>
          <w:sz w:val="18"/>
          <w:vertAlign w:val="superscript"/>
        </w:rPr>
        <w:t>a</w:t>
      </w:r>
      <w:r>
        <w:rPr>
          <w:sz w:val="18"/>
        </w:rPr>
        <w:t>: Risk mitigation and minimal processing requirements are merged (“no need”</w:t>
      </w:r>
      <w:r w:rsidR="00DB67AA">
        <w:rPr>
          <w:sz w:val="18"/>
        </w:rPr>
        <w:t xml:space="preserve"> stands for:</w:t>
      </w:r>
      <w:r>
        <w:rPr>
          <w:sz w:val="18"/>
        </w:rPr>
        <w:t xml:space="preserve"> </w:t>
      </w:r>
      <w:r w:rsidR="00DB67AA">
        <w:rPr>
          <w:sz w:val="18"/>
        </w:rPr>
        <w:t>“</w:t>
      </w:r>
      <w:r>
        <w:rPr>
          <w:sz w:val="18"/>
        </w:rPr>
        <w:t>from a risk transmission mitigation standpoint, the conversion chain is not necessary</w:t>
      </w:r>
      <w:r w:rsidR="00DB67AA">
        <w:rPr>
          <w:sz w:val="18"/>
        </w:rPr>
        <w:t>”</w:t>
      </w:r>
      <w:r>
        <w:rPr>
          <w:sz w:val="18"/>
        </w:rPr>
        <w:t>). However, processing might be necessary to reach target markets</w:t>
      </w:r>
      <w:r w:rsidR="00DB67AA">
        <w:rPr>
          <w:sz w:val="18"/>
        </w:rPr>
        <w:t xml:space="preserve"> in terms of functionality, organoleptic properties, etc</w:t>
      </w:r>
      <w:r>
        <w:rPr>
          <w:sz w:val="18"/>
        </w:rPr>
        <w:t>.</w:t>
      </w:r>
    </w:p>
    <w:p w14:paraId="73496FB2" w14:textId="2762E173" w:rsidR="0076460E" w:rsidRPr="008F2922" w:rsidRDefault="00455144" w:rsidP="0076460E">
      <w:pPr>
        <w:jc w:val="both"/>
      </w:pPr>
      <w:r>
        <w:t xml:space="preserve">First &amp; second criteria (i.e. unavoidability and upgrade current use) </w:t>
      </w:r>
      <w:r w:rsidR="00DB67AA">
        <w:t>were</w:t>
      </w:r>
      <w:r>
        <w:t xml:space="preserve"> already mostly met by prescreened waste-to-nutrition pathways. </w:t>
      </w:r>
      <w:r w:rsidRPr="00F80982">
        <w:t>Most of waste</w:t>
      </w:r>
      <w:r>
        <w:t>-to-nutrition pathways already target protein markets, either for food or feed purposes, which can reasonably be considered as high environmental footprints nutritional commodities</w:t>
      </w:r>
      <w:r w:rsidRPr="00F80982">
        <w:t>.</w:t>
      </w:r>
      <w:r w:rsidR="0076460E">
        <w:t xml:space="preserve"> </w:t>
      </w:r>
      <w:r w:rsidR="0076460E" w:rsidRPr="0076460E">
        <w:t>The direct reintroduction of C3 by-products as food ingredients (offal, etc.) was not carried further in the analysis for being already implemented whenever possible (limits are not technical but social and cultural).</w:t>
      </w:r>
      <w:r w:rsidR="0076460E">
        <w:t xml:space="preserve"> </w:t>
      </w:r>
      <w:r w:rsidR="0076460E" w:rsidRPr="0076460E">
        <w:t>Proteins extraction from traceable food waste streams w</w:t>
      </w:r>
      <w:r w:rsidR="0076460E">
        <w:t>as</w:t>
      </w:r>
      <w:r w:rsidR="0076460E" w:rsidRPr="0076460E">
        <w:t xml:space="preserve"> not retained</w:t>
      </w:r>
      <w:r w:rsidR="0076460E">
        <w:t xml:space="preserve"> neither</w:t>
      </w:r>
      <w:r w:rsidR="0076460E" w:rsidRPr="0076460E">
        <w:t>. This is because, in a context of increasing food waste reduction and prevention plans, the composition of these streams shifts towards unavoidable fractions, of lower nutritional quality and likely lower protein content, reducing incentives of developing such extraction. Similarly, no established proteins extraction pathways based on low-protein content primary crop residues were found to enable LCI modeling. The same applies for agrifood co-products and C3 by-products proteins extractions because these build on feedstock-specific process workflows.</w:t>
      </w:r>
      <w:r w:rsidR="0076460E">
        <w:t xml:space="preserve"> </w:t>
      </w:r>
      <w:r w:rsidR="0076460E" w:rsidRPr="008F2922">
        <w:t xml:space="preserve">Direct </w:t>
      </w:r>
      <w:r w:rsidR="0076460E">
        <w:t xml:space="preserve">livestock </w:t>
      </w:r>
      <w:r w:rsidR="0076460E" w:rsidRPr="008F2922">
        <w:t xml:space="preserve">bioconversion </w:t>
      </w:r>
      <w:r w:rsidR="0076460E">
        <w:t>was</w:t>
      </w:r>
      <w:r w:rsidR="0076460E" w:rsidRPr="008F2922">
        <w:t xml:space="preserve"> already captured through the CF pathway. Fungiculture (e.g. based on forestry residues or straws) was not modeled for already being a common practice with established performances. While there is still room for marketing innovations, the development of fungiculture was </w:t>
      </w:r>
      <w:r w:rsidR="0076460E">
        <w:t>assumed</w:t>
      </w:r>
      <w:r w:rsidR="0076460E" w:rsidRPr="008F2922">
        <w:t xml:space="preserve"> limited by current mushroom demand.</w:t>
      </w:r>
      <w:r w:rsidR="0076460E">
        <w:t xml:space="preserve"> C</w:t>
      </w:r>
      <w:r w:rsidR="0076460E" w:rsidRPr="008F2922">
        <w:t xml:space="preserve">racking pathways culminating at the sugars </w:t>
      </w:r>
      <w:r w:rsidR="0076460E">
        <w:t>production stage</w:t>
      </w:r>
      <w:r w:rsidR="0076460E" w:rsidRPr="008F2922">
        <w:t xml:space="preserve"> were discarded because corresponding markets are not the priority of this study (replacement of high environmental burden commodities). Therefore, only the pathways contemplating subsequent bioconversion of sugars into mycoproteins (Myco) were included. The production of </w:t>
      </w:r>
      <w:r w:rsidR="0076460E">
        <w:t>edible microbial lipids</w:t>
      </w:r>
      <w:r w:rsidR="0076460E" w:rsidRPr="008F2922">
        <w:t xml:space="preserve"> was discarded for the lack of modeling data available. Cracking down safety-compliant food waste streams was not modeled due to the complexity of food waste structures and induced lack of detailed data on required post/pre-treatments</w:t>
      </w:r>
      <w:r w:rsidR="0076460E">
        <w:t>, meaning that</w:t>
      </w:r>
      <w:r w:rsidR="0076460E" w:rsidRPr="008F2922">
        <w:t xml:space="preserve"> only lignocellulosic residues and agrifood co-products were considered as suitable feedstocks. Cracking down C3 by-products was not specifically modeled neither</w:t>
      </w:r>
      <w:r w:rsidR="0076460E">
        <w:t xml:space="preserve">, as this operation is already performed as part of established </w:t>
      </w:r>
      <w:r w:rsidR="0076460E" w:rsidRPr="008F2922">
        <w:t xml:space="preserve">rendering </w:t>
      </w:r>
      <w:r w:rsidR="0076460E">
        <w:t>operations which yield</w:t>
      </w:r>
      <w:r w:rsidR="0076460E" w:rsidRPr="008F2922">
        <w:t xml:space="preserve"> hydrolyzed proteins</w:t>
      </w:r>
      <w:r w:rsidR="0076460E">
        <w:t xml:space="preserve"> considered as the starting point of present analysis (the PAT case)</w:t>
      </w:r>
      <w:r w:rsidR="0076460E" w:rsidRPr="008F2922">
        <w:t>.</w:t>
      </w:r>
      <w:r w:rsidR="0076460E">
        <w:t xml:space="preserve"> Moreover</w:t>
      </w:r>
      <w:r w:rsidR="0076460E" w:rsidRPr="008F2922">
        <w:t>, data regarding novel techniques for keratin-rich products proteolysis are still limited.</w:t>
      </w:r>
    </w:p>
    <w:p w14:paraId="7A089BEB" w14:textId="5D54DA6D" w:rsidR="00101264" w:rsidRDefault="0076460E" w:rsidP="0076460E">
      <w:pPr>
        <w:jc w:val="both"/>
      </w:pPr>
      <w:r w:rsidRPr="008F2922">
        <w:t xml:space="preserve">Due to the exploratory </w:t>
      </w:r>
      <w:r>
        <w:t>endeavor</w:t>
      </w:r>
      <w:r w:rsidRPr="008F2922">
        <w:t xml:space="preserve"> of </w:t>
      </w:r>
      <w:r>
        <w:t>this work,</w:t>
      </w:r>
      <w:r w:rsidRPr="008F2922">
        <w:t xml:space="preserve"> and considering the blurry and moving lines of societal acceptance, some currently safety-incompliant (</w:t>
      </w:r>
      <w:r>
        <w:t>feedstock</w:t>
      </w:r>
      <w:r w:rsidRPr="008F2922">
        <w:t xml:space="preserve">; </w:t>
      </w:r>
      <w:r>
        <w:t>pathway</w:t>
      </w:r>
      <w:r w:rsidRPr="008F2922">
        <w:t>) combinations were nevertheless included (</w:t>
      </w:r>
      <w:r>
        <w:t xml:space="preserve">see </w:t>
      </w:r>
      <w:r w:rsidRPr="008F2922">
        <w:rPr>
          <w:vertAlign w:val="superscript"/>
        </w:rPr>
        <w:t xml:space="preserve">* </w:t>
      </w:r>
      <w:r w:rsidRPr="008F2922">
        <w:t>i</w:t>
      </w:r>
      <w:r>
        <w:t xml:space="preserve">n </w:t>
      </w:r>
      <w:r w:rsidRPr="0076460E">
        <w:rPr>
          <w:b/>
        </w:rPr>
        <w:t>Table 1</w:t>
      </w:r>
      <w:r>
        <w:t xml:space="preserve"> of the main manuscript</w:t>
      </w:r>
      <w:r w:rsidRPr="008F2922">
        <w:t xml:space="preserve">). </w:t>
      </w:r>
      <w:r>
        <w:t>For example, u</w:t>
      </w:r>
      <w:r w:rsidRPr="008F2922">
        <w:t xml:space="preserve">ntreated wood-processing waste (e.g. sawmill waste) </w:t>
      </w:r>
      <w:r>
        <w:t>could</w:t>
      </w:r>
      <w:r w:rsidRPr="008F2922">
        <w:t xml:space="preserve"> be</w:t>
      </w:r>
      <w:r>
        <w:t xml:space="preserve"> considered as</w:t>
      </w:r>
      <w:r w:rsidRPr="008F2922">
        <w:t xml:space="preserve"> a suitable candidate for mycoproteins production</w:t>
      </w:r>
      <w:r>
        <w:t xml:space="preserve">, provided </w:t>
      </w:r>
      <w:r w:rsidRPr="008F2922">
        <w:t xml:space="preserve">enforced traceability standards. The same applies for garden </w:t>
      </w:r>
      <w:r>
        <w:t>&amp;</w:t>
      </w:r>
      <w:r w:rsidRPr="008F2922">
        <w:t xml:space="preserve"> park waste, as some of these streams </w:t>
      </w:r>
      <w:r>
        <w:t>could</w:t>
      </w:r>
      <w:r w:rsidRPr="008F2922">
        <w:t xml:space="preserve"> be </w:t>
      </w:r>
      <w:r>
        <w:t xml:space="preserve">seen as nearer to </w:t>
      </w:r>
      <w:r w:rsidRPr="008F2922">
        <w:t>crop residues than to municipal waste (in terms of associated risks</w:t>
      </w:r>
      <w:r>
        <w:t>, such as</w:t>
      </w:r>
      <w:r w:rsidRPr="008F2922">
        <w:t xml:space="preserve"> countryside management grass). Finally, with the fast-evolving EU Animal by-products regulations, it was assumed here that BSF can fed on C3 by-products-containing feedstocks.</w:t>
      </w:r>
      <w:r w:rsidR="00101264">
        <w:br w:type="page"/>
      </w:r>
    </w:p>
    <w:p w14:paraId="56323EA9" w14:textId="2D1B41E3" w:rsidR="009C410C" w:rsidRPr="007E5651" w:rsidRDefault="009C410C" w:rsidP="007E5651">
      <w:pPr>
        <w:pStyle w:val="Titre1"/>
      </w:pPr>
      <w:bookmarkStart w:id="31" w:name="_Ref144740238"/>
      <w:bookmarkStart w:id="32" w:name="_Toc145069097"/>
      <w:r w:rsidRPr="007E5651">
        <w:lastRenderedPageBreak/>
        <w:t>Design</w:t>
      </w:r>
      <w:r w:rsidR="005734C2">
        <w:t xml:space="preserve"> and</w:t>
      </w:r>
      <w:r w:rsidRPr="007E5651">
        <w:t xml:space="preserve"> harmonization of the LC</w:t>
      </w:r>
      <w:r w:rsidR="008D50A1">
        <w:t>I</w:t>
      </w:r>
      <w:r w:rsidRPr="007E5651">
        <w:t xml:space="preserve"> model</w:t>
      </w:r>
      <w:r w:rsidR="008D50A1">
        <w:t>s</w:t>
      </w:r>
      <w:bookmarkEnd w:id="31"/>
      <w:bookmarkEnd w:id="32"/>
      <w:r w:rsidRPr="007E5651">
        <w:t xml:space="preserve"> </w:t>
      </w:r>
    </w:p>
    <w:p w14:paraId="07612F6F" w14:textId="4231E1F5" w:rsidR="001560C9" w:rsidRDefault="001560C9" w:rsidP="001560C9">
      <w:pPr>
        <w:ind w:firstLine="360"/>
        <w:jc w:val="both"/>
      </w:pPr>
      <w:r>
        <w:t xml:space="preserve">The objective of the LCI models is to capture the </w:t>
      </w:r>
      <w:r w:rsidR="00F25F8C">
        <w:t>inventory of elementary flows</w:t>
      </w:r>
      <w:r>
        <w:t xml:space="preserve"> associated with novel residual biomass management practices as a function of context-dependencies and technological improvements, </w:t>
      </w:r>
      <w:r w:rsidR="00F25F8C">
        <w:t xml:space="preserve">to support prospective environmental/economic assessments, </w:t>
      </w:r>
      <w:r>
        <w:t xml:space="preserve">which is the same objective as </w:t>
      </w:r>
      <w:r w:rsidRPr="00B94C7D">
        <w:t xml:space="preserve">performed in </w:t>
      </w:r>
      <w:r w:rsidR="00B94C7D" w:rsidRPr="00B94C7D">
        <w:t>Javourez et al</w:t>
      </w:r>
      <w:r w:rsidR="00B94C7D" w:rsidRPr="003A663A">
        <w:t>., (202</w:t>
      </w:r>
      <w:r w:rsidR="003A663A" w:rsidRPr="003A663A">
        <w:t>4</w:t>
      </w:r>
      <w:r w:rsidR="00B94C7D" w:rsidRPr="003A663A">
        <w:t>)</w:t>
      </w:r>
      <w:r w:rsidR="00B94C7D" w:rsidRPr="003A663A">
        <w:fldChar w:fldCharType="begin"/>
      </w:r>
      <w:r w:rsidR="00827449">
        <w:instrText xml:space="preserve"> ADDIN ZOTERO_ITEM CSL_CITATION {"citationID":"aho088ld4k","properties":{"formattedCitation":"\\super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B94C7D" w:rsidRPr="003A663A">
        <w:fldChar w:fldCharType="separate"/>
      </w:r>
      <w:r w:rsidR="008C451C" w:rsidRPr="003A663A">
        <w:rPr>
          <w:rFonts w:ascii="Calibri" w:hAnsi="Calibri" w:cs="Calibri"/>
          <w:szCs w:val="24"/>
          <w:vertAlign w:val="superscript"/>
        </w:rPr>
        <w:t>1</w:t>
      </w:r>
      <w:r w:rsidR="00B94C7D" w:rsidRPr="003A663A">
        <w:fldChar w:fldCharType="end"/>
      </w:r>
      <w:r w:rsidR="00B94C7D" w:rsidRPr="003A663A">
        <w:t>,</w:t>
      </w:r>
      <w:r w:rsidRPr="003A663A">
        <w:t xml:space="preserve"> for</w:t>
      </w:r>
      <w:r>
        <w:t xml:space="preserve"> conventional biomass management practices. Accordingly, the same goal, scope and modeling strategies were performed as described in the </w:t>
      </w:r>
      <w:r w:rsidR="00A01B68">
        <w:t xml:space="preserve">SI of the </w:t>
      </w:r>
      <w:r>
        <w:t>aforementioned study, further summarized.</w:t>
      </w:r>
      <w:r w:rsidR="003072F5">
        <w:t xml:space="preserve"> This strategy ensure consistency between all the pathways modeled in both studies, and unlock the reuse of already modeled pathways as building blocks for the others.</w:t>
      </w:r>
    </w:p>
    <w:p w14:paraId="2C2C0298" w14:textId="1B4CD77D" w:rsidR="003072F5" w:rsidRDefault="003072F5" w:rsidP="00027C37">
      <w:pPr>
        <w:pStyle w:val="Paragraphedeliste"/>
        <w:numPr>
          <w:ilvl w:val="0"/>
          <w:numId w:val="5"/>
        </w:numPr>
        <w:jc w:val="both"/>
      </w:pPr>
      <w:r>
        <w:t xml:space="preserve">The study is forward-looking (ca. </w:t>
      </w:r>
      <w:r w:rsidRPr="00A01B68">
        <w:rPr>
          <w:b/>
        </w:rPr>
        <w:t>2030 horizon</w:t>
      </w:r>
      <w:r>
        <w:t xml:space="preserve">) and target the </w:t>
      </w:r>
      <w:r w:rsidRPr="00A01B68">
        <w:rPr>
          <w:b/>
        </w:rPr>
        <w:t>French situation</w:t>
      </w:r>
      <w:r>
        <w:t xml:space="preserve"> (but is seen valid at the European scale providing some adjustments</w:t>
      </w:r>
      <w:r w:rsidR="00194EEB">
        <w:t xml:space="preserve"> (e.g. modifying average temperature in the models).</w:t>
      </w:r>
    </w:p>
    <w:p w14:paraId="322AF368" w14:textId="35B35DCA" w:rsidR="003072F5" w:rsidRDefault="003072F5" w:rsidP="00027C37">
      <w:pPr>
        <w:pStyle w:val="Paragraphedeliste"/>
        <w:numPr>
          <w:ilvl w:val="0"/>
          <w:numId w:val="5"/>
        </w:numPr>
        <w:jc w:val="both"/>
      </w:pPr>
      <w:r>
        <w:t xml:space="preserve">A </w:t>
      </w:r>
      <w:r w:rsidRPr="00A01B68">
        <w:rPr>
          <w:b/>
        </w:rPr>
        <w:t>consequential</w:t>
      </w:r>
      <w:r>
        <w:t xml:space="preserve"> modelling was performe</w:t>
      </w:r>
      <w:r w:rsidR="00F25F8C">
        <w:t>d</w:t>
      </w:r>
      <w:r w:rsidR="00F25F8C" w:rsidRPr="00F25F8C">
        <w:rPr>
          <w:vertAlign w:val="superscript"/>
        </w:rPr>
        <w:t>*</w:t>
      </w:r>
      <w:r>
        <w:t xml:space="preserve"> (management of constrained resources and forward-looking analysis)</w:t>
      </w:r>
      <w:r w:rsidR="00F25F8C">
        <w:t>.</w:t>
      </w:r>
    </w:p>
    <w:p w14:paraId="1DE18D99" w14:textId="68B76C5F" w:rsidR="003072F5" w:rsidRDefault="003072F5" w:rsidP="00027C37">
      <w:pPr>
        <w:pStyle w:val="Paragraphedeliste"/>
        <w:numPr>
          <w:ilvl w:val="0"/>
          <w:numId w:val="5"/>
        </w:numPr>
        <w:jc w:val="both"/>
      </w:pPr>
      <w:r>
        <w:t xml:space="preserve">The </w:t>
      </w:r>
      <w:r w:rsidRPr="00A01B68">
        <w:rPr>
          <w:b/>
        </w:rPr>
        <w:t>functional unit</w:t>
      </w:r>
      <w:r>
        <w:t xml:space="preserve"> (FU) was set as: “</w:t>
      </w:r>
      <w:r w:rsidRPr="003072F5">
        <w:t>The management of one wet tonne of a given residual biomass stream per year, delivered at gate</w:t>
      </w:r>
      <w:r>
        <w:t>”.</w:t>
      </w:r>
    </w:p>
    <w:p w14:paraId="5FC55E6A" w14:textId="69BE03C4" w:rsidR="003072F5" w:rsidRDefault="003072F5" w:rsidP="00027C37">
      <w:pPr>
        <w:pStyle w:val="Paragraphedeliste"/>
        <w:numPr>
          <w:ilvl w:val="0"/>
          <w:numId w:val="5"/>
        </w:numPr>
        <w:jc w:val="both"/>
      </w:pPr>
      <w:r>
        <w:t xml:space="preserve">A </w:t>
      </w:r>
      <w:r w:rsidRPr="00A01B68">
        <w:rPr>
          <w:b/>
        </w:rPr>
        <w:t>gate-to-grave system boundaries</w:t>
      </w:r>
      <w:r>
        <w:t xml:space="preserve"> was selected, because (i) the study is comparative and (ii) compared systems differ from the waste’s generation gate.</w:t>
      </w:r>
    </w:p>
    <w:p w14:paraId="39A37163" w14:textId="36BAC20E" w:rsidR="003072F5" w:rsidRDefault="003072F5" w:rsidP="00027C37">
      <w:pPr>
        <w:pStyle w:val="Paragraphedeliste"/>
        <w:numPr>
          <w:ilvl w:val="0"/>
          <w:numId w:val="5"/>
        </w:numPr>
        <w:jc w:val="both"/>
      </w:pPr>
      <w:r>
        <w:t xml:space="preserve">Multifunctionality was dealt with </w:t>
      </w:r>
      <w:r w:rsidRPr="00A01B68">
        <w:rPr>
          <w:b/>
        </w:rPr>
        <w:t xml:space="preserve">system expansion </w:t>
      </w:r>
      <w:r>
        <w:t>(where functions were expressed in terms of “services supplied”).</w:t>
      </w:r>
    </w:p>
    <w:p w14:paraId="4F1E043C" w14:textId="3FA7E925" w:rsidR="003072F5" w:rsidRDefault="00194EEB" w:rsidP="00027C37">
      <w:pPr>
        <w:pStyle w:val="Paragraphedeliste"/>
        <w:numPr>
          <w:ilvl w:val="0"/>
          <w:numId w:val="5"/>
        </w:numPr>
        <w:jc w:val="both"/>
      </w:pPr>
      <w:r>
        <w:t xml:space="preserve">Dynamic effects of emissions timing were neglected due to the preponderance of </w:t>
      </w:r>
      <w:r w:rsidRPr="00A01B68">
        <w:rPr>
          <w:b/>
        </w:rPr>
        <w:t>short shelf-life products</w:t>
      </w:r>
      <w:r>
        <w:t xml:space="preserve"> in the studied systems (mostly edible ingredients and energy carriers). Some exceptions were dealt with separately and detailed in corresponding LCI description (e.g. biochar).</w:t>
      </w:r>
    </w:p>
    <w:p w14:paraId="59637E0A" w14:textId="7D3D50B2" w:rsidR="00F25F8C" w:rsidRPr="00B94C7D" w:rsidRDefault="00F25F8C" w:rsidP="001560C9">
      <w:pPr>
        <w:jc w:val="both"/>
        <w:rPr>
          <w:i/>
          <w:sz w:val="18"/>
        </w:rPr>
      </w:pPr>
      <w:r w:rsidRPr="00B94C7D">
        <w:rPr>
          <w:i/>
          <w:sz w:val="18"/>
          <w:vertAlign w:val="superscript"/>
        </w:rPr>
        <w:t>*</w:t>
      </w:r>
      <w:r w:rsidRPr="00B94C7D">
        <w:rPr>
          <w:i/>
          <w:sz w:val="18"/>
        </w:rPr>
        <w:t xml:space="preserve">: </w:t>
      </w:r>
      <w:r w:rsidR="00484941" w:rsidRPr="00B94C7D">
        <w:rPr>
          <w:i/>
          <w:sz w:val="18"/>
        </w:rPr>
        <w:t>A</w:t>
      </w:r>
      <w:r w:rsidRPr="00B94C7D">
        <w:rPr>
          <w:i/>
          <w:sz w:val="18"/>
        </w:rPr>
        <w:t xml:space="preserve">s present study stops at the LCI stage, the consequential modeling </w:t>
      </w:r>
      <w:r w:rsidR="00484941" w:rsidRPr="00B94C7D">
        <w:rPr>
          <w:i/>
          <w:sz w:val="18"/>
        </w:rPr>
        <w:t xml:space="preserve">mentioned </w:t>
      </w:r>
      <w:r w:rsidRPr="00B94C7D">
        <w:rPr>
          <w:i/>
          <w:sz w:val="18"/>
        </w:rPr>
        <w:t xml:space="preserve">here only influenced the definition of feed services </w:t>
      </w:r>
      <w:r w:rsidR="00484941" w:rsidRPr="00B94C7D">
        <w:rPr>
          <w:i/>
          <w:sz w:val="18"/>
        </w:rPr>
        <w:t>(</w:t>
      </w:r>
      <w:r w:rsidRPr="00B94C7D">
        <w:rPr>
          <w:i/>
          <w:sz w:val="18"/>
        </w:rPr>
        <w:t xml:space="preserve">as defined in </w:t>
      </w:r>
      <w:r w:rsidR="00484941" w:rsidRPr="00B94C7D">
        <w:rPr>
          <w:b/>
          <w:i/>
          <w:sz w:val="18"/>
        </w:rPr>
        <w:t xml:space="preserve">section </w:t>
      </w:r>
      <w:r w:rsidR="003A663A">
        <w:rPr>
          <w:b/>
          <w:i/>
          <w:sz w:val="18"/>
        </w:rPr>
        <w:t xml:space="preserve">SI. </w:t>
      </w:r>
      <w:r w:rsidR="00484941" w:rsidRPr="00B94C7D">
        <w:rPr>
          <w:b/>
          <w:i/>
          <w:sz w:val="18"/>
        </w:rPr>
        <w:fldChar w:fldCharType="begin"/>
      </w:r>
      <w:r w:rsidR="00484941" w:rsidRPr="00B94C7D">
        <w:rPr>
          <w:b/>
          <w:i/>
          <w:sz w:val="18"/>
        </w:rPr>
        <w:instrText xml:space="preserve"> REF _Ref144803705 \r \h  \* MERGEFORMAT </w:instrText>
      </w:r>
      <w:r w:rsidR="00484941" w:rsidRPr="00B94C7D">
        <w:rPr>
          <w:b/>
          <w:i/>
          <w:sz w:val="18"/>
        </w:rPr>
      </w:r>
      <w:r w:rsidR="00484941" w:rsidRPr="00B94C7D">
        <w:rPr>
          <w:b/>
          <w:i/>
          <w:sz w:val="18"/>
        </w:rPr>
        <w:fldChar w:fldCharType="separate"/>
      </w:r>
      <w:r w:rsidR="00484941" w:rsidRPr="00B94C7D">
        <w:rPr>
          <w:b/>
          <w:i/>
          <w:sz w:val="18"/>
        </w:rPr>
        <w:t>4.1.9</w:t>
      </w:r>
      <w:r w:rsidR="00484941" w:rsidRPr="00B94C7D">
        <w:rPr>
          <w:b/>
          <w:i/>
          <w:sz w:val="18"/>
        </w:rPr>
        <w:fldChar w:fldCharType="end"/>
      </w:r>
      <w:r w:rsidR="00484941" w:rsidRPr="00B94C7D">
        <w:rPr>
          <w:i/>
          <w:sz w:val="18"/>
        </w:rPr>
        <w:t>) and the ecoinvent background database selection</w:t>
      </w:r>
      <w:r w:rsidRPr="00B94C7D">
        <w:rPr>
          <w:i/>
          <w:sz w:val="18"/>
        </w:rPr>
        <w:t xml:space="preserve">. </w:t>
      </w:r>
      <w:r w:rsidR="00484941" w:rsidRPr="00B94C7D">
        <w:rPr>
          <w:i/>
          <w:sz w:val="18"/>
        </w:rPr>
        <w:t>All the</w:t>
      </w:r>
      <w:r w:rsidRPr="00B94C7D">
        <w:rPr>
          <w:i/>
          <w:sz w:val="18"/>
        </w:rPr>
        <w:t xml:space="preserve"> elementary flows</w:t>
      </w:r>
      <w:r w:rsidR="00484941" w:rsidRPr="00B94C7D">
        <w:rPr>
          <w:i/>
          <w:sz w:val="18"/>
        </w:rPr>
        <w:t xml:space="preserve"> and processes mentioned afterwards</w:t>
      </w:r>
      <w:r w:rsidRPr="00B94C7D">
        <w:rPr>
          <w:i/>
          <w:sz w:val="18"/>
        </w:rPr>
        <w:t xml:space="preserve"> </w:t>
      </w:r>
      <w:r w:rsidR="00484941" w:rsidRPr="00B94C7D">
        <w:rPr>
          <w:i/>
          <w:sz w:val="18"/>
        </w:rPr>
        <w:t>remain</w:t>
      </w:r>
      <w:r w:rsidRPr="00B94C7D">
        <w:rPr>
          <w:i/>
          <w:sz w:val="18"/>
        </w:rPr>
        <w:t xml:space="preserve"> valid regardless of the attributional/consequential approach of future studies.</w:t>
      </w:r>
    </w:p>
    <w:p w14:paraId="72AB1454" w14:textId="2050B126" w:rsidR="00194EEB" w:rsidRDefault="00194EEB" w:rsidP="001560C9">
      <w:pPr>
        <w:jc w:val="both"/>
      </w:pPr>
      <w:r>
        <w:t>An additional challenge was posed by the different TRL of selected waste-to-nutrition pathways, preventing their fair comparison</w:t>
      </w:r>
      <w:r>
        <w:fldChar w:fldCharType="begin"/>
      </w:r>
      <w:r w:rsidR="00827449">
        <w:instrText xml:space="preserve"> ADDIN ZOTERO_ITEM CSL_CITATION {"citationID":"rAfMsHjR","properties":{"formattedCitation":"\\super 16\\nosupersub{}","plainCitation":"16","noteIndex":0},"citationItems":[{"id":13930,"uris":["http://zotero.org/users/6423791/items/P28TEYKD"],"itemData":{"id":13930,"type":"book","event-place":"Luxembourg","publisher":"Publications Office of the European Union","publisher-place":"Luxembourg","title":"Prospective LCA methodology for novel and emerging technologies for bio-based products : the Planet Bio project","URL":"https://dx.doi.org/10.2760/167543","author":[{"family":"Cucurachi","given":"S."},{"literal":"Steubing, B."},{"literal":"Siebler, F."},{"literal":"Navarre, N."},{"literal":"Caldeira, C."},{"literal":"Sala, S."}],"issued":{"date-parts":[["2022"]]}}}],"schema":"https://github.com/citation-style-language/schema/raw/master/csl-citation.json"} </w:instrText>
      </w:r>
      <w:r>
        <w:fldChar w:fldCharType="separate"/>
      </w:r>
      <w:r w:rsidR="00682E10" w:rsidRPr="00682E10">
        <w:rPr>
          <w:rFonts w:ascii="Calibri" w:hAnsi="Calibri" w:cs="Calibri"/>
          <w:szCs w:val="24"/>
          <w:vertAlign w:val="superscript"/>
        </w:rPr>
        <w:t>16</w:t>
      </w:r>
      <w:r>
        <w:fldChar w:fldCharType="end"/>
      </w:r>
      <w:r>
        <w:t>.</w:t>
      </w:r>
      <w:r w:rsidR="00A01B68">
        <w:t xml:space="preserve"> This was dealt with by implementing a common inventory upscaling strategy, already </w:t>
      </w:r>
      <w:r w:rsidR="003117F1">
        <w:t>presented</w:t>
      </w:r>
      <w:r w:rsidR="00A01B68">
        <w:t xml:space="preserve"> in the main manuscript.</w:t>
      </w:r>
      <w:r w:rsidR="003117F1">
        <w:t xml:space="preserve"> </w:t>
      </w:r>
      <w:r w:rsidR="003117F1" w:rsidRPr="003117F1">
        <w:t>Reviewed by the Planet Bio report</w:t>
      </w:r>
      <w:r w:rsidR="003117F1" w:rsidRPr="003117F1">
        <w:fldChar w:fldCharType="begin"/>
      </w:r>
      <w:r w:rsidR="00827449">
        <w:instrText xml:space="preserve"> ADDIN ZOTERO_ITEM CSL_CITATION {"citationID":"a1t82qtu60g","properties":{"formattedCitation":"\\super 16\\nosupersub{}","plainCitation":"16","noteIndex":0},"citationItems":[{"id":13930,"uris":["http://zotero.org/users/6423791/items/P28TEYKD"],"itemData":{"id":13930,"type":"book","event-place":"Luxembourg","publisher":"Publications Office of the European Union","publisher-place":"Luxembourg","title":"Prospective LCA methodology for novel and emerging technologies for bio-based products : the Planet Bio project","URL":"https://dx.doi.org/10.2760/167543","author":[{"family":"Cucurachi","given":"S."},{"literal":"Steubing, B."},{"literal":"Siebler, F."},{"literal":"Navarre, N."},{"literal":"Caldeira, C."},{"literal":"Sala, S."}],"issued":{"date-parts":[["2022"]]}}}],"schema":"https://github.com/citation-style-language/schema/raw/master/csl-citation.json"} </w:instrText>
      </w:r>
      <w:r w:rsidR="003117F1" w:rsidRPr="003117F1">
        <w:fldChar w:fldCharType="separate"/>
      </w:r>
      <w:r w:rsidR="00682E10" w:rsidRPr="00682E10">
        <w:rPr>
          <w:rFonts w:ascii="Calibri" w:hAnsi="Calibri" w:cs="Calibri"/>
          <w:szCs w:val="24"/>
          <w:vertAlign w:val="superscript"/>
        </w:rPr>
        <w:t>16</w:t>
      </w:r>
      <w:r w:rsidR="003117F1" w:rsidRPr="003117F1">
        <w:fldChar w:fldCharType="end"/>
      </w:r>
      <w:r w:rsidR="003117F1" w:rsidRPr="003117F1">
        <w:t>, upscaling is commonly performed by combining process calculation, extrapolation and proxies</w:t>
      </w:r>
      <w:r w:rsidR="003117F1">
        <w:t>. The consistency of all upscaled LCI models was ensured by systematically implementing the following specifications.</w:t>
      </w:r>
    </w:p>
    <w:p w14:paraId="66EF9D79" w14:textId="6807E49B" w:rsidR="003117F1" w:rsidRDefault="003117F1" w:rsidP="00027C37">
      <w:pPr>
        <w:pStyle w:val="Paragraphedeliste"/>
        <w:numPr>
          <w:ilvl w:val="0"/>
          <w:numId w:val="2"/>
        </w:numPr>
        <w:jc w:val="both"/>
      </w:pPr>
      <w:r>
        <w:t>LCI calculation mod</w:t>
      </w:r>
      <w:r w:rsidR="00655BBB">
        <w:t>el</w:t>
      </w:r>
      <w:r>
        <w:t xml:space="preserve">s are </w:t>
      </w:r>
      <w:r w:rsidRPr="009E0122">
        <w:rPr>
          <w:b/>
        </w:rPr>
        <w:t>connectable</w:t>
      </w:r>
      <w:r>
        <w:t>.</w:t>
      </w:r>
    </w:p>
    <w:p w14:paraId="117916B5" w14:textId="77777777" w:rsidR="003117F1" w:rsidRDefault="003117F1" w:rsidP="003117F1">
      <w:pPr>
        <w:pStyle w:val="Paragraphedeliste"/>
        <w:jc w:val="both"/>
      </w:pPr>
      <w:r>
        <w:t>This is because several studied systems are composed of common sub-systems. For example, anaerobic digestion is a standalone bioresource management option producing energy, but is also part of waste-to-nutrition pathways as pretreatment (e.g. biogas used for microbial proteins production) or co-product management (e.g. to treat the brown juice of green biorefineries). On top of ensuring harmonization of LCI models, the modularity allows to save modeling time when complexifying the systems, and enables future reuses of the present LCI in other studies.</w:t>
      </w:r>
    </w:p>
    <w:p w14:paraId="6D68D8DF" w14:textId="5503090D" w:rsidR="003117F1" w:rsidRDefault="003117F1" w:rsidP="00027C37">
      <w:pPr>
        <w:pStyle w:val="Paragraphedeliste"/>
        <w:numPr>
          <w:ilvl w:val="0"/>
          <w:numId w:val="2"/>
        </w:numPr>
        <w:jc w:val="both"/>
      </w:pPr>
      <w:r>
        <w:t>LCI calculation mod</w:t>
      </w:r>
      <w:r w:rsidR="00655BBB">
        <w:t>el</w:t>
      </w:r>
      <w:r>
        <w:t xml:space="preserve">s are </w:t>
      </w:r>
      <w:r w:rsidRPr="009E0122">
        <w:rPr>
          <w:b/>
        </w:rPr>
        <w:t>harmonized</w:t>
      </w:r>
      <w:r>
        <w:t xml:space="preserve">. </w:t>
      </w:r>
    </w:p>
    <w:p w14:paraId="6A54C8E9" w14:textId="4B0A64F5" w:rsidR="003117F1" w:rsidRDefault="003117F1" w:rsidP="003117F1">
      <w:pPr>
        <w:pStyle w:val="Paragraphedeliste"/>
        <w:jc w:val="both"/>
      </w:pPr>
      <w:r>
        <w:t>This means that unified modeling choices (e.g. granularity) and assumptions were consistently applied across all systems. For example, common unit operations within different pathways (e.g. centrifuge) were modeled the same way and using the same parameters across mod</w:t>
      </w:r>
      <w:r w:rsidR="00655BBB">
        <w:t>el</w:t>
      </w:r>
      <w:r>
        <w:t>s.</w:t>
      </w:r>
    </w:p>
    <w:p w14:paraId="51AC940C" w14:textId="41C1E5B6" w:rsidR="003117F1" w:rsidRDefault="003117F1" w:rsidP="00027C37">
      <w:pPr>
        <w:pStyle w:val="Paragraphedeliste"/>
        <w:numPr>
          <w:ilvl w:val="0"/>
          <w:numId w:val="2"/>
        </w:numPr>
        <w:jc w:val="both"/>
      </w:pPr>
      <w:r>
        <w:t>LCI mode</w:t>
      </w:r>
      <w:r w:rsidR="00655BBB">
        <w:t>l</w:t>
      </w:r>
      <w:r>
        <w:t xml:space="preserve">s are </w:t>
      </w:r>
      <w:r w:rsidRPr="009E0122">
        <w:rPr>
          <w:b/>
        </w:rPr>
        <w:t>flexible to input</w:t>
      </w:r>
      <w:r>
        <w:t>’s characteristics.</w:t>
      </w:r>
    </w:p>
    <w:p w14:paraId="64B85E6F" w14:textId="41B993AA" w:rsidR="003117F1" w:rsidRDefault="003117F1" w:rsidP="003117F1">
      <w:pPr>
        <w:pStyle w:val="Paragraphedeliste"/>
        <w:jc w:val="both"/>
      </w:pPr>
      <w:r>
        <w:lastRenderedPageBreak/>
        <w:t>This means that inventories consider the composition-structure (including biochemical composition) and gate of the specific residual stream assessed. Thus, they can be applied to streams with different composition and are not bound to be used for one fixed composition only.</w:t>
      </w:r>
    </w:p>
    <w:p w14:paraId="100BAC82" w14:textId="03D5B8AA" w:rsidR="003117F1" w:rsidRDefault="003117F1" w:rsidP="00027C37">
      <w:pPr>
        <w:pStyle w:val="Paragraphedeliste"/>
        <w:numPr>
          <w:ilvl w:val="0"/>
          <w:numId w:val="2"/>
        </w:numPr>
        <w:jc w:val="both"/>
      </w:pPr>
      <w:r>
        <w:t>LCI mod</w:t>
      </w:r>
      <w:r w:rsidR="00655BBB">
        <w:t>el</w:t>
      </w:r>
      <w:r>
        <w:t xml:space="preserve">s are </w:t>
      </w:r>
      <w:r w:rsidRPr="009E0122">
        <w:rPr>
          <w:b/>
        </w:rPr>
        <w:t>flexible to</w:t>
      </w:r>
      <w:r>
        <w:t xml:space="preserve"> operating parameters as well as the many routes future </w:t>
      </w:r>
      <w:r w:rsidRPr="009E0122">
        <w:rPr>
          <w:b/>
        </w:rPr>
        <w:t>technological performances</w:t>
      </w:r>
      <w:r>
        <w:t xml:space="preserve"> can take.</w:t>
      </w:r>
    </w:p>
    <w:p w14:paraId="2AE5A516" w14:textId="6EDD10F0" w:rsidR="003117F1" w:rsidRDefault="003117F1" w:rsidP="003117F1">
      <w:pPr>
        <w:pStyle w:val="Paragraphedeliste"/>
        <w:jc w:val="both"/>
      </w:pPr>
      <w:r>
        <w:t>This implies that for each technology, unit operation, process involved in the systems, the key parameters influencing the inventories and the outputs’ quality were identified, documented and integrated to the models.</w:t>
      </w:r>
    </w:p>
    <w:p w14:paraId="30D99C4A" w14:textId="1FB72B6D" w:rsidR="00B94C7D" w:rsidRDefault="003117F1" w:rsidP="001560C9">
      <w:pPr>
        <w:jc w:val="both"/>
      </w:pPr>
      <w:r>
        <w:t>A data selection rationale to document technology parameters was defined (</w:t>
      </w:r>
      <w:r w:rsidRPr="003117F1">
        <w:rPr>
          <w:b/>
        </w:rPr>
        <w:fldChar w:fldCharType="begin"/>
      </w:r>
      <w:r w:rsidRPr="003117F1">
        <w:rPr>
          <w:b/>
        </w:rPr>
        <w:instrText xml:space="preserve"> REF _Ref144733720 \h </w:instrText>
      </w:r>
      <w:r>
        <w:rPr>
          <w:b/>
        </w:rPr>
        <w:instrText xml:space="preserve"> \* MERGEFORMAT </w:instrText>
      </w:r>
      <w:r w:rsidRPr="003117F1">
        <w:rPr>
          <w:b/>
        </w:rPr>
      </w:r>
      <w:r w:rsidRPr="003117F1">
        <w:rPr>
          <w:b/>
        </w:rPr>
        <w:fldChar w:fldCharType="separate"/>
      </w:r>
      <w:r w:rsidR="00F25F8C" w:rsidRPr="00F25F8C">
        <w:rPr>
          <w:b/>
        </w:rPr>
        <w:t xml:space="preserve">Table SI. </w:t>
      </w:r>
      <w:r w:rsidR="00F25F8C" w:rsidRPr="00F25F8C">
        <w:rPr>
          <w:b/>
          <w:noProof/>
        </w:rPr>
        <w:t>7</w:t>
      </w:r>
      <w:r w:rsidRPr="003117F1">
        <w:rPr>
          <w:b/>
        </w:rPr>
        <w:fldChar w:fldCharType="end"/>
      </w:r>
      <w:r>
        <w:t>).</w:t>
      </w:r>
      <w:r w:rsidR="003F16E8">
        <w:t xml:space="preserve"> Albeit alternative approaches to estimate values distribution with few data points might exist (e.g. pedigree matrices or the use of triangular distributions), these choice remains highly subjective when applied to prospective assessments. Acknowledging the exploratory endeavor of this study, the less restrictions </w:t>
      </w:r>
      <w:r w:rsidR="003F16E8" w:rsidRPr="003F16E8">
        <w:t xml:space="preserve">possible to the achievable future technology performances were considered. These future technology performances were therefore only defined with min-max value ranges, and indicative baseline values were used </w:t>
      </w:r>
      <w:r w:rsidR="003F16E8">
        <w:t>for illustration purposes.</w:t>
      </w:r>
      <w:r w:rsidR="006A75E1">
        <w:t xml:space="preserve"> </w:t>
      </w:r>
      <w:r w:rsidR="006A75E1" w:rsidRPr="006A75E1">
        <w:t>The number of data sources used to derive min-max and baseline values for a specific parameter depends on the quality and quantity of data available</w:t>
      </w:r>
      <w:r w:rsidR="006A75E1">
        <w:t xml:space="preserve"> for each specific pathway and/or unit operation</w:t>
      </w:r>
      <w:r w:rsidR="006A75E1" w:rsidRPr="006A75E1">
        <w:t>, but was always based on at least two different sources (often: lab-scale data and assumed forecasted performance by stakeholders).</w:t>
      </w:r>
      <w:r w:rsidR="006A75E1">
        <w:t xml:space="preserve"> This comes to implicitly consider that future performances will range between </w:t>
      </w:r>
      <w:r w:rsidR="006A75E1" w:rsidRPr="006A75E1">
        <w:t>current performances and future expectations.</w:t>
      </w:r>
      <w:r w:rsidR="006A75E1">
        <w:t xml:space="preserve"> No general trend for technological improvements were considered, and all parameters defined as independent. </w:t>
      </w:r>
      <w:r w:rsidR="006A75E1" w:rsidRPr="006A75E1">
        <w:t>The underlying assumption is that technological improvement is context and technology-specific, and that it is as imprudent to develop a technology-optimistic approach than a technology-pessimistic one when conducting prospective assessments.</w:t>
      </w:r>
    </w:p>
    <w:p w14:paraId="242F64C7" w14:textId="7E637B52" w:rsidR="003117F1" w:rsidRPr="00C63345" w:rsidRDefault="003117F1" w:rsidP="00CE3893">
      <w:pPr>
        <w:pStyle w:val="Lgende"/>
        <w:jc w:val="left"/>
        <w:rPr>
          <w:b w:val="0"/>
          <w:i/>
        </w:rPr>
      </w:pPr>
      <w:bookmarkStart w:id="33" w:name="_Ref144733720"/>
      <w:bookmarkStart w:id="34" w:name="_Toc126143555"/>
      <w:bookmarkStart w:id="35" w:name="_Toc151967891"/>
      <w:r>
        <w:t xml:space="preserve">Table SI. </w:t>
      </w:r>
      <w:r>
        <w:fldChar w:fldCharType="begin"/>
      </w:r>
      <w:r>
        <w:instrText xml:space="preserve"> SEQ Table_SI. \* ARABIC </w:instrText>
      </w:r>
      <w:r>
        <w:fldChar w:fldCharType="separate"/>
      </w:r>
      <w:r w:rsidR="00F25F8C">
        <w:rPr>
          <w:noProof/>
        </w:rPr>
        <w:t>7</w:t>
      </w:r>
      <w:r>
        <w:fldChar w:fldCharType="end"/>
      </w:r>
      <w:bookmarkEnd w:id="33"/>
      <w:r>
        <w:t xml:space="preserve"> </w:t>
      </w:r>
      <w:r w:rsidRPr="000D56E2">
        <w:t>– Data selection hierarchy for technology parameters</w:t>
      </w:r>
      <w:bookmarkEnd w:id="34"/>
      <w:bookmarkEnd w:id="35"/>
    </w:p>
    <w:tbl>
      <w:tblPr>
        <w:tblStyle w:val="Tableausimple2"/>
        <w:tblW w:w="0" w:type="auto"/>
        <w:tblLook w:val="04A0" w:firstRow="1" w:lastRow="0" w:firstColumn="1" w:lastColumn="0" w:noHBand="0" w:noVBand="1"/>
      </w:tblPr>
      <w:tblGrid>
        <w:gridCol w:w="448"/>
        <w:gridCol w:w="930"/>
        <w:gridCol w:w="1251"/>
        <w:gridCol w:w="725"/>
        <w:gridCol w:w="1081"/>
        <w:gridCol w:w="1089"/>
        <w:gridCol w:w="1084"/>
      </w:tblGrid>
      <w:tr w:rsidR="003117F1" w:rsidRPr="00B94C7D" w14:paraId="728957C9" w14:textId="77777777" w:rsidTr="00CE3893">
        <w:trPr>
          <w:cnfStyle w:val="100000000000" w:firstRow="1" w:lastRow="0" w:firstColumn="0" w:lastColumn="0" w:oddVBand="0" w:evenVBand="0" w:oddHBand="0" w:evenHBand="0" w:firstRowFirstColumn="0" w:firstRowLastColumn="0" w:lastRowFirstColumn="0" w:lastRowLastColumn="0"/>
          <w:trHeight w:val="43"/>
        </w:trPr>
        <w:tc>
          <w:tcPr>
            <w:cnfStyle w:val="001000000000" w:firstRow="0" w:lastRow="0" w:firstColumn="1" w:lastColumn="0" w:oddVBand="0" w:evenVBand="0" w:oddHBand="0" w:evenHBand="0" w:firstRowFirstColumn="0" w:firstRowLastColumn="0" w:lastRowFirstColumn="0" w:lastRowLastColumn="0"/>
            <w:tcW w:w="0" w:type="auto"/>
            <w:gridSpan w:val="2"/>
            <w:vMerge w:val="restart"/>
          </w:tcPr>
          <w:p w14:paraId="4939DF17" w14:textId="77777777" w:rsidR="003117F1" w:rsidRPr="00B94C7D" w:rsidRDefault="003117F1" w:rsidP="00545AE3">
            <w:pPr>
              <w:rPr>
                <w:rFonts w:ascii="Calibri" w:eastAsia="Times New Roman" w:hAnsi="Calibri" w:cs="Calibri"/>
                <w:b w:val="0"/>
                <w:bCs w:val="0"/>
                <w:color w:val="000000"/>
                <w:sz w:val="18"/>
                <w:szCs w:val="18"/>
                <w:lang w:eastAsia="fr-FR"/>
              </w:rPr>
            </w:pPr>
          </w:p>
        </w:tc>
        <w:tc>
          <w:tcPr>
            <w:tcW w:w="0" w:type="auto"/>
            <w:gridSpan w:val="5"/>
          </w:tcPr>
          <w:p w14:paraId="4C30430E" w14:textId="77777777" w:rsidR="003117F1" w:rsidRPr="00B94C7D" w:rsidRDefault="003117F1" w:rsidP="00B94C7D">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8"/>
                <w:szCs w:val="18"/>
                <w:lang w:eastAsia="fr-FR"/>
              </w:rPr>
            </w:pPr>
            <w:r w:rsidRPr="00B94C7D">
              <w:rPr>
                <w:rFonts w:ascii="Calibri" w:eastAsia="Times New Roman" w:hAnsi="Calibri" w:cs="Calibri"/>
                <w:color w:val="000000"/>
                <w:sz w:val="18"/>
                <w:szCs w:val="18"/>
                <w:lang w:eastAsia="fr-FR"/>
              </w:rPr>
              <w:t>Data source</w:t>
            </w:r>
          </w:p>
        </w:tc>
      </w:tr>
      <w:tr w:rsidR="003117F1" w:rsidRPr="00B94C7D" w14:paraId="0F3D9A9B" w14:textId="77777777" w:rsidTr="00CE389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gridSpan w:val="2"/>
            <w:vMerge/>
          </w:tcPr>
          <w:p w14:paraId="19F9A2D9" w14:textId="77777777" w:rsidR="003117F1" w:rsidRPr="00B94C7D" w:rsidRDefault="003117F1" w:rsidP="00545AE3">
            <w:pPr>
              <w:rPr>
                <w:rFonts w:ascii="Times New Roman" w:eastAsia="Times New Roman" w:hAnsi="Times New Roman" w:cs="Times New Roman"/>
                <w:sz w:val="18"/>
                <w:szCs w:val="18"/>
                <w:lang w:eastAsia="fr-FR"/>
              </w:rPr>
            </w:pPr>
          </w:p>
        </w:tc>
        <w:tc>
          <w:tcPr>
            <w:tcW w:w="0" w:type="auto"/>
            <w:noWrap/>
            <w:hideMark/>
          </w:tcPr>
          <w:p w14:paraId="18E916CE" w14:textId="77777777" w:rsidR="003117F1" w:rsidRPr="00B94C7D" w:rsidRDefault="003117F1" w:rsidP="00545AE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eastAsia="fr-FR"/>
              </w:rPr>
            </w:pPr>
            <w:r w:rsidRPr="00B94C7D">
              <w:rPr>
                <w:rFonts w:ascii="Calibri" w:eastAsia="Times New Roman" w:hAnsi="Calibri" w:cs="Calibri"/>
                <w:b/>
                <w:color w:val="000000"/>
                <w:sz w:val="18"/>
                <w:szCs w:val="18"/>
                <w:lang w:eastAsia="fr-FR"/>
              </w:rPr>
              <w:t>meta-analysis</w:t>
            </w:r>
          </w:p>
        </w:tc>
        <w:tc>
          <w:tcPr>
            <w:tcW w:w="0" w:type="auto"/>
            <w:noWrap/>
            <w:hideMark/>
          </w:tcPr>
          <w:p w14:paraId="411CAA9D" w14:textId="77777777" w:rsidR="003117F1" w:rsidRPr="00B94C7D" w:rsidRDefault="003117F1" w:rsidP="00545AE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eastAsia="fr-FR"/>
              </w:rPr>
            </w:pPr>
            <w:r w:rsidRPr="00B94C7D">
              <w:rPr>
                <w:rFonts w:ascii="Calibri" w:eastAsia="Times New Roman" w:hAnsi="Calibri" w:cs="Calibri"/>
                <w:b/>
                <w:color w:val="000000"/>
                <w:sz w:val="18"/>
                <w:szCs w:val="18"/>
                <w:lang w:eastAsia="fr-FR"/>
              </w:rPr>
              <w:t>review</w:t>
            </w:r>
          </w:p>
        </w:tc>
        <w:tc>
          <w:tcPr>
            <w:tcW w:w="0" w:type="auto"/>
            <w:noWrap/>
            <w:hideMark/>
          </w:tcPr>
          <w:p w14:paraId="03CA1158" w14:textId="77777777" w:rsidR="003117F1" w:rsidRPr="00B94C7D" w:rsidRDefault="003117F1" w:rsidP="00545AE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eastAsia="fr-FR"/>
              </w:rPr>
            </w:pPr>
            <w:r w:rsidRPr="00B94C7D">
              <w:rPr>
                <w:rFonts w:ascii="Calibri" w:eastAsia="Times New Roman" w:hAnsi="Calibri" w:cs="Calibri"/>
                <w:b/>
                <w:color w:val="000000"/>
                <w:sz w:val="18"/>
                <w:szCs w:val="18"/>
                <w:lang w:eastAsia="fr-FR"/>
              </w:rPr>
              <w:t>experiment</w:t>
            </w:r>
          </w:p>
        </w:tc>
        <w:tc>
          <w:tcPr>
            <w:tcW w:w="0" w:type="auto"/>
            <w:noWrap/>
            <w:hideMark/>
          </w:tcPr>
          <w:p w14:paraId="7A081B4E" w14:textId="77777777" w:rsidR="003117F1" w:rsidRPr="00B94C7D" w:rsidRDefault="003117F1" w:rsidP="00545AE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eastAsia="fr-FR"/>
              </w:rPr>
            </w:pPr>
            <w:r w:rsidRPr="00B94C7D">
              <w:rPr>
                <w:rFonts w:ascii="Calibri" w:eastAsia="Times New Roman" w:hAnsi="Calibri" w:cs="Calibri"/>
                <w:b/>
                <w:color w:val="000000"/>
                <w:sz w:val="18"/>
                <w:szCs w:val="18"/>
                <w:lang w:eastAsia="fr-FR"/>
              </w:rPr>
              <w:t>assumption</w:t>
            </w:r>
          </w:p>
        </w:tc>
        <w:tc>
          <w:tcPr>
            <w:tcW w:w="0" w:type="auto"/>
            <w:noWrap/>
            <w:hideMark/>
          </w:tcPr>
          <w:p w14:paraId="240C8456" w14:textId="77777777" w:rsidR="003117F1" w:rsidRPr="00B94C7D" w:rsidRDefault="003117F1" w:rsidP="00545AE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eastAsia="fr-FR"/>
              </w:rPr>
            </w:pPr>
            <w:r w:rsidRPr="00B94C7D">
              <w:rPr>
                <w:rFonts w:ascii="Calibri" w:eastAsia="Times New Roman" w:hAnsi="Calibri" w:cs="Calibri"/>
                <w:b/>
                <w:color w:val="000000"/>
                <w:sz w:val="18"/>
                <w:szCs w:val="18"/>
                <w:lang w:eastAsia="fr-FR"/>
              </w:rPr>
              <w:t>no mention</w:t>
            </w:r>
          </w:p>
        </w:tc>
      </w:tr>
      <w:tr w:rsidR="003117F1" w:rsidRPr="00B94C7D" w14:paraId="1FB08F49" w14:textId="77777777" w:rsidTr="00CE3893">
        <w:trPr>
          <w:trHeight w:val="290"/>
        </w:trPr>
        <w:tc>
          <w:tcPr>
            <w:cnfStyle w:val="001000000000" w:firstRow="0" w:lastRow="0" w:firstColumn="1" w:lastColumn="0" w:oddVBand="0" w:evenVBand="0" w:oddHBand="0" w:evenHBand="0" w:firstRowFirstColumn="0" w:firstRowLastColumn="0" w:lastRowFirstColumn="0" w:lastRowLastColumn="0"/>
            <w:tcW w:w="0" w:type="auto"/>
            <w:vMerge w:val="restart"/>
            <w:textDirection w:val="btLr"/>
          </w:tcPr>
          <w:p w14:paraId="4960EB19" w14:textId="77777777" w:rsidR="003117F1" w:rsidRPr="00B94C7D" w:rsidRDefault="003117F1" w:rsidP="00B94C7D">
            <w:pPr>
              <w:ind w:left="113" w:right="113"/>
              <w:jc w:val="center"/>
              <w:rPr>
                <w:rFonts w:ascii="Calibri" w:eastAsia="Times New Roman" w:hAnsi="Calibri" w:cs="Calibri"/>
                <w:color w:val="000000"/>
                <w:sz w:val="18"/>
                <w:szCs w:val="18"/>
                <w:lang w:eastAsia="fr-FR"/>
              </w:rPr>
            </w:pPr>
            <w:r w:rsidRPr="00B94C7D">
              <w:rPr>
                <w:rFonts w:ascii="Calibri" w:eastAsia="Times New Roman" w:hAnsi="Calibri" w:cs="Calibri"/>
                <w:color w:val="000000"/>
                <w:sz w:val="18"/>
                <w:szCs w:val="18"/>
                <w:lang w:eastAsia="fr-FR"/>
              </w:rPr>
              <w:t>Scale</w:t>
            </w:r>
          </w:p>
        </w:tc>
        <w:tc>
          <w:tcPr>
            <w:tcW w:w="0" w:type="auto"/>
            <w:noWrap/>
            <w:hideMark/>
          </w:tcPr>
          <w:p w14:paraId="2628002A" w14:textId="77777777" w:rsidR="003117F1" w:rsidRPr="00B94C7D" w:rsidRDefault="003117F1" w:rsidP="00545AE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sz w:val="18"/>
                <w:szCs w:val="18"/>
                <w:lang w:eastAsia="fr-FR"/>
              </w:rPr>
            </w:pPr>
            <w:r w:rsidRPr="00B94C7D">
              <w:rPr>
                <w:rFonts w:ascii="Calibri" w:eastAsia="Times New Roman" w:hAnsi="Calibri" w:cs="Calibri"/>
                <w:b/>
                <w:color w:val="000000"/>
                <w:sz w:val="18"/>
                <w:szCs w:val="18"/>
                <w:lang w:eastAsia="fr-FR"/>
              </w:rPr>
              <w:t>Industrial</w:t>
            </w:r>
          </w:p>
        </w:tc>
        <w:tc>
          <w:tcPr>
            <w:tcW w:w="0" w:type="auto"/>
            <w:noWrap/>
            <w:hideMark/>
          </w:tcPr>
          <w:p w14:paraId="679B1C2E" w14:textId="77777777" w:rsidR="003117F1" w:rsidRPr="00B94C7D" w:rsidRDefault="003117F1" w:rsidP="00545AE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B94C7D">
              <w:rPr>
                <w:rFonts w:ascii="Calibri" w:eastAsia="Times New Roman" w:hAnsi="Calibri" w:cs="Calibri"/>
                <w:color w:val="000000"/>
                <w:sz w:val="18"/>
                <w:szCs w:val="18"/>
                <w:lang w:eastAsia="fr-FR"/>
              </w:rPr>
              <w:t>+++</w:t>
            </w:r>
          </w:p>
        </w:tc>
        <w:tc>
          <w:tcPr>
            <w:tcW w:w="0" w:type="auto"/>
            <w:noWrap/>
            <w:hideMark/>
          </w:tcPr>
          <w:p w14:paraId="4494F125" w14:textId="77777777" w:rsidR="003117F1" w:rsidRPr="00B94C7D" w:rsidRDefault="003117F1" w:rsidP="00545AE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B94C7D">
              <w:rPr>
                <w:rFonts w:ascii="Calibri" w:eastAsia="Times New Roman" w:hAnsi="Calibri" w:cs="Calibri"/>
                <w:color w:val="000000"/>
                <w:sz w:val="18"/>
                <w:szCs w:val="18"/>
                <w:lang w:eastAsia="fr-FR"/>
              </w:rPr>
              <w:t>++</w:t>
            </w:r>
          </w:p>
        </w:tc>
        <w:tc>
          <w:tcPr>
            <w:tcW w:w="0" w:type="auto"/>
            <w:noWrap/>
            <w:hideMark/>
          </w:tcPr>
          <w:p w14:paraId="20F3E984" w14:textId="77777777" w:rsidR="003117F1" w:rsidRPr="00B94C7D" w:rsidRDefault="003117F1" w:rsidP="00545AE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B94C7D">
              <w:rPr>
                <w:rFonts w:ascii="Calibri" w:eastAsia="Times New Roman" w:hAnsi="Calibri" w:cs="Calibri"/>
                <w:color w:val="000000"/>
                <w:sz w:val="18"/>
                <w:szCs w:val="18"/>
                <w:lang w:eastAsia="fr-FR"/>
              </w:rPr>
              <w:t>+</w:t>
            </w:r>
          </w:p>
        </w:tc>
        <w:tc>
          <w:tcPr>
            <w:tcW w:w="0" w:type="auto"/>
            <w:noWrap/>
            <w:hideMark/>
          </w:tcPr>
          <w:p w14:paraId="485234F6" w14:textId="77777777" w:rsidR="003117F1" w:rsidRPr="00B94C7D" w:rsidRDefault="003117F1" w:rsidP="00545AE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B94C7D">
              <w:rPr>
                <w:rFonts w:ascii="Calibri" w:eastAsia="Times New Roman" w:hAnsi="Calibri" w:cs="Calibri"/>
                <w:color w:val="000000"/>
                <w:sz w:val="18"/>
                <w:szCs w:val="18"/>
                <w:lang w:eastAsia="fr-FR"/>
              </w:rPr>
              <w:t>-</w:t>
            </w:r>
          </w:p>
        </w:tc>
        <w:tc>
          <w:tcPr>
            <w:tcW w:w="0" w:type="auto"/>
            <w:noWrap/>
            <w:hideMark/>
          </w:tcPr>
          <w:p w14:paraId="14C68A33" w14:textId="77777777" w:rsidR="003117F1" w:rsidRPr="00B94C7D" w:rsidRDefault="003117F1" w:rsidP="00545AE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B94C7D">
              <w:rPr>
                <w:rFonts w:ascii="Calibri" w:eastAsia="Times New Roman" w:hAnsi="Calibri" w:cs="Calibri"/>
                <w:color w:val="000000"/>
                <w:sz w:val="18"/>
                <w:szCs w:val="18"/>
                <w:lang w:eastAsia="fr-FR"/>
              </w:rPr>
              <w:t>--</w:t>
            </w:r>
          </w:p>
        </w:tc>
      </w:tr>
      <w:tr w:rsidR="003117F1" w:rsidRPr="00B94C7D" w14:paraId="536045A3" w14:textId="77777777" w:rsidTr="00CE3893">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tcPr>
          <w:p w14:paraId="5375A54E" w14:textId="77777777" w:rsidR="003117F1" w:rsidRPr="00B94C7D" w:rsidRDefault="003117F1" w:rsidP="00545AE3">
            <w:pPr>
              <w:jc w:val="right"/>
              <w:rPr>
                <w:rFonts w:ascii="Calibri" w:eastAsia="Times New Roman" w:hAnsi="Calibri" w:cs="Calibri"/>
                <w:color w:val="000000"/>
                <w:sz w:val="18"/>
                <w:szCs w:val="18"/>
                <w:lang w:eastAsia="fr-FR"/>
              </w:rPr>
            </w:pPr>
          </w:p>
        </w:tc>
        <w:tc>
          <w:tcPr>
            <w:tcW w:w="0" w:type="auto"/>
            <w:noWrap/>
            <w:hideMark/>
          </w:tcPr>
          <w:p w14:paraId="63538D9B" w14:textId="77777777" w:rsidR="003117F1" w:rsidRPr="00B94C7D" w:rsidRDefault="003117F1" w:rsidP="00545AE3">
            <w:pPr>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b/>
                <w:color w:val="000000"/>
                <w:sz w:val="18"/>
                <w:szCs w:val="18"/>
                <w:lang w:eastAsia="fr-FR"/>
              </w:rPr>
            </w:pPr>
            <w:r w:rsidRPr="00B94C7D">
              <w:rPr>
                <w:rFonts w:ascii="Calibri" w:eastAsia="Times New Roman" w:hAnsi="Calibri" w:cs="Calibri"/>
                <w:b/>
                <w:color w:val="000000"/>
                <w:sz w:val="18"/>
                <w:szCs w:val="18"/>
                <w:lang w:eastAsia="fr-FR"/>
              </w:rPr>
              <w:t>Pilot</w:t>
            </w:r>
          </w:p>
        </w:tc>
        <w:tc>
          <w:tcPr>
            <w:tcW w:w="0" w:type="auto"/>
            <w:noWrap/>
            <w:hideMark/>
          </w:tcPr>
          <w:p w14:paraId="176C5F35" w14:textId="77777777" w:rsidR="003117F1" w:rsidRPr="00B94C7D" w:rsidRDefault="003117F1" w:rsidP="00545AE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B94C7D">
              <w:rPr>
                <w:rFonts w:ascii="Calibri" w:eastAsia="Times New Roman" w:hAnsi="Calibri" w:cs="Calibri"/>
                <w:color w:val="000000"/>
                <w:sz w:val="18"/>
                <w:szCs w:val="18"/>
                <w:lang w:eastAsia="fr-FR"/>
              </w:rPr>
              <w:t>++</w:t>
            </w:r>
          </w:p>
        </w:tc>
        <w:tc>
          <w:tcPr>
            <w:tcW w:w="0" w:type="auto"/>
            <w:noWrap/>
            <w:hideMark/>
          </w:tcPr>
          <w:p w14:paraId="338D3D4F" w14:textId="77777777" w:rsidR="003117F1" w:rsidRPr="00B94C7D" w:rsidRDefault="003117F1" w:rsidP="00545AE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B94C7D">
              <w:rPr>
                <w:rFonts w:ascii="Calibri" w:eastAsia="Times New Roman" w:hAnsi="Calibri" w:cs="Calibri"/>
                <w:color w:val="000000"/>
                <w:sz w:val="18"/>
                <w:szCs w:val="18"/>
                <w:lang w:eastAsia="fr-FR"/>
              </w:rPr>
              <w:t>++</w:t>
            </w:r>
          </w:p>
        </w:tc>
        <w:tc>
          <w:tcPr>
            <w:tcW w:w="0" w:type="auto"/>
            <w:noWrap/>
            <w:hideMark/>
          </w:tcPr>
          <w:p w14:paraId="4C75DD5C" w14:textId="77777777" w:rsidR="003117F1" w:rsidRPr="00B94C7D" w:rsidRDefault="003117F1" w:rsidP="00545AE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B94C7D">
              <w:rPr>
                <w:rFonts w:ascii="Calibri" w:eastAsia="Times New Roman" w:hAnsi="Calibri" w:cs="Calibri"/>
                <w:color w:val="000000"/>
                <w:sz w:val="18"/>
                <w:szCs w:val="18"/>
                <w:lang w:eastAsia="fr-FR"/>
              </w:rPr>
              <w:t>+</w:t>
            </w:r>
          </w:p>
        </w:tc>
        <w:tc>
          <w:tcPr>
            <w:tcW w:w="0" w:type="auto"/>
            <w:noWrap/>
            <w:hideMark/>
          </w:tcPr>
          <w:p w14:paraId="60B9EE35" w14:textId="77777777" w:rsidR="003117F1" w:rsidRPr="00B94C7D" w:rsidRDefault="003117F1" w:rsidP="00545AE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B94C7D">
              <w:rPr>
                <w:rFonts w:ascii="Calibri" w:eastAsia="Times New Roman" w:hAnsi="Calibri" w:cs="Calibri"/>
                <w:color w:val="000000"/>
                <w:sz w:val="18"/>
                <w:szCs w:val="18"/>
                <w:lang w:eastAsia="fr-FR"/>
              </w:rPr>
              <w:t>-</w:t>
            </w:r>
          </w:p>
        </w:tc>
        <w:tc>
          <w:tcPr>
            <w:tcW w:w="0" w:type="auto"/>
            <w:noWrap/>
            <w:hideMark/>
          </w:tcPr>
          <w:p w14:paraId="57F454A6" w14:textId="77777777" w:rsidR="003117F1" w:rsidRPr="00B94C7D" w:rsidRDefault="003117F1" w:rsidP="00545AE3">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lang w:eastAsia="fr-FR"/>
              </w:rPr>
            </w:pPr>
            <w:r w:rsidRPr="00B94C7D">
              <w:rPr>
                <w:rFonts w:ascii="Calibri" w:eastAsia="Times New Roman" w:hAnsi="Calibri" w:cs="Calibri"/>
                <w:color w:val="000000"/>
                <w:sz w:val="18"/>
                <w:szCs w:val="18"/>
                <w:lang w:eastAsia="fr-FR"/>
              </w:rPr>
              <w:t>--</w:t>
            </w:r>
          </w:p>
        </w:tc>
      </w:tr>
      <w:tr w:rsidR="003117F1" w:rsidRPr="00B94C7D" w14:paraId="2C27D57A" w14:textId="77777777" w:rsidTr="00CE3893">
        <w:trPr>
          <w:trHeight w:val="290"/>
        </w:trPr>
        <w:tc>
          <w:tcPr>
            <w:cnfStyle w:val="001000000000" w:firstRow="0" w:lastRow="0" w:firstColumn="1" w:lastColumn="0" w:oddVBand="0" w:evenVBand="0" w:oddHBand="0" w:evenHBand="0" w:firstRowFirstColumn="0" w:firstRowLastColumn="0" w:lastRowFirstColumn="0" w:lastRowLastColumn="0"/>
            <w:tcW w:w="0" w:type="auto"/>
            <w:vMerge/>
          </w:tcPr>
          <w:p w14:paraId="2F5C562F" w14:textId="77777777" w:rsidR="003117F1" w:rsidRPr="00B94C7D" w:rsidRDefault="003117F1" w:rsidP="00545AE3">
            <w:pPr>
              <w:jc w:val="right"/>
              <w:rPr>
                <w:rFonts w:ascii="Calibri" w:eastAsia="Times New Roman" w:hAnsi="Calibri" w:cs="Calibri"/>
                <w:color w:val="000000"/>
                <w:sz w:val="18"/>
                <w:szCs w:val="18"/>
                <w:lang w:eastAsia="fr-FR"/>
              </w:rPr>
            </w:pPr>
          </w:p>
        </w:tc>
        <w:tc>
          <w:tcPr>
            <w:tcW w:w="0" w:type="auto"/>
            <w:noWrap/>
            <w:hideMark/>
          </w:tcPr>
          <w:p w14:paraId="046305FF" w14:textId="77777777" w:rsidR="003117F1" w:rsidRPr="00B94C7D" w:rsidRDefault="003117F1" w:rsidP="00545AE3">
            <w:pPr>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b/>
                <w:color w:val="000000"/>
                <w:sz w:val="18"/>
                <w:szCs w:val="18"/>
                <w:lang w:eastAsia="fr-FR"/>
              </w:rPr>
            </w:pPr>
            <w:r w:rsidRPr="00B94C7D">
              <w:rPr>
                <w:rFonts w:ascii="Calibri" w:eastAsia="Times New Roman" w:hAnsi="Calibri" w:cs="Calibri"/>
                <w:b/>
                <w:color w:val="000000"/>
                <w:sz w:val="18"/>
                <w:szCs w:val="18"/>
                <w:lang w:eastAsia="fr-FR"/>
              </w:rPr>
              <w:t>Lab</w:t>
            </w:r>
          </w:p>
        </w:tc>
        <w:tc>
          <w:tcPr>
            <w:tcW w:w="0" w:type="auto"/>
            <w:noWrap/>
            <w:hideMark/>
          </w:tcPr>
          <w:p w14:paraId="65E9AE99" w14:textId="77777777" w:rsidR="003117F1" w:rsidRPr="00B94C7D" w:rsidRDefault="003117F1" w:rsidP="00545AE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B94C7D">
              <w:rPr>
                <w:rFonts w:ascii="Calibri" w:eastAsia="Times New Roman" w:hAnsi="Calibri" w:cs="Calibri"/>
                <w:color w:val="000000"/>
                <w:sz w:val="18"/>
                <w:szCs w:val="18"/>
                <w:lang w:eastAsia="fr-FR"/>
              </w:rPr>
              <w:t>+</w:t>
            </w:r>
          </w:p>
        </w:tc>
        <w:tc>
          <w:tcPr>
            <w:tcW w:w="0" w:type="auto"/>
            <w:noWrap/>
            <w:hideMark/>
          </w:tcPr>
          <w:p w14:paraId="50DC0ECE" w14:textId="77777777" w:rsidR="003117F1" w:rsidRPr="00B94C7D" w:rsidRDefault="003117F1" w:rsidP="00545AE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B94C7D">
              <w:rPr>
                <w:rFonts w:ascii="Calibri" w:eastAsia="Times New Roman" w:hAnsi="Calibri" w:cs="Calibri"/>
                <w:color w:val="000000"/>
                <w:sz w:val="18"/>
                <w:szCs w:val="18"/>
                <w:lang w:eastAsia="fr-FR"/>
              </w:rPr>
              <w:t>+</w:t>
            </w:r>
          </w:p>
        </w:tc>
        <w:tc>
          <w:tcPr>
            <w:tcW w:w="0" w:type="auto"/>
            <w:noWrap/>
            <w:hideMark/>
          </w:tcPr>
          <w:p w14:paraId="2530CBE8" w14:textId="77777777" w:rsidR="003117F1" w:rsidRPr="00B94C7D" w:rsidRDefault="003117F1" w:rsidP="00545AE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B94C7D">
              <w:rPr>
                <w:rFonts w:ascii="Calibri" w:eastAsia="Times New Roman" w:hAnsi="Calibri" w:cs="Calibri"/>
                <w:color w:val="000000"/>
                <w:sz w:val="18"/>
                <w:szCs w:val="18"/>
                <w:lang w:eastAsia="fr-FR"/>
              </w:rPr>
              <w:t>-</w:t>
            </w:r>
          </w:p>
        </w:tc>
        <w:tc>
          <w:tcPr>
            <w:tcW w:w="0" w:type="auto"/>
            <w:noWrap/>
            <w:hideMark/>
          </w:tcPr>
          <w:p w14:paraId="5C0B394E" w14:textId="77777777" w:rsidR="003117F1" w:rsidRPr="00B94C7D" w:rsidRDefault="003117F1" w:rsidP="00545AE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B94C7D">
              <w:rPr>
                <w:rFonts w:ascii="Calibri" w:eastAsia="Times New Roman" w:hAnsi="Calibri" w:cs="Calibri"/>
                <w:color w:val="000000"/>
                <w:sz w:val="18"/>
                <w:szCs w:val="18"/>
                <w:lang w:eastAsia="fr-FR"/>
              </w:rPr>
              <w:t>-</w:t>
            </w:r>
          </w:p>
        </w:tc>
        <w:tc>
          <w:tcPr>
            <w:tcW w:w="0" w:type="auto"/>
            <w:noWrap/>
            <w:hideMark/>
          </w:tcPr>
          <w:p w14:paraId="35A23DC1" w14:textId="77777777" w:rsidR="003117F1" w:rsidRPr="00B94C7D" w:rsidRDefault="003117F1" w:rsidP="00545AE3">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 w:val="18"/>
                <w:szCs w:val="18"/>
                <w:lang w:eastAsia="fr-FR"/>
              </w:rPr>
            </w:pPr>
            <w:r w:rsidRPr="00B94C7D">
              <w:rPr>
                <w:rFonts w:ascii="Calibri" w:eastAsia="Times New Roman" w:hAnsi="Calibri" w:cs="Calibri"/>
                <w:color w:val="000000"/>
                <w:sz w:val="18"/>
                <w:szCs w:val="18"/>
                <w:lang w:eastAsia="fr-FR"/>
              </w:rPr>
              <w:t>--</w:t>
            </w:r>
          </w:p>
        </w:tc>
      </w:tr>
    </w:tbl>
    <w:p w14:paraId="0F358449" w14:textId="0A29C5CD" w:rsidR="003117F1" w:rsidRDefault="003117F1" w:rsidP="003117F1">
      <w:pPr>
        <w:jc w:val="both"/>
        <w:rPr>
          <w:i/>
          <w:sz w:val="18"/>
        </w:rPr>
      </w:pPr>
      <w:r>
        <w:rPr>
          <w:i/>
          <w:sz w:val="18"/>
        </w:rPr>
        <w:t>Meta-analysis and dedicated reviews are primarily used, before deriving self-made averaged proxies, in line the Planet Bio report guidelines</w:t>
      </w:r>
      <w:r w:rsidRPr="003117F1">
        <w:rPr>
          <w:i/>
          <w:sz w:val="18"/>
        </w:rPr>
        <w:fldChar w:fldCharType="begin"/>
      </w:r>
      <w:r w:rsidR="00827449">
        <w:rPr>
          <w:i/>
          <w:sz w:val="18"/>
        </w:rPr>
        <w:instrText xml:space="preserve"> ADDIN ZOTERO_ITEM CSL_CITATION {"citationID":"a1k6gdmdhol","properties":{"formattedCitation":"\\super 16\\nosupersub{}","plainCitation":"16","noteIndex":0},"citationItems":[{"id":13930,"uris":["http://zotero.org/users/6423791/items/P28TEYKD"],"itemData":{"id":13930,"type":"book","event-place":"Luxembourg","publisher":"Publications Office of the European Union","publisher-place":"Luxembourg","title":"Prospective LCA methodology for novel and emerging technologies for bio-based products : the Planet Bio project","URL":"https://dx.doi.org/10.2760/167543","author":[{"family":"Cucurachi","given":"S."},{"literal":"Steubing, B."},{"literal":"Siebler, F."},{"literal":"Navarre, N."},{"literal":"Caldeira, C."},{"literal":"Sala, S."}],"issued":{"date-parts":[["2022"]]}}}],"schema":"https://github.com/citation-style-language/schema/raw/master/csl-citation.json"} </w:instrText>
      </w:r>
      <w:r w:rsidRPr="003117F1">
        <w:rPr>
          <w:i/>
          <w:sz w:val="18"/>
        </w:rPr>
        <w:fldChar w:fldCharType="separate"/>
      </w:r>
      <w:r w:rsidR="00682E10" w:rsidRPr="00682E10">
        <w:rPr>
          <w:rFonts w:ascii="Calibri" w:hAnsi="Calibri" w:cs="Calibri"/>
          <w:sz w:val="18"/>
          <w:szCs w:val="24"/>
          <w:vertAlign w:val="superscript"/>
        </w:rPr>
        <w:t>16</w:t>
      </w:r>
      <w:r w:rsidRPr="003117F1">
        <w:rPr>
          <w:i/>
          <w:sz w:val="18"/>
        </w:rPr>
        <w:fldChar w:fldCharType="end"/>
      </w:r>
      <w:r>
        <w:rPr>
          <w:i/>
          <w:sz w:val="18"/>
        </w:rPr>
        <w:t>. The parameters linked with emerging technologies which were only documented at the lab scaled or through practitioners’ assumptions were found to generally display higher variation ranges, as further described.</w:t>
      </w:r>
    </w:p>
    <w:p w14:paraId="75BD79F0" w14:textId="2F97710D" w:rsidR="00101264" w:rsidRDefault="00101264">
      <w:r>
        <w:br w:type="page"/>
      </w:r>
    </w:p>
    <w:p w14:paraId="3C6D8F47" w14:textId="0212A60A" w:rsidR="009A570F" w:rsidRPr="009A570F" w:rsidRDefault="003E786D" w:rsidP="003E786D">
      <w:pPr>
        <w:pStyle w:val="Titre1"/>
      </w:pPr>
      <w:bookmarkStart w:id="36" w:name="_Ref144916617"/>
      <w:bookmarkStart w:id="37" w:name="_Toc145069098"/>
      <w:r>
        <w:lastRenderedPageBreak/>
        <w:t>Life cycle i</w:t>
      </w:r>
      <w:r w:rsidR="009A570F" w:rsidRPr="009A570F">
        <w:t>nventor</w:t>
      </w:r>
      <w:r>
        <w:t>ies modeling documentation</w:t>
      </w:r>
      <w:bookmarkEnd w:id="36"/>
      <w:bookmarkEnd w:id="37"/>
    </w:p>
    <w:p w14:paraId="4638502D" w14:textId="1CBC2047" w:rsidR="002C3320" w:rsidRDefault="002C3320" w:rsidP="002C3320">
      <w:pPr>
        <w:ind w:firstLine="360"/>
        <w:jc w:val="both"/>
      </w:pPr>
      <w:r>
        <w:t>This section details the six (+ one) LCI mod</w:t>
      </w:r>
      <w:r w:rsidR="00655BBB">
        <w:t>el</w:t>
      </w:r>
      <w:r>
        <w:t>s developed to provide the parametric life cycle inventories (LCI) of 1</w:t>
      </w:r>
      <w:r w:rsidR="00C42418">
        <w:t>6</w:t>
      </w:r>
      <w:r>
        <w:t xml:space="preserve"> selected waste-to-nutrition pathways. It lays down the main assumptions, rationales, calculations and references which were used. Each mode</w:t>
      </w:r>
      <w:r w:rsidR="00655BBB">
        <w:t>l</w:t>
      </w:r>
      <w:r>
        <w:t xml:space="preserve"> is individually presented</w:t>
      </w:r>
      <w:r w:rsidR="00A860E3">
        <w:t xml:space="preserve"> (</w:t>
      </w:r>
      <w:r w:rsidR="00A860E3" w:rsidRPr="00C42418">
        <w:rPr>
          <w:b/>
        </w:rPr>
        <w:t>sections</w:t>
      </w:r>
      <w:r w:rsidR="00C42418" w:rsidRPr="00C42418">
        <w:rPr>
          <w:b/>
        </w:rPr>
        <w:t xml:space="preserve"> </w:t>
      </w:r>
      <w:r w:rsidR="003A663A">
        <w:rPr>
          <w:b/>
        </w:rPr>
        <w:t xml:space="preserve">SI. </w:t>
      </w:r>
      <w:r w:rsidR="00C42418" w:rsidRPr="00C42418">
        <w:rPr>
          <w:b/>
        </w:rPr>
        <w:t>4.2-4.8</w:t>
      </w:r>
      <w:r w:rsidR="00A860E3">
        <w:t>)</w:t>
      </w:r>
      <w:r>
        <w:t>, after summarizing the common and transversal modeling items</w:t>
      </w:r>
      <w:r w:rsidR="00A860E3">
        <w:t xml:space="preserve"> (</w:t>
      </w:r>
      <w:r w:rsidR="00A860E3" w:rsidRPr="00C42418">
        <w:rPr>
          <w:b/>
        </w:rPr>
        <w:t xml:space="preserve">section </w:t>
      </w:r>
      <w:r w:rsidR="003A663A">
        <w:rPr>
          <w:b/>
        </w:rPr>
        <w:t xml:space="preserve">SI. </w:t>
      </w:r>
      <w:r w:rsidR="00A860E3" w:rsidRPr="00C42418">
        <w:rPr>
          <w:b/>
        </w:rPr>
        <w:fldChar w:fldCharType="begin"/>
      </w:r>
      <w:r w:rsidR="00A860E3" w:rsidRPr="00C42418">
        <w:rPr>
          <w:b/>
        </w:rPr>
        <w:instrText xml:space="preserve"> REF _Ref144802667 \r \h </w:instrText>
      </w:r>
      <w:r w:rsidR="00C42418">
        <w:rPr>
          <w:b/>
        </w:rPr>
        <w:instrText xml:space="preserve"> \* MERGEFORMAT </w:instrText>
      </w:r>
      <w:r w:rsidR="00A860E3" w:rsidRPr="00C42418">
        <w:rPr>
          <w:b/>
        </w:rPr>
      </w:r>
      <w:r w:rsidR="00A860E3" w:rsidRPr="00C42418">
        <w:rPr>
          <w:b/>
        </w:rPr>
        <w:fldChar w:fldCharType="separate"/>
      </w:r>
      <w:r w:rsidR="00F25F8C" w:rsidRPr="00C42418">
        <w:rPr>
          <w:b/>
        </w:rPr>
        <w:t>4.1</w:t>
      </w:r>
      <w:r w:rsidR="00A860E3" w:rsidRPr="00C42418">
        <w:rPr>
          <w:b/>
        </w:rPr>
        <w:fldChar w:fldCharType="end"/>
      </w:r>
      <w:r w:rsidR="00A860E3">
        <w:t>)</w:t>
      </w:r>
      <w:r>
        <w:t xml:space="preserve">. Importantly, for sake of conciseness, </w:t>
      </w:r>
      <w:r w:rsidR="00655BBB">
        <w:t>the model</w:t>
      </w:r>
      <w:r>
        <w:t>s elaborated in</w:t>
      </w:r>
      <w:r w:rsidR="00B94C7D">
        <w:t xml:space="preserve"> Javourez et al</w:t>
      </w:r>
      <w:r w:rsidR="00B94C7D" w:rsidRPr="003A663A">
        <w:t>., (202</w:t>
      </w:r>
      <w:r w:rsidR="003A663A" w:rsidRPr="003A663A">
        <w:t>4</w:t>
      </w:r>
      <w:r w:rsidR="00B94C7D" w:rsidRPr="003A663A">
        <w:t>)</w:t>
      </w:r>
      <w:r w:rsidR="00B94C7D" w:rsidRPr="003A663A">
        <w:fldChar w:fldCharType="begin"/>
      </w:r>
      <w:r w:rsidR="00827449">
        <w:instrText xml:space="preserve"> ADDIN ZOTERO_ITEM CSL_CITATION {"citationID":"a1vlm5agfhg","properties":{"formattedCitation":"\\super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B94C7D" w:rsidRPr="003A663A">
        <w:fldChar w:fldCharType="separate"/>
      </w:r>
      <w:r w:rsidR="008C451C" w:rsidRPr="003A663A">
        <w:rPr>
          <w:rFonts w:ascii="Calibri" w:hAnsi="Calibri" w:cs="Calibri"/>
          <w:szCs w:val="24"/>
          <w:vertAlign w:val="superscript"/>
        </w:rPr>
        <w:t>1</w:t>
      </w:r>
      <w:r w:rsidR="00B94C7D" w:rsidRPr="003A663A">
        <w:fldChar w:fldCharType="end"/>
      </w:r>
      <w:r>
        <w:t xml:space="preserve"> (that is: anaerobic digestion, composting, decay on land and direct combustion), albeit reused for some pathways </w:t>
      </w:r>
      <w:r w:rsidR="004544E2">
        <w:t>(</w:t>
      </w:r>
      <w:r w:rsidR="004544E2" w:rsidRPr="004544E2">
        <w:rPr>
          <w:b/>
          <w:highlight w:val="yellow"/>
        </w:rPr>
        <w:fldChar w:fldCharType="begin"/>
      </w:r>
      <w:r w:rsidR="004544E2" w:rsidRPr="004544E2">
        <w:rPr>
          <w:b/>
        </w:rPr>
        <w:instrText xml:space="preserve"> REF _Ref144735416 \h </w:instrText>
      </w:r>
      <w:r w:rsidR="004544E2">
        <w:rPr>
          <w:b/>
          <w:highlight w:val="yellow"/>
        </w:rPr>
        <w:instrText xml:space="preserve"> \* MERGEFORMAT </w:instrText>
      </w:r>
      <w:r w:rsidR="004544E2" w:rsidRPr="004544E2">
        <w:rPr>
          <w:b/>
          <w:highlight w:val="yellow"/>
        </w:rPr>
      </w:r>
      <w:r w:rsidR="004544E2" w:rsidRPr="004544E2">
        <w:rPr>
          <w:b/>
          <w:highlight w:val="yellow"/>
        </w:rPr>
        <w:fldChar w:fldCharType="separate"/>
      </w:r>
      <w:r w:rsidR="00F25F8C" w:rsidRPr="00F25F8C">
        <w:rPr>
          <w:b/>
        </w:rPr>
        <w:t xml:space="preserve">Table SI. </w:t>
      </w:r>
      <w:r w:rsidR="00F25F8C" w:rsidRPr="00F25F8C">
        <w:rPr>
          <w:b/>
          <w:noProof/>
        </w:rPr>
        <w:t>8</w:t>
      </w:r>
      <w:r w:rsidR="004544E2" w:rsidRPr="004544E2">
        <w:rPr>
          <w:b/>
          <w:highlight w:val="yellow"/>
        </w:rPr>
        <w:fldChar w:fldCharType="end"/>
      </w:r>
      <w:r w:rsidR="004544E2">
        <w:t xml:space="preserve">) </w:t>
      </w:r>
      <w:r>
        <w:t>are not detailed again here. This also applies for the two mode</w:t>
      </w:r>
      <w:r w:rsidR="00655BBB">
        <w:t>l</w:t>
      </w:r>
      <w:r>
        <w:t>s already established in Javourez et al., (2022)</w:t>
      </w:r>
      <w:r w:rsidRPr="002C3320">
        <w:fldChar w:fldCharType="begin"/>
      </w:r>
      <w:r w:rsidR="00682E10">
        <w:instrText xml:space="preserve"> ADDIN ZOTERO_ITEM CSL_CITATION {"citationID":"akpndv1491","properties":{"formattedCitation":"\\super 4\\nosupersub{}","plainCitation":"4","noteIndex":0},"citationItems":[{"id":13553,"uris":["http://zotero.org/users/6423791/items/EU8KLJZY"],"itemData":{"id":13553,"type":"article-journal","abstract":"Transforming residual biomass into edible ingredients is increasingly\npromoted to alleviate the environmental impacts of food systems. Yet,\nthese approaches mostly rely on emerging technologies and constrained\nresources, and their environmental benefits remain unclear. By combining\nprocess-based consequential life cycle analysis, uncertainty assessment\nand biomass resource estimation, we quantified the impacts of deploying\nwaste-to-nutrition pathways, here applied to the upgrading of agrifood\nco-products by solid-state fermentation (SSF). The benefits of reducing the\ndemand for soybean meal by enhancing the protein concentration of feed\nthrough SSF do not compensate for the environmental burdens induced\nby the process on climate change, water depletion and land use. Besides\nunlocking feed markets to low-feed-quality streams, SSF outperforms\nenergy valorization for most environmental impacts but is less competitive\nto mitigate climate change. Yet, SSF yields overall environmental benefits\nwhen unlocking food markets rather than supplying feed and energy\nservices. Systematic methodological harmonization is required to assess the\npotential of novel ingredients, as outcomes vary according to the displaced\nfood and feed baskets, and related land use changes.","container-title":"Nature Food","DOI":"10.1038/s43016-022-00621-9","journalAbbreviation":"Nat Food","language":"en","page":"911-920","title":"Upgrading agrifood co-products via solid fermentation yields environmental benefits under specific conditions only","volume":"3","author":[{"family":"Javourez","given":"Ugo"},{"family":"Rosero Delgado","given":"Ernesto Alonso"},{"family":"Hamelin","given":"Lorie"}],"issued":{"date-parts":[["2022",10,31]]}}}],"schema":"https://github.com/citation-style-language/schema/raw/master/csl-citation.json"} </w:instrText>
      </w:r>
      <w:r w:rsidRPr="002C3320">
        <w:fldChar w:fldCharType="separate"/>
      </w:r>
      <w:r w:rsidR="00682E10" w:rsidRPr="00682E10">
        <w:rPr>
          <w:rFonts w:ascii="Calibri" w:hAnsi="Calibri" w:cs="Calibri"/>
          <w:szCs w:val="24"/>
          <w:vertAlign w:val="superscript"/>
        </w:rPr>
        <w:t>4</w:t>
      </w:r>
      <w:r w:rsidRPr="002C3320">
        <w:fldChar w:fldCharType="end"/>
      </w:r>
      <w:r w:rsidR="004544E2">
        <w:t>, that is compound feed and solid fermentation mod</w:t>
      </w:r>
      <w:r w:rsidR="00655BBB">
        <w:t>e</w:t>
      </w:r>
      <w:r w:rsidR="004544E2">
        <w:t>ls: only differences to original models are mentioned. A summary of the LCI mod</w:t>
      </w:r>
      <w:r w:rsidR="00655BBB">
        <w:t>e</w:t>
      </w:r>
      <w:r w:rsidR="004544E2">
        <w:t xml:space="preserve">ls involved in each pathway’s LCI modeling is provided in </w:t>
      </w:r>
      <w:r w:rsidR="004544E2" w:rsidRPr="00545AE3">
        <w:rPr>
          <w:b/>
        </w:rPr>
        <w:fldChar w:fldCharType="begin"/>
      </w:r>
      <w:r w:rsidR="004544E2" w:rsidRPr="00545AE3">
        <w:rPr>
          <w:b/>
        </w:rPr>
        <w:instrText xml:space="preserve"> REF _Ref144735416 \h </w:instrText>
      </w:r>
      <w:r w:rsidR="00545AE3">
        <w:rPr>
          <w:b/>
        </w:rPr>
        <w:instrText xml:space="preserve"> \* MERGEFORMAT </w:instrText>
      </w:r>
      <w:r w:rsidR="004544E2" w:rsidRPr="00545AE3">
        <w:rPr>
          <w:b/>
        </w:rPr>
      </w:r>
      <w:r w:rsidR="004544E2" w:rsidRPr="00545AE3">
        <w:rPr>
          <w:b/>
        </w:rPr>
        <w:fldChar w:fldCharType="separate"/>
      </w:r>
      <w:r w:rsidR="00F25F8C" w:rsidRPr="00F25F8C">
        <w:rPr>
          <w:b/>
        </w:rPr>
        <w:t xml:space="preserve">Table SI. </w:t>
      </w:r>
      <w:r w:rsidR="00F25F8C" w:rsidRPr="00F25F8C">
        <w:rPr>
          <w:b/>
          <w:noProof/>
        </w:rPr>
        <w:t>8</w:t>
      </w:r>
      <w:r w:rsidR="004544E2" w:rsidRPr="00545AE3">
        <w:rPr>
          <w:b/>
        </w:rPr>
        <w:fldChar w:fldCharType="end"/>
      </w:r>
      <w:r w:rsidR="004544E2">
        <w:t>.</w:t>
      </w:r>
    </w:p>
    <w:p w14:paraId="2106D2F2" w14:textId="3C3C6421" w:rsidR="004544E2" w:rsidRDefault="004544E2" w:rsidP="00CE3893">
      <w:pPr>
        <w:pStyle w:val="Lgende"/>
        <w:jc w:val="left"/>
        <w:rPr>
          <w:b w:val="0"/>
        </w:rPr>
      </w:pPr>
      <w:bookmarkStart w:id="38" w:name="_Ref144735416"/>
      <w:bookmarkStart w:id="39" w:name="_Toc151967892"/>
      <w:r>
        <w:t xml:space="preserve">Table SI. </w:t>
      </w:r>
      <w:r>
        <w:fldChar w:fldCharType="begin"/>
      </w:r>
      <w:r>
        <w:instrText xml:space="preserve"> SEQ Table_SI. \* ARABIC </w:instrText>
      </w:r>
      <w:r>
        <w:fldChar w:fldCharType="separate"/>
      </w:r>
      <w:r w:rsidR="00F25F8C">
        <w:rPr>
          <w:noProof/>
        </w:rPr>
        <w:t>8</w:t>
      </w:r>
      <w:r>
        <w:fldChar w:fldCharType="end"/>
      </w:r>
      <w:bookmarkEnd w:id="38"/>
      <w:r>
        <w:t xml:space="preserve"> </w:t>
      </w:r>
      <w:r w:rsidRPr="006A6D0C">
        <w:t xml:space="preserve">– Modular life cycle inventories of </w:t>
      </w:r>
      <w:r>
        <w:t>1</w:t>
      </w:r>
      <w:r w:rsidR="00C42418">
        <w:t>6</w:t>
      </w:r>
      <w:r>
        <w:t xml:space="preserve"> waste-to-nutrition options</w:t>
      </w:r>
      <w:bookmarkEnd w:id="39"/>
    </w:p>
    <w:tbl>
      <w:tblPr>
        <w:tblStyle w:val="Tableausimple2"/>
        <w:tblW w:w="0" w:type="auto"/>
        <w:tblLook w:val="04A0" w:firstRow="1" w:lastRow="0" w:firstColumn="1" w:lastColumn="0" w:noHBand="0" w:noVBand="1"/>
      </w:tblPr>
      <w:tblGrid>
        <w:gridCol w:w="2253"/>
        <w:gridCol w:w="1701"/>
        <w:gridCol w:w="5088"/>
      </w:tblGrid>
      <w:tr w:rsidR="004544E2" w:rsidRPr="00B94C7D" w14:paraId="71C66EB7" w14:textId="77777777" w:rsidTr="00B94C7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3" w:type="dxa"/>
          </w:tcPr>
          <w:p w14:paraId="1DD745E3" w14:textId="77777777" w:rsidR="004544E2" w:rsidRPr="00B94C7D" w:rsidRDefault="004544E2" w:rsidP="00545AE3">
            <w:pPr>
              <w:jc w:val="right"/>
              <w:rPr>
                <w:sz w:val="18"/>
                <w:szCs w:val="18"/>
              </w:rPr>
            </w:pPr>
            <w:r w:rsidRPr="00B94C7D">
              <w:rPr>
                <w:sz w:val="18"/>
                <w:szCs w:val="18"/>
              </w:rPr>
              <w:t>Pathways acronyms</w:t>
            </w:r>
          </w:p>
        </w:tc>
        <w:tc>
          <w:tcPr>
            <w:tcW w:w="1701" w:type="dxa"/>
          </w:tcPr>
          <w:p w14:paraId="66A0E33D" w14:textId="7B925A5D" w:rsidR="004544E2" w:rsidRPr="00B94C7D" w:rsidRDefault="004544E2" w:rsidP="00545AE3">
            <w:pPr>
              <w:cnfStyle w:val="100000000000" w:firstRow="1" w:lastRow="0" w:firstColumn="0" w:lastColumn="0" w:oddVBand="0" w:evenVBand="0" w:oddHBand="0" w:evenHBand="0" w:firstRowFirstColumn="0" w:firstRowLastColumn="0" w:lastRowFirstColumn="0" w:lastRowLastColumn="0"/>
              <w:rPr>
                <w:sz w:val="18"/>
                <w:szCs w:val="18"/>
              </w:rPr>
            </w:pPr>
            <w:r w:rsidRPr="00B94C7D">
              <w:rPr>
                <w:sz w:val="18"/>
                <w:szCs w:val="18"/>
              </w:rPr>
              <w:t>LCI mod</w:t>
            </w:r>
            <w:r w:rsidR="00655BBB">
              <w:rPr>
                <w:sz w:val="18"/>
                <w:szCs w:val="18"/>
              </w:rPr>
              <w:t>el</w:t>
            </w:r>
            <w:r w:rsidRPr="00B94C7D">
              <w:rPr>
                <w:sz w:val="18"/>
                <w:szCs w:val="18"/>
              </w:rPr>
              <w:t>s</w:t>
            </w:r>
          </w:p>
        </w:tc>
        <w:tc>
          <w:tcPr>
            <w:tcW w:w="5088" w:type="dxa"/>
          </w:tcPr>
          <w:p w14:paraId="453A89D4" w14:textId="77777777" w:rsidR="004544E2" w:rsidRPr="00B94C7D" w:rsidRDefault="004544E2" w:rsidP="00E9442B">
            <w:pPr>
              <w:cnfStyle w:val="100000000000" w:firstRow="1" w:lastRow="0" w:firstColumn="0" w:lastColumn="0" w:oddVBand="0" w:evenVBand="0" w:oddHBand="0" w:evenHBand="0" w:firstRowFirstColumn="0" w:firstRowLastColumn="0" w:lastRowFirstColumn="0" w:lastRowLastColumn="0"/>
              <w:rPr>
                <w:sz w:val="18"/>
                <w:szCs w:val="18"/>
              </w:rPr>
            </w:pPr>
            <w:r w:rsidRPr="00B94C7D">
              <w:rPr>
                <w:sz w:val="18"/>
                <w:szCs w:val="18"/>
              </w:rPr>
              <w:t>Pathways description</w:t>
            </w:r>
          </w:p>
        </w:tc>
      </w:tr>
      <w:tr w:rsidR="004544E2" w:rsidRPr="00B94C7D" w14:paraId="75B957E2" w14:textId="77777777" w:rsidTr="00B94C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3" w:type="dxa"/>
          </w:tcPr>
          <w:p w14:paraId="6492677A" w14:textId="77777777" w:rsidR="004544E2" w:rsidRPr="00B94C7D" w:rsidRDefault="004544E2" w:rsidP="00545AE3">
            <w:pPr>
              <w:jc w:val="right"/>
              <w:rPr>
                <w:sz w:val="18"/>
                <w:szCs w:val="18"/>
              </w:rPr>
            </w:pPr>
            <w:r w:rsidRPr="00B94C7D">
              <w:rPr>
                <w:sz w:val="18"/>
                <w:szCs w:val="18"/>
              </w:rPr>
              <w:t>CF</w:t>
            </w:r>
          </w:p>
        </w:tc>
        <w:tc>
          <w:tcPr>
            <w:tcW w:w="1701" w:type="dxa"/>
          </w:tcPr>
          <w:p w14:paraId="5F989D0B" w14:textId="77777777" w:rsidR="004544E2" w:rsidRPr="00B94C7D" w:rsidRDefault="004544E2" w:rsidP="00545AE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CF</w:t>
            </w:r>
          </w:p>
        </w:tc>
        <w:tc>
          <w:tcPr>
            <w:tcW w:w="5088" w:type="dxa"/>
          </w:tcPr>
          <w:p w14:paraId="7CCD9425" w14:textId="77777777" w:rsidR="004544E2" w:rsidRPr="00B94C7D" w:rsidRDefault="004544E2" w:rsidP="00545AE3">
            <w:pPr>
              <w:jc w:val="both"/>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Direct inclusion in compound feed formulations for livestock</w:t>
            </w:r>
          </w:p>
        </w:tc>
      </w:tr>
      <w:tr w:rsidR="004544E2" w:rsidRPr="00B94C7D" w14:paraId="5578FC16" w14:textId="77777777" w:rsidTr="00B94C7D">
        <w:tc>
          <w:tcPr>
            <w:cnfStyle w:val="001000000000" w:firstRow="0" w:lastRow="0" w:firstColumn="1" w:lastColumn="0" w:oddVBand="0" w:evenVBand="0" w:oddHBand="0" w:evenHBand="0" w:firstRowFirstColumn="0" w:firstRowLastColumn="0" w:lastRowFirstColumn="0" w:lastRowLastColumn="0"/>
            <w:tcW w:w="2253" w:type="dxa"/>
          </w:tcPr>
          <w:p w14:paraId="626D7076" w14:textId="77777777" w:rsidR="004544E2" w:rsidRPr="00B94C7D" w:rsidRDefault="004544E2" w:rsidP="00545AE3">
            <w:pPr>
              <w:jc w:val="right"/>
              <w:rPr>
                <w:sz w:val="18"/>
                <w:szCs w:val="18"/>
              </w:rPr>
            </w:pPr>
            <w:r w:rsidRPr="00B94C7D">
              <w:rPr>
                <w:sz w:val="18"/>
                <w:szCs w:val="18"/>
              </w:rPr>
              <w:t>GB_AD</w:t>
            </w:r>
          </w:p>
        </w:tc>
        <w:tc>
          <w:tcPr>
            <w:tcW w:w="1701" w:type="dxa"/>
          </w:tcPr>
          <w:p w14:paraId="1B804659" w14:textId="77777777" w:rsidR="004544E2" w:rsidRPr="00B94C7D" w:rsidRDefault="004544E2" w:rsidP="00545AE3">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GB + AD</w:t>
            </w:r>
          </w:p>
        </w:tc>
        <w:tc>
          <w:tcPr>
            <w:tcW w:w="5088" w:type="dxa"/>
          </w:tcPr>
          <w:p w14:paraId="231771E4" w14:textId="77777777" w:rsidR="004544E2" w:rsidRPr="00B94C7D" w:rsidRDefault="004544E2" w:rsidP="00545AE3">
            <w:pPr>
              <w:jc w:val="both"/>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All the GB co-products are valorized through the AD_grid pathway</w:t>
            </w:r>
          </w:p>
        </w:tc>
      </w:tr>
      <w:tr w:rsidR="004544E2" w:rsidRPr="00B94C7D" w14:paraId="3C353E08" w14:textId="77777777" w:rsidTr="00B94C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3" w:type="dxa"/>
          </w:tcPr>
          <w:p w14:paraId="1D6BC40B" w14:textId="77777777" w:rsidR="004544E2" w:rsidRPr="00B94C7D" w:rsidRDefault="004544E2" w:rsidP="00545AE3">
            <w:pPr>
              <w:jc w:val="right"/>
              <w:rPr>
                <w:sz w:val="18"/>
                <w:szCs w:val="18"/>
              </w:rPr>
            </w:pPr>
            <w:r w:rsidRPr="00B94C7D">
              <w:rPr>
                <w:sz w:val="18"/>
                <w:szCs w:val="18"/>
              </w:rPr>
              <w:t>GB_rough</w:t>
            </w:r>
          </w:p>
        </w:tc>
        <w:tc>
          <w:tcPr>
            <w:tcW w:w="1701" w:type="dxa"/>
          </w:tcPr>
          <w:p w14:paraId="4A4C8AA0" w14:textId="77777777" w:rsidR="004544E2" w:rsidRPr="00B94C7D" w:rsidRDefault="004544E2" w:rsidP="00545AE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GB + AD + CF</w:t>
            </w:r>
          </w:p>
        </w:tc>
        <w:tc>
          <w:tcPr>
            <w:tcW w:w="5088" w:type="dxa"/>
          </w:tcPr>
          <w:p w14:paraId="756EF18A" w14:textId="77777777" w:rsidR="004544E2" w:rsidRPr="00B94C7D" w:rsidRDefault="004544E2" w:rsidP="00545AE3">
            <w:pPr>
              <w:jc w:val="both"/>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GB’s brown juice is valorized through the AD_grid pathway while the press-cake is used as ruminant roughage</w:t>
            </w:r>
          </w:p>
        </w:tc>
      </w:tr>
      <w:tr w:rsidR="004544E2" w:rsidRPr="00B94C7D" w14:paraId="4A53F365" w14:textId="77777777" w:rsidTr="00B94C7D">
        <w:tc>
          <w:tcPr>
            <w:cnfStyle w:val="001000000000" w:firstRow="0" w:lastRow="0" w:firstColumn="1" w:lastColumn="0" w:oddVBand="0" w:evenVBand="0" w:oddHBand="0" w:evenHBand="0" w:firstRowFirstColumn="0" w:firstRowLastColumn="0" w:lastRowFirstColumn="0" w:lastRowLastColumn="0"/>
            <w:tcW w:w="2253" w:type="dxa"/>
          </w:tcPr>
          <w:p w14:paraId="61999F55" w14:textId="77777777" w:rsidR="004544E2" w:rsidRPr="00B94C7D" w:rsidRDefault="004544E2" w:rsidP="00545AE3">
            <w:pPr>
              <w:jc w:val="right"/>
              <w:rPr>
                <w:sz w:val="18"/>
                <w:szCs w:val="18"/>
              </w:rPr>
            </w:pPr>
            <w:r w:rsidRPr="00B94C7D">
              <w:rPr>
                <w:sz w:val="18"/>
                <w:szCs w:val="18"/>
              </w:rPr>
              <w:t>GB_mycofood</w:t>
            </w:r>
          </w:p>
        </w:tc>
        <w:tc>
          <w:tcPr>
            <w:tcW w:w="1701" w:type="dxa"/>
          </w:tcPr>
          <w:p w14:paraId="5D826555" w14:textId="77777777" w:rsidR="004544E2" w:rsidRPr="00B94C7D" w:rsidRDefault="004544E2" w:rsidP="00545AE3">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GB + AD + Myco</w:t>
            </w:r>
          </w:p>
        </w:tc>
        <w:tc>
          <w:tcPr>
            <w:tcW w:w="5088" w:type="dxa"/>
          </w:tcPr>
          <w:p w14:paraId="6E764578" w14:textId="77777777" w:rsidR="004544E2" w:rsidRPr="00B94C7D" w:rsidRDefault="004544E2" w:rsidP="00545AE3">
            <w:pPr>
              <w:jc w:val="both"/>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GB’s brown juice is valorized through the AD_grid pathway while the press-cake is sent to Myco_food pathway</w:t>
            </w:r>
          </w:p>
        </w:tc>
      </w:tr>
      <w:tr w:rsidR="004544E2" w:rsidRPr="00B94C7D" w14:paraId="789BA327" w14:textId="77777777" w:rsidTr="00B94C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3" w:type="dxa"/>
          </w:tcPr>
          <w:p w14:paraId="11AD4BA0" w14:textId="77777777" w:rsidR="004544E2" w:rsidRPr="00B94C7D" w:rsidRDefault="004544E2" w:rsidP="00545AE3">
            <w:pPr>
              <w:jc w:val="right"/>
              <w:rPr>
                <w:sz w:val="18"/>
                <w:szCs w:val="18"/>
              </w:rPr>
            </w:pPr>
            <w:r w:rsidRPr="00B94C7D">
              <w:rPr>
                <w:sz w:val="18"/>
                <w:szCs w:val="18"/>
              </w:rPr>
              <w:t>BSF_feed</w:t>
            </w:r>
          </w:p>
        </w:tc>
        <w:tc>
          <w:tcPr>
            <w:tcW w:w="1701" w:type="dxa"/>
          </w:tcPr>
          <w:p w14:paraId="403AFC1C" w14:textId="77777777" w:rsidR="004544E2" w:rsidRPr="00B94C7D" w:rsidRDefault="004544E2" w:rsidP="00545AE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BSF</w:t>
            </w:r>
          </w:p>
        </w:tc>
        <w:tc>
          <w:tcPr>
            <w:tcW w:w="5088" w:type="dxa"/>
          </w:tcPr>
          <w:p w14:paraId="31E6A6D9" w14:textId="77777777" w:rsidR="004544E2" w:rsidRPr="00B94C7D" w:rsidRDefault="004544E2" w:rsidP="00545AE3">
            <w:pPr>
              <w:jc w:val="both"/>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Farmed insects are directed towards feed markets</w:t>
            </w:r>
          </w:p>
        </w:tc>
      </w:tr>
      <w:tr w:rsidR="004544E2" w:rsidRPr="00B94C7D" w14:paraId="69E10D4C" w14:textId="77777777" w:rsidTr="00B94C7D">
        <w:tc>
          <w:tcPr>
            <w:cnfStyle w:val="001000000000" w:firstRow="0" w:lastRow="0" w:firstColumn="1" w:lastColumn="0" w:oddVBand="0" w:evenVBand="0" w:oddHBand="0" w:evenHBand="0" w:firstRowFirstColumn="0" w:firstRowLastColumn="0" w:lastRowFirstColumn="0" w:lastRowLastColumn="0"/>
            <w:tcW w:w="2253" w:type="dxa"/>
          </w:tcPr>
          <w:p w14:paraId="05CF0496" w14:textId="77777777" w:rsidR="004544E2" w:rsidRPr="00B94C7D" w:rsidRDefault="004544E2" w:rsidP="00545AE3">
            <w:pPr>
              <w:jc w:val="right"/>
              <w:rPr>
                <w:sz w:val="18"/>
                <w:szCs w:val="18"/>
              </w:rPr>
            </w:pPr>
            <w:r w:rsidRPr="00B94C7D">
              <w:rPr>
                <w:sz w:val="18"/>
                <w:szCs w:val="18"/>
              </w:rPr>
              <w:t>BSF_food</w:t>
            </w:r>
          </w:p>
        </w:tc>
        <w:tc>
          <w:tcPr>
            <w:tcW w:w="1701" w:type="dxa"/>
          </w:tcPr>
          <w:p w14:paraId="71EF93E1" w14:textId="77777777" w:rsidR="004544E2" w:rsidRPr="00B94C7D" w:rsidRDefault="004544E2" w:rsidP="00545AE3">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BSF</w:t>
            </w:r>
          </w:p>
        </w:tc>
        <w:tc>
          <w:tcPr>
            <w:tcW w:w="5088" w:type="dxa"/>
          </w:tcPr>
          <w:p w14:paraId="0F091115" w14:textId="77777777" w:rsidR="004544E2" w:rsidRPr="00B94C7D" w:rsidRDefault="004544E2" w:rsidP="00545AE3">
            <w:pPr>
              <w:jc w:val="both"/>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Farmed insects are directed towards food markets</w:t>
            </w:r>
          </w:p>
        </w:tc>
      </w:tr>
      <w:tr w:rsidR="004544E2" w:rsidRPr="00B94C7D" w14:paraId="6FB2CB08" w14:textId="77777777" w:rsidTr="00B94C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3" w:type="dxa"/>
          </w:tcPr>
          <w:p w14:paraId="79C7FF10" w14:textId="77777777" w:rsidR="004544E2" w:rsidRPr="00B94C7D" w:rsidRDefault="004544E2" w:rsidP="00545AE3">
            <w:pPr>
              <w:jc w:val="right"/>
              <w:rPr>
                <w:sz w:val="18"/>
                <w:szCs w:val="18"/>
              </w:rPr>
            </w:pPr>
            <w:r w:rsidRPr="00B94C7D">
              <w:rPr>
                <w:sz w:val="18"/>
                <w:szCs w:val="18"/>
              </w:rPr>
              <w:t>SSF_feed</w:t>
            </w:r>
          </w:p>
        </w:tc>
        <w:tc>
          <w:tcPr>
            <w:tcW w:w="1701" w:type="dxa"/>
          </w:tcPr>
          <w:p w14:paraId="0890FC95" w14:textId="77777777" w:rsidR="004544E2" w:rsidRPr="00B94C7D" w:rsidRDefault="004544E2" w:rsidP="00545AE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SSF</w:t>
            </w:r>
          </w:p>
        </w:tc>
        <w:tc>
          <w:tcPr>
            <w:tcW w:w="5088" w:type="dxa"/>
          </w:tcPr>
          <w:p w14:paraId="3D3685AB" w14:textId="77777777" w:rsidR="004544E2" w:rsidRPr="00B94C7D" w:rsidRDefault="004544E2" w:rsidP="00545AE3">
            <w:pPr>
              <w:jc w:val="both"/>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Fermented streams are directed towards feed markets</w:t>
            </w:r>
          </w:p>
        </w:tc>
      </w:tr>
      <w:tr w:rsidR="004544E2" w:rsidRPr="00B94C7D" w14:paraId="1F9C3CCC" w14:textId="77777777" w:rsidTr="00B94C7D">
        <w:tc>
          <w:tcPr>
            <w:cnfStyle w:val="001000000000" w:firstRow="0" w:lastRow="0" w:firstColumn="1" w:lastColumn="0" w:oddVBand="0" w:evenVBand="0" w:oddHBand="0" w:evenHBand="0" w:firstRowFirstColumn="0" w:firstRowLastColumn="0" w:lastRowFirstColumn="0" w:lastRowLastColumn="0"/>
            <w:tcW w:w="2253" w:type="dxa"/>
          </w:tcPr>
          <w:p w14:paraId="3923F0E9" w14:textId="77777777" w:rsidR="004544E2" w:rsidRPr="00B94C7D" w:rsidRDefault="004544E2" w:rsidP="00545AE3">
            <w:pPr>
              <w:jc w:val="right"/>
              <w:rPr>
                <w:sz w:val="18"/>
                <w:szCs w:val="18"/>
              </w:rPr>
            </w:pPr>
            <w:r w:rsidRPr="00B94C7D">
              <w:rPr>
                <w:sz w:val="18"/>
                <w:szCs w:val="18"/>
              </w:rPr>
              <w:t>SSF_food</w:t>
            </w:r>
          </w:p>
        </w:tc>
        <w:tc>
          <w:tcPr>
            <w:tcW w:w="1701" w:type="dxa"/>
          </w:tcPr>
          <w:p w14:paraId="32DDEFFD" w14:textId="77777777" w:rsidR="004544E2" w:rsidRPr="00B94C7D" w:rsidRDefault="004544E2" w:rsidP="00545AE3">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SSF</w:t>
            </w:r>
          </w:p>
        </w:tc>
        <w:tc>
          <w:tcPr>
            <w:tcW w:w="5088" w:type="dxa"/>
          </w:tcPr>
          <w:p w14:paraId="074C927B" w14:textId="77777777" w:rsidR="004544E2" w:rsidRPr="00B94C7D" w:rsidRDefault="004544E2" w:rsidP="00545AE3">
            <w:pPr>
              <w:jc w:val="both"/>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Fermented streams are directed towards food markets</w:t>
            </w:r>
          </w:p>
        </w:tc>
      </w:tr>
      <w:tr w:rsidR="004544E2" w:rsidRPr="00B94C7D" w14:paraId="75B39F16" w14:textId="77777777" w:rsidTr="00B94C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3" w:type="dxa"/>
          </w:tcPr>
          <w:p w14:paraId="47D515DB" w14:textId="77777777" w:rsidR="004544E2" w:rsidRPr="00B94C7D" w:rsidRDefault="004544E2" w:rsidP="00545AE3">
            <w:pPr>
              <w:jc w:val="right"/>
              <w:rPr>
                <w:sz w:val="18"/>
                <w:szCs w:val="18"/>
              </w:rPr>
            </w:pPr>
            <w:r w:rsidRPr="00B94C7D">
              <w:rPr>
                <w:sz w:val="18"/>
                <w:szCs w:val="18"/>
              </w:rPr>
              <w:t>Myco_feed</w:t>
            </w:r>
          </w:p>
        </w:tc>
        <w:tc>
          <w:tcPr>
            <w:tcW w:w="1701" w:type="dxa"/>
          </w:tcPr>
          <w:p w14:paraId="54B451CB" w14:textId="77777777" w:rsidR="004544E2" w:rsidRPr="00B94C7D" w:rsidRDefault="004544E2" w:rsidP="00545AE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Myco</w:t>
            </w:r>
          </w:p>
        </w:tc>
        <w:tc>
          <w:tcPr>
            <w:tcW w:w="5088" w:type="dxa"/>
          </w:tcPr>
          <w:p w14:paraId="24B2AD6B" w14:textId="77777777" w:rsidR="004544E2" w:rsidRPr="00B94C7D" w:rsidRDefault="004544E2" w:rsidP="00545AE3">
            <w:pPr>
              <w:jc w:val="both"/>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Produced mycoproteins are directed towards feed markets</w:t>
            </w:r>
          </w:p>
        </w:tc>
      </w:tr>
      <w:tr w:rsidR="004544E2" w:rsidRPr="00B94C7D" w14:paraId="0655697B" w14:textId="77777777" w:rsidTr="00B94C7D">
        <w:tc>
          <w:tcPr>
            <w:cnfStyle w:val="001000000000" w:firstRow="0" w:lastRow="0" w:firstColumn="1" w:lastColumn="0" w:oddVBand="0" w:evenVBand="0" w:oddHBand="0" w:evenHBand="0" w:firstRowFirstColumn="0" w:firstRowLastColumn="0" w:lastRowFirstColumn="0" w:lastRowLastColumn="0"/>
            <w:tcW w:w="2253" w:type="dxa"/>
          </w:tcPr>
          <w:p w14:paraId="06EAF832" w14:textId="77777777" w:rsidR="004544E2" w:rsidRPr="00B94C7D" w:rsidRDefault="004544E2" w:rsidP="00545AE3">
            <w:pPr>
              <w:jc w:val="right"/>
              <w:rPr>
                <w:sz w:val="18"/>
                <w:szCs w:val="18"/>
              </w:rPr>
            </w:pPr>
            <w:r w:rsidRPr="00B94C7D">
              <w:rPr>
                <w:sz w:val="18"/>
                <w:szCs w:val="18"/>
              </w:rPr>
              <w:t>Myco_food</w:t>
            </w:r>
          </w:p>
        </w:tc>
        <w:tc>
          <w:tcPr>
            <w:tcW w:w="1701" w:type="dxa"/>
          </w:tcPr>
          <w:p w14:paraId="7F404A89" w14:textId="77777777" w:rsidR="004544E2" w:rsidRPr="00B94C7D" w:rsidRDefault="004544E2" w:rsidP="00545AE3">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Myco</w:t>
            </w:r>
          </w:p>
        </w:tc>
        <w:tc>
          <w:tcPr>
            <w:tcW w:w="5088" w:type="dxa"/>
          </w:tcPr>
          <w:p w14:paraId="607868B2" w14:textId="77777777" w:rsidR="004544E2" w:rsidRPr="00B94C7D" w:rsidRDefault="004544E2" w:rsidP="00545AE3">
            <w:pPr>
              <w:jc w:val="both"/>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Produced mycoproteins are directed towards food markets</w:t>
            </w:r>
          </w:p>
        </w:tc>
      </w:tr>
      <w:tr w:rsidR="004544E2" w:rsidRPr="00B94C7D" w14:paraId="195E29DB" w14:textId="77777777" w:rsidTr="00B94C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3" w:type="dxa"/>
          </w:tcPr>
          <w:p w14:paraId="15BC4DFB" w14:textId="77777777" w:rsidR="004544E2" w:rsidRPr="00B94C7D" w:rsidRDefault="004544E2" w:rsidP="00545AE3">
            <w:pPr>
              <w:jc w:val="right"/>
              <w:rPr>
                <w:sz w:val="18"/>
                <w:szCs w:val="18"/>
              </w:rPr>
            </w:pPr>
            <w:r w:rsidRPr="00B94C7D">
              <w:rPr>
                <w:sz w:val="18"/>
                <w:szCs w:val="18"/>
              </w:rPr>
              <w:t>MP_biogas</w:t>
            </w:r>
          </w:p>
        </w:tc>
        <w:tc>
          <w:tcPr>
            <w:tcW w:w="1701" w:type="dxa"/>
          </w:tcPr>
          <w:p w14:paraId="740855CB" w14:textId="77777777" w:rsidR="004544E2" w:rsidRPr="00B94C7D" w:rsidRDefault="004544E2" w:rsidP="00545AE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MP + AD</w:t>
            </w:r>
          </w:p>
        </w:tc>
        <w:tc>
          <w:tcPr>
            <w:tcW w:w="5088" w:type="dxa"/>
          </w:tcPr>
          <w:p w14:paraId="7ED0551D" w14:textId="77777777" w:rsidR="004544E2" w:rsidRPr="00B94C7D" w:rsidRDefault="004544E2" w:rsidP="00545AE3">
            <w:pPr>
              <w:jc w:val="both"/>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Microbial proteins are cultured on cleaned biogas</w:t>
            </w:r>
          </w:p>
        </w:tc>
      </w:tr>
      <w:tr w:rsidR="004544E2" w:rsidRPr="00B94C7D" w14:paraId="13B672FA" w14:textId="77777777" w:rsidTr="00B94C7D">
        <w:tc>
          <w:tcPr>
            <w:cnfStyle w:val="001000000000" w:firstRow="0" w:lastRow="0" w:firstColumn="1" w:lastColumn="0" w:oddVBand="0" w:evenVBand="0" w:oddHBand="0" w:evenHBand="0" w:firstRowFirstColumn="0" w:firstRowLastColumn="0" w:lastRowFirstColumn="0" w:lastRowLastColumn="0"/>
            <w:tcW w:w="2253" w:type="dxa"/>
          </w:tcPr>
          <w:p w14:paraId="4C7874D3" w14:textId="77777777" w:rsidR="004544E2" w:rsidRPr="00B94C7D" w:rsidRDefault="004544E2" w:rsidP="00545AE3">
            <w:pPr>
              <w:jc w:val="right"/>
              <w:rPr>
                <w:sz w:val="18"/>
                <w:szCs w:val="18"/>
              </w:rPr>
            </w:pPr>
            <w:r w:rsidRPr="00B94C7D">
              <w:rPr>
                <w:sz w:val="18"/>
                <w:szCs w:val="18"/>
              </w:rPr>
              <w:t>MP_biometh</w:t>
            </w:r>
          </w:p>
        </w:tc>
        <w:tc>
          <w:tcPr>
            <w:tcW w:w="1701" w:type="dxa"/>
          </w:tcPr>
          <w:p w14:paraId="44269A52" w14:textId="77777777" w:rsidR="004544E2" w:rsidRPr="00B94C7D" w:rsidRDefault="004544E2" w:rsidP="00545AE3">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MP + AD</w:t>
            </w:r>
          </w:p>
        </w:tc>
        <w:tc>
          <w:tcPr>
            <w:tcW w:w="5088" w:type="dxa"/>
          </w:tcPr>
          <w:p w14:paraId="17FB0333" w14:textId="77777777" w:rsidR="004544E2" w:rsidRPr="00B94C7D" w:rsidRDefault="004544E2" w:rsidP="00545AE3">
            <w:pPr>
              <w:jc w:val="both"/>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Microbial proteins are cultured on biomethane</w:t>
            </w:r>
          </w:p>
        </w:tc>
      </w:tr>
      <w:tr w:rsidR="004544E2" w:rsidRPr="00B94C7D" w14:paraId="76DAEC11" w14:textId="77777777" w:rsidTr="00B94C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3" w:type="dxa"/>
          </w:tcPr>
          <w:p w14:paraId="5965A42E" w14:textId="77777777" w:rsidR="004544E2" w:rsidRPr="00B94C7D" w:rsidRDefault="004544E2" w:rsidP="00545AE3">
            <w:pPr>
              <w:jc w:val="right"/>
              <w:rPr>
                <w:sz w:val="18"/>
                <w:szCs w:val="18"/>
              </w:rPr>
            </w:pPr>
            <w:r w:rsidRPr="00B94C7D">
              <w:rPr>
                <w:sz w:val="18"/>
                <w:szCs w:val="18"/>
              </w:rPr>
              <w:t>MP_shiftb</w:t>
            </w:r>
          </w:p>
        </w:tc>
        <w:tc>
          <w:tcPr>
            <w:tcW w:w="1701" w:type="dxa"/>
          </w:tcPr>
          <w:p w14:paraId="2B585DDE" w14:textId="77777777" w:rsidR="004544E2" w:rsidRPr="00B94C7D" w:rsidRDefault="004544E2" w:rsidP="00545AE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MP + AD</w:t>
            </w:r>
          </w:p>
        </w:tc>
        <w:tc>
          <w:tcPr>
            <w:tcW w:w="5088" w:type="dxa"/>
          </w:tcPr>
          <w:p w14:paraId="7815C95D" w14:textId="77777777" w:rsidR="004544E2" w:rsidRPr="00B94C7D" w:rsidRDefault="004544E2" w:rsidP="00545AE3">
            <w:pPr>
              <w:jc w:val="both"/>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Microbial proteins are cultured on shifted biogas</w:t>
            </w:r>
          </w:p>
        </w:tc>
      </w:tr>
      <w:tr w:rsidR="004544E2" w:rsidRPr="00B94C7D" w14:paraId="714A693A" w14:textId="77777777" w:rsidTr="00B94C7D">
        <w:tc>
          <w:tcPr>
            <w:cnfStyle w:val="001000000000" w:firstRow="0" w:lastRow="0" w:firstColumn="1" w:lastColumn="0" w:oddVBand="0" w:evenVBand="0" w:oddHBand="0" w:evenHBand="0" w:firstRowFirstColumn="0" w:firstRowLastColumn="0" w:lastRowFirstColumn="0" w:lastRowLastColumn="0"/>
            <w:tcW w:w="2253" w:type="dxa"/>
          </w:tcPr>
          <w:p w14:paraId="479F4EF9" w14:textId="77777777" w:rsidR="004544E2" w:rsidRPr="00B94C7D" w:rsidRDefault="004544E2" w:rsidP="00545AE3">
            <w:pPr>
              <w:jc w:val="right"/>
              <w:rPr>
                <w:sz w:val="18"/>
                <w:szCs w:val="18"/>
              </w:rPr>
            </w:pPr>
            <w:r w:rsidRPr="00B94C7D">
              <w:rPr>
                <w:sz w:val="18"/>
                <w:szCs w:val="18"/>
              </w:rPr>
              <w:t>MP_syngas</w:t>
            </w:r>
          </w:p>
        </w:tc>
        <w:tc>
          <w:tcPr>
            <w:tcW w:w="1701" w:type="dxa"/>
          </w:tcPr>
          <w:p w14:paraId="45A5779B" w14:textId="77777777" w:rsidR="004544E2" w:rsidRPr="00B94C7D" w:rsidRDefault="004544E2" w:rsidP="00545AE3">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MP + GA</w:t>
            </w:r>
          </w:p>
        </w:tc>
        <w:tc>
          <w:tcPr>
            <w:tcW w:w="5088" w:type="dxa"/>
          </w:tcPr>
          <w:p w14:paraId="77EA4448" w14:textId="77777777" w:rsidR="004544E2" w:rsidRPr="00B94C7D" w:rsidRDefault="004544E2" w:rsidP="00545AE3">
            <w:pPr>
              <w:jc w:val="both"/>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Microbial proteins are cultured on cleaned syngas</w:t>
            </w:r>
          </w:p>
        </w:tc>
      </w:tr>
      <w:tr w:rsidR="004544E2" w:rsidRPr="00B94C7D" w14:paraId="54E1F7D8" w14:textId="77777777" w:rsidTr="00B94C7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3" w:type="dxa"/>
          </w:tcPr>
          <w:p w14:paraId="4EB3C5A3" w14:textId="77777777" w:rsidR="004544E2" w:rsidRPr="00B94C7D" w:rsidRDefault="004544E2" w:rsidP="00545AE3">
            <w:pPr>
              <w:jc w:val="right"/>
              <w:rPr>
                <w:sz w:val="18"/>
                <w:szCs w:val="18"/>
              </w:rPr>
            </w:pPr>
            <w:r w:rsidRPr="00B94C7D">
              <w:rPr>
                <w:sz w:val="18"/>
                <w:szCs w:val="18"/>
              </w:rPr>
              <w:t>MP_meths</w:t>
            </w:r>
          </w:p>
        </w:tc>
        <w:tc>
          <w:tcPr>
            <w:tcW w:w="1701" w:type="dxa"/>
          </w:tcPr>
          <w:p w14:paraId="61B1E9E3" w14:textId="77777777" w:rsidR="004544E2" w:rsidRPr="00B94C7D" w:rsidRDefault="004544E2" w:rsidP="00545AE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MP + GA</w:t>
            </w:r>
          </w:p>
        </w:tc>
        <w:tc>
          <w:tcPr>
            <w:tcW w:w="5088" w:type="dxa"/>
          </w:tcPr>
          <w:p w14:paraId="016683FB" w14:textId="77777777" w:rsidR="004544E2" w:rsidRPr="00B94C7D" w:rsidRDefault="004544E2" w:rsidP="00545AE3">
            <w:pPr>
              <w:jc w:val="both"/>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Microbial proteins are cultured on methanized syngas</w:t>
            </w:r>
          </w:p>
        </w:tc>
      </w:tr>
      <w:tr w:rsidR="004544E2" w:rsidRPr="00B94C7D" w14:paraId="72682F75" w14:textId="77777777" w:rsidTr="00B94C7D">
        <w:tc>
          <w:tcPr>
            <w:cnfStyle w:val="001000000000" w:firstRow="0" w:lastRow="0" w:firstColumn="1" w:lastColumn="0" w:oddVBand="0" w:evenVBand="0" w:oddHBand="0" w:evenHBand="0" w:firstRowFirstColumn="0" w:firstRowLastColumn="0" w:lastRowFirstColumn="0" w:lastRowLastColumn="0"/>
            <w:tcW w:w="2253" w:type="dxa"/>
          </w:tcPr>
          <w:p w14:paraId="7BEDF421" w14:textId="77777777" w:rsidR="004544E2" w:rsidRPr="00B94C7D" w:rsidRDefault="004544E2" w:rsidP="00545AE3">
            <w:pPr>
              <w:jc w:val="right"/>
              <w:rPr>
                <w:sz w:val="18"/>
                <w:szCs w:val="18"/>
              </w:rPr>
            </w:pPr>
            <w:r w:rsidRPr="00B94C7D">
              <w:rPr>
                <w:sz w:val="18"/>
                <w:szCs w:val="18"/>
              </w:rPr>
              <w:t>MP_shifts</w:t>
            </w:r>
          </w:p>
        </w:tc>
        <w:tc>
          <w:tcPr>
            <w:tcW w:w="1701" w:type="dxa"/>
          </w:tcPr>
          <w:p w14:paraId="72BB9969" w14:textId="77777777" w:rsidR="004544E2" w:rsidRPr="00B94C7D" w:rsidRDefault="004544E2" w:rsidP="00545AE3">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MP + GA</w:t>
            </w:r>
          </w:p>
        </w:tc>
        <w:tc>
          <w:tcPr>
            <w:tcW w:w="5088" w:type="dxa"/>
          </w:tcPr>
          <w:p w14:paraId="21F94210" w14:textId="77777777" w:rsidR="004544E2" w:rsidRPr="00B94C7D" w:rsidRDefault="004544E2" w:rsidP="00545AE3">
            <w:pPr>
              <w:jc w:val="both"/>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Microbial proteins are cultured on shifted syngas</w:t>
            </w:r>
          </w:p>
        </w:tc>
      </w:tr>
    </w:tbl>
    <w:p w14:paraId="47B8F25E" w14:textId="3633B33B" w:rsidR="004544E2" w:rsidRPr="00BF7A1C" w:rsidRDefault="004544E2" w:rsidP="004544E2">
      <w:pPr>
        <w:jc w:val="both"/>
        <w:rPr>
          <w:sz w:val="18"/>
        </w:rPr>
      </w:pPr>
      <w:r w:rsidRPr="00257F06">
        <w:rPr>
          <w:sz w:val="18"/>
        </w:rPr>
        <w:t xml:space="preserve">Terminology </w:t>
      </w:r>
      <w:r w:rsidR="00545AE3">
        <w:rPr>
          <w:sz w:val="18"/>
        </w:rPr>
        <w:t xml:space="preserve">and variants selection </w:t>
      </w:r>
      <w:r w:rsidRPr="00257F06">
        <w:rPr>
          <w:sz w:val="18"/>
        </w:rPr>
        <w:t>as defined in</w:t>
      </w:r>
      <w:r w:rsidR="00545AE3">
        <w:rPr>
          <w:b/>
          <w:sz w:val="18"/>
        </w:rPr>
        <w:t xml:space="preserve"> </w:t>
      </w:r>
      <w:r w:rsidR="00545AE3" w:rsidRPr="00545AE3">
        <w:rPr>
          <w:sz w:val="18"/>
        </w:rPr>
        <w:t>the main manuscript</w:t>
      </w:r>
      <w:r w:rsidRPr="00545AE3">
        <w:rPr>
          <w:sz w:val="18"/>
        </w:rPr>
        <w:t xml:space="preserve">. </w:t>
      </w:r>
      <w:r>
        <w:rPr>
          <w:sz w:val="18"/>
        </w:rPr>
        <w:t xml:space="preserve">To model pathways involving several value chains, corresponding </w:t>
      </w:r>
      <w:r w:rsidRPr="00257F06">
        <w:rPr>
          <w:sz w:val="18"/>
        </w:rPr>
        <w:t>LCI mod</w:t>
      </w:r>
      <w:r w:rsidR="00655BBB">
        <w:rPr>
          <w:sz w:val="18"/>
        </w:rPr>
        <w:t>el</w:t>
      </w:r>
      <w:r w:rsidRPr="00257F06">
        <w:rPr>
          <w:sz w:val="18"/>
        </w:rPr>
        <w:t xml:space="preserve">s </w:t>
      </w:r>
      <w:r w:rsidR="00545AE3">
        <w:rPr>
          <w:sz w:val="18"/>
        </w:rPr>
        <w:t>were</w:t>
      </w:r>
      <w:r w:rsidRPr="00257F06">
        <w:rPr>
          <w:sz w:val="18"/>
        </w:rPr>
        <w:t xml:space="preserve"> paired and inventor</w:t>
      </w:r>
      <w:r>
        <w:rPr>
          <w:sz w:val="18"/>
        </w:rPr>
        <w:t>ies</w:t>
      </w:r>
      <w:r w:rsidRPr="00257F06">
        <w:rPr>
          <w:sz w:val="18"/>
        </w:rPr>
        <w:t xml:space="preserve"> </w:t>
      </w:r>
      <w:r>
        <w:rPr>
          <w:sz w:val="18"/>
        </w:rPr>
        <w:t>are added up</w:t>
      </w:r>
      <w:r w:rsidRPr="00257F06">
        <w:rPr>
          <w:sz w:val="18"/>
        </w:rPr>
        <w:t>.</w:t>
      </w:r>
      <w:r>
        <w:rPr>
          <w:sz w:val="18"/>
        </w:rPr>
        <w:t xml:space="preserve"> CF, Compound Feed; GB, Green Biorefinery; AD, Anaerobic Digestion; GA, Gasification; BSF, Black Soldier Fly; Myco, Mycoproteins; MP, Microbial proteins.</w:t>
      </w:r>
    </w:p>
    <w:p w14:paraId="75A6F4B6" w14:textId="4CD9B8CB" w:rsidR="00CE3893" w:rsidRDefault="00545AE3" w:rsidP="00545AE3">
      <w:pPr>
        <w:jc w:val="both"/>
      </w:pPr>
      <w:r>
        <w:t>The description of each mode</w:t>
      </w:r>
      <w:r w:rsidR="00655BBB">
        <w:t>ls</w:t>
      </w:r>
      <w:r>
        <w:t xml:space="preserve"> is organized as follows: (i) background/set-up selection, (ii) unit operation design and assumptions and (iii) summary of technology parameters and background processes involved. </w:t>
      </w:r>
      <w:r w:rsidRPr="00545AE3">
        <w:t xml:space="preserve">Mass, fractions, elements and energy flows are available directly in the excel </w:t>
      </w:r>
      <w:r>
        <w:t>spreadsheets</w:t>
      </w:r>
      <w:r w:rsidRPr="00545AE3">
        <w:t>, and were not mentioned in this document because these are parameter- and feedstock-dependent.</w:t>
      </w:r>
    </w:p>
    <w:p w14:paraId="01A1FAF6" w14:textId="77777777" w:rsidR="00CE3893" w:rsidRDefault="00CE3893">
      <w:r>
        <w:br w:type="page"/>
      </w:r>
    </w:p>
    <w:p w14:paraId="52D51D7B" w14:textId="67386975" w:rsidR="00E917B4" w:rsidRDefault="00874128" w:rsidP="00874128">
      <w:pPr>
        <w:pStyle w:val="Titre2"/>
      </w:pPr>
      <w:bookmarkStart w:id="40" w:name="_Ref144802667"/>
      <w:bookmarkStart w:id="41" w:name="_Toc145069099"/>
      <w:r>
        <w:lastRenderedPageBreak/>
        <w:t>Generic LCI unit operations</w:t>
      </w:r>
      <w:bookmarkEnd w:id="40"/>
      <w:bookmarkEnd w:id="41"/>
    </w:p>
    <w:p w14:paraId="044AE6D8" w14:textId="772AF650" w:rsidR="009A570F" w:rsidRPr="009A570F" w:rsidRDefault="009A570F" w:rsidP="00874128">
      <w:pPr>
        <w:pStyle w:val="Titre3"/>
      </w:pPr>
      <w:bookmarkStart w:id="42" w:name="_Toc145069100"/>
      <w:r w:rsidRPr="009A570F">
        <w:t>Constants</w:t>
      </w:r>
      <w:bookmarkEnd w:id="42"/>
    </w:p>
    <w:p w14:paraId="4886B1ED" w14:textId="0FC08E37" w:rsidR="009A570F" w:rsidRPr="003F5DA8" w:rsidRDefault="009A570F" w:rsidP="009A570F">
      <w:pPr>
        <w:jc w:val="both"/>
      </w:pPr>
      <w:r w:rsidRPr="003F5DA8">
        <w:t>Unless stated, the following constants were used for all the calculations</w:t>
      </w:r>
      <w:r>
        <w:t xml:space="preserve"> (</w:t>
      </w:r>
      <w:r w:rsidR="00874128" w:rsidRPr="00874128">
        <w:rPr>
          <w:b/>
        </w:rPr>
        <w:fldChar w:fldCharType="begin"/>
      </w:r>
      <w:r w:rsidR="00874128" w:rsidRPr="00874128">
        <w:rPr>
          <w:b/>
        </w:rPr>
        <w:instrText xml:space="preserve"> REF _Ref144735982 \h </w:instrText>
      </w:r>
      <w:r w:rsidR="00874128">
        <w:rPr>
          <w:b/>
        </w:rPr>
        <w:instrText xml:space="preserve"> \* MERGEFORMAT </w:instrText>
      </w:r>
      <w:r w:rsidR="00874128" w:rsidRPr="00874128">
        <w:rPr>
          <w:b/>
        </w:rPr>
      </w:r>
      <w:r w:rsidR="00874128" w:rsidRPr="00874128">
        <w:rPr>
          <w:b/>
        </w:rPr>
        <w:fldChar w:fldCharType="separate"/>
      </w:r>
      <w:r w:rsidR="00F25F8C" w:rsidRPr="00F25F8C">
        <w:rPr>
          <w:b/>
        </w:rPr>
        <w:t xml:space="preserve">Table SI. </w:t>
      </w:r>
      <w:r w:rsidR="00F25F8C" w:rsidRPr="00F25F8C">
        <w:rPr>
          <w:b/>
          <w:noProof/>
        </w:rPr>
        <w:t>9</w:t>
      </w:r>
      <w:r w:rsidR="00874128" w:rsidRPr="00874128">
        <w:rPr>
          <w:b/>
        </w:rPr>
        <w:fldChar w:fldCharType="end"/>
      </w:r>
      <w:r>
        <w:t>)</w:t>
      </w:r>
      <w:r w:rsidRPr="003F5DA8">
        <w:t>.</w:t>
      </w:r>
    </w:p>
    <w:p w14:paraId="7264B98C" w14:textId="17F7A5F7" w:rsidR="009A570F" w:rsidRPr="00FA6FBE" w:rsidRDefault="00874128" w:rsidP="00CE3893">
      <w:pPr>
        <w:pStyle w:val="Lgende"/>
        <w:jc w:val="left"/>
      </w:pPr>
      <w:bookmarkStart w:id="43" w:name="_Ref144735982"/>
      <w:bookmarkStart w:id="44" w:name="_Ref144736324"/>
      <w:bookmarkStart w:id="45" w:name="_Toc151967893"/>
      <w:r>
        <w:t xml:space="preserve">Table SI. </w:t>
      </w:r>
      <w:r>
        <w:fldChar w:fldCharType="begin"/>
      </w:r>
      <w:r>
        <w:instrText xml:space="preserve"> SEQ Table_SI. \* ARABIC </w:instrText>
      </w:r>
      <w:r>
        <w:fldChar w:fldCharType="separate"/>
      </w:r>
      <w:r w:rsidR="00F25F8C">
        <w:rPr>
          <w:noProof/>
        </w:rPr>
        <w:t>9</w:t>
      </w:r>
      <w:r>
        <w:fldChar w:fldCharType="end"/>
      </w:r>
      <w:bookmarkEnd w:id="43"/>
      <w:r w:rsidRPr="00FA6FBE">
        <w:t xml:space="preserve"> – Calculation constants</w:t>
      </w:r>
      <w:bookmarkEnd w:id="44"/>
      <w:bookmarkEnd w:id="45"/>
    </w:p>
    <w:tbl>
      <w:tblPr>
        <w:tblStyle w:val="Tableausimple2"/>
        <w:tblW w:w="0" w:type="auto"/>
        <w:tblLook w:val="04A0" w:firstRow="1" w:lastRow="0" w:firstColumn="1" w:lastColumn="0" w:noHBand="0" w:noVBand="1"/>
      </w:tblPr>
      <w:tblGrid>
        <w:gridCol w:w="2053"/>
        <w:gridCol w:w="820"/>
        <w:gridCol w:w="887"/>
        <w:gridCol w:w="1130"/>
        <w:gridCol w:w="764"/>
      </w:tblGrid>
      <w:tr w:rsidR="009A570F" w:rsidRPr="00B94C7D" w14:paraId="78A9EF2B" w14:textId="77777777" w:rsidTr="00CE389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D2F11A5" w14:textId="77777777" w:rsidR="009A570F" w:rsidRPr="00B94C7D" w:rsidRDefault="009A570F" w:rsidP="00D31C73">
            <w:pPr>
              <w:jc w:val="right"/>
              <w:rPr>
                <w:b w:val="0"/>
                <w:sz w:val="18"/>
                <w:szCs w:val="18"/>
              </w:rPr>
            </w:pPr>
            <w:r w:rsidRPr="00B94C7D">
              <w:rPr>
                <w:sz w:val="18"/>
                <w:szCs w:val="18"/>
              </w:rPr>
              <w:t>Constant</w:t>
            </w:r>
          </w:p>
        </w:tc>
        <w:tc>
          <w:tcPr>
            <w:tcW w:w="0" w:type="auto"/>
          </w:tcPr>
          <w:p w14:paraId="31C49C11" w14:textId="77777777" w:rsidR="009A570F" w:rsidRPr="00B94C7D" w:rsidRDefault="009A570F" w:rsidP="00D31C73">
            <w:pPr>
              <w:cnfStyle w:val="100000000000" w:firstRow="1" w:lastRow="0" w:firstColumn="0" w:lastColumn="0" w:oddVBand="0" w:evenVBand="0" w:oddHBand="0" w:evenHBand="0" w:firstRowFirstColumn="0" w:firstRowLastColumn="0" w:lastRowFirstColumn="0" w:lastRowLastColumn="0"/>
              <w:rPr>
                <w:b w:val="0"/>
                <w:sz w:val="18"/>
                <w:szCs w:val="18"/>
              </w:rPr>
            </w:pPr>
            <w:r w:rsidRPr="00B94C7D">
              <w:rPr>
                <w:sz w:val="18"/>
                <w:szCs w:val="18"/>
              </w:rPr>
              <w:t>Value</w:t>
            </w:r>
          </w:p>
        </w:tc>
        <w:tc>
          <w:tcPr>
            <w:tcW w:w="0" w:type="auto"/>
          </w:tcPr>
          <w:p w14:paraId="5EA409B2" w14:textId="77777777" w:rsidR="009A570F" w:rsidRPr="00B94C7D" w:rsidRDefault="009A570F" w:rsidP="00D31C73">
            <w:pPr>
              <w:cnfStyle w:val="100000000000" w:firstRow="1" w:lastRow="0" w:firstColumn="0" w:lastColumn="0" w:oddVBand="0" w:evenVBand="0" w:oddHBand="0" w:evenHBand="0" w:firstRowFirstColumn="0" w:firstRowLastColumn="0" w:lastRowFirstColumn="0" w:lastRowLastColumn="0"/>
              <w:rPr>
                <w:b w:val="0"/>
                <w:sz w:val="18"/>
                <w:szCs w:val="18"/>
              </w:rPr>
            </w:pPr>
            <w:r w:rsidRPr="00B94C7D">
              <w:rPr>
                <w:sz w:val="18"/>
                <w:szCs w:val="18"/>
              </w:rPr>
              <w:t>Constant</w:t>
            </w:r>
          </w:p>
        </w:tc>
        <w:tc>
          <w:tcPr>
            <w:tcW w:w="0" w:type="auto"/>
          </w:tcPr>
          <w:p w14:paraId="5614E37B" w14:textId="77777777" w:rsidR="009A570F" w:rsidRPr="00B94C7D" w:rsidRDefault="009A570F" w:rsidP="00D31C73">
            <w:pPr>
              <w:cnfStyle w:val="100000000000" w:firstRow="1" w:lastRow="0" w:firstColumn="0" w:lastColumn="0" w:oddVBand="0" w:evenVBand="0" w:oddHBand="0" w:evenHBand="0" w:firstRowFirstColumn="0" w:firstRowLastColumn="0" w:lastRowFirstColumn="0" w:lastRowLastColumn="0"/>
              <w:rPr>
                <w:b w:val="0"/>
                <w:sz w:val="18"/>
                <w:szCs w:val="18"/>
              </w:rPr>
            </w:pPr>
            <w:r w:rsidRPr="00B94C7D">
              <w:rPr>
                <w:sz w:val="18"/>
                <w:szCs w:val="18"/>
              </w:rPr>
              <w:t>Unit</w:t>
            </w:r>
          </w:p>
        </w:tc>
        <w:tc>
          <w:tcPr>
            <w:tcW w:w="0" w:type="auto"/>
          </w:tcPr>
          <w:p w14:paraId="7A67BC26" w14:textId="77777777" w:rsidR="009A570F" w:rsidRPr="00B94C7D" w:rsidRDefault="009A570F" w:rsidP="00D31C73">
            <w:pPr>
              <w:cnfStyle w:val="100000000000" w:firstRow="1" w:lastRow="0" w:firstColumn="0" w:lastColumn="0" w:oddVBand="0" w:evenVBand="0" w:oddHBand="0" w:evenHBand="0" w:firstRowFirstColumn="0" w:firstRowLastColumn="0" w:lastRowFirstColumn="0" w:lastRowLastColumn="0"/>
              <w:rPr>
                <w:b w:val="0"/>
                <w:sz w:val="18"/>
                <w:szCs w:val="18"/>
              </w:rPr>
            </w:pPr>
            <w:r w:rsidRPr="00B94C7D">
              <w:rPr>
                <w:sz w:val="18"/>
                <w:szCs w:val="18"/>
              </w:rPr>
              <w:t>Value</w:t>
            </w:r>
          </w:p>
        </w:tc>
      </w:tr>
      <w:tr w:rsidR="009A570F" w:rsidRPr="00B94C7D" w14:paraId="1B76FCF5" w14:textId="77777777" w:rsidTr="00CE3893">
        <w:trPr>
          <w:cnfStyle w:val="000000100000" w:firstRow="0" w:lastRow="0" w:firstColumn="0" w:lastColumn="0" w:oddVBand="0" w:evenVBand="0" w:oddHBand="1" w:evenHBand="0" w:firstRowFirstColumn="0" w:firstRowLastColumn="0" w:lastRowFirstColumn="0" w:lastRowLastColumn="0"/>
          <w:trHeight w:val="80"/>
        </w:trPr>
        <w:tc>
          <w:tcPr>
            <w:cnfStyle w:val="001000000000" w:firstRow="0" w:lastRow="0" w:firstColumn="1" w:lastColumn="0" w:oddVBand="0" w:evenVBand="0" w:oddHBand="0" w:evenHBand="0" w:firstRowFirstColumn="0" w:firstRowLastColumn="0" w:lastRowFirstColumn="0" w:lastRowLastColumn="0"/>
            <w:tcW w:w="0" w:type="auto"/>
            <w:gridSpan w:val="2"/>
          </w:tcPr>
          <w:p w14:paraId="2A493E15" w14:textId="77777777" w:rsidR="009A570F" w:rsidRPr="00B94C7D" w:rsidRDefault="009A570F" w:rsidP="00B94C7D">
            <w:pPr>
              <w:rPr>
                <w:b w:val="0"/>
                <w:sz w:val="18"/>
                <w:szCs w:val="18"/>
              </w:rPr>
            </w:pPr>
            <w:r w:rsidRPr="00B94C7D">
              <w:rPr>
                <w:sz w:val="18"/>
                <w:szCs w:val="18"/>
              </w:rPr>
              <w:t>Molar mass (g.mol</w:t>
            </w:r>
            <w:r w:rsidRPr="00B94C7D">
              <w:rPr>
                <w:sz w:val="18"/>
                <w:szCs w:val="18"/>
                <w:vertAlign w:val="superscript"/>
              </w:rPr>
              <w:t>-1</w:t>
            </w:r>
            <w:r w:rsidRPr="00B94C7D">
              <w:rPr>
                <w:sz w:val="18"/>
                <w:szCs w:val="18"/>
              </w:rPr>
              <w:t>)</w:t>
            </w:r>
          </w:p>
        </w:tc>
        <w:tc>
          <w:tcPr>
            <w:tcW w:w="887" w:type="dxa"/>
          </w:tcPr>
          <w:p w14:paraId="56DF700A" w14:textId="77777777" w:rsidR="009A570F" w:rsidRPr="00B94C7D" w:rsidRDefault="009A570F" w:rsidP="00D31C73">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B94C7D">
              <w:rPr>
                <w:b/>
                <w:sz w:val="18"/>
                <w:szCs w:val="18"/>
              </w:rPr>
              <w:t>g</w:t>
            </w:r>
          </w:p>
        </w:tc>
        <w:tc>
          <w:tcPr>
            <w:tcW w:w="1130" w:type="dxa"/>
          </w:tcPr>
          <w:p w14:paraId="54DA0340"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m.s</w:t>
            </w:r>
            <w:r w:rsidRPr="00B94C7D">
              <w:rPr>
                <w:sz w:val="18"/>
                <w:szCs w:val="18"/>
                <w:vertAlign w:val="superscript"/>
              </w:rPr>
              <w:t>-2</w:t>
            </w:r>
          </w:p>
        </w:tc>
        <w:tc>
          <w:tcPr>
            <w:tcW w:w="764" w:type="dxa"/>
          </w:tcPr>
          <w:p w14:paraId="4ABBA35D"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9.81</w:t>
            </w:r>
          </w:p>
        </w:tc>
      </w:tr>
      <w:tr w:rsidR="009A570F" w:rsidRPr="00B94C7D" w14:paraId="4F1B504D" w14:textId="77777777" w:rsidTr="00CE3893">
        <w:tc>
          <w:tcPr>
            <w:cnfStyle w:val="001000000000" w:firstRow="0" w:lastRow="0" w:firstColumn="1" w:lastColumn="0" w:oddVBand="0" w:evenVBand="0" w:oddHBand="0" w:evenHBand="0" w:firstRowFirstColumn="0" w:firstRowLastColumn="0" w:lastRowFirstColumn="0" w:lastRowLastColumn="0"/>
            <w:tcW w:w="0" w:type="auto"/>
          </w:tcPr>
          <w:p w14:paraId="3ED2F222" w14:textId="77777777" w:rsidR="009A570F" w:rsidRPr="00B94C7D" w:rsidRDefault="009A570F" w:rsidP="00D31C73">
            <w:pPr>
              <w:jc w:val="right"/>
              <w:rPr>
                <w:sz w:val="18"/>
                <w:szCs w:val="18"/>
              </w:rPr>
            </w:pPr>
            <w:r w:rsidRPr="00B94C7D">
              <w:rPr>
                <w:sz w:val="18"/>
                <w:szCs w:val="18"/>
              </w:rPr>
              <w:t>C</w:t>
            </w:r>
          </w:p>
        </w:tc>
        <w:tc>
          <w:tcPr>
            <w:tcW w:w="0" w:type="auto"/>
          </w:tcPr>
          <w:p w14:paraId="3D9FE5DB" w14:textId="77777777" w:rsidR="009A570F" w:rsidRPr="00B94C7D" w:rsidRDefault="009A570F"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12.011</w:t>
            </w:r>
          </w:p>
        </w:tc>
        <w:tc>
          <w:tcPr>
            <w:tcW w:w="0" w:type="auto"/>
          </w:tcPr>
          <w:p w14:paraId="3A41E4CA" w14:textId="77777777" w:rsidR="009A570F" w:rsidRPr="00B94C7D" w:rsidRDefault="009A570F" w:rsidP="00D31C73">
            <w:pPr>
              <w:jc w:val="right"/>
              <w:cnfStyle w:val="000000000000" w:firstRow="0" w:lastRow="0" w:firstColumn="0" w:lastColumn="0" w:oddVBand="0" w:evenVBand="0" w:oddHBand="0" w:evenHBand="0" w:firstRowFirstColumn="0" w:firstRowLastColumn="0" w:lastRowFirstColumn="0" w:lastRowLastColumn="0"/>
              <w:rPr>
                <w:b/>
                <w:sz w:val="18"/>
                <w:szCs w:val="18"/>
              </w:rPr>
            </w:pPr>
            <w:r w:rsidRPr="00B94C7D">
              <w:rPr>
                <w:b/>
                <w:sz w:val="18"/>
                <w:szCs w:val="18"/>
              </w:rPr>
              <w:t>R</w:t>
            </w:r>
          </w:p>
        </w:tc>
        <w:tc>
          <w:tcPr>
            <w:tcW w:w="0" w:type="auto"/>
          </w:tcPr>
          <w:p w14:paraId="0CF2F83F" w14:textId="77777777" w:rsidR="009A570F" w:rsidRPr="00B94C7D" w:rsidRDefault="009A570F"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J.mol</w:t>
            </w:r>
            <w:r w:rsidRPr="00B94C7D">
              <w:rPr>
                <w:sz w:val="18"/>
                <w:szCs w:val="18"/>
                <w:vertAlign w:val="superscript"/>
              </w:rPr>
              <w:t>-</w:t>
            </w:r>
            <w:proofErr w:type="gramStart"/>
            <w:r w:rsidRPr="00B94C7D">
              <w:rPr>
                <w:sz w:val="18"/>
                <w:szCs w:val="18"/>
                <w:vertAlign w:val="superscript"/>
              </w:rPr>
              <w:t>1</w:t>
            </w:r>
            <w:r w:rsidRPr="00B94C7D">
              <w:rPr>
                <w:sz w:val="18"/>
                <w:szCs w:val="18"/>
              </w:rPr>
              <w:t>.K</w:t>
            </w:r>
            <w:proofErr w:type="gramEnd"/>
            <w:r w:rsidRPr="00B94C7D">
              <w:rPr>
                <w:sz w:val="18"/>
                <w:szCs w:val="18"/>
                <w:vertAlign w:val="superscript"/>
              </w:rPr>
              <w:t>-1</w:t>
            </w:r>
          </w:p>
        </w:tc>
        <w:tc>
          <w:tcPr>
            <w:tcW w:w="0" w:type="auto"/>
          </w:tcPr>
          <w:p w14:paraId="602A3AB6" w14:textId="77777777" w:rsidR="009A570F" w:rsidRPr="00B94C7D" w:rsidRDefault="009A570F"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8.314</w:t>
            </w:r>
          </w:p>
        </w:tc>
      </w:tr>
      <w:tr w:rsidR="009A570F" w:rsidRPr="00B94C7D" w14:paraId="662F0330" w14:textId="77777777" w:rsidTr="00CE38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5E4814C" w14:textId="77777777" w:rsidR="009A570F" w:rsidRPr="00B94C7D" w:rsidRDefault="009A570F" w:rsidP="00D31C73">
            <w:pPr>
              <w:jc w:val="right"/>
              <w:rPr>
                <w:sz w:val="18"/>
                <w:szCs w:val="18"/>
              </w:rPr>
            </w:pPr>
            <w:r w:rsidRPr="00B94C7D">
              <w:rPr>
                <w:sz w:val="18"/>
                <w:szCs w:val="18"/>
              </w:rPr>
              <w:t>N</w:t>
            </w:r>
          </w:p>
        </w:tc>
        <w:tc>
          <w:tcPr>
            <w:tcW w:w="0" w:type="auto"/>
          </w:tcPr>
          <w:p w14:paraId="0A412CF6"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14.007</w:t>
            </w:r>
          </w:p>
        </w:tc>
        <w:tc>
          <w:tcPr>
            <w:tcW w:w="0" w:type="auto"/>
          </w:tcPr>
          <w:p w14:paraId="01667F83" w14:textId="77777777" w:rsidR="009A570F" w:rsidRPr="00B94C7D" w:rsidRDefault="009A570F" w:rsidP="00D31C73">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B94C7D">
              <w:rPr>
                <w:b/>
                <w:sz w:val="18"/>
                <w:szCs w:val="18"/>
              </w:rPr>
              <w:t>P</w:t>
            </w:r>
            <w:r w:rsidRPr="00B94C7D">
              <w:rPr>
                <w:b/>
                <w:sz w:val="18"/>
                <w:szCs w:val="18"/>
                <w:vertAlign w:val="subscript"/>
              </w:rPr>
              <w:t>air</w:t>
            </w:r>
          </w:p>
        </w:tc>
        <w:tc>
          <w:tcPr>
            <w:tcW w:w="0" w:type="auto"/>
          </w:tcPr>
          <w:p w14:paraId="54366329"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Pa</w:t>
            </w:r>
          </w:p>
        </w:tc>
        <w:tc>
          <w:tcPr>
            <w:tcW w:w="0" w:type="auto"/>
          </w:tcPr>
          <w:p w14:paraId="4586F9EE"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101325</w:t>
            </w:r>
          </w:p>
        </w:tc>
      </w:tr>
      <w:tr w:rsidR="009A570F" w:rsidRPr="00B94C7D" w14:paraId="28AC0528" w14:textId="77777777" w:rsidTr="00CE3893">
        <w:tc>
          <w:tcPr>
            <w:cnfStyle w:val="001000000000" w:firstRow="0" w:lastRow="0" w:firstColumn="1" w:lastColumn="0" w:oddVBand="0" w:evenVBand="0" w:oddHBand="0" w:evenHBand="0" w:firstRowFirstColumn="0" w:firstRowLastColumn="0" w:lastRowFirstColumn="0" w:lastRowLastColumn="0"/>
            <w:tcW w:w="0" w:type="auto"/>
          </w:tcPr>
          <w:p w14:paraId="349A3F93" w14:textId="77777777" w:rsidR="009A570F" w:rsidRPr="00B94C7D" w:rsidRDefault="009A570F" w:rsidP="00D31C73">
            <w:pPr>
              <w:jc w:val="right"/>
              <w:rPr>
                <w:sz w:val="18"/>
                <w:szCs w:val="18"/>
              </w:rPr>
            </w:pPr>
            <w:r w:rsidRPr="00B94C7D">
              <w:rPr>
                <w:sz w:val="18"/>
                <w:szCs w:val="18"/>
              </w:rPr>
              <w:t>H</w:t>
            </w:r>
          </w:p>
        </w:tc>
        <w:tc>
          <w:tcPr>
            <w:tcW w:w="0" w:type="auto"/>
          </w:tcPr>
          <w:p w14:paraId="1C85BCE7" w14:textId="77777777" w:rsidR="009A570F" w:rsidRPr="00B94C7D" w:rsidRDefault="009A570F"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1.008</w:t>
            </w:r>
          </w:p>
        </w:tc>
        <w:tc>
          <w:tcPr>
            <w:tcW w:w="0" w:type="auto"/>
          </w:tcPr>
          <w:p w14:paraId="51AC9CDE" w14:textId="7533AD78" w:rsidR="009A570F" w:rsidRPr="00B94C7D" w:rsidRDefault="00B94C7D" w:rsidP="00D31C73">
            <w:pPr>
              <w:jc w:val="right"/>
              <w:cnfStyle w:val="000000000000" w:firstRow="0" w:lastRow="0" w:firstColumn="0" w:lastColumn="0" w:oddVBand="0" w:evenVBand="0" w:oddHBand="0" w:evenHBand="0" w:firstRowFirstColumn="0" w:firstRowLastColumn="0" w:lastRowFirstColumn="0" w:lastRowLastColumn="0"/>
              <w:rPr>
                <w:b/>
                <w:sz w:val="18"/>
                <w:szCs w:val="18"/>
              </w:rPr>
            </w:pPr>
            <m:oMath>
              <m:r>
                <m:rPr>
                  <m:sty m:val="b"/>
                </m:rPr>
                <w:rPr>
                  <w:rFonts w:ascii="Cambria Math" w:hAnsi="Cambria Math"/>
                  <w:sz w:val="18"/>
                  <w:szCs w:val="18"/>
                </w:rPr>
                <m:t>γ</m:t>
              </m:r>
            </m:oMath>
            <w:r w:rsidR="009A570F" w:rsidRPr="00B94C7D">
              <w:rPr>
                <w:rFonts w:eastAsiaTheme="minorEastAsia"/>
                <w:b/>
                <w:sz w:val="18"/>
                <w:szCs w:val="18"/>
                <w:vertAlign w:val="subscript"/>
              </w:rPr>
              <w:t>air</w:t>
            </w:r>
          </w:p>
        </w:tc>
        <w:tc>
          <w:tcPr>
            <w:tcW w:w="0" w:type="auto"/>
          </w:tcPr>
          <w:p w14:paraId="660ADE44" w14:textId="77777777" w:rsidR="009A570F" w:rsidRPr="00B94C7D" w:rsidRDefault="009A570F" w:rsidP="00D31C73">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49FDCCF1" w14:textId="77777777" w:rsidR="009A570F" w:rsidRPr="00B94C7D" w:rsidRDefault="009A570F"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1.41</w:t>
            </w:r>
          </w:p>
        </w:tc>
      </w:tr>
      <w:tr w:rsidR="009A570F" w:rsidRPr="00B94C7D" w14:paraId="5DEF8FAA" w14:textId="77777777" w:rsidTr="00CE38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A4E8D92" w14:textId="77777777" w:rsidR="009A570F" w:rsidRPr="00B94C7D" w:rsidRDefault="009A570F" w:rsidP="00D31C73">
            <w:pPr>
              <w:jc w:val="right"/>
              <w:rPr>
                <w:sz w:val="18"/>
                <w:szCs w:val="18"/>
              </w:rPr>
            </w:pPr>
            <w:r w:rsidRPr="00B94C7D">
              <w:rPr>
                <w:sz w:val="18"/>
                <w:szCs w:val="18"/>
              </w:rPr>
              <w:t>O</w:t>
            </w:r>
          </w:p>
        </w:tc>
        <w:tc>
          <w:tcPr>
            <w:tcW w:w="0" w:type="auto"/>
          </w:tcPr>
          <w:p w14:paraId="629A0329"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15.999</w:t>
            </w:r>
          </w:p>
        </w:tc>
        <w:tc>
          <w:tcPr>
            <w:tcW w:w="0" w:type="auto"/>
          </w:tcPr>
          <w:p w14:paraId="49783607" w14:textId="4DCF49B8" w:rsidR="009A570F" w:rsidRPr="00B94C7D" w:rsidRDefault="00B94C7D" w:rsidP="00D31C73">
            <w:pPr>
              <w:jc w:val="right"/>
              <w:cnfStyle w:val="000000100000" w:firstRow="0" w:lastRow="0" w:firstColumn="0" w:lastColumn="0" w:oddVBand="0" w:evenVBand="0" w:oddHBand="1" w:evenHBand="0" w:firstRowFirstColumn="0" w:firstRowLastColumn="0" w:lastRowFirstColumn="0" w:lastRowLastColumn="0"/>
              <w:rPr>
                <w:b/>
                <w:sz w:val="18"/>
                <w:szCs w:val="18"/>
              </w:rPr>
            </w:pPr>
            <m:oMath>
              <m:r>
                <m:rPr>
                  <m:sty m:val="b"/>
                </m:rPr>
                <w:rPr>
                  <w:rFonts w:ascii="Cambria Math" w:hAnsi="Cambria Math"/>
                  <w:sz w:val="18"/>
                  <w:szCs w:val="18"/>
                </w:rPr>
                <m:t>γ</m:t>
              </m:r>
            </m:oMath>
            <w:r w:rsidR="009A570F" w:rsidRPr="00B94C7D">
              <w:rPr>
                <w:rFonts w:eastAsiaTheme="minorEastAsia"/>
                <w:b/>
                <w:sz w:val="18"/>
                <w:szCs w:val="18"/>
                <w:vertAlign w:val="subscript"/>
              </w:rPr>
              <w:t>steam</w:t>
            </w:r>
          </w:p>
        </w:tc>
        <w:tc>
          <w:tcPr>
            <w:tcW w:w="0" w:type="auto"/>
          </w:tcPr>
          <w:p w14:paraId="23BD873B"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38F9B05C"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1.33</w:t>
            </w:r>
          </w:p>
        </w:tc>
      </w:tr>
      <w:tr w:rsidR="009A570F" w:rsidRPr="00B94C7D" w14:paraId="51C9D260" w14:textId="77777777" w:rsidTr="00CE3893">
        <w:tc>
          <w:tcPr>
            <w:cnfStyle w:val="001000000000" w:firstRow="0" w:lastRow="0" w:firstColumn="1" w:lastColumn="0" w:oddVBand="0" w:evenVBand="0" w:oddHBand="0" w:evenHBand="0" w:firstRowFirstColumn="0" w:firstRowLastColumn="0" w:lastRowFirstColumn="0" w:lastRowLastColumn="0"/>
            <w:tcW w:w="0" w:type="auto"/>
          </w:tcPr>
          <w:p w14:paraId="4A674938" w14:textId="77777777" w:rsidR="009A570F" w:rsidRPr="00B94C7D" w:rsidRDefault="009A570F" w:rsidP="00D31C73">
            <w:pPr>
              <w:jc w:val="right"/>
              <w:rPr>
                <w:sz w:val="18"/>
                <w:szCs w:val="18"/>
              </w:rPr>
            </w:pPr>
            <w:r w:rsidRPr="00B94C7D">
              <w:rPr>
                <w:sz w:val="18"/>
                <w:szCs w:val="18"/>
              </w:rPr>
              <w:t>S</w:t>
            </w:r>
          </w:p>
        </w:tc>
        <w:tc>
          <w:tcPr>
            <w:tcW w:w="0" w:type="auto"/>
          </w:tcPr>
          <w:p w14:paraId="7770C8B9" w14:textId="77777777" w:rsidR="009A570F" w:rsidRPr="00B94C7D" w:rsidRDefault="009A570F"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32.065</w:t>
            </w:r>
          </w:p>
        </w:tc>
        <w:tc>
          <w:tcPr>
            <w:tcW w:w="0" w:type="auto"/>
          </w:tcPr>
          <w:p w14:paraId="3CD16A2D" w14:textId="77777777" w:rsidR="009A570F" w:rsidRPr="00B94C7D" w:rsidRDefault="009A570F" w:rsidP="00D31C73">
            <w:pPr>
              <w:jc w:val="right"/>
              <w:cnfStyle w:val="000000000000" w:firstRow="0" w:lastRow="0" w:firstColumn="0" w:lastColumn="0" w:oddVBand="0" w:evenVBand="0" w:oddHBand="0" w:evenHBand="0" w:firstRowFirstColumn="0" w:firstRowLastColumn="0" w:lastRowFirstColumn="0" w:lastRowLastColumn="0"/>
              <w:rPr>
                <w:b/>
                <w:sz w:val="18"/>
                <w:szCs w:val="18"/>
              </w:rPr>
            </w:pPr>
            <w:r w:rsidRPr="00B94C7D">
              <w:rPr>
                <w:b/>
                <w:sz w:val="18"/>
                <w:szCs w:val="18"/>
              </w:rPr>
              <w:t>V</w:t>
            </w:r>
            <w:r w:rsidRPr="00B94C7D">
              <w:rPr>
                <w:b/>
                <w:sz w:val="18"/>
                <w:szCs w:val="18"/>
                <w:vertAlign w:val="subscript"/>
              </w:rPr>
              <w:t>mol</w:t>
            </w:r>
          </w:p>
        </w:tc>
        <w:tc>
          <w:tcPr>
            <w:tcW w:w="0" w:type="auto"/>
          </w:tcPr>
          <w:p w14:paraId="48E31BAF" w14:textId="77777777" w:rsidR="009A570F" w:rsidRPr="00B94C7D" w:rsidRDefault="009A570F"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L.mol</w:t>
            </w:r>
            <w:r w:rsidRPr="00B94C7D">
              <w:rPr>
                <w:sz w:val="18"/>
                <w:szCs w:val="18"/>
                <w:vertAlign w:val="superscript"/>
              </w:rPr>
              <w:t>-1</w:t>
            </w:r>
          </w:p>
        </w:tc>
        <w:tc>
          <w:tcPr>
            <w:tcW w:w="0" w:type="auto"/>
          </w:tcPr>
          <w:p w14:paraId="4BA9F286" w14:textId="77777777" w:rsidR="009A570F" w:rsidRPr="00B94C7D" w:rsidRDefault="009A570F"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24</w:t>
            </w:r>
          </w:p>
        </w:tc>
      </w:tr>
      <w:tr w:rsidR="009A570F" w:rsidRPr="00B94C7D" w14:paraId="34E8B092" w14:textId="77777777" w:rsidTr="00CE38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6988298" w14:textId="77777777" w:rsidR="009A570F" w:rsidRPr="00B94C7D" w:rsidRDefault="009A570F" w:rsidP="00D31C73">
            <w:pPr>
              <w:jc w:val="right"/>
              <w:rPr>
                <w:sz w:val="18"/>
                <w:szCs w:val="18"/>
              </w:rPr>
            </w:pPr>
            <w:r w:rsidRPr="00B94C7D">
              <w:rPr>
                <w:sz w:val="18"/>
                <w:szCs w:val="18"/>
              </w:rPr>
              <w:t>P</w:t>
            </w:r>
          </w:p>
        </w:tc>
        <w:tc>
          <w:tcPr>
            <w:tcW w:w="0" w:type="auto"/>
          </w:tcPr>
          <w:p w14:paraId="63D6D343"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30.974</w:t>
            </w:r>
          </w:p>
        </w:tc>
        <w:tc>
          <w:tcPr>
            <w:tcW w:w="0" w:type="auto"/>
          </w:tcPr>
          <w:p w14:paraId="4373AD92" w14:textId="77777777" w:rsidR="009A570F" w:rsidRPr="00B94C7D" w:rsidRDefault="009A570F" w:rsidP="00D31C73">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B94C7D">
              <w:rPr>
                <w:b/>
                <w:sz w:val="18"/>
                <w:szCs w:val="18"/>
              </w:rPr>
              <w:t>H</w:t>
            </w:r>
            <w:r w:rsidRPr="00B94C7D">
              <w:rPr>
                <w:b/>
                <w:sz w:val="18"/>
                <w:szCs w:val="18"/>
                <w:vertAlign w:val="subscript"/>
              </w:rPr>
              <w:t>vap</w:t>
            </w:r>
          </w:p>
        </w:tc>
        <w:tc>
          <w:tcPr>
            <w:tcW w:w="0" w:type="auto"/>
          </w:tcPr>
          <w:p w14:paraId="47D69A06"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MJ.kg</w:t>
            </w:r>
            <w:r w:rsidRPr="00B94C7D">
              <w:rPr>
                <w:sz w:val="18"/>
                <w:szCs w:val="18"/>
                <w:vertAlign w:val="superscript"/>
              </w:rPr>
              <w:t>-1</w:t>
            </w:r>
          </w:p>
        </w:tc>
        <w:tc>
          <w:tcPr>
            <w:tcW w:w="0" w:type="auto"/>
          </w:tcPr>
          <w:p w14:paraId="0EDFA5CF"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2.26</w:t>
            </w:r>
          </w:p>
        </w:tc>
      </w:tr>
      <w:tr w:rsidR="009A570F" w:rsidRPr="00B94C7D" w14:paraId="1EBE385A" w14:textId="77777777" w:rsidTr="00CE3893">
        <w:tc>
          <w:tcPr>
            <w:cnfStyle w:val="001000000000" w:firstRow="0" w:lastRow="0" w:firstColumn="1" w:lastColumn="0" w:oddVBand="0" w:evenVBand="0" w:oddHBand="0" w:evenHBand="0" w:firstRowFirstColumn="0" w:firstRowLastColumn="0" w:lastRowFirstColumn="0" w:lastRowLastColumn="0"/>
            <w:tcW w:w="0" w:type="auto"/>
          </w:tcPr>
          <w:p w14:paraId="5DCA979F" w14:textId="77777777" w:rsidR="009A570F" w:rsidRPr="00B94C7D" w:rsidRDefault="009A570F" w:rsidP="00D31C73">
            <w:pPr>
              <w:jc w:val="right"/>
              <w:rPr>
                <w:sz w:val="18"/>
                <w:szCs w:val="18"/>
              </w:rPr>
            </w:pPr>
            <w:r w:rsidRPr="00B94C7D">
              <w:rPr>
                <w:sz w:val="18"/>
                <w:szCs w:val="18"/>
              </w:rPr>
              <w:t>K</w:t>
            </w:r>
          </w:p>
        </w:tc>
        <w:tc>
          <w:tcPr>
            <w:tcW w:w="0" w:type="auto"/>
          </w:tcPr>
          <w:p w14:paraId="40278CA6" w14:textId="77777777" w:rsidR="009A570F" w:rsidRPr="00B94C7D" w:rsidRDefault="009A570F"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39.098</w:t>
            </w:r>
          </w:p>
        </w:tc>
        <w:tc>
          <w:tcPr>
            <w:tcW w:w="0" w:type="auto"/>
          </w:tcPr>
          <w:p w14:paraId="484B86A2" w14:textId="77777777" w:rsidR="009A570F" w:rsidRPr="00B94C7D" w:rsidRDefault="009A570F" w:rsidP="00D31C73">
            <w:pPr>
              <w:jc w:val="right"/>
              <w:cnfStyle w:val="000000000000" w:firstRow="0" w:lastRow="0" w:firstColumn="0" w:lastColumn="0" w:oddVBand="0" w:evenVBand="0" w:oddHBand="0" w:evenHBand="0" w:firstRowFirstColumn="0" w:firstRowLastColumn="0" w:lastRowFirstColumn="0" w:lastRowLastColumn="0"/>
              <w:rPr>
                <w:b/>
                <w:sz w:val="18"/>
                <w:szCs w:val="18"/>
              </w:rPr>
            </w:pPr>
            <w:r w:rsidRPr="00B94C7D">
              <w:rPr>
                <w:b/>
                <w:sz w:val="18"/>
                <w:szCs w:val="18"/>
              </w:rPr>
              <w:t>ρ</w:t>
            </w:r>
            <w:r w:rsidRPr="00B94C7D">
              <w:rPr>
                <w:b/>
                <w:sz w:val="18"/>
                <w:szCs w:val="18"/>
                <w:vertAlign w:val="subscript"/>
              </w:rPr>
              <w:t>water</w:t>
            </w:r>
          </w:p>
        </w:tc>
        <w:tc>
          <w:tcPr>
            <w:tcW w:w="0" w:type="auto"/>
          </w:tcPr>
          <w:p w14:paraId="1478D5E3" w14:textId="77777777" w:rsidR="009A570F" w:rsidRPr="00B94C7D" w:rsidRDefault="009A570F"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kg.m</w:t>
            </w:r>
            <w:r w:rsidRPr="00B94C7D">
              <w:rPr>
                <w:sz w:val="18"/>
                <w:szCs w:val="18"/>
                <w:vertAlign w:val="superscript"/>
              </w:rPr>
              <w:t>-3</w:t>
            </w:r>
          </w:p>
        </w:tc>
        <w:tc>
          <w:tcPr>
            <w:tcW w:w="0" w:type="auto"/>
          </w:tcPr>
          <w:p w14:paraId="7AB2218E" w14:textId="77777777" w:rsidR="009A570F" w:rsidRPr="00B94C7D" w:rsidRDefault="009A570F"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993</w:t>
            </w:r>
          </w:p>
        </w:tc>
      </w:tr>
      <w:tr w:rsidR="009A570F" w:rsidRPr="00B94C7D" w14:paraId="3115E936" w14:textId="77777777" w:rsidTr="00CE38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tcPr>
          <w:p w14:paraId="0284A09A" w14:textId="77777777" w:rsidR="009A570F" w:rsidRPr="00B94C7D" w:rsidRDefault="009A570F" w:rsidP="00D31C73">
            <w:pPr>
              <w:rPr>
                <w:b w:val="0"/>
                <w:sz w:val="18"/>
                <w:szCs w:val="18"/>
              </w:rPr>
            </w:pPr>
            <w:r w:rsidRPr="00B94C7D">
              <w:rPr>
                <w:sz w:val="18"/>
                <w:szCs w:val="18"/>
              </w:rPr>
              <w:t>Air composition (%</w:t>
            </w:r>
            <w:r w:rsidRPr="00B94C7D">
              <w:rPr>
                <w:sz w:val="18"/>
                <w:szCs w:val="18"/>
                <w:vertAlign w:val="subscript"/>
              </w:rPr>
              <w:t>vol</w:t>
            </w:r>
            <w:r w:rsidRPr="00B94C7D">
              <w:rPr>
                <w:sz w:val="18"/>
                <w:szCs w:val="18"/>
              </w:rPr>
              <w:t>)</w:t>
            </w:r>
          </w:p>
        </w:tc>
        <w:tc>
          <w:tcPr>
            <w:tcW w:w="0" w:type="auto"/>
          </w:tcPr>
          <w:p w14:paraId="3511E77F" w14:textId="77777777" w:rsidR="009A570F" w:rsidRPr="00B94C7D" w:rsidRDefault="009A570F" w:rsidP="00B94C7D">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B94C7D">
              <w:rPr>
                <w:b/>
                <w:sz w:val="18"/>
                <w:szCs w:val="18"/>
              </w:rPr>
              <w:t>T</w:t>
            </w:r>
            <w:r w:rsidRPr="00B94C7D">
              <w:rPr>
                <w:b/>
                <w:sz w:val="18"/>
                <w:szCs w:val="18"/>
                <w:vertAlign w:val="subscript"/>
              </w:rPr>
              <w:t>b, water</w:t>
            </w:r>
          </w:p>
        </w:tc>
        <w:tc>
          <w:tcPr>
            <w:tcW w:w="0" w:type="auto"/>
          </w:tcPr>
          <w:p w14:paraId="0AEACBC8"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°C</w:t>
            </w:r>
          </w:p>
        </w:tc>
        <w:tc>
          <w:tcPr>
            <w:tcW w:w="0" w:type="auto"/>
          </w:tcPr>
          <w:p w14:paraId="6C987D90"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100</w:t>
            </w:r>
          </w:p>
        </w:tc>
      </w:tr>
      <w:tr w:rsidR="009A570F" w:rsidRPr="00B94C7D" w14:paraId="6F90A047" w14:textId="77777777" w:rsidTr="00CE3893">
        <w:tc>
          <w:tcPr>
            <w:cnfStyle w:val="001000000000" w:firstRow="0" w:lastRow="0" w:firstColumn="1" w:lastColumn="0" w:oddVBand="0" w:evenVBand="0" w:oddHBand="0" w:evenHBand="0" w:firstRowFirstColumn="0" w:firstRowLastColumn="0" w:lastRowFirstColumn="0" w:lastRowLastColumn="0"/>
            <w:tcW w:w="0" w:type="auto"/>
          </w:tcPr>
          <w:p w14:paraId="30A085AC" w14:textId="77777777" w:rsidR="009A570F" w:rsidRPr="00B94C7D" w:rsidRDefault="009A570F" w:rsidP="00D31C73">
            <w:pPr>
              <w:jc w:val="right"/>
              <w:rPr>
                <w:sz w:val="18"/>
                <w:szCs w:val="18"/>
              </w:rPr>
            </w:pPr>
            <w:r w:rsidRPr="00B94C7D">
              <w:rPr>
                <w:sz w:val="18"/>
                <w:szCs w:val="18"/>
              </w:rPr>
              <w:t>N</w:t>
            </w:r>
            <w:r w:rsidRPr="00B94C7D">
              <w:rPr>
                <w:sz w:val="18"/>
                <w:szCs w:val="18"/>
                <w:vertAlign w:val="subscript"/>
              </w:rPr>
              <w:t>2</w:t>
            </w:r>
          </w:p>
        </w:tc>
        <w:tc>
          <w:tcPr>
            <w:tcW w:w="0" w:type="auto"/>
          </w:tcPr>
          <w:p w14:paraId="1934F526" w14:textId="77777777" w:rsidR="009A570F" w:rsidRPr="00B94C7D" w:rsidRDefault="009A570F"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78.8%</w:t>
            </w:r>
          </w:p>
        </w:tc>
        <w:tc>
          <w:tcPr>
            <w:tcW w:w="0" w:type="auto"/>
          </w:tcPr>
          <w:p w14:paraId="1FAD683B" w14:textId="77777777" w:rsidR="009A570F" w:rsidRPr="00B94C7D" w:rsidRDefault="009A570F" w:rsidP="00D31C73">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5A846677" w14:textId="77777777" w:rsidR="009A570F" w:rsidRPr="00B94C7D" w:rsidRDefault="009A570F" w:rsidP="00D31C73">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245BC490" w14:textId="77777777" w:rsidR="009A570F" w:rsidRPr="00B94C7D" w:rsidRDefault="009A570F" w:rsidP="00D31C73">
            <w:pPr>
              <w:cnfStyle w:val="000000000000" w:firstRow="0" w:lastRow="0" w:firstColumn="0" w:lastColumn="0" w:oddVBand="0" w:evenVBand="0" w:oddHBand="0" w:evenHBand="0" w:firstRowFirstColumn="0" w:firstRowLastColumn="0" w:lastRowFirstColumn="0" w:lastRowLastColumn="0"/>
              <w:rPr>
                <w:sz w:val="18"/>
                <w:szCs w:val="18"/>
              </w:rPr>
            </w:pPr>
          </w:p>
        </w:tc>
      </w:tr>
      <w:tr w:rsidR="009A570F" w:rsidRPr="00B94C7D" w14:paraId="688FA18F" w14:textId="77777777" w:rsidTr="00CE38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A61A713" w14:textId="77777777" w:rsidR="009A570F" w:rsidRPr="00B94C7D" w:rsidRDefault="009A570F" w:rsidP="00D31C73">
            <w:pPr>
              <w:jc w:val="right"/>
              <w:rPr>
                <w:sz w:val="18"/>
                <w:szCs w:val="18"/>
              </w:rPr>
            </w:pPr>
            <w:r w:rsidRPr="00B94C7D">
              <w:rPr>
                <w:sz w:val="18"/>
                <w:szCs w:val="18"/>
              </w:rPr>
              <w:t>O</w:t>
            </w:r>
            <w:r w:rsidRPr="00B94C7D">
              <w:rPr>
                <w:sz w:val="18"/>
                <w:szCs w:val="18"/>
                <w:vertAlign w:val="subscript"/>
              </w:rPr>
              <w:t>2</w:t>
            </w:r>
          </w:p>
        </w:tc>
        <w:tc>
          <w:tcPr>
            <w:tcW w:w="0" w:type="auto"/>
          </w:tcPr>
          <w:p w14:paraId="2F53514E"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21.0%</w:t>
            </w:r>
          </w:p>
        </w:tc>
        <w:tc>
          <w:tcPr>
            <w:tcW w:w="0" w:type="auto"/>
          </w:tcPr>
          <w:p w14:paraId="2A62E92A"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2F97C334"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6C287EA6"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p>
        </w:tc>
      </w:tr>
      <w:tr w:rsidR="009A570F" w:rsidRPr="00B94C7D" w14:paraId="04D0C8A7" w14:textId="77777777" w:rsidTr="00CE3893">
        <w:tc>
          <w:tcPr>
            <w:cnfStyle w:val="001000000000" w:firstRow="0" w:lastRow="0" w:firstColumn="1" w:lastColumn="0" w:oddVBand="0" w:evenVBand="0" w:oddHBand="0" w:evenHBand="0" w:firstRowFirstColumn="0" w:firstRowLastColumn="0" w:lastRowFirstColumn="0" w:lastRowLastColumn="0"/>
            <w:tcW w:w="0" w:type="auto"/>
            <w:gridSpan w:val="2"/>
          </w:tcPr>
          <w:p w14:paraId="6935E382" w14:textId="77777777" w:rsidR="009A570F" w:rsidRPr="00B94C7D" w:rsidRDefault="009A570F" w:rsidP="00D31C73">
            <w:pPr>
              <w:rPr>
                <w:b w:val="0"/>
                <w:sz w:val="18"/>
                <w:szCs w:val="18"/>
              </w:rPr>
            </w:pPr>
            <w:r w:rsidRPr="00B94C7D">
              <w:rPr>
                <w:sz w:val="18"/>
                <w:szCs w:val="18"/>
              </w:rPr>
              <w:t>Higher heating value (HHV; MJ.kg</w:t>
            </w:r>
            <w:r w:rsidRPr="00B94C7D">
              <w:rPr>
                <w:sz w:val="18"/>
                <w:szCs w:val="18"/>
                <w:vertAlign w:val="superscript"/>
              </w:rPr>
              <w:t>-1</w:t>
            </w:r>
            <w:r w:rsidRPr="00B94C7D">
              <w:rPr>
                <w:sz w:val="18"/>
                <w:szCs w:val="18"/>
              </w:rPr>
              <w:t>)</w:t>
            </w:r>
          </w:p>
        </w:tc>
        <w:tc>
          <w:tcPr>
            <w:tcW w:w="0" w:type="auto"/>
            <w:gridSpan w:val="3"/>
          </w:tcPr>
          <w:p w14:paraId="5365D608" w14:textId="77777777" w:rsidR="009A570F" w:rsidRPr="00B94C7D" w:rsidRDefault="009A570F" w:rsidP="00B94C7D">
            <w:pPr>
              <w:jc w:val="right"/>
              <w:cnfStyle w:val="000000000000" w:firstRow="0" w:lastRow="0" w:firstColumn="0" w:lastColumn="0" w:oddVBand="0" w:evenVBand="0" w:oddHBand="0" w:evenHBand="0" w:firstRowFirstColumn="0" w:firstRowLastColumn="0" w:lastRowFirstColumn="0" w:lastRowLastColumn="0"/>
              <w:rPr>
                <w:b/>
                <w:sz w:val="18"/>
                <w:szCs w:val="18"/>
              </w:rPr>
            </w:pPr>
            <w:r w:rsidRPr="00B94C7D">
              <w:rPr>
                <w:b/>
                <w:sz w:val="18"/>
                <w:szCs w:val="18"/>
              </w:rPr>
              <w:t>Specific heat (c</w:t>
            </w:r>
            <w:r w:rsidRPr="00B94C7D">
              <w:rPr>
                <w:b/>
                <w:sz w:val="18"/>
                <w:szCs w:val="18"/>
                <w:vertAlign w:val="subscript"/>
              </w:rPr>
              <w:t>p</w:t>
            </w:r>
            <w:r w:rsidRPr="00B94C7D">
              <w:rPr>
                <w:b/>
                <w:sz w:val="18"/>
                <w:szCs w:val="18"/>
              </w:rPr>
              <w:t>; kJ.kg</w:t>
            </w:r>
            <w:r w:rsidRPr="00B94C7D">
              <w:rPr>
                <w:b/>
                <w:sz w:val="18"/>
                <w:szCs w:val="18"/>
                <w:vertAlign w:val="superscript"/>
              </w:rPr>
              <w:t>-</w:t>
            </w:r>
            <w:proofErr w:type="gramStart"/>
            <w:r w:rsidRPr="00B94C7D">
              <w:rPr>
                <w:b/>
                <w:sz w:val="18"/>
                <w:szCs w:val="18"/>
                <w:vertAlign w:val="superscript"/>
              </w:rPr>
              <w:t>1</w:t>
            </w:r>
            <w:r w:rsidRPr="00B94C7D">
              <w:rPr>
                <w:b/>
                <w:sz w:val="18"/>
                <w:szCs w:val="18"/>
              </w:rPr>
              <w:t>.°</w:t>
            </w:r>
            <w:proofErr w:type="gramEnd"/>
            <w:r w:rsidRPr="00B94C7D">
              <w:rPr>
                <w:b/>
                <w:sz w:val="18"/>
                <w:szCs w:val="18"/>
              </w:rPr>
              <w:t>C</w:t>
            </w:r>
            <w:r w:rsidRPr="00B94C7D">
              <w:rPr>
                <w:b/>
                <w:sz w:val="18"/>
                <w:szCs w:val="18"/>
                <w:vertAlign w:val="superscript"/>
              </w:rPr>
              <w:t>-1</w:t>
            </w:r>
            <w:r w:rsidRPr="00B94C7D">
              <w:rPr>
                <w:b/>
                <w:sz w:val="18"/>
                <w:szCs w:val="18"/>
              </w:rPr>
              <w:t>)</w:t>
            </w:r>
          </w:p>
        </w:tc>
      </w:tr>
      <w:tr w:rsidR="009A570F" w:rsidRPr="00B94C7D" w14:paraId="092E9A74" w14:textId="77777777" w:rsidTr="00CE38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8AE56AE" w14:textId="77777777" w:rsidR="009A570F" w:rsidRPr="00B94C7D" w:rsidRDefault="009A570F" w:rsidP="00D31C73">
            <w:pPr>
              <w:jc w:val="right"/>
              <w:rPr>
                <w:sz w:val="18"/>
                <w:szCs w:val="18"/>
              </w:rPr>
            </w:pPr>
            <w:r w:rsidRPr="00B94C7D">
              <w:rPr>
                <w:sz w:val="18"/>
                <w:szCs w:val="18"/>
              </w:rPr>
              <w:t>CH</w:t>
            </w:r>
            <w:r w:rsidRPr="00B94C7D">
              <w:rPr>
                <w:sz w:val="18"/>
                <w:szCs w:val="18"/>
                <w:vertAlign w:val="subscript"/>
              </w:rPr>
              <w:t>4</w:t>
            </w:r>
          </w:p>
        </w:tc>
        <w:tc>
          <w:tcPr>
            <w:tcW w:w="0" w:type="auto"/>
          </w:tcPr>
          <w:p w14:paraId="33402AE7"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55.5</w:t>
            </w:r>
          </w:p>
        </w:tc>
        <w:tc>
          <w:tcPr>
            <w:tcW w:w="0" w:type="auto"/>
            <w:gridSpan w:val="2"/>
          </w:tcPr>
          <w:p w14:paraId="3FBAA3A7" w14:textId="77777777" w:rsidR="009A570F" w:rsidRPr="00B94C7D" w:rsidRDefault="009A570F" w:rsidP="00D31C73">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B94C7D">
              <w:rPr>
                <w:b/>
                <w:sz w:val="18"/>
                <w:szCs w:val="18"/>
              </w:rPr>
              <w:t>Water</w:t>
            </w:r>
          </w:p>
        </w:tc>
        <w:tc>
          <w:tcPr>
            <w:tcW w:w="0" w:type="auto"/>
          </w:tcPr>
          <w:p w14:paraId="76251F4C"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4.2</w:t>
            </w:r>
          </w:p>
        </w:tc>
      </w:tr>
      <w:tr w:rsidR="009A570F" w:rsidRPr="00B94C7D" w14:paraId="34C892B0" w14:textId="77777777" w:rsidTr="00CE3893">
        <w:tc>
          <w:tcPr>
            <w:cnfStyle w:val="001000000000" w:firstRow="0" w:lastRow="0" w:firstColumn="1" w:lastColumn="0" w:oddVBand="0" w:evenVBand="0" w:oddHBand="0" w:evenHBand="0" w:firstRowFirstColumn="0" w:firstRowLastColumn="0" w:lastRowFirstColumn="0" w:lastRowLastColumn="0"/>
            <w:tcW w:w="0" w:type="auto"/>
          </w:tcPr>
          <w:p w14:paraId="5BE800B9" w14:textId="77777777" w:rsidR="009A570F" w:rsidRPr="00B94C7D" w:rsidRDefault="009A570F" w:rsidP="00D31C73">
            <w:pPr>
              <w:jc w:val="right"/>
              <w:rPr>
                <w:sz w:val="18"/>
                <w:szCs w:val="18"/>
              </w:rPr>
            </w:pPr>
            <w:r w:rsidRPr="00B94C7D">
              <w:rPr>
                <w:sz w:val="18"/>
                <w:szCs w:val="18"/>
              </w:rPr>
              <w:t>H</w:t>
            </w:r>
            <w:r w:rsidRPr="00B94C7D">
              <w:rPr>
                <w:sz w:val="18"/>
                <w:szCs w:val="18"/>
                <w:vertAlign w:val="subscript"/>
              </w:rPr>
              <w:t>2</w:t>
            </w:r>
          </w:p>
        </w:tc>
        <w:tc>
          <w:tcPr>
            <w:tcW w:w="0" w:type="auto"/>
          </w:tcPr>
          <w:p w14:paraId="6E7095F7" w14:textId="77777777" w:rsidR="009A570F" w:rsidRPr="00B94C7D" w:rsidRDefault="009A570F"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141.8</w:t>
            </w:r>
          </w:p>
        </w:tc>
        <w:tc>
          <w:tcPr>
            <w:tcW w:w="0" w:type="auto"/>
            <w:gridSpan w:val="2"/>
          </w:tcPr>
          <w:p w14:paraId="70361FFC" w14:textId="77777777" w:rsidR="009A570F" w:rsidRPr="00B94C7D" w:rsidRDefault="009A570F" w:rsidP="00D31C73">
            <w:pPr>
              <w:jc w:val="right"/>
              <w:cnfStyle w:val="000000000000" w:firstRow="0" w:lastRow="0" w:firstColumn="0" w:lastColumn="0" w:oddVBand="0" w:evenVBand="0" w:oddHBand="0" w:evenHBand="0" w:firstRowFirstColumn="0" w:firstRowLastColumn="0" w:lastRowFirstColumn="0" w:lastRowLastColumn="0"/>
              <w:rPr>
                <w:b/>
                <w:sz w:val="18"/>
                <w:szCs w:val="18"/>
              </w:rPr>
            </w:pPr>
            <w:r w:rsidRPr="00B94C7D">
              <w:rPr>
                <w:b/>
                <w:sz w:val="18"/>
                <w:szCs w:val="18"/>
              </w:rPr>
              <w:t>Steam</w:t>
            </w:r>
          </w:p>
        </w:tc>
        <w:tc>
          <w:tcPr>
            <w:tcW w:w="0" w:type="auto"/>
          </w:tcPr>
          <w:p w14:paraId="6775FF1B" w14:textId="77777777" w:rsidR="009A570F" w:rsidRPr="00B94C7D" w:rsidRDefault="009A570F" w:rsidP="00D31C73">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1.9</w:t>
            </w:r>
          </w:p>
        </w:tc>
      </w:tr>
      <w:tr w:rsidR="009A570F" w:rsidRPr="00B94C7D" w14:paraId="6BB76425" w14:textId="77777777" w:rsidTr="00CE38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DB048A6" w14:textId="77777777" w:rsidR="009A570F" w:rsidRPr="00B94C7D" w:rsidRDefault="009A570F" w:rsidP="00D31C73">
            <w:pPr>
              <w:jc w:val="right"/>
              <w:rPr>
                <w:sz w:val="18"/>
                <w:szCs w:val="18"/>
              </w:rPr>
            </w:pPr>
            <w:r w:rsidRPr="00B94C7D">
              <w:rPr>
                <w:sz w:val="18"/>
                <w:szCs w:val="18"/>
              </w:rPr>
              <w:t>CO</w:t>
            </w:r>
          </w:p>
        </w:tc>
        <w:tc>
          <w:tcPr>
            <w:tcW w:w="0" w:type="auto"/>
          </w:tcPr>
          <w:p w14:paraId="3EDFD28F"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12</w:t>
            </w:r>
          </w:p>
        </w:tc>
        <w:tc>
          <w:tcPr>
            <w:tcW w:w="0" w:type="auto"/>
            <w:gridSpan w:val="2"/>
          </w:tcPr>
          <w:p w14:paraId="2B9D9204" w14:textId="77777777" w:rsidR="009A570F" w:rsidRPr="00B94C7D" w:rsidRDefault="009A570F" w:rsidP="00D31C73">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B94C7D">
              <w:rPr>
                <w:b/>
                <w:sz w:val="18"/>
                <w:szCs w:val="18"/>
              </w:rPr>
              <w:t>Dry matter</w:t>
            </w:r>
          </w:p>
        </w:tc>
        <w:tc>
          <w:tcPr>
            <w:tcW w:w="0" w:type="auto"/>
          </w:tcPr>
          <w:p w14:paraId="56F763AA"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0.9</w:t>
            </w:r>
          </w:p>
        </w:tc>
      </w:tr>
      <w:tr w:rsidR="00B94C7D" w:rsidRPr="00B94C7D" w14:paraId="1F9C39D7" w14:textId="77777777" w:rsidTr="00CE3893">
        <w:tc>
          <w:tcPr>
            <w:cnfStyle w:val="001000000000" w:firstRow="0" w:lastRow="0" w:firstColumn="1" w:lastColumn="0" w:oddVBand="0" w:evenVBand="0" w:oddHBand="0" w:evenHBand="0" w:firstRowFirstColumn="0" w:firstRowLastColumn="0" w:lastRowFirstColumn="0" w:lastRowLastColumn="0"/>
            <w:tcW w:w="0" w:type="auto"/>
          </w:tcPr>
          <w:p w14:paraId="7589D527" w14:textId="77777777" w:rsidR="00B94C7D" w:rsidRPr="00B94C7D" w:rsidRDefault="00B94C7D" w:rsidP="00B94C7D">
            <w:pPr>
              <w:jc w:val="right"/>
              <w:rPr>
                <w:sz w:val="18"/>
                <w:szCs w:val="18"/>
              </w:rPr>
            </w:pPr>
            <w:r w:rsidRPr="00B94C7D">
              <w:rPr>
                <w:sz w:val="18"/>
                <w:szCs w:val="18"/>
              </w:rPr>
              <w:t>NH</w:t>
            </w:r>
            <w:r w:rsidRPr="00B94C7D">
              <w:rPr>
                <w:sz w:val="18"/>
                <w:szCs w:val="18"/>
                <w:vertAlign w:val="subscript"/>
              </w:rPr>
              <w:t>3</w:t>
            </w:r>
          </w:p>
        </w:tc>
        <w:tc>
          <w:tcPr>
            <w:tcW w:w="0" w:type="auto"/>
          </w:tcPr>
          <w:p w14:paraId="43C320CB" w14:textId="77777777" w:rsidR="00B94C7D" w:rsidRPr="00B94C7D" w:rsidRDefault="00B94C7D" w:rsidP="00B94C7D">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22.5</w:t>
            </w:r>
          </w:p>
        </w:tc>
        <w:tc>
          <w:tcPr>
            <w:tcW w:w="0" w:type="auto"/>
            <w:gridSpan w:val="2"/>
          </w:tcPr>
          <w:p w14:paraId="2FCDEDAE" w14:textId="704C216A" w:rsidR="00B94C7D" w:rsidRPr="00B94C7D" w:rsidRDefault="00B94C7D" w:rsidP="00B94C7D">
            <w:pPr>
              <w:jc w:val="right"/>
              <w:cnfStyle w:val="000000000000" w:firstRow="0" w:lastRow="0" w:firstColumn="0" w:lastColumn="0" w:oddVBand="0" w:evenVBand="0" w:oddHBand="0" w:evenHBand="0" w:firstRowFirstColumn="0" w:firstRowLastColumn="0" w:lastRowFirstColumn="0" w:lastRowLastColumn="0"/>
              <w:rPr>
                <w:b/>
                <w:sz w:val="18"/>
                <w:szCs w:val="18"/>
              </w:rPr>
            </w:pPr>
            <w:r w:rsidRPr="00B94C7D">
              <w:rPr>
                <w:b/>
                <w:sz w:val="18"/>
                <w:szCs w:val="18"/>
              </w:rPr>
              <w:t>H</w:t>
            </w:r>
            <w:r w:rsidRPr="00B94C7D">
              <w:rPr>
                <w:b/>
                <w:sz w:val="18"/>
                <w:szCs w:val="18"/>
                <w:vertAlign w:val="subscript"/>
              </w:rPr>
              <w:t>2</w:t>
            </w:r>
          </w:p>
        </w:tc>
        <w:tc>
          <w:tcPr>
            <w:tcW w:w="0" w:type="auto"/>
          </w:tcPr>
          <w:p w14:paraId="0A23EF33" w14:textId="33AAD7EB" w:rsidR="00B94C7D" w:rsidRPr="00B94C7D" w:rsidRDefault="00B94C7D" w:rsidP="00B94C7D">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0.01</w:t>
            </w:r>
          </w:p>
        </w:tc>
      </w:tr>
      <w:tr w:rsidR="00B94C7D" w:rsidRPr="00B94C7D" w14:paraId="4B4A4068" w14:textId="77777777" w:rsidTr="00CE38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763BD6E" w14:textId="77777777" w:rsidR="00B94C7D" w:rsidRPr="00B94C7D" w:rsidRDefault="00B94C7D" w:rsidP="00B94C7D">
            <w:pPr>
              <w:jc w:val="right"/>
              <w:rPr>
                <w:sz w:val="18"/>
                <w:szCs w:val="18"/>
              </w:rPr>
            </w:pPr>
            <w:r w:rsidRPr="00B94C7D">
              <w:rPr>
                <w:sz w:val="18"/>
                <w:szCs w:val="18"/>
              </w:rPr>
              <w:t>Lignin</w:t>
            </w:r>
          </w:p>
        </w:tc>
        <w:tc>
          <w:tcPr>
            <w:tcW w:w="0" w:type="auto"/>
          </w:tcPr>
          <w:p w14:paraId="5866F402" w14:textId="77777777" w:rsidR="00B94C7D" w:rsidRPr="00B94C7D" w:rsidRDefault="00B94C7D" w:rsidP="00B94C7D">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26.5</w:t>
            </w:r>
          </w:p>
        </w:tc>
        <w:tc>
          <w:tcPr>
            <w:tcW w:w="0" w:type="auto"/>
            <w:gridSpan w:val="2"/>
          </w:tcPr>
          <w:p w14:paraId="00ABE2C6" w14:textId="3C2A2850" w:rsidR="00B94C7D" w:rsidRPr="00B94C7D" w:rsidRDefault="00B94C7D" w:rsidP="00B94C7D">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B94C7D">
              <w:rPr>
                <w:b/>
                <w:sz w:val="18"/>
                <w:szCs w:val="18"/>
              </w:rPr>
              <w:t>CH</w:t>
            </w:r>
            <w:r w:rsidRPr="00B94C7D">
              <w:rPr>
                <w:b/>
                <w:sz w:val="18"/>
                <w:szCs w:val="18"/>
                <w:vertAlign w:val="subscript"/>
              </w:rPr>
              <w:t>4</w:t>
            </w:r>
          </w:p>
        </w:tc>
        <w:tc>
          <w:tcPr>
            <w:tcW w:w="0" w:type="auto"/>
          </w:tcPr>
          <w:p w14:paraId="5D276493" w14:textId="38596C04" w:rsidR="00B94C7D" w:rsidRPr="00B94C7D" w:rsidRDefault="00B94C7D" w:rsidP="00B94C7D">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0.19</w:t>
            </w:r>
          </w:p>
        </w:tc>
      </w:tr>
      <w:tr w:rsidR="00B94C7D" w:rsidRPr="00B94C7D" w14:paraId="0638D9D0" w14:textId="77777777" w:rsidTr="00CE3893">
        <w:tc>
          <w:tcPr>
            <w:cnfStyle w:val="001000000000" w:firstRow="0" w:lastRow="0" w:firstColumn="1" w:lastColumn="0" w:oddVBand="0" w:evenVBand="0" w:oddHBand="0" w:evenHBand="0" w:firstRowFirstColumn="0" w:firstRowLastColumn="0" w:lastRowFirstColumn="0" w:lastRowLastColumn="0"/>
            <w:tcW w:w="0" w:type="auto"/>
          </w:tcPr>
          <w:p w14:paraId="7A95B563" w14:textId="77777777" w:rsidR="00B94C7D" w:rsidRPr="00B94C7D" w:rsidRDefault="00B94C7D" w:rsidP="00B94C7D">
            <w:pPr>
              <w:jc w:val="right"/>
              <w:rPr>
                <w:sz w:val="18"/>
                <w:szCs w:val="18"/>
              </w:rPr>
            </w:pPr>
            <w:r w:rsidRPr="00B94C7D">
              <w:rPr>
                <w:sz w:val="18"/>
                <w:szCs w:val="18"/>
              </w:rPr>
              <w:t>(Hemi-) Cellulose</w:t>
            </w:r>
          </w:p>
        </w:tc>
        <w:tc>
          <w:tcPr>
            <w:tcW w:w="0" w:type="auto"/>
          </w:tcPr>
          <w:p w14:paraId="5C5C8E79" w14:textId="77777777" w:rsidR="00B94C7D" w:rsidRPr="00B94C7D" w:rsidRDefault="00B94C7D" w:rsidP="00B94C7D">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17.5</w:t>
            </w:r>
          </w:p>
        </w:tc>
        <w:tc>
          <w:tcPr>
            <w:tcW w:w="0" w:type="auto"/>
            <w:gridSpan w:val="2"/>
          </w:tcPr>
          <w:p w14:paraId="65D2AD5E" w14:textId="59919EF5" w:rsidR="00B94C7D" w:rsidRPr="00B94C7D" w:rsidRDefault="00B94C7D" w:rsidP="00B94C7D">
            <w:pPr>
              <w:jc w:val="right"/>
              <w:cnfStyle w:val="000000000000" w:firstRow="0" w:lastRow="0" w:firstColumn="0" w:lastColumn="0" w:oddVBand="0" w:evenVBand="0" w:oddHBand="0" w:evenHBand="0" w:firstRowFirstColumn="0" w:firstRowLastColumn="0" w:lastRowFirstColumn="0" w:lastRowLastColumn="0"/>
              <w:rPr>
                <w:b/>
                <w:sz w:val="18"/>
                <w:szCs w:val="18"/>
              </w:rPr>
            </w:pPr>
            <w:r w:rsidRPr="00B94C7D">
              <w:rPr>
                <w:b/>
                <w:sz w:val="18"/>
                <w:szCs w:val="18"/>
              </w:rPr>
              <w:t>CO</w:t>
            </w:r>
          </w:p>
        </w:tc>
        <w:tc>
          <w:tcPr>
            <w:tcW w:w="0" w:type="auto"/>
          </w:tcPr>
          <w:p w14:paraId="5E51E130" w14:textId="428BFE1C" w:rsidR="00B94C7D" w:rsidRPr="00B94C7D" w:rsidRDefault="00B94C7D" w:rsidP="00B94C7D">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1.04</w:t>
            </w:r>
          </w:p>
        </w:tc>
      </w:tr>
      <w:tr w:rsidR="00B94C7D" w:rsidRPr="00B94C7D" w14:paraId="27BCAAD8" w14:textId="77777777" w:rsidTr="00CE38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E08BF34" w14:textId="77777777" w:rsidR="00B94C7D" w:rsidRPr="00B94C7D" w:rsidRDefault="00B94C7D" w:rsidP="00B94C7D">
            <w:pPr>
              <w:jc w:val="right"/>
              <w:rPr>
                <w:sz w:val="18"/>
                <w:szCs w:val="18"/>
              </w:rPr>
            </w:pPr>
            <w:r w:rsidRPr="00B94C7D">
              <w:rPr>
                <w:sz w:val="18"/>
                <w:szCs w:val="18"/>
              </w:rPr>
              <w:t>Lipids</w:t>
            </w:r>
          </w:p>
        </w:tc>
        <w:tc>
          <w:tcPr>
            <w:tcW w:w="0" w:type="auto"/>
          </w:tcPr>
          <w:p w14:paraId="409C0209" w14:textId="77777777" w:rsidR="00B94C7D" w:rsidRPr="00B94C7D" w:rsidRDefault="00B94C7D" w:rsidP="00B94C7D">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39</w:t>
            </w:r>
          </w:p>
        </w:tc>
        <w:tc>
          <w:tcPr>
            <w:tcW w:w="0" w:type="auto"/>
            <w:gridSpan w:val="2"/>
          </w:tcPr>
          <w:p w14:paraId="3C06EC6F" w14:textId="0FA06199" w:rsidR="00B94C7D" w:rsidRPr="00B94C7D" w:rsidRDefault="00B94C7D" w:rsidP="00B94C7D">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B94C7D">
              <w:rPr>
                <w:b/>
                <w:sz w:val="18"/>
                <w:szCs w:val="18"/>
              </w:rPr>
              <w:t>N</w:t>
            </w:r>
            <w:r w:rsidRPr="00B94C7D">
              <w:rPr>
                <w:b/>
                <w:sz w:val="18"/>
                <w:szCs w:val="18"/>
                <w:vertAlign w:val="subscript"/>
              </w:rPr>
              <w:t>2</w:t>
            </w:r>
          </w:p>
        </w:tc>
        <w:tc>
          <w:tcPr>
            <w:tcW w:w="0" w:type="auto"/>
          </w:tcPr>
          <w:p w14:paraId="70A93E01" w14:textId="16CCF3DD" w:rsidR="00B94C7D" w:rsidRPr="00B94C7D" w:rsidRDefault="00B94C7D" w:rsidP="00B94C7D">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1.04</w:t>
            </w:r>
          </w:p>
        </w:tc>
      </w:tr>
      <w:tr w:rsidR="00B94C7D" w:rsidRPr="00B94C7D" w14:paraId="50203BDC" w14:textId="77777777" w:rsidTr="00CE3893">
        <w:tc>
          <w:tcPr>
            <w:cnfStyle w:val="001000000000" w:firstRow="0" w:lastRow="0" w:firstColumn="1" w:lastColumn="0" w:oddVBand="0" w:evenVBand="0" w:oddHBand="0" w:evenHBand="0" w:firstRowFirstColumn="0" w:firstRowLastColumn="0" w:lastRowFirstColumn="0" w:lastRowLastColumn="0"/>
            <w:tcW w:w="0" w:type="auto"/>
          </w:tcPr>
          <w:p w14:paraId="0BF2EB53" w14:textId="77777777" w:rsidR="00B94C7D" w:rsidRPr="00B94C7D" w:rsidRDefault="00B94C7D" w:rsidP="00B94C7D">
            <w:pPr>
              <w:jc w:val="right"/>
              <w:rPr>
                <w:sz w:val="18"/>
                <w:szCs w:val="18"/>
              </w:rPr>
            </w:pPr>
            <w:r w:rsidRPr="00B94C7D">
              <w:rPr>
                <w:sz w:val="18"/>
                <w:szCs w:val="18"/>
              </w:rPr>
              <w:t>Carbohydrates</w:t>
            </w:r>
          </w:p>
        </w:tc>
        <w:tc>
          <w:tcPr>
            <w:tcW w:w="0" w:type="auto"/>
          </w:tcPr>
          <w:p w14:paraId="013A943E" w14:textId="77777777" w:rsidR="00B94C7D" w:rsidRPr="00B94C7D" w:rsidRDefault="00B94C7D" w:rsidP="00B94C7D">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17.5</w:t>
            </w:r>
          </w:p>
        </w:tc>
        <w:tc>
          <w:tcPr>
            <w:tcW w:w="0" w:type="auto"/>
            <w:gridSpan w:val="2"/>
          </w:tcPr>
          <w:p w14:paraId="3F55ADC5" w14:textId="4FB4317D" w:rsidR="00B94C7D" w:rsidRPr="00B94C7D" w:rsidRDefault="00B94C7D" w:rsidP="00B94C7D">
            <w:pPr>
              <w:jc w:val="right"/>
              <w:cnfStyle w:val="000000000000" w:firstRow="0" w:lastRow="0" w:firstColumn="0" w:lastColumn="0" w:oddVBand="0" w:evenVBand="0" w:oddHBand="0" w:evenHBand="0" w:firstRowFirstColumn="0" w:firstRowLastColumn="0" w:lastRowFirstColumn="0" w:lastRowLastColumn="0"/>
              <w:rPr>
                <w:b/>
                <w:sz w:val="18"/>
                <w:szCs w:val="18"/>
              </w:rPr>
            </w:pPr>
            <w:r w:rsidRPr="00B94C7D">
              <w:rPr>
                <w:b/>
                <w:sz w:val="18"/>
                <w:szCs w:val="18"/>
              </w:rPr>
              <w:t>O</w:t>
            </w:r>
            <w:r w:rsidRPr="00B94C7D">
              <w:rPr>
                <w:b/>
                <w:sz w:val="18"/>
                <w:szCs w:val="18"/>
                <w:vertAlign w:val="subscript"/>
              </w:rPr>
              <w:t>2</w:t>
            </w:r>
          </w:p>
        </w:tc>
        <w:tc>
          <w:tcPr>
            <w:tcW w:w="0" w:type="auto"/>
          </w:tcPr>
          <w:p w14:paraId="54F82E97" w14:textId="4EDB57D5" w:rsidR="00B94C7D" w:rsidRPr="00B94C7D" w:rsidRDefault="00B94C7D" w:rsidP="00B94C7D">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0.92</w:t>
            </w:r>
          </w:p>
        </w:tc>
      </w:tr>
      <w:tr w:rsidR="00B94C7D" w:rsidRPr="00B94C7D" w14:paraId="79F9922C" w14:textId="77777777" w:rsidTr="00CE38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FA53B10" w14:textId="77777777" w:rsidR="00B94C7D" w:rsidRPr="00B94C7D" w:rsidRDefault="00B94C7D" w:rsidP="00B94C7D">
            <w:pPr>
              <w:jc w:val="right"/>
              <w:rPr>
                <w:sz w:val="18"/>
                <w:szCs w:val="18"/>
              </w:rPr>
            </w:pPr>
            <w:r w:rsidRPr="00B94C7D">
              <w:rPr>
                <w:sz w:val="18"/>
                <w:szCs w:val="18"/>
              </w:rPr>
              <w:t>Proteins &amp; RNA</w:t>
            </w:r>
          </w:p>
        </w:tc>
        <w:tc>
          <w:tcPr>
            <w:tcW w:w="0" w:type="auto"/>
          </w:tcPr>
          <w:p w14:paraId="00D7D458" w14:textId="77777777" w:rsidR="00B94C7D" w:rsidRPr="00B94C7D" w:rsidRDefault="00B94C7D" w:rsidP="00B94C7D">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24</w:t>
            </w:r>
          </w:p>
        </w:tc>
        <w:tc>
          <w:tcPr>
            <w:tcW w:w="0" w:type="auto"/>
            <w:gridSpan w:val="2"/>
          </w:tcPr>
          <w:p w14:paraId="72F9ED70" w14:textId="4FC574E6" w:rsidR="00B94C7D" w:rsidRPr="00B94C7D" w:rsidRDefault="00B94C7D" w:rsidP="00B94C7D">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B94C7D">
              <w:rPr>
                <w:b/>
                <w:sz w:val="18"/>
                <w:szCs w:val="18"/>
              </w:rPr>
              <w:t>CO</w:t>
            </w:r>
            <w:r w:rsidRPr="00B94C7D">
              <w:rPr>
                <w:b/>
                <w:sz w:val="18"/>
                <w:szCs w:val="18"/>
                <w:vertAlign w:val="subscript"/>
              </w:rPr>
              <w:t>2</w:t>
            </w:r>
          </w:p>
        </w:tc>
        <w:tc>
          <w:tcPr>
            <w:tcW w:w="0" w:type="auto"/>
          </w:tcPr>
          <w:p w14:paraId="7916C7BD" w14:textId="65227252" w:rsidR="00B94C7D" w:rsidRPr="00B94C7D" w:rsidRDefault="00B94C7D" w:rsidP="00B94C7D">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0.04</w:t>
            </w:r>
          </w:p>
        </w:tc>
      </w:tr>
      <w:tr w:rsidR="00B94C7D" w:rsidRPr="00B94C7D" w14:paraId="5C7A32A9" w14:textId="77777777" w:rsidTr="00CE3893">
        <w:tc>
          <w:tcPr>
            <w:cnfStyle w:val="001000000000" w:firstRow="0" w:lastRow="0" w:firstColumn="1" w:lastColumn="0" w:oddVBand="0" w:evenVBand="0" w:oddHBand="0" w:evenHBand="0" w:firstRowFirstColumn="0" w:firstRowLastColumn="0" w:lastRowFirstColumn="0" w:lastRowLastColumn="0"/>
            <w:tcW w:w="0" w:type="auto"/>
          </w:tcPr>
          <w:p w14:paraId="76698D34" w14:textId="77777777" w:rsidR="00B94C7D" w:rsidRPr="00B94C7D" w:rsidRDefault="00B94C7D" w:rsidP="00B94C7D">
            <w:pPr>
              <w:jc w:val="right"/>
              <w:rPr>
                <w:sz w:val="18"/>
                <w:szCs w:val="18"/>
              </w:rPr>
            </w:pPr>
            <w:r w:rsidRPr="00B94C7D">
              <w:rPr>
                <w:sz w:val="18"/>
                <w:szCs w:val="18"/>
              </w:rPr>
              <w:t>Other organic matter</w:t>
            </w:r>
          </w:p>
        </w:tc>
        <w:tc>
          <w:tcPr>
            <w:tcW w:w="0" w:type="auto"/>
          </w:tcPr>
          <w:p w14:paraId="4A5B0165" w14:textId="77777777" w:rsidR="00B94C7D" w:rsidRPr="00B94C7D" w:rsidRDefault="00B94C7D" w:rsidP="00B94C7D">
            <w:pPr>
              <w:cnfStyle w:val="000000000000" w:firstRow="0" w:lastRow="0" w:firstColumn="0" w:lastColumn="0" w:oddVBand="0" w:evenVBand="0" w:oddHBand="0" w:evenHBand="0" w:firstRowFirstColumn="0" w:firstRowLastColumn="0" w:lastRowFirstColumn="0" w:lastRowLastColumn="0"/>
              <w:rPr>
                <w:sz w:val="18"/>
                <w:szCs w:val="18"/>
              </w:rPr>
            </w:pPr>
            <w:r w:rsidRPr="00B94C7D">
              <w:rPr>
                <w:sz w:val="18"/>
                <w:szCs w:val="18"/>
              </w:rPr>
              <w:t>17.5</w:t>
            </w:r>
            <w:r w:rsidRPr="00B94C7D">
              <w:rPr>
                <w:sz w:val="18"/>
                <w:szCs w:val="18"/>
                <w:vertAlign w:val="superscript"/>
              </w:rPr>
              <w:t>*</w:t>
            </w:r>
          </w:p>
        </w:tc>
        <w:tc>
          <w:tcPr>
            <w:tcW w:w="0" w:type="auto"/>
            <w:gridSpan w:val="2"/>
          </w:tcPr>
          <w:p w14:paraId="20516320" w14:textId="7D2CDB78" w:rsidR="00B94C7D" w:rsidRPr="00B94C7D" w:rsidRDefault="00B94C7D" w:rsidP="00B94C7D">
            <w:pPr>
              <w:jc w:val="right"/>
              <w:cnfStyle w:val="000000000000" w:firstRow="0" w:lastRow="0" w:firstColumn="0" w:lastColumn="0" w:oddVBand="0" w:evenVBand="0" w:oddHBand="0" w:evenHBand="0" w:firstRowFirstColumn="0" w:firstRowLastColumn="0" w:lastRowFirstColumn="0" w:lastRowLastColumn="0"/>
              <w:rPr>
                <w:b/>
                <w:sz w:val="18"/>
                <w:szCs w:val="18"/>
              </w:rPr>
            </w:pPr>
          </w:p>
        </w:tc>
        <w:tc>
          <w:tcPr>
            <w:tcW w:w="0" w:type="auto"/>
          </w:tcPr>
          <w:p w14:paraId="6D547786" w14:textId="0A731D04" w:rsidR="00B94C7D" w:rsidRPr="00B94C7D" w:rsidRDefault="00B94C7D" w:rsidP="00B94C7D">
            <w:pPr>
              <w:cnfStyle w:val="000000000000" w:firstRow="0" w:lastRow="0" w:firstColumn="0" w:lastColumn="0" w:oddVBand="0" w:evenVBand="0" w:oddHBand="0" w:evenHBand="0" w:firstRowFirstColumn="0" w:firstRowLastColumn="0" w:lastRowFirstColumn="0" w:lastRowLastColumn="0"/>
              <w:rPr>
                <w:sz w:val="18"/>
                <w:szCs w:val="18"/>
              </w:rPr>
            </w:pPr>
          </w:p>
        </w:tc>
      </w:tr>
    </w:tbl>
    <w:p w14:paraId="56F65549" w14:textId="77777777" w:rsidR="009A570F" w:rsidRPr="003F5DA8" w:rsidRDefault="009A570F" w:rsidP="00CE3893">
      <w:pPr>
        <w:jc w:val="both"/>
        <w:rPr>
          <w:sz w:val="18"/>
        </w:rPr>
      </w:pPr>
      <w:r w:rsidRPr="003F5DA8">
        <w:rPr>
          <w:sz w:val="18"/>
        </w:rPr>
        <w:t xml:space="preserve">Standard conditions were considered. </w:t>
      </w:r>
      <w:r w:rsidRPr="003F5DA8">
        <w:rPr>
          <w:sz w:val="18"/>
          <w:vertAlign w:val="superscript"/>
        </w:rPr>
        <w:t>*</w:t>
      </w:r>
      <w:r w:rsidRPr="003F5DA8">
        <w:rPr>
          <w:sz w:val="18"/>
        </w:rPr>
        <w:t xml:space="preserve">: assumed as carbohydrates as </w:t>
      </w:r>
      <w:r>
        <w:rPr>
          <w:sz w:val="18"/>
        </w:rPr>
        <w:t>dominated by</w:t>
      </w:r>
      <w:r w:rsidRPr="003F5DA8">
        <w:rPr>
          <w:sz w:val="18"/>
        </w:rPr>
        <w:t xml:space="preserve"> non-starch polysaccharides.</w:t>
      </w:r>
    </w:p>
    <w:p w14:paraId="4C13337A" w14:textId="77777777" w:rsidR="009A570F" w:rsidRPr="009A570F" w:rsidRDefault="009A570F" w:rsidP="00874128">
      <w:pPr>
        <w:pStyle w:val="Titre3"/>
      </w:pPr>
      <w:bookmarkStart w:id="46" w:name="_Ref144829309"/>
      <w:bookmarkStart w:id="47" w:name="_Toc145069101"/>
      <w:r w:rsidRPr="009A570F">
        <w:t>Gases compression</w:t>
      </w:r>
      <w:bookmarkEnd w:id="46"/>
      <w:bookmarkEnd w:id="47"/>
    </w:p>
    <w:p w14:paraId="17AAB048" w14:textId="5BA14DF4" w:rsidR="009A570F" w:rsidRPr="003F5DA8" w:rsidRDefault="009A570F" w:rsidP="009A570F">
      <w:pPr>
        <w:jc w:val="both"/>
      </w:pPr>
      <w:r w:rsidRPr="003F5DA8">
        <w:t xml:space="preserve">Gas compression energy requirements </w:t>
      </w:r>
      <w:r>
        <w:t>w</w:t>
      </w:r>
      <w:r w:rsidRPr="003F5DA8">
        <w:t>e</w:t>
      </w:r>
      <w:r>
        <w:t>re</w:t>
      </w:r>
      <w:r w:rsidRPr="003F5DA8">
        <w:t xml:space="preserve"> estimated, in the whole study, through the Reech equation for isentropic compression (</w:t>
      </w:r>
      <w:r w:rsidR="00874128" w:rsidRPr="00874128">
        <w:rPr>
          <w:b/>
        </w:rPr>
        <w:fldChar w:fldCharType="begin"/>
      </w:r>
      <w:r w:rsidR="00874128" w:rsidRPr="00874128">
        <w:rPr>
          <w:b/>
        </w:rPr>
        <w:instrText xml:space="preserve"> REF _Ref144736057 \h </w:instrText>
      </w:r>
      <w:r w:rsidR="00874128">
        <w:rPr>
          <w:b/>
        </w:rPr>
        <w:instrText xml:space="preserve"> \* MERGEFORMAT </w:instrText>
      </w:r>
      <w:r w:rsidR="00874128" w:rsidRPr="00874128">
        <w:rPr>
          <w:b/>
        </w:rPr>
      </w:r>
      <w:r w:rsidR="00874128" w:rsidRPr="00874128">
        <w:rPr>
          <w:b/>
        </w:rPr>
        <w:fldChar w:fldCharType="separate"/>
      </w:r>
      <w:r w:rsidR="00F25F8C" w:rsidRPr="00F25F8C">
        <w:rPr>
          <w:b/>
        </w:rPr>
        <w:t xml:space="preserve">Equation </w:t>
      </w:r>
      <w:r w:rsidR="00F25F8C" w:rsidRPr="00F25F8C">
        <w:rPr>
          <w:b/>
          <w:noProof/>
        </w:rPr>
        <w:t>1</w:t>
      </w:r>
      <w:r w:rsidR="00874128" w:rsidRPr="00874128">
        <w:rPr>
          <w:b/>
        </w:rPr>
        <w:fldChar w:fldCharType="end"/>
      </w:r>
      <w:r w:rsidRPr="00206512">
        <w:t>).</w:t>
      </w:r>
    </w:p>
    <w:p w14:paraId="0A396F49" w14:textId="3084067E" w:rsidR="009A570F" w:rsidRPr="000F4F26" w:rsidRDefault="00874128" w:rsidP="00CE3893">
      <w:pPr>
        <w:pStyle w:val="Lgende"/>
        <w:jc w:val="left"/>
        <w:rPr>
          <w:i/>
        </w:rPr>
      </w:pPr>
      <w:bookmarkStart w:id="48" w:name="_Ref144736057"/>
      <w:r>
        <w:t xml:space="preserve">Equation </w:t>
      </w:r>
      <w:r>
        <w:fldChar w:fldCharType="begin"/>
      </w:r>
      <w:r>
        <w:instrText xml:space="preserve"> SEQ Equation \* ARABIC </w:instrText>
      </w:r>
      <w:r>
        <w:fldChar w:fldCharType="separate"/>
      </w:r>
      <w:r w:rsidR="00F25F8C">
        <w:rPr>
          <w:noProof/>
        </w:rPr>
        <w:t>1</w:t>
      </w:r>
      <w:r>
        <w:fldChar w:fldCharType="end"/>
      </w:r>
      <w:bookmarkEnd w:id="48"/>
    </w:p>
    <w:p w14:paraId="586EEEAD" w14:textId="77777777" w:rsidR="009A570F" w:rsidRPr="00CE3893" w:rsidRDefault="00827449" w:rsidP="009A570F">
      <w:pPr>
        <w:jc w:val="both"/>
      </w:pPr>
      <m:oMathPara>
        <m:oMathParaPr>
          <m:jc m:val="left"/>
        </m:oMathParaPr>
        <m:oMath>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rPr>
            <m:t>=</m:t>
          </m:r>
          <m:f>
            <m:fPr>
              <m:ctrlPr>
                <w:rPr>
                  <w:rFonts w:ascii="Cambria Math" w:hAnsi="Cambria Math"/>
                  <w:i/>
                </w:rPr>
              </m:ctrlPr>
            </m:fPr>
            <m:num>
              <m:r>
                <w:rPr>
                  <w:rFonts w:ascii="Cambria Math" w:hAnsi="Cambria Math"/>
                </w:rPr>
                <m:t>R×T×γ</m:t>
              </m:r>
            </m:num>
            <m:den>
              <m:sSub>
                <m:sSubPr>
                  <m:ctrlPr>
                    <w:rPr>
                      <w:rFonts w:ascii="Cambria Math" w:hAnsi="Cambria Math"/>
                      <w:i/>
                    </w:rPr>
                  </m:ctrlPr>
                </m:sSubPr>
                <m:e>
                  <m:r>
                    <w:rPr>
                      <w:rFonts w:ascii="Cambria Math" w:hAnsi="Cambria Math"/>
                    </w:rPr>
                    <m:t>M</m:t>
                  </m:r>
                </m:e>
                <m:sub>
                  <m:r>
                    <w:rPr>
                      <w:rFonts w:ascii="Cambria Math" w:hAnsi="Cambria Math"/>
                    </w:rPr>
                    <m:t>mol</m:t>
                  </m:r>
                </m:sub>
              </m:sSub>
              <m:r>
                <w:rPr>
                  <w:rFonts w:ascii="Cambria Math" w:hAnsi="Cambria Math"/>
                </w:rPr>
                <m:t>×(1-γ)</m:t>
              </m:r>
            </m:den>
          </m:f>
          <m:r>
            <w:rPr>
              <w:rFonts w:ascii="Cambria Math" w:hAnsi="Cambria Math"/>
            </w:rPr>
            <m:t>×</m:t>
          </m:r>
          <m:d>
            <m:dPr>
              <m:ctrlPr>
                <w:rPr>
                  <w:rFonts w:ascii="Cambria Math" w:hAnsi="Cambria Math"/>
                  <w:i/>
                </w:rPr>
              </m:ctrlPr>
            </m:dPr>
            <m:e>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out</m:t>
                              </m:r>
                            </m:sub>
                          </m:sSub>
                        </m:num>
                        <m:den>
                          <m:sSub>
                            <m:sSubPr>
                              <m:ctrlPr>
                                <w:rPr>
                                  <w:rFonts w:ascii="Cambria Math" w:hAnsi="Cambria Math"/>
                                  <w:i/>
                                </w:rPr>
                              </m:ctrlPr>
                            </m:sSubPr>
                            <m:e>
                              <m:r>
                                <w:rPr>
                                  <w:rFonts w:ascii="Cambria Math" w:hAnsi="Cambria Math"/>
                                </w:rPr>
                                <m:t>P</m:t>
                              </m:r>
                            </m:e>
                            <m:sub>
                              <m:r>
                                <w:rPr>
                                  <w:rFonts w:ascii="Cambria Math" w:hAnsi="Cambria Math"/>
                                </w:rPr>
                                <m:t>in</m:t>
                              </m:r>
                            </m:sub>
                          </m:sSub>
                        </m:den>
                      </m:f>
                    </m:e>
                  </m:d>
                </m:e>
                <m:sup>
                  <m:f>
                    <m:fPr>
                      <m:ctrlPr>
                        <w:rPr>
                          <w:rFonts w:ascii="Cambria Math" w:hAnsi="Cambria Math"/>
                          <w:i/>
                        </w:rPr>
                      </m:ctrlPr>
                    </m:fPr>
                    <m:num>
                      <m:r>
                        <w:rPr>
                          <w:rFonts w:ascii="Cambria Math" w:hAnsi="Cambria Math"/>
                        </w:rPr>
                        <m:t>γ-1</m:t>
                      </m:r>
                    </m:num>
                    <m:den>
                      <m:r>
                        <w:rPr>
                          <w:rFonts w:ascii="Cambria Math" w:hAnsi="Cambria Math"/>
                        </w:rPr>
                        <m:t>γ</m:t>
                      </m:r>
                    </m:den>
                  </m:f>
                </m:sup>
              </m:sSup>
              <m:r>
                <w:rPr>
                  <w:rFonts w:ascii="Cambria Math" w:hAnsi="Cambria Math"/>
                </w:rPr>
                <m:t>-1</m:t>
              </m:r>
            </m:e>
          </m:d>
        </m:oMath>
      </m:oMathPara>
    </w:p>
    <w:p w14:paraId="32C754AA" w14:textId="77777777" w:rsidR="009A570F" w:rsidRPr="000F4F26" w:rsidRDefault="009A570F" w:rsidP="00CE3893">
      <w:pPr>
        <w:jc w:val="both"/>
        <w:rPr>
          <w:i/>
          <w:sz w:val="18"/>
        </w:rPr>
      </w:pPr>
      <w:r w:rsidRPr="000F4F26">
        <w:rPr>
          <w:i/>
          <w:sz w:val="18"/>
        </w:rPr>
        <w:t>with E</w:t>
      </w:r>
      <w:r w:rsidRPr="000F4F26">
        <w:rPr>
          <w:i/>
          <w:sz w:val="18"/>
          <w:vertAlign w:val="subscript"/>
        </w:rPr>
        <w:t>i</w:t>
      </w:r>
      <w:r w:rsidRPr="000F4F26">
        <w:rPr>
          <w:i/>
          <w:sz w:val="18"/>
        </w:rPr>
        <w:t>: isentropic compression energy (</w:t>
      </w:r>
      <w:proofErr w:type="gramStart"/>
      <w:r w:rsidRPr="000F4F26">
        <w:rPr>
          <w:i/>
          <w:sz w:val="18"/>
        </w:rPr>
        <w:t>kJ.kg</w:t>
      </w:r>
      <w:r w:rsidRPr="000F4F26">
        <w:rPr>
          <w:i/>
          <w:sz w:val="18"/>
          <w:vertAlign w:val="subscript"/>
        </w:rPr>
        <w:t>gas</w:t>
      </w:r>
      <w:proofErr w:type="gramEnd"/>
      <w:r w:rsidRPr="000F4F26">
        <w:rPr>
          <w:i/>
          <w:sz w:val="18"/>
          <w:vertAlign w:val="superscript"/>
        </w:rPr>
        <w:t>-1</w:t>
      </w:r>
      <w:r w:rsidRPr="000F4F26">
        <w:rPr>
          <w:i/>
          <w:sz w:val="18"/>
        </w:rPr>
        <w:t>); R: ideal gas constant (J.mol</w:t>
      </w:r>
      <w:r w:rsidRPr="000F4F26">
        <w:rPr>
          <w:i/>
          <w:sz w:val="18"/>
          <w:vertAlign w:val="superscript"/>
        </w:rPr>
        <w:t>-1</w:t>
      </w:r>
      <w:r w:rsidRPr="000F4F26">
        <w:rPr>
          <w:i/>
          <w:sz w:val="18"/>
        </w:rPr>
        <w:t>.K</w:t>
      </w:r>
      <w:r w:rsidRPr="000F4F26">
        <w:rPr>
          <w:i/>
          <w:sz w:val="18"/>
          <w:vertAlign w:val="superscript"/>
        </w:rPr>
        <w:t>-1</w:t>
      </w:r>
      <w:r w:rsidRPr="000F4F26">
        <w:rPr>
          <w:i/>
          <w:sz w:val="18"/>
        </w:rPr>
        <w:t>); M</w:t>
      </w:r>
      <w:r w:rsidRPr="000F4F26">
        <w:rPr>
          <w:i/>
          <w:sz w:val="18"/>
          <w:vertAlign w:val="subscript"/>
        </w:rPr>
        <w:t>mol</w:t>
      </w:r>
      <w:r w:rsidRPr="000F4F26">
        <w:rPr>
          <w:i/>
          <w:sz w:val="18"/>
        </w:rPr>
        <w:t>: gas molar mass (g.mol</w:t>
      </w:r>
      <w:r w:rsidRPr="000F4F26">
        <w:rPr>
          <w:i/>
          <w:sz w:val="18"/>
          <w:vertAlign w:val="superscript"/>
        </w:rPr>
        <w:t>-1</w:t>
      </w:r>
      <w:r w:rsidRPr="000F4F26">
        <w:rPr>
          <w:i/>
          <w:sz w:val="18"/>
        </w:rPr>
        <w:t>); T: temperature (K);  P</w:t>
      </w:r>
      <w:r w:rsidRPr="000F4F26">
        <w:rPr>
          <w:i/>
          <w:sz w:val="18"/>
          <w:vertAlign w:val="subscript"/>
        </w:rPr>
        <w:t xml:space="preserve">out </w:t>
      </w:r>
      <w:r w:rsidRPr="000F4F26">
        <w:rPr>
          <w:i/>
          <w:sz w:val="18"/>
        </w:rPr>
        <w:t>&amp; P</w:t>
      </w:r>
      <w:r w:rsidRPr="000F4F26">
        <w:rPr>
          <w:i/>
          <w:sz w:val="18"/>
          <w:vertAlign w:val="subscript"/>
        </w:rPr>
        <w:t>in</w:t>
      </w:r>
      <w:r w:rsidRPr="000F4F26">
        <w:rPr>
          <w:i/>
          <w:sz w:val="18"/>
        </w:rPr>
        <w:t xml:space="preserve"> outlet and inlet pressures (Pa); γ: heat capacity ratio.</w:t>
      </w:r>
    </w:p>
    <w:p w14:paraId="2407D43A" w14:textId="6B63695A" w:rsidR="009A570F" w:rsidRPr="003F5DA8" w:rsidRDefault="009A570F" w:rsidP="009A570F">
      <w:pPr>
        <w:jc w:val="both"/>
      </w:pPr>
      <w:r w:rsidRPr="003F5DA8">
        <w:t>When N</w:t>
      </w:r>
      <w:r w:rsidRPr="003F5DA8">
        <w:rPr>
          <w:vertAlign w:val="subscript"/>
        </w:rPr>
        <w:t>2</w:t>
      </w:r>
      <w:r w:rsidRPr="003F5DA8">
        <w:t xml:space="preserve"> is present in significant levels in compressed gases, values of γ and M</w:t>
      </w:r>
      <w:r w:rsidRPr="003F5DA8">
        <w:rPr>
          <w:vertAlign w:val="subscript"/>
        </w:rPr>
        <w:t>mol</w:t>
      </w:r>
      <w:r w:rsidRPr="003F5DA8">
        <w:t xml:space="preserve"> were assumed as air. Compression (or blowing) energy were then calculated with the compressor yield (i.e. distance to isentropic </w:t>
      </w:r>
      <w:r w:rsidRPr="000F4F26">
        <w:t>conversion;</w:t>
      </w:r>
      <w:r w:rsidR="00874128">
        <w:t xml:space="preserve"> </w:t>
      </w:r>
      <w:r w:rsidR="00874128" w:rsidRPr="00874128">
        <w:rPr>
          <w:b/>
        </w:rPr>
        <w:fldChar w:fldCharType="begin"/>
      </w:r>
      <w:r w:rsidR="00874128" w:rsidRPr="00874128">
        <w:rPr>
          <w:b/>
        </w:rPr>
        <w:instrText xml:space="preserve"> REF _Ref144736120 \h </w:instrText>
      </w:r>
      <w:r w:rsidR="00874128">
        <w:rPr>
          <w:b/>
        </w:rPr>
        <w:instrText xml:space="preserve"> \* MERGEFORMAT </w:instrText>
      </w:r>
      <w:r w:rsidR="00874128" w:rsidRPr="00874128">
        <w:rPr>
          <w:b/>
        </w:rPr>
      </w:r>
      <w:r w:rsidR="00874128" w:rsidRPr="00874128">
        <w:rPr>
          <w:b/>
        </w:rPr>
        <w:fldChar w:fldCharType="separate"/>
      </w:r>
      <w:r w:rsidR="00F25F8C" w:rsidRPr="00F25F8C">
        <w:rPr>
          <w:b/>
        </w:rPr>
        <w:t xml:space="preserve">Table SI. </w:t>
      </w:r>
      <w:r w:rsidR="00F25F8C" w:rsidRPr="00F25F8C">
        <w:rPr>
          <w:b/>
          <w:noProof/>
        </w:rPr>
        <w:t>10</w:t>
      </w:r>
      <w:r w:rsidR="00874128" w:rsidRPr="00874128">
        <w:rPr>
          <w:b/>
        </w:rPr>
        <w:fldChar w:fldCharType="end"/>
      </w:r>
      <w:r w:rsidRPr="000F4F26">
        <w:t>).</w:t>
      </w:r>
    </w:p>
    <w:p w14:paraId="5B658012" w14:textId="26DD70D7" w:rsidR="009A570F" w:rsidRPr="000F4F26" w:rsidRDefault="00874128" w:rsidP="00CE3893">
      <w:pPr>
        <w:pStyle w:val="Lgende"/>
        <w:jc w:val="left"/>
        <w:rPr>
          <w:b w:val="0"/>
          <w:i/>
        </w:rPr>
      </w:pPr>
      <w:bookmarkStart w:id="49" w:name="_Ref144736120"/>
      <w:bookmarkStart w:id="50" w:name="_Toc134537585"/>
      <w:bookmarkStart w:id="51" w:name="_Ref144736114"/>
      <w:bookmarkStart w:id="52" w:name="_Toc151967894"/>
      <w:r>
        <w:t>Table SI.</w:t>
      </w:r>
      <w:r w:rsidR="009A570F" w:rsidRPr="00FA6FBE">
        <w:t xml:space="preserve"> </w:t>
      </w:r>
      <w:r>
        <w:fldChar w:fldCharType="begin"/>
      </w:r>
      <w:r>
        <w:instrText xml:space="preserve"> SEQ Table_SI. \* ARABIC </w:instrText>
      </w:r>
      <w:r>
        <w:fldChar w:fldCharType="separate"/>
      </w:r>
      <w:r w:rsidR="00F25F8C">
        <w:rPr>
          <w:noProof/>
        </w:rPr>
        <w:t>10</w:t>
      </w:r>
      <w:r>
        <w:fldChar w:fldCharType="end"/>
      </w:r>
      <w:bookmarkEnd w:id="49"/>
      <w:r w:rsidR="009A570F" w:rsidRPr="00FA6FBE">
        <w:t xml:space="preserve"> – Parameters specific to gas compression</w:t>
      </w:r>
      <w:bookmarkEnd w:id="50"/>
      <w:bookmarkEnd w:id="51"/>
      <w:bookmarkEnd w:id="52"/>
    </w:p>
    <w:tbl>
      <w:tblPr>
        <w:tblStyle w:val="Tableausimple2"/>
        <w:tblW w:w="0" w:type="auto"/>
        <w:jc w:val="center"/>
        <w:tblLook w:val="04A0" w:firstRow="1" w:lastRow="0" w:firstColumn="1" w:lastColumn="0" w:noHBand="0" w:noVBand="1"/>
      </w:tblPr>
      <w:tblGrid>
        <w:gridCol w:w="399"/>
        <w:gridCol w:w="1850"/>
        <w:gridCol w:w="537"/>
        <w:gridCol w:w="1290"/>
        <w:gridCol w:w="1375"/>
        <w:gridCol w:w="3573"/>
      </w:tblGrid>
      <w:tr w:rsidR="009A570F" w:rsidRPr="00B94C7D" w14:paraId="6E57AF26" w14:textId="77777777" w:rsidTr="00B94C7D">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5FEF2BEC" w14:textId="77777777" w:rsidR="009A570F" w:rsidRPr="00B94C7D" w:rsidRDefault="009A570F" w:rsidP="00D31C73">
            <w:pPr>
              <w:rPr>
                <w:b w:val="0"/>
                <w:sz w:val="18"/>
                <w:szCs w:val="18"/>
              </w:rPr>
            </w:pPr>
            <w:r w:rsidRPr="00B94C7D">
              <w:rPr>
                <w:sz w:val="18"/>
                <w:szCs w:val="18"/>
              </w:rPr>
              <w:t>n°</w:t>
            </w:r>
          </w:p>
        </w:tc>
        <w:tc>
          <w:tcPr>
            <w:tcW w:w="0" w:type="auto"/>
          </w:tcPr>
          <w:p w14:paraId="7574E076" w14:textId="77777777" w:rsidR="009A570F" w:rsidRPr="00B94C7D" w:rsidRDefault="009A570F" w:rsidP="00D31C73">
            <w:pPr>
              <w:jc w:val="right"/>
              <w:cnfStyle w:val="100000000000" w:firstRow="1" w:lastRow="0" w:firstColumn="0" w:lastColumn="0" w:oddVBand="0" w:evenVBand="0" w:oddHBand="0" w:evenHBand="0" w:firstRowFirstColumn="0" w:firstRowLastColumn="0" w:lastRowFirstColumn="0" w:lastRowLastColumn="0"/>
              <w:rPr>
                <w:b w:val="0"/>
                <w:sz w:val="18"/>
                <w:szCs w:val="18"/>
              </w:rPr>
            </w:pPr>
            <w:r w:rsidRPr="00B94C7D">
              <w:rPr>
                <w:sz w:val="18"/>
                <w:szCs w:val="18"/>
              </w:rPr>
              <w:t>Parameter</w:t>
            </w:r>
          </w:p>
        </w:tc>
        <w:tc>
          <w:tcPr>
            <w:tcW w:w="0" w:type="auto"/>
          </w:tcPr>
          <w:p w14:paraId="1FD40601" w14:textId="77777777" w:rsidR="009A570F" w:rsidRPr="00B94C7D" w:rsidRDefault="009A570F" w:rsidP="00D31C73">
            <w:pPr>
              <w:cnfStyle w:val="100000000000" w:firstRow="1" w:lastRow="0" w:firstColumn="0" w:lastColumn="0" w:oddVBand="0" w:evenVBand="0" w:oddHBand="0" w:evenHBand="0" w:firstRowFirstColumn="0" w:firstRowLastColumn="0" w:lastRowFirstColumn="0" w:lastRowLastColumn="0"/>
              <w:rPr>
                <w:b w:val="0"/>
                <w:sz w:val="18"/>
                <w:szCs w:val="18"/>
              </w:rPr>
            </w:pPr>
            <w:r w:rsidRPr="00B94C7D">
              <w:rPr>
                <w:sz w:val="18"/>
                <w:szCs w:val="18"/>
              </w:rPr>
              <w:t>Unit</w:t>
            </w:r>
          </w:p>
        </w:tc>
        <w:tc>
          <w:tcPr>
            <w:tcW w:w="0" w:type="auto"/>
          </w:tcPr>
          <w:p w14:paraId="23F72703" w14:textId="77777777" w:rsidR="009A570F" w:rsidRPr="00B94C7D" w:rsidRDefault="009A570F" w:rsidP="00D31C73">
            <w:pPr>
              <w:cnfStyle w:val="100000000000" w:firstRow="1" w:lastRow="0" w:firstColumn="0" w:lastColumn="0" w:oddVBand="0" w:evenVBand="0" w:oddHBand="0" w:evenHBand="0" w:firstRowFirstColumn="0" w:firstRowLastColumn="0" w:lastRowFirstColumn="0" w:lastRowLastColumn="0"/>
              <w:rPr>
                <w:b w:val="0"/>
                <w:sz w:val="18"/>
                <w:szCs w:val="18"/>
              </w:rPr>
            </w:pPr>
            <w:r w:rsidRPr="00B94C7D">
              <w:rPr>
                <w:sz w:val="18"/>
                <w:szCs w:val="18"/>
              </w:rPr>
              <w:t>Baseline value</w:t>
            </w:r>
          </w:p>
        </w:tc>
        <w:tc>
          <w:tcPr>
            <w:tcW w:w="0" w:type="auto"/>
          </w:tcPr>
          <w:p w14:paraId="5BA05EFA" w14:textId="77777777" w:rsidR="009A570F" w:rsidRPr="00B94C7D" w:rsidRDefault="009A570F" w:rsidP="00D31C73">
            <w:pPr>
              <w:cnfStyle w:val="100000000000" w:firstRow="1" w:lastRow="0" w:firstColumn="0" w:lastColumn="0" w:oddVBand="0" w:evenVBand="0" w:oddHBand="0" w:evenHBand="0" w:firstRowFirstColumn="0" w:firstRowLastColumn="0" w:lastRowFirstColumn="0" w:lastRowLastColumn="0"/>
              <w:rPr>
                <w:b w:val="0"/>
                <w:sz w:val="18"/>
                <w:szCs w:val="18"/>
              </w:rPr>
            </w:pPr>
            <w:r w:rsidRPr="00B94C7D">
              <w:rPr>
                <w:sz w:val="18"/>
                <w:szCs w:val="18"/>
              </w:rPr>
              <w:t>Variation range</w:t>
            </w:r>
          </w:p>
        </w:tc>
        <w:tc>
          <w:tcPr>
            <w:tcW w:w="0" w:type="auto"/>
          </w:tcPr>
          <w:p w14:paraId="32688233" w14:textId="77777777" w:rsidR="009A570F" w:rsidRPr="00B94C7D" w:rsidRDefault="009A570F" w:rsidP="00E9442B">
            <w:pPr>
              <w:cnfStyle w:val="100000000000" w:firstRow="1" w:lastRow="0" w:firstColumn="0" w:lastColumn="0" w:oddVBand="0" w:evenVBand="0" w:oddHBand="0" w:evenHBand="0" w:firstRowFirstColumn="0" w:firstRowLastColumn="0" w:lastRowFirstColumn="0" w:lastRowLastColumn="0"/>
              <w:rPr>
                <w:b w:val="0"/>
                <w:i/>
                <w:sz w:val="18"/>
                <w:szCs w:val="18"/>
              </w:rPr>
            </w:pPr>
            <w:r w:rsidRPr="00B94C7D">
              <w:rPr>
                <w:i/>
                <w:sz w:val="18"/>
                <w:szCs w:val="18"/>
              </w:rPr>
              <w:t>Comment</w:t>
            </w:r>
          </w:p>
        </w:tc>
      </w:tr>
      <w:tr w:rsidR="009A570F" w:rsidRPr="00B94C7D" w14:paraId="6DE57C7B" w14:textId="77777777" w:rsidTr="00B94C7D">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34E72FBA" w14:textId="77777777" w:rsidR="009A570F" w:rsidRPr="00B94C7D" w:rsidRDefault="009A570F" w:rsidP="00D31C73">
            <w:pPr>
              <w:rPr>
                <w:b w:val="0"/>
                <w:sz w:val="18"/>
                <w:szCs w:val="18"/>
              </w:rPr>
            </w:pPr>
            <w:r w:rsidRPr="00B94C7D">
              <w:rPr>
                <w:sz w:val="18"/>
                <w:szCs w:val="18"/>
              </w:rPr>
              <w:t>29</w:t>
            </w:r>
          </w:p>
        </w:tc>
        <w:tc>
          <w:tcPr>
            <w:tcW w:w="0" w:type="auto"/>
          </w:tcPr>
          <w:p w14:paraId="241ED434" w14:textId="77777777" w:rsidR="009A570F" w:rsidRPr="00B94C7D" w:rsidRDefault="009A570F" w:rsidP="00D31C73">
            <w:pPr>
              <w:jc w:val="right"/>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Gas compression yield</w:t>
            </w:r>
          </w:p>
        </w:tc>
        <w:tc>
          <w:tcPr>
            <w:tcW w:w="0" w:type="auto"/>
          </w:tcPr>
          <w:p w14:paraId="4DBF9C5E"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w:t>
            </w:r>
            <w:r w:rsidRPr="00B94C7D">
              <w:rPr>
                <w:sz w:val="18"/>
                <w:szCs w:val="18"/>
                <w:vertAlign w:val="subscript"/>
              </w:rPr>
              <w:t>kJ</w:t>
            </w:r>
          </w:p>
        </w:tc>
        <w:tc>
          <w:tcPr>
            <w:tcW w:w="0" w:type="auto"/>
          </w:tcPr>
          <w:p w14:paraId="4ADE94F2"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80%</w:t>
            </w:r>
          </w:p>
        </w:tc>
        <w:tc>
          <w:tcPr>
            <w:tcW w:w="0" w:type="auto"/>
          </w:tcPr>
          <w:p w14:paraId="5804D6BD" w14:textId="77777777"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sz w:val="18"/>
                <w:szCs w:val="18"/>
              </w:rPr>
            </w:pPr>
            <w:r w:rsidRPr="00B94C7D">
              <w:rPr>
                <w:sz w:val="18"/>
                <w:szCs w:val="18"/>
              </w:rPr>
              <w:t>70-90%</w:t>
            </w:r>
          </w:p>
        </w:tc>
        <w:tc>
          <w:tcPr>
            <w:tcW w:w="0" w:type="auto"/>
          </w:tcPr>
          <w:p w14:paraId="4CAEEDCC" w14:textId="7DD48A00" w:rsidR="009A570F" w:rsidRPr="00B94C7D" w:rsidRDefault="009A570F" w:rsidP="00D31C73">
            <w:pPr>
              <w:cnfStyle w:val="000000100000" w:firstRow="0" w:lastRow="0" w:firstColumn="0" w:lastColumn="0" w:oddVBand="0" w:evenVBand="0" w:oddHBand="1" w:evenHBand="0" w:firstRowFirstColumn="0" w:firstRowLastColumn="0" w:lastRowFirstColumn="0" w:lastRowLastColumn="0"/>
              <w:rPr>
                <w:i/>
                <w:sz w:val="18"/>
                <w:szCs w:val="18"/>
              </w:rPr>
            </w:pPr>
            <w:r w:rsidRPr="00B94C7D">
              <w:rPr>
                <w:i/>
                <w:sz w:val="18"/>
                <w:szCs w:val="18"/>
              </w:rPr>
              <w:t>Range based on review</w:t>
            </w:r>
            <w:r w:rsidRPr="00B94C7D">
              <w:rPr>
                <w:i/>
                <w:sz w:val="18"/>
                <w:szCs w:val="18"/>
              </w:rPr>
              <w:fldChar w:fldCharType="begin"/>
            </w:r>
            <w:r w:rsidR="008C451C">
              <w:rPr>
                <w:i/>
                <w:sz w:val="18"/>
                <w:szCs w:val="18"/>
              </w:rPr>
              <w:instrText xml:space="preserve"> ADDIN ZOTERO_ITEM CSL_CITATION {"citationID":"MfdnL3SC","properties":{"formattedCitation":"\\super 27\\nosupersub{}","plainCitation":"27","noteIndex":0},"citationItems":[{"id":13072,"uris":["http://zotero.org/users/6423791/items/L4GYYFF3"],"itemData":{"id":13072,"type":"article-journal","abstract":"During the assessment of the potential profitability and feasibility of new production routes, aerobic fermentation can turn out to be a major factor contributing to the operating expenditure of the overall process. The accurate evaluation of its energy demand is, therefore, of prime importance. To this end, a tool was developed based on established and generally accepted correlations considering relevant parameters and constraints for bioreactor operation. While the assessment is performed for large-scale reactors (10–100m3), it is based on data from small-scale experiments using the oxygen transfer rate as a scale-up criterion. Among the evaluated constraints, the flooding-loading transition of the bioreactor proved to be a crucial criterion for culture volumes of more than 20m3. Minimum energy demand for cooling, agitation, and aeration could thus be achieved at low agitation and high aeration intensity. At moderate oxygen transfer requirements, bioreactor pressurization was not found to increase energy efficiency of aerobic processes. It was, however, shown to be indispensable for processes with high oxygen demands and elevated foam formation. The tool was applied to assess itaconic acid as well as lysine fermentation processes. Due to considerable differences in oxygen demand, average power consumption was found to be at 0.51kWm−3 (itaconic acid) and 2.61kWm−3 (lysine), thus arguing against the utilization of general rule of thumb values. The established tool, therefore, provides an efficient means to specify estimates of the energy demand in consideration of the respective process.","container-title":"Chemical Engineering Science","DOI":"10.1016/j.ces.2016.07.016","ISSN":"0009-2509","journalAbbreviation":"Chemical Engineering Science","language":"en","page":"270-283","source":"ScienceDirect","title":"Computational minimization of the specific energy demand of large-scale aerobic fermentation processes based on small-scale data","volume":"153","author":[{"family":"Kreyenschulte","given":"Dirk"},{"family":"Emde","given":"Frank"},{"family":"Regestein","given":"Lars"},{"family":"Büchs","given":"Jochen"}],"issued":{"date-parts":[["2016",10,22]]}}}],"schema":"https://github.com/citation-style-language/schema/raw/master/csl-citation.json"} </w:instrText>
            </w:r>
            <w:r w:rsidRPr="00B94C7D">
              <w:rPr>
                <w:i/>
                <w:sz w:val="18"/>
                <w:szCs w:val="18"/>
              </w:rPr>
              <w:fldChar w:fldCharType="separate"/>
            </w:r>
            <w:r w:rsidR="008C451C" w:rsidRPr="008C451C">
              <w:rPr>
                <w:rFonts w:ascii="Calibri" w:hAnsi="Calibri" w:cs="Calibri"/>
                <w:sz w:val="18"/>
                <w:szCs w:val="24"/>
                <w:vertAlign w:val="superscript"/>
              </w:rPr>
              <w:t>27</w:t>
            </w:r>
            <w:r w:rsidRPr="00B94C7D">
              <w:rPr>
                <w:i/>
                <w:sz w:val="18"/>
                <w:szCs w:val="18"/>
              </w:rPr>
              <w:fldChar w:fldCharType="end"/>
            </w:r>
            <w:r w:rsidRPr="00B94C7D">
              <w:rPr>
                <w:i/>
                <w:sz w:val="18"/>
                <w:szCs w:val="18"/>
              </w:rPr>
              <w:t>, baseline in-between</w:t>
            </w:r>
          </w:p>
        </w:tc>
      </w:tr>
    </w:tbl>
    <w:p w14:paraId="17E55E91" w14:textId="02E00DC7" w:rsidR="00B94C7D" w:rsidRDefault="009A570F" w:rsidP="00CE3893">
      <w:pPr>
        <w:rPr>
          <w:sz w:val="18"/>
        </w:rPr>
      </w:pPr>
      <w:r w:rsidRPr="003F5DA8">
        <w:rPr>
          <w:sz w:val="18"/>
        </w:rPr>
        <w:t xml:space="preserve">Numbering of parameters corresponds to the one </w:t>
      </w:r>
      <w:r>
        <w:rPr>
          <w:sz w:val="18"/>
        </w:rPr>
        <w:t>of</w:t>
      </w:r>
      <w:r w:rsidR="00B94C7D">
        <w:rPr>
          <w:sz w:val="18"/>
        </w:rPr>
        <w:t xml:space="preserve"> </w:t>
      </w:r>
      <w:r w:rsidR="00B94C7D" w:rsidRPr="00FE231F">
        <w:rPr>
          <w:b/>
          <w:sz w:val="18"/>
          <w:szCs w:val="18"/>
        </w:rPr>
        <w:fldChar w:fldCharType="begin"/>
      </w:r>
      <w:r w:rsidR="00B94C7D" w:rsidRPr="00FE231F">
        <w:rPr>
          <w:b/>
          <w:sz w:val="18"/>
          <w:szCs w:val="18"/>
        </w:rPr>
        <w:instrText xml:space="preserve"> REF _Ref144914839 \h  \* MERGEFORMAT </w:instrText>
      </w:r>
      <w:r w:rsidR="00B94C7D" w:rsidRPr="00FE231F">
        <w:rPr>
          <w:b/>
          <w:sz w:val="18"/>
          <w:szCs w:val="18"/>
        </w:rPr>
      </w:r>
      <w:r w:rsidR="00B94C7D" w:rsidRPr="00FE231F">
        <w:rPr>
          <w:b/>
          <w:sz w:val="18"/>
          <w:szCs w:val="18"/>
        </w:rPr>
        <w:fldChar w:fldCharType="separate"/>
      </w:r>
      <w:r w:rsidR="00B94C7D" w:rsidRPr="00FE231F">
        <w:rPr>
          <w:b/>
          <w:sz w:val="18"/>
          <w:szCs w:val="18"/>
        </w:rPr>
        <w:t xml:space="preserve">Table SI. </w:t>
      </w:r>
      <w:r w:rsidR="00B94C7D" w:rsidRPr="00FE231F">
        <w:rPr>
          <w:b/>
          <w:noProof/>
          <w:sz w:val="18"/>
          <w:szCs w:val="18"/>
        </w:rPr>
        <w:t>103</w:t>
      </w:r>
      <w:r w:rsidR="00B94C7D" w:rsidRPr="00FE231F">
        <w:rPr>
          <w:b/>
          <w:sz w:val="18"/>
          <w:szCs w:val="18"/>
        </w:rPr>
        <w:fldChar w:fldCharType="end"/>
      </w:r>
      <w:r w:rsidRPr="00FE231F">
        <w:rPr>
          <w:sz w:val="18"/>
        </w:rPr>
        <w:t>.</w:t>
      </w:r>
    </w:p>
    <w:p w14:paraId="687D4A3B" w14:textId="77777777" w:rsidR="00B94C7D" w:rsidRDefault="00B94C7D">
      <w:pPr>
        <w:rPr>
          <w:sz w:val="18"/>
        </w:rPr>
      </w:pPr>
      <w:r>
        <w:rPr>
          <w:sz w:val="18"/>
        </w:rPr>
        <w:br w:type="page"/>
      </w:r>
    </w:p>
    <w:p w14:paraId="3B6D14C0" w14:textId="77777777" w:rsidR="009A570F" w:rsidRPr="009A570F" w:rsidRDefault="009A570F" w:rsidP="00874128">
      <w:pPr>
        <w:pStyle w:val="Titre3"/>
      </w:pPr>
      <w:bookmarkStart w:id="53" w:name="_Ref144829900"/>
      <w:bookmarkStart w:id="54" w:name="_Toc145069102"/>
      <w:r w:rsidRPr="009A570F">
        <w:lastRenderedPageBreak/>
        <w:t>Liquid pumping</w:t>
      </w:r>
      <w:bookmarkEnd w:id="53"/>
      <w:bookmarkEnd w:id="54"/>
    </w:p>
    <w:p w14:paraId="62C1CC96" w14:textId="231E91BF" w:rsidR="009A570F" w:rsidRPr="003F5DA8" w:rsidRDefault="009A570F" w:rsidP="009A570F">
      <w:pPr>
        <w:jc w:val="both"/>
      </w:pPr>
      <w:r w:rsidRPr="003F5DA8">
        <w:t xml:space="preserve">For all operations involving pumping of liquid streams, centrifuge pumps were considered. The volumetric energy was estimated through Bernoulli's equation, </w:t>
      </w:r>
      <w:r>
        <w:t>corrected</w:t>
      </w:r>
      <w:r w:rsidRPr="003F5DA8">
        <w:t xml:space="preserve"> with an assumed 10% load losses</w:t>
      </w:r>
      <w:r>
        <w:t xml:space="preserve"> and</w:t>
      </w:r>
      <w:r w:rsidRPr="003F5DA8">
        <w:t xml:space="preserve"> 55% energy efficiency. </w:t>
      </w:r>
      <w:r>
        <w:t>To</w:t>
      </w:r>
      <w:r w:rsidRPr="003F5DA8">
        <w:t xml:space="preserve"> pump liquids towards a pressure enough to remain liquid </w:t>
      </w:r>
      <w:r>
        <w:t>after their boiling</w:t>
      </w:r>
      <w:r w:rsidRPr="003F5DA8">
        <w:t xml:space="preserve"> point; the corresponding pressure P</w:t>
      </w:r>
      <w:r w:rsidRPr="003F5DA8">
        <w:rPr>
          <w:vertAlign w:val="subscript"/>
        </w:rPr>
        <w:t>out</w:t>
      </w:r>
      <w:r w:rsidRPr="003F5DA8">
        <w:t xml:space="preserve"> was estimated through Clausius-Clapeyron </w:t>
      </w:r>
      <w:r w:rsidRPr="000F4F26">
        <w:t>equation (</w:t>
      </w:r>
      <w:r w:rsidR="00874128" w:rsidRPr="00874128">
        <w:rPr>
          <w:b/>
        </w:rPr>
        <w:fldChar w:fldCharType="begin"/>
      </w:r>
      <w:r w:rsidR="00874128" w:rsidRPr="00874128">
        <w:rPr>
          <w:b/>
        </w:rPr>
        <w:instrText xml:space="preserve"> REF _Ref144736203 \h  \* MERGEFORMAT </w:instrText>
      </w:r>
      <w:r w:rsidR="00874128" w:rsidRPr="00874128">
        <w:rPr>
          <w:b/>
        </w:rPr>
      </w:r>
      <w:r w:rsidR="00874128" w:rsidRPr="00874128">
        <w:rPr>
          <w:b/>
        </w:rPr>
        <w:fldChar w:fldCharType="separate"/>
      </w:r>
      <w:r w:rsidR="00F25F8C" w:rsidRPr="00F25F8C">
        <w:rPr>
          <w:b/>
        </w:rPr>
        <w:t xml:space="preserve">Equation </w:t>
      </w:r>
      <w:r w:rsidR="00F25F8C" w:rsidRPr="00F25F8C">
        <w:rPr>
          <w:b/>
          <w:noProof/>
        </w:rPr>
        <w:t>2</w:t>
      </w:r>
      <w:r w:rsidR="00874128" w:rsidRPr="00874128">
        <w:rPr>
          <w:b/>
        </w:rPr>
        <w:fldChar w:fldCharType="end"/>
      </w:r>
      <w:r w:rsidRPr="000F4F26">
        <w:t>).</w:t>
      </w:r>
    </w:p>
    <w:p w14:paraId="3FD2713B" w14:textId="436AF6C2" w:rsidR="009A570F" w:rsidRPr="000F4F26" w:rsidRDefault="00874128" w:rsidP="00CE3893">
      <w:pPr>
        <w:pStyle w:val="Lgende"/>
        <w:jc w:val="left"/>
        <w:rPr>
          <w:i/>
        </w:rPr>
      </w:pPr>
      <w:bookmarkStart w:id="55" w:name="_Ref144736203"/>
      <w:r>
        <w:t>Equation</w:t>
      </w:r>
      <w:r w:rsidR="009A570F">
        <w:t xml:space="preserve"> </w:t>
      </w:r>
      <w:r>
        <w:fldChar w:fldCharType="begin"/>
      </w:r>
      <w:r>
        <w:instrText xml:space="preserve"> SEQ Equation \* ARABIC </w:instrText>
      </w:r>
      <w:r>
        <w:fldChar w:fldCharType="separate"/>
      </w:r>
      <w:r w:rsidR="00F25F8C">
        <w:rPr>
          <w:noProof/>
        </w:rPr>
        <w:t>2</w:t>
      </w:r>
      <w:r>
        <w:fldChar w:fldCharType="end"/>
      </w:r>
      <w:bookmarkEnd w:id="55"/>
    </w:p>
    <w:p w14:paraId="074EBD01" w14:textId="77777777" w:rsidR="009A570F" w:rsidRPr="00CE3893" w:rsidRDefault="009A570F" w:rsidP="009A570F">
      <w:pPr>
        <w:jc w:val="both"/>
        <w:rPr>
          <w:rFonts w:eastAsiaTheme="minorEastAsia"/>
        </w:rPr>
      </w:pPr>
      <m:oMathPara>
        <m:oMathParaPr>
          <m:jc m:val="left"/>
        </m:oMathParaPr>
        <m:oMath>
          <m:r>
            <m:rPr>
              <m:sty m:val="p"/>
            </m:rPr>
            <w:rPr>
              <w:rFonts w:ascii="Cambria Math" w:hAnsi="Cambria Math"/>
            </w:rPr>
            <m:t>ln</m:t>
          </m:r>
          <m:d>
            <m:dPr>
              <m:ctrlPr>
                <w:rPr>
                  <w:rFonts w:ascii="Cambria Math" w:hAnsi="Cambria Math"/>
                </w:rPr>
              </m:ctrlPr>
            </m:dPr>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in</m:t>
                      </m:r>
                    </m:sub>
                  </m:sSub>
                </m:num>
                <m:den>
                  <m:sSub>
                    <m:sSubPr>
                      <m:ctrlPr>
                        <w:rPr>
                          <w:rFonts w:ascii="Cambria Math" w:hAnsi="Cambria Math"/>
                          <w:i/>
                        </w:rPr>
                      </m:ctrlPr>
                    </m:sSubPr>
                    <m:e>
                      <m:r>
                        <w:rPr>
                          <w:rFonts w:ascii="Cambria Math" w:hAnsi="Cambria Math"/>
                        </w:rPr>
                        <m:t>P</m:t>
                      </m:r>
                    </m:e>
                    <m:sub>
                      <m:r>
                        <w:rPr>
                          <w:rFonts w:ascii="Cambria Math" w:hAnsi="Cambria Math"/>
                        </w:rPr>
                        <m:t>out</m:t>
                      </m:r>
                    </m:sub>
                  </m:sSub>
                </m:den>
              </m:f>
            </m:e>
          </m:d>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-H</m:t>
                  </m:r>
                </m:e>
                <m:sub>
                  <m:r>
                    <w:rPr>
                      <w:rFonts w:ascii="Cambria Math" w:hAnsi="Cambria Math"/>
                    </w:rPr>
                    <m:t>vap</m:t>
                  </m:r>
                </m:sub>
              </m:sSub>
            </m:num>
            <m:den>
              <m:r>
                <w:rPr>
                  <w:rFonts w:ascii="Cambria Math" w:hAnsi="Cambria Math"/>
                </w:rPr>
                <m:t>1000×R</m:t>
              </m:r>
            </m:den>
          </m:f>
          <m:r>
            <w:rPr>
              <w:rFonts w:ascii="Cambria Math" w:hAnsi="Cambria Math"/>
            </w:rPr>
            <m:t>×</m:t>
          </m:r>
          <m:d>
            <m:dPr>
              <m:ctrlPr>
                <w:rPr>
                  <w:rFonts w:ascii="Cambria Math" w:hAnsi="Cambria Math"/>
                  <w:i/>
                </w:rPr>
              </m:ctrlPr>
            </m:dPr>
            <m:e>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T</m:t>
                      </m:r>
                    </m:e>
                    <m:sub>
                      <m:r>
                        <w:rPr>
                          <w:rFonts w:ascii="Cambria Math" w:hAnsi="Cambria Math"/>
                        </w:rPr>
                        <m:t>vap,atm</m:t>
                      </m:r>
                    </m:sub>
                  </m:sSub>
                </m:den>
              </m:f>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T</m:t>
                      </m:r>
                    </m:e>
                    <m:sub>
                      <m:r>
                        <w:rPr>
                          <w:rFonts w:ascii="Cambria Math" w:hAnsi="Cambria Math"/>
                        </w:rPr>
                        <m:t>target</m:t>
                      </m:r>
                    </m:sub>
                  </m:sSub>
                </m:den>
              </m:f>
            </m:e>
          </m:d>
        </m:oMath>
      </m:oMathPara>
    </w:p>
    <w:p w14:paraId="72B5774C" w14:textId="77777777" w:rsidR="009A570F" w:rsidRPr="000F4F26" w:rsidRDefault="009A570F" w:rsidP="00CE3893">
      <w:pPr>
        <w:jc w:val="both"/>
        <w:rPr>
          <w:sz w:val="18"/>
        </w:rPr>
      </w:pPr>
      <w:r w:rsidRPr="000F4F26">
        <w:rPr>
          <w:sz w:val="18"/>
        </w:rPr>
        <w:t>With P</w:t>
      </w:r>
      <w:r w:rsidRPr="000F4F26">
        <w:rPr>
          <w:sz w:val="18"/>
          <w:vertAlign w:val="subscript"/>
        </w:rPr>
        <w:t xml:space="preserve">out </w:t>
      </w:r>
      <w:r w:rsidRPr="000F4F26">
        <w:rPr>
          <w:sz w:val="18"/>
        </w:rPr>
        <w:t>&amp; P</w:t>
      </w:r>
      <w:r w:rsidRPr="000F4F26">
        <w:rPr>
          <w:sz w:val="18"/>
          <w:vertAlign w:val="subscript"/>
        </w:rPr>
        <w:t>in</w:t>
      </w:r>
      <w:r w:rsidRPr="000F4F26">
        <w:rPr>
          <w:sz w:val="18"/>
        </w:rPr>
        <w:t xml:space="preserve"> outlet and inlet pressures (Pa); H</w:t>
      </w:r>
      <w:r w:rsidRPr="000F4F26">
        <w:rPr>
          <w:sz w:val="18"/>
          <w:vertAlign w:val="subscript"/>
        </w:rPr>
        <w:t>vap</w:t>
      </w:r>
      <w:r w:rsidRPr="000F4F26">
        <w:rPr>
          <w:sz w:val="18"/>
        </w:rPr>
        <w:t>: latent heat of evaporation (kJ.mol</w:t>
      </w:r>
      <w:r w:rsidRPr="000F4F26">
        <w:rPr>
          <w:sz w:val="18"/>
          <w:vertAlign w:val="superscript"/>
        </w:rPr>
        <w:t>-1</w:t>
      </w:r>
      <w:r w:rsidRPr="000F4F26">
        <w:rPr>
          <w:sz w:val="18"/>
        </w:rPr>
        <w:t>); R: ideal gas constant (J.mol</w:t>
      </w:r>
      <w:r w:rsidRPr="000F4F26">
        <w:rPr>
          <w:sz w:val="18"/>
          <w:vertAlign w:val="superscript"/>
        </w:rPr>
        <w:t>-</w:t>
      </w:r>
      <w:proofErr w:type="gramStart"/>
      <w:r w:rsidRPr="000F4F26">
        <w:rPr>
          <w:sz w:val="18"/>
          <w:vertAlign w:val="superscript"/>
        </w:rPr>
        <w:t>1</w:t>
      </w:r>
      <w:r w:rsidRPr="000F4F26">
        <w:rPr>
          <w:sz w:val="18"/>
        </w:rPr>
        <w:t>.K</w:t>
      </w:r>
      <w:proofErr w:type="gramEnd"/>
      <w:r w:rsidRPr="000F4F26">
        <w:rPr>
          <w:sz w:val="18"/>
          <w:vertAlign w:val="superscript"/>
        </w:rPr>
        <w:t>-1</w:t>
      </w:r>
      <w:r w:rsidRPr="000F4F26">
        <w:rPr>
          <w:sz w:val="18"/>
        </w:rPr>
        <w:t>); T</w:t>
      </w:r>
      <w:r w:rsidRPr="000F4F26">
        <w:rPr>
          <w:sz w:val="18"/>
          <w:vertAlign w:val="subscript"/>
        </w:rPr>
        <w:t xml:space="preserve">vap,atm </w:t>
      </w:r>
      <w:r w:rsidRPr="000F4F26">
        <w:rPr>
          <w:sz w:val="18"/>
        </w:rPr>
        <w:t>&amp; T</w:t>
      </w:r>
      <w:r w:rsidRPr="000F4F26">
        <w:rPr>
          <w:sz w:val="18"/>
          <w:vertAlign w:val="subscript"/>
        </w:rPr>
        <w:t>working</w:t>
      </w:r>
      <w:r w:rsidRPr="000F4F26">
        <w:rPr>
          <w:sz w:val="18"/>
        </w:rPr>
        <w:t>: boiling and working temperatures (K).</w:t>
      </w:r>
    </w:p>
    <w:p w14:paraId="62FE4F85" w14:textId="77777777" w:rsidR="009A570F" w:rsidRPr="009A570F" w:rsidRDefault="009A570F" w:rsidP="00874128">
      <w:pPr>
        <w:pStyle w:val="Titre3"/>
      </w:pPr>
      <w:bookmarkStart w:id="56" w:name="_Ref144825030"/>
      <w:bookmarkStart w:id="57" w:name="_Toc145069103"/>
      <w:r w:rsidRPr="009A570F">
        <w:t>Heating and cooling</w:t>
      </w:r>
      <w:bookmarkEnd w:id="56"/>
      <w:bookmarkEnd w:id="57"/>
    </w:p>
    <w:p w14:paraId="513D8293" w14:textId="0A722143" w:rsidR="009A570F" w:rsidRPr="000F4F26" w:rsidRDefault="009A570F" w:rsidP="009A570F">
      <w:pPr>
        <w:jc w:val="both"/>
      </w:pPr>
      <w:r w:rsidRPr="003F5DA8">
        <w:t xml:space="preserve">Through the study, heating or cooling requirements to meet target temperature for a given unit operations (including steam generation) were </w:t>
      </w:r>
      <w:r w:rsidRPr="000F4F26">
        <w:t xml:space="preserve">established with </w:t>
      </w:r>
      <w:r w:rsidR="00874128" w:rsidRPr="00874128">
        <w:rPr>
          <w:b/>
        </w:rPr>
        <w:fldChar w:fldCharType="begin"/>
      </w:r>
      <w:r w:rsidR="00874128" w:rsidRPr="00874128">
        <w:rPr>
          <w:b/>
        </w:rPr>
        <w:instrText xml:space="preserve"> REF _Ref144736245 \h </w:instrText>
      </w:r>
      <w:r w:rsidR="00874128">
        <w:rPr>
          <w:b/>
        </w:rPr>
        <w:instrText xml:space="preserve"> \* MERGEFORMAT </w:instrText>
      </w:r>
      <w:r w:rsidR="00874128" w:rsidRPr="00874128">
        <w:rPr>
          <w:b/>
        </w:rPr>
      </w:r>
      <w:r w:rsidR="00874128" w:rsidRPr="00874128">
        <w:rPr>
          <w:b/>
        </w:rPr>
        <w:fldChar w:fldCharType="separate"/>
      </w:r>
      <w:r w:rsidR="00F25F8C" w:rsidRPr="00F25F8C">
        <w:rPr>
          <w:b/>
        </w:rPr>
        <w:t xml:space="preserve">Equation </w:t>
      </w:r>
      <w:r w:rsidR="00F25F8C" w:rsidRPr="00F25F8C">
        <w:rPr>
          <w:b/>
          <w:noProof/>
        </w:rPr>
        <w:t>3</w:t>
      </w:r>
      <w:r w:rsidR="00874128" w:rsidRPr="00874128">
        <w:rPr>
          <w:b/>
        </w:rPr>
        <w:fldChar w:fldCharType="end"/>
      </w:r>
      <w:r w:rsidR="00874128">
        <w:t xml:space="preserve"> and </w:t>
      </w:r>
      <w:r w:rsidR="00874128" w:rsidRPr="00874128">
        <w:rPr>
          <w:b/>
        </w:rPr>
        <w:fldChar w:fldCharType="begin"/>
      </w:r>
      <w:r w:rsidR="00874128" w:rsidRPr="00874128">
        <w:rPr>
          <w:b/>
        </w:rPr>
        <w:instrText xml:space="preserve"> REF _Ref144736247 \h </w:instrText>
      </w:r>
      <w:r w:rsidR="00874128">
        <w:rPr>
          <w:b/>
        </w:rPr>
        <w:instrText xml:space="preserve"> \* MERGEFORMAT </w:instrText>
      </w:r>
      <w:r w:rsidR="00874128" w:rsidRPr="00874128">
        <w:rPr>
          <w:b/>
        </w:rPr>
      </w:r>
      <w:r w:rsidR="00874128" w:rsidRPr="00874128">
        <w:rPr>
          <w:b/>
        </w:rPr>
        <w:fldChar w:fldCharType="separate"/>
      </w:r>
      <w:r w:rsidR="00F25F8C" w:rsidRPr="00F25F8C">
        <w:rPr>
          <w:b/>
        </w:rPr>
        <w:t xml:space="preserve">Equation </w:t>
      </w:r>
      <w:r w:rsidR="00F25F8C" w:rsidRPr="00F25F8C">
        <w:rPr>
          <w:b/>
          <w:noProof/>
        </w:rPr>
        <w:t>4</w:t>
      </w:r>
      <w:r w:rsidR="00874128" w:rsidRPr="00874128">
        <w:rPr>
          <w:b/>
        </w:rPr>
        <w:fldChar w:fldCharType="end"/>
      </w:r>
      <w:r w:rsidRPr="000F4F26">
        <w:t xml:space="preserve">. </w:t>
      </w:r>
    </w:p>
    <w:p w14:paraId="3FC71266" w14:textId="0AA6E4A7" w:rsidR="009A570F" w:rsidRDefault="00874128" w:rsidP="00CE3893">
      <w:pPr>
        <w:pStyle w:val="Lgende"/>
        <w:jc w:val="left"/>
        <w:rPr>
          <w:b w:val="0"/>
          <w:i/>
        </w:rPr>
      </w:pPr>
      <w:bookmarkStart w:id="58" w:name="_Ref144736245"/>
      <w:r>
        <w:t>Equation</w:t>
      </w:r>
      <w:r w:rsidR="009A570F">
        <w:t xml:space="preserve"> </w:t>
      </w:r>
      <w:r>
        <w:fldChar w:fldCharType="begin"/>
      </w:r>
      <w:r>
        <w:instrText xml:space="preserve"> SEQ Equation \* ARABIC </w:instrText>
      </w:r>
      <w:r>
        <w:fldChar w:fldCharType="separate"/>
      </w:r>
      <w:r w:rsidR="00F25F8C">
        <w:rPr>
          <w:noProof/>
        </w:rPr>
        <w:t>3</w:t>
      </w:r>
      <w:r>
        <w:fldChar w:fldCharType="end"/>
      </w:r>
      <w:bookmarkEnd w:id="58"/>
    </w:p>
    <w:p w14:paraId="5319BA74" w14:textId="77777777" w:rsidR="009A570F" w:rsidRPr="008E4590" w:rsidRDefault="009A570F" w:rsidP="00CE3893">
      <w:pPr>
        <w:rPr>
          <w:rFonts w:eastAsiaTheme="minorEastAsia"/>
        </w:rPr>
      </w:pPr>
      <w:r>
        <w:rPr>
          <w:b/>
          <w:i/>
        </w:rPr>
        <w:t xml:space="preserve"> </w:t>
      </w:r>
      <w:r w:rsidRPr="003F5DA8">
        <w:rPr>
          <w:rFonts w:eastAsiaTheme="minorEastAsia"/>
        </w:rPr>
        <w:t>If both T</w:t>
      </w:r>
      <w:r w:rsidRPr="003F5DA8">
        <w:rPr>
          <w:rFonts w:eastAsiaTheme="minorEastAsia"/>
          <w:vertAlign w:val="subscript"/>
        </w:rPr>
        <w:t>in</w:t>
      </w:r>
      <w:r w:rsidRPr="003F5DA8">
        <w:rPr>
          <w:rFonts w:eastAsiaTheme="minorEastAsia"/>
        </w:rPr>
        <w:t xml:space="preserve"> and T</w:t>
      </w:r>
      <w:r w:rsidRPr="003F5DA8">
        <w:rPr>
          <w:rFonts w:eastAsiaTheme="minorEastAsia"/>
          <w:vertAlign w:val="subscript"/>
        </w:rPr>
        <w:t>out</w:t>
      </w:r>
      <w:r w:rsidRPr="003F5DA8">
        <w:rPr>
          <w:rFonts w:eastAsiaTheme="minorEastAsia"/>
        </w:rPr>
        <w:t xml:space="preserve"> &lt; </w:t>
      </w:r>
      <w:r>
        <w:rPr>
          <w:rFonts w:eastAsiaTheme="minorEastAsia"/>
        </w:rPr>
        <w:t>T</w:t>
      </w:r>
      <w:r w:rsidRPr="008E4590">
        <w:rPr>
          <w:rFonts w:eastAsiaTheme="minorEastAsia"/>
          <w:vertAlign w:val="subscript"/>
        </w:rPr>
        <w:t>b</w:t>
      </w:r>
      <w:r>
        <w:rPr>
          <w:rFonts w:eastAsiaTheme="minorEastAsia"/>
        </w:rPr>
        <w:t xml:space="preserve"> </w:t>
      </w:r>
      <w:r w:rsidRPr="003F5DA8">
        <w:rPr>
          <w:rFonts w:eastAsiaTheme="minorEastAsia"/>
        </w:rPr>
        <w:t xml:space="preserve">or &gt; </w:t>
      </w:r>
      <w:r>
        <w:rPr>
          <w:rFonts w:eastAsiaTheme="minorEastAsia"/>
        </w:rPr>
        <w:t>T</w:t>
      </w:r>
      <w:r w:rsidRPr="008E4590">
        <w:rPr>
          <w:rFonts w:eastAsiaTheme="minorEastAsia"/>
          <w:vertAlign w:val="subscript"/>
        </w:rPr>
        <w:t>b</w:t>
      </w:r>
      <w:r>
        <w:rPr>
          <w:rFonts w:eastAsiaTheme="minorEastAsia"/>
        </w:rPr>
        <w:t xml:space="preserve"> (100°C for water streams)</w:t>
      </w:r>
    </w:p>
    <w:p w14:paraId="1D12E775" w14:textId="77777777" w:rsidR="009A570F" w:rsidRPr="003F5DA8" w:rsidRDefault="009A570F" w:rsidP="00CE3893">
      <w:pPr>
        <w:rPr>
          <w:rFonts w:eastAsiaTheme="minorEastAsia"/>
        </w:rPr>
      </w:pPr>
      <w:r w:rsidRPr="003F5DA8">
        <w:rPr>
          <w:rFonts w:eastAsiaTheme="minorEastAsia"/>
        </w:rPr>
        <w:t xml:space="preserve"> </w:t>
      </w:r>
      <m:oMath>
        <m:r>
          <w:rPr>
            <w:rFonts w:ascii="Cambria Math" w:eastAsiaTheme="minorEastAsia" w:hAnsi="Cambria Math"/>
          </w:rPr>
          <m:t>E</m:t>
        </m:r>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in</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out</m:t>
                </m:r>
              </m:sub>
            </m:sSub>
          </m:e>
        </m:d>
        <m:r>
          <w:rPr>
            <w:rFonts w:ascii="Cambria Math" w:hAnsi="Cambria Math"/>
          </w:rPr>
          <m:t xml:space="preserve"> ×(m×</m:t>
        </m:r>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m:t>
        </m:r>
      </m:oMath>
    </w:p>
    <w:p w14:paraId="79463BE2" w14:textId="298F5524" w:rsidR="009A570F" w:rsidRDefault="00874128" w:rsidP="00CE3893">
      <w:pPr>
        <w:pStyle w:val="Lgende"/>
        <w:jc w:val="left"/>
      </w:pPr>
      <w:bookmarkStart w:id="59" w:name="_Ref144736247"/>
      <w:r>
        <w:t>Equation</w:t>
      </w:r>
      <w:r w:rsidR="009A570F">
        <w:t xml:space="preserve"> </w:t>
      </w:r>
      <w:r>
        <w:fldChar w:fldCharType="begin"/>
      </w:r>
      <w:r>
        <w:instrText xml:space="preserve"> SEQ Equation \* ARABIC </w:instrText>
      </w:r>
      <w:r>
        <w:fldChar w:fldCharType="separate"/>
      </w:r>
      <w:r w:rsidR="00F25F8C">
        <w:rPr>
          <w:noProof/>
        </w:rPr>
        <w:t>4</w:t>
      </w:r>
      <w:r>
        <w:fldChar w:fldCharType="end"/>
      </w:r>
      <w:bookmarkEnd w:id="59"/>
    </w:p>
    <w:p w14:paraId="167438C7" w14:textId="77777777" w:rsidR="009A570F" w:rsidRPr="003F5DA8" w:rsidRDefault="009A570F" w:rsidP="00CE3893">
      <w:pPr>
        <w:rPr>
          <w:rFonts w:eastAsiaTheme="minorEastAsia"/>
        </w:rPr>
      </w:pPr>
      <w:r w:rsidRPr="003F5DA8">
        <w:t xml:space="preserve">If </w:t>
      </w:r>
      <w:r w:rsidRPr="003F5DA8">
        <w:rPr>
          <w:rFonts w:eastAsiaTheme="minorEastAsia"/>
        </w:rPr>
        <w:t>T</w:t>
      </w:r>
      <w:r w:rsidRPr="003F5DA8">
        <w:rPr>
          <w:rFonts w:eastAsiaTheme="minorEastAsia"/>
          <w:vertAlign w:val="subscript"/>
        </w:rPr>
        <w:t>in</w:t>
      </w:r>
      <w:r w:rsidRPr="003F5DA8">
        <w:rPr>
          <w:rFonts w:eastAsiaTheme="minorEastAsia"/>
        </w:rPr>
        <w:t xml:space="preserve"> &lt; </w:t>
      </w:r>
      <w:r>
        <w:rPr>
          <w:rFonts w:eastAsiaTheme="minorEastAsia"/>
        </w:rPr>
        <w:t>T</w:t>
      </w:r>
      <w:r w:rsidRPr="008E4590">
        <w:rPr>
          <w:rFonts w:eastAsiaTheme="minorEastAsia"/>
          <w:vertAlign w:val="subscript"/>
        </w:rPr>
        <w:t>b</w:t>
      </w:r>
      <w:r w:rsidRPr="003F5DA8">
        <w:rPr>
          <w:rFonts w:eastAsiaTheme="minorEastAsia"/>
        </w:rPr>
        <w:t xml:space="preserve"> and T</w:t>
      </w:r>
      <w:r w:rsidRPr="003F5DA8">
        <w:rPr>
          <w:rFonts w:eastAsiaTheme="minorEastAsia"/>
          <w:vertAlign w:val="subscript"/>
        </w:rPr>
        <w:t>out</w:t>
      </w:r>
      <w:r w:rsidRPr="003F5DA8">
        <w:rPr>
          <w:rFonts w:eastAsiaTheme="minorEastAsia"/>
        </w:rPr>
        <w:t xml:space="preserve"> &gt; </w:t>
      </w:r>
      <w:r>
        <w:rPr>
          <w:rFonts w:eastAsiaTheme="minorEastAsia"/>
        </w:rPr>
        <w:t>T</w:t>
      </w:r>
      <w:r w:rsidRPr="008E4590">
        <w:rPr>
          <w:rFonts w:eastAsiaTheme="minorEastAsia"/>
          <w:vertAlign w:val="subscript"/>
        </w:rPr>
        <w:t>b</w:t>
      </w:r>
      <w:r w:rsidRPr="003F5DA8">
        <w:rPr>
          <w:rFonts w:eastAsiaTheme="minorEastAsia"/>
        </w:rPr>
        <w:t xml:space="preserve"> (or vice versa)</w:t>
      </w:r>
    </w:p>
    <w:p w14:paraId="03B2DE86" w14:textId="77777777" w:rsidR="009A570F" w:rsidRPr="003A663A" w:rsidRDefault="009A570F" w:rsidP="00CE3893">
      <w:pPr>
        <w:rPr>
          <w:rFonts w:eastAsiaTheme="minorEastAsia"/>
        </w:rPr>
      </w:pPr>
      <m:oMathPara>
        <m:oMathParaPr>
          <m:jc m:val="left"/>
        </m:oMathParaPr>
        <m:oMath>
          <m:r>
            <w:rPr>
              <w:rFonts w:ascii="Cambria Math" w:hAnsi="Cambria Math"/>
            </w:rPr>
            <m:t>E=</m:t>
          </m:r>
          <m:d>
            <m:dPr>
              <m:ctrlPr>
                <w:rPr>
                  <w:rFonts w:ascii="Cambria Math" w:hAnsi="Cambria Math"/>
                  <w:i/>
                </w:rPr>
              </m:ctrlPr>
            </m:dPr>
            <m:e>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out</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b</m:t>
                      </m:r>
                    </m:sub>
                  </m:sSub>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p,vap</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in</m:t>
                      </m:r>
                    </m:sub>
                  </m:sSub>
                </m:e>
              </m:d>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p,liq</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vap</m:t>
                  </m:r>
                </m:sub>
              </m:sSub>
            </m:e>
          </m:d>
          <m:r>
            <w:rPr>
              <w:rFonts w:ascii="Cambria Math" w:hAnsi="Cambria Math"/>
            </w:rPr>
            <m:t>×m</m:t>
          </m:r>
        </m:oMath>
      </m:oMathPara>
    </w:p>
    <w:p w14:paraId="000F5EF3" w14:textId="77777777" w:rsidR="009A570F" w:rsidRDefault="009A570F" w:rsidP="00CE3893">
      <w:pPr>
        <w:jc w:val="both"/>
        <w:rPr>
          <w:sz w:val="18"/>
        </w:rPr>
      </w:pPr>
      <w:r w:rsidRPr="000F4F26">
        <w:rPr>
          <w:sz w:val="18"/>
        </w:rPr>
        <w:t xml:space="preserve">With E: </w:t>
      </w:r>
      <w:r>
        <w:rPr>
          <w:sz w:val="18"/>
        </w:rPr>
        <w:t>sensible</w:t>
      </w:r>
      <w:r w:rsidRPr="000F4F26">
        <w:rPr>
          <w:sz w:val="18"/>
        </w:rPr>
        <w:t xml:space="preserve"> heat (kJ); m: mass of </w:t>
      </w:r>
      <w:r>
        <w:rPr>
          <w:sz w:val="18"/>
        </w:rPr>
        <w:t>a component of the stream</w:t>
      </w:r>
      <w:r w:rsidRPr="000F4F26">
        <w:rPr>
          <w:sz w:val="18"/>
        </w:rPr>
        <w:t xml:space="preserve"> (kg); c</w:t>
      </w:r>
      <w:r w:rsidRPr="000F4F26">
        <w:rPr>
          <w:sz w:val="18"/>
          <w:vertAlign w:val="subscript"/>
        </w:rPr>
        <w:t>p</w:t>
      </w:r>
      <w:r w:rsidRPr="000F4F26">
        <w:rPr>
          <w:sz w:val="18"/>
        </w:rPr>
        <w:t xml:space="preserve">: specific heat at constant pressure of </w:t>
      </w:r>
      <w:r>
        <w:rPr>
          <w:sz w:val="18"/>
        </w:rPr>
        <w:t>the component</w:t>
      </w:r>
      <w:r w:rsidRPr="000F4F26">
        <w:rPr>
          <w:sz w:val="18"/>
        </w:rPr>
        <w:t xml:space="preserve"> (kJ.kg</w:t>
      </w:r>
      <w:r w:rsidRPr="000F4F26">
        <w:rPr>
          <w:sz w:val="18"/>
          <w:vertAlign w:val="superscript"/>
        </w:rPr>
        <w:t>-</w:t>
      </w:r>
      <w:proofErr w:type="gramStart"/>
      <w:r w:rsidRPr="000F4F26">
        <w:rPr>
          <w:sz w:val="18"/>
          <w:vertAlign w:val="superscript"/>
        </w:rPr>
        <w:t>1</w:t>
      </w:r>
      <w:r w:rsidRPr="000F4F26">
        <w:rPr>
          <w:sz w:val="18"/>
        </w:rPr>
        <w:t>.°</w:t>
      </w:r>
      <w:proofErr w:type="gramEnd"/>
      <w:r w:rsidRPr="000F4F26">
        <w:rPr>
          <w:sz w:val="18"/>
        </w:rPr>
        <w:t>C</w:t>
      </w:r>
      <w:r w:rsidRPr="000F4F26">
        <w:rPr>
          <w:sz w:val="18"/>
          <w:vertAlign w:val="superscript"/>
        </w:rPr>
        <w:t>-1</w:t>
      </w:r>
      <w:r w:rsidRPr="000F4F26">
        <w:rPr>
          <w:sz w:val="18"/>
        </w:rPr>
        <w:t>); H</w:t>
      </w:r>
      <w:r w:rsidRPr="000F4F26">
        <w:rPr>
          <w:sz w:val="18"/>
          <w:vertAlign w:val="subscript"/>
        </w:rPr>
        <w:t>vap</w:t>
      </w:r>
      <w:r w:rsidRPr="000F4F26">
        <w:rPr>
          <w:sz w:val="18"/>
        </w:rPr>
        <w:t>: latent heat of evaporation (kJ.kg</w:t>
      </w:r>
      <w:r w:rsidRPr="000F4F26">
        <w:rPr>
          <w:sz w:val="18"/>
          <w:vertAlign w:val="superscript"/>
        </w:rPr>
        <w:t>-1</w:t>
      </w:r>
      <w:r w:rsidRPr="000F4F26">
        <w:rPr>
          <w:sz w:val="18"/>
        </w:rPr>
        <w:t>)</w:t>
      </w:r>
      <w:r>
        <w:rPr>
          <w:sz w:val="18"/>
        </w:rPr>
        <w:t>, T</w:t>
      </w:r>
      <w:r w:rsidRPr="008E4590">
        <w:rPr>
          <w:sz w:val="18"/>
          <w:vertAlign w:val="subscript"/>
        </w:rPr>
        <w:t>b</w:t>
      </w:r>
      <w:r>
        <w:rPr>
          <w:sz w:val="18"/>
        </w:rPr>
        <w:t>: boiling temperature (°C)</w:t>
      </w:r>
      <w:r w:rsidRPr="000F4F26">
        <w:rPr>
          <w:sz w:val="18"/>
        </w:rPr>
        <w:t>.</w:t>
      </w:r>
    </w:p>
    <w:p w14:paraId="091F1820" w14:textId="14A49E39" w:rsidR="009A570F" w:rsidRDefault="009A570F" w:rsidP="009A570F">
      <w:pPr>
        <w:jc w:val="both"/>
      </w:pPr>
      <w:r>
        <w:t xml:space="preserve">This calculation was adapted and applied for either gas, liquid or solids, using the constants </w:t>
      </w:r>
      <w:r w:rsidRPr="000F4F26">
        <w:t>presented in</w:t>
      </w:r>
      <w:r w:rsidR="00874128">
        <w:t xml:space="preserve"> </w:t>
      </w:r>
      <w:r w:rsidR="00874128" w:rsidRPr="00874128">
        <w:rPr>
          <w:b/>
        </w:rPr>
        <w:fldChar w:fldCharType="begin"/>
      </w:r>
      <w:r w:rsidR="00874128" w:rsidRPr="00874128">
        <w:rPr>
          <w:b/>
        </w:rPr>
        <w:instrText xml:space="preserve"> REF _Ref144735982 \h </w:instrText>
      </w:r>
      <w:r w:rsidR="00874128">
        <w:rPr>
          <w:b/>
        </w:rPr>
        <w:instrText xml:space="preserve"> \* MERGEFORMAT </w:instrText>
      </w:r>
      <w:r w:rsidR="00874128" w:rsidRPr="00874128">
        <w:rPr>
          <w:b/>
        </w:rPr>
      </w:r>
      <w:r w:rsidR="00874128" w:rsidRPr="00874128">
        <w:rPr>
          <w:b/>
        </w:rPr>
        <w:fldChar w:fldCharType="separate"/>
      </w:r>
      <w:r w:rsidR="00F25F8C" w:rsidRPr="00F25F8C">
        <w:rPr>
          <w:b/>
        </w:rPr>
        <w:t xml:space="preserve">Table SI. </w:t>
      </w:r>
      <w:r w:rsidR="00F25F8C" w:rsidRPr="00F25F8C">
        <w:rPr>
          <w:b/>
          <w:noProof/>
        </w:rPr>
        <w:t>9</w:t>
      </w:r>
      <w:r w:rsidR="00874128" w:rsidRPr="00874128">
        <w:rPr>
          <w:b/>
        </w:rPr>
        <w:fldChar w:fldCharType="end"/>
      </w:r>
      <w:r w:rsidRPr="000F4F26">
        <w:t>. Average exterior temperature was considered in the whole study to be 13°C (France). This was used to calculate e.g. input air or water heating requirements, but also solid-liquid mixtures such as anaerobic</w:t>
      </w:r>
      <w:r w:rsidRPr="003F5DA8">
        <w:t xml:space="preserve"> digestion substrate. </w:t>
      </w:r>
      <w:r>
        <w:t>Heating and cooling requirements to manage exo- or endo-thermic</w:t>
      </w:r>
      <w:r w:rsidRPr="003F5DA8">
        <w:t xml:space="preserve"> reactions </w:t>
      </w:r>
      <w:r>
        <w:t>were</w:t>
      </w:r>
      <w:r w:rsidRPr="003F5DA8">
        <w:t xml:space="preserve"> </w:t>
      </w:r>
      <w:r>
        <w:t xml:space="preserve">calculated independently </w:t>
      </w:r>
      <w:r w:rsidRPr="00877BEE">
        <w:t>(</w:t>
      </w:r>
      <w:r w:rsidRPr="00877BEE">
        <w:rPr>
          <w:b/>
        </w:rPr>
        <w:t xml:space="preserve">section </w:t>
      </w:r>
      <w:r w:rsidR="00C913E1">
        <w:rPr>
          <w:b/>
        </w:rPr>
        <w:t xml:space="preserve">SI. </w:t>
      </w:r>
      <w:r w:rsidR="00877BEE" w:rsidRPr="00877BEE">
        <w:rPr>
          <w:b/>
        </w:rPr>
        <w:t>4.1.6.</w:t>
      </w:r>
      <w:r w:rsidRPr="00877BEE">
        <w:t>).</w:t>
      </w:r>
    </w:p>
    <w:p w14:paraId="54B7C490" w14:textId="77777777" w:rsidR="008359D5" w:rsidRPr="008359D5" w:rsidRDefault="008359D5" w:rsidP="00874128">
      <w:pPr>
        <w:pStyle w:val="Titre3"/>
      </w:pPr>
      <w:bookmarkStart w:id="60" w:name="_Toc145069104"/>
      <w:r w:rsidRPr="008359D5">
        <w:t>Combustion enthalpy potential estimation</w:t>
      </w:r>
      <w:bookmarkEnd w:id="60"/>
    </w:p>
    <w:p w14:paraId="28FCBCC1" w14:textId="011E1639" w:rsidR="008359D5" w:rsidRPr="000F4F26" w:rsidRDefault="008359D5" w:rsidP="008359D5">
      <w:pPr>
        <w:jc w:val="both"/>
      </w:pPr>
      <w:r>
        <w:t xml:space="preserve">The combustion enthalpy of all the substances involved in biorefinery operations were estimated based on their higher heating value (HHV), with </w:t>
      </w:r>
      <w:r w:rsidRPr="000F4F26">
        <w:t xml:space="preserve">the </w:t>
      </w:r>
      <w:r w:rsidR="00020DF2" w:rsidRPr="00020DF2">
        <w:rPr>
          <w:b/>
        </w:rPr>
        <w:fldChar w:fldCharType="begin"/>
      </w:r>
      <w:r w:rsidR="00020DF2" w:rsidRPr="00020DF2">
        <w:rPr>
          <w:b/>
        </w:rPr>
        <w:instrText xml:space="preserve"> REF _Ref144736445 \h </w:instrText>
      </w:r>
      <w:r w:rsidR="00020DF2">
        <w:rPr>
          <w:b/>
        </w:rPr>
        <w:instrText xml:space="preserve"> \* MERGEFORMAT </w:instrText>
      </w:r>
      <w:r w:rsidR="00020DF2" w:rsidRPr="00020DF2">
        <w:rPr>
          <w:b/>
        </w:rPr>
      </w:r>
      <w:r w:rsidR="00020DF2" w:rsidRPr="00020DF2">
        <w:rPr>
          <w:b/>
        </w:rPr>
        <w:fldChar w:fldCharType="separate"/>
      </w:r>
      <w:r w:rsidR="00F25F8C" w:rsidRPr="00F25F8C">
        <w:rPr>
          <w:b/>
        </w:rPr>
        <w:t xml:space="preserve">Equation </w:t>
      </w:r>
      <w:r w:rsidR="00F25F8C" w:rsidRPr="00F25F8C">
        <w:rPr>
          <w:b/>
          <w:noProof/>
        </w:rPr>
        <w:t>5</w:t>
      </w:r>
      <w:r w:rsidR="00020DF2" w:rsidRPr="00020DF2">
        <w:rPr>
          <w:b/>
        </w:rPr>
        <w:fldChar w:fldCharType="end"/>
      </w:r>
      <w:r w:rsidRPr="000F4F26">
        <w:t>.</w:t>
      </w:r>
    </w:p>
    <w:p w14:paraId="02E1F5EF" w14:textId="33FBA6C3" w:rsidR="008359D5" w:rsidRDefault="00874128" w:rsidP="00CE3893">
      <w:pPr>
        <w:pStyle w:val="Lgende"/>
        <w:jc w:val="left"/>
      </w:pPr>
      <w:bookmarkStart w:id="61" w:name="_Ref144736445"/>
      <w:r>
        <w:t>Equation</w:t>
      </w:r>
      <w:r w:rsidR="008359D5">
        <w:t xml:space="preserve"> </w:t>
      </w:r>
      <w:r>
        <w:fldChar w:fldCharType="begin"/>
      </w:r>
      <w:r>
        <w:instrText xml:space="preserve"> SEQ Equation \* ARABIC </w:instrText>
      </w:r>
      <w:r>
        <w:fldChar w:fldCharType="separate"/>
      </w:r>
      <w:r w:rsidR="00F25F8C">
        <w:rPr>
          <w:noProof/>
        </w:rPr>
        <w:t>5</w:t>
      </w:r>
      <w:r>
        <w:fldChar w:fldCharType="end"/>
      </w:r>
      <w:bookmarkEnd w:id="61"/>
    </w:p>
    <w:p w14:paraId="31A47FAE" w14:textId="77777777" w:rsidR="008359D5" w:rsidRPr="008E4590" w:rsidRDefault="008359D5" w:rsidP="00CE3893">
      <w:pPr>
        <w:rPr>
          <w:lang w:eastAsia="ko-KR"/>
        </w:rPr>
      </w:pPr>
      <w:r>
        <w:rPr>
          <w:lang w:eastAsia="ko-KR"/>
        </w:rPr>
        <w:t>For a stream composed of i components (i.e. fractions)</w:t>
      </w:r>
    </w:p>
    <w:p w14:paraId="0EC31659" w14:textId="77777777" w:rsidR="008359D5" w:rsidRPr="003A663A" w:rsidRDefault="00827449" w:rsidP="00CE3893">
      <m:oMathPara>
        <m:oMathParaPr>
          <m:jc m:val="left"/>
        </m:oMathParaPr>
        <m:oMath>
          <m:sSub>
            <m:sSubPr>
              <m:ctrlPr>
                <w:rPr>
                  <w:rFonts w:ascii="Cambria Math" w:hAnsi="Cambria Math"/>
                  <w:i/>
                </w:rPr>
              </m:ctrlPr>
            </m:sSubPr>
            <m:e>
              <m:r>
                <w:rPr>
                  <w:rFonts w:ascii="Cambria Math" w:hAnsi="Cambria Math"/>
                </w:rPr>
                <m:t>E</m:t>
              </m:r>
            </m:e>
            <m:sub>
              <m:r>
                <w:rPr>
                  <w:rFonts w:ascii="Cambria Math" w:hAnsi="Cambria Math"/>
                </w:rPr>
                <m:t>HHV</m:t>
              </m:r>
            </m:sub>
          </m:sSub>
          <m:r>
            <w:rPr>
              <w:rFonts w:ascii="Cambria Math" w:hAnsi="Cambria Math"/>
            </w:rPr>
            <m:t>=</m:t>
          </m:r>
          <m:nary>
            <m:naryPr>
              <m:chr m:val="∑"/>
              <m:limLoc m:val="subSup"/>
              <m:supHide m:val="1"/>
              <m:ctrlPr>
                <w:rPr>
                  <w:rFonts w:ascii="Cambria Math" w:hAnsi="Cambria Math"/>
                  <w:i/>
                </w:rPr>
              </m:ctrlPr>
            </m:naryPr>
            <m:sub>
              <m:r>
                <w:rPr>
                  <w:rFonts w:ascii="Cambria Math" w:hAnsi="Cambria Math"/>
                </w:rPr>
                <m:t>i</m:t>
              </m:r>
            </m:sub>
            <m:sup/>
            <m:e>
              <m:d>
                <m:dPr>
                  <m:ctrlPr>
                    <w:rPr>
                      <w:rFonts w:ascii="Cambria Math" w:hAnsi="Cambria Math"/>
                      <w:i/>
                    </w:rPr>
                  </m:ctrlPr>
                </m:dPr>
                <m:e>
                  <m:sSub>
                    <m:sSubPr>
                      <m:ctrlPr>
                        <w:rPr>
                          <w:rFonts w:ascii="Cambria Math" w:hAnsi="Cambria Math"/>
                          <w:i/>
                        </w:rPr>
                      </m:ctrlPr>
                    </m:sSubPr>
                    <m:e>
                      <m:r>
                        <w:rPr>
                          <w:rFonts w:ascii="Cambria Math" w:hAnsi="Cambria Math"/>
                        </w:rPr>
                        <m:t>m</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HHV,  i</m:t>
                      </m:r>
                    </m:sub>
                  </m:sSub>
                </m:e>
              </m:d>
            </m:e>
          </m:nary>
          <m:r>
            <w:rPr>
              <w:rFonts w:ascii="Cambria Math" w:hAnsi="Cambria Math"/>
            </w:rPr>
            <m:t xml:space="preserve"> </m:t>
          </m:r>
        </m:oMath>
      </m:oMathPara>
    </w:p>
    <w:p w14:paraId="6D3D2088" w14:textId="261B4D91" w:rsidR="008359D5" w:rsidRPr="000F4F26" w:rsidRDefault="008359D5" w:rsidP="00CE3893">
      <w:pPr>
        <w:jc w:val="both"/>
        <w:rPr>
          <w:sz w:val="18"/>
        </w:rPr>
      </w:pPr>
      <w:r w:rsidRPr="000F4F26">
        <w:rPr>
          <w:sz w:val="18"/>
        </w:rPr>
        <w:t>With E</w:t>
      </w:r>
      <w:r w:rsidRPr="000F4F26">
        <w:rPr>
          <w:sz w:val="18"/>
          <w:vertAlign w:val="subscript"/>
        </w:rPr>
        <w:t>HHV</w:t>
      </w:r>
      <w:r w:rsidRPr="000F4F26">
        <w:rPr>
          <w:sz w:val="18"/>
        </w:rPr>
        <w:t>: higher heating value of the studied substance (MJ); m</w:t>
      </w:r>
      <w:r w:rsidRPr="000F4F26">
        <w:rPr>
          <w:sz w:val="18"/>
          <w:vertAlign w:val="subscript"/>
        </w:rPr>
        <w:t>i</w:t>
      </w:r>
      <w:r w:rsidRPr="000F4F26">
        <w:rPr>
          <w:sz w:val="18"/>
        </w:rPr>
        <w:t xml:space="preserve">: mass of fraction i (kg); </w:t>
      </w:r>
      <w:proofErr w:type="gramStart"/>
      <w:r w:rsidRPr="000F4F26">
        <w:rPr>
          <w:sz w:val="18"/>
        </w:rPr>
        <w:t>E</w:t>
      </w:r>
      <w:r w:rsidRPr="000F4F26">
        <w:rPr>
          <w:sz w:val="18"/>
          <w:vertAlign w:val="subscript"/>
        </w:rPr>
        <w:t>HHV,i</w:t>
      </w:r>
      <w:proofErr w:type="gramEnd"/>
      <w:r w:rsidRPr="000F4F26">
        <w:rPr>
          <w:sz w:val="18"/>
        </w:rPr>
        <w:t>: higher heating value of fraction i (MJ.kg</w:t>
      </w:r>
      <w:r w:rsidRPr="000F4F26">
        <w:rPr>
          <w:sz w:val="18"/>
          <w:vertAlign w:val="superscript"/>
        </w:rPr>
        <w:t>-1</w:t>
      </w:r>
      <w:r w:rsidRPr="000F4F26">
        <w:rPr>
          <w:sz w:val="18"/>
        </w:rPr>
        <w:t>), see</w:t>
      </w:r>
      <w:r w:rsidR="00020DF2">
        <w:rPr>
          <w:sz w:val="18"/>
        </w:rPr>
        <w:t xml:space="preserve"> </w:t>
      </w:r>
      <w:r w:rsidR="00020DF2" w:rsidRPr="00020DF2">
        <w:rPr>
          <w:b/>
          <w:sz w:val="18"/>
          <w:szCs w:val="18"/>
        </w:rPr>
        <w:fldChar w:fldCharType="begin"/>
      </w:r>
      <w:r w:rsidR="00020DF2" w:rsidRPr="00020DF2">
        <w:rPr>
          <w:b/>
          <w:sz w:val="18"/>
          <w:szCs w:val="18"/>
        </w:rPr>
        <w:instrText xml:space="preserve"> REF _Ref144735982 \h  \* MERGEFORMAT </w:instrText>
      </w:r>
      <w:r w:rsidR="00020DF2" w:rsidRPr="00020DF2">
        <w:rPr>
          <w:b/>
          <w:sz w:val="18"/>
          <w:szCs w:val="18"/>
        </w:rPr>
      </w:r>
      <w:r w:rsidR="00020DF2" w:rsidRPr="00020DF2">
        <w:rPr>
          <w:b/>
          <w:sz w:val="18"/>
          <w:szCs w:val="18"/>
        </w:rPr>
        <w:fldChar w:fldCharType="separate"/>
      </w:r>
      <w:r w:rsidR="00F25F8C" w:rsidRPr="00F25F8C">
        <w:rPr>
          <w:b/>
          <w:sz w:val="18"/>
          <w:szCs w:val="18"/>
        </w:rPr>
        <w:t xml:space="preserve">Table SI. </w:t>
      </w:r>
      <w:r w:rsidR="00F25F8C" w:rsidRPr="00F25F8C">
        <w:rPr>
          <w:b/>
          <w:noProof/>
          <w:sz w:val="18"/>
          <w:szCs w:val="18"/>
        </w:rPr>
        <w:t>9</w:t>
      </w:r>
      <w:r w:rsidR="00020DF2" w:rsidRPr="00020DF2">
        <w:rPr>
          <w:b/>
          <w:sz w:val="18"/>
          <w:szCs w:val="18"/>
        </w:rPr>
        <w:fldChar w:fldCharType="end"/>
      </w:r>
      <w:r w:rsidRPr="00020DF2">
        <w:rPr>
          <w:sz w:val="18"/>
          <w:szCs w:val="18"/>
        </w:rPr>
        <w:t>.</w:t>
      </w:r>
    </w:p>
    <w:p w14:paraId="691933EB" w14:textId="77777777" w:rsidR="008359D5" w:rsidRPr="008359D5" w:rsidRDefault="008359D5" w:rsidP="00020DF2">
      <w:pPr>
        <w:pStyle w:val="Titre3"/>
      </w:pPr>
      <w:bookmarkStart w:id="62" w:name="_Ref144807454"/>
      <w:bookmarkStart w:id="63" w:name="_Toc145069105"/>
      <w:r w:rsidRPr="008359D5">
        <w:lastRenderedPageBreak/>
        <w:t>Heat recovery modeling</w:t>
      </w:r>
      <w:bookmarkEnd w:id="62"/>
      <w:bookmarkEnd w:id="63"/>
    </w:p>
    <w:p w14:paraId="06E9B297" w14:textId="77777777" w:rsidR="008359D5" w:rsidRPr="003F5DA8" w:rsidRDefault="008359D5" w:rsidP="008359D5">
      <w:pPr>
        <w:ind w:firstLine="360"/>
        <w:jc w:val="both"/>
      </w:pPr>
      <w:r w:rsidRPr="003F5DA8">
        <w:t xml:space="preserve">Retained pathways involve processes both demanding and generating heat, under various form. Albeit direct heat synergies were already integrated in the models, excess heat to manage remains for some unit operations. It includes (i) </w:t>
      </w:r>
      <w:r>
        <w:t>sensible</w:t>
      </w:r>
      <w:r w:rsidRPr="003F5DA8">
        <w:t xml:space="preserve"> gas and liquid heat to evacuate, (ii) heat regulation during exothermic processes and (iii) co-products energy valorization (through combustion). </w:t>
      </w:r>
    </w:p>
    <w:p w14:paraId="4E74F3C4" w14:textId="77777777" w:rsidR="008359D5" w:rsidRPr="008359D5" w:rsidRDefault="008359D5" w:rsidP="00020DF2">
      <w:pPr>
        <w:pStyle w:val="Titre4"/>
      </w:pPr>
      <w:r w:rsidRPr="008359D5">
        <w:t>Waste heat recovery modeling</w:t>
      </w:r>
    </w:p>
    <w:p w14:paraId="77B886C8" w14:textId="77777777" w:rsidR="008359D5" w:rsidRPr="003F5DA8" w:rsidRDefault="008359D5" w:rsidP="008359D5">
      <w:pPr>
        <w:jc w:val="both"/>
      </w:pPr>
      <w:r>
        <w:t>Sensible</w:t>
      </w:r>
      <w:r w:rsidRPr="003F5DA8">
        <w:t xml:space="preserve"> gas and liquid heat evacuation (i) and heat regulation of exothermic processes (ii) are usually achieved through cooling (passive or active) combined or not with waste heat recovery (WHR) systems. When reported as technically possible in the literature, WHR systems were considered in this study. However, an exhaustive review of WHR techniques application potential and performances was out of the present scope. The objective of this paragraph is only to provide the basis on which the WHR modeling assumptions were derived. </w:t>
      </w:r>
    </w:p>
    <w:p w14:paraId="7D17AC06" w14:textId="36A260FD" w:rsidR="008359D5" w:rsidRPr="003F5DA8" w:rsidRDefault="008359D5" w:rsidP="008359D5">
      <w:pPr>
        <w:jc w:val="both"/>
      </w:pPr>
      <w:r w:rsidRPr="003F5DA8">
        <w:t>WHR potential and practical implementation depends mainly on the quality, volume, temperature and form of the heat source</w:t>
      </w:r>
      <w:r w:rsidRPr="003F5DA8">
        <w:fldChar w:fldCharType="begin"/>
      </w:r>
      <w:r w:rsidR="008C451C">
        <w:instrText xml:space="preserve"> ADDIN ZOTERO_ITEM CSL_CITATION {"citationID":"NHirw16t","properties":{"formattedCitation":"\\super 28\\nosupersub{}","plainCitation":"28","noteIndex":0},"citationItems":[{"id":13196,"uris":["http://zotero.org/users/6423791/items/5B2TDCT4"],"itemData":{"id":13196,"type":"article-journal","abstract":"Industrial waste heat is the energy that is generated in industrial processes which is not put into any practical use and is lost, wasted and dumped into the environment. Recovering the waste heat can be conducted through various waste heat recovery technologies to provide valuable energy sources and reduce the overall energy consumption. In this paper, a comprehensive review is made of waste heat recovery methodologies and state of the art technologies used for industrial processes. By considering the heat recovery opportunities for energy optimisation in the steel and iron, food, and ceramic industries, a revision of the current practices and procedures is assessed. The research is conducted on the operation and performance of the commonly used technologies such as recuperators, regenerators, including furnace regenerators and rotary regenerators or heat wheels, passive air preheaters, regenerative and recuperative burners, plate heat exchangers and economisers and units such as waste heat boilers and run around coil (RAC). Techniques are considered such as direct contact condensation recovery, indirect contact condensation recovery, transport membrane condensation and the use of units such as heat pumps, heat recovery steam generators (HRSGs), heat pipe systems, Organic Rankine cycles, including the Kalina cycle, that recover and exchange waste heat with potential energy content. Furthermore, the uses of new emerging technologies for direct heat to power conversion such as thermoelectric, piezoelectric, thermionic, and thermo photo voltaic (TPV) power generation techniques are also explored and reviewed. In this regard, the functionality of all technologies and usage of each technique with respect to their advantages and disadvantages is evaluated and described.","container-title":"Thermal Science and Engineering Progress","DOI":"10.1016/j.tsep.2018.04.017","ISSN":"2451-9049","journalAbbreviation":"Thermal Science and Engineering Progress","language":"en","page":"268-289","source":"ScienceDirect","title":"Waste heat recovery technologies and applications","volume":"6","author":[{"family":"Jouhara","given":"Hussam"},{"family":"Khordehgah","given":"Navid"},{"family":"Almahmoud","given":"Sulaiman"},{"family":"Delpech","given":"Bertrand"},{"family":"Chauhan","given":"Amisha"},{"family":"Tassou","given":"Savvas A."}],"issued":{"date-parts":[["2018",6,1]]}}}],"schema":"https://github.com/citation-style-language/schema/raw/master/csl-citation.json"} </w:instrText>
      </w:r>
      <w:r w:rsidRPr="003F5DA8">
        <w:fldChar w:fldCharType="separate"/>
      </w:r>
      <w:r w:rsidR="008C451C" w:rsidRPr="008C451C">
        <w:rPr>
          <w:rFonts w:ascii="Calibri" w:hAnsi="Calibri" w:cs="Calibri"/>
          <w:szCs w:val="24"/>
          <w:vertAlign w:val="superscript"/>
        </w:rPr>
        <w:t>28</w:t>
      </w:r>
      <w:r w:rsidRPr="003F5DA8">
        <w:fldChar w:fldCharType="end"/>
      </w:r>
      <w:r w:rsidRPr="003F5DA8">
        <w:t>. For example, for mid-high temperatures (ca. &gt;600°C), WHR systems are usually based on passive techniques (e.g. heat exchanger surfaces, waste heat boilers to generate steam) but the harsh conditions imply specific materials and dispositions generating significant extra-CAPEX and maintenance requirements (pros and cons discussed in e.g. Table 2 of Vance et al., 2019</w:t>
      </w:r>
      <w:r w:rsidRPr="003F5DA8">
        <w:fldChar w:fldCharType="begin"/>
      </w:r>
      <w:r w:rsidR="008C451C">
        <w:instrText xml:space="preserve"> ADDIN ZOTERO_ITEM CSL_CITATION {"citationID":"Y8hQoqet","properties":{"formattedCitation":"\\super 29\\nosupersub{}","plainCitation":"29","noteIndex":0},"citationItems":[{"id":13223,"uris":["http://zotero.org/users/6423791/items/UMBIGV9P"],"itemData":{"id":13223,"type":"article-journal","abstract":"This paper discusses the industrial potential for waste heat recovery (WHR) in harsh environments – defined as a waste heat stream having either a temperature of at least 650 °C or containing reactive constituents that complicate heat recovery. The analysis covers five industries (steel, aluminum, glass, cement, and lime), chosen based on volume of production, discharge of exhaust gases containing components that present harsh environments, possibility of recovering considerably more heat than currently recovered, and current lack of acceptable WHR options. The total potential energy savings identified in harsh environment waste heat streams from these industries is equal to 15.4% (113.6 TWh) of the process heat energy lost in U.S. manufacturing. Existing technologies and materials for these industries are evaluated and the recoverable waste heat from harsh environment gas for each industrial sector is estimated. Finally, an in-depth summary of each waste heat source shows exactly where waste heat can be recovered and what specific issues must be addressed. The most potential lies within steel blast furnaces (46 TWh/year). Other waste heat streams considered include steel electric arc furnaces (14.1 TWh/year), flat glass (3.6 TWh/year), container glass (5.7 TWh/year), glass fiber (1.1 TWh/year), specialty glass (2.2 TWh/year), aluminum melting furnaces (4.7 TWh/year), cement (17.1 TWh/year), and lime (10.5 TWh/year). Although attempts to recover waste heat in harsh environments have been mostly unsuccessful, advances in research and technology could unlock an enormous potential for energy and cost savings.","container-title":"Journal of Cleaner Production","DOI":"10.1016/j.jclepro.2019.03.011","ISSN":"0959-6526","journalAbbreviation":"J Clean Prod","language":"en","page":"539-549","source":"ScienceDirect","title":"Estimation of and barriers to waste heat recovery from harsh environments in industrial processes","volume":"222","author":[{"family":"Vance","given":"David"},{"family":"Nimbalkar","given":"Sachin"},{"family":"Thekdi","given":"Arvind"},{"family":"Armstrong","given":"Kristina"},{"family":"Wenning","given":"Thomas"},{"family":"Cresko","given":"Joseph"},{"family":"Jin","given":"Mingzhou"}],"issued":{"date-parts":[["2019",6,10]]}}}],"schema":"https://github.com/citation-style-language/schema/raw/master/csl-citation.json"} </w:instrText>
      </w:r>
      <w:r w:rsidRPr="003F5DA8">
        <w:fldChar w:fldCharType="separate"/>
      </w:r>
      <w:r w:rsidR="008C451C" w:rsidRPr="008C451C">
        <w:rPr>
          <w:rFonts w:ascii="Calibri" w:hAnsi="Calibri" w:cs="Calibri"/>
          <w:szCs w:val="24"/>
          <w:vertAlign w:val="superscript"/>
        </w:rPr>
        <w:t>29</w:t>
      </w:r>
      <w:r w:rsidRPr="003F5DA8">
        <w:fldChar w:fldCharType="end"/>
      </w:r>
      <w:r w:rsidRPr="003F5DA8">
        <w:t xml:space="preserve"> and Table 1 of Jouhara et al., 2018</w:t>
      </w:r>
      <w:r w:rsidRPr="003F5DA8">
        <w:fldChar w:fldCharType="begin"/>
      </w:r>
      <w:r w:rsidR="008C451C">
        <w:instrText xml:space="preserve"> ADDIN ZOTERO_ITEM CSL_CITATION {"citationID":"d6CBCONx","properties":{"formattedCitation":"\\super 28\\nosupersub{}","plainCitation":"28","noteIndex":0},"citationItems":[{"id":13196,"uris":["http://zotero.org/users/6423791/items/5B2TDCT4"],"itemData":{"id":13196,"type":"article-journal","abstract":"Industrial waste heat is the energy that is generated in industrial processes which is not put into any practical use and is lost, wasted and dumped into the environment. Recovering the waste heat can be conducted through various waste heat recovery technologies to provide valuable energy sources and reduce the overall energy consumption. In this paper, a comprehensive review is made of waste heat recovery methodologies and state of the art technologies used for industrial processes. By considering the heat recovery opportunities for energy optimisation in the steel and iron, food, and ceramic industries, a revision of the current practices and procedures is assessed. The research is conducted on the operation and performance of the commonly used technologies such as recuperators, regenerators, including furnace regenerators and rotary regenerators or heat wheels, passive air preheaters, regenerative and recuperative burners, plate heat exchangers and economisers and units such as waste heat boilers and run around coil (RAC). Techniques are considered such as direct contact condensation recovery, indirect contact condensation recovery, transport membrane condensation and the use of units such as heat pumps, heat recovery steam generators (HRSGs), heat pipe systems, Organic Rankine cycles, including the Kalina cycle, that recover and exchange waste heat with potential energy content. Furthermore, the uses of new emerging technologies for direct heat to power conversion such as thermoelectric, piezoelectric, thermionic, and thermo photo voltaic (TPV) power generation techniques are also explored and reviewed. In this regard, the functionality of all technologies and usage of each technique with respect to their advantages and disadvantages is evaluated and described.","container-title":"Thermal Science and Engineering Progress","DOI":"10.1016/j.tsep.2018.04.017","ISSN":"2451-9049","journalAbbreviation":"Thermal Science and Engineering Progress","language":"en","page":"268-289","source":"ScienceDirect","title":"Waste heat recovery technologies and applications","volume":"6","author":[{"family":"Jouhara","given":"Hussam"},{"family":"Khordehgah","given":"Navid"},{"family":"Almahmoud","given":"Sulaiman"},{"family":"Delpech","given":"Bertrand"},{"family":"Chauhan","given":"Amisha"},{"family":"Tassou","given":"Savvas A."}],"issued":{"date-parts":[["2018",6,1]]}}}],"schema":"https://github.com/citation-style-language/schema/raw/master/csl-citation.json"} </w:instrText>
      </w:r>
      <w:r w:rsidRPr="003F5DA8">
        <w:fldChar w:fldCharType="separate"/>
      </w:r>
      <w:r w:rsidR="008C451C" w:rsidRPr="008C451C">
        <w:rPr>
          <w:rFonts w:ascii="Calibri" w:hAnsi="Calibri" w:cs="Calibri"/>
          <w:szCs w:val="24"/>
          <w:vertAlign w:val="superscript"/>
        </w:rPr>
        <w:t>28</w:t>
      </w:r>
      <w:r w:rsidRPr="003F5DA8">
        <w:fldChar w:fldCharType="end"/>
      </w:r>
      <w:r>
        <w:t>)</w:t>
      </w:r>
      <w:r w:rsidRPr="003F5DA8">
        <w:t xml:space="preserve">. On the other hand, for low temperature heat (ca. &lt;60°C), WHR system are less efficient (due to lower </w:t>
      </w:r>
      <w:r>
        <w:t>temperature gradient</w:t>
      </w:r>
      <w:r w:rsidRPr="003F5DA8">
        <w:t>) and are rather based on active technologies (e.g. heat pumps requiring pumping and compression of an intermediary agent</w:t>
      </w:r>
      <w:r w:rsidRPr="003F5DA8">
        <w:fldChar w:fldCharType="begin"/>
      </w:r>
      <w:r w:rsidR="008C451C">
        <w:instrText xml:space="preserve"> ADDIN ZOTERO_ITEM CSL_CITATION {"citationID":"kHXyLLuH","properties":{"formattedCitation":"\\super 28,30\\nosupersub{}","plainCitation":"28,30","noteIndex":0},"citationItems":[{"id":13185,"uris":["http://zotero.org/users/6423791/items/ASBVABFU"],"itemData":{"id":13185,"type":"article-journal","abstract":"Thermal energy loss in the process industry is a significant issue due to the high temperatures and multiple heat intensive processes involved. High-grade thermal energy is typically recovered within processes. However, lower grade heat is often rejected to the environment. The benefits of capturing and utilising low grade thermal energy are highly dependent on the qualities and properties of the heat in the waste streams. The temperature of the low grade heat stream is the most important parameter, as the effective use of the residual heat or the efficiency of energy recovery from the low grade heat sources will mainly depend on the temperature difference between the source and a suitable sink, e.g. another process or space heating/cooling. In general, the temperatures of these waste heat sources are too low to produce electricity and direct heat use will depend on whether potential user can be found. This paper presents past and current drivers for heat recovery studies. High and low grade heat sources are defined according to the viability of recovery within the processes. Firstly, high grade heat capture within the processes is reviewed. Then, the focus is on the potential for low grade heat capture outside of the original plant. The paper addresses the potential for low grade heat recovery with regard to new incentives and technological advances. Finally, different aspects which influence the decision making for low grade heat recovery in the process industry are discussed. It is concluded that organisational, financial and economic barriers might be overcome and benefits from a holistic vision could be gained with stronger governmental policy and regulation incentives.","collection-title":"Special issue on Thermal Energy Management in the Process Industries","container-title":"Applied Energy","DOI":"10.1016/j.apenergy.2011.06.003","ISSN":"0306-2619","issue":"1","journalAbbreviation":"Applied Energy","language":"en","page":"3-20","source":"ScienceDirect","title":"Low grade thermal energy sources and uses from the process industry in the UK","volume":"89","author":[{"family":"Ammar","given":"Yasmine"},{"family":"Joyce","given":"Sharon"},{"family":"Norman","given":"Rosemary"},{"family":"Wang","given":"Yaodong"},{"family":"Roskilly","given":"Anthony P."}],"issued":{"date-parts":[["2012",1,1]]}}},{"id":13196,"uris":["http://zotero.org/users/6423791/items/5B2TDCT4"],"itemData":{"id":13196,"type":"article-journal","abstract":"Industrial waste heat is the energy that is generated in industrial processes which is not put into any practical use and is lost, wasted and dumped into the environment. Recovering the waste heat can be conducted through various waste heat recovery technologies to provide valuable energy sources and reduce the overall energy consumption. In this paper, a comprehensive review is made of waste heat recovery methodologies and state of the art technologies used for industrial processes. By considering the heat recovery opportunities for energy optimisation in the steel and iron, food, and ceramic industries, a revision of the current practices and procedures is assessed. The research is conducted on the operation and performance of the commonly used technologies such as recuperators, regenerators, including furnace regenerators and rotary regenerators or heat wheels, passive air preheaters, regenerative and recuperative burners, plate heat exchangers and economisers and units such as waste heat boilers and run around coil (RAC). Techniques are considered such as direct contact condensation recovery, indirect contact condensation recovery, transport membrane condensation and the use of units such as heat pumps, heat recovery steam generators (HRSGs), heat pipe systems, Organic Rankine cycles, including the Kalina cycle, that recover and exchange waste heat with potential energy content. Furthermore, the uses of new emerging technologies for direct heat to power conversion such as thermoelectric, piezoelectric, thermionic, and thermo photo voltaic (TPV) power generation techniques are also explored and reviewed. In this regard, the functionality of all technologies and usage of each technique with respect to their advantages and disadvantages is evaluated and described.","container-title":"Thermal Science and Engineering Progress","DOI":"10.1016/j.tsep.2018.04.017","ISSN":"2451-9049","journalAbbreviation":"Thermal Science and Engineering Progress","language":"en","page":"268-289","source":"ScienceDirect","title":"Waste heat recovery technologies and applications","volume":"6","author":[{"family":"Jouhara","given":"Hussam"},{"family":"Khordehgah","given":"Navid"},{"family":"Almahmoud","given":"Sulaiman"},{"family":"Delpech","given":"Bertrand"},{"family":"Chauhan","given":"Amisha"},{"family":"Tassou","given":"Savvas A."}],"issued":{"date-parts":[["2018",6,1]]}}}],"schema":"https://github.com/citation-style-language/schema/raw/master/csl-citation.json"} </w:instrText>
      </w:r>
      <w:r w:rsidRPr="003F5DA8">
        <w:fldChar w:fldCharType="separate"/>
      </w:r>
      <w:r w:rsidR="008C451C" w:rsidRPr="008C451C">
        <w:rPr>
          <w:rFonts w:ascii="Calibri" w:hAnsi="Calibri" w:cs="Calibri"/>
          <w:szCs w:val="24"/>
          <w:vertAlign w:val="superscript"/>
        </w:rPr>
        <w:t>28,30</w:t>
      </w:r>
      <w:r w:rsidRPr="003F5DA8">
        <w:fldChar w:fldCharType="end"/>
      </w:r>
      <w:r w:rsidRPr="003F5DA8">
        <w:t xml:space="preserve">). </w:t>
      </w:r>
    </w:p>
    <w:p w14:paraId="102F6EAC" w14:textId="6844F4EF" w:rsidR="008359D5" w:rsidRPr="003F5DA8" w:rsidRDefault="008359D5" w:rsidP="008359D5">
      <w:pPr>
        <w:jc w:val="both"/>
      </w:pPr>
      <w:r w:rsidRPr="003F5DA8">
        <w:t>Therefore, similarly considered in Marami et al., 2022</w:t>
      </w:r>
      <w:r w:rsidRPr="003F5DA8">
        <w:fldChar w:fldCharType="begin"/>
      </w:r>
      <w:r w:rsidR="008C451C">
        <w:instrText xml:space="preserve"> ADDIN ZOTERO_ITEM CSL_CITATION {"citationID":"VRFeoEUp","properties":{"formattedCitation":"\\super 31\\nosupersub{}","plainCitation":"31","noteIndex":0},"citationItems":[{"id":13120,"uris":["http://zotero.org/users/6423791/items/5MY5B6KQ"],"itemData":{"id":13120,"type":"article-journal","abstract":"Wastewater treatment plants (WWTP) have extensive energy processes that undermine their economic and environmental performance. In this context, the integration of wastewater treatment with other biochemical processes such as co-digestion of sludge with organic wastes, and production of value-added products at their downstream processes will shift conventional WWTPs into biorefinery platforms with better sustainability performance. The sustainability of such a biorefinery platform has been investigated herein using economic and life cycle assessment approach. This WWTP-based biorefinery treats wastewater from Copenhagen municipality, co-digests the source sorted organic fraction of municipal solid waste and sludge, and upgrades biogas into biomethane using hydrogen-assisted upgrading method. Apart from bioenergy, this biorefinery also produces microbial protein (MP) using recovered nutrients from WWTP's reject water. The net environmental savings achieved in two damage categories, i.e., −1.07E−02 species.yr/FU in ecosystem quality and −1.68E+06 USD/FU in resource scarcity damage categories along with high potential windows for the further environmental profile improvements make this biorefinery platform so encouraging. Despite being promising in terms of environmental performance, the high capital expenditure and low gross profit have undermined the economic performance of the proposed biorefinery. Technological improvements, process optimization, and encouraging incentives/subsidies are still needed to make this platform economically feasible.","container-title":"Water Science and Technology","DOI":"10.2166/wst.2022.096","ISSN":"0273-1223","journalAbbreviation":"Water Science and Technology","page":"wst2022096","source":"Silverchair","title":"Going beyond conventional wastewater treatment plants within circular bioeconomy concept – a sustainability assessment study","author":[{"family":"Marami","given":"Hadis"},{"family":"Tsapekos","given":"Panagiotis"},{"family":"Khoshnevisan","given":"Benyamin"},{"family":"Madsen","given":"Jeanette Agertved"},{"family":"Andersen","given":"Jacob Kragh"},{"family":"Rafiee","given":"Shahin"},{"family":"Angelidaki","given":"Irini"}],"issued":{"date-parts":[["2022",3,18]]}}}],"schema":"https://github.com/citation-style-language/schema/raw/master/csl-citation.json"} </w:instrText>
      </w:r>
      <w:r w:rsidRPr="003F5DA8">
        <w:fldChar w:fldCharType="separate"/>
      </w:r>
      <w:r w:rsidR="008C451C" w:rsidRPr="008C451C">
        <w:rPr>
          <w:rFonts w:ascii="Calibri" w:hAnsi="Calibri" w:cs="Calibri"/>
          <w:szCs w:val="24"/>
          <w:vertAlign w:val="superscript"/>
        </w:rPr>
        <w:t>31</w:t>
      </w:r>
      <w:r w:rsidRPr="003F5DA8">
        <w:fldChar w:fldCharType="end"/>
      </w:r>
      <w:r w:rsidRPr="003F5DA8">
        <w:t>, two heat ranges were defined for WHR: LT (low-temperature; &lt;100°C) and HT (high-temperature; &gt;100°C). 100°C was selected as generally considered as the temperature threshold to use common (i.e. mechanically-driven) heat pumps</w:t>
      </w:r>
      <w:r w:rsidRPr="003F5DA8">
        <w:fldChar w:fldCharType="begin"/>
      </w:r>
      <w:r w:rsidR="008C451C">
        <w:instrText xml:space="preserve"> ADDIN ZOTERO_ITEM CSL_CITATION {"citationID":"uIVbU9Aa","properties":{"formattedCitation":"\\super 32,33\\nosupersub{}","plainCitation":"32,33","noteIndex":0},"citationItems":[{"id":13228,"uris":["http://zotero.org/users/6423791/items/Q63ABCYB"],"itemData":{"id":13228,"type":"report","language":"fr","page":"35","source":"Zotero","title":"Première analyse du potentiel technique d’électrification des procédés industriels thermiques par des technologies matures","URL":"https://www.ceren.fr/download/4824/","author":[{"literal":"ADEME"},{"family":"Millet","given":"Bruno"},{"family":"Monnet","given":"Antoine"},{"family":"Siragusano","given":"Tindaro"}],"issued":{"date-parts":[["2020"]]}}},{"id":13182,"uris":["http://zotero.org/users/6423791/items/537KCNH4"],"itemData":{"id":13182,"type":"article-journal","abstract":"In this paper, the potential of industrial waste heat for heating and cooling applications is investigated. Therefore, heat transformation technologies are presented and their technical and economic potential are discussed. First, different industrial processes and their operating temperatures are presented as possible waste heat sources as well as low temperature processes, which can be supplied with waste heat. Then, a general economic analysis is performed for three different cases of waste heat use: an absorption chiller producing cold and heat production with a compression and an absorption heat pump. The maximum acceptable investment cost for each technology is estimated and compared with the current investment cost depending on the operating hours of the system. For this, three different consumer types, Enthusiast, Real Estate and Industry, are defined to represent different expectations in interest rate, payback period and the resulting annuity factor. Instead of judging if a technology is profitable or not, it is calculated how much the system is allowed to cost in order to be competitive for certain operating hours. Combined with present day cost of the technology, this serves as a rough judgment of the market deployment process. Finally, a sensitivity analysis of the initial assumptions for the economic analysis is performed, revealing a strong influence of the annuity factor. For the present day technology cost, absorption chillers were found to be profitable for two of the three consumer types when operated for at least 2500h per year. Electric heat pumps are profitable for all consumer types when exceeding 4000operating hours per year while absorption heat pumps start at 3000h of operation per year to be profitable for all consumer types.","container-title":"Applied Energy","DOI":"10.1016/j.apenergy.2015.01.147","ISSN":"0306-2619","journalAbbreviation":"Applied Energy","language":"en","page":"157-167","source":"ScienceDirect","title":"Industrial waste heat recovery technologies: An economic analysis of heat transformation technologies","title-short":"Industrial waste heat recovery technologies","volume":"151","author":[{"family":"Brückner","given":"Sarah"},{"family":"Liu","given":"Selina"},{"family":"Miró","given":"Laia"},{"family":"Radspieler","given":"Michael"},{"family":"Cabeza","given":"Luisa F."},{"family":"Lävemann","given":"Eberhard"}],"issued":{"date-parts":[["2015",8,1]]}}}],"schema":"https://github.com/citation-style-language/schema/raw/master/csl-citation.json"} </w:instrText>
      </w:r>
      <w:r w:rsidRPr="003F5DA8">
        <w:fldChar w:fldCharType="separate"/>
      </w:r>
      <w:r w:rsidR="008C451C" w:rsidRPr="008C451C">
        <w:rPr>
          <w:rFonts w:ascii="Calibri" w:hAnsi="Calibri" w:cs="Calibri"/>
          <w:szCs w:val="24"/>
          <w:vertAlign w:val="superscript"/>
        </w:rPr>
        <w:t>32,33</w:t>
      </w:r>
      <w:r w:rsidRPr="003F5DA8">
        <w:fldChar w:fldCharType="end"/>
      </w:r>
      <w:r w:rsidRPr="003F5DA8">
        <w:t>. HT is usually subdivided in groups corresponding to specific technologies</w:t>
      </w:r>
      <w:r w:rsidRPr="003F5DA8">
        <w:fldChar w:fldCharType="begin"/>
      </w:r>
      <w:r w:rsidR="008C451C">
        <w:instrText xml:space="preserve"> ADDIN ZOTERO_ITEM CSL_CITATION {"citationID":"2ulzqsVH","properties":{"formattedCitation":"\\super 29\\nosupersub{}","plainCitation":"29","noteIndex":0},"citationItems":[{"id":13223,"uris":["http://zotero.org/users/6423791/items/UMBIGV9P"],"itemData":{"id":13223,"type":"article-journal","abstract":"This paper discusses the industrial potential for waste heat recovery (WHR) in harsh environments – defined as a waste heat stream having either a temperature of at least 650 °C or containing reactive constituents that complicate heat recovery. The analysis covers five industries (steel, aluminum, glass, cement, and lime), chosen based on volume of production, discharge of exhaust gases containing components that present harsh environments, possibility of recovering considerably more heat than currently recovered, and current lack of acceptable WHR options. The total potential energy savings identified in harsh environment waste heat streams from these industries is equal to 15.4% (113.6 TWh) of the process heat energy lost in U.S. manufacturing. Existing technologies and materials for these industries are evaluated and the recoverable waste heat from harsh environment gas for each industrial sector is estimated. Finally, an in-depth summary of each waste heat source shows exactly where waste heat can be recovered and what specific issues must be addressed. The most potential lies within steel blast furnaces (46 TWh/year). Other waste heat streams considered include steel electric arc furnaces (14.1 TWh/year), flat glass (3.6 TWh/year), container glass (5.7 TWh/year), glass fiber (1.1 TWh/year), specialty glass (2.2 TWh/year), aluminum melting furnaces (4.7 TWh/year), cement (17.1 TWh/year), and lime (10.5 TWh/year). Although attempts to recover waste heat in harsh environments have been mostly unsuccessful, advances in research and technology could unlock an enormous potential for energy and cost savings.","container-title":"Journal of Cleaner Production","DOI":"10.1016/j.jclepro.2019.03.011","ISSN":"0959-6526","journalAbbreviation":"J Clean Prod","language":"en","page":"539-549","source":"ScienceDirect","title":"Estimation of and barriers to waste heat recovery from harsh environments in industrial processes","volume":"222","author":[{"family":"Vance","given":"David"},{"family":"Nimbalkar","given":"Sachin"},{"family":"Thekdi","given":"Arvind"},{"family":"Armstrong","given":"Kristina"},{"family":"Wenning","given":"Thomas"},{"family":"Cresko","given":"Joseph"},{"family":"Jin","given":"Mingzhou"}],"issued":{"date-parts":[["2019",6,10]]}}}],"schema":"https://github.com/citation-style-language/schema/raw/master/csl-citation.json"} </w:instrText>
      </w:r>
      <w:r w:rsidRPr="003F5DA8">
        <w:fldChar w:fldCharType="separate"/>
      </w:r>
      <w:r w:rsidR="008C451C" w:rsidRPr="008C451C">
        <w:rPr>
          <w:rFonts w:ascii="Calibri" w:hAnsi="Calibri" w:cs="Calibri"/>
          <w:szCs w:val="24"/>
          <w:vertAlign w:val="superscript"/>
        </w:rPr>
        <w:t>29</w:t>
      </w:r>
      <w:r w:rsidRPr="003F5DA8">
        <w:fldChar w:fldCharType="end"/>
      </w:r>
      <w:r w:rsidRPr="003F5DA8">
        <w:t>, but to simplify HT was here considered as one single group. Separation of LT and HT was also done because LT and HT heat markets are different (</w:t>
      </w:r>
      <w:r w:rsidRPr="000F4F26">
        <w:t xml:space="preserve">see </w:t>
      </w:r>
      <w:r w:rsidR="00020DF2">
        <w:rPr>
          <w:b/>
        </w:rPr>
        <w:t xml:space="preserve">SI </w:t>
      </w:r>
      <w:r w:rsidR="00020DF2" w:rsidRPr="00877BEE">
        <w:t xml:space="preserve">of </w:t>
      </w:r>
      <w:r w:rsidR="00877BEE">
        <w:t xml:space="preserve">Javourez </w:t>
      </w:r>
      <w:r w:rsidR="00877BEE" w:rsidRPr="003A663A">
        <w:t>et al., 202</w:t>
      </w:r>
      <w:r w:rsidR="003A663A" w:rsidRPr="003A663A">
        <w:t>4</w:t>
      </w:r>
      <w:r w:rsidR="00877BEE" w:rsidRPr="003A663A">
        <w:fldChar w:fldCharType="begin"/>
      </w:r>
      <w:r w:rsidR="00827449">
        <w:instrText xml:space="preserve"> ADDIN ZOTERO_ITEM CSL_CITATION {"citationID":"a17s55cgggb","properties":{"formattedCitation":"\\super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877BEE" w:rsidRPr="003A663A">
        <w:fldChar w:fldCharType="separate"/>
      </w:r>
      <w:r w:rsidR="008C451C" w:rsidRPr="003A663A">
        <w:rPr>
          <w:rFonts w:ascii="Calibri" w:hAnsi="Calibri" w:cs="Calibri"/>
          <w:szCs w:val="24"/>
          <w:vertAlign w:val="superscript"/>
        </w:rPr>
        <w:t>1</w:t>
      </w:r>
      <w:r w:rsidR="00877BEE" w:rsidRPr="003A663A">
        <w:fldChar w:fldCharType="end"/>
      </w:r>
      <w:r w:rsidRPr="003A663A">
        <w:t>).</w:t>
      </w:r>
    </w:p>
    <w:p w14:paraId="06B58625" w14:textId="3D56DD33" w:rsidR="008359D5" w:rsidRPr="003F5DA8" w:rsidRDefault="008359D5" w:rsidP="008359D5">
      <w:pPr>
        <w:jc w:val="both"/>
      </w:pPr>
      <w:r w:rsidRPr="003F5DA8">
        <w:t>Additionally, albeit WHR-to-electricity systems are reported (e.g. Rankine cycles</w:t>
      </w:r>
      <w:r w:rsidRPr="003F5DA8">
        <w:fldChar w:fldCharType="begin"/>
      </w:r>
      <w:r w:rsidR="008C451C">
        <w:instrText xml:space="preserve"> ADDIN ZOTERO_ITEM CSL_CITATION {"citationID":"3TSvQBrb","properties":{"formattedCitation":"\\super 34\\nosupersub{}","plainCitation":"34","noteIndex":0},"citationItems":[{"id":13194,"uris":["http://zotero.org/users/6423791/items/73JWMDX3"],"itemData":{"id":13194,"type":"article-journal","abstract":"Organic Rankine Cycle (ORC) is a technology with important opportunities in heat recovery from energy intensive industrial processes. This paper represents the first comprehensive estimate of ORC units that can be installed in cement, steel, glass and oil&amp;gas industries in the 27 countries of the European Union based on an accurate methodology related to real plants in operation or under construction. An evaluation of energy savings, depending on the number of operating hours per year and of the consequent decrease in CO2 emission and electricity expenditure, is also provided. The study, carried out in the framework of an European research project on heat recovery in energy intensive industries, found that, in the most convenient considered scenario, up to about 20,000GWh of thermal energy per year can be recovered and 7.6M ton of CO2 can be saved by the application of ORC technology to the investigated and most promising industrial sectors.","container-title":"Energy Conversion and Management","DOI":"10.1016/j.enconman.2013.07.041","ISSN":"0196-8904","journalAbbreviation":"Energy Conversion and Management","language":"en","page":"244-252","source":"ScienceDirect","title":"ORC waste heat recovery in European energy intensive industries: Energy and GHG savings","title-short":"ORC waste heat recovery in European energy intensive industries","volume":"76","author":[{"family":"Campana","given":"F."},{"family":"Bianchi","given":"M."},{"family":"Branchini","given":"L."},{"family":"De Pascale","given":"A."},{"family":"Peretto","given":"A."},{"family":"Baresi","given":"M."},{"family":"Fermi","given":"A."},{"family":"Rossetti","given":"N."},{"family":"Vescovo","given":"R."}],"issued":{"date-parts":[["2013",12,1]]}}}],"schema":"https://github.com/citation-style-language/schema/raw/master/csl-citation.json"} </w:instrText>
      </w:r>
      <w:r w:rsidRPr="003F5DA8">
        <w:fldChar w:fldCharType="separate"/>
      </w:r>
      <w:r w:rsidR="008C451C" w:rsidRPr="008C451C">
        <w:rPr>
          <w:rFonts w:ascii="Calibri" w:hAnsi="Calibri" w:cs="Calibri"/>
          <w:szCs w:val="24"/>
          <w:vertAlign w:val="superscript"/>
        </w:rPr>
        <w:t>34</w:t>
      </w:r>
      <w:r w:rsidRPr="003F5DA8">
        <w:fldChar w:fldCharType="end"/>
      </w:r>
      <w:r w:rsidRPr="003F5DA8">
        <w:t xml:space="preserve">), only WHR supplying a heating service </w:t>
      </w:r>
      <w:r>
        <w:t>was</w:t>
      </w:r>
      <w:r w:rsidRPr="003F5DA8">
        <w:t xml:space="preserve"> considered here. This is because, regardless of France deployment context, marginal electricity mix is less environmentally-intensive than marginal HT heat mix (</w:t>
      </w:r>
      <w:r w:rsidR="00020DF2">
        <w:rPr>
          <w:b/>
        </w:rPr>
        <w:t xml:space="preserve">SI </w:t>
      </w:r>
      <w:r w:rsidR="00877BEE" w:rsidRPr="00877BEE">
        <w:t xml:space="preserve">of </w:t>
      </w:r>
      <w:r w:rsidR="00877BEE">
        <w:t>Javourez et al</w:t>
      </w:r>
      <w:r w:rsidR="00877BEE" w:rsidRPr="003A663A">
        <w:t>., 202</w:t>
      </w:r>
      <w:r w:rsidR="003A663A" w:rsidRPr="003A663A">
        <w:t>4</w:t>
      </w:r>
      <w:r w:rsidR="00877BEE" w:rsidRPr="003A663A">
        <w:fldChar w:fldCharType="begin"/>
      </w:r>
      <w:r w:rsidR="00827449">
        <w:instrText xml:space="preserve"> ADDIN ZOTERO_ITEM CSL_CITATION {"citationID":"Bg0ViIYT","properties":{"formattedCitation":"\\super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877BEE" w:rsidRPr="003A663A">
        <w:fldChar w:fldCharType="separate"/>
      </w:r>
      <w:r w:rsidR="008C451C" w:rsidRPr="003A663A">
        <w:rPr>
          <w:rFonts w:ascii="Calibri" w:hAnsi="Calibri" w:cs="Calibri"/>
          <w:szCs w:val="24"/>
          <w:vertAlign w:val="superscript"/>
        </w:rPr>
        <w:t>1</w:t>
      </w:r>
      <w:r w:rsidR="00877BEE" w:rsidRPr="003A663A">
        <w:fldChar w:fldCharType="end"/>
      </w:r>
      <w:r w:rsidRPr="003A663A">
        <w:t>) on</w:t>
      </w:r>
      <w:r>
        <w:t xml:space="preserve"> an energy basis</w:t>
      </w:r>
      <w:r w:rsidRPr="003F5DA8">
        <w:t xml:space="preserve">. No infrastructure nor spare parts specific to WHR systems were considered in this study, likely a limitation to be considered in future works. </w:t>
      </w:r>
    </w:p>
    <w:p w14:paraId="7CE7DBC1" w14:textId="77777777" w:rsidR="008359D5" w:rsidRPr="00877BEE" w:rsidRDefault="008359D5" w:rsidP="00877BEE">
      <w:pPr>
        <w:pStyle w:val="Titre5"/>
      </w:pPr>
      <w:r w:rsidRPr="00877BEE">
        <w:t>High-temperature waste heat recovery (HT WHR) modeling</w:t>
      </w:r>
    </w:p>
    <w:p w14:paraId="65E682A8" w14:textId="1F0B4580" w:rsidR="008359D5" w:rsidRPr="002A0A9E" w:rsidRDefault="008359D5" w:rsidP="008359D5">
      <w:pPr>
        <w:jc w:val="both"/>
        <w:rPr>
          <w:lang w:val="fr-FR"/>
        </w:rPr>
      </w:pPr>
      <w:r w:rsidRPr="003F5DA8">
        <w:t xml:space="preserve">To model </w:t>
      </w:r>
      <w:r w:rsidRPr="000F4F26">
        <w:t>HT WHR, only passive systems were considered, neglecting any extra energy needed. This choice was made because, even for the lower range of HT (&lt;200°C), techniques such as absorption heat pumps already achieve a coefficient of performance (COP) higher than 40</w:t>
      </w:r>
      <w:r w:rsidRPr="000F4F26">
        <w:fldChar w:fldCharType="begin"/>
      </w:r>
      <w:r w:rsidR="008C451C">
        <w:instrText xml:space="preserve"> ADDIN ZOTERO_ITEM CSL_CITATION {"citationID":"QQBk4Qb6","properties":{"formattedCitation":"\\super 33\\nosupersub{}","plainCitation":"33","noteIndex":0},"citationItems":[{"id":13182,"uris":["http://zotero.org/users/6423791/items/537KCNH4"],"itemData":{"id":13182,"type":"article-journal","abstract":"In this paper, the potential of industrial waste heat for heating and cooling applications is investigated. Therefore, heat transformation technologies are presented and their technical and economic potential are discussed. First, different industrial processes and their operating temperatures are presented as possible waste heat sources as well as low temperature processes, which can be supplied with waste heat. Then, a general economic analysis is performed for three different cases of waste heat use: an absorption chiller producing cold and heat production with a compression and an absorption heat pump. The maximum acceptable investment cost for each technology is estimated and compared with the current investment cost depending on the operating hours of the system. For this, three different consumer types, Enthusiast, Real Estate and Industry, are defined to represent different expectations in interest rate, payback period and the resulting annuity factor. Instead of judging if a technology is profitable or not, it is calculated how much the system is allowed to cost in order to be competitive for certain operating hours. Combined with present day cost of the technology, this serves as a rough judgment of the market deployment process. Finally, a sensitivity analysis of the initial assumptions for the economic analysis is performed, revealing a strong influence of the annuity factor. For the present day technology cost, absorption chillers were found to be profitable for two of the three consumer types when operated for at least 2500h per year. Electric heat pumps are profitable for all consumer types when exceeding 4000operating hours per year while absorption heat pumps start at 3000h of operation per year to be profitable for all consumer types.","container-title":"Applied Energy","DOI":"10.1016/j.apenergy.2015.01.147","ISSN":"0306-2619","journalAbbreviation":"Applied Energy","language":"en","page":"157-167","source":"ScienceDirect","title":"Industrial waste heat recovery technologies: An economic analysis of heat transformation technologies","title-short":"Industrial waste heat recovery technologies","volume":"151","author":[{"family":"Brückner","given":"Sarah"},{"family":"Liu","given":"Selina"},{"family":"Miró","given":"Laia"},{"family":"Radspieler","given":"Michael"},{"family":"Cabeza","given":"Luisa F."},{"family":"Lävemann","given":"Eberhard"}],"issued":{"date-parts":[["2015",8,1]]}}}],"schema":"https://github.com/citation-style-language/schema/raw/master/csl-citation.json"} </w:instrText>
      </w:r>
      <w:r w:rsidRPr="000F4F26">
        <w:fldChar w:fldCharType="separate"/>
      </w:r>
      <w:r w:rsidR="008C451C" w:rsidRPr="008C451C">
        <w:rPr>
          <w:rFonts w:ascii="Calibri" w:hAnsi="Calibri" w:cs="Calibri"/>
          <w:szCs w:val="24"/>
          <w:vertAlign w:val="superscript"/>
        </w:rPr>
        <w:t>33</w:t>
      </w:r>
      <w:r w:rsidRPr="000F4F26">
        <w:fldChar w:fldCharType="end"/>
      </w:r>
      <w:r w:rsidRPr="000F4F26">
        <w:t xml:space="preserve">. It means that the useful heat generated is 40 times higher than the extra-energy required by the WHR system. The share of HT </w:t>
      </w:r>
      <w:r>
        <w:t>heat streams</w:t>
      </w:r>
      <w:r w:rsidRPr="000F4F26">
        <w:t xml:space="preserve"> effectively recoverable with WHR systems highly differs among the assessments. Seck et al ., 2013</w:t>
      </w:r>
      <w:r w:rsidRPr="000F4F26">
        <w:fldChar w:fldCharType="begin"/>
      </w:r>
      <w:r w:rsidR="008C451C">
        <w:instrText xml:space="preserve"> ADDIN ZOTERO_ITEM CSL_CITATION {"citationID":"OiyzwcCH","properties":{"formattedCitation":"\\super 35\\nosupersub{}","plainCitation":"35","noteIndex":0},"citationItems":[{"id":13195,"uris":["http://zotero.org/users/6423791/items/4K2FA4ET"],"itemData":{"id":13195,"type":"article-journal","abstract":"Rising energy prices and environmental impacts inevitably encourage industrials to get involved in promoting energy efficiency and emissions reductions. To achieve this goal, we have developed the first detailed bottom-up energy model for Non-Energy Intensive industry (NEI) to study its global energy efficiency and the potential for CO2 emissions reduction at a 4-digit level of NACE classification. The latter, which is generally neglected in energy analyses, is expected to play an important role in reducing industry energy intensity in the long term due to its economic and energy significance and relatively high growth rate. In this paper, the modelling of NEI is done by energy end-use owing to the unsuitability of the end-product/process approach used in the Energy Intensive industry modelling. As an example, we analysed the impact of heat recovery with heat pumps (HP) on industrial processes up to 2020 on energy savings and CO2 emissions reductions in the French food &amp; drink industry (F&amp;D), the biggest NEI sector. The results showed HP could be an excellent and very promising energy recovery technology. For further detailed analysis, the depiction of HP investment cost payments is given per temperature range for each F&amp;D subsector. This model constitutes a useful decision-making tool for assessing potential energy savings from investing in efficient technologies at the highest level of disaggregation, as well as a better subsectoral screening.","container-title":"Applied Energy","DOI":"10.1016/j.apenergy.2013.05.035","ISSN":"0306-2619","journalAbbreviation":"Applied Energy","language":"en","page":"489-504","source":"ScienceDirect","title":"Heat recovery with heat pumps in non-energy intensive industry: A detailed bottom-up model analysis in the French food &amp; drink industry","title-short":"Heat recovery with heat pumps in non-energy intensive industry","volume":"111","author":[{"family":"Seck","given":"Gondia Sokhna"},{"family":"Guerassimoff","given":"Gilles"},{"family":"Maïzi","given":"Nadia"}],"issued":{"date-parts":[["2013",11,1]]}}}],"schema":"https://github.com/citation-style-language/schema/raw/master/csl-citation.json"} </w:instrText>
      </w:r>
      <w:r w:rsidRPr="000F4F26">
        <w:fldChar w:fldCharType="separate"/>
      </w:r>
      <w:r w:rsidR="008C451C" w:rsidRPr="008C451C">
        <w:rPr>
          <w:rFonts w:ascii="Calibri" w:hAnsi="Calibri" w:cs="Calibri"/>
          <w:szCs w:val="24"/>
          <w:vertAlign w:val="superscript"/>
        </w:rPr>
        <w:t>35</w:t>
      </w:r>
      <w:r w:rsidRPr="000F4F26">
        <w:fldChar w:fldCharType="end"/>
      </w:r>
      <w:r w:rsidRPr="000F4F26">
        <w:t xml:space="preserve"> estimated that a 70% WHR rate is achievable for the food industry, while McKenna et Norman, 2010</w:t>
      </w:r>
      <w:r w:rsidRPr="000F4F26">
        <w:fldChar w:fldCharType="begin"/>
      </w:r>
      <w:r w:rsidR="008C451C">
        <w:instrText xml:space="preserve"> ADDIN ZOTERO_ITEM CSL_CITATION {"citationID":"9Pbkfols","properties":{"formattedCitation":"\\super 36\\nosupersub{}","plainCitation":"36","noteIndex":0},"citationItems":[{"id":13191,"uris":["http://zotero.org/users/6423791/items/6U6T5CIP"],"itemData":{"id":13191,"type":"article-journal","abstract":"This paper presents a spatial model of industrial heat loads and technical recovery potentials in the UK, by recourse to energetic and exergetic analysis methods. The aims were to categorise heat users into broad temperature bands; quantify heat usage and wastage at different temperatures; and to estimate the technical potential for heat recovery based on current technologies (whilst ignoring spatial and temporal constraints). The main data source was the UK National Allocation Plan for the EU Emissions Trading Scheme, supplemented by capacity/output and specific energy consumption data for certain heterogeneous sectors. Around 60% of industry has been covered in terms of energy use, and 90% of energy-intensive sectors. The total annual heat use for these sectors was estimated at 650PJ, with technically feasible annual savings in the region 36–71PJ. This is in agreement with the only extant estimates for heat recovery from industrial processes, which are 65 and 144PJ, respectively.","collection-title":"The socio-economic transition towards a hydrogen economy - findings from European research, with regular papers","container-title":"Energy Policy","DOI":"10.1016/j.enpol.2010.05.042","ISSN":"0301-4215","issue":"10","journalAbbreviation":"Energy Policy","language":"en","page":"5878-5891","source":"ScienceDirect","title":"Spatial modelling of industrial heat loads and recovery potentials in the UK","volume":"38","author":[{"family":"McKenna","given":"R. C."},{"family":"Norman","given":"J. B."}],"issued":{"date-parts":[["2010",10,1]]}}}],"schema":"https://github.com/citation-style-language/schema/raw/master/csl-citation.json"} </w:instrText>
      </w:r>
      <w:r w:rsidRPr="000F4F26">
        <w:fldChar w:fldCharType="separate"/>
      </w:r>
      <w:r w:rsidR="008C451C" w:rsidRPr="008C451C">
        <w:rPr>
          <w:rFonts w:ascii="Calibri" w:hAnsi="Calibri" w:cs="Calibri"/>
          <w:szCs w:val="24"/>
          <w:vertAlign w:val="superscript"/>
        </w:rPr>
        <w:t>36</w:t>
      </w:r>
      <w:r w:rsidRPr="000F4F26">
        <w:fldChar w:fldCharType="end"/>
      </w:r>
      <w:r w:rsidRPr="000F4F26">
        <w:t xml:space="preserve"> and Zuberi et al., 2018</w:t>
      </w:r>
      <w:r w:rsidRPr="000F4F26">
        <w:fldChar w:fldCharType="begin"/>
      </w:r>
      <w:r w:rsidR="008C451C">
        <w:instrText xml:space="preserve"> ADDIN ZOTERO_ITEM CSL_CITATION {"citationID":"L35CirVJ","properties":{"formattedCitation":"\\super 37\\nosupersub{}","plainCitation":"37","noteIndex":0},"citationItems":[{"id":13229,"uris":["http://zotero.org/users/6423791/items/WRH9WMKD"],"itemData":{"id":13229,"type":"article-journal","abstract":"Typically, 70% of the total final energy demand in the industry sector is used for process heat. A substantial share of this energy could be provided by excess heat recovery. This study evaluates the techno-economic excess heat recovery potential in the Swiss industry through exergy and energy analysis and provides an overview of the spatial distribution of the potential by temperature level. The specific costs and payback periods of excess heat recovery are analyzed by conventional and new measures, as well as the overall costs of sector-wide excess heat recovery. The overall mean energy and exergy efficiencies of the Swiss industry sector are estimated to be 61% and 27%, respectively. The total amount of potentially recoverable excess heat is estimated at 14 PJ per year, i.e. 12% of the total final energy and 24% of the total process heat demand of Swiss industry in 2016. However, the economic potential amounts to only 5% and 10% if a payback period of 3 and 4 years is assumed, respectively. Long payback times of heat recovery measures and a high percentage of low-quality and small heat streams were the most important barriers to energy efficiency improvement in Swiss industry. Furthermore, 30–40% of the steam demand in Swiss industry could be provided from excess heat in an economically viable manner, if all excess heat available at temperatures below 80 °C was utilized for steam generation using low pressure evaporation, vapor compression, and high temperature heat pump techniques. The results and the data provided in this study can be adapted to other regions of the world and can serve as a base for conducting more comprehensive analyses and formulating more effective policies.","container-title":"Applied Energy","DOI":"10.1016/j.apenergy.2018.06.070","ISSN":"0306-2619","journalAbbreviation":"Applied Energy","language":"en","page":"390-408","source":"ScienceDirect","title":"Excess heat recovery: An invisible energy resource for the Swiss industry sector","title-short":"Excess heat recovery","volume":"228","author":[{"family":"Zuberi","given":"M. Jibran S."},{"family":"Bless","given":"Frédéric"},{"family":"Chambers","given":"Jonathan"},{"family":"Arpagaus","given":"Cordin"},{"family":"Bertsch","given":"Stefan S."},{"family":"Patel","given":"Martin K."}],"issued":{"date-parts":[["2018",10,15]]}}}],"schema":"https://github.com/citation-style-language/schema/raw/master/csl-citation.json"} </w:instrText>
      </w:r>
      <w:r w:rsidRPr="000F4F26">
        <w:fldChar w:fldCharType="separate"/>
      </w:r>
      <w:r w:rsidR="008C451C" w:rsidRPr="008C451C">
        <w:rPr>
          <w:rFonts w:ascii="Calibri" w:hAnsi="Calibri" w:cs="Calibri"/>
          <w:szCs w:val="24"/>
          <w:vertAlign w:val="superscript"/>
        </w:rPr>
        <w:t>37</w:t>
      </w:r>
      <w:r w:rsidRPr="000F4F26">
        <w:fldChar w:fldCharType="end"/>
      </w:r>
      <w:r w:rsidRPr="000F4F26">
        <w:t xml:space="preserve"> considered that the technically achievable WHR rate for the industry sector in respectively United Kingdoms and Switzerland was 50% and 60% (based on expert judgments). Jouhara et al., 2018</w:t>
      </w:r>
      <w:r w:rsidRPr="000F4F26">
        <w:fldChar w:fldCharType="begin"/>
      </w:r>
      <w:r w:rsidR="008C451C">
        <w:instrText xml:space="preserve"> ADDIN ZOTERO_ITEM CSL_CITATION {"citationID":"3IgttVnZ","properties":{"formattedCitation":"\\super 28\\nosupersub{}","plainCitation":"28","noteIndex":0},"citationItems":[{"id":13196,"uris":["http://zotero.org/users/6423791/items/5B2TDCT4"],"itemData":{"id":13196,"type":"article-journal","abstract":"Industrial waste heat is the energy that is generated in industrial processes which is not put into any practical use and is lost, wasted and dumped into the environment. Recovering the waste heat can be conducted through various waste heat recovery technologies to provide valuable energy sources and reduce the overall energy consumption. In this paper, a comprehensive review is made of waste heat recovery methodologies and state of the art technologies used for industrial processes. By considering the heat recovery opportunities for energy optimisation in the steel and iron, food, and ceramic industries, a revision of the current practices and procedures is assessed. The research is conducted on the operation and performance of the commonly used technologies such as recuperators, regenerators, including furnace regenerators and rotary regenerators or heat wheels, passive air preheaters, regenerative and recuperative burners, plate heat exchangers and economisers and units such as waste heat boilers and run around coil (RAC). Techniques are considered such as direct contact condensation recovery, indirect contact condensation recovery, transport membrane condensation and the use of units such as heat pumps, heat recovery steam generators (HRSGs), heat pipe systems, Organic Rankine cycles, including the Kalina cycle, that recover and exchange waste heat with potential energy content. Furthermore, the uses of new emerging technologies for direct heat to power conversion such as thermoelectric, piezoelectric, thermionic, and thermo photo voltaic (TPV) power generation techniques are also explored and reviewed. In this regard, the functionality of all technologies and usage of each technique with respect to their advantages and disadvantages is evaluated and described.","container-title":"Thermal Science and Engineering Progress","DOI":"10.1016/j.tsep.2018.04.017","ISSN":"2451-9049","journalAbbreviation":"Thermal Science and Engineering Progress","language":"en","page":"268-289","source":"ScienceDirect","title":"Waste heat recovery technologies and applications","volume":"6","author":[{"family":"Jouhara","given":"Hussam"},{"family":"Khordehgah","given":"Navid"},{"family":"Almahmoud","given":"Sulaiman"},{"family":"Delpech","given":"Bertrand"},{"family":"Chauhan","given":"Amisha"},{"family":"Tassou","given":"Savvas A."}],"issued":{"date-parts":[["2018",6,1]]}}}],"schema":"https://github.com/citation-style-language/schema/raw/master/csl-citation.json"} </w:instrText>
      </w:r>
      <w:r w:rsidRPr="000F4F26">
        <w:fldChar w:fldCharType="separate"/>
      </w:r>
      <w:r w:rsidR="008C451C" w:rsidRPr="008C451C">
        <w:rPr>
          <w:rFonts w:ascii="Calibri" w:hAnsi="Calibri" w:cs="Calibri"/>
          <w:szCs w:val="24"/>
          <w:vertAlign w:val="superscript"/>
        </w:rPr>
        <w:t>28</w:t>
      </w:r>
      <w:r w:rsidRPr="000F4F26">
        <w:fldChar w:fldCharType="end"/>
      </w:r>
      <w:r w:rsidRPr="000F4F26">
        <w:t xml:space="preserve"> reviewed WHR rates ranging (40-70%) depending on context and technologies, which could be theoretically increased towards 80-85% (Table 2 of the reference). Passive WHR systems yielding ca. 80% are indeed already reported in the literature (e.g. heat pipe heat </w:t>
      </w:r>
      <w:r w:rsidRPr="000F4F26">
        <w:lastRenderedPageBreak/>
        <w:t>exchangers</w:t>
      </w:r>
      <w:r w:rsidRPr="000F4F26">
        <w:fldChar w:fldCharType="begin"/>
      </w:r>
      <w:r w:rsidR="008C451C">
        <w:instrText xml:space="preserve"> ADDIN ZOTERO_ITEM CSL_CITATION {"citationID":"NmmW7hcO","properties":{"formattedCitation":"\\super 38\\nosupersub{}","plainCitation":"38","noteIndex":0},"citationItems":[{"id":13189,"uris":["http://zotero.org/users/6423791/items/IMJAFWDM"],"itemData":{"id":13189,"type":"article-journal","abstract":"This paper investigates the application of heat-pipe based heat exchanger for improving the energy efficiency of industrial processes. In particular, the case of the ceramic industry is addressed and the potential heat recovery and reduction of fuel consumption is determined. A theoretical model is constructed based on the established, proven performance characteristics of heat-pipe technologies and the performance of the ceramic process are calculated using numerical simulation. The results of the kiln numerical model are then combined to the theoretical model of the heat-pipe based heat exchanger and the heat recovery potential is evaluated as well as the reduction of fuel consumption. The combined theoretical and numerical approach demonstrates that the application of the heat pipes based heat exchanger to the cooling stack of the ceramic kiln enables to recover more than 863 MWh of thermal energy that can be us</w:instrText>
      </w:r>
      <w:r w:rsidR="008C451C" w:rsidRPr="00297685">
        <w:rPr>
          <w:lang w:val="fr-FR"/>
        </w:rPr>
        <w:instrText>ed for heating up the hot air stream of the pre-kiln dryer. Thus, approximately 110,600 Sm3 per year of natural gas can be saved from the burners powering t</w:instrText>
      </w:r>
      <w:r w:rsidR="008C451C" w:rsidRPr="00B64EB5">
        <w:rPr>
          <w:lang w:val="fr-FR"/>
        </w:rPr>
        <w:instrText xml:space="preserve">he dryer and the emission of 164 tonnes per year of carbon dioxide can be avoided. Additionally, the avoided cost due to the fuel consumption reduction amounts to more than 22,000 Euro per year. These figures support the application of the heat pipes based heat recovery to the ceramic process from the viewpoint of the improvement the energy efficiency and environmental impact and also of the economic investment.","container-title":"Energy","DOI":"10.1016/j.energy.2018.06.041","ISSN":"0360-5442","journalAbbreviation":"Energy","language":"en","page":"656-665","source":"ScienceDirect","title":"Energy efficiency enhancement and waste heat recovery in industrial processes by means of the heat pipe technology: Case of the ceramic industry","title-short":"Energy efficiency enhancement and waste heat recovery in industrial processes by means of the heat pipe technology","volume":"158","author":[{"family":"Delpech","given":"Bertrand"},{"family":"Milani","given":"Massimo"},{"family":"Montorsi","given":"Luca"},{"family":"Boscardin","given":"Davide"},{"family":"Chauhan","given":"Amisha"},{"family":"Almahmoud","given":"Sulaiman"},{"family":"Axcell","given":"Brian"},{"family":"Jouhara","given":"Hussam"}],"issued":{"date-parts":[["2018",9,1]]}}}],"schema":"https://github.com/citation-style-language/schema/raw/master/csl-citation.json"} </w:instrText>
      </w:r>
      <w:r w:rsidRPr="000F4F26">
        <w:fldChar w:fldCharType="separate"/>
      </w:r>
      <w:r w:rsidR="008C451C" w:rsidRPr="00B64EB5">
        <w:rPr>
          <w:rFonts w:ascii="Calibri" w:hAnsi="Calibri" w:cs="Calibri"/>
          <w:szCs w:val="24"/>
          <w:vertAlign w:val="superscript"/>
          <w:lang w:val="fr-FR"/>
        </w:rPr>
        <w:t>38</w:t>
      </w:r>
      <w:r w:rsidRPr="000F4F26">
        <w:fldChar w:fldCharType="end"/>
      </w:r>
      <w:r w:rsidRPr="003156C7">
        <w:rPr>
          <w:lang w:val="fr-FR"/>
        </w:rPr>
        <w:t>)</w:t>
      </w:r>
      <w:r w:rsidRPr="002A0A9E">
        <w:rPr>
          <w:lang w:val="fr-FR"/>
        </w:rPr>
        <w:t>. Yet, Vance et al., 2019</w:t>
      </w:r>
      <w:r w:rsidRPr="000F4F26">
        <w:fldChar w:fldCharType="begin"/>
      </w:r>
      <w:r w:rsidR="008C451C">
        <w:rPr>
          <w:lang w:val="fr-FR"/>
        </w:rPr>
        <w:instrText xml:space="preserve"> ADDIN ZOTERO_ITEM CSL_CITATION {"citationID":"fgDiSxbq","properties":{"formattedCitation":"\\super 29\\nosupersub{}","plainCitation":"29","noteIndex":0},"citationItems":[{"id":13223,"uris":["http://zotero.org/users/6423791/items/UMBIGV9P"],"itemData":{"id":13223,"type":"article-journal","abstract":"This paper discusses the industrial potential for waste heat recovery (WHR) in harsh environments – defined as a waste heat stream having either a temperature of at least 650 °C or containing reactive constituents that complicate heat recovery. The analysis covers five industries (steel, aluminum, glass, cement, and lime), chosen based on volume of production, discharge of exhaust gases containing components that present harsh environments, possibility of recovering considerably more heat than currently recovered, and current lack of acceptable WHR options. The total potential energy savings identified in harsh environment waste heat streams from these industries is equal to 15.4% (113.6 TWh) of the process heat energy lost in U.S. manufacturing. Existing technologies and materials for these industries are evaluated and the recoverable waste heat from harsh environment gas for each industrial sector is estimated. Finally, an in-depth summary of each waste heat source shows exactly where waste heat can be recovered and what specific issues must be addressed. The most potential lies within steel blast furnaces (46 TWh/year). Other waste heat streams considered include steel electric arc furnaces (14.1 TWh/year), flat glass (3.6 TWh/year), container glass (5.7 TWh/year), glass fiber (1.1 TWh/year), specialty glass (2.2 TWh/year), aluminum melting furnaces (4.7 TWh/year), cement (17.1 TWh/year), and lime (10.5 TWh/year). Although attempts to recover waste heat in harsh environments have been mostly unsuccessful, advances in research and technology could unlock an enormous potential for energy and cost savings.","container-title":"Journal of Cleaner Production","DOI":"10.1016/j.jclepro.2019.03.011","ISSN":"0959-6526","journalAbbreviation":"J Clean Prod","language":"en","page":"539-549","source":"ScienceDirect","title":"Estimation of and barriers to waste heat recovery from harsh environments in industrial processes","volume":"222","author":[{"family":"Vance","given":"David"},{"family":"Nimbalkar","given":"Sachin"},{"family":"Thekdi","given":"Arvind"},{"family":"Armstrong","given":"Kristina"},{"family":"Wenning","given":"Thomas"},{"family":"Cresko","given":"Joseph"},{"family":"Jin","given":"Mingzhou"}],"issued":{"date-parts":[["2019",6,10]]}}}],"schema":"https://github.com/citation-style-language/schema/raw/master/csl-citation.json"} </w:instrText>
      </w:r>
      <w:r w:rsidRPr="000F4F26">
        <w:fldChar w:fldCharType="separate"/>
      </w:r>
      <w:r w:rsidR="008C451C" w:rsidRPr="00B64EB5">
        <w:rPr>
          <w:rFonts w:ascii="Calibri" w:hAnsi="Calibri" w:cs="Calibri"/>
          <w:szCs w:val="24"/>
          <w:vertAlign w:val="superscript"/>
          <w:lang w:val="fr-FR"/>
        </w:rPr>
        <w:t>29</w:t>
      </w:r>
      <w:r w:rsidRPr="000F4F26">
        <w:fldChar w:fldCharType="end"/>
      </w:r>
      <w:r w:rsidRPr="002A0A9E">
        <w:rPr>
          <w:lang w:val="fr-FR"/>
        </w:rPr>
        <w:t xml:space="preserve"> mentioned that WHR systems achieving WHR rates higher than 50% were not available so far. </w:t>
      </w:r>
    </w:p>
    <w:p w14:paraId="572F577F" w14:textId="35B2844A" w:rsidR="008359D5" w:rsidRPr="009613A1" w:rsidRDefault="008359D5" w:rsidP="008359D5">
      <w:pPr>
        <w:jc w:val="both"/>
      </w:pPr>
      <w:r w:rsidRPr="000F4F26">
        <w:t>Therefore, in this study, HT WHR was modeled with a single parameter: the HT WHR rate, sizing</w:t>
      </w:r>
      <w:r w:rsidRPr="003F5DA8">
        <w:t xml:space="preserve"> the share of HT waste heat effectively recovered </w:t>
      </w:r>
      <w:r w:rsidRPr="009613A1">
        <w:t>(</w:t>
      </w:r>
      <w:r w:rsidR="00020DF2" w:rsidRPr="00020DF2">
        <w:rPr>
          <w:b/>
        </w:rPr>
        <w:fldChar w:fldCharType="begin"/>
      </w:r>
      <w:r w:rsidR="00020DF2" w:rsidRPr="00020DF2">
        <w:rPr>
          <w:b/>
        </w:rPr>
        <w:instrText xml:space="preserve"> REF _Ref144736752 \h </w:instrText>
      </w:r>
      <w:r w:rsidR="00020DF2">
        <w:rPr>
          <w:b/>
        </w:rPr>
        <w:instrText xml:space="preserve"> \* MERGEFORMAT </w:instrText>
      </w:r>
      <w:r w:rsidR="00020DF2" w:rsidRPr="00020DF2">
        <w:rPr>
          <w:b/>
        </w:rPr>
      </w:r>
      <w:r w:rsidR="00020DF2" w:rsidRPr="00020DF2">
        <w:rPr>
          <w:b/>
        </w:rPr>
        <w:fldChar w:fldCharType="separate"/>
      </w:r>
      <w:r w:rsidR="00F25F8C" w:rsidRPr="00F25F8C">
        <w:rPr>
          <w:b/>
        </w:rPr>
        <w:t xml:space="preserve">Table SI. </w:t>
      </w:r>
      <w:r w:rsidR="00F25F8C" w:rsidRPr="00F25F8C">
        <w:rPr>
          <w:b/>
          <w:noProof/>
        </w:rPr>
        <w:t>11</w:t>
      </w:r>
      <w:r w:rsidR="00020DF2" w:rsidRPr="00020DF2">
        <w:rPr>
          <w:b/>
        </w:rPr>
        <w:fldChar w:fldCharType="end"/>
      </w:r>
      <w:r w:rsidRPr="009613A1">
        <w:t>). HT heat consumers were assumed as not limiting, and integrated within the same industrial facility (that is, in an industrial symbiosis framework).</w:t>
      </w:r>
    </w:p>
    <w:p w14:paraId="4E3C95A0" w14:textId="5D5D3E12" w:rsidR="008359D5" w:rsidRPr="00C63D93" w:rsidRDefault="00874128" w:rsidP="00CE3893">
      <w:pPr>
        <w:pStyle w:val="Lgende"/>
        <w:jc w:val="left"/>
      </w:pPr>
      <w:bookmarkStart w:id="64" w:name="_Ref144736752"/>
      <w:bookmarkStart w:id="65" w:name="_Toc134537586"/>
      <w:bookmarkStart w:id="66" w:name="_Toc151967895"/>
      <w:r>
        <w:t>Table SI.</w:t>
      </w:r>
      <w:r w:rsidR="008359D5" w:rsidRPr="00C63D93">
        <w:t xml:space="preserve"> </w:t>
      </w:r>
      <w:r>
        <w:fldChar w:fldCharType="begin"/>
      </w:r>
      <w:r>
        <w:instrText xml:space="preserve"> SEQ Table_SI. \* ARABIC </w:instrText>
      </w:r>
      <w:r>
        <w:fldChar w:fldCharType="separate"/>
      </w:r>
      <w:r w:rsidR="00F25F8C">
        <w:rPr>
          <w:noProof/>
        </w:rPr>
        <w:t>11</w:t>
      </w:r>
      <w:r>
        <w:fldChar w:fldCharType="end"/>
      </w:r>
      <w:bookmarkEnd w:id="64"/>
      <w:r w:rsidR="008359D5" w:rsidRPr="00C63D93">
        <w:t xml:space="preserve"> – Parameters specific to HT WHR</w:t>
      </w:r>
      <w:bookmarkEnd w:id="65"/>
      <w:bookmarkEnd w:id="66"/>
    </w:p>
    <w:tbl>
      <w:tblPr>
        <w:tblStyle w:val="Tableausimple2"/>
        <w:tblW w:w="0" w:type="auto"/>
        <w:jc w:val="center"/>
        <w:tblLook w:val="04A0" w:firstRow="1" w:lastRow="0" w:firstColumn="1" w:lastColumn="0" w:noHBand="0" w:noVBand="1"/>
      </w:tblPr>
      <w:tblGrid>
        <w:gridCol w:w="400"/>
        <w:gridCol w:w="1282"/>
        <w:gridCol w:w="537"/>
        <w:gridCol w:w="984"/>
        <w:gridCol w:w="1055"/>
        <w:gridCol w:w="4814"/>
      </w:tblGrid>
      <w:tr w:rsidR="008359D5" w:rsidRPr="00C86BF0" w14:paraId="6D9CCF9D" w14:textId="77777777" w:rsidTr="00C86BF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054509F3" w14:textId="77777777" w:rsidR="008359D5" w:rsidRPr="00C86BF0" w:rsidRDefault="008359D5" w:rsidP="00D31C73">
            <w:pPr>
              <w:rPr>
                <w:sz w:val="18"/>
                <w:szCs w:val="18"/>
              </w:rPr>
            </w:pPr>
            <w:r w:rsidRPr="00C86BF0">
              <w:rPr>
                <w:sz w:val="18"/>
                <w:szCs w:val="18"/>
              </w:rPr>
              <w:t>n°</w:t>
            </w:r>
          </w:p>
        </w:tc>
        <w:tc>
          <w:tcPr>
            <w:tcW w:w="0" w:type="auto"/>
          </w:tcPr>
          <w:p w14:paraId="449B5531" w14:textId="77777777" w:rsidR="008359D5" w:rsidRPr="00C86BF0" w:rsidRDefault="008359D5" w:rsidP="00D31C73">
            <w:pPr>
              <w:jc w:val="right"/>
              <w:cnfStyle w:val="100000000000" w:firstRow="1" w:lastRow="0" w:firstColumn="0" w:lastColumn="0" w:oddVBand="0" w:evenVBand="0" w:oddHBand="0" w:evenHBand="0" w:firstRowFirstColumn="0" w:firstRowLastColumn="0" w:lastRowFirstColumn="0" w:lastRowLastColumn="0"/>
              <w:rPr>
                <w:sz w:val="18"/>
                <w:szCs w:val="18"/>
              </w:rPr>
            </w:pPr>
            <w:r w:rsidRPr="00C86BF0">
              <w:rPr>
                <w:sz w:val="18"/>
                <w:szCs w:val="18"/>
              </w:rPr>
              <w:t>Parameter</w:t>
            </w:r>
          </w:p>
        </w:tc>
        <w:tc>
          <w:tcPr>
            <w:tcW w:w="0" w:type="auto"/>
          </w:tcPr>
          <w:p w14:paraId="16200F32" w14:textId="77777777" w:rsidR="008359D5" w:rsidRPr="00C86BF0" w:rsidRDefault="008359D5" w:rsidP="00D31C73">
            <w:pPr>
              <w:cnfStyle w:val="100000000000" w:firstRow="1" w:lastRow="0" w:firstColumn="0" w:lastColumn="0" w:oddVBand="0" w:evenVBand="0" w:oddHBand="0" w:evenHBand="0" w:firstRowFirstColumn="0" w:firstRowLastColumn="0" w:lastRowFirstColumn="0" w:lastRowLastColumn="0"/>
              <w:rPr>
                <w:sz w:val="18"/>
                <w:szCs w:val="18"/>
              </w:rPr>
            </w:pPr>
            <w:r w:rsidRPr="00C86BF0">
              <w:rPr>
                <w:sz w:val="18"/>
                <w:szCs w:val="18"/>
              </w:rPr>
              <w:t>Unit</w:t>
            </w:r>
          </w:p>
        </w:tc>
        <w:tc>
          <w:tcPr>
            <w:tcW w:w="0" w:type="auto"/>
          </w:tcPr>
          <w:p w14:paraId="66F3B532" w14:textId="77777777" w:rsidR="008359D5" w:rsidRPr="00C86BF0" w:rsidRDefault="008359D5" w:rsidP="00D31C73">
            <w:pPr>
              <w:cnfStyle w:val="100000000000" w:firstRow="1" w:lastRow="0" w:firstColumn="0" w:lastColumn="0" w:oddVBand="0" w:evenVBand="0" w:oddHBand="0" w:evenHBand="0" w:firstRowFirstColumn="0" w:firstRowLastColumn="0" w:lastRowFirstColumn="0" w:lastRowLastColumn="0"/>
              <w:rPr>
                <w:sz w:val="18"/>
                <w:szCs w:val="18"/>
              </w:rPr>
            </w:pPr>
            <w:r w:rsidRPr="00C86BF0">
              <w:rPr>
                <w:sz w:val="18"/>
                <w:szCs w:val="18"/>
              </w:rPr>
              <w:t>Baseline value</w:t>
            </w:r>
          </w:p>
        </w:tc>
        <w:tc>
          <w:tcPr>
            <w:tcW w:w="0" w:type="auto"/>
          </w:tcPr>
          <w:p w14:paraId="2E7B3CAC" w14:textId="77777777" w:rsidR="008359D5" w:rsidRPr="00C86BF0" w:rsidRDefault="008359D5" w:rsidP="00D31C73">
            <w:pPr>
              <w:cnfStyle w:val="100000000000" w:firstRow="1" w:lastRow="0" w:firstColumn="0" w:lastColumn="0" w:oddVBand="0" w:evenVBand="0" w:oddHBand="0" w:evenHBand="0" w:firstRowFirstColumn="0" w:firstRowLastColumn="0" w:lastRowFirstColumn="0" w:lastRowLastColumn="0"/>
              <w:rPr>
                <w:sz w:val="18"/>
                <w:szCs w:val="18"/>
              </w:rPr>
            </w:pPr>
            <w:r w:rsidRPr="00C86BF0">
              <w:rPr>
                <w:sz w:val="18"/>
                <w:szCs w:val="18"/>
              </w:rPr>
              <w:t>Variation range</w:t>
            </w:r>
          </w:p>
        </w:tc>
        <w:tc>
          <w:tcPr>
            <w:tcW w:w="0" w:type="auto"/>
          </w:tcPr>
          <w:p w14:paraId="48D34F7A" w14:textId="77777777" w:rsidR="008359D5" w:rsidRPr="00C86BF0" w:rsidRDefault="008359D5" w:rsidP="00E9442B">
            <w:pPr>
              <w:cnfStyle w:val="100000000000" w:firstRow="1" w:lastRow="0" w:firstColumn="0" w:lastColumn="0" w:oddVBand="0" w:evenVBand="0" w:oddHBand="0" w:evenHBand="0" w:firstRowFirstColumn="0" w:firstRowLastColumn="0" w:lastRowFirstColumn="0" w:lastRowLastColumn="0"/>
              <w:rPr>
                <w:i/>
                <w:sz w:val="18"/>
                <w:szCs w:val="18"/>
              </w:rPr>
            </w:pPr>
            <w:r w:rsidRPr="00C86BF0">
              <w:rPr>
                <w:i/>
                <w:sz w:val="18"/>
                <w:szCs w:val="18"/>
              </w:rPr>
              <w:t>Comment</w:t>
            </w:r>
          </w:p>
        </w:tc>
      </w:tr>
      <w:tr w:rsidR="008359D5" w:rsidRPr="00C86BF0" w14:paraId="308D5476" w14:textId="77777777" w:rsidTr="00C86BF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33D5A123" w14:textId="77777777" w:rsidR="008359D5" w:rsidRPr="00C86BF0" w:rsidRDefault="008359D5" w:rsidP="00D31C73">
            <w:pPr>
              <w:rPr>
                <w:sz w:val="18"/>
                <w:szCs w:val="18"/>
              </w:rPr>
            </w:pPr>
            <w:r w:rsidRPr="00C86BF0">
              <w:rPr>
                <w:sz w:val="18"/>
                <w:szCs w:val="18"/>
              </w:rPr>
              <w:t>32</w:t>
            </w:r>
          </w:p>
        </w:tc>
        <w:tc>
          <w:tcPr>
            <w:tcW w:w="0" w:type="auto"/>
          </w:tcPr>
          <w:p w14:paraId="25939328" w14:textId="77777777" w:rsidR="008359D5" w:rsidRPr="00C86BF0" w:rsidRDefault="008359D5" w:rsidP="00D31C73">
            <w:pPr>
              <w:jc w:val="right"/>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Sensible HT heat reuse</w:t>
            </w:r>
          </w:p>
        </w:tc>
        <w:tc>
          <w:tcPr>
            <w:tcW w:w="0" w:type="auto"/>
          </w:tcPr>
          <w:p w14:paraId="29813E66" w14:textId="77777777" w:rsidR="008359D5" w:rsidRPr="00C86BF0" w:rsidRDefault="008359D5"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w:t>
            </w:r>
            <w:r w:rsidRPr="00C86BF0">
              <w:rPr>
                <w:sz w:val="18"/>
                <w:szCs w:val="18"/>
                <w:vertAlign w:val="subscript"/>
              </w:rPr>
              <w:t>MJ</w:t>
            </w:r>
          </w:p>
        </w:tc>
        <w:tc>
          <w:tcPr>
            <w:tcW w:w="0" w:type="auto"/>
          </w:tcPr>
          <w:p w14:paraId="5E4392DD" w14:textId="77777777" w:rsidR="008359D5" w:rsidRPr="00C86BF0" w:rsidRDefault="008359D5"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80%</w:t>
            </w:r>
          </w:p>
        </w:tc>
        <w:tc>
          <w:tcPr>
            <w:tcW w:w="0" w:type="auto"/>
          </w:tcPr>
          <w:p w14:paraId="616610E2" w14:textId="77777777" w:rsidR="008359D5" w:rsidRPr="00C86BF0" w:rsidRDefault="008359D5"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50-80%</w:t>
            </w:r>
          </w:p>
        </w:tc>
        <w:tc>
          <w:tcPr>
            <w:tcW w:w="0" w:type="auto"/>
          </w:tcPr>
          <w:p w14:paraId="23A29DD2" w14:textId="05E693CA" w:rsidR="008359D5" w:rsidRPr="00C86BF0" w:rsidRDefault="008359D5"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C86BF0">
              <w:rPr>
                <w:i/>
                <w:sz w:val="18"/>
                <w:szCs w:val="18"/>
              </w:rPr>
              <w:t>Lower range corresponds to currently available technologies</w:t>
            </w:r>
            <w:r w:rsidRPr="00C86BF0">
              <w:rPr>
                <w:i/>
                <w:sz w:val="18"/>
                <w:szCs w:val="18"/>
              </w:rPr>
              <w:fldChar w:fldCharType="begin"/>
            </w:r>
            <w:r w:rsidR="008C451C">
              <w:rPr>
                <w:i/>
                <w:sz w:val="18"/>
                <w:szCs w:val="18"/>
              </w:rPr>
              <w:instrText xml:space="preserve"> ADDIN ZOTERO_ITEM CSL_CITATION {"citationID":"o6k8s69T","properties":{"formattedCitation":"\\super 29\\nosupersub{}","plainCitation":"29","noteIndex":0},"citationItems":[{"id":13223,"uris":["http://zotero.org/users/6423791/items/UMBIGV9P"],"itemData":{"id":13223,"type":"article-journal","abstract":"This paper discusses the industrial potential for waste heat recovery (WHR) in harsh environments – defined as a waste heat stream having either a temperature of at least 650 °C or containing reactive constituents that complicate heat recovery. The analysis covers five industries (steel, aluminum, glass, cement, and lime), chosen based on volume of production, discharge of exhaust gases containing components that present harsh environments, possibility of recovering considerably more heat than currently recovered, and current lack of acceptable WHR options. The total potential energy savings identified in harsh environment waste heat streams from these industries is equal to 15.4% (113.6 TWh) of the process heat energy lost in U.S. manufacturing. Existing technologies and materials for these industries are evaluated and the recoverable waste heat from harsh environment gas for each industrial sector is estimated. Finally, an in-depth summary of each waste heat source shows exactly where waste heat can be recovered and what specific issues must be addressed. The most potential lies within steel blast furnaces (46 TWh/year). Other waste heat streams considered include steel electric arc furnaces (14.1 TWh/year), flat glass (3.6 TWh/year), container glass (5.7 TWh/year), glass fiber (1.1 TWh/year), specialty glass (2.2 TWh/year), aluminum melting furnaces (4.7 TWh/year), cement (17.1 TWh/year), and lime (10.5 TWh/year). Although attempts to recover waste heat in harsh environments have been mostly unsuccessful, advances in research and technology could unlock an enormous potential for energy and cost savings.","container-title":"Journal of Cleaner Production","DOI":"10.1016/j.jclepro.2019.03.011","ISSN":"0959-6526","journalAbbreviation":"J Clean Prod","language":"en","page":"539-549","source":"ScienceDirect","title":"Estimation of and barriers to waste heat recovery from harsh environments in industrial processes","volume":"222","author":[{"family":"Vance","given":"David"},{"family":"Nimbalkar","given":"Sachin"},{"family":"Thekdi","given":"Arvind"},{"family":"Armstrong","given":"Kristina"},{"family":"Wenning","given":"Thomas"},{"family":"Cresko","given":"Joseph"},{"family":"Jin","given":"Mingzhou"}],"issued":{"date-parts":[["2019",6,10]]}}}],"schema":"https://github.com/citation-style-language/schema/raw/master/csl-citation.json"} </w:instrText>
            </w:r>
            <w:r w:rsidRPr="00C86BF0">
              <w:rPr>
                <w:i/>
                <w:sz w:val="18"/>
                <w:szCs w:val="18"/>
              </w:rPr>
              <w:fldChar w:fldCharType="separate"/>
            </w:r>
            <w:r w:rsidR="008C451C" w:rsidRPr="008C451C">
              <w:rPr>
                <w:rFonts w:ascii="Calibri" w:hAnsi="Calibri" w:cs="Calibri"/>
                <w:sz w:val="18"/>
                <w:szCs w:val="24"/>
                <w:vertAlign w:val="superscript"/>
              </w:rPr>
              <w:t>29</w:t>
            </w:r>
            <w:r w:rsidRPr="00C86BF0">
              <w:rPr>
                <w:i/>
                <w:sz w:val="18"/>
                <w:szCs w:val="18"/>
              </w:rPr>
              <w:fldChar w:fldCharType="end"/>
            </w:r>
            <w:r w:rsidRPr="00C86BF0">
              <w:rPr>
                <w:i/>
                <w:sz w:val="18"/>
                <w:szCs w:val="18"/>
              </w:rPr>
              <w:t xml:space="preserve"> while higher range correspond to theoretical limit</w:t>
            </w:r>
            <w:r w:rsidRPr="00C86BF0">
              <w:rPr>
                <w:i/>
                <w:sz w:val="18"/>
                <w:szCs w:val="18"/>
              </w:rPr>
              <w:fldChar w:fldCharType="begin"/>
            </w:r>
            <w:r w:rsidR="008C451C">
              <w:rPr>
                <w:i/>
                <w:sz w:val="18"/>
                <w:szCs w:val="18"/>
              </w:rPr>
              <w:instrText xml:space="preserve"> ADDIN ZOTERO_ITEM CSL_CITATION {"citationID":"gCUf1gAE","properties":{"formattedCitation":"\\super 28\\nosupersub{}","plainCitation":"28","noteIndex":0},"citationItems":[{"id":13196,"uris":["http://zotero.org/users/6423791/items/5B2TDCT4"],"itemData":{"id":13196,"type":"article-journal","abstract":"Industrial waste heat is the energy that is generated in industrial processes which is not put into any practical use and is lost, wasted and dumped into the environment. Recovering the waste heat can be conducted through various waste heat recovery technologies to provide valuable energy sources and reduce the overall energy consumption. In this paper, a comprehensive review is made of waste heat recovery methodologies and state of the art technologies used for industrial processes. By considering the heat recovery opportunities for energy optimisation in the steel and iron, food, and ceramic industries, a revision of the current practices and procedures is assessed. The research is conducted on the operation and performance of the commonly used technologies such as recuperators, regenerators, including furnace regenerators and rotary regenerators or heat wheels, passive air preheaters, regenerative and recuperative burners, plate heat exchangers and economisers and units such as waste heat boilers and run around coil (RAC). Techniques are considered such as direct contact condensation recovery, indirect contact condensation recovery, transport membrane condensation and the use of units such as heat pumps, heat recovery steam generators (HRSGs), heat pipe systems, Organic Rankine cycles, including the Kalina cycle, that recover and exchange waste heat with potential energy content. Furthermore, the uses of new emerging technologies for direct heat to power conversion such as thermoelectric, piezoelectric, thermionic, and thermo photo voltaic (TPV) power generation techniques are also explored and reviewed. In this regard, the functionality of all technologies and usage of each technique with respect to their advantages and disadvantages is evaluated and described.","container-title":"Thermal Science and Engineering Progress","DOI":"10.1016/j.tsep.2018.04.017","ISSN":"2451-9049","journalAbbreviation":"Thermal Science and Engineering Progress","language":"en","page":"268-289","source":"ScienceDirect","title":"Waste heat recovery technologies and applications","volume":"6","author":[{"family":"Jouhara","given":"Hussam"},{"family":"Khordehgah","given":"Navid"},{"family":"Almahmoud","given":"Sulaiman"},{"family":"Delpech","given":"Bertrand"},{"family":"Chauhan","given":"Amisha"},{"family":"Tassou","given":"Savvas A."}],"issued":{"date-parts":[["2018",6,1]]}}}],"schema":"https://github.com/citation-style-language/schema/raw/master/csl-citation.json"} </w:instrText>
            </w:r>
            <w:r w:rsidRPr="00C86BF0">
              <w:rPr>
                <w:i/>
                <w:sz w:val="18"/>
                <w:szCs w:val="18"/>
              </w:rPr>
              <w:fldChar w:fldCharType="separate"/>
            </w:r>
            <w:r w:rsidR="008C451C" w:rsidRPr="008C451C">
              <w:rPr>
                <w:rFonts w:ascii="Calibri" w:hAnsi="Calibri" w:cs="Calibri"/>
                <w:sz w:val="18"/>
                <w:szCs w:val="24"/>
                <w:vertAlign w:val="superscript"/>
              </w:rPr>
              <w:t>28</w:t>
            </w:r>
            <w:r w:rsidRPr="00C86BF0">
              <w:rPr>
                <w:i/>
                <w:sz w:val="18"/>
                <w:szCs w:val="18"/>
              </w:rPr>
              <w:fldChar w:fldCharType="end"/>
            </w:r>
            <w:r w:rsidRPr="00C86BF0">
              <w:rPr>
                <w:i/>
                <w:sz w:val="18"/>
                <w:szCs w:val="18"/>
              </w:rPr>
              <w:t>. Only technical consideration, optimistic baseline value.</w:t>
            </w:r>
          </w:p>
        </w:tc>
      </w:tr>
    </w:tbl>
    <w:p w14:paraId="38EDFE2C" w14:textId="07636365" w:rsidR="008359D5" w:rsidRDefault="008359D5" w:rsidP="00CE3893">
      <w:pPr>
        <w:jc w:val="both"/>
        <w:rPr>
          <w:sz w:val="18"/>
        </w:rPr>
      </w:pPr>
      <w:r w:rsidRPr="003F5DA8">
        <w:rPr>
          <w:sz w:val="18"/>
        </w:rPr>
        <w:t xml:space="preserve">Numbering of parameters corresponds to the one </w:t>
      </w:r>
      <w:r>
        <w:rPr>
          <w:sz w:val="18"/>
        </w:rPr>
        <w:t xml:space="preserve">of </w:t>
      </w:r>
      <w:r w:rsidR="00877BEE" w:rsidRPr="00FE231F">
        <w:rPr>
          <w:b/>
          <w:sz w:val="18"/>
          <w:szCs w:val="18"/>
        </w:rPr>
        <w:fldChar w:fldCharType="begin"/>
      </w:r>
      <w:r w:rsidR="00877BEE" w:rsidRPr="00FE231F">
        <w:rPr>
          <w:b/>
          <w:sz w:val="18"/>
          <w:szCs w:val="18"/>
        </w:rPr>
        <w:instrText xml:space="preserve"> REF _Ref144914839 \h  \* MERGEFORMAT </w:instrText>
      </w:r>
      <w:r w:rsidR="00877BEE" w:rsidRPr="00FE231F">
        <w:rPr>
          <w:b/>
          <w:sz w:val="18"/>
          <w:szCs w:val="18"/>
        </w:rPr>
      </w:r>
      <w:r w:rsidR="00877BEE" w:rsidRPr="00FE231F">
        <w:rPr>
          <w:b/>
          <w:sz w:val="18"/>
          <w:szCs w:val="18"/>
        </w:rPr>
        <w:fldChar w:fldCharType="separate"/>
      </w:r>
      <w:r w:rsidR="00877BEE" w:rsidRPr="00FE231F">
        <w:rPr>
          <w:b/>
          <w:sz w:val="18"/>
          <w:szCs w:val="18"/>
        </w:rPr>
        <w:t xml:space="preserve">Table SI. </w:t>
      </w:r>
      <w:r w:rsidR="00877BEE" w:rsidRPr="00FE231F">
        <w:rPr>
          <w:b/>
          <w:noProof/>
          <w:sz w:val="18"/>
          <w:szCs w:val="18"/>
        </w:rPr>
        <w:t>103</w:t>
      </w:r>
      <w:r w:rsidR="00877BEE" w:rsidRPr="00FE231F">
        <w:rPr>
          <w:b/>
          <w:sz w:val="18"/>
          <w:szCs w:val="18"/>
        </w:rPr>
        <w:fldChar w:fldCharType="end"/>
      </w:r>
      <w:r w:rsidRPr="00FE231F">
        <w:rPr>
          <w:sz w:val="18"/>
        </w:rPr>
        <w:t>.</w:t>
      </w:r>
    </w:p>
    <w:p w14:paraId="1D3CA684" w14:textId="77777777" w:rsidR="008359D5" w:rsidRPr="003F5DA8" w:rsidRDefault="008359D5" w:rsidP="008359D5"/>
    <w:p w14:paraId="3ACCE933" w14:textId="77777777" w:rsidR="008359D5" w:rsidRPr="008359D5" w:rsidRDefault="008359D5" w:rsidP="00877BEE">
      <w:pPr>
        <w:pStyle w:val="Titre5"/>
      </w:pPr>
      <w:r w:rsidRPr="008359D5">
        <w:t>Low-temperature waste heat recovery (LT WHR) modeling</w:t>
      </w:r>
    </w:p>
    <w:p w14:paraId="621B1BCC" w14:textId="7CCC8093" w:rsidR="008359D5" w:rsidRPr="003F5DA8" w:rsidRDefault="008359D5" w:rsidP="008359D5">
      <w:pPr>
        <w:jc w:val="both"/>
      </w:pPr>
      <w:r w:rsidRPr="003F5DA8">
        <w:t xml:space="preserve">LT WHR was modeled as active systems </w:t>
      </w:r>
      <w:r>
        <w:t>for</w:t>
      </w:r>
      <w:r w:rsidRPr="003F5DA8">
        <w:t xml:space="preserve"> the two-unit operations generating excess LT heat</w:t>
      </w:r>
      <w:r>
        <w:t>:</w:t>
      </w:r>
      <w:r w:rsidRPr="003F5DA8">
        <w:t xml:space="preserve"> (i) electrolysis (ca. 80°C</w:t>
      </w:r>
      <w:r>
        <w:t>)</w:t>
      </w:r>
      <w:r w:rsidRPr="003F5DA8">
        <w:t xml:space="preserve"> and microbial proteins bioreactor (30-40°C; </w:t>
      </w:r>
      <w:r w:rsidR="00020DF2" w:rsidRPr="00877BEE">
        <w:rPr>
          <w:b/>
        </w:rPr>
        <w:t>section</w:t>
      </w:r>
      <w:r w:rsidR="00877BEE" w:rsidRPr="00877BEE">
        <w:rPr>
          <w:b/>
        </w:rPr>
        <w:t xml:space="preserve">s </w:t>
      </w:r>
      <w:r w:rsidR="003A663A">
        <w:rPr>
          <w:b/>
        </w:rPr>
        <w:t xml:space="preserve">SI. </w:t>
      </w:r>
      <w:r w:rsidR="00877BEE" w:rsidRPr="00877BEE">
        <w:rPr>
          <w:b/>
        </w:rPr>
        <w:t>4.5.5 and 4.6.4</w:t>
      </w:r>
      <w:r w:rsidRPr="00877BEE">
        <w:t>).</w:t>
      </w:r>
      <w:r w:rsidRPr="003F5DA8">
        <w:t xml:space="preserve"> While 80°C corresponds to common temperature used in district heating systems</w:t>
      </w:r>
      <w:r w:rsidRPr="003F5DA8">
        <w:fldChar w:fldCharType="begin"/>
      </w:r>
      <w:r w:rsidR="008C451C">
        <w:instrText xml:space="preserve"> ADDIN ZOTERO_ITEM CSL_CITATION {"citationID":"WB7G8NU0","properties":{"formattedCitation":"\\super 39\\nosupersub{}","plainCitation":"39","noteIndex":0},"citationItems":[{"id":13233,"uris":["http://zotero.org/users/6423791/items/CVKGNPQP"],"itemData":{"id":13233,"type":"report","page":"418","publisher":"Energistyrelsen","title":"Technology Data - Generation of Electricity and District Heating","URL":"https://ens.dk/sites/ens.dk/files/Analyser/technology_data_catalogue_for_el_and_dh.pdf","author":[{"literal":"Danish Energy Agency"}],"accessed":{"date-parts":[["2022",5,1]]},"issued":{"date-parts":[["2022"]]}}}],"schema":"https://github.com/citation-style-language/schema/raw/master/csl-citation.json"} </w:instrText>
      </w:r>
      <w:r w:rsidRPr="003F5DA8">
        <w:fldChar w:fldCharType="separate"/>
      </w:r>
      <w:r w:rsidR="008C451C" w:rsidRPr="008C451C">
        <w:rPr>
          <w:rFonts w:ascii="Calibri" w:hAnsi="Calibri" w:cs="Calibri"/>
          <w:szCs w:val="24"/>
          <w:vertAlign w:val="superscript"/>
        </w:rPr>
        <w:t>39</w:t>
      </w:r>
      <w:r w:rsidRPr="003F5DA8">
        <w:fldChar w:fldCharType="end"/>
      </w:r>
      <w:r w:rsidRPr="003F5DA8">
        <w:t>, 30-40°C heat sources are usually considered as unrecoverable</w:t>
      </w:r>
      <w:r w:rsidRPr="003F5DA8">
        <w:fldChar w:fldCharType="begin"/>
      </w:r>
      <w:r w:rsidR="008C451C">
        <w:instrText xml:space="preserve"> ADDIN ZOTERO_ITEM CSL_CITATION {"citationID":"NkaDRnXP","properties":{"formattedCitation":"\\super 33\\nosupersub{}","plainCitation":"33","noteIndex":0},"citationItems":[{"id":13182,"uris":["http://zotero.org/users/6423791/items/537KCNH4"],"itemData":{"id":13182,"type":"article-journal","abstract":"In this paper, the potential of industrial waste heat for heating and cooling applications is investigated. Therefore, heat transformation technologies are presented and their technical and economic potential are discussed. First, different industrial processes and their operating temperatures are presented as possible waste heat sources as well as low temperature processes, which can be supplied with waste heat. Then, a general economic analysis is performed for three different cases of waste heat use: an absorption chiller producing cold and heat production with a compression and an absorption heat pump. The maximum acceptable investment cost for each technology is estimated and compared with the current investment cost depending on the operating hours of the system. For this, three different consumer types, Enthusiast, Real Estate and Industry, are defined to represent different expectations in interest rate, payback period and the resulting annuity factor. Instead of judging if a technology is profitable or not, it is calculated how much the system is allowed to cost in order to be competitive for certain operating hours. Combined with present day cost of the technology, this serves as a rough judgment of the market deployment process. Finally, a sensitivity analysis of the initial assumptions for the economic analysis is performed, revealing a strong influence of the annuity factor. For the present day technology cost, absorption chillers were found to be profitable for two of the three consumer types when operated for at least 2500h per year. Electric heat pumps are profitable for all consumer types when exceeding 4000operating hours per year while absorption heat pumps start at 3000h of operation per year to be profitable for all consumer types.","container-title":"Applied Energy","DOI":"10.1016/j.apenergy.2015.01.147","ISSN":"0306-2619","journalAbbreviation":"Applied Energy","language":"en","page":"157-167","source":"ScienceDirect","title":"Industrial waste heat recovery technologies: An economic analysis of heat transformation technologies","title-short":"Industrial waste heat recovery technologies","volume":"151","author":[{"family":"Brückner","given":"Sarah"},{"family":"Liu","given":"Selina"},{"family":"Miró","given":"Laia"},{"family":"Radspieler","given":"Michael"},{"family":"Cabeza","given":"Luisa F."},{"family":"Lävemann","given":"Eberhard"}],"issued":{"date-parts":[["2015",8,1]]}}}],"schema":"https://github.com/citation-style-language/schema/raw/master/csl-citation.json"} </w:instrText>
      </w:r>
      <w:r w:rsidRPr="003F5DA8">
        <w:fldChar w:fldCharType="separate"/>
      </w:r>
      <w:r w:rsidR="008C451C" w:rsidRPr="008C451C">
        <w:rPr>
          <w:rFonts w:ascii="Calibri" w:hAnsi="Calibri" w:cs="Calibri"/>
          <w:szCs w:val="24"/>
          <w:vertAlign w:val="superscript"/>
        </w:rPr>
        <w:t>33</w:t>
      </w:r>
      <w:r w:rsidRPr="003F5DA8">
        <w:fldChar w:fldCharType="end"/>
      </w:r>
      <w:r w:rsidRPr="003F5DA8">
        <w:t xml:space="preserve">. Indeed, temperature </w:t>
      </w:r>
      <w:r>
        <w:t>gradients</w:t>
      </w:r>
      <w:r w:rsidRPr="003F5DA8">
        <w:t xml:space="preserve"> between the source and sink drives heat pump’s COP. Recovering usable heat from such LT heat sources requires injection of extra-energy</w:t>
      </w:r>
      <w:r w:rsidRPr="003F5DA8">
        <w:fldChar w:fldCharType="begin"/>
      </w:r>
      <w:r w:rsidR="008C451C">
        <w:instrText xml:space="preserve"> ADDIN ZOTERO_ITEM CSL_CITATION {"citationID":"2qm38OGK","properties":{"formattedCitation":"\\super 30\\nosupersub{}","plainCitation":"30","noteIndex":0},"citationItems":[{"id":13185,"uris":["http://zotero.org/users/6423791/items/ASBVABFU"],"itemData":{"id":13185,"type":"article-journal","abstract":"Thermal energy loss in the process industry is a significant issue due to the high temperatures and multiple heat intensive processes involved. High-grade thermal energy is typically recovered within processes. However, lower grade heat is often rejected to the environment. The benefits of capturing and utilising low grade thermal energy are highly dependent on the qualities and properties of the heat in the waste streams. The temperature of the low grade heat stream is the most important parameter, as the effective use of the residual heat or the efficiency of energy recovery from the low grade heat sources will mainly depend on the temperature difference between the source and a suitable sink, e.g. another process or space heating/cooling. In general, the temperatures of these waste heat sources are too low to produce electricity and direct heat use will depend on whether potential user can be found. This paper presents past and current drivers for heat recovery studies. High and low grade heat sources are defined according to the viability of recovery within the processes. Firstly, high grade heat capture within the processes is reviewed. Then, the focus is on the potential for low grade heat capture outside of the original plant. The paper addresses the potential for low grade heat recovery with regard to new incentives and technological advances. Finally, different aspects which influence the decision making for low grade heat recovery in the process industry are discussed. It is concluded that organisational, financial and economic barriers might be overcome and benefits from a holistic vision could be gained with stronger governmental policy and regulation incentives.","collection-title":"Special issue on Thermal Energy Management in the Process Industries","container-title":"Applied Energy","DOI":"10.1016/j.apenergy.2011.06.003","ISSN":"0306-2619","issue":"1","journalAbbreviation":"Applied Energy","language":"en","page":"3-20","source":"ScienceDirect","title":"Low grade thermal energy sources and uses from the process industry in the UK","volume":"89","author":[{"family":"Ammar","given":"Yasmine"},{"family":"Joyce","given":"Sharon"},{"family":"Norman","given":"Rosemary"},{"family":"Wang","given":"Yaodong"},{"family":"Roskilly","given":"Anthony P."}],"issued":{"date-parts":[["2012",1,1]]}}}],"schema":"https://github.com/citation-style-language/schema/raw/master/csl-citation.json"} </w:instrText>
      </w:r>
      <w:r w:rsidRPr="003F5DA8">
        <w:fldChar w:fldCharType="separate"/>
      </w:r>
      <w:r w:rsidR="008C451C" w:rsidRPr="008C451C">
        <w:rPr>
          <w:rFonts w:ascii="Calibri" w:hAnsi="Calibri" w:cs="Calibri"/>
          <w:szCs w:val="24"/>
          <w:vertAlign w:val="superscript"/>
        </w:rPr>
        <w:t>30</w:t>
      </w:r>
      <w:r w:rsidRPr="003F5DA8">
        <w:fldChar w:fldCharType="end"/>
      </w:r>
      <w:r w:rsidRPr="003F5DA8">
        <w:t>. For example, as showed in e.g. Kreyenschulte et al., 2016</w:t>
      </w:r>
      <w:r w:rsidRPr="003F5DA8">
        <w:fldChar w:fldCharType="begin"/>
      </w:r>
      <w:r w:rsidR="008C451C">
        <w:instrText xml:space="preserve"> ADDIN ZOTERO_ITEM CSL_CITATION {"citationID":"sgOiLJnJ","properties":{"formattedCitation":"\\super 27\\nosupersub{}","plainCitation":"27","noteIndex":0},"citationItems":[{"id":13072,"uris":["http://zotero.org/users/6423791/items/L4GYYFF3"],"itemData":{"id":13072,"type":"article-journal","abstract":"During the assessment of the potential profitability and feasibility of new production routes, aerobic fermentation can turn out to be a major factor contributing to the operating expenditure of the overall process. The accurate evaluation of its energy demand is, therefore, of prime importance. To this end, a tool was developed based on established and generally accepted correlations considering relevant parameters and constraints for bioreactor operation. While the assessment is performed for large-scale reactors (10–100m3), it is based on data from small-scale experiments using the oxygen transfer rate as a scale-up criterion. Among the evaluated constraints, the flooding-loading transition of the bioreactor proved to be a crucial criterion for culture volumes of more than 20m3. Minimum energy demand for cooling, agitation, and aeration could thus be achieved at low agitation and high aeration intensity. At moderate oxygen transfer requirements, bioreactor pressurization was not found to increase energy efficiency of aerobic processes. It was, however, shown to be indispensable for processes with high oxygen demands and elevated foam formation. The tool was applied to assess itaconic acid as well as lysine fermentation processes. Due to considerable differences in oxygen demand, average power consumption was found to be at 0.51kWm−3 (itaconic acid) and 2.61kWm−3 (lysine), thus arguing against the utilization of general rule of thumb values. The established tool, therefore, provides an efficient means to specify estimates of the energy demand in consideration of the respective process.","container-title":"Chemical Engineering Science","DOI":"10.1016/j.ces.2016.07.016","ISSN":"0009-2509","journalAbbreviation":"Chemical Engineering Science","language":"en","page":"270-283","source":"ScienceDirect","title":"Computational minimization of the specific energy demand of large-scale aerobic fermentation processes based on small-scale data","volume":"153","author":[{"family":"Kreyenschulte","given":"Dirk"},{"family":"Emde","given":"Frank"},{"family":"Regestein","given":"Lars"},{"family":"Büchs","given":"Jochen"}],"issued":{"date-parts":[["2016",10,22]]}}}],"schema":"https://github.com/citation-style-language/schema/raw/master/csl-citation.json"} </w:instrText>
      </w:r>
      <w:r w:rsidRPr="003F5DA8">
        <w:fldChar w:fldCharType="separate"/>
      </w:r>
      <w:r w:rsidR="008C451C" w:rsidRPr="008C451C">
        <w:rPr>
          <w:rFonts w:ascii="Calibri" w:hAnsi="Calibri" w:cs="Calibri"/>
          <w:szCs w:val="24"/>
          <w:vertAlign w:val="superscript"/>
        </w:rPr>
        <w:t>27</w:t>
      </w:r>
      <w:r w:rsidRPr="003F5DA8">
        <w:fldChar w:fldCharType="end"/>
      </w:r>
      <w:r w:rsidRPr="003F5DA8">
        <w:t>, cooling of aerobic bioreactors represents important energy costs mainly composed by (i) water (or cooling agent) pumping (ca. 20% of cooling energy expenses) and (ii) the regeneration of cooling temperature (including the potential reuse of produced heat; ca. 80% of energy expenses).</w:t>
      </w:r>
    </w:p>
    <w:p w14:paraId="45064BE2" w14:textId="3B4CA3E1" w:rsidR="008359D5" w:rsidRPr="003F5DA8" w:rsidRDefault="008359D5" w:rsidP="008359D5">
      <w:pPr>
        <w:jc w:val="both"/>
      </w:pPr>
      <w:r w:rsidRPr="003F5DA8">
        <w:t>Accordingly, to simplify LT WHR modeling, it was assumed that all the cooling-related energy expenses were gathered within the COP indicator. Similar studies modeling the LT WHR of mesophilic bioreactor already reviewed and used COP values ranging 3-7</w:t>
      </w:r>
      <w:r w:rsidRPr="003F5DA8">
        <w:fldChar w:fldCharType="begin"/>
      </w:r>
      <w:r w:rsidR="00827449">
        <w:instrText xml:space="preserve"> ADDIN ZOTERO_ITEM CSL_CITATION {"citationID":"7FdeattQ","properties":{"formattedCitation":"\\super 40,41\\nosupersub{}","plainCitation":"40,41","noteIndex":0},"citationItems":[{"id":12853,"uris":["http://zotero.org/users/6423791/items/NHUWJREK"],"itemData":{"id":12853,"type":"article-journal","abstract":"Methane emitted and flared from industrial sources across the United States is a major contributor to global climate change. Methanotrophic bacteria can transform this methane into useful protein-rich biomass, already approved for inclusion into animal feed. In the rapidly growing aquaculture industry, methanotrophic additives have a favourable amino acid profile and can offset ocean-caught fishmeal, reducing demands on over-harvested fisheries. Here we analyse the economic potential of producing methanotrophic microbial protein from stranded methane produced at wastewater treatment plants, landfills, and oil and gas facilities. Our results show that current technology can enable production, in the United States alone, equivalent to 14% of the global fishmeal market at prices at or below the current cost of fishmeal (roughly US$1,600 per metric ton). A sensitivity analysis highlights technically and economically feasible cost reductions (such as reduced cooling or labour requirements), which could allow stranded methane from the United States alone to satisfy global fishmeal demand.","container-title":"Nature Sustainability","DOI":"10.1038/s41893-021-00796-2","ISSN":"2398-9629","journalAbbreviation":"Nat. Sustain.","language":"en","license":"2021 The Author(s), under exclusive licence to Springer Nature Limited","note":"Bandiera_abtest: a\nCg_type: Nature Research Journals\nPrimary_atype: Research\npublisher: Nature Publishing Group\nSubject_term: Environmental biotechnology;Environmental economics\nSubject_term_id: environmental-biotechnology;environmental-economics","page":"1-10","source":"www.nature.com","title":"Displacing fishmeal with protein derived from stranded methane","author":[{"family":"El Abbadi","given":"Sahar H."},{"family":"Sherwin","given":"Evan D."},{"family":"Brandt","given":"Adam R."},{"family":"Luby","given":"Stephen P."},{"family":"Criddle","given":"Craig S."}],"issued":{"date-parts":[["2021",11,22]]}}},{"id":13068,"uris":["http://zotero.org/users/6423791/items/RK8J2DQC"],"itemData":{"id":13068,"type":"article-journal","abstract":"Alternative protein sources such as microbial protein (MP) are currently considered to alleviate the burden that food production exerts on the environment. Even though MP production is highly efficient in land and nutrient utilization, their carbon footprint should be improved. Here we propose the use of CCU as a driver for heterotrophic MP production. By comparing different MP production routes starting from liquid substrates derived from CO2 (i.e., formate, acetate, methanol, and ethanol) and their respective metabolic pathways, the potential of this concept as a carbon–neutral food or feed production process was estimated. Acetate and ethanol appear to be the most beneficial substrates for the integrated CCU-to-MP process in terms of electricity demand (acetate: 25 – 54 kWh/kgproduct, ethanol: 28 – 56 kWh/kgproduct). Moreover, recycling CO2 enables a carbon-negative protein production process by 2030 (considering the projected CO2 emissions from electricity in the EU: 0.096 kgCO2-eq/kWh) for formate, acetate, and ethanol (-1.1 up to 13 kgCO2-eq/kgproduct).","container-title":"Bioresource Technology","DOI":"10.1016/j.biortech.2022.126853","ISSN":"0960-8524","journalAbbreviation":"Bioresour. Technol.","language":"en","page":"126853","source":"ScienceDirect","title":"Towards new carbon–neutral food systems: Combining carbon capture and utilization with microbial protein production","title-short":"Towards new carbon–neutral food systems","volume":"349","author":[{"family":"Van Peteghem","given":"L."},{"family":"Sakarika","given":"M."},{"family":"Matassa","given":"S."},{"family":"Pikaar","given":"I."},{"family":"Ganigué","given":"R."},{"family":"Rabaey","given":"K."}],"issued":{"date-parts":[["2022",4,1]]}}}],"schema":"https://github.com/citation-style-language/schema/raw/master/csl-citation.json"} </w:instrText>
      </w:r>
      <w:r w:rsidRPr="003F5DA8">
        <w:fldChar w:fldCharType="separate"/>
      </w:r>
      <w:r w:rsidR="008C451C" w:rsidRPr="008C451C">
        <w:rPr>
          <w:rFonts w:ascii="Calibri" w:hAnsi="Calibri" w:cs="Calibri"/>
          <w:szCs w:val="24"/>
          <w:vertAlign w:val="superscript"/>
        </w:rPr>
        <w:t>40,41</w:t>
      </w:r>
      <w:r w:rsidRPr="003F5DA8">
        <w:fldChar w:fldCharType="end"/>
      </w:r>
      <w:r w:rsidRPr="003F5DA8">
        <w:t>. These are in line with common COP values usually reported for mechanical heat pumps (ranging 2-5</w:t>
      </w:r>
      <w:r w:rsidRPr="003F5DA8">
        <w:fldChar w:fldCharType="begin"/>
      </w:r>
      <w:r w:rsidR="008C451C">
        <w:instrText xml:space="preserve"> ADDIN ZOTERO_ITEM CSL_CITATION {"citationID":"e27uj1sy","properties":{"formattedCitation":"\\super 32,33,42\\nosupersub{}","plainCitation":"32,33,42","noteIndex":0},"citationItems":[{"id":13228,"uris":["http://zotero.org/users/6423791/items/Q63ABCYB"],"itemData":{"id":13228,"type":"report","language":"fr","page":"35","source":"Zotero","title":"Première analyse du potentiel technique d’électrification des procédés industriels thermiques par des technologies matures","URL":"https://www.ceren.fr/download/4824/","author":[{"literal":"ADEME"},{"family":"Millet","given":"Bruno"},{"family":"Monnet","given":"Antoine"},{"family":"Siragusano","given":"Tindaro"}],"issued":{"date-parts":[["2020"]]}}},{"id":13182,"uris":["http://zotero.org/users/6423791/items/537KCNH4"],"itemData":{"id":13182,"type":"article-journal","abstract":"In this paper, the potential of industrial waste heat for heating and cooling applications is investigated. Therefore, heat transformation technologies are presented and their technical and economic potential are discussed. First, different industrial processes and their operating temperatures are presented as possible waste heat sources as well as low temperature processes, which can be supplied with waste heat. Then, a general economic analysis is performed for three different cases of waste heat use: an absorption chiller producing cold and heat production with a compression and an absorption heat pump. The maximum acceptable investment cost for each technology is estimated and compared with the current investment cost depending on the operating hours of the system. For this, three different consumer types, Enthusiast, Real Estate and Industry, are defined to represent different expectations in interest rate, payback period and the resulting annuity factor. Instead of judging if a technology is profitable or not, it is calculated how much the system is allowed to cost in order to be competitive for certain operating hours. Combined with present day cost of the technology, this serves as a rough judgment of the market deployment process. Finally, a sensitivity analysis of the initial assumptions for the economic analysis is performed, revealing a strong influence of the annuity factor. For the present day technology cost, absorption chillers were found to be profitable for two of the three consumer types when operated for at least 2500h per year. Electric heat pumps are profitable for all consumer types when exceeding 4000operating hours per year while absorption heat pumps start at 3000h of operation per year to be profitable for all consumer types.","container-title":"Applied Energy","DOI":"10.1016/j.apenergy.2015.01.147","ISSN":"0306-2619","journalAbbreviation":"Applied Energy","language":"en","page":"157-167","source":"ScienceDirect","title":"Industrial waste heat recovery technologies: An economic analysis of heat transformation technologies","title-short":"Industrial waste heat recovery technologies","volume":"151","author":[{"family":"Brückner","given":"Sarah"},{"family":"Liu","given":"Selina"},{"family":"Miró","given":"Laia"},{"family":"Radspieler","given":"Michael"},{"family":"Cabeza","given":"Luisa F."},{"family":"Lävemann","given":"Eberhard"}],"issued":{"date-parts":[["2015",8,1]]}}},{"id":13181,"uris":["http://zotero.org/users/6423791/items/EIWBE7QH"],"itemData":{"id":13181,"type":"article-journal","container-title":"Environ. Res. Lett.","language":"en","page":"15","source":"Zotero","title":"The CO2 reduction potential for the European industry via direct electrification of heat supply (power-to-heat)","author":[{"family":"Madeddu","given":"Silvia"},{"family":"Ueckerdt","given":"Falko"},{"family":"Pehl","given":"Michaja"},{"family":"Peterseim","given":"Juergen"},{"family":"Lord","given":"Michael"},{"family":"Kumar","given":"Karthik Ajith"},{"family":"Krüger","given":"Christoph"},{"family":"Luderer","given":"Gunnar"}],"issued":{"date-parts":[["2020"]]}}}],"schema":"https://github.com/citation-style-language/schema/raw/master/csl-citation.json"} </w:instrText>
      </w:r>
      <w:r w:rsidRPr="003F5DA8">
        <w:fldChar w:fldCharType="separate"/>
      </w:r>
      <w:r w:rsidR="008C451C" w:rsidRPr="008C451C">
        <w:rPr>
          <w:rFonts w:ascii="Calibri" w:hAnsi="Calibri" w:cs="Calibri"/>
          <w:szCs w:val="24"/>
          <w:vertAlign w:val="superscript"/>
        </w:rPr>
        <w:t>32,33,42</w:t>
      </w:r>
      <w:r w:rsidRPr="003F5DA8">
        <w:fldChar w:fldCharType="end"/>
      </w:r>
      <w:r w:rsidRPr="003F5DA8">
        <w:t>). However, LT WHR COP can be as low as 1.5-2 to recover LT heat lower than 50°C towards district heating requirements (values reported by Keil et al., 2008</w:t>
      </w:r>
      <w:r w:rsidRPr="003F5DA8">
        <w:fldChar w:fldCharType="begin"/>
      </w:r>
      <w:r w:rsidR="008C451C">
        <w:instrText xml:space="preserve"> ADDIN ZOTERO_ITEM CSL_CITATION {"citationID":"fXwSl1hi","properties":{"formattedCitation":"\\super 43\\nosupersub{}","plainCitation":"43","noteIndex":0},"citationItems":[{"id":13183,"uris":["http://zotero.org/users/6423791/items/Z8YHKSPF"],"itemData":{"id":13183,"type":"article-journal","abstract":"Based on established and proven technology of water/lithium bromide absorption chillers, customized single-stage and double-stage heat pump cycles adapted to specific applications can be designed, especially aiming at medium and large heating capacities of 500kW and above. These heat pumps can either be fossil fired or driven by heat from combined heating and power (CHP) systems or other sources. In terms of primary energy saving, in many cases this is the most suitable technology to utilize the available heat sources. This is demonstrated by three examples of current installations in southern Germany. An analysis of the energetic performance and of the economic situation has been performed. At a municipal composting plant, waste heat is generated at a temperature level of about 40–50°C. Previously, this waste heat had to be rejected to the ambient by means of a cooling tower. A direct-fired single-stage absorption heat pump has been installed which lifts the waste heat to a temperature level of 82°C enabling its utilization in the local heating network of a commercial area. At a spa with various swimming pools located next to a thermal spring, a CHP engine plant is installed. The reject heat of the gas engine drives a novel two-stage absorption heat pump that utilizes the spring water as renewable heat source to provide heating of the pools and the building. In Munich, a solar-assisted local district heating system is installed in a new housing development area with about 300 accommodation units. At this site, a seasonal hot water storage for the solar system of about 5700m3 is erected. At the beginning of the heating season, it serves the local heating network directly and afterwards – at a lower temperature level – it is utilized as heat source for an absorption heat pump that is driven by the municipal district heating network. By that concept two effects are accomplished: the available temperature change of the hot water storage is increased and the mean temperature of the solar system is decreased. Thus an increase of the annual efficiency of the solar collectors and finally an increase of the annual solar gain is accomplished.","collection-title":"Selected Papers from the 10th Conference on Process Integration,Modelling and Optimisation for Energy Saving and Pollution Reduction","container-title":"Applied Thermal Engineering","DOI":"10.1016/j.applthermaleng.2008.04.012","ISSN":"1359-4311","issue":"16","journalAbbreviation":"Applied Thermal Engineering","language":"en","page":"2070-2076","source":"ScienceDirect","title":"Application of customized absorption heat pumps for utilization of low-grade heat sources","volume":"28","author":[{"family":"Keil","given":"Christian"},{"family":"Plura","given":"Stefan"},{"family":"Radspieler","given":"Michael"},{"family":"Schweigler","given":"Christian"}],"issued":{"date-parts":[["2008",11,1]]}}}],"schema":"https://github.com/citation-style-language/schema/raw/master/csl-citation.json"} </w:instrText>
      </w:r>
      <w:r w:rsidRPr="003F5DA8">
        <w:fldChar w:fldCharType="separate"/>
      </w:r>
      <w:r w:rsidR="008C451C" w:rsidRPr="008C451C">
        <w:rPr>
          <w:rFonts w:ascii="Calibri" w:hAnsi="Calibri" w:cs="Calibri"/>
          <w:szCs w:val="24"/>
          <w:vertAlign w:val="superscript"/>
        </w:rPr>
        <w:t>43</w:t>
      </w:r>
      <w:r w:rsidRPr="003F5DA8">
        <w:fldChar w:fldCharType="end"/>
      </w:r>
      <w:r w:rsidRPr="003F5DA8">
        <w:t xml:space="preserve"> for a composting plant integration project). Such LT heat sources (i.e. lower than 50°C) can nevertheless still help maintaining operational conditions of aquaculture ponds or greenhouses</w:t>
      </w:r>
      <w:r w:rsidRPr="003F5DA8">
        <w:fldChar w:fldCharType="begin"/>
      </w:r>
      <w:r w:rsidR="008C451C">
        <w:instrText xml:space="preserve"> ADDIN ZOTERO_ITEM CSL_CITATION {"citationID":"eF8ks5yY","properties":{"formattedCitation":"\\super 30\\nosupersub{}","plainCitation":"30","noteIndex":0},"citationItems":[{"id":13185,"uris":["http://zotero.org/users/6423791/items/ASBVABFU"],"itemData":{"id":13185,"type":"article-journal","abstract":"Thermal energy loss in the process industry is a significant issue due to the high temperatures and multiple heat intensive processes involved. High-grade thermal energy is typically recovered within processes. However, lower grade heat is often rejected to the environment. The benefits of capturing and utilising low grade thermal energy are highly dependent on the qualities and properties of the heat in the waste streams. The temperature of the low grade heat stream is the most important parameter, as the effective use of the residual heat or the efficiency of energy recovery from the low grade heat sources will mainly depend on the temperature difference between the source and a suitable sink, e.g. another process or space heating/cooling. In general, the temperatures of these waste heat sources are too low to produce electricity and direct heat use will depend on whether potential user can be found. This paper presents past and current drivers for heat recovery studies. High and low grade heat sources are defined according to the viability of recovery within the processes. Firstly, high grade heat capture within the processes is reviewed. Then, the focus is on the potential for low grade heat capture outside of the original plant. The paper addresses the potential for low grade heat recovery with regard to new incentives and technological advances. Finally, different aspects which influence the decision making for low grade heat recovery in the process industry are discussed. It is concluded that organisational, financial and economic barriers might be overcome and benefits from a holistic vision could be gained with stronger governmental policy and regulation incentives.","collection-title":"Special issue on Thermal Energy Management in the Process Industries","container-title":"Applied Energy","DOI":"10.1016/j.apenergy.2011.06.003","ISSN":"0306-2619","issue":"1","journalAbbreviation":"Applied Energy","language":"en","page":"3-20","source":"ScienceDirect","title":"Low grade thermal energy sources and uses from the process industry in the UK","volume":"89","author":[{"family":"Ammar","given":"Yasmine"},{"family":"Joyce","given":"Sharon"},{"family":"Norman","given":"Rosemary"},{"family":"Wang","given":"Yaodong"},{"family":"Roskilly","given":"Anthony P."}],"issued":{"date-parts":[["2012",1,1]]}}}],"schema":"https://github.com/citation-style-language/schema/raw/master/csl-citation.json"} </w:instrText>
      </w:r>
      <w:r w:rsidRPr="003F5DA8">
        <w:fldChar w:fldCharType="separate"/>
      </w:r>
      <w:r w:rsidR="008C451C" w:rsidRPr="008C451C">
        <w:rPr>
          <w:rFonts w:ascii="Calibri" w:hAnsi="Calibri" w:cs="Calibri"/>
          <w:szCs w:val="24"/>
          <w:vertAlign w:val="superscript"/>
        </w:rPr>
        <w:t>30</w:t>
      </w:r>
      <w:r w:rsidRPr="003F5DA8">
        <w:fldChar w:fldCharType="end"/>
      </w:r>
      <w:r w:rsidRPr="003F5DA8">
        <w:t>. The same authors argue that the theoretical (exergy-based) WHR rate for a 35°C heat source is 65%. Moreover, they report that the distance to end-users is a critical aspect for LT WHR, considering ca. 9km as the radius threshold for an economically-feasible valorization of such heat (extra expenses and losses during transports via pipeline grids, ducts and associated auxiliary equipment</w:t>
      </w:r>
      <w:r w:rsidRPr="003F5DA8">
        <w:fldChar w:fldCharType="begin"/>
      </w:r>
      <w:r w:rsidR="008C451C">
        <w:instrText xml:space="preserve"> ADDIN ZOTERO_ITEM CSL_CITATION {"citationID":"C4Npj2tb","properties":{"formattedCitation":"\\super 44\\nosupersub{}","plainCitation":"44","noteIndex":0},"citationItems":[{"id":13187,"uris":["http://zotero.org/users/6423791/items/NZQENLJT"],"itemData":{"id":13187,"type":"article-journal","abstract":"Energy efficiency in the process industry is becoming an increasingly important issue due to the rising costs of both electricity and fossil fuel resources, as well as the tough targets for the reduction in greenhouse gas emissions outlined in the Climate Change Act 2008. Utilisation of waste heat sources is key to improving industrial energy efficiency, with an estimated 11.4 TWh of recoverable heat being wasted each year, a quarter of which is from the food and drinks processing sector. This paper examines the low-grade waste heat sources common to the food and drinks processing sector and the various opportunities for the use of this heat. A review of the best available technologies for recovery of waste heat is provided, ranging from heat transfer between source and sink, to novel technologies for the generation of electricity and refrigeration. Generally, the most economic option for waste heat recovery is heat exchange between nearby/same process source and sink, with a number of well-developed heat exchangers widely available for purchase. More novel options, such as the use of organic Rankine cycles for electricity generation prove to be less economical due to high capital outlays. However, with additional funding provision for demonstration of such projects and development of modular units, such technologies would become more common.","collection-title":"Includes Special Issue: PRO-TEM Special Issue","container-title":"Applied Thermal Engineering","DOI":"10.1016/j.applthermaleng.2012.03.024","ISSN":"1359-4311","issue":"2","journalAbbreviation":"Applied Thermal Engineering","language":"en","page":"188-196","source":"ScienceDirect","title":"Opportunities for low-grade heat recovery in the UK food processing industry","volume":"53","author":[{"family":"Law","given":"Richard"},{"family":"Harvey","given":"Adam"},{"family":"Reay","given":"David"}],"issued":{"date-parts":[["2013",5,2]]}}}],"schema":"https://github.com/citation-style-language/schema/raw/master/csl-citation.json"} </w:instrText>
      </w:r>
      <w:r w:rsidRPr="003F5DA8">
        <w:fldChar w:fldCharType="separate"/>
      </w:r>
      <w:r w:rsidR="008C451C" w:rsidRPr="008C451C">
        <w:rPr>
          <w:rFonts w:ascii="Calibri" w:hAnsi="Calibri" w:cs="Calibri"/>
          <w:szCs w:val="24"/>
          <w:vertAlign w:val="superscript"/>
        </w:rPr>
        <w:t>44</w:t>
      </w:r>
      <w:r w:rsidRPr="003F5DA8">
        <w:fldChar w:fldCharType="end"/>
      </w:r>
      <w:r w:rsidRPr="003F5DA8">
        <w:t>). Finally, the lack of suitable end-users and associated performance risks are often reported as the main barriers to the implementation of LT WHR</w:t>
      </w:r>
      <w:r w:rsidRPr="003F5DA8">
        <w:fldChar w:fldCharType="begin"/>
      </w:r>
      <w:r w:rsidR="008C451C">
        <w:instrText xml:space="preserve"> ADDIN ZOTERO_ITEM CSL_CITATION {"citationID":"wAY9q0r2","properties":{"formattedCitation":"\\super 37,45\\nosupersub{}","plainCitation":"37,45","noteIndex":0},"citationItems":[{"id":13234,"uris":["http://zotero.org/users/6423791/items/RR25RYRB"],"itemData":{"id":13234,"type":"article-journal","abstract":"Process industries are significant global energy consumers, contributing substantially to global greenhouse gas emissions. There is a need to reduce the energy intensity of production and corresponding greenhouse gas emissions, but there are significant technical and non-technical barriers to achieving this. Consultation with industrial and academic stakeholders in the UK established that cost, return on investment and technology performance were key barriers to process industry energy efficiency improvements. However, for low grade heat utilization, stakeholder engagement and strategic mapping found that ‘location’ and the need for capital support for infrastructure were the most critical factors. A large number of institutional issues were also identified which help to explain why, even when efficiency measures deliver environmental and economic benefits; they are not implemented by industry.","container-title":"Journal of Cleaner Production","DOI":"10.1016/j.jclepro.2011.10.038","ISSN":"0959-6526","issue":"1","journalAbbreviation":"Journal of Cleaner Production","language":"en","page":"138-146","source":"ScienceDirect","title":"Barriers to improving energy efficiency within the process industries with a focus on low grade heat utilisation","volume":"23","author":[{"family":"Walsh","given":"Conor"},{"family":"Thornley","given":"Patricia"}],"issued":{"date-parts":[["2012",3,1]]}}},{"id":13229,"uris":["http://zotero.org/users/6423791/items/WRH9WMKD"],"itemData":{"id":13229,"type":"article-journal","abstract":"Typically, 70% of the total final energy demand in the industry sector is used for process heat. A substantial share of this energy could be provided by excess heat recovery. This study evaluates the techno-economic excess heat recovery potential in the Swiss industry through exergy and energy analysis and provides an overview of the spatial distribution of the potential by temperature level. The specific costs and payback periods of excess heat recovery are analyzed by conventional and new measures, as well as the overall costs of sector-wide excess heat recovery. The overall mean energy and exergy efficiencies of the Swiss industry sector are estimated to be 61% and 27%, respectively. The total amount of potentially recoverable excess heat is estimated at 14 PJ per year, i.e. 12% of the total final energy and 24% of the total process heat demand of Swiss industry in 2016. However, the economic potential amounts to only 5% and 10% if a payback period of 3 and 4 years is assumed, respectively. Long payback times of heat recovery measures and a high percentage of low-quality and small heat streams were the most important barriers to energy efficiency improvement in Swiss industry. Furthermore, 30–40% of the steam demand in Swiss industry could be provided from excess heat in an economically viable manner, if all excess heat available at temperatures below 80 °C was utilized for steam generation using low pressure evaporation, vapor compression, and high temperature heat pump techniques. The results and the data provided in this study can be adapted to other regions of the world and can serve as a base for conducting more comprehensive analyses and formulating more effective policies.","container-title":"Applied Energy","DOI":"10.1016/j.apenergy.2018.06.070","ISSN":"0306-2619","journalAbbreviation":"Applied Energy","language":"en","page":"390-408","source":"ScienceDirect","title":"Excess heat recovery: An invisible energy resource for the Swiss industry sector","title-short":"Excess heat recovery","volume":"228","author":[{"family":"Zuberi","given":"M. Jibran S."},{"family":"Bless","given":"Frédéric"},{"family":"Chambers","given":"Jonathan"},{"family":"Arpagaus","given":"Cordin"},{"family":"Bertsch","given":"Stefan S."},{"family":"Patel","given":"Martin K."}],"issued":{"date-parts":[["2018",10,15]]}}}],"schema":"https://github.com/citation-style-language/schema/raw/master/csl-citation.json"} </w:instrText>
      </w:r>
      <w:r w:rsidRPr="003F5DA8">
        <w:fldChar w:fldCharType="separate"/>
      </w:r>
      <w:r w:rsidR="008C451C" w:rsidRPr="008C451C">
        <w:rPr>
          <w:rFonts w:ascii="Calibri" w:hAnsi="Calibri" w:cs="Calibri"/>
          <w:szCs w:val="24"/>
          <w:vertAlign w:val="superscript"/>
        </w:rPr>
        <w:t>37,45</w:t>
      </w:r>
      <w:r w:rsidRPr="003F5DA8">
        <w:fldChar w:fldCharType="end"/>
      </w:r>
      <w:r w:rsidRPr="003F5DA8">
        <w:t>.</w:t>
      </w:r>
    </w:p>
    <w:p w14:paraId="1D99F0B9" w14:textId="10A53545" w:rsidR="00877BEE" w:rsidRDefault="008359D5" w:rsidP="008359D5">
      <w:pPr>
        <w:jc w:val="both"/>
      </w:pPr>
      <w:r w:rsidRPr="003F5DA8">
        <w:t>Therefore, in this study, LT WHR was modeled with two parameters sizing the energy required by the active WHR system and the overall share of waste heat effectively recovered (</w:t>
      </w:r>
      <w:r w:rsidR="007E4154" w:rsidRPr="007E4154">
        <w:rPr>
          <w:b/>
        </w:rPr>
        <w:fldChar w:fldCharType="begin"/>
      </w:r>
      <w:r w:rsidR="007E4154" w:rsidRPr="007E4154">
        <w:rPr>
          <w:b/>
        </w:rPr>
        <w:instrText xml:space="preserve"> REF _Ref144737034 \h </w:instrText>
      </w:r>
      <w:r w:rsidR="007E4154">
        <w:rPr>
          <w:b/>
        </w:rPr>
        <w:instrText xml:space="preserve"> \* MERGEFORMAT </w:instrText>
      </w:r>
      <w:r w:rsidR="007E4154" w:rsidRPr="007E4154">
        <w:rPr>
          <w:b/>
        </w:rPr>
      </w:r>
      <w:r w:rsidR="007E4154" w:rsidRPr="007E4154">
        <w:rPr>
          <w:b/>
        </w:rPr>
        <w:fldChar w:fldCharType="separate"/>
      </w:r>
      <w:r w:rsidR="00F25F8C" w:rsidRPr="00F25F8C">
        <w:rPr>
          <w:b/>
        </w:rPr>
        <w:t xml:space="preserve">Table SI. </w:t>
      </w:r>
      <w:r w:rsidR="00F25F8C" w:rsidRPr="00F25F8C">
        <w:rPr>
          <w:b/>
          <w:noProof/>
        </w:rPr>
        <w:t>12</w:t>
      </w:r>
      <w:r w:rsidR="007E4154" w:rsidRPr="007E4154">
        <w:rPr>
          <w:b/>
        </w:rPr>
        <w:fldChar w:fldCharType="end"/>
      </w:r>
      <w:r w:rsidRPr="007E4154">
        <w:rPr>
          <w:b/>
        </w:rPr>
        <w:t>)</w:t>
      </w:r>
      <w:r w:rsidRPr="003F5DA8">
        <w:t>. The cooling agent was assumed reused at a high rate (i.e. neglecting make-up and losses).</w:t>
      </w:r>
    </w:p>
    <w:p w14:paraId="2CF955CF" w14:textId="77777777" w:rsidR="00877BEE" w:rsidRDefault="00877BEE">
      <w:r>
        <w:br w:type="page"/>
      </w:r>
    </w:p>
    <w:p w14:paraId="35B4B7F5" w14:textId="23F15CE9" w:rsidR="008359D5" w:rsidRPr="00C63D93" w:rsidRDefault="00874128" w:rsidP="006B5342">
      <w:pPr>
        <w:pStyle w:val="Lgende"/>
        <w:jc w:val="left"/>
      </w:pPr>
      <w:bookmarkStart w:id="67" w:name="_Ref144737034"/>
      <w:bookmarkStart w:id="68" w:name="_Toc134537587"/>
      <w:bookmarkStart w:id="69" w:name="_Toc151967896"/>
      <w:r>
        <w:lastRenderedPageBreak/>
        <w:t>Table SI.</w:t>
      </w:r>
      <w:r w:rsidR="008359D5" w:rsidRPr="00C63D93">
        <w:t xml:space="preserve"> </w:t>
      </w:r>
      <w:r>
        <w:fldChar w:fldCharType="begin"/>
      </w:r>
      <w:r>
        <w:instrText xml:space="preserve"> SEQ Table_SI. \* ARABIC </w:instrText>
      </w:r>
      <w:r>
        <w:fldChar w:fldCharType="separate"/>
      </w:r>
      <w:r w:rsidR="00F25F8C">
        <w:rPr>
          <w:noProof/>
        </w:rPr>
        <w:t>12</w:t>
      </w:r>
      <w:r>
        <w:fldChar w:fldCharType="end"/>
      </w:r>
      <w:bookmarkEnd w:id="67"/>
      <w:r w:rsidR="008359D5" w:rsidRPr="00C63D93">
        <w:t xml:space="preserve"> – Parameters specific to LT WHR</w:t>
      </w:r>
      <w:bookmarkEnd w:id="68"/>
      <w:bookmarkEnd w:id="69"/>
    </w:p>
    <w:tbl>
      <w:tblPr>
        <w:tblStyle w:val="Tableausimple2"/>
        <w:tblW w:w="0" w:type="auto"/>
        <w:jc w:val="center"/>
        <w:tblLook w:val="04A0" w:firstRow="1" w:lastRow="0" w:firstColumn="1" w:lastColumn="0" w:noHBand="0" w:noVBand="1"/>
      </w:tblPr>
      <w:tblGrid>
        <w:gridCol w:w="399"/>
        <w:gridCol w:w="1067"/>
        <w:gridCol w:w="1046"/>
        <w:gridCol w:w="992"/>
        <w:gridCol w:w="1015"/>
        <w:gridCol w:w="4553"/>
      </w:tblGrid>
      <w:tr w:rsidR="008359D5" w:rsidRPr="00877BEE" w14:paraId="20D21058" w14:textId="77777777" w:rsidTr="00FE231F">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7102082B" w14:textId="77777777" w:rsidR="008359D5" w:rsidRPr="00877BEE" w:rsidRDefault="008359D5" w:rsidP="00D31C73">
            <w:pPr>
              <w:rPr>
                <w:sz w:val="18"/>
                <w:szCs w:val="18"/>
              </w:rPr>
            </w:pPr>
            <w:r w:rsidRPr="00877BEE">
              <w:rPr>
                <w:sz w:val="18"/>
                <w:szCs w:val="18"/>
              </w:rPr>
              <w:t>n°</w:t>
            </w:r>
          </w:p>
        </w:tc>
        <w:tc>
          <w:tcPr>
            <w:tcW w:w="0" w:type="auto"/>
          </w:tcPr>
          <w:p w14:paraId="76005579" w14:textId="77777777" w:rsidR="008359D5" w:rsidRPr="00877BEE" w:rsidRDefault="008359D5" w:rsidP="00D31C73">
            <w:pPr>
              <w:jc w:val="right"/>
              <w:cnfStyle w:val="100000000000" w:firstRow="1" w:lastRow="0" w:firstColumn="0" w:lastColumn="0" w:oddVBand="0" w:evenVBand="0" w:oddHBand="0" w:evenHBand="0" w:firstRowFirstColumn="0" w:firstRowLastColumn="0" w:lastRowFirstColumn="0" w:lastRowLastColumn="0"/>
              <w:rPr>
                <w:sz w:val="18"/>
                <w:szCs w:val="18"/>
              </w:rPr>
            </w:pPr>
            <w:r w:rsidRPr="00877BEE">
              <w:rPr>
                <w:sz w:val="18"/>
                <w:szCs w:val="18"/>
              </w:rPr>
              <w:t>Parameter</w:t>
            </w:r>
          </w:p>
        </w:tc>
        <w:tc>
          <w:tcPr>
            <w:tcW w:w="1046" w:type="dxa"/>
          </w:tcPr>
          <w:p w14:paraId="05DC0CE7" w14:textId="77777777" w:rsidR="008359D5" w:rsidRPr="00877BEE" w:rsidRDefault="008359D5" w:rsidP="00D31C73">
            <w:pPr>
              <w:cnfStyle w:val="100000000000" w:firstRow="1" w:lastRow="0" w:firstColumn="0" w:lastColumn="0" w:oddVBand="0" w:evenVBand="0" w:oddHBand="0" w:evenHBand="0" w:firstRowFirstColumn="0" w:firstRowLastColumn="0" w:lastRowFirstColumn="0" w:lastRowLastColumn="0"/>
              <w:rPr>
                <w:sz w:val="18"/>
                <w:szCs w:val="18"/>
              </w:rPr>
            </w:pPr>
            <w:r w:rsidRPr="00877BEE">
              <w:rPr>
                <w:sz w:val="18"/>
                <w:szCs w:val="18"/>
              </w:rPr>
              <w:t>Unit</w:t>
            </w:r>
          </w:p>
        </w:tc>
        <w:tc>
          <w:tcPr>
            <w:tcW w:w="992" w:type="dxa"/>
          </w:tcPr>
          <w:p w14:paraId="65E7BCD4" w14:textId="77777777" w:rsidR="008359D5" w:rsidRPr="00877BEE" w:rsidRDefault="008359D5" w:rsidP="00D31C73">
            <w:pPr>
              <w:cnfStyle w:val="100000000000" w:firstRow="1" w:lastRow="0" w:firstColumn="0" w:lastColumn="0" w:oddVBand="0" w:evenVBand="0" w:oddHBand="0" w:evenHBand="0" w:firstRowFirstColumn="0" w:firstRowLastColumn="0" w:lastRowFirstColumn="0" w:lastRowLastColumn="0"/>
              <w:rPr>
                <w:sz w:val="18"/>
                <w:szCs w:val="18"/>
              </w:rPr>
            </w:pPr>
            <w:r w:rsidRPr="00877BEE">
              <w:rPr>
                <w:sz w:val="18"/>
                <w:szCs w:val="18"/>
              </w:rPr>
              <w:t>Baseline value</w:t>
            </w:r>
          </w:p>
        </w:tc>
        <w:tc>
          <w:tcPr>
            <w:tcW w:w="1015" w:type="dxa"/>
          </w:tcPr>
          <w:p w14:paraId="0643F2BA" w14:textId="77777777" w:rsidR="008359D5" w:rsidRPr="00877BEE" w:rsidRDefault="008359D5" w:rsidP="00D31C73">
            <w:pPr>
              <w:cnfStyle w:val="100000000000" w:firstRow="1" w:lastRow="0" w:firstColumn="0" w:lastColumn="0" w:oddVBand="0" w:evenVBand="0" w:oddHBand="0" w:evenHBand="0" w:firstRowFirstColumn="0" w:firstRowLastColumn="0" w:lastRowFirstColumn="0" w:lastRowLastColumn="0"/>
              <w:rPr>
                <w:sz w:val="18"/>
                <w:szCs w:val="18"/>
              </w:rPr>
            </w:pPr>
            <w:r w:rsidRPr="00877BEE">
              <w:rPr>
                <w:sz w:val="18"/>
                <w:szCs w:val="18"/>
              </w:rPr>
              <w:t>Variation range</w:t>
            </w:r>
          </w:p>
        </w:tc>
        <w:tc>
          <w:tcPr>
            <w:tcW w:w="0" w:type="auto"/>
          </w:tcPr>
          <w:p w14:paraId="77C377A6" w14:textId="77777777" w:rsidR="008359D5" w:rsidRPr="00877BEE" w:rsidRDefault="008359D5" w:rsidP="00E9442B">
            <w:pPr>
              <w:cnfStyle w:val="100000000000" w:firstRow="1" w:lastRow="0" w:firstColumn="0" w:lastColumn="0" w:oddVBand="0" w:evenVBand="0" w:oddHBand="0" w:evenHBand="0" w:firstRowFirstColumn="0" w:firstRowLastColumn="0" w:lastRowFirstColumn="0" w:lastRowLastColumn="0"/>
              <w:rPr>
                <w:i/>
                <w:sz w:val="18"/>
                <w:szCs w:val="18"/>
              </w:rPr>
            </w:pPr>
            <w:r w:rsidRPr="00877BEE">
              <w:rPr>
                <w:i/>
                <w:sz w:val="18"/>
                <w:szCs w:val="18"/>
              </w:rPr>
              <w:t>Comment</w:t>
            </w:r>
          </w:p>
        </w:tc>
      </w:tr>
      <w:tr w:rsidR="008359D5" w:rsidRPr="00877BEE" w14:paraId="3AB37357" w14:textId="77777777" w:rsidTr="00FE231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35C9CF52" w14:textId="77777777" w:rsidR="008359D5" w:rsidRPr="00877BEE" w:rsidRDefault="008359D5" w:rsidP="00D31C73">
            <w:pPr>
              <w:rPr>
                <w:sz w:val="18"/>
                <w:szCs w:val="18"/>
              </w:rPr>
            </w:pPr>
            <w:r w:rsidRPr="00877BEE">
              <w:rPr>
                <w:sz w:val="18"/>
                <w:szCs w:val="18"/>
              </w:rPr>
              <w:t>30</w:t>
            </w:r>
          </w:p>
        </w:tc>
        <w:tc>
          <w:tcPr>
            <w:tcW w:w="0" w:type="auto"/>
          </w:tcPr>
          <w:p w14:paraId="1A233DFB" w14:textId="77777777" w:rsidR="008359D5" w:rsidRPr="00877BEE" w:rsidRDefault="008359D5" w:rsidP="00D31C73">
            <w:pPr>
              <w:jc w:val="right"/>
              <w:cnfStyle w:val="000000100000" w:firstRow="0" w:lastRow="0" w:firstColumn="0" w:lastColumn="0" w:oddVBand="0" w:evenVBand="0" w:oddHBand="1" w:evenHBand="0" w:firstRowFirstColumn="0" w:firstRowLastColumn="0" w:lastRowFirstColumn="0" w:lastRowLastColumn="0"/>
              <w:rPr>
                <w:sz w:val="18"/>
                <w:szCs w:val="18"/>
              </w:rPr>
            </w:pPr>
            <w:r w:rsidRPr="00877BEE">
              <w:rPr>
                <w:sz w:val="18"/>
                <w:szCs w:val="18"/>
              </w:rPr>
              <w:t>Cooling COP</w:t>
            </w:r>
          </w:p>
        </w:tc>
        <w:tc>
          <w:tcPr>
            <w:tcW w:w="1046" w:type="dxa"/>
          </w:tcPr>
          <w:p w14:paraId="550D7AB5" w14:textId="77777777" w:rsidR="008359D5" w:rsidRPr="00877BEE" w:rsidRDefault="008359D5" w:rsidP="00D31C73">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877BEE">
              <w:rPr>
                <w:sz w:val="18"/>
                <w:szCs w:val="18"/>
              </w:rPr>
              <w:t>kW.kWe</w:t>
            </w:r>
            <w:proofErr w:type="gramEnd"/>
            <w:r w:rsidRPr="00877BEE">
              <w:rPr>
                <w:sz w:val="18"/>
                <w:szCs w:val="18"/>
                <w:vertAlign w:val="superscript"/>
              </w:rPr>
              <w:t>-1</w:t>
            </w:r>
          </w:p>
        </w:tc>
        <w:tc>
          <w:tcPr>
            <w:tcW w:w="992" w:type="dxa"/>
          </w:tcPr>
          <w:p w14:paraId="01295843" w14:textId="77777777" w:rsidR="008359D5" w:rsidRPr="00877BEE" w:rsidRDefault="008359D5" w:rsidP="00D31C73">
            <w:pPr>
              <w:cnfStyle w:val="000000100000" w:firstRow="0" w:lastRow="0" w:firstColumn="0" w:lastColumn="0" w:oddVBand="0" w:evenVBand="0" w:oddHBand="1" w:evenHBand="0" w:firstRowFirstColumn="0" w:firstRowLastColumn="0" w:lastRowFirstColumn="0" w:lastRowLastColumn="0"/>
              <w:rPr>
                <w:sz w:val="18"/>
                <w:szCs w:val="18"/>
              </w:rPr>
            </w:pPr>
            <w:r w:rsidRPr="00877BEE">
              <w:rPr>
                <w:sz w:val="18"/>
                <w:szCs w:val="18"/>
              </w:rPr>
              <w:t>5</w:t>
            </w:r>
          </w:p>
        </w:tc>
        <w:tc>
          <w:tcPr>
            <w:tcW w:w="1015" w:type="dxa"/>
          </w:tcPr>
          <w:p w14:paraId="2A2BA209" w14:textId="77777777" w:rsidR="008359D5" w:rsidRPr="00877BEE" w:rsidRDefault="008359D5" w:rsidP="00D31C73">
            <w:pPr>
              <w:cnfStyle w:val="000000100000" w:firstRow="0" w:lastRow="0" w:firstColumn="0" w:lastColumn="0" w:oddVBand="0" w:evenVBand="0" w:oddHBand="1" w:evenHBand="0" w:firstRowFirstColumn="0" w:firstRowLastColumn="0" w:lastRowFirstColumn="0" w:lastRowLastColumn="0"/>
              <w:rPr>
                <w:sz w:val="18"/>
                <w:szCs w:val="18"/>
              </w:rPr>
            </w:pPr>
            <w:r w:rsidRPr="00877BEE">
              <w:rPr>
                <w:sz w:val="18"/>
                <w:szCs w:val="18"/>
              </w:rPr>
              <w:t>2-7</w:t>
            </w:r>
          </w:p>
        </w:tc>
        <w:tc>
          <w:tcPr>
            <w:tcW w:w="0" w:type="auto"/>
          </w:tcPr>
          <w:p w14:paraId="66F406BD" w14:textId="468C071E" w:rsidR="008359D5" w:rsidRPr="00877BEE" w:rsidRDefault="008359D5"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877BEE">
              <w:rPr>
                <w:i/>
                <w:sz w:val="18"/>
                <w:szCs w:val="18"/>
              </w:rPr>
              <w:t>Compression heat pump, based on published reviews</w:t>
            </w:r>
            <w:r w:rsidRPr="00877BEE">
              <w:rPr>
                <w:i/>
                <w:sz w:val="18"/>
                <w:szCs w:val="18"/>
              </w:rPr>
              <w:fldChar w:fldCharType="begin"/>
            </w:r>
            <w:r w:rsidR="00827449">
              <w:rPr>
                <w:i/>
                <w:sz w:val="18"/>
                <w:szCs w:val="18"/>
              </w:rPr>
              <w:instrText xml:space="preserve"> ADDIN ZOTERO_ITEM CSL_CITATION {"citationID":"DaJIomzn","properties":{"formattedCitation":"\\super 40\\uc0\\u8211{}42\\nosupersub{}","plainCitation":"40–42","noteIndex":0},"citationItems":[{"id":12853,"uris":["http://zotero.org/users/6423791/items/NHUWJREK"],"itemData":{"id":12853,"type":"article-journal","abstract":"Methane emitted and flared from industrial sources across the United States is a major contributor to global climate change. Methanotrophic bacteria can transform this methane into useful protein-rich biomass, already approved for inclusion into animal feed. In the rapidly growing aquaculture industry, methanotrophic additives have a favourable amino acid profile and can offset ocean-caught fishmeal, reducing demands on over-harvested fisheries. Here we analyse the economic potential of producing methanotrophic microbial protein from stranded methane produced at wastewater treatment plants, landfills, and oil and gas facilities. Our results show that current technology can enable production, in the United States alone, equivalent to 14% of the global fishmeal market at prices at or below the current cost of fishmeal (roughly US$1,600 per metric ton). A sensitivity analysis highlights technically and economically feasible cost reductions (such as reduced cooling or labour requirements), which could allow stranded methane from the United States alone to satisfy global fishmeal demand.","container-title":"Nature Sustainability","DOI":"10.1038/s41893-021-00796-2","ISSN":"2398-9629","journalAbbreviation":"Nat. Sustain.","language":"en","license":"2021 The Author(s), under exclusive licence to Springer Nature Limited","note":"Bandiera_abtest: a\nCg_type: Nature Research Journals\nPrimary_atype: Research\npublisher: Nature Publishing Group\nSubject_term: Environmental biotechnology;Environmental economics\nSubject_term_id: environmental-biotechnology;environmental-economics","page":"1-10","source":"www.nature.com","title":"Displacing fishmeal with protein derived from stranded methane","author":[{"family":"El Abbadi","given":"Sahar H."},{"family":"Sherwin","given":"Evan D."},{"family":"Brandt","given":"Adam R."},{"family":"Luby","given":"Stephen P."},{"family":"Criddle","given":"Craig S."}],"issued":{"date-parts":[["2021",11,22]]}}},{"id":13068,"uris":["http://zotero.org/users/6423791/items/RK8J2DQC"],"itemData":{"id":13068,"type":"article-journal","abstract":"Alternative protein sources such as microbial protein (MP) are currently considered to alleviate the burden that food production exerts on the environment. Even though MP production is highly efficient in land and nutrient utilization, their carbon footprint should be improved. Here we propose the use of CCU as a driver for heterotrophic MP production. By comparing different MP production routes starting from liquid substrates derived from CO2 (i.e., formate, acetate, methanol, and ethanol) and their respective metabolic pathways, the potential of this concept as a carbon–neutral food or feed production process was estimated. Acetate and ethanol appear to be the most beneficial substrates for the integrated CCU-to-MP process in terms of electricity demand (acetate: 25 – 54 kWh/kgproduct, ethanol: 28 – 56 kWh/kgproduct). Moreover, recycling CO2 enables a carbon-negative protein production process by 2030 (considering the projected CO2 emissions from electricity in the EU: 0.096 kgCO2-eq/kWh) for formate, acetate, and ethanol (-1.1 up to 13 kgCO2-eq/kgproduct).","container-title":"Bioresource Technology","DOI":"10.1016/j.biortech.2022.126853","ISSN":"0960-8524","journalAbbreviation":"Bioresour. Technol.","language":"en","page":"126853","source":"ScienceDirect","title":"Towards new carbon–neutral food systems: Combining carbon capture and utilization with microbial protein production","title-short":"Towards new carbon–neutral food systems","volume":"349","author":[{"family":"Van Peteghem","given":"L."},{"family":"Sakarika","given":"M."},{"family":"Matassa","given":"S."},{"family":"Pikaar","given":"I."},{"family":"Ganigué","given":"R."},{"family":"Rabaey","given":"K."}],"issued":{"date-parts":[["2022",4,1]]}}},{"id":13181,"uris":["http://zotero.org/users/6423791/items/EIWBE7QH"],"itemData":{"id":13181,"type":"article-journal","container-title":"Environ. Res. Lett.","language":"en","page":"15","source":"Zotero","title":"The CO2 reduction potential for the European industry via direct electrification of heat supply (power-to-heat)","author":[{"family":"Madeddu","given":"Silvia"},{"family":"Ueckerdt","given":"Falko"},{"family":"Pehl","given":"Michaja"},{"family":"Peterseim","given":"Juergen"},{"family":"Lord","given":"Michael"},{"family":"Kumar","given":"Karthik Ajith"},{"family":"Krüger","given":"Christoph"},{"family":"Luderer","given":"Gunnar"}],"issued":{"date-parts":[["2020"]]}}}],"schema":"https://github.com/citation-style-language/schema/raw/master/csl-citation.json"} </w:instrText>
            </w:r>
            <w:r w:rsidRPr="00877BEE">
              <w:rPr>
                <w:i/>
                <w:sz w:val="18"/>
                <w:szCs w:val="18"/>
              </w:rPr>
              <w:fldChar w:fldCharType="separate"/>
            </w:r>
            <w:r w:rsidR="008C451C" w:rsidRPr="008C451C">
              <w:rPr>
                <w:rFonts w:ascii="Calibri" w:hAnsi="Calibri" w:cs="Calibri"/>
                <w:sz w:val="18"/>
                <w:szCs w:val="24"/>
                <w:vertAlign w:val="superscript"/>
              </w:rPr>
              <w:t>40–42</w:t>
            </w:r>
            <w:r w:rsidRPr="00877BEE">
              <w:rPr>
                <w:i/>
                <w:sz w:val="18"/>
                <w:szCs w:val="18"/>
              </w:rPr>
              <w:fldChar w:fldCharType="end"/>
            </w:r>
            <w:r w:rsidRPr="00877BEE">
              <w:rPr>
                <w:i/>
                <w:sz w:val="18"/>
                <w:szCs w:val="18"/>
              </w:rPr>
              <w:t>. Baseline value as forecasted by the EU reference scenario</w:t>
            </w:r>
            <w:r w:rsidRPr="00877BEE">
              <w:rPr>
                <w:i/>
                <w:sz w:val="18"/>
                <w:szCs w:val="18"/>
              </w:rPr>
              <w:fldChar w:fldCharType="begin"/>
            </w:r>
            <w:r w:rsidR="008C451C">
              <w:rPr>
                <w:i/>
                <w:sz w:val="18"/>
                <w:szCs w:val="18"/>
              </w:rPr>
              <w:instrText xml:space="preserve"> ADDIN ZOTERO_ITEM CSL_CITATION {"citationID":"1gxvknd2","properties":{"formattedCitation":"\\super 46\\nosupersub{}","plainCitation":"46","noteIndex":0},"citationItems":[{"id":13241,"uris":["http://zotero.org/users/6423791/items/4I7TA53T"],"itemData":{"id":13241,"type":"book","event-place":"LU","ISBN":"978-92-76-39356-6","language":"en","number-of-pages":"184","publisher":"Publications Office of the European Union","publisher-place":"LU","source":"DOI.org (CSL JSON)","title":"EU reference scenario 2020: energy, transport and GHG emissions : trends to 2050.","title-short":"EU reference scenario 2020","URL":"https://data.europa.eu/doi/10.2833/35750","author":[{"literal":"European Commission"}],"accessed":{"date-parts":[["2022",5,1]]},"issued":{"date-parts":[["2021"]]}}}],"schema":"https://github.com/citation-style-language/schema/raw/master/csl-citation.json"} </w:instrText>
            </w:r>
            <w:r w:rsidRPr="00877BEE">
              <w:rPr>
                <w:i/>
                <w:sz w:val="18"/>
                <w:szCs w:val="18"/>
              </w:rPr>
              <w:fldChar w:fldCharType="separate"/>
            </w:r>
            <w:r w:rsidR="008C451C" w:rsidRPr="008C451C">
              <w:rPr>
                <w:rFonts w:ascii="Calibri" w:hAnsi="Calibri" w:cs="Calibri"/>
                <w:sz w:val="18"/>
                <w:szCs w:val="24"/>
                <w:vertAlign w:val="superscript"/>
              </w:rPr>
              <w:t>46</w:t>
            </w:r>
            <w:r w:rsidRPr="00877BEE">
              <w:rPr>
                <w:i/>
                <w:sz w:val="18"/>
                <w:szCs w:val="18"/>
              </w:rPr>
              <w:fldChar w:fldCharType="end"/>
            </w:r>
          </w:p>
        </w:tc>
      </w:tr>
      <w:tr w:rsidR="008359D5" w:rsidRPr="00877BEE" w14:paraId="62314FE1" w14:textId="77777777" w:rsidTr="00FE231F">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115C9757" w14:textId="77777777" w:rsidR="008359D5" w:rsidRPr="00877BEE" w:rsidRDefault="008359D5" w:rsidP="00D31C73">
            <w:pPr>
              <w:rPr>
                <w:sz w:val="18"/>
                <w:szCs w:val="18"/>
              </w:rPr>
            </w:pPr>
            <w:r w:rsidRPr="00877BEE">
              <w:rPr>
                <w:sz w:val="18"/>
                <w:szCs w:val="18"/>
              </w:rPr>
              <w:t>31</w:t>
            </w:r>
          </w:p>
        </w:tc>
        <w:tc>
          <w:tcPr>
            <w:tcW w:w="0" w:type="auto"/>
          </w:tcPr>
          <w:p w14:paraId="2826AA11" w14:textId="77777777" w:rsidR="008359D5" w:rsidRPr="00877BEE" w:rsidRDefault="008359D5" w:rsidP="00D31C73">
            <w:pPr>
              <w:jc w:val="right"/>
              <w:cnfStyle w:val="000000000000" w:firstRow="0" w:lastRow="0" w:firstColumn="0" w:lastColumn="0" w:oddVBand="0" w:evenVBand="0" w:oddHBand="0" w:evenHBand="0" w:firstRowFirstColumn="0" w:firstRowLastColumn="0" w:lastRowFirstColumn="0" w:lastRowLastColumn="0"/>
              <w:rPr>
                <w:sz w:val="18"/>
                <w:szCs w:val="18"/>
              </w:rPr>
            </w:pPr>
            <w:r w:rsidRPr="00877BEE">
              <w:rPr>
                <w:sz w:val="18"/>
                <w:szCs w:val="18"/>
              </w:rPr>
              <w:t>LT heat reuse</w:t>
            </w:r>
          </w:p>
        </w:tc>
        <w:tc>
          <w:tcPr>
            <w:tcW w:w="1046" w:type="dxa"/>
          </w:tcPr>
          <w:p w14:paraId="6E571043" w14:textId="77777777" w:rsidR="008359D5" w:rsidRPr="00877BEE" w:rsidRDefault="008359D5" w:rsidP="00D31C73">
            <w:pPr>
              <w:cnfStyle w:val="000000000000" w:firstRow="0" w:lastRow="0" w:firstColumn="0" w:lastColumn="0" w:oddVBand="0" w:evenVBand="0" w:oddHBand="0" w:evenHBand="0" w:firstRowFirstColumn="0" w:firstRowLastColumn="0" w:lastRowFirstColumn="0" w:lastRowLastColumn="0"/>
              <w:rPr>
                <w:sz w:val="18"/>
                <w:szCs w:val="18"/>
              </w:rPr>
            </w:pPr>
            <w:r w:rsidRPr="00877BEE">
              <w:rPr>
                <w:sz w:val="18"/>
                <w:szCs w:val="18"/>
              </w:rPr>
              <w:t>%</w:t>
            </w:r>
            <w:r w:rsidRPr="00877BEE">
              <w:rPr>
                <w:sz w:val="18"/>
                <w:szCs w:val="18"/>
                <w:vertAlign w:val="subscript"/>
              </w:rPr>
              <w:t>MJ</w:t>
            </w:r>
          </w:p>
        </w:tc>
        <w:tc>
          <w:tcPr>
            <w:tcW w:w="992" w:type="dxa"/>
          </w:tcPr>
          <w:p w14:paraId="1D17BC20" w14:textId="77777777" w:rsidR="008359D5" w:rsidRPr="00877BEE" w:rsidRDefault="008359D5" w:rsidP="00D31C73">
            <w:pPr>
              <w:cnfStyle w:val="000000000000" w:firstRow="0" w:lastRow="0" w:firstColumn="0" w:lastColumn="0" w:oddVBand="0" w:evenVBand="0" w:oddHBand="0" w:evenHBand="0" w:firstRowFirstColumn="0" w:firstRowLastColumn="0" w:lastRowFirstColumn="0" w:lastRowLastColumn="0"/>
              <w:rPr>
                <w:sz w:val="18"/>
                <w:szCs w:val="18"/>
              </w:rPr>
            </w:pPr>
            <w:r w:rsidRPr="00877BEE">
              <w:rPr>
                <w:sz w:val="18"/>
                <w:szCs w:val="18"/>
              </w:rPr>
              <w:t>50%</w:t>
            </w:r>
          </w:p>
        </w:tc>
        <w:tc>
          <w:tcPr>
            <w:tcW w:w="1015" w:type="dxa"/>
          </w:tcPr>
          <w:p w14:paraId="3298CCC0" w14:textId="77777777" w:rsidR="008359D5" w:rsidRPr="00877BEE" w:rsidRDefault="008359D5" w:rsidP="00D31C73">
            <w:pPr>
              <w:cnfStyle w:val="000000000000" w:firstRow="0" w:lastRow="0" w:firstColumn="0" w:lastColumn="0" w:oddVBand="0" w:evenVBand="0" w:oddHBand="0" w:evenHBand="0" w:firstRowFirstColumn="0" w:firstRowLastColumn="0" w:lastRowFirstColumn="0" w:lastRowLastColumn="0"/>
              <w:rPr>
                <w:sz w:val="18"/>
                <w:szCs w:val="18"/>
              </w:rPr>
            </w:pPr>
            <w:r w:rsidRPr="00877BEE">
              <w:rPr>
                <w:sz w:val="18"/>
                <w:szCs w:val="18"/>
              </w:rPr>
              <w:t>20-65%</w:t>
            </w:r>
          </w:p>
        </w:tc>
        <w:tc>
          <w:tcPr>
            <w:tcW w:w="0" w:type="auto"/>
          </w:tcPr>
          <w:p w14:paraId="2AF3B346" w14:textId="32A4C594" w:rsidR="008359D5" w:rsidRPr="00877BEE" w:rsidRDefault="008359D5"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r w:rsidRPr="00877BEE">
              <w:rPr>
                <w:i/>
                <w:sz w:val="18"/>
                <w:szCs w:val="18"/>
              </w:rPr>
              <w:t>Higher range as theoretical limit</w:t>
            </w:r>
            <w:r w:rsidRPr="00877BEE">
              <w:rPr>
                <w:i/>
                <w:sz w:val="18"/>
                <w:szCs w:val="18"/>
              </w:rPr>
              <w:fldChar w:fldCharType="begin"/>
            </w:r>
            <w:r w:rsidR="008C451C">
              <w:rPr>
                <w:i/>
                <w:sz w:val="18"/>
                <w:szCs w:val="18"/>
              </w:rPr>
              <w:instrText xml:space="preserve"> ADDIN ZOTERO_ITEM CSL_CITATION {"citationID":"SYZ2fUwJ","properties":{"formattedCitation":"\\super 30\\nosupersub{}","plainCitation":"30","noteIndex":0},"citationItems":[{"id":13185,"uris":["http://zotero.org/users/6423791/items/ASBVABFU"],"itemData":{"id":13185,"type":"article-journal","abstract":"Thermal energy loss in the process industry is a significant issue due to the high temperatures and multiple heat intensive processes involved. High-grade thermal energy is typically recovered within processes. However, lower grade heat is often rejected to the environment. The benefits of capturing and utilising low grade thermal energy are highly dependent on the qualities and properties of the heat in the waste streams. The temperature of the low grade heat stream is the most important parameter, as the effective use of the residual heat or the efficiency of energy recovery from the low grade heat sources will mainly depend on the temperature difference between the source and a suitable sink, e.g. another process or space heating/cooling. In general, the temperatures of these waste heat sources are too low to produce electricity and direct heat use will depend on whether potential user can be found. This paper presents past and current drivers for heat recovery studies. High and low grade heat sources are defined according to the viability of recovery within the processes. Firstly, high grade heat capture within the processes is reviewed. Then, the focus is on the potential for low grade heat capture outside of the original plant. The paper addresses the potential for low grade heat recovery with regard to new incentives and technological advances. Finally, different aspects which influence the decision making for low grade heat recovery in the process industry are discussed. It is concluded that organisational, financial and economic barriers might be overcome and benefits from a holistic vision could be gained with stronger governmental policy and regulation incentives.","collection-title":"Special issue on Thermal Energy Management in the Process Industries","container-title":"Applied Energy","DOI":"10.1016/j.apenergy.2011.06.003","ISSN":"0306-2619","issue":"1","journalAbbreviation":"Applied Energy","language":"en","page":"3-20","source":"ScienceDirect","title":"Low grade thermal energy sources and uses from the process industry in the UK","volume":"89","author":[{"family":"Ammar","given":"Yasmine"},{"family":"Joyce","given":"Sharon"},{"family":"Norman","given":"Rosemary"},{"family":"Wang","given":"Yaodong"},{"family":"Roskilly","given":"Anthony P."}],"issued":{"date-parts":[["2012",1,1]]}}}],"schema":"https://github.com/citation-style-language/schema/raw/master/csl-citation.json"} </w:instrText>
            </w:r>
            <w:r w:rsidRPr="00877BEE">
              <w:rPr>
                <w:i/>
                <w:sz w:val="18"/>
                <w:szCs w:val="18"/>
              </w:rPr>
              <w:fldChar w:fldCharType="separate"/>
            </w:r>
            <w:r w:rsidR="008C451C" w:rsidRPr="008C451C">
              <w:rPr>
                <w:rFonts w:ascii="Calibri" w:hAnsi="Calibri" w:cs="Calibri"/>
                <w:sz w:val="18"/>
                <w:szCs w:val="24"/>
                <w:vertAlign w:val="superscript"/>
              </w:rPr>
              <w:t>30</w:t>
            </w:r>
            <w:r w:rsidRPr="00877BEE">
              <w:rPr>
                <w:i/>
                <w:sz w:val="18"/>
                <w:szCs w:val="18"/>
              </w:rPr>
              <w:fldChar w:fldCharType="end"/>
            </w:r>
            <w:r w:rsidRPr="00877BEE">
              <w:rPr>
                <w:i/>
                <w:sz w:val="18"/>
                <w:szCs w:val="18"/>
              </w:rPr>
              <w:t>, lower range and baseline assumed considering seasonality of LT heat demand (lower in summer) and required spatial integration.</w:t>
            </w:r>
          </w:p>
        </w:tc>
      </w:tr>
    </w:tbl>
    <w:p w14:paraId="18D26792" w14:textId="20C03489" w:rsidR="008359D5" w:rsidRDefault="008359D5" w:rsidP="006B5342">
      <w:pPr>
        <w:jc w:val="both"/>
        <w:rPr>
          <w:sz w:val="18"/>
        </w:rPr>
      </w:pPr>
      <w:r w:rsidRPr="003F5DA8">
        <w:rPr>
          <w:sz w:val="18"/>
        </w:rPr>
        <w:t xml:space="preserve">Numbering of parameters corresponds to the one </w:t>
      </w:r>
      <w:r>
        <w:rPr>
          <w:sz w:val="18"/>
        </w:rPr>
        <w:t xml:space="preserve">of </w:t>
      </w:r>
      <w:r w:rsidR="00877BEE" w:rsidRPr="00FE231F">
        <w:rPr>
          <w:b/>
          <w:sz w:val="18"/>
          <w:szCs w:val="18"/>
        </w:rPr>
        <w:fldChar w:fldCharType="begin"/>
      </w:r>
      <w:r w:rsidR="00877BEE" w:rsidRPr="00FE231F">
        <w:rPr>
          <w:b/>
          <w:sz w:val="18"/>
          <w:szCs w:val="18"/>
        </w:rPr>
        <w:instrText xml:space="preserve"> REF _Ref144914839 \h  \* MERGEFORMAT </w:instrText>
      </w:r>
      <w:r w:rsidR="00877BEE" w:rsidRPr="00FE231F">
        <w:rPr>
          <w:b/>
          <w:sz w:val="18"/>
          <w:szCs w:val="18"/>
        </w:rPr>
      </w:r>
      <w:r w:rsidR="00877BEE" w:rsidRPr="00FE231F">
        <w:rPr>
          <w:b/>
          <w:sz w:val="18"/>
          <w:szCs w:val="18"/>
        </w:rPr>
        <w:fldChar w:fldCharType="separate"/>
      </w:r>
      <w:r w:rsidR="00877BEE" w:rsidRPr="00FE231F">
        <w:rPr>
          <w:b/>
          <w:sz w:val="18"/>
          <w:szCs w:val="18"/>
        </w:rPr>
        <w:t xml:space="preserve">Table SI. </w:t>
      </w:r>
      <w:r w:rsidR="00877BEE" w:rsidRPr="00FE231F">
        <w:rPr>
          <w:b/>
          <w:noProof/>
          <w:sz w:val="18"/>
          <w:szCs w:val="18"/>
        </w:rPr>
        <w:t>103</w:t>
      </w:r>
      <w:r w:rsidR="00877BEE" w:rsidRPr="00FE231F">
        <w:rPr>
          <w:b/>
          <w:sz w:val="18"/>
          <w:szCs w:val="18"/>
        </w:rPr>
        <w:fldChar w:fldCharType="end"/>
      </w:r>
      <w:r w:rsidRPr="00FE231F">
        <w:rPr>
          <w:sz w:val="18"/>
        </w:rPr>
        <w:t>.</w:t>
      </w:r>
    </w:p>
    <w:p w14:paraId="0E7591F0" w14:textId="77777777" w:rsidR="008359D5" w:rsidRPr="008359D5" w:rsidRDefault="008359D5" w:rsidP="000D6F35">
      <w:pPr>
        <w:pStyle w:val="Titre4"/>
      </w:pPr>
      <w:r w:rsidRPr="008359D5">
        <w:t>Co-products enthalpy valorization modeling</w:t>
      </w:r>
    </w:p>
    <w:p w14:paraId="4F6C545E" w14:textId="44747B42" w:rsidR="008359D5" w:rsidRPr="003F5DA8" w:rsidRDefault="008359D5" w:rsidP="008359D5">
      <w:pPr>
        <w:jc w:val="both"/>
      </w:pPr>
      <w:r w:rsidRPr="003F5DA8">
        <w:t>The chemical energy useful for combustion embedded in solid and gaseous co-products was estimated based on a calculated proxy of their higher</w:t>
      </w:r>
      <w:r>
        <w:t xml:space="preserve"> heating value (</w:t>
      </w:r>
      <w:r w:rsidR="007E4154" w:rsidRPr="007E4154">
        <w:rPr>
          <w:b/>
        </w:rPr>
        <w:fldChar w:fldCharType="begin"/>
      </w:r>
      <w:r w:rsidR="007E4154" w:rsidRPr="007E4154">
        <w:rPr>
          <w:b/>
        </w:rPr>
        <w:instrText xml:space="preserve"> REF _Ref144736445 \h </w:instrText>
      </w:r>
      <w:r w:rsidR="007E4154">
        <w:rPr>
          <w:b/>
        </w:rPr>
        <w:instrText xml:space="preserve"> \* MERGEFORMAT </w:instrText>
      </w:r>
      <w:r w:rsidR="007E4154" w:rsidRPr="007E4154">
        <w:rPr>
          <w:b/>
        </w:rPr>
      </w:r>
      <w:r w:rsidR="007E4154" w:rsidRPr="007E4154">
        <w:rPr>
          <w:b/>
        </w:rPr>
        <w:fldChar w:fldCharType="separate"/>
      </w:r>
      <w:r w:rsidR="00F25F8C" w:rsidRPr="00F25F8C">
        <w:rPr>
          <w:b/>
        </w:rPr>
        <w:t xml:space="preserve">Equation </w:t>
      </w:r>
      <w:r w:rsidR="00F25F8C" w:rsidRPr="00F25F8C">
        <w:rPr>
          <w:b/>
          <w:noProof/>
        </w:rPr>
        <w:t>5</w:t>
      </w:r>
      <w:r w:rsidR="007E4154" w:rsidRPr="007E4154">
        <w:rPr>
          <w:b/>
        </w:rPr>
        <w:fldChar w:fldCharType="end"/>
      </w:r>
      <w:r>
        <w:t>)</w:t>
      </w:r>
      <w:r w:rsidRPr="003F5DA8">
        <w:t>.</w:t>
      </w:r>
    </w:p>
    <w:p w14:paraId="63B9A6A0" w14:textId="0952E7BE" w:rsidR="007E4154" w:rsidRPr="007E4154" w:rsidRDefault="008359D5" w:rsidP="008359D5">
      <w:pPr>
        <w:jc w:val="both"/>
      </w:pPr>
      <w:r w:rsidRPr="003F5DA8">
        <w:t xml:space="preserve">Solid co-products direct energy valorization was modeled </w:t>
      </w:r>
      <w:r w:rsidR="007E4154">
        <w:t xml:space="preserve">by adapting </w:t>
      </w:r>
      <w:r w:rsidRPr="003F5DA8">
        <w:t xml:space="preserve">the </w:t>
      </w:r>
      <w:r w:rsidR="007E4154">
        <w:t xml:space="preserve">“domestic heating pathway” modeled by </w:t>
      </w:r>
      <w:r w:rsidR="00FE231F">
        <w:t xml:space="preserve">Javourez et </w:t>
      </w:r>
      <w:r w:rsidR="00FE231F" w:rsidRPr="003A663A">
        <w:t>al., 202</w:t>
      </w:r>
      <w:r w:rsidR="003A663A" w:rsidRPr="003A663A">
        <w:t>4</w:t>
      </w:r>
      <w:r w:rsidR="00FE231F" w:rsidRPr="003A663A">
        <w:fldChar w:fldCharType="begin"/>
      </w:r>
      <w:r w:rsidR="00827449">
        <w:instrText xml:space="preserve"> ADDIN ZOTERO_ITEM CSL_CITATION {"citationID":"QbVyLHOE","properties":{"formattedCitation":"\\super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FE231F" w:rsidRPr="003A663A">
        <w:fldChar w:fldCharType="separate"/>
      </w:r>
      <w:r w:rsidR="008C451C" w:rsidRPr="003A663A">
        <w:rPr>
          <w:rFonts w:ascii="Calibri" w:hAnsi="Calibri" w:cs="Calibri"/>
          <w:szCs w:val="24"/>
          <w:vertAlign w:val="superscript"/>
        </w:rPr>
        <w:t>1</w:t>
      </w:r>
      <w:r w:rsidR="00FE231F" w:rsidRPr="003A663A">
        <w:fldChar w:fldCharType="end"/>
      </w:r>
      <w:r w:rsidR="007E4154" w:rsidRPr="003A663A">
        <w:t xml:space="preserve"> as</w:t>
      </w:r>
      <w:r w:rsidR="007E4154">
        <w:t xml:space="preserve"> follows. </w:t>
      </w:r>
      <w:r w:rsidR="007E4154" w:rsidRPr="007E4154">
        <w:rPr>
          <w:i/>
        </w:rPr>
        <w:t>I</w:t>
      </w:r>
      <w:r w:rsidR="007E4154" w:rsidRPr="003F5DA8">
        <w:rPr>
          <w:i/>
        </w:rPr>
        <w:t>n-situ</w:t>
      </w:r>
      <w:r w:rsidR="007E4154">
        <w:t xml:space="preserve"> valorization was considered (no transportation), without standardization. </w:t>
      </w:r>
      <w:r w:rsidR="007E4154" w:rsidRPr="007E4154">
        <w:t xml:space="preserve">It implies that the uncertainties related to </w:t>
      </w:r>
      <w:r w:rsidR="007E4154">
        <w:t>emission factors (</w:t>
      </w:r>
      <w:r w:rsidR="007E4154" w:rsidRPr="007E4154">
        <w:t>EF</w:t>
      </w:r>
      <w:r w:rsidR="007E4154">
        <w:t>)</w:t>
      </w:r>
      <w:r w:rsidR="007E4154" w:rsidRPr="007E4154">
        <w:t xml:space="preserve"> were also neglected. Similarly, the industrial furnace efficiency was set as a technology parameter, </w:t>
      </w:r>
      <w:r w:rsidR="00A761F8">
        <w:t>and produce</w:t>
      </w:r>
      <w:r w:rsidR="008652FB">
        <w:t>d heat fully reused</w:t>
      </w:r>
      <w:r w:rsidR="007E4154" w:rsidRPr="007E4154">
        <w:t>, as solid biomass can be stored and used only when required. The ash mixture was assumed either land-farmed or landfilled depending on the waste status or the input (as for gaschar, see</w:t>
      </w:r>
      <w:r w:rsidR="00FE231F">
        <w:t xml:space="preserve"> </w:t>
      </w:r>
      <w:r w:rsidR="00C86BF0" w:rsidRPr="00C86BF0">
        <w:rPr>
          <w:b/>
        </w:rPr>
        <w:t>Table SI. 99</w:t>
      </w:r>
      <w:r w:rsidR="007E4154" w:rsidRPr="007E4154">
        <w:t>), and modeled with corresponding ecoinvent processes (</w:t>
      </w:r>
      <w:r w:rsidR="00C86BF0" w:rsidRPr="00C86BF0">
        <w:rPr>
          <w:b/>
        </w:rPr>
        <w:t>Table SI. 102</w:t>
      </w:r>
      <w:r w:rsidR="007E4154" w:rsidRPr="007E4154">
        <w:t>).</w:t>
      </w:r>
    </w:p>
    <w:p w14:paraId="2FC7F900" w14:textId="01DF31F2" w:rsidR="008359D5" w:rsidRDefault="008359D5" w:rsidP="007E4154">
      <w:pPr>
        <w:jc w:val="both"/>
      </w:pPr>
      <w:r w:rsidRPr="003F5DA8">
        <w:t xml:space="preserve">Gaseous co-products with </w:t>
      </w:r>
      <w:r>
        <w:t>significant LHV</w:t>
      </w:r>
      <w:r w:rsidRPr="003F5DA8">
        <w:t xml:space="preserve"> (here, only off-gases stemming from bioreactors</w:t>
      </w:r>
      <w:r>
        <w:t>, like CH</w:t>
      </w:r>
      <w:r w:rsidRPr="00411015">
        <w:rPr>
          <w:vertAlign w:val="subscript"/>
        </w:rPr>
        <w:t>4</w:t>
      </w:r>
      <w:r>
        <w:t>, CO, H</w:t>
      </w:r>
      <w:r w:rsidRPr="00411015">
        <w:rPr>
          <w:vertAlign w:val="subscript"/>
        </w:rPr>
        <w:t>2</w:t>
      </w:r>
      <w:r w:rsidRPr="003F5DA8">
        <w:t xml:space="preserve">) were considered continuously valorized </w:t>
      </w:r>
      <w:r w:rsidRPr="003F5DA8">
        <w:rPr>
          <w:i/>
        </w:rPr>
        <w:t>in-situ</w:t>
      </w:r>
      <w:r w:rsidRPr="003F5DA8">
        <w:t xml:space="preserve"> through an industrial gas boiler. Therefore, no additional pipeline network nor gas storage facilities were modeled. The </w:t>
      </w:r>
      <w:r w:rsidRPr="003F5DA8">
        <w:rPr>
          <w:i/>
        </w:rPr>
        <w:t>in-situ</w:t>
      </w:r>
      <w:r w:rsidRPr="003F5DA8">
        <w:t xml:space="preserve"> valorization was assumed to supply the own industrial heat demand of the integrated facility, therefore avoiding HT heat supplies from corresponding markets. However, the continuous energy valorization potentially leads to HT heat generation when not demanded. Accordingly, a share of HT heat effectively </w:t>
      </w:r>
      <w:r w:rsidR="008652FB">
        <w:t>reused</w:t>
      </w:r>
      <w:r w:rsidRPr="003F5DA8">
        <w:t xml:space="preserve"> was considered, assumed the same as for </w:t>
      </w:r>
      <w:r>
        <w:t xml:space="preserve">sensible </w:t>
      </w:r>
      <w:r w:rsidRPr="003F5DA8">
        <w:t xml:space="preserve">HT </w:t>
      </w:r>
      <w:r w:rsidRPr="009613A1">
        <w:t>WHR (</w:t>
      </w:r>
      <w:r w:rsidR="007E4154" w:rsidRPr="007E4154">
        <w:rPr>
          <w:b/>
        </w:rPr>
        <w:fldChar w:fldCharType="begin"/>
      </w:r>
      <w:r w:rsidR="007E4154" w:rsidRPr="007E4154">
        <w:rPr>
          <w:b/>
        </w:rPr>
        <w:instrText xml:space="preserve"> REF _Ref144737603 \h </w:instrText>
      </w:r>
      <w:r w:rsidR="007E4154">
        <w:rPr>
          <w:b/>
        </w:rPr>
        <w:instrText xml:space="preserve"> \* MERGEFORMAT </w:instrText>
      </w:r>
      <w:r w:rsidR="007E4154" w:rsidRPr="007E4154">
        <w:rPr>
          <w:b/>
        </w:rPr>
      </w:r>
      <w:r w:rsidR="007E4154" w:rsidRPr="007E4154">
        <w:rPr>
          <w:b/>
        </w:rPr>
        <w:fldChar w:fldCharType="separate"/>
      </w:r>
      <w:r w:rsidR="00F25F8C" w:rsidRPr="00F25F8C">
        <w:rPr>
          <w:b/>
        </w:rPr>
        <w:t xml:space="preserve">Table SI. </w:t>
      </w:r>
      <w:r w:rsidR="00F25F8C" w:rsidRPr="00F25F8C">
        <w:rPr>
          <w:b/>
          <w:noProof/>
        </w:rPr>
        <w:t>13</w:t>
      </w:r>
      <w:r w:rsidR="007E4154" w:rsidRPr="007E4154">
        <w:rPr>
          <w:b/>
        </w:rPr>
        <w:fldChar w:fldCharType="end"/>
      </w:r>
      <w:r w:rsidRPr="009613A1">
        <w:t>).</w:t>
      </w:r>
      <w:r w:rsidR="007E4154">
        <w:t xml:space="preserve"> </w:t>
      </w:r>
    </w:p>
    <w:p w14:paraId="25A84241" w14:textId="7D35E3A9" w:rsidR="008359D5" w:rsidRPr="009613A1" w:rsidRDefault="00874128" w:rsidP="006B5342">
      <w:pPr>
        <w:pStyle w:val="Lgende"/>
        <w:jc w:val="left"/>
        <w:rPr>
          <w:b w:val="0"/>
          <w:i/>
        </w:rPr>
      </w:pPr>
      <w:bookmarkStart w:id="70" w:name="_Ref144737603"/>
      <w:bookmarkStart w:id="71" w:name="_Toc134537588"/>
      <w:bookmarkStart w:id="72" w:name="_Toc151967897"/>
      <w:r>
        <w:t>Table SI.</w:t>
      </w:r>
      <w:r w:rsidR="008359D5" w:rsidRPr="00C63D93">
        <w:t xml:space="preserve"> </w:t>
      </w:r>
      <w:r>
        <w:fldChar w:fldCharType="begin"/>
      </w:r>
      <w:r>
        <w:instrText xml:space="preserve"> SEQ Table_SI. \* ARABIC </w:instrText>
      </w:r>
      <w:r>
        <w:fldChar w:fldCharType="separate"/>
      </w:r>
      <w:r w:rsidR="00F25F8C">
        <w:rPr>
          <w:noProof/>
        </w:rPr>
        <w:t>13</w:t>
      </w:r>
      <w:r>
        <w:fldChar w:fldCharType="end"/>
      </w:r>
      <w:bookmarkEnd w:id="70"/>
      <w:r w:rsidR="008359D5" w:rsidRPr="00C63D93">
        <w:t xml:space="preserve"> – Parameters specific to gaseous co-products energy valorization</w:t>
      </w:r>
      <w:bookmarkEnd w:id="71"/>
      <w:bookmarkEnd w:id="72"/>
    </w:p>
    <w:tbl>
      <w:tblPr>
        <w:tblStyle w:val="Tableausimple2"/>
        <w:tblW w:w="0" w:type="auto"/>
        <w:jc w:val="center"/>
        <w:tblLook w:val="04A0" w:firstRow="1" w:lastRow="0" w:firstColumn="1" w:lastColumn="0" w:noHBand="0" w:noVBand="1"/>
      </w:tblPr>
      <w:tblGrid>
        <w:gridCol w:w="400"/>
        <w:gridCol w:w="1441"/>
        <w:gridCol w:w="538"/>
        <w:gridCol w:w="1065"/>
        <w:gridCol w:w="1140"/>
        <w:gridCol w:w="4488"/>
      </w:tblGrid>
      <w:tr w:rsidR="008359D5" w:rsidRPr="00C86BF0" w14:paraId="678FED00" w14:textId="77777777" w:rsidTr="00C86BF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43027581" w14:textId="77777777" w:rsidR="008359D5" w:rsidRPr="00C86BF0" w:rsidRDefault="008359D5" w:rsidP="00D31C73">
            <w:pPr>
              <w:rPr>
                <w:sz w:val="18"/>
                <w:szCs w:val="18"/>
              </w:rPr>
            </w:pPr>
            <w:r w:rsidRPr="00C86BF0">
              <w:rPr>
                <w:sz w:val="18"/>
                <w:szCs w:val="18"/>
              </w:rPr>
              <w:t>n°</w:t>
            </w:r>
          </w:p>
        </w:tc>
        <w:tc>
          <w:tcPr>
            <w:tcW w:w="0" w:type="auto"/>
          </w:tcPr>
          <w:p w14:paraId="5062B10D" w14:textId="77777777" w:rsidR="008359D5" w:rsidRPr="00C86BF0" w:rsidRDefault="008359D5" w:rsidP="00D31C73">
            <w:pPr>
              <w:jc w:val="right"/>
              <w:cnfStyle w:val="100000000000" w:firstRow="1" w:lastRow="0" w:firstColumn="0" w:lastColumn="0" w:oddVBand="0" w:evenVBand="0" w:oddHBand="0" w:evenHBand="0" w:firstRowFirstColumn="0" w:firstRowLastColumn="0" w:lastRowFirstColumn="0" w:lastRowLastColumn="0"/>
              <w:rPr>
                <w:sz w:val="18"/>
                <w:szCs w:val="18"/>
              </w:rPr>
            </w:pPr>
            <w:r w:rsidRPr="00C86BF0">
              <w:rPr>
                <w:sz w:val="18"/>
                <w:szCs w:val="18"/>
              </w:rPr>
              <w:t>Parameter</w:t>
            </w:r>
          </w:p>
        </w:tc>
        <w:tc>
          <w:tcPr>
            <w:tcW w:w="0" w:type="auto"/>
          </w:tcPr>
          <w:p w14:paraId="752F1BBB" w14:textId="77777777" w:rsidR="008359D5" w:rsidRPr="00C86BF0" w:rsidRDefault="008359D5" w:rsidP="00D31C73">
            <w:pPr>
              <w:cnfStyle w:val="100000000000" w:firstRow="1" w:lastRow="0" w:firstColumn="0" w:lastColumn="0" w:oddVBand="0" w:evenVBand="0" w:oddHBand="0" w:evenHBand="0" w:firstRowFirstColumn="0" w:firstRowLastColumn="0" w:lastRowFirstColumn="0" w:lastRowLastColumn="0"/>
              <w:rPr>
                <w:sz w:val="18"/>
                <w:szCs w:val="18"/>
              </w:rPr>
            </w:pPr>
            <w:r w:rsidRPr="00C86BF0">
              <w:rPr>
                <w:sz w:val="18"/>
                <w:szCs w:val="18"/>
              </w:rPr>
              <w:t>Unit</w:t>
            </w:r>
          </w:p>
        </w:tc>
        <w:tc>
          <w:tcPr>
            <w:tcW w:w="0" w:type="auto"/>
          </w:tcPr>
          <w:p w14:paraId="2B47D73C" w14:textId="77777777" w:rsidR="008359D5" w:rsidRPr="00C86BF0" w:rsidRDefault="008359D5" w:rsidP="00D31C73">
            <w:pPr>
              <w:cnfStyle w:val="100000000000" w:firstRow="1" w:lastRow="0" w:firstColumn="0" w:lastColumn="0" w:oddVBand="0" w:evenVBand="0" w:oddHBand="0" w:evenHBand="0" w:firstRowFirstColumn="0" w:firstRowLastColumn="0" w:lastRowFirstColumn="0" w:lastRowLastColumn="0"/>
              <w:rPr>
                <w:sz w:val="18"/>
                <w:szCs w:val="18"/>
              </w:rPr>
            </w:pPr>
            <w:r w:rsidRPr="00C86BF0">
              <w:rPr>
                <w:sz w:val="18"/>
                <w:szCs w:val="18"/>
              </w:rPr>
              <w:t>Baseline value</w:t>
            </w:r>
          </w:p>
        </w:tc>
        <w:tc>
          <w:tcPr>
            <w:tcW w:w="0" w:type="auto"/>
          </w:tcPr>
          <w:p w14:paraId="7E18EDD6" w14:textId="77777777" w:rsidR="008359D5" w:rsidRPr="00C86BF0" w:rsidRDefault="008359D5" w:rsidP="00D31C73">
            <w:pPr>
              <w:cnfStyle w:val="100000000000" w:firstRow="1" w:lastRow="0" w:firstColumn="0" w:lastColumn="0" w:oddVBand="0" w:evenVBand="0" w:oddHBand="0" w:evenHBand="0" w:firstRowFirstColumn="0" w:firstRowLastColumn="0" w:lastRowFirstColumn="0" w:lastRowLastColumn="0"/>
              <w:rPr>
                <w:sz w:val="18"/>
                <w:szCs w:val="18"/>
              </w:rPr>
            </w:pPr>
            <w:r w:rsidRPr="00C86BF0">
              <w:rPr>
                <w:sz w:val="18"/>
                <w:szCs w:val="18"/>
              </w:rPr>
              <w:t>Variation range</w:t>
            </w:r>
          </w:p>
        </w:tc>
        <w:tc>
          <w:tcPr>
            <w:tcW w:w="0" w:type="auto"/>
          </w:tcPr>
          <w:p w14:paraId="1D69312A" w14:textId="77777777" w:rsidR="008359D5" w:rsidRPr="00C86BF0" w:rsidRDefault="008359D5" w:rsidP="00E9442B">
            <w:pPr>
              <w:cnfStyle w:val="100000000000" w:firstRow="1" w:lastRow="0" w:firstColumn="0" w:lastColumn="0" w:oddVBand="0" w:evenVBand="0" w:oddHBand="0" w:evenHBand="0" w:firstRowFirstColumn="0" w:firstRowLastColumn="0" w:lastRowFirstColumn="0" w:lastRowLastColumn="0"/>
              <w:rPr>
                <w:i/>
                <w:sz w:val="18"/>
                <w:szCs w:val="18"/>
              </w:rPr>
            </w:pPr>
            <w:r w:rsidRPr="00C86BF0">
              <w:rPr>
                <w:i/>
                <w:sz w:val="18"/>
                <w:szCs w:val="18"/>
              </w:rPr>
              <w:t>Comment</w:t>
            </w:r>
          </w:p>
        </w:tc>
      </w:tr>
      <w:tr w:rsidR="008359D5" w:rsidRPr="00C86BF0" w14:paraId="61D0916D" w14:textId="77777777" w:rsidTr="00C86BF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1784038D" w14:textId="77777777" w:rsidR="008359D5" w:rsidRPr="00C86BF0" w:rsidRDefault="008359D5" w:rsidP="00D31C73">
            <w:pPr>
              <w:rPr>
                <w:sz w:val="18"/>
                <w:szCs w:val="18"/>
              </w:rPr>
            </w:pPr>
            <w:r w:rsidRPr="00C86BF0">
              <w:rPr>
                <w:sz w:val="18"/>
                <w:szCs w:val="18"/>
              </w:rPr>
              <w:t>32</w:t>
            </w:r>
          </w:p>
        </w:tc>
        <w:tc>
          <w:tcPr>
            <w:tcW w:w="0" w:type="auto"/>
          </w:tcPr>
          <w:p w14:paraId="3E88F6F0" w14:textId="77777777" w:rsidR="008359D5" w:rsidRPr="00C86BF0" w:rsidRDefault="008359D5" w:rsidP="00D31C73">
            <w:pPr>
              <w:jc w:val="right"/>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Sensible HT heat reuse</w:t>
            </w:r>
          </w:p>
        </w:tc>
        <w:tc>
          <w:tcPr>
            <w:tcW w:w="0" w:type="auto"/>
          </w:tcPr>
          <w:p w14:paraId="2776304D" w14:textId="77777777" w:rsidR="008359D5" w:rsidRPr="00C86BF0" w:rsidRDefault="008359D5"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w:t>
            </w:r>
            <w:r w:rsidRPr="00C86BF0">
              <w:rPr>
                <w:sz w:val="18"/>
                <w:szCs w:val="18"/>
                <w:vertAlign w:val="subscript"/>
              </w:rPr>
              <w:t>MJ</w:t>
            </w:r>
          </w:p>
        </w:tc>
        <w:tc>
          <w:tcPr>
            <w:tcW w:w="0" w:type="auto"/>
          </w:tcPr>
          <w:p w14:paraId="7C27CF03" w14:textId="77777777" w:rsidR="008359D5" w:rsidRPr="00C86BF0" w:rsidRDefault="008359D5"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80%</w:t>
            </w:r>
          </w:p>
        </w:tc>
        <w:tc>
          <w:tcPr>
            <w:tcW w:w="0" w:type="auto"/>
          </w:tcPr>
          <w:p w14:paraId="1E3DAC83" w14:textId="77777777" w:rsidR="008359D5" w:rsidRPr="00C86BF0" w:rsidRDefault="008359D5"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50-80%</w:t>
            </w:r>
          </w:p>
        </w:tc>
        <w:tc>
          <w:tcPr>
            <w:tcW w:w="0" w:type="auto"/>
          </w:tcPr>
          <w:p w14:paraId="3F0FF256" w14:textId="12C3489E" w:rsidR="008359D5" w:rsidRPr="00C86BF0" w:rsidRDefault="008359D5"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C86BF0">
              <w:rPr>
                <w:i/>
                <w:sz w:val="18"/>
                <w:szCs w:val="18"/>
              </w:rPr>
              <w:t xml:space="preserve">Assumed as for HT WHR (linked to the level of integration of the industrial facility), see </w:t>
            </w:r>
            <w:r w:rsidR="00751183" w:rsidRPr="00C86BF0">
              <w:rPr>
                <w:b/>
                <w:i/>
                <w:sz w:val="18"/>
                <w:szCs w:val="18"/>
              </w:rPr>
              <w:fldChar w:fldCharType="begin"/>
            </w:r>
            <w:r w:rsidR="00751183" w:rsidRPr="00C86BF0">
              <w:rPr>
                <w:b/>
                <w:i/>
                <w:sz w:val="18"/>
                <w:szCs w:val="18"/>
              </w:rPr>
              <w:instrText xml:space="preserve"> REF _Ref144736752 \h  \* MERGEFORMAT </w:instrText>
            </w:r>
            <w:r w:rsidR="00751183" w:rsidRPr="00C86BF0">
              <w:rPr>
                <w:b/>
                <w:i/>
                <w:sz w:val="18"/>
                <w:szCs w:val="18"/>
              </w:rPr>
            </w:r>
            <w:r w:rsidR="00751183" w:rsidRPr="00C86BF0">
              <w:rPr>
                <w:b/>
                <w:i/>
                <w:sz w:val="18"/>
                <w:szCs w:val="18"/>
              </w:rPr>
              <w:fldChar w:fldCharType="separate"/>
            </w:r>
            <w:r w:rsidR="00F25F8C" w:rsidRPr="00C86BF0">
              <w:rPr>
                <w:b/>
                <w:i/>
                <w:sz w:val="18"/>
                <w:szCs w:val="18"/>
              </w:rPr>
              <w:t xml:space="preserve">Table SI. </w:t>
            </w:r>
            <w:r w:rsidR="00F25F8C" w:rsidRPr="00C86BF0">
              <w:rPr>
                <w:b/>
                <w:i/>
                <w:noProof/>
                <w:sz w:val="18"/>
                <w:szCs w:val="18"/>
              </w:rPr>
              <w:t>11</w:t>
            </w:r>
            <w:r w:rsidR="00751183" w:rsidRPr="00C86BF0">
              <w:rPr>
                <w:b/>
                <w:i/>
                <w:sz w:val="18"/>
                <w:szCs w:val="18"/>
              </w:rPr>
              <w:fldChar w:fldCharType="end"/>
            </w:r>
          </w:p>
        </w:tc>
      </w:tr>
      <w:tr w:rsidR="008359D5" w:rsidRPr="00C86BF0" w14:paraId="6E6B2659" w14:textId="77777777" w:rsidTr="00C86BF0">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1967E7AE" w14:textId="77777777" w:rsidR="008359D5" w:rsidRPr="00C86BF0" w:rsidRDefault="008359D5" w:rsidP="00D31C73">
            <w:pPr>
              <w:rPr>
                <w:sz w:val="18"/>
                <w:szCs w:val="18"/>
              </w:rPr>
            </w:pPr>
            <w:bookmarkStart w:id="73" w:name="_Hlk134797295"/>
            <w:r w:rsidRPr="00C86BF0">
              <w:rPr>
                <w:sz w:val="18"/>
                <w:szCs w:val="18"/>
              </w:rPr>
              <w:t>35</w:t>
            </w:r>
          </w:p>
        </w:tc>
        <w:tc>
          <w:tcPr>
            <w:tcW w:w="0" w:type="auto"/>
          </w:tcPr>
          <w:p w14:paraId="422FB2F6" w14:textId="77777777" w:rsidR="008359D5" w:rsidRPr="00C86BF0" w:rsidRDefault="008359D5" w:rsidP="00D31C73">
            <w:pPr>
              <w:jc w:val="right"/>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Gas boiler efficiency</w:t>
            </w:r>
          </w:p>
        </w:tc>
        <w:tc>
          <w:tcPr>
            <w:tcW w:w="0" w:type="auto"/>
          </w:tcPr>
          <w:p w14:paraId="3AF15C69" w14:textId="77777777" w:rsidR="008359D5" w:rsidRPr="00C86BF0" w:rsidRDefault="008359D5"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w:t>
            </w:r>
            <w:r w:rsidRPr="00C86BF0">
              <w:rPr>
                <w:sz w:val="18"/>
                <w:szCs w:val="18"/>
                <w:vertAlign w:val="subscript"/>
              </w:rPr>
              <w:t>LHV</w:t>
            </w:r>
          </w:p>
        </w:tc>
        <w:tc>
          <w:tcPr>
            <w:tcW w:w="0" w:type="auto"/>
          </w:tcPr>
          <w:p w14:paraId="58730834" w14:textId="77777777" w:rsidR="008359D5" w:rsidRPr="00C86BF0" w:rsidRDefault="008359D5"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98%</w:t>
            </w:r>
          </w:p>
        </w:tc>
        <w:tc>
          <w:tcPr>
            <w:tcW w:w="0" w:type="auto"/>
          </w:tcPr>
          <w:p w14:paraId="500E877C" w14:textId="77777777" w:rsidR="008359D5" w:rsidRPr="00C86BF0" w:rsidRDefault="008359D5"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92-102%</w:t>
            </w:r>
          </w:p>
        </w:tc>
        <w:tc>
          <w:tcPr>
            <w:tcW w:w="0" w:type="auto"/>
          </w:tcPr>
          <w:p w14:paraId="58707CA8" w14:textId="21B97A97" w:rsidR="008359D5" w:rsidRPr="00C86BF0" w:rsidRDefault="008359D5" w:rsidP="00D31C73">
            <w:pPr>
              <w:jc w:val="both"/>
              <w:cnfStyle w:val="000000000000" w:firstRow="0" w:lastRow="0" w:firstColumn="0" w:lastColumn="0" w:oddVBand="0" w:evenVBand="0" w:oddHBand="0" w:evenHBand="0" w:firstRowFirstColumn="0" w:firstRowLastColumn="0" w:lastRowFirstColumn="0" w:lastRowLastColumn="0"/>
              <w:rPr>
                <w:i/>
                <w:sz w:val="18"/>
                <w:szCs w:val="18"/>
              </w:rPr>
            </w:pPr>
            <w:r w:rsidRPr="00C86BF0">
              <w:rPr>
                <w:i/>
                <w:sz w:val="18"/>
                <w:szCs w:val="18"/>
              </w:rPr>
              <w:t>Based on future forecasted range by the EU reference scenario</w:t>
            </w:r>
            <w:r w:rsidRPr="00C86BF0">
              <w:rPr>
                <w:i/>
                <w:sz w:val="18"/>
                <w:szCs w:val="18"/>
              </w:rPr>
              <w:fldChar w:fldCharType="begin"/>
            </w:r>
            <w:r w:rsidR="008C451C">
              <w:rPr>
                <w:i/>
                <w:sz w:val="18"/>
                <w:szCs w:val="18"/>
              </w:rPr>
              <w:instrText xml:space="preserve"> ADDIN ZOTERO_ITEM CSL_CITATION {"citationID":"8W5njyLo","properties":{"formattedCitation":"\\super 46\\nosupersub{}","plainCitation":"46","noteIndex":0},"citationItems":[{"id":13241,"uris":["http://zotero.org/users/6423791/items/4I7TA53T"],"itemData":{"id":13241,"type":"book","event-place":"LU","ISBN":"978-92-76-39356-6","language":"en","number-of-pages":"184","publisher":"Publications Office of the European Union","publisher-place":"LU","source":"DOI.org (CSL JSON)","title":"EU reference scenario 2020: energy, transport and GHG emissions : trends to 2050.","title-short":"EU reference scenario 2020","URL":"https://data.europa.eu/doi/10.2833/35750","author":[{"literal":"European Commission"}],"accessed":{"date-parts":[["2022",5,1]]},"issued":{"date-parts":[["2021"]]}}}],"schema":"https://github.com/citation-style-language/schema/raw/master/csl-citation.json"} </w:instrText>
            </w:r>
            <w:r w:rsidRPr="00C86BF0">
              <w:rPr>
                <w:i/>
                <w:sz w:val="18"/>
                <w:szCs w:val="18"/>
              </w:rPr>
              <w:fldChar w:fldCharType="separate"/>
            </w:r>
            <w:r w:rsidR="008C451C" w:rsidRPr="008C451C">
              <w:rPr>
                <w:rFonts w:ascii="Calibri" w:hAnsi="Calibri" w:cs="Calibri"/>
                <w:sz w:val="18"/>
                <w:szCs w:val="24"/>
                <w:vertAlign w:val="superscript"/>
              </w:rPr>
              <w:t>46</w:t>
            </w:r>
            <w:r w:rsidRPr="00C86BF0">
              <w:rPr>
                <w:i/>
                <w:sz w:val="18"/>
                <w:szCs w:val="18"/>
              </w:rPr>
              <w:fldChar w:fldCharType="end"/>
            </w:r>
            <w:r w:rsidRPr="00C86BF0">
              <w:rPr>
                <w:i/>
                <w:sz w:val="18"/>
                <w:szCs w:val="18"/>
              </w:rPr>
              <w:t>. Higher than 100% because based on LHV.</w:t>
            </w:r>
          </w:p>
        </w:tc>
      </w:tr>
    </w:tbl>
    <w:bookmarkEnd w:id="73"/>
    <w:p w14:paraId="1FAB2510" w14:textId="5156A19B" w:rsidR="008359D5" w:rsidRPr="003F5DA8" w:rsidRDefault="008359D5" w:rsidP="006B5342">
      <w:pPr>
        <w:jc w:val="both"/>
      </w:pPr>
      <w:r w:rsidRPr="003F5DA8">
        <w:rPr>
          <w:sz w:val="18"/>
        </w:rPr>
        <w:t xml:space="preserve">Numbering of parameters corresponds to the one </w:t>
      </w:r>
      <w:r>
        <w:rPr>
          <w:sz w:val="18"/>
        </w:rPr>
        <w:t xml:space="preserve">of </w:t>
      </w:r>
      <w:r w:rsidR="00877BEE" w:rsidRPr="00C86BF0">
        <w:rPr>
          <w:b/>
          <w:sz w:val="18"/>
          <w:szCs w:val="18"/>
        </w:rPr>
        <w:fldChar w:fldCharType="begin"/>
      </w:r>
      <w:r w:rsidR="00877BEE" w:rsidRPr="00C86BF0">
        <w:rPr>
          <w:b/>
          <w:sz w:val="18"/>
          <w:szCs w:val="18"/>
        </w:rPr>
        <w:instrText xml:space="preserve"> REF _Ref144914839 \h  \* MERGEFORMAT </w:instrText>
      </w:r>
      <w:r w:rsidR="00877BEE" w:rsidRPr="00C86BF0">
        <w:rPr>
          <w:b/>
          <w:sz w:val="18"/>
          <w:szCs w:val="18"/>
        </w:rPr>
      </w:r>
      <w:r w:rsidR="00877BEE" w:rsidRPr="00C86BF0">
        <w:rPr>
          <w:b/>
          <w:sz w:val="18"/>
          <w:szCs w:val="18"/>
        </w:rPr>
        <w:fldChar w:fldCharType="separate"/>
      </w:r>
      <w:r w:rsidR="00877BEE" w:rsidRPr="00C86BF0">
        <w:rPr>
          <w:b/>
          <w:sz w:val="18"/>
          <w:szCs w:val="18"/>
        </w:rPr>
        <w:t xml:space="preserve">Table SI. </w:t>
      </w:r>
      <w:r w:rsidR="00877BEE" w:rsidRPr="00C86BF0">
        <w:rPr>
          <w:b/>
          <w:noProof/>
          <w:sz w:val="18"/>
          <w:szCs w:val="18"/>
        </w:rPr>
        <w:t>103</w:t>
      </w:r>
      <w:r w:rsidR="00877BEE" w:rsidRPr="00C86BF0">
        <w:rPr>
          <w:b/>
          <w:sz w:val="18"/>
          <w:szCs w:val="18"/>
        </w:rPr>
        <w:fldChar w:fldCharType="end"/>
      </w:r>
      <w:r w:rsidRPr="003F5DA8">
        <w:rPr>
          <w:sz w:val="18"/>
        </w:rPr>
        <w:t>.</w:t>
      </w:r>
    </w:p>
    <w:p w14:paraId="03B98CB1" w14:textId="5AFD427D" w:rsidR="00C86BF0" w:rsidRDefault="008359D5" w:rsidP="008359D5">
      <w:pPr>
        <w:jc w:val="both"/>
      </w:pPr>
      <w:r w:rsidRPr="003F5DA8">
        <w:t xml:space="preserve">Associated inventory was directly estimated with a background inventory proxy on an LHV basis, as </w:t>
      </w:r>
      <w:r w:rsidRPr="009613A1">
        <w:t>detailed in</w:t>
      </w:r>
      <w:r w:rsidR="00751183">
        <w:t xml:space="preserve"> </w:t>
      </w:r>
      <w:r w:rsidR="00751183" w:rsidRPr="00751183">
        <w:rPr>
          <w:b/>
        </w:rPr>
        <w:fldChar w:fldCharType="begin"/>
      </w:r>
      <w:r w:rsidR="00751183" w:rsidRPr="00751183">
        <w:rPr>
          <w:b/>
        </w:rPr>
        <w:instrText xml:space="preserve"> REF _Ref144737678 \h </w:instrText>
      </w:r>
      <w:r w:rsidR="00751183">
        <w:rPr>
          <w:b/>
        </w:rPr>
        <w:instrText xml:space="preserve"> \* MERGEFORMAT </w:instrText>
      </w:r>
      <w:r w:rsidR="00751183" w:rsidRPr="00751183">
        <w:rPr>
          <w:b/>
        </w:rPr>
      </w:r>
      <w:r w:rsidR="00751183" w:rsidRPr="00751183">
        <w:rPr>
          <w:b/>
        </w:rPr>
        <w:fldChar w:fldCharType="separate"/>
      </w:r>
      <w:r w:rsidR="00F25F8C" w:rsidRPr="00F25F8C">
        <w:rPr>
          <w:b/>
        </w:rPr>
        <w:t xml:space="preserve">Table SI. </w:t>
      </w:r>
      <w:r w:rsidR="00F25F8C" w:rsidRPr="00F25F8C">
        <w:rPr>
          <w:b/>
          <w:noProof/>
        </w:rPr>
        <w:t>14</w:t>
      </w:r>
      <w:r w:rsidR="00751183" w:rsidRPr="00751183">
        <w:rPr>
          <w:b/>
        </w:rPr>
        <w:fldChar w:fldCharType="end"/>
      </w:r>
      <w:r w:rsidRPr="009613A1">
        <w:t>. This</w:t>
      </w:r>
      <w:r w:rsidRPr="003F5DA8">
        <w:t xml:space="preserve"> simplification leads to a constant combustion emission pattern (here corresponding to methane combustion) regardless of the composition of input off-gases. The latter depend on many parameters, but mostly consist in a mix of methane, carbon monoxide and hydrogen, among other inert gases (</w:t>
      </w:r>
      <w:r>
        <w:t>e.g. partly exhaust syngas</w:t>
      </w:r>
      <w:r w:rsidRPr="003F5DA8">
        <w:t>).</w:t>
      </w:r>
    </w:p>
    <w:p w14:paraId="40EC8955" w14:textId="77777777" w:rsidR="00C86BF0" w:rsidRDefault="00C86BF0">
      <w:r>
        <w:br w:type="page"/>
      </w:r>
    </w:p>
    <w:p w14:paraId="0057066C" w14:textId="45F74AE4" w:rsidR="008359D5" w:rsidRPr="00C63D93" w:rsidRDefault="00874128" w:rsidP="006B5342">
      <w:pPr>
        <w:pStyle w:val="Lgende"/>
        <w:jc w:val="left"/>
      </w:pPr>
      <w:bookmarkStart w:id="74" w:name="_Ref144737678"/>
      <w:bookmarkStart w:id="75" w:name="_Toc134537589"/>
      <w:bookmarkStart w:id="76" w:name="_Toc151967898"/>
      <w:r>
        <w:lastRenderedPageBreak/>
        <w:t>Table SI.</w:t>
      </w:r>
      <w:r w:rsidR="008359D5" w:rsidRPr="00C63D93">
        <w:t xml:space="preserve"> </w:t>
      </w:r>
      <w:r>
        <w:fldChar w:fldCharType="begin"/>
      </w:r>
      <w:r>
        <w:instrText xml:space="preserve"> SEQ Table_SI. \* ARABIC </w:instrText>
      </w:r>
      <w:r>
        <w:fldChar w:fldCharType="separate"/>
      </w:r>
      <w:r w:rsidR="00F25F8C">
        <w:rPr>
          <w:noProof/>
        </w:rPr>
        <w:t>14</w:t>
      </w:r>
      <w:r>
        <w:fldChar w:fldCharType="end"/>
      </w:r>
      <w:bookmarkEnd w:id="74"/>
      <w:r w:rsidR="008359D5" w:rsidRPr="00C63D93">
        <w:t xml:space="preserve"> – Background processes used specifically for gaseous co-products energy valorization</w:t>
      </w:r>
      <w:bookmarkEnd w:id="75"/>
      <w:bookmarkEnd w:id="76"/>
    </w:p>
    <w:tbl>
      <w:tblPr>
        <w:tblStyle w:val="Tableausimple2"/>
        <w:tblW w:w="0" w:type="auto"/>
        <w:tblLook w:val="04A0" w:firstRow="1" w:lastRow="0" w:firstColumn="1" w:lastColumn="0" w:noHBand="0" w:noVBand="1"/>
      </w:tblPr>
      <w:tblGrid>
        <w:gridCol w:w="2302"/>
        <w:gridCol w:w="1185"/>
        <w:gridCol w:w="5585"/>
      </w:tblGrid>
      <w:tr w:rsidR="008359D5" w:rsidRPr="00C86BF0" w14:paraId="68EB97B0" w14:textId="77777777" w:rsidTr="00C86BF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59DFF7B" w14:textId="77777777" w:rsidR="008359D5" w:rsidRPr="00C86BF0" w:rsidRDefault="008359D5" w:rsidP="00D31C73">
            <w:pPr>
              <w:jc w:val="right"/>
              <w:rPr>
                <w:sz w:val="18"/>
                <w:szCs w:val="18"/>
              </w:rPr>
            </w:pPr>
            <w:r w:rsidRPr="00C86BF0">
              <w:rPr>
                <w:sz w:val="18"/>
                <w:szCs w:val="18"/>
              </w:rPr>
              <w:t>Background process</w:t>
            </w:r>
          </w:p>
        </w:tc>
        <w:tc>
          <w:tcPr>
            <w:tcW w:w="0" w:type="auto"/>
          </w:tcPr>
          <w:p w14:paraId="395EC589" w14:textId="77777777" w:rsidR="008359D5" w:rsidRPr="00C86BF0" w:rsidRDefault="008359D5" w:rsidP="00D31C73">
            <w:pPr>
              <w:cnfStyle w:val="100000000000" w:firstRow="1" w:lastRow="0" w:firstColumn="0" w:lastColumn="0" w:oddVBand="0" w:evenVBand="0" w:oddHBand="0" w:evenHBand="0" w:firstRowFirstColumn="0" w:firstRowLastColumn="0" w:lastRowFirstColumn="0" w:lastRowLastColumn="0"/>
              <w:rPr>
                <w:sz w:val="18"/>
                <w:szCs w:val="18"/>
              </w:rPr>
            </w:pPr>
            <w:r w:rsidRPr="00C86BF0">
              <w:rPr>
                <w:sz w:val="18"/>
                <w:szCs w:val="18"/>
              </w:rPr>
              <w:t>Unit operation</w:t>
            </w:r>
          </w:p>
        </w:tc>
        <w:tc>
          <w:tcPr>
            <w:tcW w:w="0" w:type="auto"/>
          </w:tcPr>
          <w:p w14:paraId="03CCF54F" w14:textId="77777777" w:rsidR="008359D5" w:rsidRPr="00C86BF0" w:rsidRDefault="008359D5" w:rsidP="00E9442B">
            <w:pPr>
              <w:cnfStyle w:val="100000000000" w:firstRow="1" w:lastRow="0" w:firstColumn="0" w:lastColumn="0" w:oddVBand="0" w:evenVBand="0" w:oddHBand="0" w:evenHBand="0" w:firstRowFirstColumn="0" w:firstRowLastColumn="0" w:lastRowFirstColumn="0" w:lastRowLastColumn="0"/>
              <w:rPr>
                <w:i/>
                <w:sz w:val="18"/>
                <w:szCs w:val="18"/>
              </w:rPr>
            </w:pPr>
            <w:r w:rsidRPr="00C86BF0">
              <w:rPr>
                <w:i/>
                <w:sz w:val="18"/>
                <w:szCs w:val="18"/>
              </w:rPr>
              <w:t>Comment</w:t>
            </w:r>
          </w:p>
        </w:tc>
      </w:tr>
      <w:tr w:rsidR="008359D5" w:rsidRPr="00C86BF0" w14:paraId="14AC8810" w14:textId="77777777" w:rsidTr="00C86B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127196C" w14:textId="77777777" w:rsidR="008359D5" w:rsidRPr="00C86BF0" w:rsidRDefault="008359D5" w:rsidP="00D31C73">
            <w:pPr>
              <w:jc w:val="right"/>
              <w:rPr>
                <w:b w:val="0"/>
                <w:sz w:val="18"/>
                <w:szCs w:val="18"/>
              </w:rPr>
            </w:pPr>
            <w:r w:rsidRPr="00C86BF0">
              <w:rPr>
                <w:b w:val="0"/>
                <w:sz w:val="18"/>
                <w:szCs w:val="18"/>
              </w:rPr>
              <w:t>Heat production, natural gas, at boiler condensing modulating &gt;100kW, Europe w/ Switzerland</w:t>
            </w:r>
          </w:p>
        </w:tc>
        <w:tc>
          <w:tcPr>
            <w:tcW w:w="0" w:type="auto"/>
          </w:tcPr>
          <w:p w14:paraId="44071FF2" w14:textId="77777777" w:rsidR="008359D5" w:rsidRPr="00C86BF0" w:rsidRDefault="008359D5"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Off-gases energy recovery</w:t>
            </w:r>
          </w:p>
        </w:tc>
        <w:tc>
          <w:tcPr>
            <w:tcW w:w="0" w:type="auto"/>
          </w:tcPr>
          <w:p w14:paraId="60616D57" w14:textId="4E398B03" w:rsidR="008359D5" w:rsidRPr="00C86BF0" w:rsidRDefault="008359D5" w:rsidP="00D31C7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C86BF0">
              <w:rPr>
                <w:i/>
                <w:sz w:val="18"/>
                <w:szCs w:val="18"/>
              </w:rPr>
              <w:t>Process considered as a proxy for the whole infrastructure, utilities and emissions associated with the unit operation. It was adapted as follow: “Market for natural gas…” process was removed and direct emissions were changed from “fossil” to “biogenic”. Emitted CO</w:t>
            </w:r>
            <w:r w:rsidRPr="00C86BF0">
              <w:rPr>
                <w:i/>
                <w:sz w:val="18"/>
                <w:szCs w:val="18"/>
                <w:vertAlign w:val="subscript"/>
              </w:rPr>
              <w:t>2</w:t>
            </w:r>
            <w:r w:rsidR="002B5BD8" w:rsidRPr="00C86BF0">
              <w:rPr>
                <w:i/>
                <w:sz w:val="18"/>
                <w:szCs w:val="18"/>
              </w:rPr>
              <w:t xml:space="preserve"> </w:t>
            </w:r>
            <w:r w:rsidRPr="00C86BF0">
              <w:rPr>
                <w:i/>
                <w:sz w:val="18"/>
                <w:szCs w:val="18"/>
              </w:rPr>
              <w:t>was also adapted to close the carbon balance.</w:t>
            </w:r>
          </w:p>
        </w:tc>
      </w:tr>
    </w:tbl>
    <w:p w14:paraId="39EC7F0B" w14:textId="77777777" w:rsidR="008359D5" w:rsidRPr="003F5DA8" w:rsidRDefault="008359D5" w:rsidP="006B5342">
      <w:pPr>
        <w:jc w:val="both"/>
        <w:rPr>
          <w:sz w:val="18"/>
        </w:rPr>
      </w:pPr>
      <w:r w:rsidRPr="003F5DA8">
        <w:rPr>
          <w:sz w:val="18"/>
        </w:rPr>
        <w:t>All processes are from the ecoinvent 3.8 consequential database.</w:t>
      </w:r>
    </w:p>
    <w:p w14:paraId="02489016" w14:textId="2DE68084" w:rsidR="002B5BD8" w:rsidRDefault="002B5BD8" w:rsidP="000D6F35">
      <w:pPr>
        <w:pStyle w:val="Titre3"/>
      </w:pPr>
      <w:bookmarkStart w:id="77" w:name="_Ref144803593"/>
      <w:bookmarkStart w:id="78" w:name="_Toc145069106"/>
      <w:r>
        <w:t>Handling and transportation operations</w:t>
      </w:r>
      <w:bookmarkEnd w:id="77"/>
      <w:bookmarkEnd w:id="78"/>
    </w:p>
    <w:p w14:paraId="0640C45C" w14:textId="73784C3A" w:rsidR="002B5BD8" w:rsidRDefault="008359D5" w:rsidP="00D31C73">
      <w:pPr>
        <w:jc w:val="both"/>
      </w:pPr>
      <w:r>
        <w:t>Handling operations and transportation requirements w</w:t>
      </w:r>
      <w:r w:rsidR="002B5BD8">
        <w:t>e</w:t>
      </w:r>
      <w:r>
        <w:t>re estimated based on</w:t>
      </w:r>
      <w:r w:rsidR="002B5BD8">
        <w:t xml:space="preserve"> the benchmark elaborated by</w:t>
      </w:r>
      <w:r>
        <w:t xml:space="preserve"> </w:t>
      </w:r>
      <w:r w:rsidR="00C86BF0" w:rsidRPr="003A663A">
        <w:t>Javourez et al., 202</w:t>
      </w:r>
      <w:r w:rsidR="003A663A" w:rsidRPr="003A663A">
        <w:t>4</w:t>
      </w:r>
      <w:r w:rsidR="00C86BF0" w:rsidRPr="003A663A">
        <w:fldChar w:fldCharType="begin"/>
      </w:r>
      <w:r w:rsidR="00827449">
        <w:instrText xml:space="preserve"> ADDIN ZOTERO_ITEM CSL_CITATION {"citationID":"TMM6Q2cS","properties":{"formattedCitation":"\\super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C86BF0" w:rsidRPr="003A663A">
        <w:fldChar w:fldCharType="separate"/>
      </w:r>
      <w:r w:rsidR="008C451C" w:rsidRPr="003A663A">
        <w:rPr>
          <w:rFonts w:ascii="Calibri" w:hAnsi="Calibri" w:cs="Calibri"/>
          <w:szCs w:val="24"/>
          <w:vertAlign w:val="superscript"/>
        </w:rPr>
        <w:t>1</w:t>
      </w:r>
      <w:r w:rsidR="00C86BF0" w:rsidRPr="003A663A">
        <w:fldChar w:fldCharType="end"/>
      </w:r>
      <w:r w:rsidR="00C86BF0" w:rsidRPr="003A663A">
        <w:t xml:space="preserve"> c</w:t>
      </w:r>
      <w:r w:rsidR="002B5BD8" w:rsidRPr="003A663A">
        <w:t>overing</w:t>
      </w:r>
      <w:r w:rsidR="002B5BD8" w:rsidRPr="002B5BD8">
        <w:t xml:space="preserve"> current bioresource management practices.</w:t>
      </w:r>
      <w:r w:rsidR="002B5BD8">
        <w:t xml:space="preserve"> These were assumed to remain similar (i.e. regional scale valorization) for emerging waste-to-nutrition and gasification platforms (</w:t>
      </w:r>
      <w:r w:rsidR="002B5BD8" w:rsidRPr="002B5BD8">
        <w:rPr>
          <w:b/>
        </w:rPr>
        <w:fldChar w:fldCharType="begin"/>
      </w:r>
      <w:r w:rsidR="002B5BD8" w:rsidRPr="002B5BD8">
        <w:rPr>
          <w:b/>
        </w:rPr>
        <w:instrText xml:space="preserve"> REF _Ref144738047 \h </w:instrText>
      </w:r>
      <w:r w:rsidR="002B5BD8">
        <w:rPr>
          <w:b/>
        </w:rPr>
        <w:instrText xml:space="preserve"> \* MERGEFORMAT </w:instrText>
      </w:r>
      <w:r w:rsidR="002B5BD8" w:rsidRPr="002B5BD8">
        <w:rPr>
          <w:b/>
        </w:rPr>
      </w:r>
      <w:r w:rsidR="002B5BD8" w:rsidRPr="002B5BD8">
        <w:rPr>
          <w:b/>
        </w:rPr>
        <w:fldChar w:fldCharType="separate"/>
      </w:r>
      <w:r w:rsidR="00F25F8C" w:rsidRPr="00F25F8C">
        <w:rPr>
          <w:b/>
        </w:rPr>
        <w:t xml:space="preserve">Table SI. </w:t>
      </w:r>
      <w:r w:rsidR="00F25F8C" w:rsidRPr="00F25F8C">
        <w:rPr>
          <w:b/>
          <w:noProof/>
        </w:rPr>
        <w:t>15</w:t>
      </w:r>
      <w:r w:rsidR="002B5BD8" w:rsidRPr="002B5BD8">
        <w:rPr>
          <w:b/>
        </w:rPr>
        <w:fldChar w:fldCharType="end"/>
      </w:r>
      <w:r w:rsidR="002B5BD8">
        <w:t>).</w:t>
      </w:r>
    </w:p>
    <w:p w14:paraId="02536E4A" w14:textId="7E03EAB9" w:rsidR="00D31C73" w:rsidRPr="00C63D93" w:rsidRDefault="00874128" w:rsidP="006B5342">
      <w:pPr>
        <w:pStyle w:val="Lgende"/>
        <w:jc w:val="left"/>
      </w:pPr>
      <w:bookmarkStart w:id="79" w:name="_Ref144738047"/>
      <w:bookmarkStart w:id="80" w:name="_Toc134537592"/>
      <w:bookmarkStart w:id="81" w:name="_Ref144805992"/>
      <w:bookmarkStart w:id="82" w:name="_Toc151967899"/>
      <w:r>
        <w:t>Table SI.</w:t>
      </w:r>
      <w:r w:rsidR="00D31C73">
        <w:t xml:space="preserve"> </w:t>
      </w:r>
      <w:r>
        <w:fldChar w:fldCharType="begin"/>
      </w:r>
      <w:r>
        <w:instrText xml:space="preserve"> SEQ Table_SI. \* ARABIC </w:instrText>
      </w:r>
      <w:r>
        <w:fldChar w:fldCharType="separate"/>
      </w:r>
      <w:r w:rsidR="00F25F8C">
        <w:rPr>
          <w:noProof/>
        </w:rPr>
        <w:t>15</w:t>
      </w:r>
      <w:r>
        <w:fldChar w:fldCharType="end"/>
      </w:r>
      <w:bookmarkEnd w:id="79"/>
      <w:r w:rsidR="00D31C73">
        <w:t xml:space="preserve"> </w:t>
      </w:r>
      <w:r w:rsidR="00D31C73" w:rsidRPr="00C63D93">
        <w:t>– Supply chain distances considered for waste-to-nutrition pathways</w:t>
      </w:r>
      <w:bookmarkEnd w:id="80"/>
      <w:bookmarkEnd w:id="81"/>
      <w:bookmarkEnd w:id="82"/>
    </w:p>
    <w:tbl>
      <w:tblPr>
        <w:tblStyle w:val="Tableausimple2"/>
        <w:tblW w:w="0" w:type="auto"/>
        <w:tblLook w:val="04A0" w:firstRow="1" w:lastRow="0" w:firstColumn="1" w:lastColumn="0" w:noHBand="0" w:noVBand="1"/>
      </w:tblPr>
      <w:tblGrid>
        <w:gridCol w:w="2171"/>
        <w:gridCol w:w="1594"/>
        <w:gridCol w:w="979"/>
        <w:gridCol w:w="798"/>
        <w:gridCol w:w="3530"/>
      </w:tblGrid>
      <w:tr w:rsidR="00D31C73" w:rsidRPr="00C86BF0" w14:paraId="1DF1310F" w14:textId="77777777" w:rsidTr="00C86BF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5BAC30E" w14:textId="77777777" w:rsidR="00D31C73" w:rsidRPr="00C86BF0" w:rsidRDefault="00D31C73" w:rsidP="00C86BF0">
            <w:pPr>
              <w:jc w:val="right"/>
              <w:rPr>
                <w:sz w:val="18"/>
                <w:szCs w:val="18"/>
              </w:rPr>
            </w:pPr>
            <w:r w:rsidRPr="00C86BF0">
              <w:rPr>
                <w:sz w:val="18"/>
                <w:szCs w:val="18"/>
              </w:rPr>
              <w:t>Transportation</w:t>
            </w:r>
          </w:p>
        </w:tc>
        <w:tc>
          <w:tcPr>
            <w:tcW w:w="0" w:type="auto"/>
          </w:tcPr>
          <w:p w14:paraId="78D9D670" w14:textId="77777777" w:rsidR="00D31C73" w:rsidRPr="00C86BF0" w:rsidRDefault="00D31C73" w:rsidP="00D31C73">
            <w:pPr>
              <w:cnfStyle w:val="100000000000" w:firstRow="1" w:lastRow="0" w:firstColumn="0" w:lastColumn="0" w:oddVBand="0" w:evenVBand="0" w:oddHBand="0" w:evenHBand="0" w:firstRowFirstColumn="0" w:firstRowLastColumn="0" w:lastRowFirstColumn="0" w:lastRowLastColumn="0"/>
              <w:rPr>
                <w:sz w:val="18"/>
                <w:szCs w:val="18"/>
              </w:rPr>
            </w:pPr>
            <w:r w:rsidRPr="00C86BF0">
              <w:rPr>
                <w:sz w:val="18"/>
                <w:szCs w:val="18"/>
              </w:rPr>
              <w:t>Pathway</w:t>
            </w:r>
          </w:p>
        </w:tc>
        <w:tc>
          <w:tcPr>
            <w:tcW w:w="0" w:type="auto"/>
          </w:tcPr>
          <w:p w14:paraId="58047C2D" w14:textId="77777777" w:rsidR="00D31C73" w:rsidRPr="00C86BF0" w:rsidRDefault="00D31C73" w:rsidP="00D31C73">
            <w:pPr>
              <w:cnfStyle w:val="100000000000" w:firstRow="1" w:lastRow="0" w:firstColumn="0" w:lastColumn="0" w:oddVBand="0" w:evenVBand="0" w:oddHBand="0" w:evenHBand="0" w:firstRowFirstColumn="0" w:firstRowLastColumn="0" w:lastRowFirstColumn="0" w:lastRowLastColumn="0"/>
              <w:rPr>
                <w:sz w:val="18"/>
                <w:szCs w:val="18"/>
              </w:rPr>
            </w:pPr>
            <w:r w:rsidRPr="00C86BF0">
              <w:rPr>
                <w:sz w:val="18"/>
                <w:szCs w:val="18"/>
              </w:rPr>
              <w:t>Distance (km)</w:t>
            </w:r>
          </w:p>
        </w:tc>
        <w:tc>
          <w:tcPr>
            <w:tcW w:w="0" w:type="auto"/>
          </w:tcPr>
          <w:p w14:paraId="3F1C9CFE" w14:textId="77777777" w:rsidR="00D31C73" w:rsidRPr="00C86BF0" w:rsidRDefault="00D31C73" w:rsidP="00D31C73">
            <w:pPr>
              <w:cnfStyle w:val="100000000000" w:firstRow="1" w:lastRow="0" w:firstColumn="0" w:lastColumn="0" w:oddVBand="0" w:evenVBand="0" w:oddHBand="0" w:evenHBand="0" w:firstRowFirstColumn="0" w:firstRowLastColumn="0" w:lastRowFirstColumn="0" w:lastRowLastColumn="0"/>
              <w:rPr>
                <w:sz w:val="18"/>
                <w:szCs w:val="18"/>
              </w:rPr>
            </w:pPr>
            <w:r w:rsidRPr="00C86BF0">
              <w:rPr>
                <w:sz w:val="18"/>
                <w:szCs w:val="18"/>
              </w:rPr>
              <w:t>Range (km)</w:t>
            </w:r>
          </w:p>
        </w:tc>
        <w:tc>
          <w:tcPr>
            <w:tcW w:w="0" w:type="auto"/>
          </w:tcPr>
          <w:p w14:paraId="47BFA386" w14:textId="77777777" w:rsidR="00D31C73" w:rsidRPr="00C86BF0" w:rsidRDefault="00D31C73" w:rsidP="00E9442B">
            <w:pPr>
              <w:cnfStyle w:val="100000000000" w:firstRow="1" w:lastRow="0" w:firstColumn="0" w:lastColumn="0" w:oddVBand="0" w:evenVBand="0" w:oddHBand="0" w:evenHBand="0" w:firstRowFirstColumn="0" w:firstRowLastColumn="0" w:lastRowFirstColumn="0" w:lastRowLastColumn="0"/>
              <w:rPr>
                <w:i/>
                <w:sz w:val="18"/>
                <w:szCs w:val="18"/>
              </w:rPr>
            </w:pPr>
            <w:r w:rsidRPr="00C86BF0">
              <w:rPr>
                <w:i/>
                <w:sz w:val="18"/>
                <w:szCs w:val="18"/>
              </w:rPr>
              <w:t>Comment</w:t>
            </w:r>
          </w:p>
        </w:tc>
      </w:tr>
      <w:tr w:rsidR="00D31C73" w:rsidRPr="001B39E9" w14:paraId="0B7339E5" w14:textId="77777777" w:rsidTr="00C86BF0">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0" w:type="auto"/>
            <w:vMerge w:val="restart"/>
          </w:tcPr>
          <w:p w14:paraId="48F3DD12" w14:textId="77777777" w:rsidR="00D31C73" w:rsidRPr="00C86BF0" w:rsidRDefault="00D31C73" w:rsidP="00D31C73">
            <w:pPr>
              <w:jc w:val="right"/>
              <w:rPr>
                <w:sz w:val="18"/>
                <w:szCs w:val="18"/>
              </w:rPr>
            </w:pPr>
            <w:r w:rsidRPr="00C86BF0">
              <w:rPr>
                <w:sz w:val="18"/>
                <w:szCs w:val="18"/>
              </w:rPr>
              <w:t>Diffuse origin to collection platform</w:t>
            </w:r>
          </w:p>
        </w:tc>
        <w:tc>
          <w:tcPr>
            <w:tcW w:w="0" w:type="auto"/>
          </w:tcPr>
          <w:p w14:paraId="4E74E676"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Solid fermentation</w:t>
            </w:r>
          </w:p>
        </w:tc>
        <w:tc>
          <w:tcPr>
            <w:tcW w:w="0" w:type="auto"/>
            <w:vMerge w:val="restart"/>
          </w:tcPr>
          <w:p w14:paraId="75BA1E6C"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40</w:t>
            </w:r>
          </w:p>
        </w:tc>
        <w:tc>
          <w:tcPr>
            <w:tcW w:w="0" w:type="auto"/>
            <w:vMerge w:val="restart"/>
          </w:tcPr>
          <w:p w14:paraId="002E021C"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20-60</w:t>
            </w:r>
          </w:p>
        </w:tc>
        <w:tc>
          <w:tcPr>
            <w:tcW w:w="0" w:type="auto"/>
            <w:vMerge w:val="restart"/>
          </w:tcPr>
          <w:p w14:paraId="00139CCE" w14:textId="056A439B" w:rsidR="00D31C73" w:rsidRPr="00C86BF0" w:rsidRDefault="00D31C73" w:rsidP="00E9442B">
            <w:pPr>
              <w:cnfStyle w:val="000000100000" w:firstRow="0" w:lastRow="0" w:firstColumn="0" w:lastColumn="0" w:oddVBand="0" w:evenVBand="0" w:oddHBand="1" w:evenHBand="0" w:firstRowFirstColumn="0" w:firstRowLastColumn="0" w:lastRowFirstColumn="0" w:lastRowLastColumn="0"/>
              <w:rPr>
                <w:i/>
                <w:sz w:val="18"/>
                <w:szCs w:val="18"/>
                <w:lang w:val="fr-FR"/>
              </w:rPr>
            </w:pPr>
            <w:r w:rsidRPr="00C86BF0">
              <w:rPr>
                <w:i/>
                <w:sz w:val="18"/>
                <w:szCs w:val="18"/>
                <w:lang w:val="fr-FR"/>
              </w:rPr>
              <w:t xml:space="preserve">As in </w:t>
            </w:r>
            <w:r w:rsidR="00C86BF0" w:rsidRPr="00C86BF0">
              <w:rPr>
                <w:i/>
                <w:sz w:val="18"/>
                <w:szCs w:val="18"/>
                <w:lang w:val="fr-FR"/>
              </w:rPr>
              <w:t xml:space="preserve">Javourez et </w:t>
            </w:r>
            <w:r w:rsidR="00C86BF0" w:rsidRPr="003A663A">
              <w:rPr>
                <w:i/>
                <w:sz w:val="18"/>
                <w:szCs w:val="18"/>
                <w:lang w:val="fr-FR"/>
              </w:rPr>
              <w:t>al., 202</w:t>
            </w:r>
            <w:r w:rsidR="003A663A" w:rsidRPr="003A663A">
              <w:rPr>
                <w:i/>
                <w:sz w:val="18"/>
                <w:szCs w:val="18"/>
                <w:lang w:val="fr-FR"/>
              </w:rPr>
              <w:t>4</w:t>
            </w:r>
            <w:r w:rsidR="00C86BF0" w:rsidRPr="003A663A">
              <w:rPr>
                <w:i/>
                <w:sz w:val="18"/>
                <w:szCs w:val="18"/>
              </w:rPr>
              <w:fldChar w:fldCharType="begin"/>
            </w:r>
            <w:r w:rsidR="00827449">
              <w:rPr>
                <w:i/>
                <w:sz w:val="18"/>
                <w:szCs w:val="18"/>
                <w:lang w:val="fr-FR"/>
              </w:rPr>
              <w:instrText xml:space="preserve"> ADDIN ZOTERO_ITEM CSL_CITATION {"citationID":"IwytnMLY","properties":{"formattedCitation":"\\super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C86BF0" w:rsidRPr="003A663A">
              <w:rPr>
                <w:i/>
                <w:sz w:val="18"/>
                <w:szCs w:val="18"/>
              </w:rPr>
              <w:fldChar w:fldCharType="separate"/>
            </w:r>
            <w:r w:rsidR="008C451C" w:rsidRPr="003A663A">
              <w:rPr>
                <w:rFonts w:ascii="Calibri" w:hAnsi="Calibri" w:cs="Calibri"/>
                <w:sz w:val="18"/>
                <w:szCs w:val="24"/>
                <w:vertAlign w:val="superscript"/>
                <w:lang w:val="fr-FR"/>
              </w:rPr>
              <w:t>1</w:t>
            </w:r>
            <w:r w:rsidR="00C86BF0" w:rsidRPr="003A663A">
              <w:rPr>
                <w:i/>
                <w:sz w:val="18"/>
                <w:szCs w:val="18"/>
              </w:rPr>
              <w:fldChar w:fldCharType="end"/>
            </w:r>
          </w:p>
        </w:tc>
      </w:tr>
      <w:tr w:rsidR="00D31C73" w:rsidRPr="00C86BF0" w14:paraId="54CC02D6" w14:textId="77777777" w:rsidTr="00C86BF0">
        <w:trPr>
          <w:trHeight w:val="449"/>
        </w:trPr>
        <w:tc>
          <w:tcPr>
            <w:cnfStyle w:val="001000000000" w:firstRow="0" w:lastRow="0" w:firstColumn="1" w:lastColumn="0" w:oddVBand="0" w:evenVBand="0" w:oddHBand="0" w:evenHBand="0" w:firstRowFirstColumn="0" w:firstRowLastColumn="0" w:lastRowFirstColumn="0" w:lastRowLastColumn="0"/>
            <w:tcW w:w="0" w:type="auto"/>
            <w:vMerge/>
          </w:tcPr>
          <w:p w14:paraId="5E80CABD" w14:textId="77777777" w:rsidR="00D31C73" w:rsidRPr="00C86BF0" w:rsidRDefault="00D31C73" w:rsidP="00D31C73">
            <w:pPr>
              <w:jc w:val="right"/>
              <w:rPr>
                <w:sz w:val="18"/>
                <w:szCs w:val="18"/>
                <w:lang w:val="fr-FR"/>
              </w:rPr>
            </w:pPr>
          </w:p>
        </w:tc>
        <w:tc>
          <w:tcPr>
            <w:tcW w:w="0" w:type="auto"/>
          </w:tcPr>
          <w:p w14:paraId="0DEE8FDC"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Mycoproteins production</w:t>
            </w:r>
          </w:p>
        </w:tc>
        <w:tc>
          <w:tcPr>
            <w:tcW w:w="0" w:type="auto"/>
            <w:vMerge/>
          </w:tcPr>
          <w:p w14:paraId="1411AFDC"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05944299"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23CB997C" w14:textId="77777777" w:rsidR="00D31C73" w:rsidRPr="00C86BF0" w:rsidRDefault="00D31C73" w:rsidP="00E9442B">
            <w:pPr>
              <w:cnfStyle w:val="000000000000" w:firstRow="0" w:lastRow="0" w:firstColumn="0" w:lastColumn="0" w:oddVBand="0" w:evenVBand="0" w:oddHBand="0" w:evenHBand="0" w:firstRowFirstColumn="0" w:firstRowLastColumn="0" w:lastRowFirstColumn="0" w:lastRowLastColumn="0"/>
              <w:rPr>
                <w:i/>
                <w:sz w:val="18"/>
                <w:szCs w:val="18"/>
              </w:rPr>
            </w:pPr>
          </w:p>
        </w:tc>
      </w:tr>
      <w:tr w:rsidR="00D31C73" w:rsidRPr="00C86BF0" w14:paraId="64B45740" w14:textId="77777777" w:rsidTr="00C86BF0">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0" w:type="auto"/>
            <w:vMerge/>
          </w:tcPr>
          <w:p w14:paraId="3195AEF3" w14:textId="77777777" w:rsidR="00D31C73" w:rsidRPr="00C86BF0" w:rsidRDefault="00D31C73" w:rsidP="00D31C73">
            <w:pPr>
              <w:jc w:val="right"/>
              <w:rPr>
                <w:sz w:val="18"/>
                <w:szCs w:val="18"/>
              </w:rPr>
            </w:pPr>
          </w:p>
        </w:tc>
        <w:tc>
          <w:tcPr>
            <w:tcW w:w="0" w:type="auto"/>
          </w:tcPr>
          <w:p w14:paraId="566566A2"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Insects farming</w:t>
            </w:r>
          </w:p>
        </w:tc>
        <w:tc>
          <w:tcPr>
            <w:tcW w:w="0" w:type="auto"/>
            <w:vMerge/>
          </w:tcPr>
          <w:p w14:paraId="0B1F4433"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tcPr>
          <w:p w14:paraId="498808DB"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tcPr>
          <w:p w14:paraId="02C89979" w14:textId="77777777" w:rsidR="00D31C73" w:rsidRPr="00C86BF0" w:rsidRDefault="00D31C73"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D31C73" w:rsidRPr="00C86BF0" w14:paraId="35B8BBE7" w14:textId="77777777" w:rsidTr="00C86BF0">
        <w:tc>
          <w:tcPr>
            <w:cnfStyle w:val="001000000000" w:firstRow="0" w:lastRow="0" w:firstColumn="1" w:lastColumn="0" w:oddVBand="0" w:evenVBand="0" w:oddHBand="0" w:evenHBand="0" w:firstRowFirstColumn="0" w:firstRowLastColumn="0" w:lastRowFirstColumn="0" w:lastRowLastColumn="0"/>
            <w:tcW w:w="0" w:type="auto"/>
          </w:tcPr>
          <w:p w14:paraId="7584171A" w14:textId="77777777" w:rsidR="00D31C73" w:rsidRPr="00C86BF0" w:rsidRDefault="00D31C73" w:rsidP="00D31C73">
            <w:pPr>
              <w:jc w:val="right"/>
              <w:rPr>
                <w:sz w:val="18"/>
                <w:szCs w:val="18"/>
              </w:rPr>
            </w:pPr>
            <w:r w:rsidRPr="00C86BF0">
              <w:rPr>
                <w:sz w:val="18"/>
                <w:szCs w:val="18"/>
              </w:rPr>
              <w:t>SSF factory to compound feed factory</w:t>
            </w:r>
          </w:p>
        </w:tc>
        <w:tc>
          <w:tcPr>
            <w:tcW w:w="0" w:type="auto"/>
            <w:vMerge w:val="restart"/>
          </w:tcPr>
          <w:p w14:paraId="67774404"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Solid fermentation</w:t>
            </w:r>
          </w:p>
        </w:tc>
        <w:tc>
          <w:tcPr>
            <w:tcW w:w="0" w:type="auto"/>
          </w:tcPr>
          <w:p w14:paraId="65794C28"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50</w:t>
            </w:r>
          </w:p>
        </w:tc>
        <w:tc>
          <w:tcPr>
            <w:tcW w:w="0" w:type="auto"/>
          </w:tcPr>
          <w:p w14:paraId="796B7A49"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10-100</w:t>
            </w:r>
          </w:p>
        </w:tc>
        <w:tc>
          <w:tcPr>
            <w:tcW w:w="0" w:type="auto"/>
            <w:vMerge w:val="restart"/>
          </w:tcPr>
          <w:p w14:paraId="2B3F47F8" w14:textId="590E2B23" w:rsidR="00D31C73" w:rsidRPr="00C86BF0" w:rsidRDefault="00D31C73"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C86BF0">
              <w:rPr>
                <w:i/>
                <w:sz w:val="18"/>
                <w:szCs w:val="18"/>
              </w:rPr>
              <w:t>As pathway “use as feed ingredients” (considering SSF factory as a collection platform) in</w:t>
            </w:r>
            <w:r w:rsidR="002B5BD8" w:rsidRPr="00C86BF0">
              <w:rPr>
                <w:i/>
                <w:sz w:val="18"/>
                <w:szCs w:val="18"/>
              </w:rPr>
              <w:t xml:space="preserve"> Javourez et al., (2022)</w:t>
            </w:r>
            <w:r w:rsidR="002B5BD8" w:rsidRPr="00C86BF0">
              <w:rPr>
                <w:i/>
                <w:sz w:val="18"/>
                <w:szCs w:val="18"/>
              </w:rPr>
              <w:fldChar w:fldCharType="begin"/>
            </w:r>
            <w:r w:rsidR="00682E10" w:rsidRPr="00C86BF0">
              <w:rPr>
                <w:i/>
                <w:sz w:val="18"/>
                <w:szCs w:val="18"/>
              </w:rPr>
              <w:instrText xml:space="preserve"> ADDIN ZOTERO_ITEM CSL_CITATION {"citationID":"a1iu0llh0m4","properties":{"formattedCitation":"\\super 4\\nosupersub{}","plainCitation":"4","noteIndex":0},"citationItems":[{"id":13553,"uris":["http://zotero.org/users/6423791/items/EU8KLJZY"],"itemData":{"id":13553,"type":"article-journal","abstract":"Transforming residual biomass into edible ingredients is increasingly\npromoted to alleviate the environmental impacts of food systems. Yet,\nthese approaches mostly rely on emerging technologies and constrained\nresources, and their environmental benefits remain unclear. By combining\nprocess-based consequential life cycle analysis, uncertainty assessment\nand biomass resource estimation, we quantified the impacts of deploying\nwaste-to-nutrition pathways, here applied to the upgrading of agrifood\nco-products by solid-state fermentation (SSF). The benefits of reducing the\ndemand for soybean meal by enhancing the protein concentration of feed\nthrough SSF do not compensate for the environmental burdens induced\nby the process on climate change, water depletion and land use. Besides\nunlocking feed markets to low-feed-quality streams, SSF outperforms\nenergy valorization for most environmental impacts but is less competitive\nto mitigate climate change. Yet, SSF yields overall environmental benefits\nwhen unlocking food markets rather than supplying feed and energy\nservices. Systematic methodological harmonization is required to assess the\npotential of novel ingredients, as outcomes vary according to the displaced\nfood and feed baskets, and related land use changes.","container-title":"Nature Food","DOI":"10.1038/s43016-022-00621-9","journalAbbreviation":"Nat Food","language":"en","page":"911-920","title":"Upgrading agrifood co-products via solid fermentation yields environmental benefits under specific conditions only","volume":"3","author":[{"family":"Javourez","given":"Ugo"},{"family":"Rosero Delgado","given":"Ernesto Alonso"},{"family":"Hamelin","given":"Lorie"}],"issued":{"date-parts":[["2022",10,31]]}}}],"schema":"https://github.com/citation-style-language/schema/raw/master/csl-citation.json"} </w:instrText>
            </w:r>
            <w:r w:rsidR="002B5BD8" w:rsidRPr="00C86BF0">
              <w:rPr>
                <w:i/>
                <w:sz w:val="18"/>
                <w:szCs w:val="18"/>
              </w:rPr>
              <w:fldChar w:fldCharType="separate"/>
            </w:r>
            <w:r w:rsidR="00682E10" w:rsidRPr="00C86BF0">
              <w:rPr>
                <w:rFonts w:ascii="Calibri" w:hAnsi="Calibri" w:cs="Calibri"/>
                <w:sz w:val="18"/>
                <w:szCs w:val="18"/>
                <w:vertAlign w:val="superscript"/>
              </w:rPr>
              <w:t>4</w:t>
            </w:r>
            <w:r w:rsidR="002B5BD8" w:rsidRPr="00C86BF0">
              <w:rPr>
                <w:i/>
                <w:sz w:val="18"/>
                <w:szCs w:val="18"/>
              </w:rPr>
              <w:fldChar w:fldCharType="end"/>
            </w:r>
          </w:p>
        </w:tc>
      </w:tr>
      <w:tr w:rsidR="00D31C73" w:rsidRPr="00C86BF0" w14:paraId="6A95C65A" w14:textId="77777777" w:rsidTr="00C86B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B0D5959" w14:textId="77777777" w:rsidR="00D31C73" w:rsidRPr="00C86BF0" w:rsidRDefault="00D31C73" w:rsidP="00D31C73">
            <w:pPr>
              <w:jc w:val="right"/>
              <w:rPr>
                <w:sz w:val="18"/>
                <w:szCs w:val="18"/>
              </w:rPr>
            </w:pPr>
            <w:r w:rsidRPr="00C86BF0">
              <w:rPr>
                <w:sz w:val="18"/>
                <w:szCs w:val="18"/>
              </w:rPr>
              <w:t>Compound feed factory to client</w:t>
            </w:r>
          </w:p>
        </w:tc>
        <w:tc>
          <w:tcPr>
            <w:tcW w:w="0" w:type="auto"/>
            <w:vMerge/>
          </w:tcPr>
          <w:p w14:paraId="1A29694D"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41B96AC4"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50</w:t>
            </w:r>
          </w:p>
        </w:tc>
        <w:tc>
          <w:tcPr>
            <w:tcW w:w="0" w:type="auto"/>
          </w:tcPr>
          <w:p w14:paraId="0141B919"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10-100</w:t>
            </w:r>
          </w:p>
        </w:tc>
        <w:tc>
          <w:tcPr>
            <w:tcW w:w="0" w:type="auto"/>
            <w:vMerge/>
          </w:tcPr>
          <w:p w14:paraId="5166AA08" w14:textId="77777777" w:rsidR="00D31C73" w:rsidRPr="00C86BF0" w:rsidRDefault="00D31C73"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D31C73" w:rsidRPr="00C86BF0" w14:paraId="55B45448" w14:textId="77777777" w:rsidTr="00C86BF0">
        <w:tc>
          <w:tcPr>
            <w:cnfStyle w:val="001000000000" w:firstRow="0" w:lastRow="0" w:firstColumn="1" w:lastColumn="0" w:oddVBand="0" w:evenVBand="0" w:oddHBand="0" w:evenHBand="0" w:firstRowFirstColumn="0" w:firstRowLastColumn="0" w:lastRowFirstColumn="0" w:lastRowLastColumn="0"/>
            <w:tcW w:w="0" w:type="auto"/>
          </w:tcPr>
          <w:p w14:paraId="0EE76103" w14:textId="77777777" w:rsidR="00D31C73" w:rsidRPr="00C86BF0" w:rsidRDefault="00D31C73" w:rsidP="00D31C73">
            <w:pPr>
              <w:jc w:val="right"/>
              <w:rPr>
                <w:sz w:val="18"/>
                <w:szCs w:val="18"/>
              </w:rPr>
            </w:pPr>
            <w:r w:rsidRPr="00C86BF0">
              <w:rPr>
                <w:sz w:val="18"/>
                <w:szCs w:val="18"/>
              </w:rPr>
              <w:t>Green biomass to biorefinery</w:t>
            </w:r>
          </w:p>
        </w:tc>
        <w:tc>
          <w:tcPr>
            <w:tcW w:w="0" w:type="auto"/>
          </w:tcPr>
          <w:p w14:paraId="5D815C4C"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Green biorefinery</w:t>
            </w:r>
          </w:p>
        </w:tc>
        <w:tc>
          <w:tcPr>
            <w:tcW w:w="0" w:type="auto"/>
          </w:tcPr>
          <w:p w14:paraId="46BEAFE4"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40</w:t>
            </w:r>
          </w:p>
        </w:tc>
        <w:tc>
          <w:tcPr>
            <w:tcW w:w="0" w:type="auto"/>
          </w:tcPr>
          <w:p w14:paraId="1C6EA754"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3-75</w:t>
            </w:r>
          </w:p>
        </w:tc>
        <w:tc>
          <w:tcPr>
            <w:tcW w:w="0" w:type="auto"/>
          </w:tcPr>
          <w:p w14:paraId="5C1611C3" w14:textId="3B6D320E" w:rsidR="00D31C73" w:rsidRPr="00C86BF0" w:rsidRDefault="00D31C73"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C86BF0">
              <w:rPr>
                <w:i/>
                <w:sz w:val="18"/>
                <w:szCs w:val="18"/>
              </w:rPr>
              <w:t>Assumed as for anaerobic digestion (</w:t>
            </w:r>
            <w:r w:rsidR="00C86BF0" w:rsidRPr="00C86BF0">
              <w:rPr>
                <w:i/>
                <w:sz w:val="18"/>
                <w:szCs w:val="18"/>
              </w:rPr>
              <w:t>Javourez et al</w:t>
            </w:r>
            <w:r w:rsidR="00C86BF0" w:rsidRPr="003A663A">
              <w:rPr>
                <w:i/>
                <w:sz w:val="18"/>
                <w:szCs w:val="18"/>
              </w:rPr>
              <w:t>., 202</w:t>
            </w:r>
            <w:r w:rsidR="003A663A" w:rsidRPr="003A663A">
              <w:rPr>
                <w:i/>
                <w:sz w:val="18"/>
                <w:szCs w:val="18"/>
              </w:rPr>
              <w:t>4</w:t>
            </w:r>
            <w:r w:rsidR="00C86BF0" w:rsidRPr="003A663A">
              <w:rPr>
                <w:i/>
                <w:sz w:val="18"/>
                <w:szCs w:val="18"/>
              </w:rPr>
              <w:fldChar w:fldCharType="begin"/>
            </w:r>
            <w:r w:rsidR="00827449">
              <w:rPr>
                <w:i/>
                <w:sz w:val="18"/>
                <w:szCs w:val="18"/>
              </w:rPr>
              <w:instrText xml:space="preserve"> ADDIN ZOTERO_ITEM CSL_CITATION {"citationID":"IhZcENRa","properties":{"formattedCitation":"\\super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C86BF0" w:rsidRPr="003A663A">
              <w:rPr>
                <w:i/>
                <w:sz w:val="18"/>
                <w:szCs w:val="18"/>
              </w:rPr>
              <w:fldChar w:fldCharType="separate"/>
            </w:r>
            <w:r w:rsidR="008C451C" w:rsidRPr="003A663A">
              <w:rPr>
                <w:rFonts w:ascii="Calibri" w:hAnsi="Calibri" w:cs="Calibri"/>
                <w:sz w:val="18"/>
                <w:szCs w:val="24"/>
                <w:vertAlign w:val="superscript"/>
              </w:rPr>
              <w:t>1</w:t>
            </w:r>
            <w:r w:rsidR="00C86BF0" w:rsidRPr="003A663A">
              <w:rPr>
                <w:i/>
                <w:sz w:val="18"/>
                <w:szCs w:val="18"/>
              </w:rPr>
              <w:fldChar w:fldCharType="end"/>
            </w:r>
            <w:r w:rsidRPr="003A663A">
              <w:rPr>
                <w:i/>
                <w:sz w:val="18"/>
                <w:szCs w:val="18"/>
              </w:rPr>
              <w:t>),</w:t>
            </w:r>
            <w:r w:rsidRPr="00C86BF0">
              <w:rPr>
                <w:i/>
                <w:sz w:val="18"/>
                <w:szCs w:val="18"/>
              </w:rPr>
              <w:t xml:space="preserve"> because fed on high moisture inputs</w:t>
            </w:r>
          </w:p>
        </w:tc>
      </w:tr>
      <w:tr w:rsidR="00D31C73" w:rsidRPr="00C86BF0" w14:paraId="314C0726" w14:textId="77777777" w:rsidTr="00C86B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cPr>
          <w:p w14:paraId="02124453" w14:textId="77777777" w:rsidR="00D31C73" w:rsidRPr="00C86BF0" w:rsidRDefault="00D31C73" w:rsidP="00D31C73">
            <w:pPr>
              <w:jc w:val="right"/>
              <w:rPr>
                <w:sz w:val="18"/>
                <w:szCs w:val="18"/>
              </w:rPr>
            </w:pPr>
            <w:r w:rsidRPr="00C86BF0">
              <w:rPr>
                <w:sz w:val="18"/>
                <w:szCs w:val="18"/>
              </w:rPr>
              <w:t>Collection platform to waste-to-nutrition pathways</w:t>
            </w:r>
          </w:p>
        </w:tc>
        <w:tc>
          <w:tcPr>
            <w:tcW w:w="0" w:type="auto"/>
          </w:tcPr>
          <w:p w14:paraId="11D3C26D"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Solid fermentation</w:t>
            </w:r>
          </w:p>
        </w:tc>
        <w:tc>
          <w:tcPr>
            <w:tcW w:w="0" w:type="auto"/>
            <w:vMerge w:val="restart"/>
          </w:tcPr>
          <w:p w14:paraId="03D691C4"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50</w:t>
            </w:r>
          </w:p>
        </w:tc>
        <w:tc>
          <w:tcPr>
            <w:tcW w:w="0" w:type="auto"/>
            <w:vMerge w:val="restart"/>
          </w:tcPr>
          <w:p w14:paraId="59A2BF3A"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10-100</w:t>
            </w:r>
          </w:p>
        </w:tc>
        <w:tc>
          <w:tcPr>
            <w:tcW w:w="0" w:type="auto"/>
            <w:vMerge w:val="restart"/>
          </w:tcPr>
          <w:p w14:paraId="538F08A8" w14:textId="39B1F401" w:rsidR="00D31C73" w:rsidRPr="00C86BF0" w:rsidRDefault="00D31C73"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C86BF0">
              <w:rPr>
                <w:i/>
                <w:sz w:val="18"/>
                <w:szCs w:val="18"/>
              </w:rPr>
              <w:t>Considered as current common distances for co-products valorization in France (63% travels 10-100km, 35% &gt; 100km)</w:t>
            </w:r>
            <w:r w:rsidRPr="00C86BF0">
              <w:rPr>
                <w:i/>
                <w:sz w:val="18"/>
                <w:szCs w:val="18"/>
              </w:rPr>
              <w:fldChar w:fldCharType="begin"/>
            </w:r>
            <w:r w:rsidR="00682E10" w:rsidRPr="00C86BF0">
              <w:rPr>
                <w:i/>
                <w:sz w:val="18"/>
                <w:szCs w:val="18"/>
              </w:rPr>
              <w:instrText xml:space="preserve"> ADDIN ZOTERO_ITEM CSL_CITATION {"citationID":"FRXhJ3nE","properties":{"formattedCitation":"\\super 12\\nosupersub{}","plainCitation":"12","noteIndex":0},"citationItems":[{"id":11397,"uris":["http://zotero.org/users/6423791/items/LYB8VTF2"],"itemData":{"id":11397,"type":"report","event-place":"Angers","genre":"Etude réalisée pour le compte de l'ADEME par Tech2Market, FRD et CVG","number":"Contrat : 1401C00R3","page":"70","publisher":"ADEME","publisher-place":"Angers","title":"Panorama des coproduits et résidus biomasse à usage des filières chimie et matériaux biosourcés en France","URL":"https://www.ademe.fr/sites/default/files/assets/documents/rapport_final_tech2market.pdf","author":[{"family":"Le Ravalec","given":"V."}],"accessed":{"date-parts":[["2021",5,26]]},"issued":{"date-parts":[["2015",9]]}}}],"schema":"https://github.com/citation-style-language/schema/raw/master/csl-citation.json"} </w:instrText>
            </w:r>
            <w:r w:rsidRPr="00C86BF0">
              <w:rPr>
                <w:i/>
                <w:sz w:val="18"/>
                <w:szCs w:val="18"/>
              </w:rPr>
              <w:fldChar w:fldCharType="separate"/>
            </w:r>
            <w:r w:rsidR="00682E10" w:rsidRPr="00C86BF0">
              <w:rPr>
                <w:rFonts w:ascii="Calibri" w:hAnsi="Calibri" w:cs="Calibri"/>
                <w:sz w:val="18"/>
                <w:szCs w:val="18"/>
                <w:vertAlign w:val="superscript"/>
              </w:rPr>
              <w:t>12</w:t>
            </w:r>
            <w:r w:rsidRPr="00C86BF0">
              <w:rPr>
                <w:i/>
                <w:sz w:val="18"/>
                <w:szCs w:val="18"/>
              </w:rPr>
              <w:fldChar w:fldCharType="end"/>
            </w:r>
            <w:r w:rsidRPr="00C86BF0">
              <w:rPr>
                <w:i/>
                <w:sz w:val="18"/>
                <w:szCs w:val="18"/>
              </w:rPr>
              <w:t>.</w:t>
            </w:r>
          </w:p>
        </w:tc>
      </w:tr>
      <w:tr w:rsidR="00D31C73" w:rsidRPr="00C86BF0" w14:paraId="4270BE11" w14:textId="77777777" w:rsidTr="00C86BF0">
        <w:tc>
          <w:tcPr>
            <w:cnfStyle w:val="001000000000" w:firstRow="0" w:lastRow="0" w:firstColumn="1" w:lastColumn="0" w:oddVBand="0" w:evenVBand="0" w:oddHBand="0" w:evenHBand="0" w:firstRowFirstColumn="0" w:firstRowLastColumn="0" w:lastRowFirstColumn="0" w:lastRowLastColumn="0"/>
            <w:tcW w:w="0" w:type="auto"/>
            <w:vMerge/>
          </w:tcPr>
          <w:p w14:paraId="4CBB08C8" w14:textId="77777777" w:rsidR="00D31C73" w:rsidRPr="00C86BF0" w:rsidRDefault="00D31C73" w:rsidP="00D31C73">
            <w:pPr>
              <w:jc w:val="right"/>
              <w:rPr>
                <w:sz w:val="18"/>
                <w:szCs w:val="18"/>
              </w:rPr>
            </w:pPr>
          </w:p>
        </w:tc>
        <w:tc>
          <w:tcPr>
            <w:tcW w:w="0" w:type="auto"/>
          </w:tcPr>
          <w:p w14:paraId="3E4CC18A"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Mycoproteins production</w:t>
            </w:r>
          </w:p>
        </w:tc>
        <w:tc>
          <w:tcPr>
            <w:tcW w:w="0" w:type="auto"/>
            <w:vMerge/>
          </w:tcPr>
          <w:p w14:paraId="21A99FA7"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035E9F51"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60128B24" w14:textId="77777777" w:rsidR="00D31C73" w:rsidRPr="00C86BF0" w:rsidRDefault="00D31C73" w:rsidP="00E9442B">
            <w:pPr>
              <w:cnfStyle w:val="000000000000" w:firstRow="0" w:lastRow="0" w:firstColumn="0" w:lastColumn="0" w:oddVBand="0" w:evenVBand="0" w:oddHBand="0" w:evenHBand="0" w:firstRowFirstColumn="0" w:firstRowLastColumn="0" w:lastRowFirstColumn="0" w:lastRowLastColumn="0"/>
              <w:rPr>
                <w:i/>
                <w:sz w:val="18"/>
                <w:szCs w:val="18"/>
              </w:rPr>
            </w:pPr>
          </w:p>
        </w:tc>
      </w:tr>
      <w:tr w:rsidR="00D31C73" w:rsidRPr="00C86BF0" w14:paraId="2BB154B6" w14:textId="77777777" w:rsidTr="00C86B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7A3871C8" w14:textId="77777777" w:rsidR="00D31C73" w:rsidRPr="00C86BF0" w:rsidRDefault="00D31C73" w:rsidP="00D31C73">
            <w:pPr>
              <w:jc w:val="right"/>
              <w:rPr>
                <w:sz w:val="18"/>
                <w:szCs w:val="18"/>
              </w:rPr>
            </w:pPr>
          </w:p>
        </w:tc>
        <w:tc>
          <w:tcPr>
            <w:tcW w:w="0" w:type="auto"/>
          </w:tcPr>
          <w:p w14:paraId="6271FD2A"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Insects farming</w:t>
            </w:r>
          </w:p>
        </w:tc>
        <w:tc>
          <w:tcPr>
            <w:tcW w:w="0" w:type="auto"/>
            <w:vMerge/>
          </w:tcPr>
          <w:p w14:paraId="4A0A29AC"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tcPr>
          <w:p w14:paraId="02ED772A"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tcPr>
          <w:p w14:paraId="6B014B44" w14:textId="77777777" w:rsidR="00D31C73" w:rsidRPr="00C86BF0" w:rsidRDefault="00D31C73"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D31C73" w:rsidRPr="00C86BF0" w14:paraId="33377D18" w14:textId="77777777" w:rsidTr="00C86BF0">
        <w:tc>
          <w:tcPr>
            <w:cnfStyle w:val="001000000000" w:firstRow="0" w:lastRow="0" w:firstColumn="1" w:lastColumn="0" w:oddVBand="0" w:evenVBand="0" w:oddHBand="0" w:evenHBand="0" w:firstRowFirstColumn="0" w:firstRowLastColumn="0" w:lastRowFirstColumn="0" w:lastRowLastColumn="0"/>
            <w:tcW w:w="0" w:type="auto"/>
            <w:vMerge w:val="restart"/>
          </w:tcPr>
          <w:p w14:paraId="4D0B8EFA" w14:textId="77777777" w:rsidR="00D31C73" w:rsidRPr="00C86BF0" w:rsidRDefault="00D31C73" w:rsidP="00D31C73">
            <w:pPr>
              <w:jc w:val="right"/>
              <w:rPr>
                <w:sz w:val="18"/>
                <w:szCs w:val="18"/>
              </w:rPr>
            </w:pPr>
            <w:r w:rsidRPr="00C86BF0">
              <w:rPr>
                <w:sz w:val="18"/>
                <w:szCs w:val="18"/>
              </w:rPr>
              <w:t>From waste-to-nutrition facilities to client</w:t>
            </w:r>
            <w:r w:rsidRPr="00C86BF0">
              <w:rPr>
                <w:sz w:val="18"/>
                <w:szCs w:val="18"/>
                <w:vertAlign w:val="superscript"/>
              </w:rPr>
              <w:t>a</w:t>
            </w:r>
          </w:p>
        </w:tc>
        <w:tc>
          <w:tcPr>
            <w:tcW w:w="0" w:type="auto"/>
          </w:tcPr>
          <w:p w14:paraId="4F78E3E3"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Mycoproteins production</w:t>
            </w:r>
          </w:p>
        </w:tc>
        <w:tc>
          <w:tcPr>
            <w:tcW w:w="0" w:type="auto"/>
            <w:vMerge w:val="restart"/>
          </w:tcPr>
          <w:p w14:paraId="6BCB57D9"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50</w:t>
            </w:r>
          </w:p>
        </w:tc>
        <w:tc>
          <w:tcPr>
            <w:tcW w:w="0" w:type="auto"/>
            <w:vMerge w:val="restart"/>
          </w:tcPr>
          <w:p w14:paraId="72F61E9C"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10-100</w:t>
            </w:r>
          </w:p>
        </w:tc>
        <w:tc>
          <w:tcPr>
            <w:tcW w:w="0" w:type="auto"/>
            <w:vMerge/>
          </w:tcPr>
          <w:p w14:paraId="67012D66" w14:textId="77777777" w:rsidR="00D31C73" w:rsidRPr="00C86BF0" w:rsidRDefault="00D31C73" w:rsidP="00E9442B">
            <w:pPr>
              <w:cnfStyle w:val="000000000000" w:firstRow="0" w:lastRow="0" w:firstColumn="0" w:lastColumn="0" w:oddVBand="0" w:evenVBand="0" w:oddHBand="0" w:evenHBand="0" w:firstRowFirstColumn="0" w:firstRowLastColumn="0" w:lastRowFirstColumn="0" w:lastRowLastColumn="0"/>
              <w:rPr>
                <w:i/>
                <w:sz w:val="18"/>
                <w:szCs w:val="18"/>
              </w:rPr>
            </w:pPr>
          </w:p>
        </w:tc>
      </w:tr>
      <w:tr w:rsidR="00D31C73" w:rsidRPr="00C86BF0" w14:paraId="4F798448" w14:textId="77777777" w:rsidTr="00C86B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72C6CFCB" w14:textId="77777777" w:rsidR="00D31C73" w:rsidRPr="00C86BF0" w:rsidRDefault="00D31C73" w:rsidP="00D31C73">
            <w:pPr>
              <w:jc w:val="right"/>
              <w:rPr>
                <w:sz w:val="18"/>
                <w:szCs w:val="18"/>
              </w:rPr>
            </w:pPr>
          </w:p>
        </w:tc>
        <w:tc>
          <w:tcPr>
            <w:tcW w:w="0" w:type="auto"/>
          </w:tcPr>
          <w:p w14:paraId="501E82ED"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Microbial proteins production</w:t>
            </w:r>
          </w:p>
        </w:tc>
        <w:tc>
          <w:tcPr>
            <w:tcW w:w="0" w:type="auto"/>
            <w:vMerge/>
          </w:tcPr>
          <w:p w14:paraId="3D919264"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tcPr>
          <w:p w14:paraId="14A9ED6F"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tcPr>
          <w:p w14:paraId="56066C67" w14:textId="77777777" w:rsidR="00D31C73" w:rsidRPr="00C86BF0" w:rsidRDefault="00D31C73"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D31C73" w:rsidRPr="00C86BF0" w14:paraId="3E32E9AF" w14:textId="77777777" w:rsidTr="00C86BF0">
        <w:tc>
          <w:tcPr>
            <w:cnfStyle w:val="001000000000" w:firstRow="0" w:lastRow="0" w:firstColumn="1" w:lastColumn="0" w:oddVBand="0" w:evenVBand="0" w:oddHBand="0" w:evenHBand="0" w:firstRowFirstColumn="0" w:firstRowLastColumn="0" w:lastRowFirstColumn="0" w:lastRowLastColumn="0"/>
            <w:tcW w:w="0" w:type="auto"/>
            <w:vMerge/>
          </w:tcPr>
          <w:p w14:paraId="03D4A855" w14:textId="77777777" w:rsidR="00D31C73" w:rsidRPr="00C86BF0" w:rsidRDefault="00D31C73" w:rsidP="00D31C73">
            <w:pPr>
              <w:jc w:val="right"/>
              <w:rPr>
                <w:sz w:val="18"/>
                <w:szCs w:val="18"/>
              </w:rPr>
            </w:pPr>
          </w:p>
        </w:tc>
        <w:tc>
          <w:tcPr>
            <w:tcW w:w="0" w:type="auto"/>
          </w:tcPr>
          <w:p w14:paraId="104A871E"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Insects farming</w:t>
            </w:r>
          </w:p>
        </w:tc>
        <w:tc>
          <w:tcPr>
            <w:tcW w:w="0" w:type="auto"/>
            <w:vMerge/>
          </w:tcPr>
          <w:p w14:paraId="162E5342"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0A3CB7CA"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56636552" w14:textId="77777777" w:rsidR="00D31C73" w:rsidRPr="00C86BF0" w:rsidRDefault="00D31C73" w:rsidP="00E9442B">
            <w:pPr>
              <w:cnfStyle w:val="000000000000" w:firstRow="0" w:lastRow="0" w:firstColumn="0" w:lastColumn="0" w:oddVBand="0" w:evenVBand="0" w:oddHBand="0" w:evenHBand="0" w:firstRowFirstColumn="0" w:firstRowLastColumn="0" w:lastRowFirstColumn="0" w:lastRowLastColumn="0"/>
              <w:rPr>
                <w:i/>
                <w:sz w:val="18"/>
                <w:szCs w:val="18"/>
              </w:rPr>
            </w:pPr>
          </w:p>
        </w:tc>
      </w:tr>
      <w:tr w:rsidR="00D31C73" w:rsidRPr="00C86BF0" w14:paraId="68F8875E" w14:textId="77777777" w:rsidTr="00C86B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423BB1D2" w14:textId="77777777" w:rsidR="00D31C73" w:rsidRPr="00C86BF0" w:rsidRDefault="00D31C73" w:rsidP="00D31C73">
            <w:pPr>
              <w:jc w:val="right"/>
              <w:rPr>
                <w:sz w:val="18"/>
                <w:szCs w:val="18"/>
              </w:rPr>
            </w:pPr>
          </w:p>
        </w:tc>
        <w:tc>
          <w:tcPr>
            <w:tcW w:w="0" w:type="auto"/>
          </w:tcPr>
          <w:p w14:paraId="07219790"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Green biorefinery</w:t>
            </w:r>
          </w:p>
        </w:tc>
        <w:tc>
          <w:tcPr>
            <w:tcW w:w="0" w:type="auto"/>
            <w:vMerge/>
          </w:tcPr>
          <w:p w14:paraId="2EC033B9"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tcPr>
          <w:p w14:paraId="1E8D13D4"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tcPr>
          <w:p w14:paraId="253E7AC4" w14:textId="77777777" w:rsidR="00D31C73" w:rsidRPr="00C86BF0" w:rsidRDefault="00D31C73"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D31C73" w:rsidRPr="00C86BF0" w14:paraId="4ECFC4D3" w14:textId="77777777" w:rsidTr="00C86BF0">
        <w:tc>
          <w:tcPr>
            <w:cnfStyle w:val="001000000000" w:firstRow="0" w:lastRow="0" w:firstColumn="1" w:lastColumn="0" w:oddVBand="0" w:evenVBand="0" w:oddHBand="0" w:evenHBand="0" w:firstRowFirstColumn="0" w:firstRowLastColumn="0" w:lastRowFirstColumn="0" w:lastRowLastColumn="0"/>
            <w:tcW w:w="0" w:type="auto"/>
          </w:tcPr>
          <w:p w14:paraId="216E1D02" w14:textId="77777777" w:rsidR="00D31C73" w:rsidRPr="00C86BF0" w:rsidRDefault="00D31C73" w:rsidP="00D31C73">
            <w:pPr>
              <w:jc w:val="right"/>
              <w:rPr>
                <w:sz w:val="18"/>
                <w:szCs w:val="18"/>
              </w:rPr>
            </w:pPr>
            <w:r w:rsidRPr="00C86BF0">
              <w:rPr>
                <w:sz w:val="18"/>
                <w:szCs w:val="18"/>
              </w:rPr>
              <w:t>Composted frass to field</w:t>
            </w:r>
          </w:p>
        </w:tc>
        <w:tc>
          <w:tcPr>
            <w:tcW w:w="0" w:type="auto"/>
          </w:tcPr>
          <w:p w14:paraId="185B92DF"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Insect farming</w:t>
            </w:r>
          </w:p>
        </w:tc>
        <w:tc>
          <w:tcPr>
            <w:tcW w:w="0" w:type="auto"/>
          </w:tcPr>
          <w:p w14:paraId="0C1E30E2"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40</w:t>
            </w:r>
          </w:p>
        </w:tc>
        <w:tc>
          <w:tcPr>
            <w:tcW w:w="0" w:type="auto"/>
          </w:tcPr>
          <w:p w14:paraId="7D460698"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20-100</w:t>
            </w:r>
          </w:p>
        </w:tc>
        <w:tc>
          <w:tcPr>
            <w:tcW w:w="0" w:type="auto"/>
          </w:tcPr>
          <w:p w14:paraId="0277F3C7" w14:textId="3C787A40" w:rsidR="00D31C73" w:rsidRPr="00C86BF0" w:rsidRDefault="00D31C73"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C86BF0">
              <w:rPr>
                <w:i/>
                <w:sz w:val="18"/>
                <w:szCs w:val="18"/>
              </w:rPr>
              <w:t>As compost return to field</w:t>
            </w:r>
            <w:r w:rsidR="00C86BF0">
              <w:rPr>
                <w:i/>
                <w:sz w:val="18"/>
                <w:szCs w:val="18"/>
              </w:rPr>
              <w:t xml:space="preserve"> in</w:t>
            </w:r>
            <w:r w:rsidRPr="00C86BF0">
              <w:rPr>
                <w:i/>
                <w:sz w:val="18"/>
                <w:szCs w:val="18"/>
              </w:rPr>
              <w:t xml:space="preserve"> </w:t>
            </w:r>
            <w:r w:rsidR="00C86BF0" w:rsidRPr="00C86BF0">
              <w:rPr>
                <w:i/>
                <w:sz w:val="18"/>
                <w:szCs w:val="18"/>
              </w:rPr>
              <w:t xml:space="preserve">Javourez et al., </w:t>
            </w:r>
            <w:r w:rsidR="00C86BF0" w:rsidRPr="003A663A">
              <w:rPr>
                <w:i/>
                <w:sz w:val="18"/>
                <w:szCs w:val="18"/>
              </w:rPr>
              <w:t>202</w:t>
            </w:r>
            <w:r w:rsidR="003A663A" w:rsidRPr="003A663A">
              <w:rPr>
                <w:i/>
                <w:sz w:val="18"/>
                <w:szCs w:val="18"/>
              </w:rPr>
              <w:t>4</w:t>
            </w:r>
            <w:r w:rsidR="00C86BF0" w:rsidRPr="003A663A">
              <w:rPr>
                <w:i/>
                <w:sz w:val="18"/>
                <w:szCs w:val="18"/>
              </w:rPr>
              <w:fldChar w:fldCharType="begin"/>
            </w:r>
            <w:r w:rsidR="00827449">
              <w:rPr>
                <w:i/>
                <w:sz w:val="18"/>
                <w:szCs w:val="18"/>
              </w:rPr>
              <w:instrText xml:space="preserve"> ADDIN ZOTERO_ITEM CSL_CITATION {"citationID":"CDGHQ2bZ","properties":{"formattedCitation":"\\super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C86BF0" w:rsidRPr="003A663A">
              <w:rPr>
                <w:i/>
                <w:sz w:val="18"/>
                <w:szCs w:val="18"/>
              </w:rPr>
              <w:fldChar w:fldCharType="separate"/>
            </w:r>
            <w:r w:rsidR="008C451C" w:rsidRPr="003A663A">
              <w:rPr>
                <w:rFonts w:ascii="Calibri" w:hAnsi="Calibri" w:cs="Calibri"/>
                <w:sz w:val="18"/>
                <w:szCs w:val="24"/>
                <w:vertAlign w:val="superscript"/>
              </w:rPr>
              <w:t>1</w:t>
            </w:r>
            <w:r w:rsidR="00C86BF0" w:rsidRPr="003A663A">
              <w:rPr>
                <w:i/>
                <w:sz w:val="18"/>
                <w:szCs w:val="18"/>
              </w:rPr>
              <w:fldChar w:fldCharType="end"/>
            </w:r>
          </w:p>
        </w:tc>
      </w:tr>
      <w:tr w:rsidR="002B5BD8" w:rsidRPr="00C86BF0" w14:paraId="29677BFF" w14:textId="77777777" w:rsidTr="00C86BF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BCF5C79" w14:textId="1829FDF9" w:rsidR="002B5BD8" w:rsidRPr="00C86BF0" w:rsidRDefault="002B5BD8" w:rsidP="002B5BD8">
            <w:pPr>
              <w:jc w:val="right"/>
              <w:rPr>
                <w:sz w:val="18"/>
                <w:szCs w:val="18"/>
              </w:rPr>
            </w:pPr>
            <w:r w:rsidRPr="00C86BF0">
              <w:rPr>
                <w:sz w:val="18"/>
                <w:szCs w:val="18"/>
              </w:rPr>
              <w:t>Collection platform to gasification</w:t>
            </w:r>
          </w:p>
        </w:tc>
        <w:tc>
          <w:tcPr>
            <w:tcW w:w="0" w:type="auto"/>
            <w:vMerge w:val="restart"/>
          </w:tcPr>
          <w:p w14:paraId="2D1B470E" w14:textId="1E00EB96" w:rsidR="002B5BD8" w:rsidRPr="00C86BF0" w:rsidRDefault="002B5BD8" w:rsidP="002B5BD8">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Gasification</w:t>
            </w:r>
          </w:p>
        </w:tc>
        <w:tc>
          <w:tcPr>
            <w:tcW w:w="0" w:type="auto"/>
          </w:tcPr>
          <w:p w14:paraId="0A81A74D" w14:textId="245AA0D3" w:rsidR="002B5BD8" w:rsidRPr="00C86BF0" w:rsidRDefault="002B5BD8" w:rsidP="002B5BD8">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40</w:t>
            </w:r>
          </w:p>
        </w:tc>
        <w:tc>
          <w:tcPr>
            <w:tcW w:w="0" w:type="auto"/>
          </w:tcPr>
          <w:p w14:paraId="2AFBE5D4" w14:textId="43D8957F" w:rsidR="002B5BD8" w:rsidRPr="00C86BF0" w:rsidRDefault="002B5BD8" w:rsidP="002B5BD8">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15-100</w:t>
            </w:r>
          </w:p>
        </w:tc>
        <w:tc>
          <w:tcPr>
            <w:tcW w:w="0" w:type="auto"/>
          </w:tcPr>
          <w:p w14:paraId="1CACB9FA" w14:textId="2A5E208F" w:rsidR="002B5BD8" w:rsidRPr="00C86BF0" w:rsidRDefault="002B5BD8"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C86BF0">
              <w:rPr>
                <w:i/>
                <w:sz w:val="18"/>
                <w:szCs w:val="18"/>
              </w:rPr>
              <w:t>Assumed as for incineration</w:t>
            </w:r>
            <w:r w:rsidR="00561B6A" w:rsidRPr="00C86BF0">
              <w:rPr>
                <w:i/>
                <w:sz w:val="18"/>
                <w:szCs w:val="18"/>
              </w:rPr>
              <w:t xml:space="preserve"> in </w:t>
            </w:r>
            <w:r w:rsidR="00C86BF0" w:rsidRPr="00C86BF0">
              <w:rPr>
                <w:i/>
                <w:sz w:val="18"/>
                <w:szCs w:val="18"/>
              </w:rPr>
              <w:t xml:space="preserve">Javourez et al., </w:t>
            </w:r>
            <w:r w:rsidR="00C86BF0" w:rsidRPr="003A663A">
              <w:rPr>
                <w:i/>
                <w:sz w:val="18"/>
                <w:szCs w:val="18"/>
              </w:rPr>
              <w:t>202</w:t>
            </w:r>
            <w:r w:rsidR="003A663A" w:rsidRPr="003A663A">
              <w:rPr>
                <w:i/>
                <w:sz w:val="18"/>
                <w:szCs w:val="18"/>
              </w:rPr>
              <w:t>4</w:t>
            </w:r>
            <w:r w:rsidR="00C86BF0" w:rsidRPr="003A663A">
              <w:rPr>
                <w:i/>
                <w:sz w:val="18"/>
                <w:szCs w:val="18"/>
              </w:rPr>
              <w:fldChar w:fldCharType="begin"/>
            </w:r>
            <w:r w:rsidR="00827449">
              <w:rPr>
                <w:i/>
                <w:sz w:val="18"/>
                <w:szCs w:val="18"/>
              </w:rPr>
              <w:instrText xml:space="preserve"> ADDIN ZOTERO_ITEM CSL_CITATION {"citationID":"u7Hrc3vR","properties":{"formattedCitation":"\\super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C86BF0" w:rsidRPr="003A663A">
              <w:rPr>
                <w:i/>
                <w:sz w:val="18"/>
                <w:szCs w:val="18"/>
              </w:rPr>
              <w:fldChar w:fldCharType="separate"/>
            </w:r>
            <w:r w:rsidR="008C451C" w:rsidRPr="003A663A">
              <w:rPr>
                <w:rFonts w:ascii="Calibri" w:hAnsi="Calibri" w:cs="Calibri"/>
                <w:sz w:val="18"/>
                <w:szCs w:val="24"/>
                <w:vertAlign w:val="superscript"/>
              </w:rPr>
              <w:t>1</w:t>
            </w:r>
            <w:r w:rsidR="00C86BF0" w:rsidRPr="003A663A">
              <w:rPr>
                <w:i/>
                <w:sz w:val="18"/>
                <w:szCs w:val="18"/>
              </w:rPr>
              <w:fldChar w:fldCharType="end"/>
            </w:r>
          </w:p>
        </w:tc>
      </w:tr>
      <w:tr w:rsidR="002B5BD8" w:rsidRPr="00C86BF0" w14:paraId="25705519" w14:textId="77777777" w:rsidTr="00C86BF0">
        <w:tc>
          <w:tcPr>
            <w:cnfStyle w:val="001000000000" w:firstRow="0" w:lastRow="0" w:firstColumn="1" w:lastColumn="0" w:oddVBand="0" w:evenVBand="0" w:oddHBand="0" w:evenHBand="0" w:firstRowFirstColumn="0" w:firstRowLastColumn="0" w:lastRowFirstColumn="0" w:lastRowLastColumn="0"/>
            <w:tcW w:w="0" w:type="auto"/>
          </w:tcPr>
          <w:p w14:paraId="0EF878E1" w14:textId="047AC22E" w:rsidR="002B5BD8" w:rsidRPr="00C86BF0" w:rsidRDefault="002B5BD8" w:rsidP="002B5BD8">
            <w:pPr>
              <w:jc w:val="right"/>
              <w:rPr>
                <w:sz w:val="18"/>
                <w:szCs w:val="18"/>
              </w:rPr>
            </w:pPr>
            <w:r w:rsidRPr="00C86BF0">
              <w:rPr>
                <w:sz w:val="18"/>
                <w:szCs w:val="18"/>
              </w:rPr>
              <w:t>Gaschar to valorisation</w:t>
            </w:r>
          </w:p>
        </w:tc>
        <w:tc>
          <w:tcPr>
            <w:tcW w:w="0" w:type="auto"/>
            <w:vMerge/>
          </w:tcPr>
          <w:p w14:paraId="6D420695" w14:textId="77777777" w:rsidR="002B5BD8" w:rsidRPr="00C86BF0" w:rsidRDefault="002B5BD8" w:rsidP="002B5BD8">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190380D6" w14:textId="74781DF3" w:rsidR="002B5BD8" w:rsidRPr="00C86BF0" w:rsidRDefault="002B5BD8" w:rsidP="002B5BD8">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75</w:t>
            </w:r>
          </w:p>
        </w:tc>
        <w:tc>
          <w:tcPr>
            <w:tcW w:w="0" w:type="auto"/>
          </w:tcPr>
          <w:p w14:paraId="36724B37" w14:textId="3F21D8CE" w:rsidR="002B5BD8" w:rsidRPr="00C86BF0" w:rsidRDefault="002B5BD8" w:rsidP="002B5BD8">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50-150</w:t>
            </w:r>
          </w:p>
        </w:tc>
        <w:tc>
          <w:tcPr>
            <w:tcW w:w="0" w:type="auto"/>
          </w:tcPr>
          <w:p w14:paraId="59BC3CAB" w14:textId="2C9DF60C" w:rsidR="002B5BD8" w:rsidRPr="00C86BF0" w:rsidRDefault="002B5BD8"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C86BF0">
              <w:rPr>
                <w:i/>
                <w:sz w:val="18"/>
                <w:szCs w:val="18"/>
              </w:rPr>
              <w:t>Current incineration slag valorization distance in France is 42km but as high as 150km in some regions</w:t>
            </w:r>
            <w:r w:rsidRPr="00C86BF0">
              <w:rPr>
                <w:i/>
                <w:sz w:val="18"/>
                <w:szCs w:val="18"/>
              </w:rPr>
              <w:fldChar w:fldCharType="begin"/>
            </w:r>
            <w:r w:rsidR="008C451C">
              <w:rPr>
                <w:i/>
                <w:sz w:val="18"/>
                <w:szCs w:val="18"/>
              </w:rPr>
              <w:instrText xml:space="preserve"> ADDIN ZOTERO_ITEM CSL_CITATION {"citationID":"u8TVbHIu","properties":{"formattedCitation":"\\super 47\\nosupersub{}","plainCitation":"47","noteIndex":0},"citationItems":[{"id":13758,"uris":["http://zotero.org/users/6423791/items/J6Q5V6JL"],"itemData":{"id":13758,"type":"report","collection-title":"Etudes","page":"88","title":"La valorisation des mâchefers - une technique d'économie circulaire inscrite dans les territoires","URL":"https://institut-economie-circulaire.fr/wp-content/uploads/2020/03/etude-inec-la-valorisation-des-machefers.pdf","author":[{"literal":"Institute National de l'Economie Circulaire"}],"accessed":{"date-parts":[["2022",10,5]]},"issued":{"date-parts":[["2020"]]}}}],"schema":"https://github.com/citation-style-language/schema/raw/master/csl-citation.json"} </w:instrText>
            </w:r>
            <w:r w:rsidRPr="00C86BF0">
              <w:rPr>
                <w:i/>
                <w:sz w:val="18"/>
                <w:szCs w:val="18"/>
              </w:rPr>
              <w:fldChar w:fldCharType="separate"/>
            </w:r>
            <w:r w:rsidR="008C451C" w:rsidRPr="008C451C">
              <w:rPr>
                <w:rFonts w:ascii="Calibri" w:hAnsi="Calibri" w:cs="Calibri"/>
                <w:sz w:val="18"/>
                <w:szCs w:val="24"/>
                <w:vertAlign w:val="superscript"/>
              </w:rPr>
              <w:t>47</w:t>
            </w:r>
            <w:r w:rsidRPr="00C86BF0">
              <w:rPr>
                <w:i/>
                <w:sz w:val="18"/>
                <w:szCs w:val="18"/>
              </w:rPr>
              <w:fldChar w:fldCharType="end"/>
            </w:r>
            <w:r w:rsidRPr="00C86BF0">
              <w:rPr>
                <w:i/>
                <w:sz w:val="18"/>
                <w:szCs w:val="18"/>
              </w:rPr>
              <w:t>.</w:t>
            </w:r>
          </w:p>
        </w:tc>
      </w:tr>
    </w:tbl>
    <w:p w14:paraId="13BEC0F4" w14:textId="50731398" w:rsidR="00D31C73" w:rsidRPr="006B5342" w:rsidRDefault="00D31C73" w:rsidP="006B5342">
      <w:pPr>
        <w:jc w:val="both"/>
        <w:rPr>
          <w:sz w:val="18"/>
        </w:rPr>
      </w:pPr>
      <w:r w:rsidRPr="006B5342">
        <w:rPr>
          <w:sz w:val="18"/>
          <w:vertAlign w:val="superscript"/>
        </w:rPr>
        <w:t>a</w:t>
      </w:r>
      <w:r w:rsidRPr="006B5342">
        <w:rPr>
          <w:sz w:val="18"/>
        </w:rPr>
        <w:t xml:space="preserve">: the waste-to-nutrition pathways modeled are not considered to be sent </w:t>
      </w:r>
      <w:r w:rsidR="00561B6A" w:rsidRPr="006B5342">
        <w:rPr>
          <w:sz w:val="18"/>
        </w:rPr>
        <w:t>towards</w:t>
      </w:r>
      <w:r w:rsidRPr="006B5342">
        <w:rPr>
          <w:sz w:val="18"/>
        </w:rPr>
        <w:t xml:space="preserve"> regular compound feed / agrifood industry for inclusion in products, but rather sent directly to a final client (except for the SSF case).</w:t>
      </w:r>
    </w:p>
    <w:p w14:paraId="528DDCB0" w14:textId="646B3564" w:rsidR="00C86BF0" w:rsidRDefault="00D31C73" w:rsidP="00D31C73">
      <w:r>
        <w:t>Therefore, the following technology parameters of transportation distances were considered (</w:t>
      </w:r>
      <w:r w:rsidR="000D6F35" w:rsidRPr="000D6F35">
        <w:rPr>
          <w:b/>
        </w:rPr>
        <w:fldChar w:fldCharType="begin"/>
      </w:r>
      <w:r w:rsidR="000D6F35" w:rsidRPr="000D6F35">
        <w:rPr>
          <w:b/>
        </w:rPr>
        <w:instrText xml:space="preserve"> REF _Ref144738481 \h </w:instrText>
      </w:r>
      <w:r w:rsidR="000D6F35">
        <w:rPr>
          <w:b/>
        </w:rPr>
        <w:instrText xml:space="preserve"> \* MERGEFORMAT </w:instrText>
      </w:r>
      <w:r w:rsidR="000D6F35" w:rsidRPr="000D6F35">
        <w:rPr>
          <w:b/>
        </w:rPr>
      </w:r>
      <w:r w:rsidR="000D6F35" w:rsidRPr="000D6F35">
        <w:rPr>
          <w:b/>
        </w:rPr>
        <w:fldChar w:fldCharType="separate"/>
      </w:r>
      <w:r w:rsidR="00F25F8C" w:rsidRPr="00F25F8C">
        <w:rPr>
          <w:b/>
        </w:rPr>
        <w:t xml:space="preserve">Table SI. </w:t>
      </w:r>
      <w:r w:rsidR="00F25F8C" w:rsidRPr="00F25F8C">
        <w:rPr>
          <w:b/>
          <w:noProof/>
        </w:rPr>
        <w:t>16</w:t>
      </w:r>
      <w:r w:rsidR="000D6F35" w:rsidRPr="000D6F35">
        <w:rPr>
          <w:b/>
        </w:rPr>
        <w:fldChar w:fldCharType="end"/>
      </w:r>
      <w:r w:rsidRPr="00F42ED0">
        <w:t>), and the corresponding background inventory was estimated as in</w:t>
      </w:r>
      <w:r w:rsidR="000D6F35">
        <w:t xml:space="preserve"> </w:t>
      </w:r>
      <w:r w:rsidR="000D6F35" w:rsidRPr="000D6F35">
        <w:rPr>
          <w:b/>
        </w:rPr>
        <w:fldChar w:fldCharType="begin"/>
      </w:r>
      <w:r w:rsidR="000D6F35" w:rsidRPr="000D6F35">
        <w:rPr>
          <w:b/>
        </w:rPr>
        <w:instrText xml:space="preserve"> REF _Ref144738500 \h </w:instrText>
      </w:r>
      <w:r w:rsidR="000D6F35">
        <w:rPr>
          <w:b/>
        </w:rPr>
        <w:instrText xml:space="preserve"> \* MERGEFORMAT </w:instrText>
      </w:r>
      <w:r w:rsidR="000D6F35" w:rsidRPr="000D6F35">
        <w:rPr>
          <w:b/>
        </w:rPr>
      </w:r>
      <w:r w:rsidR="000D6F35" w:rsidRPr="000D6F35">
        <w:rPr>
          <w:b/>
        </w:rPr>
        <w:fldChar w:fldCharType="separate"/>
      </w:r>
      <w:r w:rsidR="00F25F8C" w:rsidRPr="00F25F8C">
        <w:rPr>
          <w:b/>
        </w:rPr>
        <w:t xml:space="preserve">Table SI. </w:t>
      </w:r>
      <w:r w:rsidR="00F25F8C" w:rsidRPr="00F25F8C">
        <w:rPr>
          <w:b/>
          <w:noProof/>
        </w:rPr>
        <w:t>17</w:t>
      </w:r>
      <w:r w:rsidR="000D6F35" w:rsidRPr="000D6F35">
        <w:rPr>
          <w:b/>
        </w:rPr>
        <w:fldChar w:fldCharType="end"/>
      </w:r>
      <w:r w:rsidRPr="00F42ED0">
        <w:t>.</w:t>
      </w:r>
    </w:p>
    <w:p w14:paraId="7FEC1DE8" w14:textId="77777777" w:rsidR="00C86BF0" w:rsidRDefault="00C86BF0">
      <w:r>
        <w:br w:type="page"/>
      </w:r>
    </w:p>
    <w:p w14:paraId="2758210F" w14:textId="16124BD0" w:rsidR="00D31C73" w:rsidRPr="00C63D93" w:rsidRDefault="00874128" w:rsidP="006B5342">
      <w:pPr>
        <w:pStyle w:val="Lgende"/>
        <w:jc w:val="left"/>
      </w:pPr>
      <w:bookmarkStart w:id="83" w:name="_Ref144738481"/>
      <w:bookmarkStart w:id="84" w:name="_Toc134537593"/>
      <w:bookmarkStart w:id="85" w:name="_Toc151967900"/>
      <w:r>
        <w:lastRenderedPageBreak/>
        <w:t>Table SI.</w:t>
      </w:r>
      <w:r w:rsidR="00D31C73">
        <w:t xml:space="preserve"> </w:t>
      </w:r>
      <w:r>
        <w:fldChar w:fldCharType="begin"/>
      </w:r>
      <w:r>
        <w:instrText xml:space="preserve"> SEQ Table_SI. \* ARABIC </w:instrText>
      </w:r>
      <w:r>
        <w:fldChar w:fldCharType="separate"/>
      </w:r>
      <w:r w:rsidR="00F25F8C">
        <w:rPr>
          <w:noProof/>
        </w:rPr>
        <w:t>16</w:t>
      </w:r>
      <w:r>
        <w:fldChar w:fldCharType="end"/>
      </w:r>
      <w:bookmarkEnd w:id="83"/>
      <w:r w:rsidR="00D31C73">
        <w:t xml:space="preserve"> </w:t>
      </w:r>
      <w:r w:rsidR="00D31C73" w:rsidRPr="00C63D93">
        <w:t>– Parameters specific to transportation distances</w:t>
      </w:r>
      <w:bookmarkEnd w:id="84"/>
      <w:bookmarkEnd w:id="85"/>
    </w:p>
    <w:tbl>
      <w:tblPr>
        <w:tblStyle w:val="Tableausimple2"/>
        <w:tblW w:w="0" w:type="auto"/>
        <w:tblLook w:val="04A0" w:firstRow="1" w:lastRow="0" w:firstColumn="1" w:lastColumn="0" w:noHBand="0" w:noVBand="1"/>
      </w:tblPr>
      <w:tblGrid>
        <w:gridCol w:w="490"/>
        <w:gridCol w:w="3922"/>
        <w:gridCol w:w="537"/>
        <w:gridCol w:w="1290"/>
        <w:gridCol w:w="1375"/>
        <w:gridCol w:w="1166"/>
      </w:tblGrid>
      <w:tr w:rsidR="006B5342" w:rsidRPr="005002CD" w14:paraId="33D2EC9D"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7211042" w14:textId="45473284" w:rsidR="006B5342" w:rsidRPr="00C86BF0" w:rsidRDefault="006B5342" w:rsidP="006B5342">
            <w:pPr>
              <w:rPr>
                <w:sz w:val="18"/>
                <w:szCs w:val="18"/>
              </w:rPr>
            </w:pPr>
            <w:r w:rsidRPr="00C86BF0">
              <w:rPr>
                <w:sz w:val="18"/>
                <w:szCs w:val="18"/>
              </w:rPr>
              <w:t>n°</w:t>
            </w:r>
          </w:p>
        </w:tc>
        <w:tc>
          <w:tcPr>
            <w:tcW w:w="0" w:type="auto"/>
          </w:tcPr>
          <w:p w14:paraId="0A799756" w14:textId="5769B9CF" w:rsidR="006B5342" w:rsidRPr="00C86BF0" w:rsidRDefault="006B5342" w:rsidP="006B5342">
            <w:pPr>
              <w:jc w:val="right"/>
              <w:cnfStyle w:val="100000000000" w:firstRow="1" w:lastRow="0" w:firstColumn="0" w:lastColumn="0" w:oddVBand="0" w:evenVBand="0" w:oddHBand="0" w:evenHBand="0" w:firstRowFirstColumn="0" w:firstRowLastColumn="0" w:lastRowFirstColumn="0" w:lastRowLastColumn="0"/>
              <w:rPr>
                <w:sz w:val="18"/>
                <w:szCs w:val="18"/>
              </w:rPr>
            </w:pPr>
            <w:r w:rsidRPr="00C86BF0">
              <w:rPr>
                <w:sz w:val="18"/>
                <w:szCs w:val="18"/>
              </w:rPr>
              <w:t>Parameter</w:t>
            </w:r>
          </w:p>
        </w:tc>
        <w:tc>
          <w:tcPr>
            <w:tcW w:w="0" w:type="auto"/>
          </w:tcPr>
          <w:p w14:paraId="75AF6C2C" w14:textId="0E0A1B76" w:rsidR="006B5342" w:rsidRPr="00C86BF0" w:rsidRDefault="006B5342" w:rsidP="006B5342">
            <w:pPr>
              <w:cnfStyle w:val="100000000000" w:firstRow="1" w:lastRow="0" w:firstColumn="0" w:lastColumn="0" w:oddVBand="0" w:evenVBand="0" w:oddHBand="0" w:evenHBand="0" w:firstRowFirstColumn="0" w:firstRowLastColumn="0" w:lastRowFirstColumn="0" w:lastRowLastColumn="0"/>
              <w:rPr>
                <w:sz w:val="18"/>
                <w:szCs w:val="18"/>
              </w:rPr>
            </w:pPr>
            <w:r w:rsidRPr="00C86BF0">
              <w:rPr>
                <w:sz w:val="18"/>
                <w:szCs w:val="18"/>
              </w:rPr>
              <w:t>Unit</w:t>
            </w:r>
          </w:p>
        </w:tc>
        <w:tc>
          <w:tcPr>
            <w:tcW w:w="0" w:type="auto"/>
          </w:tcPr>
          <w:p w14:paraId="65D5BB15" w14:textId="34CC2881" w:rsidR="006B5342" w:rsidRPr="00C86BF0" w:rsidRDefault="006B5342" w:rsidP="006B5342">
            <w:pPr>
              <w:cnfStyle w:val="100000000000" w:firstRow="1" w:lastRow="0" w:firstColumn="0" w:lastColumn="0" w:oddVBand="0" w:evenVBand="0" w:oddHBand="0" w:evenHBand="0" w:firstRowFirstColumn="0" w:firstRowLastColumn="0" w:lastRowFirstColumn="0" w:lastRowLastColumn="0"/>
              <w:rPr>
                <w:sz w:val="18"/>
                <w:szCs w:val="18"/>
              </w:rPr>
            </w:pPr>
            <w:r w:rsidRPr="00C86BF0">
              <w:rPr>
                <w:sz w:val="18"/>
                <w:szCs w:val="18"/>
              </w:rPr>
              <w:t>Baseline value</w:t>
            </w:r>
          </w:p>
        </w:tc>
        <w:tc>
          <w:tcPr>
            <w:tcW w:w="0" w:type="auto"/>
          </w:tcPr>
          <w:p w14:paraId="5377126F" w14:textId="173A9DE7" w:rsidR="006B5342" w:rsidRPr="00C86BF0" w:rsidRDefault="006B5342" w:rsidP="006B5342">
            <w:pPr>
              <w:cnfStyle w:val="100000000000" w:firstRow="1" w:lastRow="0" w:firstColumn="0" w:lastColumn="0" w:oddVBand="0" w:evenVBand="0" w:oddHBand="0" w:evenHBand="0" w:firstRowFirstColumn="0" w:firstRowLastColumn="0" w:lastRowFirstColumn="0" w:lastRowLastColumn="0"/>
              <w:rPr>
                <w:sz w:val="18"/>
                <w:szCs w:val="18"/>
              </w:rPr>
            </w:pPr>
            <w:r w:rsidRPr="00C86BF0">
              <w:rPr>
                <w:sz w:val="18"/>
                <w:szCs w:val="18"/>
              </w:rPr>
              <w:t>Variation range</w:t>
            </w:r>
          </w:p>
        </w:tc>
        <w:tc>
          <w:tcPr>
            <w:tcW w:w="0" w:type="auto"/>
          </w:tcPr>
          <w:p w14:paraId="1A0B0531" w14:textId="3EC873DF" w:rsidR="006B5342" w:rsidRPr="00C86BF0" w:rsidRDefault="006B5342" w:rsidP="006B5342">
            <w:pPr>
              <w:ind w:left="113" w:right="113"/>
              <w:cnfStyle w:val="100000000000" w:firstRow="1" w:lastRow="0" w:firstColumn="0" w:lastColumn="0" w:oddVBand="0" w:evenVBand="0" w:oddHBand="0" w:evenHBand="0" w:firstRowFirstColumn="0" w:firstRowLastColumn="0" w:lastRowFirstColumn="0" w:lastRowLastColumn="0"/>
              <w:rPr>
                <w:i/>
                <w:sz w:val="18"/>
                <w:szCs w:val="18"/>
                <w:lang w:val="fr-FR"/>
              </w:rPr>
            </w:pPr>
            <w:r w:rsidRPr="00C86BF0">
              <w:rPr>
                <w:i/>
                <w:sz w:val="18"/>
                <w:szCs w:val="18"/>
              </w:rPr>
              <w:t>Comment</w:t>
            </w:r>
          </w:p>
        </w:tc>
      </w:tr>
      <w:tr w:rsidR="006B5342" w:rsidRPr="001B39E9" w14:paraId="078B0545"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9796720" w14:textId="77777777" w:rsidR="006B5342" w:rsidRPr="00C86BF0" w:rsidRDefault="006B5342" w:rsidP="006B5342">
            <w:pPr>
              <w:rPr>
                <w:sz w:val="18"/>
                <w:szCs w:val="18"/>
              </w:rPr>
            </w:pPr>
            <w:r w:rsidRPr="00C86BF0">
              <w:rPr>
                <w:sz w:val="18"/>
                <w:szCs w:val="18"/>
              </w:rPr>
              <w:t>1</w:t>
            </w:r>
          </w:p>
        </w:tc>
        <w:tc>
          <w:tcPr>
            <w:tcW w:w="0" w:type="auto"/>
          </w:tcPr>
          <w:p w14:paraId="21761D34" w14:textId="77777777" w:rsidR="006B5342" w:rsidRPr="00C86BF0" w:rsidRDefault="006B5342" w:rsidP="006B5342">
            <w:pPr>
              <w:jc w:val="right"/>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Transport to CF facility</w:t>
            </w:r>
          </w:p>
        </w:tc>
        <w:tc>
          <w:tcPr>
            <w:tcW w:w="0" w:type="auto"/>
          </w:tcPr>
          <w:p w14:paraId="4B4B20EB"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km</w:t>
            </w:r>
          </w:p>
        </w:tc>
        <w:tc>
          <w:tcPr>
            <w:tcW w:w="0" w:type="auto"/>
          </w:tcPr>
          <w:p w14:paraId="1C3AA6B9"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50</w:t>
            </w:r>
          </w:p>
        </w:tc>
        <w:tc>
          <w:tcPr>
            <w:tcW w:w="0" w:type="auto"/>
          </w:tcPr>
          <w:p w14:paraId="111AC866"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10-100</w:t>
            </w:r>
          </w:p>
        </w:tc>
        <w:tc>
          <w:tcPr>
            <w:tcW w:w="0" w:type="auto"/>
            <w:vMerge w:val="restart"/>
            <w:textDirection w:val="btLr"/>
            <w:vAlign w:val="center"/>
          </w:tcPr>
          <w:p w14:paraId="4B86A594" w14:textId="2C059E0D" w:rsidR="006B5342" w:rsidRPr="00C86BF0" w:rsidRDefault="006B5342" w:rsidP="006B5342">
            <w:pPr>
              <w:ind w:left="113" w:right="113"/>
              <w:jc w:val="center"/>
              <w:cnfStyle w:val="000000100000" w:firstRow="0" w:lastRow="0" w:firstColumn="0" w:lastColumn="0" w:oddVBand="0" w:evenVBand="0" w:oddHBand="1" w:evenHBand="0" w:firstRowFirstColumn="0" w:firstRowLastColumn="0" w:lastRowFirstColumn="0" w:lastRowLastColumn="0"/>
              <w:rPr>
                <w:i/>
                <w:sz w:val="18"/>
                <w:szCs w:val="18"/>
                <w:lang w:val="fr-FR"/>
              </w:rPr>
            </w:pPr>
            <w:r w:rsidRPr="00C86BF0">
              <w:rPr>
                <w:i/>
                <w:sz w:val="18"/>
                <w:szCs w:val="18"/>
                <w:lang w:val="fr-FR"/>
              </w:rPr>
              <w:t xml:space="preserve">See </w:t>
            </w:r>
            <w:r w:rsidRPr="00C86BF0">
              <w:rPr>
                <w:i/>
                <w:sz w:val="18"/>
                <w:szCs w:val="18"/>
              </w:rPr>
              <w:fldChar w:fldCharType="begin"/>
            </w:r>
            <w:r w:rsidRPr="00C86BF0">
              <w:rPr>
                <w:b/>
                <w:i/>
                <w:sz w:val="18"/>
                <w:szCs w:val="18"/>
                <w:lang w:val="fr-FR"/>
              </w:rPr>
              <w:instrText xml:space="preserve"> REF _Ref144738047 \h  \* MERGEFORMAT </w:instrText>
            </w:r>
            <w:r w:rsidRPr="00C86BF0">
              <w:rPr>
                <w:i/>
                <w:sz w:val="18"/>
                <w:szCs w:val="18"/>
              </w:rPr>
            </w:r>
            <w:r w:rsidRPr="00C86BF0">
              <w:rPr>
                <w:i/>
                <w:sz w:val="18"/>
                <w:szCs w:val="18"/>
              </w:rPr>
              <w:fldChar w:fldCharType="separate"/>
            </w:r>
            <w:r w:rsidRPr="00C86BF0">
              <w:rPr>
                <w:b/>
                <w:i/>
                <w:sz w:val="18"/>
                <w:szCs w:val="18"/>
                <w:lang w:val="fr-FR"/>
              </w:rPr>
              <w:t xml:space="preserve">Table SI. </w:t>
            </w:r>
            <w:r w:rsidRPr="00C86BF0">
              <w:rPr>
                <w:b/>
                <w:i/>
                <w:noProof/>
                <w:sz w:val="18"/>
                <w:szCs w:val="18"/>
                <w:lang w:val="fr-FR"/>
              </w:rPr>
              <w:t>15</w:t>
            </w:r>
            <w:r w:rsidRPr="00C86BF0">
              <w:rPr>
                <w:i/>
                <w:sz w:val="18"/>
                <w:szCs w:val="18"/>
              </w:rPr>
              <w:fldChar w:fldCharType="end"/>
            </w:r>
            <w:r w:rsidRPr="00C86BF0">
              <w:rPr>
                <w:b/>
                <w:i/>
                <w:sz w:val="18"/>
                <w:szCs w:val="18"/>
                <w:lang w:val="fr-FR"/>
              </w:rPr>
              <w:t xml:space="preserve"> </w:t>
            </w:r>
            <w:r w:rsidRPr="00C86BF0">
              <w:rPr>
                <w:i/>
                <w:sz w:val="18"/>
                <w:szCs w:val="18"/>
                <w:lang w:val="fr-FR"/>
              </w:rPr>
              <w:t xml:space="preserve">and Javourez et </w:t>
            </w:r>
            <w:r w:rsidRPr="003A663A">
              <w:rPr>
                <w:i/>
                <w:sz w:val="18"/>
                <w:szCs w:val="18"/>
                <w:lang w:val="fr-FR"/>
              </w:rPr>
              <w:t>al., 202</w:t>
            </w:r>
            <w:r w:rsidR="003A663A" w:rsidRPr="003A663A">
              <w:rPr>
                <w:i/>
                <w:sz w:val="18"/>
                <w:szCs w:val="18"/>
                <w:lang w:val="fr-FR"/>
              </w:rPr>
              <w:t>4</w:t>
            </w:r>
            <w:r w:rsidRPr="003A663A">
              <w:rPr>
                <w:i/>
                <w:sz w:val="18"/>
                <w:szCs w:val="18"/>
              </w:rPr>
              <w:fldChar w:fldCharType="begin"/>
            </w:r>
            <w:r w:rsidR="00827449">
              <w:rPr>
                <w:i/>
                <w:sz w:val="18"/>
                <w:szCs w:val="18"/>
                <w:lang w:val="fr-FR"/>
              </w:rPr>
              <w:instrText xml:space="preserve"> ADDIN ZOTERO_ITEM CSL_CITATION {"citationID":"CMtRPTa6","properties":{"formattedCitation":"\\super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Pr="003A663A">
              <w:rPr>
                <w:i/>
                <w:sz w:val="18"/>
                <w:szCs w:val="18"/>
              </w:rPr>
              <w:fldChar w:fldCharType="separate"/>
            </w:r>
            <w:r w:rsidRPr="003A663A">
              <w:rPr>
                <w:rFonts w:ascii="Calibri" w:hAnsi="Calibri" w:cs="Calibri"/>
                <w:sz w:val="18"/>
                <w:szCs w:val="24"/>
                <w:vertAlign w:val="superscript"/>
                <w:lang w:val="fr-FR"/>
              </w:rPr>
              <w:t>1</w:t>
            </w:r>
            <w:r w:rsidRPr="003A663A">
              <w:rPr>
                <w:i/>
                <w:sz w:val="18"/>
                <w:szCs w:val="18"/>
              </w:rPr>
              <w:fldChar w:fldCharType="end"/>
            </w:r>
          </w:p>
        </w:tc>
      </w:tr>
      <w:tr w:rsidR="006B5342" w:rsidRPr="00C86BF0" w14:paraId="162C1DBD"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7B55EE1F" w14:textId="77777777" w:rsidR="006B5342" w:rsidRPr="00C86BF0" w:rsidRDefault="006B5342" w:rsidP="006B5342">
            <w:pPr>
              <w:rPr>
                <w:sz w:val="18"/>
                <w:szCs w:val="18"/>
              </w:rPr>
            </w:pPr>
            <w:r w:rsidRPr="00C86BF0">
              <w:rPr>
                <w:sz w:val="18"/>
                <w:szCs w:val="18"/>
              </w:rPr>
              <w:t>2</w:t>
            </w:r>
          </w:p>
        </w:tc>
        <w:tc>
          <w:tcPr>
            <w:tcW w:w="0" w:type="auto"/>
          </w:tcPr>
          <w:p w14:paraId="2A9D1519" w14:textId="77777777" w:rsidR="006B5342" w:rsidRPr="00C86BF0" w:rsidRDefault="006B5342" w:rsidP="006B5342">
            <w:pPr>
              <w:jc w:val="right"/>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Transport to final client</w:t>
            </w:r>
          </w:p>
        </w:tc>
        <w:tc>
          <w:tcPr>
            <w:tcW w:w="0" w:type="auto"/>
          </w:tcPr>
          <w:p w14:paraId="673F210B"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km</w:t>
            </w:r>
          </w:p>
        </w:tc>
        <w:tc>
          <w:tcPr>
            <w:tcW w:w="0" w:type="auto"/>
          </w:tcPr>
          <w:p w14:paraId="7BE38F57"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50</w:t>
            </w:r>
          </w:p>
        </w:tc>
        <w:tc>
          <w:tcPr>
            <w:tcW w:w="0" w:type="auto"/>
          </w:tcPr>
          <w:p w14:paraId="63FEEF78"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10-100</w:t>
            </w:r>
          </w:p>
        </w:tc>
        <w:tc>
          <w:tcPr>
            <w:tcW w:w="0" w:type="auto"/>
            <w:vMerge/>
          </w:tcPr>
          <w:p w14:paraId="4635B9F7"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i/>
                <w:sz w:val="18"/>
                <w:szCs w:val="18"/>
              </w:rPr>
            </w:pPr>
          </w:p>
        </w:tc>
      </w:tr>
      <w:tr w:rsidR="006B5342" w:rsidRPr="00C86BF0" w14:paraId="206866ED"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57D8971" w14:textId="77777777" w:rsidR="006B5342" w:rsidRPr="00C86BF0" w:rsidRDefault="006B5342" w:rsidP="006B5342">
            <w:pPr>
              <w:rPr>
                <w:sz w:val="18"/>
                <w:szCs w:val="18"/>
              </w:rPr>
            </w:pPr>
            <w:r w:rsidRPr="00C86BF0">
              <w:rPr>
                <w:sz w:val="18"/>
                <w:szCs w:val="18"/>
              </w:rPr>
              <w:t>3</w:t>
            </w:r>
          </w:p>
        </w:tc>
        <w:tc>
          <w:tcPr>
            <w:tcW w:w="0" w:type="auto"/>
          </w:tcPr>
          <w:p w14:paraId="2C0E8D38" w14:textId="77777777" w:rsidR="006B5342" w:rsidRPr="00C86BF0" w:rsidRDefault="006B5342" w:rsidP="006B5342">
            <w:pPr>
              <w:jc w:val="right"/>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Diffuse streams towards collection platforms</w:t>
            </w:r>
          </w:p>
        </w:tc>
        <w:tc>
          <w:tcPr>
            <w:tcW w:w="0" w:type="auto"/>
          </w:tcPr>
          <w:p w14:paraId="454C56AA"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km</w:t>
            </w:r>
          </w:p>
        </w:tc>
        <w:tc>
          <w:tcPr>
            <w:tcW w:w="0" w:type="auto"/>
          </w:tcPr>
          <w:p w14:paraId="1CA58FE0"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40</w:t>
            </w:r>
          </w:p>
        </w:tc>
        <w:tc>
          <w:tcPr>
            <w:tcW w:w="0" w:type="auto"/>
          </w:tcPr>
          <w:p w14:paraId="168D4F3B"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20-60</w:t>
            </w:r>
          </w:p>
        </w:tc>
        <w:tc>
          <w:tcPr>
            <w:tcW w:w="0" w:type="auto"/>
            <w:vMerge/>
          </w:tcPr>
          <w:p w14:paraId="46254F84"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i/>
                <w:sz w:val="18"/>
                <w:szCs w:val="18"/>
              </w:rPr>
            </w:pPr>
          </w:p>
        </w:tc>
      </w:tr>
      <w:tr w:rsidR="006B5342" w:rsidRPr="00C86BF0" w14:paraId="0041A858"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6041621F" w14:textId="77777777" w:rsidR="006B5342" w:rsidRPr="00C86BF0" w:rsidRDefault="006B5342" w:rsidP="006B5342">
            <w:pPr>
              <w:rPr>
                <w:sz w:val="18"/>
                <w:szCs w:val="18"/>
              </w:rPr>
            </w:pPr>
            <w:r w:rsidRPr="00C86BF0">
              <w:rPr>
                <w:sz w:val="18"/>
                <w:szCs w:val="18"/>
              </w:rPr>
              <w:t>4</w:t>
            </w:r>
          </w:p>
        </w:tc>
        <w:tc>
          <w:tcPr>
            <w:tcW w:w="0" w:type="auto"/>
          </w:tcPr>
          <w:p w14:paraId="475E18CD" w14:textId="77777777" w:rsidR="006B5342" w:rsidRPr="00C86BF0" w:rsidRDefault="006B5342" w:rsidP="006B5342">
            <w:pPr>
              <w:jc w:val="right"/>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 xml:space="preserve">Diffuse streams towards AD/GB facilities </w:t>
            </w:r>
          </w:p>
        </w:tc>
        <w:tc>
          <w:tcPr>
            <w:tcW w:w="0" w:type="auto"/>
          </w:tcPr>
          <w:p w14:paraId="7FEA4CA2"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km</w:t>
            </w:r>
          </w:p>
        </w:tc>
        <w:tc>
          <w:tcPr>
            <w:tcW w:w="0" w:type="auto"/>
          </w:tcPr>
          <w:p w14:paraId="5A8ACCB9"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40</w:t>
            </w:r>
          </w:p>
        </w:tc>
        <w:tc>
          <w:tcPr>
            <w:tcW w:w="0" w:type="auto"/>
          </w:tcPr>
          <w:p w14:paraId="19DCC860"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3-75</w:t>
            </w:r>
          </w:p>
        </w:tc>
        <w:tc>
          <w:tcPr>
            <w:tcW w:w="0" w:type="auto"/>
            <w:vMerge/>
          </w:tcPr>
          <w:p w14:paraId="45FFC552"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i/>
                <w:sz w:val="18"/>
                <w:szCs w:val="18"/>
              </w:rPr>
            </w:pPr>
          </w:p>
        </w:tc>
      </w:tr>
      <w:tr w:rsidR="006B5342" w:rsidRPr="00C86BF0" w14:paraId="28C94471"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1E3EB5E" w14:textId="77777777" w:rsidR="006B5342" w:rsidRPr="00C86BF0" w:rsidRDefault="006B5342" w:rsidP="006B5342">
            <w:pPr>
              <w:rPr>
                <w:sz w:val="18"/>
                <w:szCs w:val="18"/>
              </w:rPr>
            </w:pPr>
            <w:r w:rsidRPr="00C86BF0">
              <w:rPr>
                <w:sz w:val="18"/>
                <w:szCs w:val="18"/>
              </w:rPr>
              <w:t>5</w:t>
            </w:r>
          </w:p>
        </w:tc>
        <w:tc>
          <w:tcPr>
            <w:tcW w:w="0" w:type="auto"/>
          </w:tcPr>
          <w:p w14:paraId="4FC96637" w14:textId="77777777" w:rsidR="006B5342" w:rsidRPr="00C86BF0" w:rsidRDefault="006B5342" w:rsidP="006B5342">
            <w:pPr>
              <w:jc w:val="right"/>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Collection platform to direct CHP/GA facilites</w:t>
            </w:r>
          </w:p>
        </w:tc>
        <w:tc>
          <w:tcPr>
            <w:tcW w:w="0" w:type="auto"/>
          </w:tcPr>
          <w:p w14:paraId="7C6337F3"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km</w:t>
            </w:r>
          </w:p>
        </w:tc>
        <w:tc>
          <w:tcPr>
            <w:tcW w:w="0" w:type="auto"/>
          </w:tcPr>
          <w:p w14:paraId="05665BAB"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40</w:t>
            </w:r>
          </w:p>
        </w:tc>
        <w:tc>
          <w:tcPr>
            <w:tcW w:w="0" w:type="auto"/>
          </w:tcPr>
          <w:p w14:paraId="42D7624C"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15-100</w:t>
            </w:r>
          </w:p>
        </w:tc>
        <w:tc>
          <w:tcPr>
            <w:tcW w:w="0" w:type="auto"/>
            <w:vMerge/>
          </w:tcPr>
          <w:p w14:paraId="5BE2D9C5"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i/>
                <w:sz w:val="18"/>
                <w:szCs w:val="18"/>
              </w:rPr>
            </w:pPr>
          </w:p>
        </w:tc>
      </w:tr>
      <w:tr w:rsidR="006B5342" w:rsidRPr="00C86BF0" w14:paraId="64B81F8E"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4C536FC7" w14:textId="77777777" w:rsidR="006B5342" w:rsidRPr="00C86BF0" w:rsidRDefault="006B5342" w:rsidP="006B5342">
            <w:pPr>
              <w:rPr>
                <w:sz w:val="18"/>
                <w:szCs w:val="18"/>
              </w:rPr>
            </w:pPr>
            <w:r w:rsidRPr="00C86BF0">
              <w:rPr>
                <w:sz w:val="18"/>
                <w:szCs w:val="18"/>
              </w:rPr>
              <w:t>6</w:t>
            </w:r>
          </w:p>
        </w:tc>
        <w:tc>
          <w:tcPr>
            <w:tcW w:w="0" w:type="auto"/>
          </w:tcPr>
          <w:p w14:paraId="37F3FF22" w14:textId="77777777" w:rsidR="006B5342" w:rsidRPr="00C86BF0" w:rsidRDefault="006B5342" w:rsidP="006B5342">
            <w:pPr>
              <w:jc w:val="right"/>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Collection platform to composting facilities</w:t>
            </w:r>
          </w:p>
        </w:tc>
        <w:tc>
          <w:tcPr>
            <w:tcW w:w="0" w:type="auto"/>
          </w:tcPr>
          <w:p w14:paraId="268F8D06"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km</w:t>
            </w:r>
          </w:p>
        </w:tc>
        <w:tc>
          <w:tcPr>
            <w:tcW w:w="0" w:type="auto"/>
          </w:tcPr>
          <w:p w14:paraId="6C21F891"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33</w:t>
            </w:r>
          </w:p>
        </w:tc>
        <w:tc>
          <w:tcPr>
            <w:tcW w:w="0" w:type="auto"/>
          </w:tcPr>
          <w:p w14:paraId="6E49C743"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12-54</w:t>
            </w:r>
          </w:p>
        </w:tc>
        <w:tc>
          <w:tcPr>
            <w:tcW w:w="0" w:type="auto"/>
            <w:vMerge/>
          </w:tcPr>
          <w:p w14:paraId="1F6E4775"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i/>
                <w:sz w:val="18"/>
                <w:szCs w:val="18"/>
              </w:rPr>
            </w:pPr>
          </w:p>
        </w:tc>
      </w:tr>
      <w:tr w:rsidR="006B5342" w:rsidRPr="00C86BF0" w14:paraId="43C5C3D9"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69F7271" w14:textId="77777777" w:rsidR="006B5342" w:rsidRPr="00C86BF0" w:rsidRDefault="006B5342" w:rsidP="006B5342">
            <w:pPr>
              <w:rPr>
                <w:sz w:val="18"/>
                <w:szCs w:val="18"/>
              </w:rPr>
            </w:pPr>
            <w:r w:rsidRPr="00C86BF0">
              <w:rPr>
                <w:sz w:val="18"/>
                <w:szCs w:val="18"/>
              </w:rPr>
              <w:t>7</w:t>
            </w:r>
          </w:p>
        </w:tc>
        <w:tc>
          <w:tcPr>
            <w:tcW w:w="0" w:type="auto"/>
          </w:tcPr>
          <w:p w14:paraId="2DF60316" w14:textId="77777777" w:rsidR="006B5342" w:rsidRPr="00C86BF0" w:rsidRDefault="006B5342" w:rsidP="006B5342">
            <w:pPr>
              <w:jc w:val="right"/>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Transport of compost to land</w:t>
            </w:r>
          </w:p>
        </w:tc>
        <w:tc>
          <w:tcPr>
            <w:tcW w:w="0" w:type="auto"/>
          </w:tcPr>
          <w:p w14:paraId="51E13902"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km</w:t>
            </w:r>
          </w:p>
        </w:tc>
        <w:tc>
          <w:tcPr>
            <w:tcW w:w="0" w:type="auto"/>
          </w:tcPr>
          <w:p w14:paraId="4854EFA5"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40</w:t>
            </w:r>
          </w:p>
        </w:tc>
        <w:tc>
          <w:tcPr>
            <w:tcW w:w="0" w:type="auto"/>
          </w:tcPr>
          <w:p w14:paraId="7D7A78AF"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20-100</w:t>
            </w:r>
          </w:p>
        </w:tc>
        <w:tc>
          <w:tcPr>
            <w:tcW w:w="0" w:type="auto"/>
            <w:vMerge/>
          </w:tcPr>
          <w:p w14:paraId="5E74D96B"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i/>
                <w:sz w:val="18"/>
                <w:szCs w:val="18"/>
              </w:rPr>
            </w:pPr>
          </w:p>
        </w:tc>
      </w:tr>
      <w:tr w:rsidR="006B5342" w:rsidRPr="00C86BF0" w14:paraId="745D7748"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14F73DD7" w14:textId="77777777" w:rsidR="006B5342" w:rsidRPr="00C86BF0" w:rsidRDefault="006B5342" w:rsidP="006B5342">
            <w:pPr>
              <w:rPr>
                <w:sz w:val="18"/>
                <w:szCs w:val="18"/>
              </w:rPr>
            </w:pPr>
            <w:r w:rsidRPr="00C86BF0">
              <w:rPr>
                <w:sz w:val="18"/>
                <w:szCs w:val="18"/>
              </w:rPr>
              <w:t>8</w:t>
            </w:r>
          </w:p>
        </w:tc>
        <w:tc>
          <w:tcPr>
            <w:tcW w:w="0" w:type="auto"/>
          </w:tcPr>
          <w:p w14:paraId="6C0C2B0F" w14:textId="77777777" w:rsidR="006B5342" w:rsidRPr="00C86BF0" w:rsidRDefault="006B5342" w:rsidP="006B5342">
            <w:pPr>
              <w:jc w:val="right"/>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Diffuse streams towards domestic furnace</w:t>
            </w:r>
          </w:p>
        </w:tc>
        <w:tc>
          <w:tcPr>
            <w:tcW w:w="0" w:type="auto"/>
          </w:tcPr>
          <w:p w14:paraId="29DCC301"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km</w:t>
            </w:r>
          </w:p>
        </w:tc>
        <w:tc>
          <w:tcPr>
            <w:tcW w:w="0" w:type="auto"/>
          </w:tcPr>
          <w:p w14:paraId="1531CE37"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10</w:t>
            </w:r>
          </w:p>
        </w:tc>
        <w:tc>
          <w:tcPr>
            <w:tcW w:w="0" w:type="auto"/>
          </w:tcPr>
          <w:p w14:paraId="32C0C715"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2-20</w:t>
            </w:r>
          </w:p>
        </w:tc>
        <w:tc>
          <w:tcPr>
            <w:tcW w:w="0" w:type="auto"/>
            <w:vMerge/>
          </w:tcPr>
          <w:p w14:paraId="28A245D3"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i/>
                <w:sz w:val="18"/>
                <w:szCs w:val="18"/>
              </w:rPr>
            </w:pPr>
          </w:p>
        </w:tc>
      </w:tr>
      <w:tr w:rsidR="006B5342" w:rsidRPr="00C86BF0" w14:paraId="388F7556"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0B5F7DF" w14:textId="77777777" w:rsidR="006B5342" w:rsidRPr="00C86BF0" w:rsidRDefault="006B5342" w:rsidP="006B5342">
            <w:pPr>
              <w:rPr>
                <w:sz w:val="18"/>
                <w:szCs w:val="18"/>
              </w:rPr>
            </w:pPr>
            <w:r w:rsidRPr="00C86BF0">
              <w:rPr>
                <w:sz w:val="18"/>
                <w:szCs w:val="18"/>
              </w:rPr>
              <w:t>9</w:t>
            </w:r>
          </w:p>
        </w:tc>
        <w:tc>
          <w:tcPr>
            <w:tcW w:w="0" w:type="auto"/>
          </w:tcPr>
          <w:p w14:paraId="1FF30373" w14:textId="77777777" w:rsidR="006B5342" w:rsidRPr="00C86BF0" w:rsidRDefault="006B5342" w:rsidP="006B5342">
            <w:pPr>
              <w:jc w:val="right"/>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Generation site towards industrial furnace</w:t>
            </w:r>
          </w:p>
        </w:tc>
        <w:tc>
          <w:tcPr>
            <w:tcW w:w="0" w:type="auto"/>
          </w:tcPr>
          <w:p w14:paraId="48D819A9"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km</w:t>
            </w:r>
          </w:p>
        </w:tc>
        <w:tc>
          <w:tcPr>
            <w:tcW w:w="0" w:type="auto"/>
          </w:tcPr>
          <w:p w14:paraId="255D3BCB"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50</w:t>
            </w:r>
          </w:p>
        </w:tc>
        <w:tc>
          <w:tcPr>
            <w:tcW w:w="0" w:type="auto"/>
          </w:tcPr>
          <w:p w14:paraId="04CB9498"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30-150</w:t>
            </w:r>
          </w:p>
        </w:tc>
        <w:tc>
          <w:tcPr>
            <w:tcW w:w="0" w:type="auto"/>
            <w:vMerge/>
          </w:tcPr>
          <w:p w14:paraId="11104764"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i/>
                <w:sz w:val="18"/>
                <w:szCs w:val="18"/>
              </w:rPr>
            </w:pPr>
          </w:p>
        </w:tc>
      </w:tr>
      <w:tr w:rsidR="006B5342" w:rsidRPr="00C86BF0" w14:paraId="1EAF56B4"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72952BF2" w14:textId="77777777" w:rsidR="006B5342" w:rsidRPr="00C86BF0" w:rsidRDefault="006B5342" w:rsidP="006B5342">
            <w:pPr>
              <w:rPr>
                <w:sz w:val="18"/>
                <w:szCs w:val="18"/>
              </w:rPr>
            </w:pPr>
            <w:r w:rsidRPr="00C86BF0">
              <w:rPr>
                <w:sz w:val="18"/>
                <w:szCs w:val="18"/>
              </w:rPr>
              <w:t>10</w:t>
            </w:r>
          </w:p>
        </w:tc>
        <w:tc>
          <w:tcPr>
            <w:tcW w:w="0" w:type="auto"/>
          </w:tcPr>
          <w:p w14:paraId="5FC3DC99" w14:textId="77777777" w:rsidR="006B5342" w:rsidRPr="00C86BF0" w:rsidRDefault="006B5342" w:rsidP="006B5342">
            <w:pPr>
              <w:jc w:val="right"/>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Digestate/slurry spreading distance</w:t>
            </w:r>
          </w:p>
        </w:tc>
        <w:tc>
          <w:tcPr>
            <w:tcW w:w="0" w:type="auto"/>
          </w:tcPr>
          <w:p w14:paraId="77F2B2D2"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km</w:t>
            </w:r>
          </w:p>
        </w:tc>
        <w:tc>
          <w:tcPr>
            <w:tcW w:w="0" w:type="auto"/>
          </w:tcPr>
          <w:p w14:paraId="34C308F1"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10</w:t>
            </w:r>
          </w:p>
        </w:tc>
        <w:tc>
          <w:tcPr>
            <w:tcW w:w="0" w:type="auto"/>
          </w:tcPr>
          <w:p w14:paraId="393AD9B2"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3-50</w:t>
            </w:r>
          </w:p>
        </w:tc>
        <w:tc>
          <w:tcPr>
            <w:tcW w:w="0" w:type="auto"/>
            <w:vMerge/>
          </w:tcPr>
          <w:p w14:paraId="21BE5AD5"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i/>
                <w:sz w:val="18"/>
                <w:szCs w:val="18"/>
              </w:rPr>
            </w:pPr>
          </w:p>
        </w:tc>
      </w:tr>
      <w:tr w:rsidR="006B5342" w:rsidRPr="00C86BF0" w14:paraId="578C145F"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79DE925" w14:textId="77777777" w:rsidR="006B5342" w:rsidRPr="00C86BF0" w:rsidRDefault="006B5342" w:rsidP="006B5342">
            <w:pPr>
              <w:rPr>
                <w:sz w:val="18"/>
                <w:szCs w:val="18"/>
              </w:rPr>
            </w:pPr>
            <w:r w:rsidRPr="00C86BF0">
              <w:rPr>
                <w:sz w:val="18"/>
                <w:szCs w:val="18"/>
              </w:rPr>
              <w:t>11</w:t>
            </w:r>
          </w:p>
        </w:tc>
        <w:tc>
          <w:tcPr>
            <w:tcW w:w="0" w:type="auto"/>
          </w:tcPr>
          <w:p w14:paraId="1005FB4C" w14:textId="77777777" w:rsidR="006B5342" w:rsidRPr="00C86BF0" w:rsidRDefault="006B5342" w:rsidP="006B5342">
            <w:pPr>
              <w:jc w:val="right"/>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Collection platforms to waste-to-nutrition facilities</w:t>
            </w:r>
          </w:p>
        </w:tc>
        <w:tc>
          <w:tcPr>
            <w:tcW w:w="0" w:type="auto"/>
          </w:tcPr>
          <w:p w14:paraId="508657B1"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km</w:t>
            </w:r>
          </w:p>
        </w:tc>
        <w:tc>
          <w:tcPr>
            <w:tcW w:w="0" w:type="auto"/>
          </w:tcPr>
          <w:p w14:paraId="4CDF0D46"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50</w:t>
            </w:r>
          </w:p>
        </w:tc>
        <w:tc>
          <w:tcPr>
            <w:tcW w:w="0" w:type="auto"/>
          </w:tcPr>
          <w:p w14:paraId="240D0675"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10-100</w:t>
            </w:r>
          </w:p>
        </w:tc>
        <w:tc>
          <w:tcPr>
            <w:tcW w:w="0" w:type="auto"/>
            <w:vMerge/>
          </w:tcPr>
          <w:p w14:paraId="22BD69AF" w14:textId="77777777" w:rsidR="006B5342" w:rsidRPr="00C86BF0" w:rsidRDefault="006B5342" w:rsidP="006B5342">
            <w:pPr>
              <w:cnfStyle w:val="000000100000" w:firstRow="0" w:lastRow="0" w:firstColumn="0" w:lastColumn="0" w:oddVBand="0" w:evenVBand="0" w:oddHBand="1" w:evenHBand="0" w:firstRowFirstColumn="0" w:firstRowLastColumn="0" w:lastRowFirstColumn="0" w:lastRowLastColumn="0"/>
              <w:rPr>
                <w:i/>
                <w:sz w:val="18"/>
                <w:szCs w:val="18"/>
              </w:rPr>
            </w:pPr>
          </w:p>
        </w:tc>
      </w:tr>
      <w:tr w:rsidR="006B5342" w:rsidRPr="00C86BF0" w14:paraId="74659C16"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33F66A63" w14:textId="77777777" w:rsidR="006B5342" w:rsidRPr="00C86BF0" w:rsidRDefault="006B5342" w:rsidP="006B5342">
            <w:pPr>
              <w:rPr>
                <w:sz w:val="18"/>
                <w:szCs w:val="18"/>
              </w:rPr>
            </w:pPr>
            <w:r w:rsidRPr="00C86BF0">
              <w:rPr>
                <w:sz w:val="18"/>
                <w:szCs w:val="18"/>
              </w:rPr>
              <w:t>263</w:t>
            </w:r>
          </w:p>
        </w:tc>
        <w:tc>
          <w:tcPr>
            <w:tcW w:w="0" w:type="auto"/>
          </w:tcPr>
          <w:p w14:paraId="0F5C24B2" w14:textId="77777777" w:rsidR="006B5342" w:rsidRPr="00C86BF0" w:rsidRDefault="006B5342" w:rsidP="006B5342">
            <w:pPr>
              <w:jc w:val="right"/>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Sludge spreading distance</w:t>
            </w:r>
          </w:p>
        </w:tc>
        <w:tc>
          <w:tcPr>
            <w:tcW w:w="0" w:type="auto"/>
          </w:tcPr>
          <w:p w14:paraId="5CF87423"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km</w:t>
            </w:r>
          </w:p>
        </w:tc>
        <w:tc>
          <w:tcPr>
            <w:tcW w:w="0" w:type="auto"/>
          </w:tcPr>
          <w:p w14:paraId="428C5AC0"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21.5</w:t>
            </w:r>
          </w:p>
        </w:tc>
        <w:tc>
          <w:tcPr>
            <w:tcW w:w="0" w:type="auto"/>
          </w:tcPr>
          <w:p w14:paraId="1D825124"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5-40</w:t>
            </w:r>
          </w:p>
        </w:tc>
        <w:tc>
          <w:tcPr>
            <w:tcW w:w="0" w:type="auto"/>
            <w:vMerge/>
          </w:tcPr>
          <w:p w14:paraId="2B6FA04E" w14:textId="77777777" w:rsidR="006B5342" w:rsidRPr="00C86BF0" w:rsidRDefault="006B5342" w:rsidP="006B5342">
            <w:pPr>
              <w:cnfStyle w:val="000000000000" w:firstRow="0" w:lastRow="0" w:firstColumn="0" w:lastColumn="0" w:oddVBand="0" w:evenVBand="0" w:oddHBand="0" w:evenHBand="0" w:firstRowFirstColumn="0" w:firstRowLastColumn="0" w:lastRowFirstColumn="0" w:lastRowLastColumn="0"/>
              <w:rPr>
                <w:i/>
                <w:sz w:val="18"/>
                <w:szCs w:val="18"/>
              </w:rPr>
            </w:pPr>
          </w:p>
        </w:tc>
      </w:tr>
    </w:tbl>
    <w:p w14:paraId="7921EA54" w14:textId="43BF2833" w:rsidR="00D31C73" w:rsidRDefault="00D31C73" w:rsidP="003A663A">
      <w:pPr>
        <w:rPr>
          <w:sz w:val="18"/>
        </w:rPr>
      </w:pPr>
      <w:r w:rsidRPr="003F5DA8">
        <w:rPr>
          <w:sz w:val="18"/>
        </w:rPr>
        <w:t xml:space="preserve">Numbering of parameters corresponds to the one </w:t>
      </w:r>
      <w:r>
        <w:rPr>
          <w:sz w:val="18"/>
        </w:rPr>
        <w:t xml:space="preserve">of </w:t>
      </w:r>
      <w:r w:rsidR="00877BEE" w:rsidRPr="00B94C7D">
        <w:rPr>
          <w:b/>
          <w:i/>
          <w:sz w:val="18"/>
          <w:szCs w:val="18"/>
        </w:rPr>
        <w:fldChar w:fldCharType="begin"/>
      </w:r>
      <w:r w:rsidR="00877BEE" w:rsidRPr="00B94C7D">
        <w:rPr>
          <w:b/>
          <w:i/>
          <w:sz w:val="18"/>
          <w:szCs w:val="18"/>
        </w:rPr>
        <w:instrText xml:space="preserve"> REF _Ref144914839 \h  \* MERGEFORMAT </w:instrText>
      </w:r>
      <w:r w:rsidR="00877BEE" w:rsidRPr="00B94C7D">
        <w:rPr>
          <w:b/>
          <w:i/>
          <w:sz w:val="18"/>
          <w:szCs w:val="18"/>
        </w:rPr>
      </w:r>
      <w:r w:rsidR="00877BEE" w:rsidRPr="00B94C7D">
        <w:rPr>
          <w:b/>
          <w:i/>
          <w:sz w:val="18"/>
          <w:szCs w:val="18"/>
        </w:rPr>
        <w:fldChar w:fldCharType="separate"/>
      </w:r>
      <w:r w:rsidR="00877BEE" w:rsidRPr="00B94C7D">
        <w:rPr>
          <w:b/>
          <w:i/>
          <w:sz w:val="18"/>
          <w:szCs w:val="18"/>
        </w:rPr>
        <w:t xml:space="preserve">Table SI. </w:t>
      </w:r>
      <w:r w:rsidR="00877BEE" w:rsidRPr="00B94C7D">
        <w:rPr>
          <w:b/>
          <w:i/>
          <w:noProof/>
          <w:sz w:val="18"/>
          <w:szCs w:val="18"/>
        </w:rPr>
        <w:t>103</w:t>
      </w:r>
      <w:r w:rsidR="00877BEE" w:rsidRPr="00B94C7D">
        <w:rPr>
          <w:b/>
          <w:i/>
          <w:sz w:val="18"/>
          <w:szCs w:val="18"/>
        </w:rPr>
        <w:fldChar w:fldCharType="end"/>
      </w:r>
      <w:r w:rsidRPr="003F5DA8">
        <w:rPr>
          <w:sz w:val="18"/>
        </w:rPr>
        <w:t>.</w:t>
      </w:r>
    </w:p>
    <w:p w14:paraId="3E57BCF5" w14:textId="597BA826" w:rsidR="00561B6A" w:rsidRPr="00C63D93" w:rsidRDefault="00561B6A" w:rsidP="006B5342">
      <w:pPr>
        <w:pStyle w:val="Lgende"/>
        <w:jc w:val="left"/>
      </w:pPr>
      <w:bookmarkStart w:id="86" w:name="_Ref144738500"/>
      <w:bookmarkStart w:id="87" w:name="_Toc151967901"/>
      <w:bookmarkStart w:id="88" w:name="_Hlk134797706"/>
      <w:r>
        <w:t xml:space="preserve">Table SI. </w:t>
      </w:r>
      <w:r>
        <w:fldChar w:fldCharType="begin"/>
      </w:r>
      <w:r>
        <w:instrText xml:space="preserve"> SEQ Table_SI. \* ARABIC </w:instrText>
      </w:r>
      <w:r>
        <w:fldChar w:fldCharType="separate"/>
      </w:r>
      <w:r w:rsidR="00F25F8C">
        <w:rPr>
          <w:noProof/>
        </w:rPr>
        <w:t>17</w:t>
      </w:r>
      <w:r>
        <w:fldChar w:fldCharType="end"/>
      </w:r>
      <w:bookmarkEnd w:id="86"/>
      <w:r>
        <w:t xml:space="preserve"> </w:t>
      </w:r>
      <w:r w:rsidRPr="00C63D93">
        <w:t>– Background processes used specifically for transportation inventory</w:t>
      </w:r>
      <w:bookmarkEnd w:id="87"/>
    </w:p>
    <w:tbl>
      <w:tblPr>
        <w:tblStyle w:val="Tableausimple2"/>
        <w:tblW w:w="0" w:type="auto"/>
        <w:jc w:val="center"/>
        <w:tblLook w:val="04A0" w:firstRow="1" w:lastRow="0" w:firstColumn="1" w:lastColumn="0" w:noHBand="0" w:noVBand="1"/>
      </w:tblPr>
      <w:tblGrid>
        <w:gridCol w:w="3108"/>
        <w:gridCol w:w="1148"/>
        <w:gridCol w:w="4816"/>
      </w:tblGrid>
      <w:tr w:rsidR="00561B6A" w:rsidRPr="00C86BF0" w14:paraId="6E2C4EFD" w14:textId="77777777" w:rsidTr="00C86BF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46F8C65D" w14:textId="77777777" w:rsidR="00561B6A" w:rsidRPr="00C86BF0" w:rsidRDefault="00561B6A" w:rsidP="0017037A">
            <w:pPr>
              <w:jc w:val="right"/>
              <w:rPr>
                <w:sz w:val="18"/>
                <w:szCs w:val="18"/>
              </w:rPr>
            </w:pPr>
            <w:r w:rsidRPr="00C86BF0">
              <w:rPr>
                <w:sz w:val="18"/>
                <w:szCs w:val="18"/>
              </w:rPr>
              <w:t>Background process</w:t>
            </w:r>
          </w:p>
        </w:tc>
        <w:tc>
          <w:tcPr>
            <w:tcW w:w="0" w:type="auto"/>
          </w:tcPr>
          <w:p w14:paraId="50DEC2F0" w14:textId="77777777" w:rsidR="00561B6A" w:rsidRPr="00C86BF0" w:rsidRDefault="00561B6A" w:rsidP="0017037A">
            <w:pPr>
              <w:cnfStyle w:val="100000000000" w:firstRow="1" w:lastRow="0" w:firstColumn="0" w:lastColumn="0" w:oddVBand="0" w:evenVBand="0" w:oddHBand="0" w:evenHBand="0" w:firstRowFirstColumn="0" w:firstRowLastColumn="0" w:lastRowFirstColumn="0" w:lastRowLastColumn="0"/>
              <w:rPr>
                <w:sz w:val="18"/>
                <w:szCs w:val="18"/>
              </w:rPr>
            </w:pPr>
            <w:r w:rsidRPr="00C86BF0">
              <w:rPr>
                <w:sz w:val="18"/>
                <w:szCs w:val="18"/>
              </w:rPr>
              <w:t>Unit operation</w:t>
            </w:r>
          </w:p>
        </w:tc>
        <w:tc>
          <w:tcPr>
            <w:tcW w:w="0" w:type="auto"/>
          </w:tcPr>
          <w:p w14:paraId="0CE95346" w14:textId="77777777" w:rsidR="00561B6A" w:rsidRPr="00C86BF0" w:rsidRDefault="00561B6A" w:rsidP="0017037A">
            <w:pPr>
              <w:cnfStyle w:val="100000000000" w:firstRow="1" w:lastRow="0" w:firstColumn="0" w:lastColumn="0" w:oddVBand="0" w:evenVBand="0" w:oddHBand="0" w:evenHBand="0" w:firstRowFirstColumn="0" w:firstRowLastColumn="0" w:lastRowFirstColumn="0" w:lastRowLastColumn="0"/>
              <w:rPr>
                <w:i/>
                <w:sz w:val="18"/>
                <w:szCs w:val="18"/>
              </w:rPr>
            </w:pPr>
            <w:r w:rsidRPr="00C86BF0">
              <w:rPr>
                <w:i/>
                <w:sz w:val="18"/>
                <w:szCs w:val="18"/>
              </w:rPr>
              <w:t>Comment</w:t>
            </w:r>
          </w:p>
        </w:tc>
      </w:tr>
      <w:tr w:rsidR="00561B6A" w:rsidRPr="00C86BF0" w14:paraId="7468B83B" w14:textId="77777777" w:rsidTr="00C86BF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34DF2058" w14:textId="77777777" w:rsidR="00561B6A" w:rsidRPr="00C86BF0" w:rsidRDefault="00561B6A" w:rsidP="0017037A">
            <w:pPr>
              <w:jc w:val="right"/>
              <w:rPr>
                <w:b w:val="0"/>
                <w:sz w:val="18"/>
                <w:szCs w:val="18"/>
              </w:rPr>
            </w:pPr>
            <w:r w:rsidRPr="00C86BF0">
              <w:rPr>
                <w:b w:val="0"/>
                <w:sz w:val="18"/>
                <w:szCs w:val="18"/>
              </w:rPr>
              <w:t>Market for transport, freight, lorry &gt;32 metric ton, EURO6, RER</w:t>
            </w:r>
          </w:p>
        </w:tc>
        <w:tc>
          <w:tcPr>
            <w:tcW w:w="0" w:type="auto"/>
          </w:tcPr>
          <w:p w14:paraId="6EE8A11D" w14:textId="77777777" w:rsidR="00561B6A" w:rsidRPr="00C86BF0" w:rsidRDefault="00561B6A" w:rsidP="0017037A">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n.a.</w:t>
            </w:r>
          </w:p>
        </w:tc>
        <w:tc>
          <w:tcPr>
            <w:tcW w:w="0" w:type="auto"/>
          </w:tcPr>
          <w:p w14:paraId="6D79CADF" w14:textId="77777777" w:rsidR="00561B6A" w:rsidRPr="00C86BF0" w:rsidRDefault="00561B6A" w:rsidP="0017037A">
            <w:pPr>
              <w:cnfStyle w:val="000000100000" w:firstRow="0" w:lastRow="0" w:firstColumn="0" w:lastColumn="0" w:oddVBand="0" w:evenVBand="0" w:oddHBand="1" w:evenHBand="0" w:firstRowFirstColumn="0" w:firstRowLastColumn="0" w:lastRowFirstColumn="0" w:lastRowLastColumn="0"/>
              <w:rPr>
                <w:i/>
                <w:sz w:val="18"/>
                <w:szCs w:val="18"/>
              </w:rPr>
            </w:pPr>
            <w:r w:rsidRPr="00C86BF0">
              <w:rPr>
                <w:i/>
                <w:sz w:val="18"/>
                <w:szCs w:val="18"/>
              </w:rPr>
              <w:t xml:space="preserve">Except when stated (e.g. cold chain management), proxy for all transportation requirements inventories.  </w:t>
            </w:r>
          </w:p>
        </w:tc>
      </w:tr>
    </w:tbl>
    <w:p w14:paraId="7070ACF0" w14:textId="77777777" w:rsidR="00561B6A" w:rsidRPr="003F5DA8" w:rsidRDefault="00561B6A" w:rsidP="006B5342">
      <w:pPr>
        <w:jc w:val="both"/>
        <w:rPr>
          <w:sz w:val="18"/>
        </w:rPr>
      </w:pPr>
      <w:r w:rsidRPr="003F5DA8">
        <w:rPr>
          <w:sz w:val="18"/>
        </w:rPr>
        <w:t>All processes are from the ecoinvent 3.8 consequential database.</w:t>
      </w:r>
      <w:bookmarkEnd w:id="88"/>
    </w:p>
    <w:p w14:paraId="6D54C4CC" w14:textId="77777777" w:rsidR="00D31C73" w:rsidRPr="00D31C73" w:rsidRDefault="00D31C73" w:rsidP="000D6F35">
      <w:pPr>
        <w:pStyle w:val="Titre3"/>
      </w:pPr>
      <w:bookmarkStart w:id="89" w:name="_Ref144830460"/>
      <w:bookmarkStart w:id="90" w:name="_Toc145069107"/>
      <w:r w:rsidRPr="00D31C73">
        <w:t>Wastewater treatment requirements</w:t>
      </w:r>
      <w:bookmarkEnd w:id="89"/>
      <w:bookmarkEnd w:id="90"/>
    </w:p>
    <w:p w14:paraId="680EA963" w14:textId="5AEC7508" w:rsidR="00D31C73" w:rsidRPr="00F42ED0" w:rsidRDefault="00D31C73" w:rsidP="00D31C73">
      <w:pPr>
        <w:ind w:firstLine="360"/>
        <w:jc w:val="both"/>
      </w:pPr>
      <w:r w:rsidRPr="0017037A">
        <w:t>When data</w:t>
      </w:r>
      <w:r w:rsidRPr="003F5DA8">
        <w:t xml:space="preserve"> or proxy to model the wastewater treatment plant (WWTP) required for a specific stream </w:t>
      </w:r>
      <w:r>
        <w:t>was</w:t>
      </w:r>
      <w:r w:rsidRPr="003F5DA8">
        <w:t xml:space="preserve"> not available, the following estimation was implemented. First, based on the stream composition, the chemical oxygen demand (COD) was estimated </w:t>
      </w:r>
      <w:r w:rsidRPr="00F42ED0">
        <w:t>(see</w:t>
      </w:r>
      <w:r w:rsidR="00F234B0">
        <w:t xml:space="preserve"> </w:t>
      </w:r>
      <w:r w:rsidR="00F234B0" w:rsidRPr="00F234B0">
        <w:rPr>
          <w:b/>
        </w:rPr>
        <w:fldChar w:fldCharType="begin"/>
      </w:r>
      <w:r w:rsidR="00F234B0" w:rsidRPr="00F234B0">
        <w:rPr>
          <w:b/>
        </w:rPr>
        <w:instrText xml:space="preserve"> REF _Ref144739643 \h </w:instrText>
      </w:r>
      <w:r w:rsidR="00F234B0">
        <w:rPr>
          <w:b/>
        </w:rPr>
        <w:instrText xml:space="preserve"> \* MERGEFORMAT </w:instrText>
      </w:r>
      <w:r w:rsidR="00F234B0" w:rsidRPr="00F234B0">
        <w:rPr>
          <w:b/>
        </w:rPr>
      </w:r>
      <w:r w:rsidR="00F234B0" w:rsidRPr="00F234B0">
        <w:rPr>
          <w:b/>
        </w:rPr>
        <w:fldChar w:fldCharType="separate"/>
      </w:r>
      <w:r w:rsidR="00F25F8C" w:rsidRPr="00F25F8C">
        <w:rPr>
          <w:b/>
        </w:rPr>
        <w:t xml:space="preserve">Table SI. </w:t>
      </w:r>
      <w:r w:rsidR="00F25F8C" w:rsidRPr="00F25F8C">
        <w:rPr>
          <w:b/>
          <w:noProof/>
        </w:rPr>
        <w:t>18</w:t>
      </w:r>
      <w:r w:rsidR="00F234B0" w:rsidRPr="00F234B0">
        <w:rPr>
          <w:b/>
        </w:rPr>
        <w:fldChar w:fldCharType="end"/>
      </w:r>
      <w:r w:rsidRPr="00F234B0">
        <w:rPr>
          <w:b/>
        </w:rPr>
        <w:t>)</w:t>
      </w:r>
      <w:r w:rsidRPr="00F42ED0">
        <w:t>. Second, the closest WWTP already modeled in ecoinvent</w:t>
      </w:r>
      <w:r w:rsidRPr="00F42ED0">
        <w:fldChar w:fldCharType="begin"/>
      </w:r>
      <w:r w:rsidR="008C451C">
        <w:instrText xml:space="preserve"> ADDIN ZOTERO_ITEM CSL_CITATION {"citationID":"YjqVbSUj","properties":{"formattedCitation":"\\super 48\\nosupersub{}","plainCitation":"48","noteIndex":0},"citationItems":[{"id":13212,"uris":["http://zotero.org/users/6423791/items/ANAMP6NH"],"itemData":{"id":13212,"type":"webpage","language":"en-US","title":"ecoinvent databases","URL":"https://ecoinvent.org/","author":[{"literal":"ecoinvent"}],"accessed":{"date-parts":[["2022",5,1]]},"issued":{"date-parts":[["2022"]]}}}],"schema":"https://github.com/citation-style-language/schema/raw/master/csl-citation.json"} </w:instrText>
      </w:r>
      <w:r w:rsidRPr="00F42ED0">
        <w:fldChar w:fldCharType="separate"/>
      </w:r>
      <w:r w:rsidR="008C451C" w:rsidRPr="008C451C">
        <w:rPr>
          <w:rFonts w:ascii="Calibri" w:hAnsi="Calibri" w:cs="Calibri"/>
          <w:szCs w:val="24"/>
          <w:vertAlign w:val="superscript"/>
        </w:rPr>
        <w:t>48</w:t>
      </w:r>
      <w:r w:rsidRPr="00F42ED0">
        <w:fldChar w:fldCharType="end"/>
      </w:r>
      <w:r w:rsidRPr="00F42ED0">
        <w:t xml:space="preserve"> based on the treated COD value was selected as the background inventory proxy.</w:t>
      </w:r>
    </w:p>
    <w:p w14:paraId="15852EBB" w14:textId="371F2D57" w:rsidR="00D31C73" w:rsidRPr="00F42ED0" w:rsidRDefault="00874128" w:rsidP="006B5342">
      <w:pPr>
        <w:pStyle w:val="Lgende"/>
        <w:jc w:val="left"/>
        <w:rPr>
          <w:b w:val="0"/>
          <w:i/>
        </w:rPr>
      </w:pPr>
      <w:bookmarkStart w:id="91" w:name="_Ref144739643"/>
      <w:bookmarkStart w:id="92" w:name="_Toc134537595"/>
      <w:bookmarkStart w:id="93" w:name="_Toc151967902"/>
      <w:r>
        <w:t>Table SI.</w:t>
      </w:r>
      <w:r w:rsidR="00D31C73">
        <w:t xml:space="preserve"> </w:t>
      </w:r>
      <w:r>
        <w:fldChar w:fldCharType="begin"/>
      </w:r>
      <w:r>
        <w:instrText xml:space="preserve"> SEQ Table_SI. \* ARABIC </w:instrText>
      </w:r>
      <w:r>
        <w:fldChar w:fldCharType="separate"/>
      </w:r>
      <w:r w:rsidR="00F25F8C">
        <w:rPr>
          <w:noProof/>
        </w:rPr>
        <w:t>18</w:t>
      </w:r>
      <w:r>
        <w:fldChar w:fldCharType="end"/>
      </w:r>
      <w:bookmarkEnd w:id="91"/>
      <w:r w:rsidR="00D31C73">
        <w:t xml:space="preserve"> </w:t>
      </w:r>
      <w:r w:rsidR="00D31C73" w:rsidRPr="00F61C31">
        <w:t>– Estimation of the chemical oxygen demand</w:t>
      </w:r>
      <w:bookmarkEnd w:id="92"/>
      <w:bookmarkEnd w:id="93"/>
    </w:p>
    <w:tbl>
      <w:tblPr>
        <w:tblStyle w:val="Tableausimple2"/>
        <w:tblW w:w="0" w:type="auto"/>
        <w:tblLook w:val="04A0" w:firstRow="1" w:lastRow="0" w:firstColumn="1" w:lastColumn="0" w:noHBand="0" w:noVBand="1"/>
      </w:tblPr>
      <w:tblGrid>
        <w:gridCol w:w="1314"/>
        <w:gridCol w:w="1186"/>
        <w:gridCol w:w="1392"/>
        <w:gridCol w:w="1669"/>
      </w:tblGrid>
      <w:tr w:rsidR="00D31C73" w:rsidRPr="00C86BF0" w14:paraId="5111ED6B"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15E87C3" w14:textId="77777777" w:rsidR="00D31C73" w:rsidRPr="00C86BF0" w:rsidRDefault="00D31C73" w:rsidP="00D31C73">
            <w:pPr>
              <w:jc w:val="right"/>
              <w:rPr>
                <w:sz w:val="18"/>
                <w:szCs w:val="18"/>
              </w:rPr>
            </w:pPr>
            <w:r w:rsidRPr="00C86BF0">
              <w:rPr>
                <w:sz w:val="18"/>
                <w:szCs w:val="18"/>
              </w:rPr>
              <w:t>Fraction</w:t>
            </w:r>
          </w:p>
        </w:tc>
        <w:tc>
          <w:tcPr>
            <w:tcW w:w="0" w:type="auto"/>
          </w:tcPr>
          <w:p w14:paraId="128B16CA" w14:textId="4AA8D16D" w:rsidR="00D31C73" w:rsidRPr="00C86BF0" w:rsidRDefault="00D31C73" w:rsidP="00D31C73">
            <w:pPr>
              <w:cnfStyle w:val="100000000000" w:firstRow="1" w:lastRow="0" w:firstColumn="0" w:lastColumn="0" w:oddVBand="0" w:evenVBand="0" w:oddHBand="0" w:evenHBand="0" w:firstRowFirstColumn="0" w:firstRowLastColumn="0" w:lastRowFirstColumn="0" w:lastRowLastColumn="0"/>
              <w:rPr>
                <w:sz w:val="18"/>
                <w:szCs w:val="18"/>
              </w:rPr>
            </w:pPr>
            <w:r w:rsidRPr="00C86BF0">
              <w:rPr>
                <w:sz w:val="18"/>
                <w:szCs w:val="18"/>
              </w:rPr>
              <w:t>calories.g</w:t>
            </w:r>
            <w:r w:rsidRPr="00C86BF0">
              <w:rPr>
                <w:sz w:val="18"/>
                <w:szCs w:val="18"/>
                <w:vertAlign w:val="superscript"/>
              </w:rPr>
              <w:t>-1</w:t>
            </w:r>
            <w:r w:rsidRPr="00C86BF0">
              <w:rPr>
                <w:sz w:val="18"/>
                <w:szCs w:val="18"/>
              </w:rPr>
              <w:t xml:space="preserve"> </w:t>
            </w:r>
            <w:r w:rsidRPr="00C86BF0">
              <w:rPr>
                <w:sz w:val="18"/>
                <w:szCs w:val="18"/>
              </w:rPr>
              <w:fldChar w:fldCharType="begin"/>
            </w:r>
            <w:r w:rsidR="008C451C">
              <w:rPr>
                <w:sz w:val="18"/>
                <w:szCs w:val="18"/>
              </w:rPr>
              <w:instrText xml:space="preserve"> ADDIN ZOTERO_ITEM CSL_CITATION {"citationID":"fsr7cAFG","properties":{"formattedCitation":"\\super 49\\nosupersub{}","plainCitation":"49","noteIndex":0},"citationItems":[{"id":14009,"uris":["http://zotero.org/users/6423791/items/Q3IKLL9J"],"itemData":{"id":14009,"type":"webpage","title":"Macronutrients, National Agricultural Library","URL":"https://www.nal.usda.gov/human-nutrition-and-food-safety/food-composition/macronutrients","author":[{"literal":"USDA"}],"accessed":{"date-parts":[["2023",1,14]]},"issued":{"date-parts":[["2022"]]}}}],"schema":"https://github.com/citation-style-language/schema/raw/master/csl-citation.json"} </w:instrText>
            </w:r>
            <w:r w:rsidRPr="00C86BF0">
              <w:rPr>
                <w:sz w:val="18"/>
                <w:szCs w:val="18"/>
              </w:rPr>
              <w:fldChar w:fldCharType="separate"/>
            </w:r>
            <w:r w:rsidR="008C451C" w:rsidRPr="008C451C">
              <w:rPr>
                <w:rFonts w:ascii="Calibri" w:hAnsi="Calibri" w:cs="Calibri"/>
                <w:sz w:val="18"/>
                <w:szCs w:val="24"/>
                <w:vertAlign w:val="superscript"/>
              </w:rPr>
              <w:t>49</w:t>
            </w:r>
            <w:r w:rsidRPr="00C86BF0">
              <w:rPr>
                <w:sz w:val="18"/>
                <w:szCs w:val="18"/>
              </w:rPr>
              <w:fldChar w:fldCharType="end"/>
            </w:r>
          </w:p>
        </w:tc>
        <w:tc>
          <w:tcPr>
            <w:tcW w:w="0" w:type="auto"/>
          </w:tcPr>
          <w:p w14:paraId="7CF5F9C7" w14:textId="6AC9540F" w:rsidR="00D31C73" w:rsidRPr="00C86BF0" w:rsidRDefault="00D31C73" w:rsidP="00D31C73">
            <w:pPr>
              <w:cnfStyle w:val="100000000000" w:firstRow="1" w:lastRow="0" w:firstColumn="0" w:lastColumn="0" w:oddVBand="0" w:evenVBand="0" w:oddHBand="0" w:evenHBand="0" w:firstRowFirstColumn="0" w:firstRowLastColumn="0" w:lastRowFirstColumn="0" w:lastRowLastColumn="0"/>
              <w:rPr>
                <w:sz w:val="18"/>
                <w:szCs w:val="18"/>
              </w:rPr>
            </w:pPr>
            <w:r w:rsidRPr="00C86BF0">
              <w:rPr>
                <w:sz w:val="18"/>
                <w:szCs w:val="18"/>
              </w:rPr>
              <w:t>g</w:t>
            </w:r>
            <w:r w:rsidRPr="00C86BF0">
              <w:rPr>
                <w:sz w:val="18"/>
                <w:szCs w:val="18"/>
                <w:vertAlign w:val="subscript"/>
              </w:rPr>
              <w:t>COD</w:t>
            </w:r>
            <w:r w:rsidRPr="00C86BF0">
              <w:rPr>
                <w:sz w:val="18"/>
                <w:szCs w:val="18"/>
              </w:rPr>
              <w:t>.calories</w:t>
            </w:r>
            <w:r w:rsidRPr="00C86BF0">
              <w:rPr>
                <w:sz w:val="18"/>
                <w:szCs w:val="18"/>
                <w:vertAlign w:val="superscript"/>
              </w:rPr>
              <w:t xml:space="preserve">-1 </w:t>
            </w:r>
            <w:r w:rsidRPr="00C86BF0">
              <w:rPr>
                <w:sz w:val="18"/>
                <w:szCs w:val="18"/>
                <w:vertAlign w:val="superscript"/>
              </w:rPr>
              <w:fldChar w:fldCharType="begin"/>
            </w:r>
            <w:r w:rsidR="008C451C">
              <w:rPr>
                <w:sz w:val="18"/>
                <w:szCs w:val="18"/>
                <w:vertAlign w:val="superscript"/>
              </w:rPr>
              <w:instrText xml:space="preserve"> ADDIN ZOTERO_ITEM CSL_CITATION {"citationID":"WxRyTwg4","properties":{"formattedCitation":"\\super 50\\nosupersub{}","plainCitation":"50","noteIndex":0},"citationItems":[{"id":13217,"uris":["http://zotero.org/users/6423791/items/HJLJ2YRL"],"itemData":{"id":13217,"type":"article-journal","abstract":"Human and microbial metabolism are distinct disciplines. Terminology, metrics, and methodologies have been developed separately. Therefore, combining the 2 fields to study energetic processes simultaneously is difficult.When developing a mechanistic framework describing gut microbiome and human metabolism interactions, energy values of food and digestive materials that use consistent and compatible metrics are required. As an initial step toward this goal, we developed and validated a model to convert between chemical oxygen demand (COD) and gross energy (${E_g}$) for &amp;gt;100 food items and ingredients.We developed linear regression models to relate (and be able to convert between) theoretical gross energy (${E_g}^{\\prime}$) and chemical oxygen demand (COD′); the latter is a measure of electron equivalents in the food's carbon. We developed an overall regression model for the food items as a whole and separate regression models for the carbohydrate, protein, and fat components. The models were validated using a sample set of computed ${E_g}^{\\prime}$ and COD′ values, an experimental sample set using measured ${E_g}$ and COD values, and robust statistical methods.The overall linear regression model and the carbohydrate, protein, and fat regression models accurately converted between COD and ${E_g}$, and the component models had smaller error. Because the ratios of COD per gram dry weight were greatest for fats and smallest for carbohydrates, foods with a high fat content also had higher ${E_g}$ values in terms of kcal · g dry weight−1.Our models make it possible to analyze human and microbial energetic processes in concert using a single unit of measure, which fills an important need in the food–nutrition–metabolism–microbiome field. In addition, measuring COD and using the regressions to calculate ${E_g}$ can be used instead of measuring ${E_g}$ directly using bomb calorimetry, which saves time and money.","container-title":"The Journal of Nutrition","DOI":"10.1093/jn/nxaa321","ISSN":"0022-3166","issue":"2","journalAbbreviation":"The Journal of Nutrition","page":"445-453","source":"Silverchair","title":"Chemical Oxygen Demand Can Be Converted to Gross Energy for Food Items Using a Linear Regression Model","volume":"151","author":[{"family":"Davis","given":"Taylor L"},{"family":"Dirks","given":"Blake"},{"family":"Carnero","given":"Elvis A"},{"family":"Corbin","given":"Karen D"},{"family":"Krakoff","given":"Jonathon"},{"family":"Parrington","given":"Shannon"},{"family":"Lee","given":"Donghun"},{"family":"Smith","given":"Steven R"},{"family":"Rittmann","given":"Bruce E"},{"family":"Krajmalnik-Brown","given":"Rosa"},{"family":"Marcus","given":"Andrew K"}],"issued":{"date-parts":[["2021",2,1]]}}}],"schema":"https://github.com/citation-style-language/schema/raw/master/csl-citation.json"} </w:instrText>
            </w:r>
            <w:r w:rsidRPr="00C86BF0">
              <w:rPr>
                <w:sz w:val="18"/>
                <w:szCs w:val="18"/>
                <w:vertAlign w:val="superscript"/>
              </w:rPr>
              <w:fldChar w:fldCharType="separate"/>
            </w:r>
            <w:r w:rsidR="008C451C" w:rsidRPr="008C451C">
              <w:rPr>
                <w:rFonts w:ascii="Calibri" w:hAnsi="Calibri" w:cs="Calibri"/>
                <w:sz w:val="18"/>
                <w:szCs w:val="24"/>
                <w:vertAlign w:val="superscript"/>
              </w:rPr>
              <w:t>50</w:t>
            </w:r>
            <w:r w:rsidRPr="00C86BF0">
              <w:rPr>
                <w:sz w:val="18"/>
                <w:szCs w:val="18"/>
                <w:vertAlign w:val="superscript"/>
              </w:rPr>
              <w:fldChar w:fldCharType="end"/>
            </w:r>
          </w:p>
        </w:tc>
        <w:tc>
          <w:tcPr>
            <w:tcW w:w="0" w:type="auto"/>
          </w:tcPr>
          <w:p w14:paraId="037C428E" w14:textId="77777777" w:rsidR="00D31C73" w:rsidRPr="00C86BF0" w:rsidRDefault="00D31C73" w:rsidP="00D31C73">
            <w:pPr>
              <w:cnfStyle w:val="100000000000" w:firstRow="1" w:lastRow="0" w:firstColumn="0" w:lastColumn="0" w:oddVBand="0" w:evenVBand="0" w:oddHBand="0" w:evenHBand="0" w:firstRowFirstColumn="0" w:firstRowLastColumn="0" w:lastRowFirstColumn="0" w:lastRowLastColumn="0"/>
              <w:rPr>
                <w:sz w:val="18"/>
                <w:szCs w:val="18"/>
              </w:rPr>
            </w:pPr>
            <w:r w:rsidRPr="00C86BF0">
              <w:rPr>
                <w:sz w:val="18"/>
                <w:szCs w:val="18"/>
              </w:rPr>
              <w:t>g</w:t>
            </w:r>
            <w:r w:rsidRPr="00C86BF0">
              <w:rPr>
                <w:sz w:val="18"/>
                <w:szCs w:val="18"/>
                <w:vertAlign w:val="subscript"/>
              </w:rPr>
              <w:t>COD</w:t>
            </w:r>
            <w:r w:rsidRPr="00C86BF0">
              <w:rPr>
                <w:sz w:val="18"/>
                <w:szCs w:val="18"/>
              </w:rPr>
              <w:t>.g</w:t>
            </w:r>
            <w:r w:rsidRPr="00C86BF0">
              <w:rPr>
                <w:sz w:val="18"/>
                <w:szCs w:val="18"/>
                <w:vertAlign w:val="superscript"/>
              </w:rPr>
              <w:t>-1</w:t>
            </w:r>
            <w:r w:rsidRPr="00C86BF0">
              <w:rPr>
                <w:sz w:val="18"/>
                <w:szCs w:val="18"/>
              </w:rPr>
              <w:t xml:space="preserve"> (calculated)</w:t>
            </w:r>
          </w:p>
        </w:tc>
      </w:tr>
      <w:tr w:rsidR="00D31C73" w:rsidRPr="00C86BF0" w14:paraId="631AAC1A"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7CE05AD" w14:textId="77777777" w:rsidR="00D31C73" w:rsidRPr="00C86BF0" w:rsidRDefault="00D31C73" w:rsidP="00D31C73">
            <w:pPr>
              <w:jc w:val="right"/>
              <w:rPr>
                <w:sz w:val="18"/>
                <w:szCs w:val="18"/>
              </w:rPr>
            </w:pPr>
            <w:r w:rsidRPr="00C86BF0">
              <w:rPr>
                <w:sz w:val="18"/>
                <w:szCs w:val="18"/>
              </w:rPr>
              <w:t>Proteins</w:t>
            </w:r>
          </w:p>
        </w:tc>
        <w:tc>
          <w:tcPr>
            <w:tcW w:w="0" w:type="auto"/>
          </w:tcPr>
          <w:p w14:paraId="75BC9596"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4</w:t>
            </w:r>
          </w:p>
        </w:tc>
        <w:tc>
          <w:tcPr>
            <w:tcW w:w="0" w:type="auto"/>
          </w:tcPr>
          <w:p w14:paraId="5EC3903B"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0.26</w:t>
            </w:r>
          </w:p>
        </w:tc>
        <w:tc>
          <w:tcPr>
            <w:tcW w:w="0" w:type="auto"/>
          </w:tcPr>
          <w:p w14:paraId="0F810147"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b/>
                <w:sz w:val="18"/>
                <w:szCs w:val="18"/>
              </w:rPr>
            </w:pPr>
            <w:r w:rsidRPr="00C86BF0">
              <w:rPr>
                <w:b/>
                <w:sz w:val="18"/>
                <w:szCs w:val="18"/>
              </w:rPr>
              <w:t>1.04</w:t>
            </w:r>
          </w:p>
        </w:tc>
      </w:tr>
      <w:tr w:rsidR="00D31C73" w:rsidRPr="00C86BF0" w14:paraId="71D30814"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11493AD7" w14:textId="77777777" w:rsidR="00D31C73" w:rsidRPr="00C86BF0" w:rsidRDefault="00D31C73" w:rsidP="00D31C73">
            <w:pPr>
              <w:jc w:val="right"/>
              <w:rPr>
                <w:sz w:val="18"/>
                <w:szCs w:val="18"/>
              </w:rPr>
            </w:pPr>
            <w:r w:rsidRPr="00C86BF0">
              <w:rPr>
                <w:sz w:val="18"/>
                <w:szCs w:val="18"/>
              </w:rPr>
              <w:t>Lipids</w:t>
            </w:r>
          </w:p>
        </w:tc>
        <w:tc>
          <w:tcPr>
            <w:tcW w:w="0" w:type="auto"/>
          </w:tcPr>
          <w:p w14:paraId="4162F1F8"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9</w:t>
            </w:r>
          </w:p>
        </w:tc>
        <w:tc>
          <w:tcPr>
            <w:tcW w:w="0" w:type="auto"/>
          </w:tcPr>
          <w:p w14:paraId="0BE982DA"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0.32</w:t>
            </w:r>
          </w:p>
        </w:tc>
        <w:tc>
          <w:tcPr>
            <w:tcW w:w="0" w:type="auto"/>
          </w:tcPr>
          <w:p w14:paraId="184D8AD0"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b/>
                <w:sz w:val="18"/>
                <w:szCs w:val="18"/>
              </w:rPr>
            </w:pPr>
            <w:r w:rsidRPr="00C86BF0">
              <w:rPr>
                <w:b/>
                <w:sz w:val="18"/>
                <w:szCs w:val="18"/>
              </w:rPr>
              <w:t>2.88</w:t>
            </w:r>
          </w:p>
        </w:tc>
      </w:tr>
      <w:tr w:rsidR="00D31C73" w:rsidRPr="00C86BF0" w14:paraId="06D5944A"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7E9E226" w14:textId="77777777" w:rsidR="00D31C73" w:rsidRPr="00C86BF0" w:rsidRDefault="00D31C73" w:rsidP="00D31C73">
            <w:pPr>
              <w:jc w:val="right"/>
              <w:rPr>
                <w:sz w:val="18"/>
                <w:szCs w:val="18"/>
              </w:rPr>
            </w:pPr>
            <w:r w:rsidRPr="00C86BF0">
              <w:rPr>
                <w:sz w:val="18"/>
                <w:szCs w:val="18"/>
              </w:rPr>
              <w:t>Carbohydrates</w:t>
            </w:r>
          </w:p>
        </w:tc>
        <w:tc>
          <w:tcPr>
            <w:tcW w:w="0" w:type="auto"/>
          </w:tcPr>
          <w:p w14:paraId="7295A172"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4</w:t>
            </w:r>
          </w:p>
        </w:tc>
        <w:tc>
          <w:tcPr>
            <w:tcW w:w="0" w:type="auto"/>
          </w:tcPr>
          <w:p w14:paraId="715F83DA"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0.29</w:t>
            </w:r>
          </w:p>
        </w:tc>
        <w:tc>
          <w:tcPr>
            <w:tcW w:w="0" w:type="auto"/>
          </w:tcPr>
          <w:p w14:paraId="785242B2"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b/>
                <w:sz w:val="18"/>
                <w:szCs w:val="18"/>
              </w:rPr>
            </w:pPr>
            <w:r w:rsidRPr="00C86BF0">
              <w:rPr>
                <w:b/>
                <w:sz w:val="18"/>
                <w:szCs w:val="18"/>
              </w:rPr>
              <w:t>1.16</w:t>
            </w:r>
          </w:p>
        </w:tc>
      </w:tr>
      <w:tr w:rsidR="00D31C73" w:rsidRPr="00C86BF0" w14:paraId="44295EF8"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4AA68478" w14:textId="77777777" w:rsidR="00D31C73" w:rsidRPr="00C86BF0" w:rsidRDefault="00D31C73" w:rsidP="00D31C73">
            <w:pPr>
              <w:jc w:val="right"/>
              <w:rPr>
                <w:sz w:val="18"/>
                <w:szCs w:val="18"/>
              </w:rPr>
            </w:pPr>
            <w:r w:rsidRPr="00C86BF0">
              <w:rPr>
                <w:sz w:val="18"/>
                <w:szCs w:val="18"/>
              </w:rPr>
              <w:t>Sugars</w:t>
            </w:r>
          </w:p>
        </w:tc>
        <w:tc>
          <w:tcPr>
            <w:tcW w:w="0" w:type="auto"/>
          </w:tcPr>
          <w:p w14:paraId="7134C229"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4</w:t>
            </w:r>
          </w:p>
        </w:tc>
        <w:tc>
          <w:tcPr>
            <w:tcW w:w="0" w:type="auto"/>
          </w:tcPr>
          <w:p w14:paraId="1009A58B"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0.29</w:t>
            </w:r>
          </w:p>
        </w:tc>
        <w:tc>
          <w:tcPr>
            <w:tcW w:w="0" w:type="auto"/>
          </w:tcPr>
          <w:p w14:paraId="5D2088B5"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b/>
                <w:sz w:val="18"/>
                <w:szCs w:val="18"/>
              </w:rPr>
            </w:pPr>
            <w:r w:rsidRPr="00C86BF0">
              <w:rPr>
                <w:b/>
                <w:sz w:val="18"/>
                <w:szCs w:val="18"/>
              </w:rPr>
              <w:t>1.16</w:t>
            </w:r>
          </w:p>
        </w:tc>
      </w:tr>
      <w:tr w:rsidR="00D31C73" w:rsidRPr="00C86BF0" w14:paraId="661E414B"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22D3A6C" w14:textId="77777777" w:rsidR="00D31C73" w:rsidRPr="00C86BF0" w:rsidRDefault="00D31C73" w:rsidP="00D31C73">
            <w:pPr>
              <w:jc w:val="right"/>
              <w:rPr>
                <w:sz w:val="18"/>
                <w:szCs w:val="18"/>
              </w:rPr>
            </w:pPr>
            <w:r w:rsidRPr="00C86BF0">
              <w:rPr>
                <w:sz w:val="18"/>
                <w:szCs w:val="18"/>
              </w:rPr>
              <w:t>Fibers</w:t>
            </w:r>
          </w:p>
        </w:tc>
        <w:tc>
          <w:tcPr>
            <w:tcW w:w="0" w:type="auto"/>
          </w:tcPr>
          <w:p w14:paraId="1C26EB0C"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4</w:t>
            </w:r>
          </w:p>
        </w:tc>
        <w:tc>
          <w:tcPr>
            <w:tcW w:w="0" w:type="auto"/>
          </w:tcPr>
          <w:p w14:paraId="1C13EC7A"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r w:rsidRPr="00C86BF0">
              <w:rPr>
                <w:sz w:val="18"/>
                <w:szCs w:val="18"/>
              </w:rPr>
              <w:t>0.29</w:t>
            </w:r>
          </w:p>
        </w:tc>
        <w:tc>
          <w:tcPr>
            <w:tcW w:w="0" w:type="auto"/>
          </w:tcPr>
          <w:p w14:paraId="4363C8E1" w14:textId="77777777" w:rsidR="00D31C73" w:rsidRPr="00C86BF0" w:rsidRDefault="00D31C73" w:rsidP="00D31C73">
            <w:pPr>
              <w:cnfStyle w:val="000000100000" w:firstRow="0" w:lastRow="0" w:firstColumn="0" w:lastColumn="0" w:oddVBand="0" w:evenVBand="0" w:oddHBand="1" w:evenHBand="0" w:firstRowFirstColumn="0" w:firstRowLastColumn="0" w:lastRowFirstColumn="0" w:lastRowLastColumn="0"/>
              <w:rPr>
                <w:b/>
                <w:sz w:val="18"/>
                <w:szCs w:val="18"/>
              </w:rPr>
            </w:pPr>
            <w:r w:rsidRPr="00C86BF0">
              <w:rPr>
                <w:b/>
                <w:sz w:val="18"/>
                <w:szCs w:val="18"/>
              </w:rPr>
              <w:t>1.16</w:t>
            </w:r>
          </w:p>
        </w:tc>
      </w:tr>
      <w:tr w:rsidR="00D31C73" w:rsidRPr="00C86BF0" w14:paraId="715CDE62"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31BBC71E" w14:textId="77777777" w:rsidR="00D31C73" w:rsidRPr="00C86BF0" w:rsidRDefault="00D31C73" w:rsidP="00D31C73">
            <w:pPr>
              <w:jc w:val="right"/>
              <w:rPr>
                <w:sz w:val="18"/>
                <w:szCs w:val="18"/>
              </w:rPr>
            </w:pPr>
            <w:r w:rsidRPr="00C86BF0">
              <w:rPr>
                <w:sz w:val="18"/>
                <w:szCs w:val="18"/>
              </w:rPr>
              <w:t>Ashes</w:t>
            </w:r>
          </w:p>
        </w:tc>
        <w:tc>
          <w:tcPr>
            <w:tcW w:w="0" w:type="auto"/>
          </w:tcPr>
          <w:p w14:paraId="0BD2A0D2"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0</w:t>
            </w:r>
          </w:p>
        </w:tc>
        <w:tc>
          <w:tcPr>
            <w:tcW w:w="0" w:type="auto"/>
          </w:tcPr>
          <w:p w14:paraId="2A704061"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C86BF0">
              <w:rPr>
                <w:sz w:val="18"/>
                <w:szCs w:val="18"/>
              </w:rPr>
              <w:t>0</w:t>
            </w:r>
          </w:p>
        </w:tc>
        <w:tc>
          <w:tcPr>
            <w:tcW w:w="0" w:type="auto"/>
          </w:tcPr>
          <w:p w14:paraId="2F628389" w14:textId="77777777" w:rsidR="00D31C73" w:rsidRPr="00C86BF0" w:rsidRDefault="00D31C73" w:rsidP="00D31C73">
            <w:pPr>
              <w:cnfStyle w:val="000000000000" w:firstRow="0" w:lastRow="0" w:firstColumn="0" w:lastColumn="0" w:oddVBand="0" w:evenVBand="0" w:oddHBand="0" w:evenHBand="0" w:firstRowFirstColumn="0" w:firstRowLastColumn="0" w:lastRowFirstColumn="0" w:lastRowLastColumn="0"/>
              <w:rPr>
                <w:b/>
                <w:sz w:val="18"/>
                <w:szCs w:val="18"/>
              </w:rPr>
            </w:pPr>
            <w:r w:rsidRPr="00C86BF0">
              <w:rPr>
                <w:b/>
                <w:sz w:val="18"/>
                <w:szCs w:val="18"/>
              </w:rPr>
              <w:t>0</w:t>
            </w:r>
          </w:p>
        </w:tc>
      </w:tr>
    </w:tbl>
    <w:p w14:paraId="12CC379C" w14:textId="77777777" w:rsidR="00D31C73" w:rsidRPr="003F5DA8" w:rsidRDefault="00D31C73" w:rsidP="00D31C73">
      <w:pPr>
        <w:jc w:val="both"/>
      </w:pPr>
    </w:p>
    <w:p w14:paraId="3F7E25A0" w14:textId="741BFAE1" w:rsidR="00D31C73" w:rsidRDefault="00D31C73" w:rsidP="00D31C73">
      <w:pPr>
        <w:jc w:val="both"/>
      </w:pPr>
      <w:r w:rsidRPr="003F5DA8">
        <w:t>The specific WWTP selected is therefore case-dependent, and is displayed where corresponding in the LCI</w:t>
      </w:r>
      <w:r w:rsidR="00F234B0">
        <w:t xml:space="preserve"> </w:t>
      </w:r>
      <w:proofErr w:type="gramStart"/>
      <w:r w:rsidR="00F234B0">
        <w:t>mod</w:t>
      </w:r>
      <w:r w:rsidR="00655BBB">
        <w:t>el</w:t>
      </w:r>
      <w:r w:rsidR="00F234B0">
        <w:t>s</w:t>
      </w:r>
      <w:proofErr w:type="gramEnd"/>
      <w:r w:rsidR="00F234B0">
        <w:t xml:space="preserve"> description</w:t>
      </w:r>
      <w:r w:rsidRPr="003F5DA8">
        <w:t>.</w:t>
      </w:r>
    </w:p>
    <w:p w14:paraId="73E97A37" w14:textId="77777777" w:rsidR="00D31C73" w:rsidRPr="00D31C73" w:rsidRDefault="00D31C73" w:rsidP="00F234B0">
      <w:pPr>
        <w:pStyle w:val="Titre3"/>
      </w:pPr>
      <w:bookmarkStart w:id="94" w:name="_Ref144803705"/>
      <w:bookmarkStart w:id="95" w:name="_Toc145069108"/>
      <w:r w:rsidRPr="00D31C73">
        <w:t>Estimation of the nutritional services of edible products and co-products</w:t>
      </w:r>
      <w:bookmarkEnd w:id="94"/>
      <w:bookmarkEnd w:id="95"/>
      <w:r w:rsidRPr="00D31C73">
        <w:tab/>
      </w:r>
    </w:p>
    <w:p w14:paraId="5F029354" w14:textId="160FC46C" w:rsidR="00C86BF0" w:rsidRDefault="00F234B0" w:rsidP="00D31C73">
      <w:pPr>
        <w:ind w:firstLine="360"/>
        <w:jc w:val="both"/>
      </w:pPr>
      <w:r>
        <w:t>The</w:t>
      </w:r>
      <w:r w:rsidR="00D31C73">
        <w:t xml:space="preserve"> novel food and feed ingredients </w:t>
      </w:r>
      <w:r>
        <w:t>supplied by waste-to-nutrition pathways can provide</w:t>
      </w:r>
      <w:r w:rsidR="00D31C73">
        <w:t xml:space="preserve"> one or several nutritional services</w:t>
      </w:r>
      <w:r w:rsidR="00C42418">
        <w:t xml:space="preserve">, hence interacting with different </w:t>
      </w:r>
      <w:r w:rsidR="00416EEE">
        <w:t>food and feed markets</w:t>
      </w:r>
      <w:r>
        <w:t>.</w:t>
      </w:r>
      <w:r w:rsidR="00D31C73">
        <w:t xml:space="preserve"> This section summarizes how </w:t>
      </w:r>
      <w:r w:rsidR="00C42418">
        <w:t xml:space="preserve">these nutritional services were </w:t>
      </w:r>
      <w:r w:rsidR="00416EEE">
        <w:t xml:space="preserve">identified and </w:t>
      </w:r>
      <w:r w:rsidR="00D31C73">
        <w:t>modeled.</w:t>
      </w:r>
    </w:p>
    <w:p w14:paraId="75EF1702" w14:textId="77777777" w:rsidR="00C86BF0" w:rsidRDefault="00C86BF0">
      <w:r>
        <w:br w:type="page"/>
      </w:r>
    </w:p>
    <w:p w14:paraId="00DAE765" w14:textId="77777777" w:rsidR="00D31C73" w:rsidRPr="00D31C73" w:rsidRDefault="00D31C73" w:rsidP="00F234B0">
      <w:pPr>
        <w:pStyle w:val="Titre4"/>
      </w:pPr>
      <w:r w:rsidRPr="00D31C73">
        <w:lastRenderedPageBreak/>
        <w:t>General assumptions</w:t>
      </w:r>
    </w:p>
    <w:p w14:paraId="1ADCA06C" w14:textId="709B18C5" w:rsidR="00487401" w:rsidRDefault="00487401" w:rsidP="00487401">
      <w:pPr>
        <w:jc w:val="both"/>
      </w:pPr>
      <w:r>
        <w:t>Waste-to-nutrition directly targets food and feed markets, which need to be characterized. However, the panel of roadmaps towards sustainable food systems is broader than for energy systems, due to the multidimension of nutritional services, embedded within global markets</w:t>
      </w:r>
      <w:r>
        <w:fldChar w:fldCharType="begin"/>
      </w:r>
      <w:r w:rsidR="008C451C">
        <w:instrText xml:space="preserve"> ADDIN ZOTERO_ITEM CSL_CITATION {"citationID":"A9UxWEW0","properties":{"formattedCitation":"\\super 51\\nosupersub{}","plainCitation":"51","noteIndex":0},"citationItems":[{"id":12336,"uris":["http://zotero.org/users/6423791/items/FHJ863UZ"],"itemData":{"id":12336,"type":"book","event-place":"London","ISBN":"978-1-78413-230-9","language":"en","note":"OCLC: 1010968166","publisher":"Chatham House","publisher-place":"London","source":"Open WorldCat","title":"Chokepoints and Vulnerabilities in Global Food Trade","URL":"https://apps.uqo.ca/LoginSigparb/LoginPourRessources.aspx?url=http://www.deslibris.ca/ID/10091331","author":[{"family":"Bailey","given":"Rob"},{"family":"Wellesley","given":"Laura"}],"accessed":{"date-parts":[["2021",11,8]]},"issued":{"date-parts":[["2017"]]}}}],"schema":"https://github.com/citation-style-language/schema/raw/master/csl-citation.json"} </w:instrText>
      </w:r>
      <w:r>
        <w:fldChar w:fldCharType="separate"/>
      </w:r>
      <w:r w:rsidR="008C451C" w:rsidRPr="008C451C">
        <w:rPr>
          <w:rFonts w:ascii="Calibri" w:hAnsi="Calibri" w:cs="Calibri"/>
          <w:szCs w:val="24"/>
          <w:vertAlign w:val="superscript"/>
        </w:rPr>
        <w:t>51</w:t>
      </w:r>
      <w:r>
        <w:fldChar w:fldCharType="end"/>
      </w:r>
      <w:r>
        <w:t>.</w:t>
      </w:r>
      <w:r w:rsidRPr="00ED3BA9">
        <w:t xml:space="preserve"> </w:t>
      </w:r>
      <w:r>
        <w:t>For example, prospective scenarios of future food systems developments existing at the country (e.g. Afterres for France</w:t>
      </w:r>
      <w:r>
        <w:fldChar w:fldCharType="begin"/>
      </w:r>
      <w:r w:rsidR="00682E10">
        <w:instrText xml:space="preserve"> ADDIN ZOTERO_ITEM CSL_CITATION {"citationID":"PdoXnArl","properties":{"formattedCitation":"\\super 15\\nosupersub{}","plainCitation":"15","noteIndex":0},"citationItems":[{"id":3391,"uris":["http://zotero.org/users/6423791/items/XIKLXEZ9"],"itemData":{"id":3391,"type":"document","title":"Les scénarios Afterres2050, version 2016","author":[{"literal":"Association Solagro"}],"issued":{"date-parts":[["2016"]]}}}],"schema":"https://github.com/citation-style-language/schema/raw/master/csl-citation.json"} </w:instrText>
      </w:r>
      <w:r>
        <w:fldChar w:fldCharType="separate"/>
      </w:r>
      <w:r w:rsidR="00682E10" w:rsidRPr="00682E10">
        <w:rPr>
          <w:rFonts w:ascii="Calibri" w:hAnsi="Calibri" w:cs="Calibri"/>
          <w:szCs w:val="24"/>
          <w:vertAlign w:val="superscript"/>
        </w:rPr>
        <w:t>15</w:t>
      </w:r>
      <w:r>
        <w:fldChar w:fldCharType="end"/>
      </w:r>
      <w:r>
        <w:t>) or regional (e.g. Europe</w:t>
      </w:r>
      <w:r>
        <w:fldChar w:fldCharType="begin"/>
      </w:r>
      <w:r w:rsidR="008C451C">
        <w:instrText xml:space="preserve"> ADDIN ZOTERO_ITEM CSL_CITATION {"citationID":"9flaA9lp","properties":{"formattedCitation":"\\super 52,53\\nosupersub{}","plainCitation":"52,53","noteIndex":0},"citationItems":[{"id":11499,"uris":["http://zotero.org/users/6423791/items/7BVAZUTG"],"itemData":{"id":11499,"type":"article-journal","abstract":"After World War II, the evolution of Europe's agro-food system has been marked by intensified use of synthetic fertilizers, territorial specialization, and integration in global food and feed markets. This evolution led to increased nitrogen (N) losses to aquatic environments and the atmosphere, which, despite increasing environmental regulations, continues to harm ecosystems and human well-being. Here, we explore how these N losses can be drastically reduced in a scenario synergistically operating three levers: (1) a dietary change toward less animal products and an efficient recycling of human excreta; (2) the generalization of region-specific organic crop rotation systems involving N2-fixing legumes, making it possible to do without synthetic N fertilizers; and (3) the reconnection of livestock with cropping systems allowing optimal use of manure. This scenario demonstrates the possibility to feed the projected European population in 2050 without imports of feed and with half the current level of environmental N losses.","container-title":"One Earth","DOI":"10.1016/j.oneear.2021.05.008","ISSN":"2590-3322","issue":"6","journalAbbreviation":"One Earth","language":"en","page":"839-850","source":"ScienceDirect","title":"Reshaping the European agro-food system and closing its nitrogen cycle: The potential of combining dietary change, agroecology, and circularity","title-short":"Reshaping the European agro-food system and closing its nitrogen cycle","volume":"4","author":[{"family":"Billen","given":"Gilles"},{"family":"Aguilera","given":"Eduardo"},{"family":"Einarsson","given":"Rasmus"},{"family":"Garnier","given":"Josette"},{"family":"Gingrich","given":"Simone"},{"family":"Grizzetti","given":"Bruna"},{"family":"Lassaletta","given":"Luis"},{"family":"Le Noë","given":"Julia"},{"family":"Sanz-Cobena","given":"Alberto"}],"issued":{"date-parts":[["2021",6,18]]}}},{"id":13965,"uris":["http://zotero.org/users/6423791/items/HNXQKD5X"],"itemData":{"id":13965,"type":"article-journal","abstract":"The pivotal role of nitrogen to achieve environmental sustainable development goals and transform our food system is recognized in an ambitious nitrogen waste reduction target in the Farm to Fork Strategy of the European Commission. But is this a realistic objective and if so, what are the pathways that lead to success? To answer these questions, we first established, as a baseline, an updated food system nitrogen budget for the EU for the year 2015. The EU used 20 Tg of virgin (new) N to deliver 2.5 Tg N in food and 1.2 Tg N in fibres to consumers, yielding a food-system nitrogen use efficiency (NUE) of 18%. We then built a simple model to combine intervention options that (a) increase farm level nitrogen use efficiencies, (b) reduce food waste increase recycling of waste and improve waste treatment, or (c) achieve a dietary shift towards healthier dietary patterns. The largest potential to increase N efficiency of the current agro-food system was found to lie in the livestock sector. From 144 possible combinations of intervention options analysed, we found that 12 combinations of interventions would reduce nitrogen losses by about 50%, 11 involving diet change. We further carried out an assessment of the societal appreciation of combinations of interventions considering private and public costs of the intervention measures, public benefit through effects on health and increased biodiversity of ecosystems, and public costs for overcoming socio-cultural barriers. Results show that a combination of moderate intervention options achieve halving of N losses at lowest societal costs. We conclude that systemic approaches are paramount to achieve deep nitrogen reduction targets and diet change appears to be an essential condition for success.","container-title":"Global Food Security","DOI":"10.1016/j.gfs.2022.100648","ISSN":"2211-9124","journalAbbreviation":"Global Food Security","language":"en","page":"100648","source":"ScienceDirect","title":"Halving nitrogen waste in the European Union food systems requires both dietary shifts and farm level actions","volume":"35","author":[{"family":"Leip","given":"Adrian"},{"family":"Caldeira","given":"Carla"},{"family":"Corrado","given":"Sara"},{"family":"Hutchings","given":"Nicholas J."},{"family":"Lesschen","given":"Jan Peter"},{"family":"Schaap","given":"Martijn"},{"family":"Vries","given":"Wim","non-dropping-particle":"de"},{"family":"Westhoek","given":"Henk"},{"family":"Grinsven","given":"Hans JM.","non-dropping-particle":"van"}],"issued":{"date-parts":[["2022",12,1]]}}}],"schema":"https://github.com/citation-style-language/schema/raw/master/csl-citation.json"} </w:instrText>
      </w:r>
      <w:r>
        <w:fldChar w:fldCharType="separate"/>
      </w:r>
      <w:r w:rsidR="008C451C" w:rsidRPr="008C451C">
        <w:rPr>
          <w:rFonts w:ascii="Calibri" w:hAnsi="Calibri" w:cs="Calibri"/>
          <w:szCs w:val="24"/>
          <w:vertAlign w:val="superscript"/>
        </w:rPr>
        <w:t>52,53</w:t>
      </w:r>
      <w:r>
        <w:fldChar w:fldCharType="end"/>
      </w:r>
      <w:r>
        <w:t>) scales screen highly differentiated future development options, mostly framed by the levels and orientations of political and societal wills (such as the deployment of agroecology practices). Therefore, relying on existing prospective food system assessment scenarios to estimate future market trends, as performed for energy (</w:t>
      </w:r>
      <w:r w:rsidR="00EB73E9" w:rsidRPr="00EB73E9">
        <w:rPr>
          <w:b/>
        </w:rPr>
        <w:t xml:space="preserve">section </w:t>
      </w:r>
      <w:r w:rsidR="003A663A">
        <w:rPr>
          <w:b/>
        </w:rPr>
        <w:t xml:space="preserve">SI. </w:t>
      </w:r>
      <w:r w:rsidR="00EB73E9" w:rsidRPr="00EB73E9">
        <w:rPr>
          <w:b/>
        </w:rPr>
        <w:fldChar w:fldCharType="begin"/>
      </w:r>
      <w:r w:rsidR="00EB73E9" w:rsidRPr="00EB73E9">
        <w:rPr>
          <w:b/>
        </w:rPr>
        <w:instrText xml:space="preserve"> REF _Ref145069652 \r \h </w:instrText>
      </w:r>
      <w:r w:rsidR="00EB73E9">
        <w:rPr>
          <w:b/>
        </w:rPr>
        <w:instrText xml:space="preserve"> \* MERGEFORMAT </w:instrText>
      </w:r>
      <w:r w:rsidR="00EB73E9" w:rsidRPr="00EB73E9">
        <w:rPr>
          <w:b/>
        </w:rPr>
      </w:r>
      <w:r w:rsidR="00EB73E9" w:rsidRPr="00EB73E9">
        <w:rPr>
          <w:b/>
        </w:rPr>
        <w:fldChar w:fldCharType="separate"/>
      </w:r>
      <w:r w:rsidR="00EB73E9" w:rsidRPr="00EB73E9">
        <w:rPr>
          <w:b/>
        </w:rPr>
        <w:t>4.1.10</w:t>
      </w:r>
      <w:r w:rsidR="00EB73E9" w:rsidRPr="00EB73E9">
        <w:rPr>
          <w:b/>
        </w:rPr>
        <w:fldChar w:fldCharType="end"/>
      </w:r>
      <w:r>
        <w:t xml:space="preserve">), was not developed here. Instead, a baseline </w:t>
      </w:r>
      <w:r w:rsidR="00583069">
        <w:t>food and feed markets</w:t>
      </w:r>
      <w:r>
        <w:t xml:space="preserve"> context</w:t>
      </w:r>
      <w:r w:rsidR="00583069">
        <w:t xml:space="preserve"> for each identified service</w:t>
      </w:r>
      <w:r>
        <w:t xml:space="preserve"> was developed </w:t>
      </w:r>
      <w:r w:rsidR="00583069">
        <w:t>as current market trends (see below).</w:t>
      </w:r>
    </w:p>
    <w:p w14:paraId="20FA1671" w14:textId="06BFCD22" w:rsidR="00EB73E9" w:rsidRDefault="00EB73E9" w:rsidP="00D31C73">
      <w:pPr>
        <w:jc w:val="both"/>
      </w:pPr>
      <w:r>
        <w:t>First, end-of-life effects of novel ingredients (consumption and post-consumption) were neglected.</w:t>
      </w:r>
      <w:r w:rsidRPr="00EB73E9">
        <w:t xml:space="preserve"> </w:t>
      </w:r>
      <w:r>
        <w:t>Accounting for these effects would require extended data on growth and metabolism patterns as well as defining inclusion rate in diets and drawing a baseline situation to measure the relative changes. Such consolidated data, particularly for novel food and feed ingredients, are missing to our knowledge. This means that the “gate-to-grave” scope of the waste-to-nutrition pathways LCA modeling (</w:t>
      </w:r>
      <w:r w:rsidRPr="0033039D">
        <w:t>defined in</w:t>
      </w:r>
      <w:r>
        <w:t xml:space="preserve"> </w:t>
      </w:r>
      <w:r w:rsidRPr="009A6151">
        <w:rPr>
          <w:b/>
        </w:rPr>
        <w:t xml:space="preserve">section </w:t>
      </w:r>
      <w:r w:rsidR="003A663A">
        <w:rPr>
          <w:b/>
        </w:rPr>
        <w:t xml:space="preserve">SI. </w:t>
      </w:r>
      <w:r w:rsidRPr="009A6151">
        <w:rPr>
          <w:b/>
        </w:rPr>
        <w:fldChar w:fldCharType="begin"/>
      </w:r>
      <w:r w:rsidRPr="009A6151">
        <w:rPr>
          <w:b/>
        </w:rPr>
        <w:instrText xml:space="preserve"> REF _Ref144740238 \r \h </w:instrText>
      </w:r>
      <w:r>
        <w:rPr>
          <w:b/>
        </w:rPr>
        <w:instrText xml:space="preserve"> \* MERGEFORMAT </w:instrText>
      </w:r>
      <w:r w:rsidRPr="009A6151">
        <w:rPr>
          <w:b/>
        </w:rPr>
      </w:r>
      <w:r w:rsidRPr="009A6151">
        <w:rPr>
          <w:b/>
        </w:rPr>
        <w:fldChar w:fldCharType="separate"/>
      </w:r>
      <w:r>
        <w:rPr>
          <w:b/>
        </w:rPr>
        <w:t>3</w:t>
      </w:r>
      <w:r w:rsidRPr="009A6151">
        <w:rPr>
          <w:b/>
        </w:rPr>
        <w:fldChar w:fldCharType="end"/>
      </w:r>
      <w:r w:rsidRPr="0033039D">
        <w:t>) is actually</w:t>
      </w:r>
      <w:r>
        <w:t xml:space="preserve"> a “gate-to-consumption”</w:t>
      </w:r>
      <w:r>
        <w:fldChar w:fldCharType="begin"/>
      </w:r>
      <w:r w:rsidR="00827449">
        <w:instrText xml:space="preserve"> ADDIN ZOTERO_ITEM CSL_CITATION {"citationID":"lfi7LxLR","properties":{"formattedCitation":"\\super 16\\nosupersub{}","plainCitation":"16","noteIndex":0},"citationItems":[{"id":13930,"uris":["http://zotero.org/users/6423791/items/P28TEYKD"],"itemData":{"id":13930,"type":"book","event-place":"Luxembourg","publisher":"Publications Office of the European Union","publisher-place":"Luxembourg","title":"Prospective LCA methodology for novel and emerging technologies for bio-based products : the Planet Bio project","URL":"https://dx.doi.org/10.2760/167543","author":[{"family":"Cucurachi","given":"S."},{"literal":"Steubing, B."},{"literal":"Siebler, F."},{"literal":"Navarre, N."},{"literal":"Caldeira, C."},{"literal":"Sala, S."}],"issued":{"date-parts":[["2022"]]}}}],"schema":"https://github.com/citation-style-language/schema/raw/master/csl-citation.json"} </w:instrText>
      </w:r>
      <w:r>
        <w:fldChar w:fldCharType="separate"/>
      </w:r>
      <w:r w:rsidR="00682E10" w:rsidRPr="00682E10">
        <w:rPr>
          <w:rFonts w:ascii="Calibri" w:hAnsi="Calibri" w:cs="Calibri"/>
          <w:szCs w:val="24"/>
          <w:vertAlign w:val="superscript"/>
        </w:rPr>
        <w:t>16</w:t>
      </w:r>
      <w:r>
        <w:fldChar w:fldCharType="end"/>
      </w:r>
      <w:r>
        <w:t>. The sole post-consumption modeling was done to balance carbon flows, by considering that all carbon embedded in edible ingredients was released as CO</w:t>
      </w:r>
      <w:r w:rsidRPr="008B6356">
        <w:rPr>
          <w:vertAlign w:val="subscript"/>
        </w:rPr>
        <w:t>2</w:t>
      </w:r>
      <w:r>
        <w:t>. Yet, all the edible ingredients produced were assumed formulated in a way these are seen interchangeable with the other suppliers providing the same services within the identified markets. This was done differently for food and feed markets.</w:t>
      </w:r>
    </w:p>
    <w:p w14:paraId="5AA5CA70" w14:textId="3B3F4D64" w:rsidR="00416EEE" w:rsidRPr="00A66A35" w:rsidRDefault="00416EEE" w:rsidP="00416EEE">
      <w:pPr>
        <w:pStyle w:val="Titre4"/>
      </w:pPr>
      <w:bookmarkStart w:id="96" w:name="_Toc125927270"/>
      <w:bookmarkStart w:id="97" w:name="_Toc128061431"/>
      <w:r w:rsidRPr="00A66A35">
        <w:t>Feed markets</w:t>
      </w:r>
      <w:bookmarkEnd w:id="96"/>
      <w:bookmarkEnd w:id="97"/>
      <w:r>
        <w:t xml:space="preserve"> and services modeling</w:t>
      </w:r>
    </w:p>
    <w:p w14:paraId="25540354" w14:textId="16822138" w:rsidR="00416EEE" w:rsidRDefault="00416EEE" w:rsidP="003A663A">
      <w:pPr>
        <w:jc w:val="both"/>
      </w:pPr>
      <w:r>
        <w:t xml:space="preserve">Feed markets were subdivided in concentrated feed and roughage feed. The latter corresponds to ingredients mostly directed towards non-intensive ruminant livestock production. Concentrated feed markets were further separated into protein, energy and lipid feed markets, corresponding to the main feed nutritional </w:t>
      </w:r>
      <w:r w:rsidRPr="00C63015">
        <w:t>functions</w:t>
      </w:r>
      <w:r>
        <w:t xml:space="preserve"> as performed in Javourez et al., (2022)</w:t>
      </w:r>
      <w:r w:rsidRPr="00416EEE">
        <w:fldChar w:fldCharType="begin"/>
      </w:r>
      <w:r w:rsidR="00682E10">
        <w:instrText xml:space="preserve"> ADDIN ZOTERO_ITEM CSL_CITATION {"citationID":"ams3o1p0jn","properties":{"formattedCitation":"\\super 4\\nosupersub{}","plainCitation":"4","noteIndex":0},"citationItems":[{"id":13553,"uris":["http://zotero.org/users/6423791/items/EU8KLJZY"],"itemData":{"id":13553,"type":"article-journal","abstract":"Transforming residual biomass into edible ingredients is increasingly\npromoted to alleviate the environmental impacts of food systems. Yet,\nthese approaches mostly rely on emerging technologies and constrained\nresources, and their environmental benefits remain unclear. By combining\nprocess-based consequential life cycle analysis, uncertainty assessment\nand biomass resource estimation, we quantified the impacts of deploying\nwaste-to-nutrition pathways, here applied to the upgrading of agrifood\nco-products by solid-state fermentation (SSF). The benefits of reducing the\ndemand for soybean meal by enhancing the protein concentration of feed\nthrough SSF do not compensate for the environmental burdens induced\nby the process on climate change, water depletion and land use. Besides\nunlocking feed markets to low-feed-quality streams, SSF outperforms\nenergy valorization for most environmental impacts but is less competitive\nto mitigate climate change. Yet, SSF yields overall environmental benefits\nwhen unlocking food markets rather than supplying feed and energy\nservices. Systematic methodological harmonization is required to assess the\npotential of novel ingredients, as outcomes vary according to the displaced\nfood and feed baskets, and related land use changes.","container-title":"Nature Food","DOI":"10.1038/s43016-022-00621-9","journalAbbreviation":"Nat Food","language":"en","page":"911-920","title":"Upgrading agrifood co-products via solid fermentation yields environmental benefits under specific conditions only","volume":"3","author":[{"family":"Javourez","given":"Ugo"},{"family":"Rosero Delgado","given":"Ernesto Alonso"},{"family":"Hamelin","given":"Lorie"}],"issued":{"date-parts":[["2022",10,31]]}}}],"schema":"https://github.com/citation-style-language/schema/raw/master/csl-citation.json"} </w:instrText>
      </w:r>
      <w:r w:rsidRPr="00416EEE">
        <w:fldChar w:fldCharType="separate"/>
      </w:r>
      <w:r w:rsidR="00682E10" w:rsidRPr="00682E10">
        <w:rPr>
          <w:rFonts w:ascii="Calibri" w:hAnsi="Calibri" w:cs="Calibri"/>
          <w:szCs w:val="24"/>
          <w:vertAlign w:val="superscript"/>
        </w:rPr>
        <w:t>4</w:t>
      </w:r>
      <w:r w:rsidRPr="00416EEE">
        <w:fldChar w:fldCharType="end"/>
      </w:r>
      <w:r w:rsidRPr="00C63015">
        <w:t>. Therefore</w:t>
      </w:r>
      <w:r>
        <w:t>, in total, the feed market</w:t>
      </w:r>
      <w:r w:rsidR="00797E93">
        <w:t>s</w:t>
      </w:r>
      <w:r>
        <w:t xml:space="preserve"> w</w:t>
      </w:r>
      <w:r w:rsidR="00797E93">
        <w:t>ere</w:t>
      </w:r>
      <w:r>
        <w:t xml:space="preserve"> simplified in this study as (i) protein feed, (ii) energy feed, (iii) lipid feed and (iv) roughage feed markets. While markets corresponding to concentrated ingredients can be considered as global</w:t>
      </w:r>
      <w:r>
        <w:fldChar w:fldCharType="begin"/>
      </w:r>
      <w:r w:rsidR="008C451C">
        <w:instrText xml:space="preserve"> ADDIN ZOTERO_ITEM CSL_CITATION {"citationID":"sFu7Sozi","properties":{"formattedCitation":"\\super 51\\nosupersub{}","plainCitation":"51","noteIndex":0},"citationItems":[{"id":12336,"uris":["http://zotero.org/users/6423791/items/FHJ863UZ"],"itemData":{"id":12336,"type":"book","event-place":"London","ISBN":"978-1-78413-230-9","language":"en","note":"OCLC: 1010968166","publisher":"Chatham House","publisher-place":"London","source":"Open WorldCat","title":"Chokepoints and Vulnerabilities in Global Food Trade","URL":"https://apps.uqo.ca/LoginSigparb/LoginPourRessources.aspx?url=http://www.deslibris.ca/ID/10091331","author":[{"family":"Bailey","given":"Rob"},{"family":"Wellesley","given":"Laura"}],"accessed":{"date-parts":[["2021",11,8]]},"issued":{"date-parts":[["2017"]]}}}],"schema":"https://github.com/citation-style-language/schema/raw/master/csl-citation.json"} </w:instrText>
      </w:r>
      <w:r>
        <w:fldChar w:fldCharType="separate"/>
      </w:r>
      <w:r w:rsidR="008C451C" w:rsidRPr="008C451C">
        <w:rPr>
          <w:rFonts w:ascii="Calibri" w:hAnsi="Calibri" w:cs="Calibri"/>
          <w:szCs w:val="24"/>
          <w:vertAlign w:val="superscript"/>
        </w:rPr>
        <w:t>51</w:t>
      </w:r>
      <w:r>
        <w:fldChar w:fldCharType="end"/>
      </w:r>
      <w:r>
        <w:t>, this is not the case for roughage feed markets (low value and nutritional density) assumed specific to France here.</w:t>
      </w:r>
    </w:p>
    <w:p w14:paraId="73D874C2" w14:textId="77777777" w:rsidR="00797E93" w:rsidRPr="00D31C73" w:rsidRDefault="00797E93" w:rsidP="00877BEE">
      <w:pPr>
        <w:pStyle w:val="Titre5"/>
      </w:pPr>
      <w:r>
        <w:t>Equivalence in terms of f</w:t>
      </w:r>
      <w:r w:rsidRPr="00D31C73">
        <w:t>eed services</w:t>
      </w:r>
    </w:p>
    <w:p w14:paraId="086627BE" w14:textId="24196A7B" w:rsidR="00797E93" w:rsidRDefault="00797E93" w:rsidP="00797E93">
      <w:pPr>
        <w:jc w:val="both"/>
      </w:pPr>
      <w:r>
        <w:t>The estimation of the concentrated feed services provided by edible ingredients was based on their macronutrient functions, as detailed</w:t>
      </w:r>
      <w:r w:rsidRPr="0033039D">
        <w:t xml:space="preserve"> in</w:t>
      </w:r>
      <w:r>
        <w:t xml:space="preserve"> Javourez et al., (2022</w:t>
      </w:r>
      <w:r w:rsidRPr="00583069">
        <w:t>)</w:t>
      </w:r>
      <w:r w:rsidRPr="00583069">
        <w:fldChar w:fldCharType="begin"/>
      </w:r>
      <w:r w:rsidR="00682E10">
        <w:instrText xml:space="preserve"> ADDIN ZOTERO_ITEM CSL_CITATION {"citationID":"a2n7ijpplj1","properties":{"formattedCitation":"\\super 4\\nosupersub{}","plainCitation":"4","noteIndex":0},"citationItems":[{"id":13553,"uris":["http://zotero.org/users/6423791/items/EU8KLJZY"],"itemData":{"id":13553,"type":"article-journal","abstract":"Transforming residual biomass into edible ingredients is increasingly\npromoted to alleviate the environmental impacts of food systems. Yet,\nthese approaches mostly rely on emerging technologies and constrained\nresources, and their environmental benefits remain unclear. By combining\nprocess-based consequential life cycle analysis, uncertainty assessment\nand biomass resource estimation, we quantified the impacts of deploying\nwaste-to-nutrition pathways, here applied to the upgrading of agrifood\nco-products by solid-state fermentation (SSF). The benefits of reducing the\ndemand for soybean meal by enhancing the protein concentration of feed\nthrough SSF do not compensate for the environmental burdens induced\nby the process on climate change, water depletion and land use. Besides\nunlocking feed markets to low-feed-quality streams, SSF outperforms\nenergy valorization for most environmental impacts but is less competitive\nto mitigate climate change. Yet, SSF yields overall environmental benefits\nwhen unlocking food markets rather than supplying feed and energy\nservices. Systematic methodological harmonization is required to assess the\npotential of novel ingredients, as outcomes vary according to the displaced\nfood and feed baskets, and related land use changes.","container-title":"Nature Food","DOI":"10.1038/s43016-022-00621-9","journalAbbreviation":"Nat Food","language":"en","page":"911-920","title":"Upgrading agrifood co-products via solid fermentation yields environmental benefits under specific conditions only","volume":"3","author":[{"family":"Javourez","given":"Ugo"},{"family":"Rosero Delgado","given":"Ernesto Alonso"},{"family":"Hamelin","given":"Lorie"}],"issued":{"date-parts":[["2022",10,31]]}}}],"schema":"https://github.com/citation-style-language/schema/raw/master/csl-citation.json"} </w:instrText>
      </w:r>
      <w:r w:rsidRPr="00583069">
        <w:fldChar w:fldCharType="separate"/>
      </w:r>
      <w:r w:rsidR="00682E10" w:rsidRPr="00682E10">
        <w:rPr>
          <w:rFonts w:ascii="Calibri" w:hAnsi="Calibri" w:cs="Calibri"/>
          <w:szCs w:val="24"/>
          <w:vertAlign w:val="superscript"/>
        </w:rPr>
        <w:t>4</w:t>
      </w:r>
      <w:r w:rsidRPr="00583069">
        <w:fldChar w:fldCharType="end"/>
      </w:r>
      <w:r>
        <w:t xml:space="preserve"> and expressed in terms of Scandinavian Feed Unit (SFU) equivalent. T</w:t>
      </w:r>
      <w:r w:rsidRPr="0033039D">
        <w:t>he share</w:t>
      </w:r>
      <w:r>
        <w:t xml:space="preserve"> of protein, lipids and energy services provided were estimated based on the contributions of their respective weight to the total SFU</w:t>
      </w:r>
      <w:r w:rsidRPr="0033039D">
        <w:t>.</w:t>
      </w:r>
      <w:r>
        <w:t xml:space="preserve"> The equivalent in terms of roughage feed service was directly derived based on the whole SFU of the fibrous stream. That is, the SFU of the fibrous stream was first calculated, and this stream was assumed to be equivalent to the weight of marginal roughage feed corresponding to the same SFU (</w:t>
      </w:r>
      <w:r w:rsidRPr="00ED65B5">
        <w:rPr>
          <w:b/>
        </w:rPr>
        <w:fldChar w:fldCharType="begin"/>
      </w:r>
      <w:r w:rsidRPr="00ED65B5">
        <w:rPr>
          <w:b/>
        </w:rPr>
        <w:instrText xml:space="preserve"> REF _Ref144743142 \h </w:instrText>
      </w:r>
      <w:r>
        <w:rPr>
          <w:b/>
        </w:rPr>
        <w:instrText xml:space="preserve"> \* MERGEFORMAT </w:instrText>
      </w:r>
      <w:r w:rsidRPr="00ED65B5">
        <w:rPr>
          <w:b/>
        </w:rPr>
      </w:r>
      <w:r w:rsidRPr="00ED65B5">
        <w:rPr>
          <w:b/>
        </w:rPr>
        <w:fldChar w:fldCharType="separate"/>
      </w:r>
      <w:r w:rsidRPr="00F25F8C">
        <w:rPr>
          <w:b/>
        </w:rPr>
        <w:t xml:space="preserve">Table SI. </w:t>
      </w:r>
      <w:r w:rsidRPr="00F25F8C">
        <w:rPr>
          <w:b/>
          <w:noProof/>
        </w:rPr>
        <w:t>21</w:t>
      </w:r>
      <w:r w:rsidRPr="00ED65B5">
        <w:rPr>
          <w:b/>
        </w:rPr>
        <w:fldChar w:fldCharType="end"/>
      </w:r>
      <w:r>
        <w:t>). This means that this modeling depends on the SFU of the representative ingredient on corresponding market, which needs to be identified. Here, we implement a consequential approach, therefore the marginal feed suppliers were identified (but the method can be adapted to an average approach as well).</w:t>
      </w:r>
    </w:p>
    <w:p w14:paraId="231082C9" w14:textId="77777777" w:rsidR="00416EEE" w:rsidRPr="00A66A35" w:rsidRDefault="00416EEE" w:rsidP="00877BEE">
      <w:pPr>
        <w:pStyle w:val="Titre5"/>
      </w:pPr>
      <w:bookmarkStart w:id="98" w:name="_Toc125927271"/>
      <w:r w:rsidRPr="00A66A35">
        <w:t>Identification of marginal concentrated feed suppliers</w:t>
      </w:r>
      <w:bookmarkEnd w:id="98"/>
    </w:p>
    <w:p w14:paraId="4B76279E" w14:textId="4AAE173A" w:rsidR="00416EEE" w:rsidRDefault="00416EEE" w:rsidP="00416EEE">
      <w:pPr>
        <w:jc w:val="both"/>
      </w:pPr>
      <w:r>
        <w:t xml:space="preserve">The marginal feed suppliers identified </w:t>
      </w:r>
      <w:r w:rsidRPr="00416EEE">
        <w:t>in Javourez et al., (2022)</w:t>
      </w:r>
      <w:r w:rsidRPr="00416EEE">
        <w:fldChar w:fldCharType="begin"/>
      </w:r>
      <w:r w:rsidR="00682E10">
        <w:instrText xml:space="preserve"> ADDIN ZOTERO_ITEM CSL_CITATION {"citationID":"dPp0MCzQ","properties":{"formattedCitation":"\\super 4\\nosupersub{}","plainCitation":"4","noteIndex":0},"citationItems":[{"id":13553,"uris":["http://zotero.org/users/6423791/items/EU8KLJZY"],"itemData":{"id":13553,"type":"article-journal","abstract":"Transforming residual biomass into edible ingredients is increasingly\npromoted to alleviate the environmental impacts of food systems. Yet,\nthese approaches mostly rely on emerging technologies and constrained\nresources, and their environmental benefits remain unclear. By combining\nprocess-based consequential life cycle analysis, uncertainty assessment\nand biomass resource estimation, we quantified the impacts of deploying\nwaste-to-nutrition pathways, here applied to the upgrading of agrifood\nco-products by solid-state fermentation (SSF). The benefits of reducing the\ndemand for soybean meal by enhancing the protein concentration of feed\nthrough SSF do not compensate for the environmental burdens induced\nby the process on climate change, water depletion and land use. Besides\nunlocking feed markets to low-feed-quality streams, SSF outperforms\nenergy valorization for most environmental impacts but is less competitive\nto mitigate climate change. Yet, SSF yields overall environmental benefits\nwhen unlocking food markets rather than supplying feed and energy\nservices. Systematic methodological harmonization is required to assess the\npotential of novel ingredients, as outcomes vary according to the displaced\nfood and feed baskets, and related land use changes.","container-title":"Nature Food","DOI":"10.1038/s43016-022-00621-9","journalAbbreviation":"Nat Food","language":"en","page":"911-920","title":"Upgrading agrifood co-products via solid fermentation yields environmental benefits under specific conditions only","volume":"3","author":[{"family":"Javourez","given":"Ugo"},{"family":"Rosero Delgado","given":"Ernesto Alonso"},{"family":"Hamelin","given":"Lorie"}],"issued":{"date-parts":[["2022",10,31]]}}}],"schema":"https://github.com/citation-style-language/schema/raw/master/csl-citation.json"} </w:instrText>
      </w:r>
      <w:r w:rsidRPr="00416EEE">
        <w:fldChar w:fldCharType="separate"/>
      </w:r>
      <w:r w:rsidR="00682E10" w:rsidRPr="00682E10">
        <w:rPr>
          <w:rFonts w:ascii="Calibri" w:hAnsi="Calibri" w:cs="Calibri"/>
          <w:szCs w:val="24"/>
          <w:vertAlign w:val="superscript"/>
        </w:rPr>
        <w:t>4</w:t>
      </w:r>
      <w:r w:rsidRPr="00416EEE">
        <w:fldChar w:fldCharType="end"/>
      </w:r>
      <w:r w:rsidRPr="00C63015">
        <w:t xml:space="preserve"> based</w:t>
      </w:r>
      <w:r>
        <w:t xml:space="preserve"> on last 10 years trend reported by FAOSTAT</w:t>
      </w:r>
      <w:r>
        <w:fldChar w:fldCharType="begin"/>
      </w:r>
      <w:r w:rsidR="008C451C">
        <w:instrText xml:space="preserve"> ADDIN ZOTERO_ITEM CSL_CITATION {"citationID":"eBGTQB2s","properties":{"formattedCitation":"\\super 54\\nosupersub{}","plainCitation":"54","noteIndex":0},"citationItems":[{"id":2213,"uris":["http://zotero.org/users/6423791/items/CDP7ZBVY"],"itemData":{"id":2213,"type":"webpage","title":"FAOSTAT","URL":"http://www.fao.org/faostat/en/","author":[{"literal":"FAO"}],"accessed":{"date-parts":[["2021",10,28]]},"issued":{"date-parts":[["2019"]]}}}],"schema":"https://github.com/citation-style-language/schema/raw/master/csl-citation.json"} </w:instrText>
      </w:r>
      <w:r>
        <w:fldChar w:fldCharType="separate"/>
      </w:r>
      <w:r w:rsidR="008C451C" w:rsidRPr="008C451C">
        <w:rPr>
          <w:rFonts w:ascii="Calibri" w:hAnsi="Calibri" w:cs="Calibri"/>
          <w:szCs w:val="24"/>
          <w:vertAlign w:val="superscript"/>
        </w:rPr>
        <w:t>54</w:t>
      </w:r>
      <w:r>
        <w:fldChar w:fldCharType="end"/>
      </w:r>
      <w:r>
        <w:t xml:space="preserve"> were kept. In summary, the suppliers providing (i) a protein feed service gathers oilseeds meal, pulse and animal by-products commodity groups, (ii) an energy feed service mostly includes </w:t>
      </w:r>
      <w:r>
        <w:lastRenderedPageBreak/>
        <w:t>cereals, roots and tubers, and (iii) a lipids feed service only contemplates vegetable and animal-based oil. Summary of the global trends and the selected marginal concentrated feed suppliers are summarized in</w:t>
      </w:r>
      <w:r w:rsidR="00487401">
        <w:rPr>
          <w:b/>
        </w:rPr>
        <w:t xml:space="preserve"> </w:t>
      </w:r>
      <w:r w:rsidR="00487401" w:rsidRPr="00487401">
        <w:rPr>
          <w:b/>
        </w:rPr>
        <w:fldChar w:fldCharType="begin"/>
      </w:r>
      <w:r w:rsidR="00487401" w:rsidRPr="00487401">
        <w:rPr>
          <w:b/>
        </w:rPr>
        <w:instrText xml:space="preserve"> REF _Ref144741457 \h  \* MERGEFORMAT </w:instrText>
      </w:r>
      <w:r w:rsidR="00487401" w:rsidRPr="00487401">
        <w:rPr>
          <w:b/>
        </w:rPr>
      </w:r>
      <w:r w:rsidR="00487401" w:rsidRPr="00487401">
        <w:rPr>
          <w:b/>
        </w:rPr>
        <w:fldChar w:fldCharType="separate"/>
      </w:r>
      <w:r w:rsidR="00F25F8C" w:rsidRPr="00F25F8C">
        <w:rPr>
          <w:b/>
        </w:rPr>
        <w:t xml:space="preserve">Table SI. </w:t>
      </w:r>
      <w:r w:rsidR="00F25F8C" w:rsidRPr="00F25F8C">
        <w:rPr>
          <w:b/>
          <w:noProof/>
        </w:rPr>
        <w:t>19</w:t>
      </w:r>
      <w:r w:rsidR="00487401" w:rsidRPr="00487401">
        <w:rPr>
          <w:b/>
        </w:rPr>
        <w:fldChar w:fldCharType="end"/>
      </w:r>
      <w:r>
        <w:t>.</w:t>
      </w:r>
    </w:p>
    <w:p w14:paraId="7CCF97A1" w14:textId="500D177F" w:rsidR="00487401" w:rsidRPr="00487401" w:rsidRDefault="00487401" w:rsidP="006B5342">
      <w:pPr>
        <w:pStyle w:val="Lgende"/>
        <w:jc w:val="left"/>
      </w:pPr>
      <w:bookmarkStart w:id="99" w:name="_Ref144741457"/>
      <w:bookmarkStart w:id="100" w:name="_Toc151967903"/>
      <w:r>
        <w:t xml:space="preserve">Table SI. </w:t>
      </w:r>
      <w:r>
        <w:fldChar w:fldCharType="begin"/>
      </w:r>
      <w:r>
        <w:instrText xml:space="preserve"> SEQ Table_SI. \* ARABIC </w:instrText>
      </w:r>
      <w:r>
        <w:fldChar w:fldCharType="separate"/>
      </w:r>
      <w:r w:rsidR="00F25F8C">
        <w:rPr>
          <w:noProof/>
        </w:rPr>
        <w:t>19</w:t>
      </w:r>
      <w:r>
        <w:fldChar w:fldCharType="end"/>
      </w:r>
      <w:bookmarkEnd w:id="99"/>
      <w:r>
        <w:t xml:space="preserve"> </w:t>
      </w:r>
      <w:r w:rsidRPr="00E109F1">
        <w:t>– Marginal concentrated feed suppliers mix identification, per nutritional service</w:t>
      </w:r>
      <w:bookmarkEnd w:id="100"/>
    </w:p>
    <w:tbl>
      <w:tblPr>
        <w:tblStyle w:val="Tableausimple2"/>
        <w:tblW w:w="0" w:type="auto"/>
        <w:tblLook w:val="04A0" w:firstRow="1" w:lastRow="0" w:firstColumn="1" w:lastColumn="0" w:noHBand="0" w:noVBand="1"/>
      </w:tblPr>
      <w:tblGrid>
        <w:gridCol w:w="1577"/>
        <w:gridCol w:w="746"/>
        <w:gridCol w:w="749"/>
        <w:gridCol w:w="1054"/>
        <w:gridCol w:w="759"/>
        <w:gridCol w:w="761"/>
        <w:gridCol w:w="1725"/>
        <w:gridCol w:w="849"/>
        <w:gridCol w:w="852"/>
      </w:tblGrid>
      <w:tr w:rsidR="006B5342" w:rsidRPr="002D3BB7" w14:paraId="14EBACCA" w14:textId="77777777" w:rsidTr="006B5342">
        <w:trPr>
          <w:cnfStyle w:val="100000000000" w:firstRow="1" w:lastRow="0" w:firstColumn="0" w:lastColumn="0" w:oddVBand="0" w:evenVBand="0" w:oddHBand="0" w:evenHBand="0" w:firstRowFirstColumn="0" w:firstRowLastColumn="0" w:lastRowFirstColumn="0" w:lastRowLastColumn="0"/>
          <w:cantSplit/>
          <w:trHeight w:val="234"/>
        </w:trPr>
        <w:tc>
          <w:tcPr>
            <w:cnfStyle w:val="001000000000" w:firstRow="0" w:lastRow="0" w:firstColumn="1" w:lastColumn="0" w:oddVBand="0" w:evenVBand="0" w:oddHBand="0" w:evenHBand="0" w:firstRowFirstColumn="0" w:firstRowLastColumn="0" w:lastRowFirstColumn="0" w:lastRowLastColumn="0"/>
            <w:tcW w:w="0" w:type="auto"/>
            <w:gridSpan w:val="3"/>
          </w:tcPr>
          <w:p w14:paraId="573FDE55" w14:textId="0DD4A201" w:rsidR="006B5342" w:rsidRDefault="006B5342" w:rsidP="006B5342">
            <w:pPr>
              <w:pStyle w:val="Contenudetableau"/>
              <w:rPr>
                <w:rFonts w:ascii="Calibri" w:hAnsi="Calibri"/>
                <w:color w:val="000000"/>
                <w:sz w:val="18"/>
                <w:szCs w:val="18"/>
              </w:rPr>
            </w:pPr>
            <w:r w:rsidRPr="002D3BB7">
              <w:rPr>
                <w:rFonts w:ascii="Calibri" w:hAnsi="Calibri"/>
                <w:color w:val="000000"/>
                <w:sz w:val="18"/>
                <w:szCs w:val="18"/>
              </w:rPr>
              <w:t>Protein feed services</w:t>
            </w:r>
          </w:p>
        </w:tc>
        <w:tc>
          <w:tcPr>
            <w:tcW w:w="0" w:type="auto"/>
            <w:gridSpan w:val="3"/>
          </w:tcPr>
          <w:p w14:paraId="0BCDE888" w14:textId="3157BC4F" w:rsidR="006B5342" w:rsidRDefault="006B5342" w:rsidP="006B5342">
            <w:pPr>
              <w:pStyle w:val="Contenudetableau"/>
              <w:cnfStyle w:val="100000000000" w:firstRow="1" w:lastRow="0" w:firstColumn="0" w:lastColumn="0" w:oddVBand="0" w:evenVBand="0" w:oddHBand="0" w:evenHBand="0" w:firstRowFirstColumn="0" w:firstRowLastColumn="0" w:lastRowFirstColumn="0" w:lastRowLastColumn="0"/>
              <w:rPr>
                <w:rFonts w:ascii="Calibri" w:hAnsi="Calibri"/>
                <w:color w:val="000000"/>
                <w:sz w:val="18"/>
                <w:szCs w:val="18"/>
              </w:rPr>
            </w:pPr>
            <w:r w:rsidRPr="002D3BB7">
              <w:rPr>
                <w:rFonts w:ascii="Calibri" w:hAnsi="Calibri"/>
                <w:color w:val="000000"/>
                <w:sz w:val="18"/>
                <w:szCs w:val="18"/>
              </w:rPr>
              <w:t>Energy feed services</w:t>
            </w:r>
          </w:p>
        </w:tc>
        <w:tc>
          <w:tcPr>
            <w:tcW w:w="0" w:type="auto"/>
            <w:gridSpan w:val="3"/>
          </w:tcPr>
          <w:p w14:paraId="0D37134A" w14:textId="0DDFE22B" w:rsidR="006B5342" w:rsidRDefault="006B5342" w:rsidP="006B5342">
            <w:pPr>
              <w:pStyle w:val="Contenudetableau"/>
              <w:cnfStyle w:val="100000000000" w:firstRow="1" w:lastRow="0" w:firstColumn="0" w:lastColumn="0" w:oddVBand="0" w:evenVBand="0" w:oddHBand="0" w:evenHBand="0" w:firstRowFirstColumn="0" w:firstRowLastColumn="0" w:lastRowFirstColumn="0" w:lastRowLastColumn="0"/>
              <w:rPr>
                <w:rFonts w:ascii="Calibri" w:hAnsi="Calibri"/>
                <w:color w:val="000000"/>
                <w:sz w:val="18"/>
                <w:szCs w:val="18"/>
              </w:rPr>
            </w:pPr>
            <w:r w:rsidRPr="002D3BB7">
              <w:rPr>
                <w:rFonts w:ascii="Calibri" w:hAnsi="Calibri"/>
                <w:color w:val="000000"/>
                <w:sz w:val="18"/>
                <w:szCs w:val="18"/>
              </w:rPr>
              <w:t>Lipids feed services</w:t>
            </w:r>
          </w:p>
        </w:tc>
      </w:tr>
      <w:tr w:rsidR="006B5342" w:rsidRPr="002D3BB7" w14:paraId="374DEDFC" w14:textId="77777777" w:rsidTr="006B5342">
        <w:trPr>
          <w:cnfStyle w:val="000000100000" w:firstRow="0" w:lastRow="0" w:firstColumn="0" w:lastColumn="0" w:oddVBand="0" w:evenVBand="0" w:oddHBand="1" w:evenHBand="0" w:firstRowFirstColumn="0" w:firstRowLastColumn="0" w:lastRowFirstColumn="0" w:lastRowLastColumn="0"/>
          <w:trHeight w:val="1286"/>
        </w:trPr>
        <w:tc>
          <w:tcPr>
            <w:cnfStyle w:val="001000000000" w:firstRow="0" w:lastRow="0" w:firstColumn="1" w:lastColumn="0" w:oddVBand="0" w:evenVBand="0" w:oddHBand="0" w:evenHBand="0" w:firstRowFirstColumn="0" w:firstRowLastColumn="0" w:lastRowFirstColumn="0" w:lastRowLastColumn="0"/>
            <w:tcW w:w="0" w:type="auto"/>
            <w:textDirection w:val="tbRl"/>
            <w:vAlign w:val="center"/>
          </w:tcPr>
          <w:p w14:paraId="2803F549" w14:textId="77777777" w:rsidR="006B5342" w:rsidRPr="002D3BB7" w:rsidRDefault="006B5342" w:rsidP="006B5342">
            <w:pPr>
              <w:pStyle w:val="Contenudetableau"/>
              <w:ind w:left="113" w:right="113"/>
              <w:jc w:val="center"/>
              <w:rPr>
                <w:rFonts w:ascii="Calibri" w:hAnsi="Calibri"/>
                <w:b w:val="0"/>
                <w:color w:val="000000"/>
                <w:sz w:val="18"/>
                <w:szCs w:val="18"/>
              </w:rPr>
            </w:pPr>
            <w:r w:rsidRPr="002D3BB7">
              <w:rPr>
                <w:rFonts w:ascii="Calibri" w:hAnsi="Calibri"/>
                <w:b w:val="0"/>
                <w:color w:val="000000"/>
                <w:sz w:val="18"/>
                <w:szCs w:val="18"/>
              </w:rPr>
              <w:t>Commodity (group)</w:t>
            </w:r>
          </w:p>
        </w:tc>
        <w:tc>
          <w:tcPr>
            <w:tcW w:w="0" w:type="auto"/>
            <w:textDirection w:val="tbRl"/>
            <w:vAlign w:val="center"/>
          </w:tcPr>
          <w:p w14:paraId="3AE5BA0D" w14:textId="38E2D74E" w:rsidR="006B5342" w:rsidRPr="002D3BB7" w:rsidRDefault="006B5342" w:rsidP="006B5342">
            <w:pPr>
              <w:pStyle w:val="Contenudetableau"/>
              <w:ind w:left="113" w:right="113"/>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18"/>
                <w:szCs w:val="18"/>
              </w:rPr>
            </w:pPr>
            <w:r w:rsidRPr="002D3BB7">
              <w:rPr>
                <w:rFonts w:ascii="Calibri" w:hAnsi="Calibri"/>
                <w:color w:val="000000"/>
                <w:sz w:val="18"/>
                <w:szCs w:val="18"/>
              </w:rPr>
              <w:t>Last 10 years trend, global (FAOSTAT</w:t>
            </w:r>
            <w:r w:rsidRPr="002D3BB7">
              <w:rPr>
                <w:rFonts w:ascii="Calibri" w:hAnsi="Calibri"/>
                <w:color w:val="000000"/>
                <w:sz w:val="18"/>
                <w:szCs w:val="18"/>
              </w:rPr>
              <w:fldChar w:fldCharType="begin"/>
            </w:r>
            <w:r>
              <w:rPr>
                <w:rFonts w:ascii="Calibri" w:hAnsi="Calibri"/>
                <w:color w:val="000000"/>
                <w:sz w:val="18"/>
                <w:szCs w:val="18"/>
              </w:rPr>
              <w:instrText xml:space="preserve"> ADDIN ZOTERO_ITEM CSL_CITATION {"citationID":"XqPOh0B2","properties":{"formattedCitation":"\\super 54\\nosupersub{}","plainCitation":"54","noteIndex":0},"citationItems":[{"id":2213,"uris":["http://zotero.org/users/6423791/items/CDP7ZBVY"],"itemData":{"id":2213,"type":"webpage","title":"FAOSTAT","URL":"http://www.fao.org/faostat/en/","author":[{"literal":"FAO"}],"accessed":{"date-parts":[["2021",10,28]]},"issued":{"date-parts":[["2019"]]}}}],"schema":"https://github.com/citation-style-language/schema/raw/master/csl-citation.json"} </w:instrText>
            </w:r>
            <w:r w:rsidRPr="002D3BB7">
              <w:rPr>
                <w:rFonts w:ascii="Calibri" w:hAnsi="Calibri"/>
                <w:color w:val="000000"/>
                <w:sz w:val="18"/>
                <w:szCs w:val="18"/>
              </w:rPr>
              <w:fldChar w:fldCharType="separate"/>
            </w:r>
            <w:r w:rsidRPr="008C451C">
              <w:rPr>
                <w:rFonts w:ascii="Calibri" w:hAnsi="Calibri" w:cs="Calibri"/>
                <w:sz w:val="18"/>
                <w:szCs w:val="24"/>
                <w:vertAlign w:val="superscript"/>
              </w:rPr>
              <w:t>54</w:t>
            </w:r>
            <w:r w:rsidRPr="002D3BB7">
              <w:rPr>
                <w:rFonts w:ascii="Calibri" w:hAnsi="Calibri"/>
                <w:color w:val="000000"/>
                <w:sz w:val="18"/>
                <w:szCs w:val="18"/>
              </w:rPr>
              <w:fldChar w:fldCharType="end"/>
            </w:r>
            <w:r w:rsidRPr="002D3BB7">
              <w:rPr>
                <w:rFonts w:ascii="Calibri" w:hAnsi="Calibri"/>
                <w:color w:val="000000"/>
                <w:sz w:val="18"/>
                <w:szCs w:val="18"/>
              </w:rPr>
              <w:t>)</w:t>
            </w:r>
          </w:p>
        </w:tc>
        <w:tc>
          <w:tcPr>
            <w:tcW w:w="0" w:type="auto"/>
            <w:textDirection w:val="tbRl"/>
            <w:vAlign w:val="center"/>
          </w:tcPr>
          <w:p w14:paraId="1A1F57F8" w14:textId="30AEB42A" w:rsidR="006B5342" w:rsidRPr="002D3BB7" w:rsidRDefault="006B5342" w:rsidP="006B5342">
            <w:pPr>
              <w:pStyle w:val="Contenudetableau"/>
              <w:ind w:left="113" w:right="113"/>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18"/>
                <w:szCs w:val="18"/>
              </w:rPr>
            </w:pPr>
            <w:r>
              <w:rPr>
                <w:rFonts w:ascii="Calibri" w:hAnsi="Calibri"/>
                <w:color w:val="000000"/>
                <w:sz w:val="18"/>
                <w:szCs w:val="18"/>
              </w:rPr>
              <w:t>Corrected share</w:t>
            </w:r>
          </w:p>
        </w:tc>
        <w:tc>
          <w:tcPr>
            <w:tcW w:w="0" w:type="auto"/>
            <w:textDirection w:val="tbRl"/>
            <w:vAlign w:val="center"/>
          </w:tcPr>
          <w:p w14:paraId="3F7E975E" w14:textId="77777777" w:rsidR="006B5342" w:rsidRPr="002D3BB7" w:rsidRDefault="006B5342" w:rsidP="006B5342">
            <w:pPr>
              <w:pStyle w:val="Contenudetableau"/>
              <w:ind w:left="113" w:right="113"/>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18"/>
                <w:szCs w:val="18"/>
              </w:rPr>
            </w:pPr>
            <w:r w:rsidRPr="002D3BB7">
              <w:rPr>
                <w:rFonts w:ascii="Calibri" w:hAnsi="Calibri"/>
                <w:color w:val="000000"/>
                <w:sz w:val="18"/>
                <w:szCs w:val="18"/>
              </w:rPr>
              <w:t>Commodity (group)</w:t>
            </w:r>
          </w:p>
        </w:tc>
        <w:tc>
          <w:tcPr>
            <w:tcW w:w="0" w:type="auto"/>
            <w:textDirection w:val="tbRl"/>
            <w:vAlign w:val="center"/>
          </w:tcPr>
          <w:p w14:paraId="7681B58E" w14:textId="36888BAC" w:rsidR="006B5342" w:rsidRPr="002D3BB7" w:rsidRDefault="006B5342" w:rsidP="006B5342">
            <w:pPr>
              <w:pStyle w:val="Contenudetableau"/>
              <w:ind w:left="113" w:right="113"/>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18"/>
                <w:szCs w:val="18"/>
              </w:rPr>
            </w:pPr>
            <w:r w:rsidRPr="002D3BB7">
              <w:rPr>
                <w:rFonts w:ascii="Calibri" w:hAnsi="Calibri"/>
                <w:color w:val="000000"/>
                <w:sz w:val="18"/>
                <w:szCs w:val="18"/>
              </w:rPr>
              <w:t>Last 10 years trend, global (FAOSTAT</w:t>
            </w:r>
            <w:r w:rsidRPr="002D3BB7">
              <w:rPr>
                <w:rFonts w:ascii="Calibri" w:hAnsi="Calibri"/>
                <w:color w:val="000000"/>
                <w:sz w:val="18"/>
                <w:szCs w:val="18"/>
              </w:rPr>
              <w:fldChar w:fldCharType="begin"/>
            </w:r>
            <w:r>
              <w:rPr>
                <w:rFonts w:ascii="Calibri" w:hAnsi="Calibri"/>
                <w:color w:val="000000"/>
                <w:sz w:val="18"/>
                <w:szCs w:val="18"/>
              </w:rPr>
              <w:instrText xml:space="preserve"> ADDIN ZOTERO_ITEM CSL_CITATION {"citationID":"kyOvq8WP","properties":{"formattedCitation":"\\super 54\\nosupersub{}","plainCitation":"54","noteIndex":0},"citationItems":[{"id":2213,"uris":["http://zotero.org/users/6423791/items/CDP7ZBVY"],"itemData":{"id":2213,"type":"webpage","title":"FAOSTAT","URL":"http://www.fao.org/faostat/en/","author":[{"literal":"FAO"}],"accessed":{"date-parts":[["2021",10,28]]},"issued":{"date-parts":[["2019"]]}}}],"schema":"https://github.com/citation-style-language/schema/raw/master/csl-citation.json"} </w:instrText>
            </w:r>
            <w:r w:rsidRPr="002D3BB7">
              <w:rPr>
                <w:rFonts w:ascii="Calibri" w:hAnsi="Calibri"/>
                <w:color w:val="000000"/>
                <w:sz w:val="18"/>
                <w:szCs w:val="18"/>
              </w:rPr>
              <w:fldChar w:fldCharType="separate"/>
            </w:r>
            <w:r w:rsidRPr="008C451C">
              <w:rPr>
                <w:rFonts w:ascii="Calibri" w:hAnsi="Calibri" w:cs="Calibri"/>
                <w:sz w:val="18"/>
                <w:szCs w:val="24"/>
                <w:vertAlign w:val="superscript"/>
              </w:rPr>
              <w:t>54</w:t>
            </w:r>
            <w:r w:rsidRPr="002D3BB7">
              <w:rPr>
                <w:rFonts w:ascii="Calibri" w:hAnsi="Calibri"/>
                <w:color w:val="000000"/>
                <w:sz w:val="18"/>
                <w:szCs w:val="18"/>
              </w:rPr>
              <w:fldChar w:fldCharType="end"/>
            </w:r>
            <w:r w:rsidRPr="002D3BB7">
              <w:rPr>
                <w:rFonts w:ascii="Calibri" w:hAnsi="Calibri"/>
                <w:color w:val="000000"/>
                <w:sz w:val="18"/>
                <w:szCs w:val="18"/>
              </w:rPr>
              <w:t>)</w:t>
            </w:r>
          </w:p>
        </w:tc>
        <w:tc>
          <w:tcPr>
            <w:tcW w:w="0" w:type="auto"/>
            <w:textDirection w:val="tbRl"/>
            <w:vAlign w:val="center"/>
          </w:tcPr>
          <w:p w14:paraId="691F0291" w14:textId="223B1CD0" w:rsidR="006B5342" w:rsidRPr="002D3BB7" w:rsidRDefault="006B5342" w:rsidP="006B5342">
            <w:pPr>
              <w:pStyle w:val="Contenudetableau"/>
              <w:ind w:left="113" w:right="113"/>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18"/>
                <w:szCs w:val="18"/>
              </w:rPr>
            </w:pPr>
            <w:r>
              <w:rPr>
                <w:rFonts w:ascii="Calibri" w:hAnsi="Calibri"/>
                <w:color w:val="000000"/>
                <w:sz w:val="18"/>
                <w:szCs w:val="18"/>
              </w:rPr>
              <w:t>Corrected share</w:t>
            </w:r>
          </w:p>
        </w:tc>
        <w:tc>
          <w:tcPr>
            <w:tcW w:w="0" w:type="auto"/>
            <w:textDirection w:val="tbRl"/>
            <w:vAlign w:val="center"/>
          </w:tcPr>
          <w:p w14:paraId="65B269C9" w14:textId="77777777" w:rsidR="006B5342" w:rsidRPr="002D3BB7" w:rsidRDefault="006B5342" w:rsidP="006B5342">
            <w:pPr>
              <w:pStyle w:val="Contenudetableau"/>
              <w:ind w:left="113" w:right="113"/>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18"/>
                <w:szCs w:val="18"/>
              </w:rPr>
            </w:pPr>
            <w:r w:rsidRPr="002D3BB7">
              <w:rPr>
                <w:rFonts w:ascii="Calibri" w:hAnsi="Calibri"/>
                <w:color w:val="000000"/>
                <w:sz w:val="18"/>
                <w:szCs w:val="18"/>
              </w:rPr>
              <w:t>Commodity (group)</w:t>
            </w:r>
          </w:p>
        </w:tc>
        <w:tc>
          <w:tcPr>
            <w:tcW w:w="0" w:type="auto"/>
            <w:textDirection w:val="tbRl"/>
            <w:vAlign w:val="center"/>
          </w:tcPr>
          <w:p w14:paraId="0891408E" w14:textId="40EDE3BC" w:rsidR="006B5342" w:rsidRPr="002D3BB7" w:rsidRDefault="006B5342" w:rsidP="006B5342">
            <w:pPr>
              <w:pStyle w:val="Contenudetableau"/>
              <w:ind w:left="113" w:right="113"/>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18"/>
                <w:szCs w:val="18"/>
              </w:rPr>
            </w:pPr>
            <w:r w:rsidRPr="002D3BB7">
              <w:rPr>
                <w:rFonts w:ascii="Calibri" w:hAnsi="Calibri"/>
                <w:color w:val="000000"/>
                <w:sz w:val="18"/>
                <w:szCs w:val="18"/>
              </w:rPr>
              <w:t>Last 10 years trend, global (FAOSTAT</w:t>
            </w:r>
            <w:r w:rsidRPr="002D3BB7">
              <w:rPr>
                <w:rFonts w:ascii="Calibri" w:hAnsi="Calibri"/>
                <w:color w:val="000000"/>
                <w:sz w:val="18"/>
                <w:szCs w:val="18"/>
              </w:rPr>
              <w:fldChar w:fldCharType="begin"/>
            </w:r>
            <w:r>
              <w:rPr>
                <w:rFonts w:ascii="Calibri" w:hAnsi="Calibri"/>
                <w:color w:val="000000"/>
                <w:sz w:val="18"/>
                <w:szCs w:val="18"/>
              </w:rPr>
              <w:instrText xml:space="preserve"> ADDIN ZOTERO_ITEM CSL_CITATION {"citationID":"TUngbmmL","properties":{"formattedCitation":"\\super 54\\nosupersub{}","plainCitation":"54","noteIndex":0},"citationItems":[{"id":2213,"uris":["http://zotero.org/users/6423791/items/CDP7ZBVY"],"itemData":{"id":2213,"type":"webpage","title":"FAOSTAT","URL":"http://www.fao.org/faostat/en/","author":[{"literal":"FAO"}],"accessed":{"date-parts":[["2021",10,28]]},"issued":{"date-parts":[["2019"]]}}}],"schema":"https://github.com/citation-style-language/schema/raw/master/csl-citation.json"} </w:instrText>
            </w:r>
            <w:r w:rsidRPr="002D3BB7">
              <w:rPr>
                <w:rFonts w:ascii="Calibri" w:hAnsi="Calibri"/>
                <w:color w:val="000000"/>
                <w:sz w:val="18"/>
                <w:szCs w:val="18"/>
              </w:rPr>
              <w:fldChar w:fldCharType="separate"/>
            </w:r>
            <w:r w:rsidRPr="008C451C">
              <w:rPr>
                <w:rFonts w:ascii="Calibri" w:hAnsi="Calibri" w:cs="Calibri"/>
                <w:sz w:val="18"/>
                <w:szCs w:val="24"/>
                <w:vertAlign w:val="superscript"/>
              </w:rPr>
              <w:t>54</w:t>
            </w:r>
            <w:r w:rsidRPr="002D3BB7">
              <w:rPr>
                <w:rFonts w:ascii="Calibri" w:hAnsi="Calibri"/>
                <w:color w:val="000000"/>
                <w:sz w:val="18"/>
                <w:szCs w:val="18"/>
              </w:rPr>
              <w:fldChar w:fldCharType="end"/>
            </w:r>
            <w:r w:rsidRPr="002D3BB7">
              <w:rPr>
                <w:rFonts w:ascii="Calibri" w:hAnsi="Calibri"/>
                <w:color w:val="000000"/>
                <w:sz w:val="18"/>
                <w:szCs w:val="18"/>
              </w:rPr>
              <w:t>)</w:t>
            </w:r>
          </w:p>
        </w:tc>
        <w:tc>
          <w:tcPr>
            <w:tcW w:w="0" w:type="auto"/>
            <w:textDirection w:val="tbRl"/>
            <w:vAlign w:val="center"/>
          </w:tcPr>
          <w:p w14:paraId="476636B7" w14:textId="088397A7" w:rsidR="006B5342" w:rsidRPr="002D3BB7" w:rsidRDefault="006B5342" w:rsidP="006B5342">
            <w:pPr>
              <w:pStyle w:val="Contenudetableau"/>
              <w:ind w:left="113" w:right="113"/>
              <w:jc w:val="center"/>
              <w:cnfStyle w:val="000000100000" w:firstRow="0" w:lastRow="0" w:firstColumn="0" w:lastColumn="0" w:oddVBand="0" w:evenVBand="0" w:oddHBand="1" w:evenHBand="0" w:firstRowFirstColumn="0" w:firstRowLastColumn="0" w:lastRowFirstColumn="0" w:lastRowLastColumn="0"/>
              <w:rPr>
                <w:rFonts w:ascii="Calibri" w:hAnsi="Calibri"/>
                <w:color w:val="000000"/>
                <w:sz w:val="18"/>
                <w:szCs w:val="18"/>
              </w:rPr>
            </w:pPr>
            <w:r>
              <w:rPr>
                <w:rFonts w:ascii="Calibri" w:hAnsi="Calibri"/>
                <w:color w:val="000000"/>
                <w:sz w:val="18"/>
                <w:szCs w:val="18"/>
              </w:rPr>
              <w:t>Corrected share</w:t>
            </w:r>
          </w:p>
        </w:tc>
      </w:tr>
      <w:tr w:rsidR="006B5342" w:rsidRPr="002D3BB7" w14:paraId="6ADFA042" w14:textId="77777777" w:rsidTr="002D3BB7">
        <w:tc>
          <w:tcPr>
            <w:cnfStyle w:val="001000000000" w:firstRow="0" w:lastRow="0" w:firstColumn="1" w:lastColumn="0" w:oddVBand="0" w:evenVBand="0" w:oddHBand="0" w:evenHBand="0" w:firstRowFirstColumn="0" w:firstRowLastColumn="0" w:lastRowFirstColumn="0" w:lastRowLastColumn="0"/>
            <w:tcW w:w="0" w:type="auto"/>
          </w:tcPr>
          <w:p w14:paraId="43AFBEC7" w14:textId="77777777" w:rsidR="006B5342" w:rsidRPr="002D3BB7" w:rsidRDefault="006B5342" w:rsidP="006B5342">
            <w:pPr>
              <w:pStyle w:val="Contenudetableau"/>
              <w:jc w:val="right"/>
              <w:rPr>
                <w:sz w:val="18"/>
                <w:szCs w:val="18"/>
              </w:rPr>
            </w:pPr>
            <w:r w:rsidRPr="002D3BB7">
              <w:rPr>
                <w:sz w:val="18"/>
                <w:szCs w:val="18"/>
              </w:rPr>
              <w:t>Soybean</w:t>
            </w:r>
          </w:p>
        </w:tc>
        <w:tc>
          <w:tcPr>
            <w:tcW w:w="0" w:type="auto"/>
          </w:tcPr>
          <w:p w14:paraId="4836B727" w14:textId="77777777" w:rsidR="006B5342" w:rsidRPr="002D3BB7" w:rsidRDefault="006B5342" w:rsidP="006B5342">
            <w:pPr>
              <w:pStyle w:val="Contenudetableau"/>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0%</w:t>
            </w:r>
          </w:p>
        </w:tc>
        <w:tc>
          <w:tcPr>
            <w:tcW w:w="0" w:type="auto"/>
          </w:tcPr>
          <w:p w14:paraId="761D2B5B" w14:textId="77777777" w:rsidR="006B5342" w:rsidRPr="002D3BB7" w:rsidRDefault="006B5342" w:rsidP="006B5342">
            <w:pPr>
              <w:pStyle w:val="Contenudetableau"/>
              <w:cnfStyle w:val="000000000000" w:firstRow="0" w:lastRow="0" w:firstColumn="0" w:lastColumn="0" w:oddVBand="0" w:evenVBand="0" w:oddHBand="0" w:evenHBand="0" w:firstRowFirstColumn="0" w:firstRowLastColumn="0" w:lastRowFirstColumn="0" w:lastRowLastColumn="0"/>
              <w:rPr>
                <w:b/>
                <w:sz w:val="18"/>
                <w:szCs w:val="18"/>
              </w:rPr>
            </w:pPr>
            <w:r w:rsidRPr="002D3BB7">
              <w:rPr>
                <w:b/>
                <w:sz w:val="18"/>
                <w:szCs w:val="18"/>
              </w:rPr>
              <w:t>0%</w:t>
            </w:r>
          </w:p>
        </w:tc>
        <w:tc>
          <w:tcPr>
            <w:tcW w:w="0" w:type="auto"/>
          </w:tcPr>
          <w:p w14:paraId="58153A3E" w14:textId="77777777" w:rsidR="006B5342" w:rsidRPr="002D3BB7" w:rsidRDefault="006B5342" w:rsidP="006B5342">
            <w:pPr>
              <w:pStyle w:val="Contenudetableau"/>
              <w:jc w:val="right"/>
              <w:cnfStyle w:val="000000000000" w:firstRow="0" w:lastRow="0" w:firstColumn="0" w:lastColumn="0" w:oddVBand="0" w:evenVBand="0" w:oddHBand="0" w:evenHBand="0" w:firstRowFirstColumn="0" w:firstRowLastColumn="0" w:lastRowFirstColumn="0" w:lastRowLastColumn="0"/>
              <w:rPr>
                <w:b/>
                <w:sz w:val="18"/>
                <w:szCs w:val="18"/>
              </w:rPr>
            </w:pPr>
            <w:r w:rsidRPr="002D3BB7">
              <w:rPr>
                <w:b/>
                <w:sz w:val="18"/>
                <w:szCs w:val="18"/>
              </w:rPr>
              <w:t>Wheat</w:t>
            </w:r>
          </w:p>
        </w:tc>
        <w:tc>
          <w:tcPr>
            <w:tcW w:w="0" w:type="auto"/>
          </w:tcPr>
          <w:p w14:paraId="416843DA" w14:textId="77777777" w:rsidR="006B5342" w:rsidRPr="002D3BB7" w:rsidRDefault="006B5342" w:rsidP="006B5342">
            <w:pPr>
              <w:pStyle w:val="Contenudetableau"/>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24%</w:t>
            </w:r>
          </w:p>
        </w:tc>
        <w:tc>
          <w:tcPr>
            <w:tcW w:w="0" w:type="auto"/>
          </w:tcPr>
          <w:p w14:paraId="57FFC82D" w14:textId="77777777" w:rsidR="006B5342" w:rsidRPr="002D3BB7" w:rsidRDefault="006B5342" w:rsidP="006B5342">
            <w:pPr>
              <w:pStyle w:val="Contenudetableau"/>
              <w:cnfStyle w:val="000000000000" w:firstRow="0" w:lastRow="0" w:firstColumn="0" w:lastColumn="0" w:oddVBand="0" w:evenVBand="0" w:oddHBand="0" w:evenHBand="0" w:firstRowFirstColumn="0" w:firstRowLastColumn="0" w:lastRowFirstColumn="0" w:lastRowLastColumn="0"/>
              <w:rPr>
                <w:b/>
                <w:sz w:val="18"/>
                <w:szCs w:val="18"/>
              </w:rPr>
            </w:pPr>
            <w:r w:rsidRPr="002D3BB7">
              <w:rPr>
                <w:b/>
                <w:sz w:val="18"/>
                <w:szCs w:val="18"/>
              </w:rPr>
              <w:t>24%</w:t>
            </w:r>
          </w:p>
        </w:tc>
        <w:tc>
          <w:tcPr>
            <w:tcW w:w="0" w:type="auto"/>
          </w:tcPr>
          <w:p w14:paraId="0AAF5937" w14:textId="77777777" w:rsidR="006B5342" w:rsidRPr="002D3BB7" w:rsidRDefault="006B5342" w:rsidP="006B5342">
            <w:pPr>
              <w:pStyle w:val="Contenudetableau"/>
              <w:jc w:val="right"/>
              <w:cnfStyle w:val="000000000000" w:firstRow="0" w:lastRow="0" w:firstColumn="0" w:lastColumn="0" w:oddVBand="0" w:evenVBand="0" w:oddHBand="0" w:evenHBand="0" w:firstRowFirstColumn="0" w:firstRowLastColumn="0" w:lastRowFirstColumn="0" w:lastRowLastColumn="0"/>
              <w:rPr>
                <w:b/>
                <w:sz w:val="18"/>
                <w:szCs w:val="18"/>
              </w:rPr>
            </w:pPr>
            <w:r w:rsidRPr="002D3BB7">
              <w:rPr>
                <w:b/>
                <w:sz w:val="18"/>
                <w:szCs w:val="18"/>
              </w:rPr>
              <w:t>Palm oil</w:t>
            </w:r>
          </w:p>
        </w:tc>
        <w:tc>
          <w:tcPr>
            <w:tcW w:w="0" w:type="auto"/>
          </w:tcPr>
          <w:p w14:paraId="03FE57EB" w14:textId="77777777" w:rsidR="006B5342" w:rsidRPr="002D3BB7" w:rsidRDefault="006B5342" w:rsidP="006B5342">
            <w:pPr>
              <w:pStyle w:val="Contenudetableau"/>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50%</w:t>
            </w:r>
          </w:p>
        </w:tc>
        <w:tc>
          <w:tcPr>
            <w:tcW w:w="0" w:type="auto"/>
          </w:tcPr>
          <w:p w14:paraId="4F7F8A0B" w14:textId="77777777" w:rsidR="006B5342" w:rsidRPr="002D3BB7" w:rsidRDefault="006B5342" w:rsidP="006B5342">
            <w:pPr>
              <w:pStyle w:val="Contenudetableau"/>
              <w:cnfStyle w:val="000000000000" w:firstRow="0" w:lastRow="0" w:firstColumn="0" w:lastColumn="0" w:oddVBand="0" w:evenVBand="0" w:oddHBand="0" w:evenHBand="0" w:firstRowFirstColumn="0" w:firstRowLastColumn="0" w:lastRowFirstColumn="0" w:lastRowLastColumn="0"/>
              <w:rPr>
                <w:b/>
                <w:sz w:val="18"/>
                <w:szCs w:val="18"/>
              </w:rPr>
            </w:pPr>
            <w:r w:rsidRPr="002D3BB7">
              <w:rPr>
                <w:b/>
                <w:sz w:val="18"/>
                <w:szCs w:val="18"/>
              </w:rPr>
              <w:t>50%</w:t>
            </w:r>
          </w:p>
        </w:tc>
      </w:tr>
      <w:tr w:rsidR="006B5342" w:rsidRPr="002D3BB7" w14:paraId="7BC524F5" w14:textId="77777777" w:rsidTr="002D3B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0140322" w14:textId="77777777" w:rsidR="006B5342" w:rsidRPr="002D3BB7" w:rsidRDefault="006B5342" w:rsidP="006B5342">
            <w:pPr>
              <w:pStyle w:val="Contenudetableau"/>
              <w:jc w:val="right"/>
              <w:rPr>
                <w:sz w:val="18"/>
                <w:szCs w:val="18"/>
              </w:rPr>
            </w:pPr>
            <w:r w:rsidRPr="002D3BB7">
              <w:rPr>
                <w:sz w:val="18"/>
                <w:szCs w:val="18"/>
              </w:rPr>
              <w:t>Soybean meal</w:t>
            </w:r>
          </w:p>
        </w:tc>
        <w:tc>
          <w:tcPr>
            <w:tcW w:w="0" w:type="auto"/>
          </w:tcPr>
          <w:p w14:paraId="3AC8EC45" w14:textId="77777777" w:rsidR="006B5342" w:rsidRPr="002D3BB7" w:rsidRDefault="006B5342" w:rsidP="006B5342">
            <w:pPr>
              <w:pStyle w:val="Contenudetableau"/>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52%</w:t>
            </w:r>
          </w:p>
        </w:tc>
        <w:tc>
          <w:tcPr>
            <w:tcW w:w="0" w:type="auto"/>
          </w:tcPr>
          <w:p w14:paraId="491CE064" w14:textId="77777777" w:rsidR="006B5342" w:rsidRPr="002D3BB7" w:rsidRDefault="006B5342" w:rsidP="006B5342">
            <w:pPr>
              <w:pStyle w:val="Contenudetableau"/>
              <w:cnfStyle w:val="000000100000" w:firstRow="0" w:lastRow="0" w:firstColumn="0" w:lastColumn="0" w:oddVBand="0" w:evenVBand="0" w:oddHBand="1" w:evenHBand="0" w:firstRowFirstColumn="0" w:firstRowLastColumn="0" w:lastRowFirstColumn="0" w:lastRowLastColumn="0"/>
              <w:rPr>
                <w:b/>
                <w:sz w:val="18"/>
                <w:szCs w:val="18"/>
              </w:rPr>
            </w:pPr>
            <w:r w:rsidRPr="002D3BB7">
              <w:rPr>
                <w:b/>
                <w:sz w:val="18"/>
                <w:szCs w:val="18"/>
              </w:rPr>
              <w:t>52%</w:t>
            </w:r>
          </w:p>
        </w:tc>
        <w:tc>
          <w:tcPr>
            <w:tcW w:w="0" w:type="auto"/>
          </w:tcPr>
          <w:p w14:paraId="73D9478C" w14:textId="77777777" w:rsidR="006B5342" w:rsidRPr="002D3BB7" w:rsidRDefault="006B5342" w:rsidP="006B5342">
            <w:pPr>
              <w:pStyle w:val="Contenudetableau"/>
              <w:jc w:val="right"/>
              <w:cnfStyle w:val="000000100000" w:firstRow="0" w:lastRow="0" w:firstColumn="0" w:lastColumn="0" w:oddVBand="0" w:evenVBand="0" w:oddHBand="1" w:evenHBand="0" w:firstRowFirstColumn="0" w:firstRowLastColumn="0" w:lastRowFirstColumn="0" w:lastRowLastColumn="0"/>
              <w:rPr>
                <w:b/>
                <w:sz w:val="18"/>
                <w:szCs w:val="18"/>
              </w:rPr>
            </w:pPr>
            <w:r w:rsidRPr="002D3BB7">
              <w:rPr>
                <w:b/>
                <w:sz w:val="18"/>
                <w:szCs w:val="18"/>
              </w:rPr>
              <w:t>Barley</w:t>
            </w:r>
          </w:p>
        </w:tc>
        <w:tc>
          <w:tcPr>
            <w:tcW w:w="0" w:type="auto"/>
          </w:tcPr>
          <w:p w14:paraId="719AC349" w14:textId="77777777" w:rsidR="006B5342" w:rsidRPr="002D3BB7" w:rsidRDefault="006B5342" w:rsidP="006B5342">
            <w:pPr>
              <w:pStyle w:val="Contenudetableau"/>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8%</w:t>
            </w:r>
          </w:p>
        </w:tc>
        <w:tc>
          <w:tcPr>
            <w:tcW w:w="0" w:type="auto"/>
          </w:tcPr>
          <w:p w14:paraId="5942CA6B" w14:textId="77777777" w:rsidR="006B5342" w:rsidRPr="002D3BB7" w:rsidRDefault="006B5342" w:rsidP="006B5342">
            <w:pPr>
              <w:pStyle w:val="Contenudetableau"/>
              <w:cnfStyle w:val="000000100000" w:firstRow="0" w:lastRow="0" w:firstColumn="0" w:lastColumn="0" w:oddVBand="0" w:evenVBand="0" w:oddHBand="1" w:evenHBand="0" w:firstRowFirstColumn="0" w:firstRowLastColumn="0" w:lastRowFirstColumn="0" w:lastRowLastColumn="0"/>
              <w:rPr>
                <w:b/>
                <w:sz w:val="18"/>
                <w:szCs w:val="18"/>
              </w:rPr>
            </w:pPr>
            <w:r w:rsidRPr="002D3BB7">
              <w:rPr>
                <w:b/>
                <w:sz w:val="18"/>
                <w:szCs w:val="18"/>
              </w:rPr>
              <w:t>9%</w:t>
            </w:r>
          </w:p>
        </w:tc>
        <w:tc>
          <w:tcPr>
            <w:tcW w:w="0" w:type="auto"/>
          </w:tcPr>
          <w:p w14:paraId="725C514C" w14:textId="77777777" w:rsidR="006B5342" w:rsidRPr="002D3BB7" w:rsidRDefault="006B5342" w:rsidP="006B5342">
            <w:pPr>
              <w:pStyle w:val="Contenudetableau"/>
              <w:jc w:val="right"/>
              <w:cnfStyle w:val="000000100000" w:firstRow="0" w:lastRow="0" w:firstColumn="0" w:lastColumn="0" w:oddVBand="0" w:evenVBand="0" w:oddHBand="1" w:evenHBand="0" w:firstRowFirstColumn="0" w:firstRowLastColumn="0" w:lastRowFirstColumn="0" w:lastRowLastColumn="0"/>
              <w:rPr>
                <w:b/>
                <w:sz w:val="18"/>
                <w:szCs w:val="18"/>
              </w:rPr>
            </w:pPr>
            <w:r w:rsidRPr="002D3BB7">
              <w:rPr>
                <w:b/>
                <w:sz w:val="18"/>
                <w:szCs w:val="18"/>
              </w:rPr>
              <w:t>Rapeseed oil</w:t>
            </w:r>
          </w:p>
        </w:tc>
        <w:tc>
          <w:tcPr>
            <w:tcW w:w="0" w:type="auto"/>
          </w:tcPr>
          <w:p w14:paraId="5AA7B610" w14:textId="77777777" w:rsidR="006B5342" w:rsidRPr="002D3BB7" w:rsidRDefault="006B5342" w:rsidP="006B5342">
            <w:pPr>
              <w:pStyle w:val="Contenudetableau"/>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2%</w:t>
            </w:r>
          </w:p>
        </w:tc>
        <w:tc>
          <w:tcPr>
            <w:tcW w:w="0" w:type="auto"/>
          </w:tcPr>
          <w:p w14:paraId="6F005B8D" w14:textId="77777777" w:rsidR="006B5342" w:rsidRPr="002D3BB7" w:rsidRDefault="006B5342" w:rsidP="006B5342">
            <w:pPr>
              <w:pStyle w:val="Contenudetableau"/>
              <w:cnfStyle w:val="000000100000" w:firstRow="0" w:lastRow="0" w:firstColumn="0" w:lastColumn="0" w:oddVBand="0" w:evenVBand="0" w:oddHBand="1" w:evenHBand="0" w:firstRowFirstColumn="0" w:firstRowLastColumn="0" w:lastRowFirstColumn="0" w:lastRowLastColumn="0"/>
              <w:rPr>
                <w:b/>
                <w:sz w:val="18"/>
                <w:szCs w:val="18"/>
              </w:rPr>
            </w:pPr>
            <w:r w:rsidRPr="002D3BB7">
              <w:rPr>
                <w:b/>
                <w:sz w:val="18"/>
                <w:szCs w:val="18"/>
              </w:rPr>
              <w:t>2%</w:t>
            </w:r>
          </w:p>
        </w:tc>
      </w:tr>
      <w:tr w:rsidR="006B5342" w:rsidRPr="002D3BB7" w14:paraId="6F05FA44" w14:textId="77777777" w:rsidTr="002D3BB7">
        <w:tc>
          <w:tcPr>
            <w:cnfStyle w:val="001000000000" w:firstRow="0" w:lastRow="0" w:firstColumn="1" w:lastColumn="0" w:oddVBand="0" w:evenVBand="0" w:oddHBand="0" w:evenHBand="0" w:firstRowFirstColumn="0" w:firstRowLastColumn="0" w:lastRowFirstColumn="0" w:lastRowLastColumn="0"/>
            <w:tcW w:w="0" w:type="auto"/>
          </w:tcPr>
          <w:p w14:paraId="5527CB35" w14:textId="77777777" w:rsidR="006B5342" w:rsidRPr="002D3BB7" w:rsidRDefault="006B5342" w:rsidP="006B5342">
            <w:pPr>
              <w:pStyle w:val="Contenudetableau"/>
              <w:jc w:val="right"/>
              <w:rPr>
                <w:sz w:val="18"/>
                <w:szCs w:val="18"/>
              </w:rPr>
            </w:pPr>
            <w:r w:rsidRPr="002D3BB7">
              <w:rPr>
                <w:sz w:val="18"/>
                <w:szCs w:val="18"/>
              </w:rPr>
              <w:t>Other oilseeds</w:t>
            </w:r>
          </w:p>
        </w:tc>
        <w:tc>
          <w:tcPr>
            <w:tcW w:w="0" w:type="auto"/>
          </w:tcPr>
          <w:p w14:paraId="72AB81FF" w14:textId="77777777" w:rsidR="006B5342" w:rsidRPr="002D3BB7" w:rsidRDefault="006B5342" w:rsidP="006B5342">
            <w:pPr>
              <w:pStyle w:val="Contenudetableau"/>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17%</w:t>
            </w:r>
          </w:p>
        </w:tc>
        <w:tc>
          <w:tcPr>
            <w:tcW w:w="0" w:type="auto"/>
          </w:tcPr>
          <w:p w14:paraId="38A71A5C" w14:textId="77777777" w:rsidR="006B5342" w:rsidRPr="002D3BB7" w:rsidRDefault="006B5342" w:rsidP="006B5342">
            <w:pPr>
              <w:pStyle w:val="Contenudetableau"/>
              <w:cnfStyle w:val="000000000000" w:firstRow="0" w:lastRow="0" w:firstColumn="0" w:lastColumn="0" w:oddVBand="0" w:evenVBand="0" w:oddHBand="0" w:evenHBand="0" w:firstRowFirstColumn="0" w:firstRowLastColumn="0" w:lastRowFirstColumn="0" w:lastRowLastColumn="0"/>
              <w:rPr>
                <w:b/>
                <w:sz w:val="18"/>
                <w:szCs w:val="18"/>
              </w:rPr>
            </w:pPr>
            <w:r w:rsidRPr="002D3BB7">
              <w:rPr>
                <w:b/>
                <w:sz w:val="18"/>
                <w:szCs w:val="18"/>
              </w:rPr>
              <w:t>0%</w:t>
            </w:r>
          </w:p>
        </w:tc>
        <w:tc>
          <w:tcPr>
            <w:tcW w:w="0" w:type="auto"/>
          </w:tcPr>
          <w:p w14:paraId="7DAB05AC" w14:textId="77777777" w:rsidR="006B5342" w:rsidRPr="002D3BB7" w:rsidRDefault="006B5342" w:rsidP="006B5342">
            <w:pPr>
              <w:pStyle w:val="Contenudetableau"/>
              <w:jc w:val="right"/>
              <w:cnfStyle w:val="000000000000" w:firstRow="0" w:lastRow="0" w:firstColumn="0" w:lastColumn="0" w:oddVBand="0" w:evenVBand="0" w:oddHBand="0" w:evenHBand="0" w:firstRowFirstColumn="0" w:firstRowLastColumn="0" w:lastRowFirstColumn="0" w:lastRowLastColumn="0"/>
              <w:rPr>
                <w:b/>
                <w:sz w:val="18"/>
                <w:szCs w:val="18"/>
              </w:rPr>
            </w:pPr>
            <w:r w:rsidRPr="002D3BB7">
              <w:rPr>
                <w:b/>
                <w:sz w:val="18"/>
                <w:szCs w:val="18"/>
              </w:rPr>
              <w:t>Durum</w:t>
            </w:r>
          </w:p>
        </w:tc>
        <w:tc>
          <w:tcPr>
            <w:tcW w:w="0" w:type="auto"/>
          </w:tcPr>
          <w:p w14:paraId="250597EA" w14:textId="77777777" w:rsidR="006B5342" w:rsidRPr="002D3BB7" w:rsidRDefault="006B5342" w:rsidP="006B5342">
            <w:pPr>
              <w:pStyle w:val="Contenudetableau"/>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0%</w:t>
            </w:r>
          </w:p>
        </w:tc>
        <w:tc>
          <w:tcPr>
            <w:tcW w:w="0" w:type="auto"/>
          </w:tcPr>
          <w:p w14:paraId="62A1AC5F" w14:textId="77777777" w:rsidR="006B5342" w:rsidRPr="002D3BB7" w:rsidRDefault="006B5342" w:rsidP="006B5342">
            <w:pPr>
              <w:pStyle w:val="Contenudetableau"/>
              <w:cnfStyle w:val="000000000000" w:firstRow="0" w:lastRow="0" w:firstColumn="0" w:lastColumn="0" w:oddVBand="0" w:evenVBand="0" w:oddHBand="0" w:evenHBand="0" w:firstRowFirstColumn="0" w:firstRowLastColumn="0" w:lastRowFirstColumn="0" w:lastRowLastColumn="0"/>
              <w:rPr>
                <w:b/>
                <w:sz w:val="18"/>
                <w:szCs w:val="18"/>
              </w:rPr>
            </w:pPr>
            <w:r w:rsidRPr="002D3BB7">
              <w:rPr>
                <w:b/>
                <w:sz w:val="18"/>
                <w:szCs w:val="18"/>
              </w:rPr>
              <w:t>0%</w:t>
            </w:r>
          </w:p>
        </w:tc>
        <w:tc>
          <w:tcPr>
            <w:tcW w:w="0" w:type="auto"/>
          </w:tcPr>
          <w:p w14:paraId="6F5E9379" w14:textId="77777777" w:rsidR="006B5342" w:rsidRPr="002D3BB7" w:rsidRDefault="006B5342" w:rsidP="006B5342">
            <w:pPr>
              <w:pStyle w:val="Contenudetableau"/>
              <w:jc w:val="right"/>
              <w:cnfStyle w:val="000000000000" w:firstRow="0" w:lastRow="0" w:firstColumn="0" w:lastColumn="0" w:oddVBand="0" w:evenVBand="0" w:oddHBand="0" w:evenHBand="0" w:firstRowFirstColumn="0" w:firstRowLastColumn="0" w:lastRowFirstColumn="0" w:lastRowLastColumn="0"/>
              <w:rPr>
                <w:b/>
                <w:sz w:val="18"/>
                <w:szCs w:val="18"/>
              </w:rPr>
            </w:pPr>
            <w:r w:rsidRPr="002D3BB7">
              <w:rPr>
                <w:b/>
                <w:sz w:val="18"/>
                <w:szCs w:val="18"/>
              </w:rPr>
              <w:t>Soybean oil</w:t>
            </w:r>
          </w:p>
        </w:tc>
        <w:tc>
          <w:tcPr>
            <w:tcW w:w="0" w:type="auto"/>
          </w:tcPr>
          <w:p w14:paraId="1A4C766E" w14:textId="77777777" w:rsidR="006B5342" w:rsidRPr="002D3BB7" w:rsidRDefault="006B5342" w:rsidP="006B5342">
            <w:pPr>
              <w:pStyle w:val="Contenudetableau"/>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34%</w:t>
            </w:r>
          </w:p>
        </w:tc>
        <w:tc>
          <w:tcPr>
            <w:tcW w:w="0" w:type="auto"/>
          </w:tcPr>
          <w:p w14:paraId="02681BFA" w14:textId="77777777" w:rsidR="006B5342" w:rsidRPr="002D3BB7" w:rsidRDefault="006B5342" w:rsidP="006B5342">
            <w:pPr>
              <w:pStyle w:val="Contenudetableau"/>
              <w:cnfStyle w:val="000000000000" w:firstRow="0" w:lastRow="0" w:firstColumn="0" w:lastColumn="0" w:oddVBand="0" w:evenVBand="0" w:oddHBand="0" w:evenHBand="0" w:firstRowFirstColumn="0" w:firstRowLastColumn="0" w:lastRowFirstColumn="0" w:lastRowLastColumn="0"/>
              <w:rPr>
                <w:b/>
                <w:sz w:val="18"/>
                <w:szCs w:val="18"/>
              </w:rPr>
            </w:pPr>
            <w:r w:rsidRPr="002D3BB7">
              <w:rPr>
                <w:b/>
                <w:sz w:val="18"/>
                <w:szCs w:val="18"/>
              </w:rPr>
              <w:t>34%</w:t>
            </w:r>
          </w:p>
        </w:tc>
      </w:tr>
      <w:tr w:rsidR="006B5342" w:rsidRPr="002D3BB7" w14:paraId="1FDCC806" w14:textId="77777777" w:rsidTr="002D3B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35F089A" w14:textId="77777777" w:rsidR="006B5342" w:rsidRPr="002D3BB7" w:rsidRDefault="006B5342" w:rsidP="006B5342">
            <w:pPr>
              <w:pStyle w:val="Contenudetableau"/>
              <w:jc w:val="right"/>
              <w:rPr>
                <w:sz w:val="18"/>
                <w:szCs w:val="18"/>
              </w:rPr>
            </w:pPr>
            <w:r w:rsidRPr="002D3BB7">
              <w:rPr>
                <w:sz w:val="18"/>
                <w:szCs w:val="18"/>
              </w:rPr>
              <w:t>Rapeseed meal</w:t>
            </w:r>
          </w:p>
        </w:tc>
        <w:tc>
          <w:tcPr>
            <w:tcW w:w="0" w:type="auto"/>
          </w:tcPr>
          <w:p w14:paraId="7FD9DD20" w14:textId="77777777" w:rsidR="006B5342" w:rsidRPr="002D3BB7" w:rsidRDefault="006B5342" w:rsidP="006B5342">
            <w:pPr>
              <w:pStyle w:val="Contenudetableau"/>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7%</w:t>
            </w:r>
          </w:p>
        </w:tc>
        <w:tc>
          <w:tcPr>
            <w:tcW w:w="0" w:type="auto"/>
          </w:tcPr>
          <w:p w14:paraId="64050504" w14:textId="77777777" w:rsidR="006B5342" w:rsidRPr="002D3BB7" w:rsidRDefault="006B5342" w:rsidP="006B5342">
            <w:pPr>
              <w:pStyle w:val="Contenudetableau"/>
              <w:cnfStyle w:val="000000100000" w:firstRow="0" w:lastRow="0" w:firstColumn="0" w:lastColumn="0" w:oddVBand="0" w:evenVBand="0" w:oddHBand="1" w:evenHBand="0" w:firstRowFirstColumn="0" w:firstRowLastColumn="0" w:lastRowFirstColumn="0" w:lastRowLastColumn="0"/>
              <w:rPr>
                <w:b/>
                <w:sz w:val="18"/>
                <w:szCs w:val="18"/>
              </w:rPr>
            </w:pPr>
            <w:r w:rsidRPr="002D3BB7">
              <w:rPr>
                <w:b/>
                <w:sz w:val="18"/>
                <w:szCs w:val="18"/>
              </w:rPr>
              <w:t>24%</w:t>
            </w:r>
          </w:p>
        </w:tc>
        <w:tc>
          <w:tcPr>
            <w:tcW w:w="0" w:type="auto"/>
          </w:tcPr>
          <w:p w14:paraId="2F9E55FA" w14:textId="77777777" w:rsidR="006B5342" w:rsidRPr="002D3BB7" w:rsidRDefault="006B5342" w:rsidP="006B5342">
            <w:pPr>
              <w:pStyle w:val="Contenudetableau"/>
              <w:jc w:val="right"/>
              <w:cnfStyle w:val="000000100000" w:firstRow="0" w:lastRow="0" w:firstColumn="0" w:lastColumn="0" w:oddVBand="0" w:evenVBand="0" w:oddHBand="1" w:evenHBand="0" w:firstRowFirstColumn="0" w:firstRowLastColumn="0" w:lastRowFirstColumn="0" w:lastRowLastColumn="0"/>
              <w:rPr>
                <w:b/>
                <w:sz w:val="18"/>
                <w:szCs w:val="18"/>
              </w:rPr>
            </w:pPr>
            <w:r w:rsidRPr="002D3BB7">
              <w:rPr>
                <w:b/>
                <w:sz w:val="18"/>
                <w:szCs w:val="18"/>
              </w:rPr>
              <w:t>Maize</w:t>
            </w:r>
          </w:p>
        </w:tc>
        <w:tc>
          <w:tcPr>
            <w:tcW w:w="0" w:type="auto"/>
          </w:tcPr>
          <w:p w14:paraId="68552465" w14:textId="77777777" w:rsidR="006B5342" w:rsidRPr="002D3BB7" w:rsidRDefault="006B5342" w:rsidP="006B5342">
            <w:pPr>
              <w:pStyle w:val="Contenudetableau"/>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67%</w:t>
            </w:r>
          </w:p>
        </w:tc>
        <w:tc>
          <w:tcPr>
            <w:tcW w:w="0" w:type="auto"/>
          </w:tcPr>
          <w:p w14:paraId="256228F6" w14:textId="77777777" w:rsidR="006B5342" w:rsidRPr="002D3BB7" w:rsidRDefault="006B5342" w:rsidP="006B5342">
            <w:pPr>
              <w:pStyle w:val="Contenudetableau"/>
              <w:cnfStyle w:val="000000100000" w:firstRow="0" w:lastRow="0" w:firstColumn="0" w:lastColumn="0" w:oddVBand="0" w:evenVBand="0" w:oddHBand="1" w:evenHBand="0" w:firstRowFirstColumn="0" w:firstRowLastColumn="0" w:lastRowFirstColumn="0" w:lastRowLastColumn="0"/>
              <w:rPr>
                <w:b/>
                <w:sz w:val="18"/>
                <w:szCs w:val="18"/>
              </w:rPr>
            </w:pPr>
            <w:r w:rsidRPr="002D3BB7">
              <w:rPr>
                <w:b/>
                <w:sz w:val="18"/>
                <w:szCs w:val="18"/>
              </w:rPr>
              <w:t>67%</w:t>
            </w:r>
          </w:p>
        </w:tc>
        <w:tc>
          <w:tcPr>
            <w:tcW w:w="0" w:type="auto"/>
          </w:tcPr>
          <w:p w14:paraId="41CA18EB" w14:textId="77777777" w:rsidR="006B5342" w:rsidRPr="002D3BB7" w:rsidRDefault="006B5342" w:rsidP="006B5342">
            <w:pPr>
              <w:pStyle w:val="Contenudetableau"/>
              <w:jc w:val="right"/>
              <w:cnfStyle w:val="000000100000" w:firstRow="0" w:lastRow="0" w:firstColumn="0" w:lastColumn="0" w:oddVBand="0" w:evenVBand="0" w:oddHBand="1" w:evenHBand="0" w:firstRowFirstColumn="0" w:firstRowLastColumn="0" w:lastRowFirstColumn="0" w:lastRowLastColumn="0"/>
              <w:rPr>
                <w:b/>
                <w:sz w:val="18"/>
                <w:szCs w:val="18"/>
              </w:rPr>
            </w:pPr>
            <w:r w:rsidRPr="002D3BB7">
              <w:rPr>
                <w:b/>
                <w:sz w:val="18"/>
                <w:szCs w:val="18"/>
              </w:rPr>
              <w:t>Sunflower oil</w:t>
            </w:r>
          </w:p>
        </w:tc>
        <w:tc>
          <w:tcPr>
            <w:tcW w:w="0" w:type="auto"/>
          </w:tcPr>
          <w:p w14:paraId="012AC804" w14:textId="77777777" w:rsidR="006B5342" w:rsidRPr="002D3BB7" w:rsidRDefault="006B5342" w:rsidP="006B5342">
            <w:pPr>
              <w:pStyle w:val="Contenudetableau"/>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13%</w:t>
            </w:r>
          </w:p>
        </w:tc>
        <w:tc>
          <w:tcPr>
            <w:tcW w:w="0" w:type="auto"/>
          </w:tcPr>
          <w:p w14:paraId="6147F05B" w14:textId="77777777" w:rsidR="006B5342" w:rsidRPr="002D3BB7" w:rsidRDefault="006B5342" w:rsidP="006B5342">
            <w:pPr>
              <w:pStyle w:val="Contenudetableau"/>
              <w:cnfStyle w:val="000000100000" w:firstRow="0" w:lastRow="0" w:firstColumn="0" w:lastColumn="0" w:oddVBand="0" w:evenVBand="0" w:oddHBand="1" w:evenHBand="0" w:firstRowFirstColumn="0" w:firstRowLastColumn="0" w:lastRowFirstColumn="0" w:lastRowLastColumn="0"/>
              <w:rPr>
                <w:b/>
                <w:sz w:val="18"/>
                <w:szCs w:val="18"/>
              </w:rPr>
            </w:pPr>
            <w:r w:rsidRPr="002D3BB7">
              <w:rPr>
                <w:b/>
                <w:sz w:val="18"/>
                <w:szCs w:val="18"/>
              </w:rPr>
              <w:t>13%</w:t>
            </w:r>
          </w:p>
        </w:tc>
      </w:tr>
      <w:tr w:rsidR="006B5342" w:rsidRPr="002D3BB7" w14:paraId="5786D465" w14:textId="77777777" w:rsidTr="002D3BB7">
        <w:tc>
          <w:tcPr>
            <w:cnfStyle w:val="001000000000" w:firstRow="0" w:lastRow="0" w:firstColumn="1" w:lastColumn="0" w:oddVBand="0" w:evenVBand="0" w:oddHBand="0" w:evenHBand="0" w:firstRowFirstColumn="0" w:firstRowLastColumn="0" w:lastRowFirstColumn="0" w:lastRowLastColumn="0"/>
            <w:tcW w:w="0" w:type="auto"/>
          </w:tcPr>
          <w:p w14:paraId="73F261DF" w14:textId="77777777" w:rsidR="006B5342" w:rsidRPr="002D3BB7" w:rsidRDefault="006B5342" w:rsidP="006B5342">
            <w:pPr>
              <w:pStyle w:val="Contenudetableau"/>
              <w:jc w:val="right"/>
              <w:rPr>
                <w:sz w:val="18"/>
                <w:szCs w:val="18"/>
              </w:rPr>
            </w:pPr>
            <w:r w:rsidRPr="002D3BB7">
              <w:rPr>
                <w:sz w:val="18"/>
                <w:szCs w:val="18"/>
              </w:rPr>
              <w:t>Sunflower meal</w:t>
            </w:r>
          </w:p>
        </w:tc>
        <w:tc>
          <w:tcPr>
            <w:tcW w:w="0" w:type="auto"/>
          </w:tcPr>
          <w:p w14:paraId="34A1A418" w14:textId="77777777" w:rsidR="006B5342" w:rsidRPr="002D3BB7" w:rsidRDefault="006B5342" w:rsidP="006B5342">
            <w:pPr>
              <w:pStyle w:val="Contenudetableau"/>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13%</w:t>
            </w:r>
          </w:p>
        </w:tc>
        <w:tc>
          <w:tcPr>
            <w:tcW w:w="0" w:type="auto"/>
          </w:tcPr>
          <w:p w14:paraId="3820FEC4" w14:textId="77777777" w:rsidR="006B5342" w:rsidRPr="002D3BB7" w:rsidRDefault="006B5342" w:rsidP="006B5342">
            <w:pPr>
              <w:pStyle w:val="Contenudetableau"/>
              <w:cnfStyle w:val="000000000000" w:firstRow="0" w:lastRow="0" w:firstColumn="0" w:lastColumn="0" w:oddVBand="0" w:evenVBand="0" w:oddHBand="0" w:evenHBand="0" w:firstRowFirstColumn="0" w:firstRowLastColumn="0" w:lastRowFirstColumn="0" w:lastRowLastColumn="0"/>
              <w:rPr>
                <w:b/>
                <w:sz w:val="18"/>
                <w:szCs w:val="18"/>
              </w:rPr>
            </w:pPr>
            <w:r w:rsidRPr="002D3BB7">
              <w:rPr>
                <w:b/>
                <w:sz w:val="18"/>
                <w:szCs w:val="18"/>
              </w:rPr>
              <w:t>24%</w:t>
            </w:r>
          </w:p>
        </w:tc>
        <w:tc>
          <w:tcPr>
            <w:tcW w:w="0" w:type="auto"/>
          </w:tcPr>
          <w:p w14:paraId="64DA7B12" w14:textId="77777777" w:rsidR="006B5342" w:rsidRPr="002D3BB7" w:rsidRDefault="006B5342" w:rsidP="006B5342">
            <w:pPr>
              <w:pStyle w:val="Contenudetableau"/>
              <w:jc w:val="right"/>
              <w:cnfStyle w:val="000000000000" w:firstRow="0" w:lastRow="0" w:firstColumn="0" w:lastColumn="0" w:oddVBand="0" w:evenVBand="0" w:oddHBand="0" w:evenHBand="0" w:firstRowFirstColumn="0" w:firstRowLastColumn="0" w:lastRowFirstColumn="0" w:lastRowLastColumn="0"/>
              <w:rPr>
                <w:b/>
                <w:sz w:val="18"/>
                <w:szCs w:val="18"/>
              </w:rPr>
            </w:pPr>
            <w:r w:rsidRPr="002D3BB7">
              <w:rPr>
                <w:b/>
                <w:sz w:val="18"/>
                <w:szCs w:val="18"/>
              </w:rPr>
              <w:t>Rye</w:t>
            </w:r>
          </w:p>
        </w:tc>
        <w:tc>
          <w:tcPr>
            <w:tcW w:w="0" w:type="auto"/>
          </w:tcPr>
          <w:p w14:paraId="2CB04186" w14:textId="77777777" w:rsidR="006B5342" w:rsidRPr="002D3BB7" w:rsidRDefault="006B5342" w:rsidP="006B5342">
            <w:pPr>
              <w:pStyle w:val="Contenudetableau"/>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0%</w:t>
            </w:r>
          </w:p>
        </w:tc>
        <w:tc>
          <w:tcPr>
            <w:tcW w:w="0" w:type="auto"/>
          </w:tcPr>
          <w:p w14:paraId="00CE7F4F" w14:textId="77777777" w:rsidR="006B5342" w:rsidRPr="002D3BB7" w:rsidRDefault="006B5342" w:rsidP="006B5342">
            <w:pPr>
              <w:pStyle w:val="Contenudetableau"/>
              <w:cnfStyle w:val="000000000000" w:firstRow="0" w:lastRow="0" w:firstColumn="0" w:lastColumn="0" w:oddVBand="0" w:evenVBand="0" w:oddHBand="0" w:evenHBand="0" w:firstRowFirstColumn="0" w:firstRowLastColumn="0" w:lastRowFirstColumn="0" w:lastRowLastColumn="0"/>
              <w:rPr>
                <w:b/>
                <w:sz w:val="18"/>
                <w:szCs w:val="18"/>
              </w:rPr>
            </w:pPr>
            <w:r w:rsidRPr="002D3BB7">
              <w:rPr>
                <w:b/>
                <w:sz w:val="18"/>
                <w:szCs w:val="18"/>
              </w:rPr>
              <w:t>0%</w:t>
            </w:r>
          </w:p>
        </w:tc>
        <w:tc>
          <w:tcPr>
            <w:tcW w:w="0" w:type="auto"/>
          </w:tcPr>
          <w:p w14:paraId="0CF6B412" w14:textId="77777777" w:rsidR="006B5342" w:rsidRPr="002D3BB7" w:rsidRDefault="006B5342" w:rsidP="006B5342">
            <w:pPr>
              <w:pStyle w:val="Contenudetableau"/>
              <w:jc w:val="right"/>
              <w:cnfStyle w:val="000000000000" w:firstRow="0" w:lastRow="0" w:firstColumn="0" w:lastColumn="0" w:oddVBand="0" w:evenVBand="0" w:oddHBand="0" w:evenHBand="0" w:firstRowFirstColumn="0" w:firstRowLastColumn="0" w:lastRowFirstColumn="0" w:lastRowLastColumn="0"/>
              <w:rPr>
                <w:b/>
                <w:sz w:val="18"/>
                <w:szCs w:val="18"/>
              </w:rPr>
            </w:pPr>
            <w:r w:rsidRPr="002D3BB7">
              <w:rPr>
                <w:b/>
                <w:sz w:val="18"/>
                <w:szCs w:val="18"/>
              </w:rPr>
              <w:t>Fish oil</w:t>
            </w:r>
          </w:p>
        </w:tc>
        <w:tc>
          <w:tcPr>
            <w:tcW w:w="0" w:type="auto"/>
          </w:tcPr>
          <w:p w14:paraId="6F66DD1F" w14:textId="77777777" w:rsidR="006B5342" w:rsidRPr="002D3BB7" w:rsidRDefault="006B5342" w:rsidP="006B5342">
            <w:pPr>
              <w:pStyle w:val="Contenudetableau"/>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0%</w:t>
            </w:r>
          </w:p>
        </w:tc>
        <w:tc>
          <w:tcPr>
            <w:tcW w:w="0" w:type="auto"/>
          </w:tcPr>
          <w:p w14:paraId="583DD7A6" w14:textId="77777777" w:rsidR="006B5342" w:rsidRPr="002D3BB7" w:rsidRDefault="006B5342" w:rsidP="006B5342">
            <w:pPr>
              <w:pStyle w:val="Contenudetableau"/>
              <w:cnfStyle w:val="000000000000" w:firstRow="0" w:lastRow="0" w:firstColumn="0" w:lastColumn="0" w:oddVBand="0" w:evenVBand="0" w:oddHBand="0" w:evenHBand="0" w:firstRowFirstColumn="0" w:firstRowLastColumn="0" w:lastRowFirstColumn="0" w:lastRowLastColumn="0"/>
              <w:rPr>
                <w:b/>
                <w:sz w:val="18"/>
                <w:szCs w:val="18"/>
              </w:rPr>
            </w:pPr>
            <w:r w:rsidRPr="002D3BB7">
              <w:rPr>
                <w:b/>
                <w:sz w:val="18"/>
                <w:szCs w:val="18"/>
              </w:rPr>
              <w:t>0%</w:t>
            </w:r>
          </w:p>
        </w:tc>
      </w:tr>
      <w:tr w:rsidR="006B5342" w:rsidRPr="002D3BB7" w14:paraId="38395BF4" w14:textId="77777777" w:rsidTr="002D3B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A8EFF67" w14:textId="77777777" w:rsidR="006B5342" w:rsidRPr="002D3BB7" w:rsidRDefault="006B5342" w:rsidP="006B5342">
            <w:pPr>
              <w:pStyle w:val="Contenudetableau"/>
              <w:jc w:val="right"/>
              <w:rPr>
                <w:sz w:val="18"/>
                <w:szCs w:val="18"/>
              </w:rPr>
            </w:pPr>
            <w:r w:rsidRPr="002D3BB7">
              <w:rPr>
                <w:sz w:val="18"/>
                <w:szCs w:val="18"/>
              </w:rPr>
              <w:t>Pulses</w:t>
            </w:r>
          </w:p>
        </w:tc>
        <w:tc>
          <w:tcPr>
            <w:tcW w:w="0" w:type="auto"/>
          </w:tcPr>
          <w:p w14:paraId="0AE91506" w14:textId="77777777" w:rsidR="006B5342" w:rsidRPr="002D3BB7" w:rsidRDefault="006B5342" w:rsidP="006B5342">
            <w:pPr>
              <w:pStyle w:val="Contenudetableau"/>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10%</w:t>
            </w:r>
          </w:p>
        </w:tc>
        <w:tc>
          <w:tcPr>
            <w:tcW w:w="0" w:type="auto"/>
          </w:tcPr>
          <w:p w14:paraId="2AD82B4C" w14:textId="77777777" w:rsidR="006B5342" w:rsidRPr="002D3BB7" w:rsidRDefault="006B5342" w:rsidP="006B5342">
            <w:pPr>
              <w:pStyle w:val="Contenudetableau"/>
              <w:cnfStyle w:val="000000100000" w:firstRow="0" w:lastRow="0" w:firstColumn="0" w:lastColumn="0" w:oddVBand="0" w:evenVBand="0" w:oddHBand="1" w:evenHBand="0" w:firstRowFirstColumn="0" w:firstRowLastColumn="0" w:lastRowFirstColumn="0" w:lastRowLastColumn="0"/>
              <w:rPr>
                <w:b/>
                <w:sz w:val="18"/>
                <w:szCs w:val="18"/>
              </w:rPr>
            </w:pPr>
            <w:r w:rsidRPr="002D3BB7">
              <w:rPr>
                <w:b/>
                <w:sz w:val="18"/>
                <w:szCs w:val="18"/>
              </w:rPr>
              <w:t>0%</w:t>
            </w:r>
          </w:p>
        </w:tc>
        <w:tc>
          <w:tcPr>
            <w:tcW w:w="0" w:type="auto"/>
          </w:tcPr>
          <w:p w14:paraId="4201CB37" w14:textId="77777777" w:rsidR="006B5342" w:rsidRPr="002D3BB7" w:rsidRDefault="006B5342" w:rsidP="006B5342">
            <w:pPr>
              <w:pStyle w:val="Contenudetableau"/>
              <w:jc w:val="right"/>
              <w:cnfStyle w:val="000000100000" w:firstRow="0" w:lastRow="0" w:firstColumn="0" w:lastColumn="0" w:oddVBand="0" w:evenVBand="0" w:oddHBand="1" w:evenHBand="0" w:firstRowFirstColumn="0" w:firstRowLastColumn="0" w:lastRowFirstColumn="0" w:lastRowLastColumn="0"/>
              <w:rPr>
                <w:b/>
                <w:sz w:val="18"/>
                <w:szCs w:val="18"/>
              </w:rPr>
            </w:pPr>
            <w:r w:rsidRPr="002D3BB7">
              <w:rPr>
                <w:b/>
                <w:sz w:val="18"/>
                <w:szCs w:val="18"/>
              </w:rPr>
              <w:t>Oats</w:t>
            </w:r>
          </w:p>
        </w:tc>
        <w:tc>
          <w:tcPr>
            <w:tcW w:w="0" w:type="auto"/>
          </w:tcPr>
          <w:p w14:paraId="59DDD731" w14:textId="77777777" w:rsidR="006B5342" w:rsidRPr="002D3BB7" w:rsidRDefault="006B5342" w:rsidP="006B5342">
            <w:pPr>
              <w:pStyle w:val="Contenudetableau"/>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1%</w:t>
            </w:r>
          </w:p>
        </w:tc>
        <w:tc>
          <w:tcPr>
            <w:tcW w:w="0" w:type="auto"/>
          </w:tcPr>
          <w:p w14:paraId="2E956751" w14:textId="77777777" w:rsidR="006B5342" w:rsidRPr="002D3BB7" w:rsidRDefault="006B5342" w:rsidP="006B5342">
            <w:pPr>
              <w:pStyle w:val="Contenudetableau"/>
              <w:cnfStyle w:val="000000100000" w:firstRow="0" w:lastRow="0" w:firstColumn="0" w:lastColumn="0" w:oddVBand="0" w:evenVBand="0" w:oddHBand="1" w:evenHBand="0" w:firstRowFirstColumn="0" w:firstRowLastColumn="0" w:lastRowFirstColumn="0" w:lastRowLastColumn="0"/>
              <w:rPr>
                <w:b/>
                <w:sz w:val="18"/>
                <w:szCs w:val="18"/>
              </w:rPr>
            </w:pPr>
            <w:r w:rsidRPr="002D3BB7">
              <w:rPr>
                <w:b/>
                <w:sz w:val="18"/>
                <w:szCs w:val="18"/>
              </w:rPr>
              <w:t>0%</w:t>
            </w:r>
          </w:p>
        </w:tc>
        <w:tc>
          <w:tcPr>
            <w:tcW w:w="0" w:type="auto"/>
          </w:tcPr>
          <w:p w14:paraId="34A95336" w14:textId="77777777" w:rsidR="006B5342" w:rsidRPr="002D3BB7" w:rsidRDefault="006B5342" w:rsidP="006B5342">
            <w:pPr>
              <w:pStyle w:val="Contenudetableau"/>
              <w:jc w:val="right"/>
              <w:cnfStyle w:val="000000100000" w:firstRow="0" w:lastRow="0" w:firstColumn="0" w:lastColumn="0" w:oddVBand="0" w:evenVBand="0" w:oddHBand="1" w:evenHBand="0" w:firstRowFirstColumn="0" w:firstRowLastColumn="0" w:lastRowFirstColumn="0" w:lastRowLastColumn="0"/>
              <w:rPr>
                <w:b/>
                <w:sz w:val="18"/>
                <w:szCs w:val="18"/>
              </w:rPr>
            </w:pPr>
            <w:r w:rsidRPr="002D3BB7">
              <w:rPr>
                <w:b/>
                <w:sz w:val="18"/>
                <w:szCs w:val="18"/>
              </w:rPr>
              <w:t>Others</w:t>
            </w:r>
          </w:p>
        </w:tc>
        <w:tc>
          <w:tcPr>
            <w:tcW w:w="0" w:type="auto"/>
          </w:tcPr>
          <w:p w14:paraId="5EEA0EB7" w14:textId="77777777" w:rsidR="006B5342" w:rsidRPr="002D3BB7" w:rsidRDefault="006B5342" w:rsidP="006B5342">
            <w:pPr>
              <w:pStyle w:val="Contenudetableau"/>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0%</w:t>
            </w:r>
          </w:p>
        </w:tc>
        <w:tc>
          <w:tcPr>
            <w:tcW w:w="0" w:type="auto"/>
          </w:tcPr>
          <w:p w14:paraId="544362FD" w14:textId="77777777" w:rsidR="006B5342" w:rsidRPr="002D3BB7" w:rsidRDefault="006B5342" w:rsidP="006B5342">
            <w:pPr>
              <w:pStyle w:val="Contenudetableau"/>
              <w:cnfStyle w:val="000000100000" w:firstRow="0" w:lastRow="0" w:firstColumn="0" w:lastColumn="0" w:oddVBand="0" w:evenVBand="0" w:oddHBand="1" w:evenHBand="0" w:firstRowFirstColumn="0" w:firstRowLastColumn="0" w:lastRowFirstColumn="0" w:lastRowLastColumn="0"/>
              <w:rPr>
                <w:b/>
                <w:sz w:val="18"/>
                <w:szCs w:val="18"/>
              </w:rPr>
            </w:pPr>
            <w:r w:rsidRPr="002D3BB7">
              <w:rPr>
                <w:b/>
                <w:sz w:val="18"/>
                <w:szCs w:val="18"/>
              </w:rPr>
              <w:t>0%</w:t>
            </w:r>
          </w:p>
        </w:tc>
      </w:tr>
      <w:tr w:rsidR="006B5342" w:rsidRPr="002D3BB7" w14:paraId="40432F07" w14:textId="77777777" w:rsidTr="002D3BB7">
        <w:tc>
          <w:tcPr>
            <w:cnfStyle w:val="001000000000" w:firstRow="0" w:lastRow="0" w:firstColumn="1" w:lastColumn="0" w:oddVBand="0" w:evenVBand="0" w:oddHBand="0" w:evenHBand="0" w:firstRowFirstColumn="0" w:firstRowLastColumn="0" w:lastRowFirstColumn="0" w:lastRowLastColumn="0"/>
            <w:tcW w:w="0" w:type="auto"/>
          </w:tcPr>
          <w:p w14:paraId="0B896387" w14:textId="77777777" w:rsidR="006B5342" w:rsidRPr="002D3BB7" w:rsidRDefault="006B5342" w:rsidP="006B5342">
            <w:pPr>
              <w:pStyle w:val="Contenudetableau"/>
              <w:jc w:val="right"/>
              <w:rPr>
                <w:sz w:val="18"/>
                <w:szCs w:val="18"/>
              </w:rPr>
            </w:pPr>
            <w:r w:rsidRPr="002D3BB7">
              <w:rPr>
                <w:sz w:val="18"/>
                <w:szCs w:val="18"/>
              </w:rPr>
              <w:t>Fishmeal</w:t>
            </w:r>
          </w:p>
        </w:tc>
        <w:tc>
          <w:tcPr>
            <w:tcW w:w="0" w:type="auto"/>
          </w:tcPr>
          <w:p w14:paraId="30BBFB40" w14:textId="77777777" w:rsidR="006B5342" w:rsidRPr="002D3BB7" w:rsidRDefault="006B5342" w:rsidP="006B5342">
            <w:pPr>
              <w:pStyle w:val="Contenudetableau"/>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0%</w:t>
            </w:r>
          </w:p>
        </w:tc>
        <w:tc>
          <w:tcPr>
            <w:tcW w:w="0" w:type="auto"/>
          </w:tcPr>
          <w:p w14:paraId="36A28B7C" w14:textId="77777777" w:rsidR="006B5342" w:rsidRPr="002D3BB7" w:rsidRDefault="006B5342" w:rsidP="006B5342">
            <w:pPr>
              <w:pStyle w:val="Contenudetableau"/>
              <w:cnfStyle w:val="000000000000" w:firstRow="0" w:lastRow="0" w:firstColumn="0" w:lastColumn="0" w:oddVBand="0" w:evenVBand="0" w:oddHBand="0" w:evenHBand="0" w:firstRowFirstColumn="0" w:firstRowLastColumn="0" w:lastRowFirstColumn="0" w:lastRowLastColumn="0"/>
              <w:rPr>
                <w:b/>
                <w:sz w:val="18"/>
                <w:szCs w:val="18"/>
              </w:rPr>
            </w:pPr>
            <w:r w:rsidRPr="002D3BB7">
              <w:rPr>
                <w:b/>
                <w:sz w:val="18"/>
                <w:szCs w:val="18"/>
              </w:rPr>
              <w:t>0%</w:t>
            </w:r>
          </w:p>
        </w:tc>
        <w:tc>
          <w:tcPr>
            <w:tcW w:w="0" w:type="auto"/>
          </w:tcPr>
          <w:p w14:paraId="14CDE798" w14:textId="77777777" w:rsidR="006B5342" w:rsidRPr="002D3BB7" w:rsidRDefault="006B5342" w:rsidP="006B5342">
            <w:pPr>
              <w:pStyle w:val="Contenudetableau"/>
              <w:jc w:val="right"/>
              <w:cnfStyle w:val="000000000000" w:firstRow="0" w:lastRow="0" w:firstColumn="0" w:lastColumn="0" w:oddVBand="0" w:evenVBand="0" w:oddHBand="0" w:evenHBand="0" w:firstRowFirstColumn="0" w:firstRowLastColumn="0" w:lastRowFirstColumn="0" w:lastRowLastColumn="0"/>
              <w:rPr>
                <w:b/>
                <w:sz w:val="18"/>
                <w:szCs w:val="18"/>
              </w:rPr>
            </w:pPr>
            <w:r w:rsidRPr="002D3BB7">
              <w:rPr>
                <w:b/>
                <w:sz w:val="18"/>
                <w:szCs w:val="18"/>
              </w:rPr>
              <w:t>Others</w:t>
            </w:r>
          </w:p>
        </w:tc>
        <w:tc>
          <w:tcPr>
            <w:tcW w:w="0" w:type="auto"/>
          </w:tcPr>
          <w:p w14:paraId="3A3A7A00" w14:textId="77777777" w:rsidR="006B5342" w:rsidRPr="002D3BB7" w:rsidRDefault="006B5342" w:rsidP="006B5342">
            <w:pPr>
              <w:pStyle w:val="Contenudetableau"/>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0%</w:t>
            </w:r>
          </w:p>
        </w:tc>
        <w:tc>
          <w:tcPr>
            <w:tcW w:w="0" w:type="auto"/>
          </w:tcPr>
          <w:p w14:paraId="70672C49" w14:textId="77777777" w:rsidR="006B5342" w:rsidRPr="002D3BB7" w:rsidRDefault="006B5342" w:rsidP="006B5342">
            <w:pPr>
              <w:pStyle w:val="Contenudetableau"/>
              <w:cnfStyle w:val="000000000000" w:firstRow="0" w:lastRow="0" w:firstColumn="0" w:lastColumn="0" w:oddVBand="0" w:evenVBand="0" w:oddHBand="0" w:evenHBand="0" w:firstRowFirstColumn="0" w:firstRowLastColumn="0" w:lastRowFirstColumn="0" w:lastRowLastColumn="0"/>
              <w:rPr>
                <w:b/>
                <w:sz w:val="18"/>
                <w:szCs w:val="18"/>
              </w:rPr>
            </w:pPr>
            <w:r w:rsidRPr="002D3BB7">
              <w:rPr>
                <w:b/>
                <w:sz w:val="18"/>
                <w:szCs w:val="18"/>
              </w:rPr>
              <w:t>0%</w:t>
            </w:r>
          </w:p>
        </w:tc>
        <w:tc>
          <w:tcPr>
            <w:tcW w:w="0" w:type="auto"/>
            <w:gridSpan w:val="3"/>
            <w:vMerge w:val="restart"/>
          </w:tcPr>
          <w:p w14:paraId="411AE800" w14:textId="68B8EF9F" w:rsidR="006B5342" w:rsidRPr="002D3BB7" w:rsidRDefault="006B5342" w:rsidP="006B5342">
            <w:pPr>
              <w:pStyle w:val="Contenudetableau"/>
              <w:jc w:val="both"/>
              <w:cnfStyle w:val="000000000000" w:firstRow="0" w:lastRow="0" w:firstColumn="0" w:lastColumn="0" w:oddVBand="0" w:evenVBand="0" w:oddHBand="0" w:evenHBand="0" w:firstRowFirstColumn="0" w:firstRowLastColumn="0" w:lastRowFirstColumn="0" w:lastRowLastColumn="0"/>
              <w:rPr>
                <w:i/>
                <w:sz w:val="18"/>
                <w:szCs w:val="18"/>
              </w:rPr>
            </w:pPr>
            <w:r w:rsidRPr="002D3BB7">
              <w:rPr>
                <w:i/>
                <w:sz w:val="18"/>
                <w:szCs w:val="18"/>
              </w:rPr>
              <w:t>In FAOSTAT</w:t>
            </w:r>
            <w:r w:rsidRPr="002D3BB7">
              <w:rPr>
                <w:rFonts w:ascii="Calibri" w:hAnsi="Calibri"/>
                <w:i/>
                <w:color w:val="000000"/>
                <w:sz w:val="18"/>
                <w:szCs w:val="18"/>
              </w:rPr>
              <w:fldChar w:fldCharType="begin"/>
            </w:r>
            <w:r>
              <w:rPr>
                <w:rFonts w:ascii="Calibri" w:hAnsi="Calibri"/>
                <w:i/>
                <w:color w:val="000000"/>
                <w:sz w:val="18"/>
                <w:szCs w:val="18"/>
              </w:rPr>
              <w:instrText xml:space="preserve"> ADDIN ZOTERO_ITEM CSL_CITATION {"citationID":"pqU7lSEe","properties":{"formattedCitation":"\\super 54\\nosupersub{}","plainCitation":"54","noteIndex":0},"citationItems":[{"id":2213,"uris":["http://zotero.org/users/6423791/items/CDP7ZBVY"],"itemData":{"id":2213,"type":"webpage","title":"FAOSTAT","URL":"http://www.fao.org/faostat/en/","author":[{"literal":"FAO"}],"accessed":{"date-parts":[["2021",10,28]]},"issued":{"date-parts":[["2019"]]}}}],"schema":"https://github.com/citation-style-language/schema/raw/master/csl-citation.json"} </w:instrText>
            </w:r>
            <w:r w:rsidRPr="002D3BB7">
              <w:rPr>
                <w:rFonts w:ascii="Calibri" w:hAnsi="Calibri"/>
                <w:i/>
                <w:color w:val="000000"/>
                <w:sz w:val="18"/>
                <w:szCs w:val="18"/>
              </w:rPr>
              <w:fldChar w:fldCharType="separate"/>
            </w:r>
            <w:r w:rsidRPr="008C451C">
              <w:rPr>
                <w:rFonts w:ascii="Calibri" w:hAnsi="Calibri" w:cs="Calibri"/>
                <w:sz w:val="18"/>
                <w:szCs w:val="24"/>
                <w:vertAlign w:val="superscript"/>
              </w:rPr>
              <w:t>54</w:t>
            </w:r>
            <w:r w:rsidRPr="002D3BB7">
              <w:rPr>
                <w:rFonts w:ascii="Calibri" w:hAnsi="Calibri"/>
                <w:i/>
                <w:color w:val="000000"/>
                <w:sz w:val="18"/>
                <w:szCs w:val="18"/>
              </w:rPr>
              <w:fldChar w:fldCharType="end"/>
            </w:r>
            <w:r w:rsidRPr="002D3BB7">
              <w:rPr>
                <w:i/>
                <w:sz w:val="18"/>
                <w:szCs w:val="18"/>
              </w:rPr>
              <w:t>, food and feed are aggregated, but OECD-FAO Agricultural outlook</w:t>
            </w:r>
            <w:r w:rsidRPr="002D3BB7">
              <w:rPr>
                <w:i/>
                <w:sz w:val="18"/>
                <w:szCs w:val="18"/>
              </w:rPr>
              <w:fldChar w:fldCharType="begin"/>
            </w:r>
            <w:r>
              <w:rPr>
                <w:i/>
                <w:sz w:val="18"/>
                <w:szCs w:val="18"/>
              </w:rPr>
              <w:instrText xml:space="preserve"> ADDIN ZOTERO_ITEM CSL_CITATION {"citationID":"hAZB168T","properties":{"formattedCitation":"\\super 55\\nosupersub{}","plainCitation":"55","noteIndex":0},"citationItems":[{"id":13772,"uris":["http://zotero.org/users/6423791/items/4WGQ8IFI"],"itemData":{"id":13772,"type":"book","event-place":"Paris","ISBN":"978-92-64-58870-7","language":"en","note":"DOI: 10.1787/f1b0b29c-en","publisher":"OECD Publishing","publisher-place":"Paris","source":"DOI.org (Crossref)","title":"OECD-FAO Agricultural Outlook 2022-2031","URL":"https://www.oecd-ilibrary.org/agriculture-and-food/oecd-fao-agricultural-outlook-2022-2031_f1b0b29c-en","author":[{"literal":"OECD/FAO"}],"accessed":{"date-parts":[["2022",10,14]]},"issued":{"date-parts":[["2022",6,29]]}}}],"schema":"https://github.com/citation-style-language/schema/raw/master/csl-citation.json"} </w:instrText>
            </w:r>
            <w:r w:rsidRPr="002D3BB7">
              <w:rPr>
                <w:i/>
                <w:sz w:val="18"/>
                <w:szCs w:val="18"/>
              </w:rPr>
              <w:fldChar w:fldCharType="separate"/>
            </w:r>
            <w:r w:rsidRPr="008C451C">
              <w:rPr>
                <w:rFonts w:ascii="Calibri" w:hAnsi="Calibri" w:cs="Calibri"/>
                <w:sz w:val="18"/>
                <w:szCs w:val="24"/>
                <w:vertAlign w:val="superscript"/>
              </w:rPr>
              <w:t>55</w:t>
            </w:r>
            <w:r w:rsidRPr="002D3BB7">
              <w:rPr>
                <w:i/>
                <w:sz w:val="18"/>
                <w:szCs w:val="18"/>
              </w:rPr>
              <w:fldChar w:fldCharType="end"/>
            </w:r>
            <w:r w:rsidRPr="002D3BB7">
              <w:rPr>
                <w:i/>
                <w:sz w:val="18"/>
                <w:szCs w:val="18"/>
              </w:rPr>
              <w:t xml:space="preserve"> states that food use represents 65% of the vegetable oil demand. According to the same study, future trends on vegetable oil productions depend on many factors; for example, how major palm oil actors (e.g. Malaysia) will deal with oldling trees and limited room for expansion, among others. </w:t>
            </w:r>
            <w:r>
              <w:rPr>
                <w:i/>
                <w:sz w:val="18"/>
                <w:szCs w:val="18"/>
              </w:rPr>
              <w:t>C</w:t>
            </w:r>
            <w:r w:rsidRPr="002D3BB7">
              <w:rPr>
                <w:i/>
                <w:sz w:val="18"/>
                <w:szCs w:val="18"/>
              </w:rPr>
              <w:t>urrent global marginal trends</w:t>
            </w:r>
            <w:r>
              <w:rPr>
                <w:i/>
                <w:sz w:val="18"/>
                <w:szCs w:val="18"/>
              </w:rPr>
              <w:t xml:space="preserve"> from FAO were kept</w:t>
            </w:r>
            <w:r w:rsidRPr="002D3BB7">
              <w:rPr>
                <w:i/>
                <w:sz w:val="18"/>
                <w:szCs w:val="18"/>
              </w:rPr>
              <w:t>.</w:t>
            </w:r>
          </w:p>
        </w:tc>
      </w:tr>
      <w:tr w:rsidR="006B5342" w:rsidRPr="002D3BB7" w14:paraId="76B76109" w14:textId="77777777" w:rsidTr="002D3BB7">
        <w:trPr>
          <w:cnfStyle w:val="000000100000" w:firstRow="0" w:lastRow="0" w:firstColumn="0" w:lastColumn="0" w:oddVBand="0" w:evenVBand="0" w:oddHBand="1" w:evenHBand="0" w:firstRowFirstColumn="0" w:firstRowLastColumn="0" w:lastRowFirstColumn="0" w:lastRowLastColumn="0"/>
          <w:trHeight w:val="1455"/>
        </w:trPr>
        <w:tc>
          <w:tcPr>
            <w:cnfStyle w:val="001000000000" w:firstRow="0" w:lastRow="0" w:firstColumn="1" w:lastColumn="0" w:oddVBand="0" w:evenVBand="0" w:oddHBand="0" w:evenHBand="0" w:firstRowFirstColumn="0" w:firstRowLastColumn="0" w:lastRowFirstColumn="0" w:lastRowLastColumn="0"/>
            <w:tcW w:w="0" w:type="auto"/>
            <w:gridSpan w:val="3"/>
          </w:tcPr>
          <w:p w14:paraId="6C6FF003" w14:textId="48FE770F" w:rsidR="006B5342" w:rsidRPr="002D3BB7" w:rsidRDefault="006B5342" w:rsidP="006B5342">
            <w:pPr>
              <w:pStyle w:val="Contenudetableau"/>
              <w:jc w:val="both"/>
              <w:rPr>
                <w:b w:val="0"/>
                <w:i/>
                <w:sz w:val="18"/>
                <w:szCs w:val="18"/>
              </w:rPr>
            </w:pPr>
            <w:r w:rsidRPr="002D3BB7">
              <w:rPr>
                <w:b w:val="0"/>
                <w:i/>
                <w:sz w:val="18"/>
                <w:szCs w:val="18"/>
              </w:rPr>
              <w:t xml:space="preserve">Pulses and “other oilseeds” commodity groups gather many small contributions. </w:t>
            </w:r>
            <w:r>
              <w:rPr>
                <w:b w:val="0"/>
                <w:i/>
                <w:sz w:val="18"/>
                <w:szCs w:val="18"/>
              </w:rPr>
              <w:t>These were discarded</w:t>
            </w:r>
            <w:r w:rsidRPr="002D3BB7">
              <w:rPr>
                <w:b w:val="0"/>
                <w:i/>
                <w:sz w:val="18"/>
                <w:szCs w:val="18"/>
              </w:rPr>
              <w:t xml:space="preserve"> and rapeseed meal and sunflower meal were set to the same contribution share. Soybean meal remains the main marginal suppliers of protein feed globally, in line with projected trends by OECD-FAO Agricultural outlook</w:t>
            </w:r>
            <w:r w:rsidRPr="002D3BB7">
              <w:rPr>
                <w:i/>
                <w:sz w:val="18"/>
                <w:szCs w:val="18"/>
              </w:rPr>
              <w:fldChar w:fldCharType="begin"/>
            </w:r>
            <w:r>
              <w:rPr>
                <w:b w:val="0"/>
                <w:i/>
                <w:sz w:val="18"/>
                <w:szCs w:val="18"/>
              </w:rPr>
              <w:instrText xml:space="preserve"> ADDIN ZOTERO_ITEM CSL_CITATION {"citationID":"LTPg9lfo","properties":{"formattedCitation":"\\super 55\\nosupersub{}","plainCitation":"55","noteIndex":0},"citationItems":[{"id":13772,"uris":["http://zotero.org/users/6423791/items/4WGQ8IFI"],"itemData":{"id":13772,"type":"book","event-place":"Paris","ISBN":"978-92-64-58870-7","language":"en","note":"DOI: 10.1787/f1b0b29c-en","publisher":"OECD Publishing","publisher-place":"Paris","source":"DOI.org (Crossref)","title":"OECD-FAO Agricultural Outlook 2022-2031","URL":"https://www.oecd-ilibrary.org/agriculture-and-food/oecd-fao-agricultural-outlook-2022-2031_f1b0b29c-en","author":[{"literal":"OECD/FAO"}],"accessed":{"date-parts":[["2022",10,14]]},"issued":{"date-parts":[["2022",6,29]]}}}],"schema":"https://github.com/citation-style-language/schema/raw/master/csl-citation.json"} </w:instrText>
            </w:r>
            <w:r w:rsidRPr="002D3BB7">
              <w:rPr>
                <w:i/>
                <w:sz w:val="18"/>
                <w:szCs w:val="18"/>
              </w:rPr>
              <w:fldChar w:fldCharType="separate"/>
            </w:r>
            <w:r w:rsidRPr="008C451C">
              <w:rPr>
                <w:rFonts w:ascii="Calibri" w:hAnsi="Calibri" w:cs="Calibri"/>
                <w:sz w:val="18"/>
                <w:szCs w:val="24"/>
                <w:vertAlign w:val="superscript"/>
              </w:rPr>
              <w:t>55</w:t>
            </w:r>
            <w:r w:rsidRPr="002D3BB7">
              <w:rPr>
                <w:i/>
                <w:sz w:val="18"/>
                <w:szCs w:val="18"/>
              </w:rPr>
              <w:fldChar w:fldCharType="end"/>
            </w:r>
            <w:r w:rsidRPr="002D3BB7">
              <w:rPr>
                <w:i/>
                <w:sz w:val="18"/>
                <w:szCs w:val="18"/>
              </w:rPr>
              <w:t>.</w:t>
            </w:r>
          </w:p>
        </w:tc>
        <w:tc>
          <w:tcPr>
            <w:tcW w:w="0" w:type="auto"/>
            <w:gridSpan w:val="3"/>
          </w:tcPr>
          <w:p w14:paraId="1D57A671" w14:textId="246C06FF" w:rsidR="006B5342" w:rsidRPr="002D3BB7" w:rsidRDefault="006B5342" w:rsidP="006B5342">
            <w:pPr>
              <w:pStyle w:val="Contenudetableau"/>
              <w:jc w:val="both"/>
              <w:cnfStyle w:val="000000100000" w:firstRow="0" w:lastRow="0" w:firstColumn="0" w:lastColumn="0" w:oddVBand="0" w:evenVBand="0" w:oddHBand="1" w:evenHBand="0" w:firstRowFirstColumn="0" w:firstRowLastColumn="0" w:lastRowFirstColumn="0" w:lastRowLastColumn="0"/>
              <w:rPr>
                <w:i/>
                <w:sz w:val="18"/>
                <w:szCs w:val="18"/>
              </w:rPr>
            </w:pPr>
            <w:r w:rsidRPr="002D3BB7">
              <w:rPr>
                <w:i/>
                <w:sz w:val="18"/>
                <w:szCs w:val="18"/>
              </w:rPr>
              <w:t>Maize is the major contributor to energy feed services, followed by wheat. This trend is similar to the OECD-FAO Agricultural outlook</w:t>
            </w:r>
            <w:r w:rsidRPr="002D3BB7">
              <w:rPr>
                <w:i/>
                <w:sz w:val="18"/>
                <w:szCs w:val="18"/>
              </w:rPr>
              <w:fldChar w:fldCharType="begin"/>
            </w:r>
            <w:r>
              <w:rPr>
                <w:i/>
                <w:sz w:val="18"/>
                <w:szCs w:val="18"/>
              </w:rPr>
              <w:instrText xml:space="preserve"> ADDIN ZOTERO_ITEM CSL_CITATION {"citationID":"SrLrmmpb","properties":{"formattedCitation":"\\super 55\\nosupersub{}","plainCitation":"55","noteIndex":0},"citationItems":[{"id":13772,"uris":["http://zotero.org/users/6423791/items/4WGQ8IFI"],"itemData":{"id":13772,"type":"book","event-place":"Paris","ISBN":"978-92-64-58870-7","language":"en","note":"DOI: 10.1787/f1b0b29c-en","publisher":"OECD Publishing","publisher-place":"Paris","source":"DOI.org (Crossref)","title":"OECD-FAO Agricultural Outlook 2022-2031","URL":"https://www.oecd-ilibrary.org/agriculture-and-food/oecd-fao-agricultural-outlook-2022-2031_f1b0b29c-en","author":[{"literal":"OECD/FAO"}],"accessed":{"date-parts":[["2022",10,14]]},"issued":{"date-parts":[["2022",6,29]]}}}],"schema":"https://github.com/citation-style-language/schema/raw/master/csl-citation.json"} </w:instrText>
            </w:r>
            <w:r w:rsidRPr="002D3BB7">
              <w:rPr>
                <w:i/>
                <w:sz w:val="18"/>
                <w:szCs w:val="18"/>
              </w:rPr>
              <w:fldChar w:fldCharType="separate"/>
            </w:r>
            <w:r w:rsidRPr="008C451C">
              <w:rPr>
                <w:rFonts w:ascii="Calibri" w:hAnsi="Calibri" w:cs="Calibri"/>
                <w:sz w:val="18"/>
                <w:szCs w:val="24"/>
                <w:vertAlign w:val="superscript"/>
              </w:rPr>
              <w:t>55</w:t>
            </w:r>
            <w:r w:rsidRPr="002D3BB7">
              <w:rPr>
                <w:i/>
                <w:sz w:val="18"/>
                <w:szCs w:val="18"/>
              </w:rPr>
              <w:fldChar w:fldCharType="end"/>
            </w:r>
            <w:r w:rsidRPr="002D3BB7">
              <w:rPr>
                <w:i/>
                <w:sz w:val="18"/>
                <w:szCs w:val="18"/>
              </w:rPr>
              <w:t xml:space="preserve"> who projects that 50% of the global increase in cereals production will come from maize, followed by wheat (20%).</w:t>
            </w:r>
          </w:p>
        </w:tc>
        <w:tc>
          <w:tcPr>
            <w:tcW w:w="0" w:type="auto"/>
            <w:gridSpan w:val="3"/>
            <w:vMerge/>
          </w:tcPr>
          <w:p w14:paraId="46990090" w14:textId="77777777" w:rsidR="006B5342" w:rsidRPr="002D3BB7" w:rsidRDefault="006B5342" w:rsidP="006B5342">
            <w:pPr>
              <w:pStyle w:val="Contenudetableau"/>
              <w:jc w:val="right"/>
              <w:cnfStyle w:val="000000100000" w:firstRow="0" w:lastRow="0" w:firstColumn="0" w:lastColumn="0" w:oddVBand="0" w:evenVBand="0" w:oddHBand="1" w:evenHBand="0" w:firstRowFirstColumn="0" w:firstRowLastColumn="0" w:lastRowFirstColumn="0" w:lastRowLastColumn="0"/>
              <w:rPr>
                <w:b/>
                <w:sz w:val="18"/>
                <w:szCs w:val="18"/>
              </w:rPr>
            </w:pPr>
          </w:p>
        </w:tc>
      </w:tr>
    </w:tbl>
    <w:p w14:paraId="74129678" w14:textId="058174E3" w:rsidR="00416EEE" w:rsidRPr="000D2804" w:rsidRDefault="00416EEE" w:rsidP="006B5342">
      <w:pPr>
        <w:rPr>
          <w:sz w:val="18"/>
        </w:rPr>
      </w:pPr>
      <w:r w:rsidRPr="000D2804">
        <w:rPr>
          <w:sz w:val="18"/>
        </w:rPr>
        <w:t xml:space="preserve">See </w:t>
      </w:r>
      <w:r>
        <w:rPr>
          <w:sz w:val="18"/>
        </w:rPr>
        <w:t xml:space="preserve">background data of </w:t>
      </w:r>
      <w:r w:rsidR="00487401" w:rsidRPr="00487401">
        <w:rPr>
          <w:sz w:val="18"/>
        </w:rPr>
        <w:t>Javourez et al., (2022)</w:t>
      </w:r>
      <w:r w:rsidR="00487401" w:rsidRPr="00487401">
        <w:rPr>
          <w:sz w:val="18"/>
        </w:rPr>
        <w:fldChar w:fldCharType="begin"/>
      </w:r>
      <w:r w:rsidR="00682E10">
        <w:rPr>
          <w:sz w:val="18"/>
        </w:rPr>
        <w:instrText xml:space="preserve"> ADDIN ZOTERO_ITEM CSL_CITATION {"citationID":"a10edsnfvff","properties":{"formattedCitation":"\\super 4\\nosupersub{}","plainCitation":"4","noteIndex":0},"citationItems":[{"id":13553,"uris":["http://zotero.org/users/6423791/items/EU8KLJZY"],"itemData":{"id":13553,"type":"article-journal","abstract":"Transforming residual biomass into edible ingredients is increasingly\npromoted to alleviate the environmental impacts of food systems. Yet,\nthese approaches mostly rely on emerging technologies and constrained\nresources, and their environmental benefits remain unclear. By combining\nprocess-based consequential life cycle analysis, uncertainty assessment\nand biomass resource estimation, we quantified the impacts of deploying\nwaste-to-nutrition pathways, here applied to the upgrading of agrifood\nco-products by solid-state fermentation (SSF). The benefits of reducing the\ndemand for soybean meal by enhancing the protein concentration of feed\nthrough SSF do not compensate for the environmental burdens induced\nby the process on climate change, water depletion and land use. Besides\nunlocking feed markets to low-feed-quality streams, SSF outperforms\nenergy valorization for most environmental impacts but is less competitive\nto mitigate climate change. Yet, SSF yields overall environmental benefits\nwhen unlocking food markets rather than supplying feed and energy\nservices. Systematic methodological harmonization is required to assess the\npotential of novel ingredients, as outcomes vary according to the displaced\nfood and feed baskets, and related land use changes.","container-title":"Nature Food","DOI":"10.1038/s43016-022-00621-9","journalAbbreviation":"Nat Food","language":"en","page":"911-920","title":"Upgrading agrifood co-products via solid fermentation yields environmental benefits under specific conditions only","volume":"3","author":[{"family":"Javourez","given":"Ugo"},{"family":"Rosero Delgado","given":"Ernesto Alonso"},{"family":"Hamelin","given":"Lorie"}],"issued":{"date-parts":[["2022",10,31]]}}}],"schema":"https://github.com/citation-style-language/schema/raw/master/csl-citation.json"} </w:instrText>
      </w:r>
      <w:r w:rsidR="00487401" w:rsidRPr="00487401">
        <w:rPr>
          <w:sz w:val="18"/>
        </w:rPr>
        <w:fldChar w:fldCharType="separate"/>
      </w:r>
      <w:r w:rsidR="00682E10" w:rsidRPr="00682E10">
        <w:rPr>
          <w:rFonts w:ascii="Calibri" w:hAnsi="Calibri" w:cs="Calibri"/>
          <w:sz w:val="18"/>
          <w:szCs w:val="24"/>
          <w:vertAlign w:val="superscript"/>
        </w:rPr>
        <w:t>4</w:t>
      </w:r>
      <w:r w:rsidR="00487401" w:rsidRPr="00487401">
        <w:rPr>
          <w:sz w:val="18"/>
        </w:rPr>
        <w:fldChar w:fldCharType="end"/>
      </w:r>
      <w:r w:rsidRPr="00487401">
        <w:rPr>
          <w:sz w:val="18"/>
        </w:rPr>
        <w:t xml:space="preserve"> for</w:t>
      </w:r>
      <w:r w:rsidRPr="000D2804">
        <w:rPr>
          <w:sz w:val="18"/>
        </w:rPr>
        <w:t xml:space="preserve"> calculation details.</w:t>
      </w:r>
    </w:p>
    <w:p w14:paraId="52CDE6D3" w14:textId="3A5C487B" w:rsidR="00416EEE" w:rsidRDefault="00416EEE" w:rsidP="00416EEE">
      <w:pPr>
        <w:jc w:val="both"/>
      </w:pPr>
      <w:r>
        <w:t>Due to lack of data, emerging unconstrained feed sources such as microalgae or first-generation microbial production (</w:t>
      </w:r>
      <w:r w:rsidRPr="00964483">
        <w:t>defined in</w:t>
      </w:r>
      <w:r w:rsidR="00F63174">
        <w:t xml:space="preserve"> </w:t>
      </w:r>
      <w:r w:rsidR="00F63174" w:rsidRPr="00F63174">
        <w:rPr>
          <w:b/>
        </w:rPr>
        <w:t xml:space="preserve">section </w:t>
      </w:r>
      <w:r w:rsidR="003A663A">
        <w:rPr>
          <w:b/>
        </w:rPr>
        <w:t xml:space="preserve">SI. </w:t>
      </w:r>
      <w:r w:rsidR="00F63174" w:rsidRPr="00F63174">
        <w:rPr>
          <w:b/>
        </w:rPr>
        <w:fldChar w:fldCharType="begin"/>
      </w:r>
      <w:r w:rsidR="00F63174" w:rsidRPr="00F63174">
        <w:rPr>
          <w:b/>
        </w:rPr>
        <w:instrText xml:space="preserve"> REF _Ref145070370 \r \h </w:instrText>
      </w:r>
      <w:r w:rsidR="00F63174">
        <w:rPr>
          <w:b/>
        </w:rPr>
        <w:instrText xml:space="preserve"> \* MERGEFORMAT </w:instrText>
      </w:r>
      <w:r w:rsidR="00F63174" w:rsidRPr="00F63174">
        <w:rPr>
          <w:b/>
        </w:rPr>
      </w:r>
      <w:r w:rsidR="00F63174" w:rsidRPr="00F63174">
        <w:rPr>
          <w:b/>
        </w:rPr>
        <w:fldChar w:fldCharType="separate"/>
      </w:r>
      <w:r w:rsidR="00F63174" w:rsidRPr="00F63174">
        <w:rPr>
          <w:b/>
        </w:rPr>
        <w:t>4.6.4</w:t>
      </w:r>
      <w:r w:rsidR="00F63174" w:rsidRPr="00F63174">
        <w:rPr>
          <w:b/>
        </w:rPr>
        <w:fldChar w:fldCharType="end"/>
      </w:r>
      <w:r w:rsidRPr="00964483">
        <w:t>)</w:t>
      </w:r>
      <w:r>
        <w:t xml:space="preserve"> were not included.</w:t>
      </w:r>
    </w:p>
    <w:p w14:paraId="401CFDBA" w14:textId="77777777" w:rsidR="00416EEE" w:rsidRPr="00A66A35" w:rsidRDefault="00416EEE" w:rsidP="00877BEE">
      <w:pPr>
        <w:pStyle w:val="Titre5"/>
      </w:pPr>
      <w:bookmarkStart w:id="101" w:name="_Toc125927272"/>
      <w:r w:rsidRPr="00A66A35">
        <w:t>Identification of marginal roughage feed suppliers</w:t>
      </w:r>
      <w:bookmarkEnd w:id="101"/>
    </w:p>
    <w:p w14:paraId="333E9094" w14:textId="462B8D47" w:rsidR="00416EEE" w:rsidRDefault="00416EEE" w:rsidP="00416EEE">
      <w:pPr>
        <w:jc w:val="both"/>
      </w:pPr>
      <w:r>
        <w:t>Roughage feed markets were considered local; therefore, future marginal suppliers depend on the French food system roadmap. Roughage feed only contemplates grass and fodder crops (but not accounting for fodder maize which were already included in the energy feed category). Past trends based on Agreste data</w:t>
      </w:r>
      <w:r>
        <w:fldChar w:fldCharType="begin"/>
      </w:r>
      <w:r w:rsidR="008C451C">
        <w:instrText xml:space="preserve"> ADDIN ZOTERO_ITEM CSL_CITATION {"citationID":"uWzw9tzl","properties":{"formattedCitation":"\\super 56\\nosupersub{}","plainCitation":"56","noteIndex":0},"citationItems":[{"id":1699,"uris":["http://zotero.org/users/6423791/items/4TFQUU93"],"itemData":{"id":1699,"type":"chapter","collection-title":"Chiffres clés","container-title":"Graph'Agri 2020","title":"Chapitre 12 - Produits agroalimentaires. Alimentation animale","URL":"https://agreste.agriculture.gouv.fr/agreste-web/disaron/GraFra2020Chap12.5/detail/","author":[{"literal":"Agreste"}],"accessed":{"date-parts":[["2021",6,5]]},"issued":{"date-parts":[["2019"]]}}}],"schema":"https://github.com/citation-style-language/schema/raw/master/csl-citation.json"} </w:instrText>
      </w:r>
      <w:r>
        <w:fldChar w:fldCharType="separate"/>
      </w:r>
      <w:r w:rsidR="008C451C" w:rsidRPr="008C451C">
        <w:rPr>
          <w:rFonts w:ascii="Calibri" w:hAnsi="Calibri" w:cs="Calibri"/>
          <w:szCs w:val="24"/>
          <w:vertAlign w:val="superscript"/>
        </w:rPr>
        <w:t>56</w:t>
      </w:r>
      <w:r>
        <w:fldChar w:fldCharType="end"/>
      </w:r>
      <w:r>
        <w:t xml:space="preserve"> indicate a slight increase in French fodder crops production, while grasslands production oscillates. Looking forward in time, the different production scenarios modeled by Afterres</w:t>
      </w:r>
      <w:r>
        <w:fldChar w:fldCharType="begin"/>
      </w:r>
      <w:r w:rsidR="00682E10">
        <w:instrText xml:space="preserve"> ADDIN ZOTERO_ITEM CSL_CITATION {"citationID":"b9qp3lsd","properties":{"formattedCitation":"\\super 15\\nosupersub{}","plainCitation":"15","noteIndex":0},"citationItems":[{"id":3391,"uris":["http://zotero.org/users/6423791/items/XIKLXEZ9"],"itemData":{"id":3391,"type":"document","title":"Les scénarios Afterres2050, version 2016","author":[{"literal":"Association Solagro"}],"issued":{"date-parts":[["2016"]]}}}],"schema":"https://github.com/citation-style-language/schema/raw/master/csl-citation.json"} </w:instrText>
      </w:r>
      <w:r>
        <w:fldChar w:fldCharType="separate"/>
      </w:r>
      <w:r w:rsidR="00682E10" w:rsidRPr="00682E10">
        <w:rPr>
          <w:rFonts w:ascii="Calibri" w:hAnsi="Calibri" w:cs="Calibri"/>
          <w:szCs w:val="24"/>
          <w:vertAlign w:val="superscript"/>
        </w:rPr>
        <w:t>15</w:t>
      </w:r>
      <w:r>
        <w:fldChar w:fldCharType="end"/>
      </w:r>
      <w:r>
        <w:t xml:space="preserve"> all indicate an increase in legume grass and low-productive grasslands production, and a reduction of the other roughage feed suppliers (e.g. mixed and graminate grass, productive grasslands</w:t>
      </w:r>
      <w:r w:rsidR="00583069">
        <w:t>)</w:t>
      </w:r>
      <w:r w:rsidRPr="00964483">
        <w:t>. This</w:t>
      </w:r>
      <w:r>
        <w:t xml:space="preserve"> is mainly because in these scenario, French ruminant meat production is decreasing, following current trends</w:t>
      </w:r>
      <w:r w:rsidR="00D27762" w:rsidRPr="00D27762">
        <w:fldChar w:fldCharType="begin"/>
      </w:r>
      <w:r w:rsidR="008C451C">
        <w:instrText xml:space="preserve"> ADDIN ZOTERO_ITEM CSL_CITATION {"citationID":"a16k56mndmu","properties":{"formattedCitation":"\\super 54\\nosupersub{}","plainCitation":"54","noteIndex":0},"citationItems":[{"id":2213,"uris":["http://zotero.org/users/6423791/items/CDP7ZBVY"],"itemData":{"id":2213,"type":"webpage","title":"FAOSTAT","URL":"http://www.fao.org/faostat/en/","author":[{"literal":"FAO"}],"accessed":{"date-parts":[["2021",10,28]]},"issued":{"date-parts":[["2019"]]}}}],"schema":"https://github.com/citation-style-language/schema/raw/master/csl-citation.json"} </w:instrText>
      </w:r>
      <w:r w:rsidR="00D27762" w:rsidRPr="00D27762">
        <w:fldChar w:fldCharType="separate"/>
      </w:r>
      <w:r w:rsidR="008C451C" w:rsidRPr="008C451C">
        <w:rPr>
          <w:rFonts w:ascii="Calibri" w:hAnsi="Calibri" w:cs="Calibri"/>
          <w:szCs w:val="24"/>
          <w:vertAlign w:val="superscript"/>
        </w:rPr>
        <w:t>54</w:t>
      </w:r>
      <w:r w:rsidR="00D27762" w:rsidRPr="00D27762">
        <w:fldChar w:fldCharType="end"/>
      </w:r>
      <w:r w:rsidRPr="00964483">
        <w:t>.</w:t>
      </w:r>
    </w:p>
    <w:p w14:paraId="023D469A" w14:textId="3A8BB5CB" w:rsidR="002D3BB7" w:rsidRDefault="00416EEE" w:rsidP="00416EEE">
      <w:pPr>
        <w:jc w:val="both"/>
      </w:pPr>
      <w:r>
        <w:t>Accordingly, in front of the few data available and diversity of roughage feed production, all the ecoinvent processes representing France-like legume grass or low-productive grasslands production were retained</w:t>
      </w:r>
      <w:r w:rsidR="00534660">
        <w:t xml:space="preserve">, and marginal suppliers </w:t>
      </w:r>
      <w:r w:rsidR="009F2C28">
        <w:t xml:space="preserve">assumed </w:t>
      </w:r>
      <w:r>
        <w:t>as an average of the background processes categories identified (</w:t>
      </w:r>
      <w:r w:rsidR="00583069" w:rsidRPr="00583069">
        <w:rPr>
          <w:b/>
        </w:rPr>
        <w:fldChar w:fldCharType="begin"/>
      </w:r>
      <w:r w:rsidR="00583069" w:rsidRPr="00583069">
        <w:rPr>
          <w:b/>
        </w:rPr>
        <w:instrText xml:space="preserve"> REF _Ref144742220 \h </w:instrText>
      </w:r>
      <w:r w:rsidR="00583069">
        <w:rPr>
          <w:b/>
        </w:rPr>
        <w:instrText xml:space="preserve"> \* MERGEFORMAT </w:instrText>
      </w:r>
      <w:r w:rsidR="00583069" w:rsidRPr="00583069">
        <w:rPr>
          <w:b/>
        </w:rPr>
      </w:r>
      <w:r w:rsidR="00583069" w:rsidRPr="00583069">
        <w:rPr>
          <w:b/>
        </w:rPr>
        <w:fldChar w:fldCharType="separate"/>
      </w:r>
      <w:r w:rsidR="00F25F8C" w:rsidRPr="00F25F8C">
        <w:rPr>
          <w:b/>
        </w:rPr>
        <w:t xml:space="preserve">Table SI. </w:t>
      </w:r>
      <w:r w:rsidR="00F25F8C" w:rsidRPr="00F25F8C">
        <w:rPr>
          <w:b/>
          <w:noProof/>
        </w:rPr>
        <w:t>20</w:t>
      </w:r>
      <w:r w:rsidR="00583069" w:rsidRPr="00583069">
        <w:rPr>
          <w:b/>
        </w:rPr>
        <w:fldChar w:fldCharType="end"/>
      </w:r>
      <w:r>
        <w:t>).</w:t>
      </w:r>
    </w:p>
    <w:p w14:paraId="13DB18B7" w14:textId="77777777" w:rsidR="002D3BB7" w:rsidRDefault="002D3BB7">
      <w:r>
        <w:br w:type="page"/>
      </w:r>
    </w:p>
    <w:p w14:paraId="7CE0DF64" w14:textId="57CC3458" w:rsidR="00416EEE" w:rsidRDefault="00487401" w:rsidP="006B5342">
      <w:pPr>
        <w:pStyle w:val="Lgende"/>
        <w:jc w:val="left"/>
      </w:pPr>
      <w:bookmarkStart w:id="102" w:name="_Ref144742220"/>
      <w:bookmarkStart w:id="103" w:name="_Toc128061475"/>
      <w:bookmarkStart w:id="104" w:name="_Toc151967904"/>
      <w:r>
        <w:lastRenderedPageBreak/>
        <w:t>Table SI.</w:t>
      </w:r>
      <w:r w:rsidR="00416EEE">
        <w:t xml:space="preserve"> </w:t>
      </w:r>
      <w:r>
        <w:fldChar w:fldCharType="begin"/>
      </w:r>
      <w:r>
        <w:instrText xml:space="preserve"> SEQ Table_SI. \* ARABIC </w:instrText>
      </w:r>
      <w:r>
        <w:fldChar w:fldCharType="separate"/>
      </w:r>
      <w:r w:rsidR="00F25F8C">
        <w:rPr>
          <w:noProof/>
        </w:rPr>
        <w:t>20</w:t>
      </w:r>
      <w:r>
        <w:fldChar w:fldCharType="end"/>
      </w:r>
      <w:bookmarkEnd w:id="102"/>
      <w:r w:rsidR="00416EEE">
        <w:t xml:space="preserve"> </w:t>
      </w:r>
      <w:r w:rsidR="00416EEE" w:rsidRPr="00F34AB9">
        <w:t>– Marginal roughage feed suppliers mix</w:t>
      </w:r>
      <w:bookmarkEnd w:id="103"/>
      <w:bookmarkEnd w:id="104"/>
    </w:p>
    <w:tbl>
      <w:tblPr>
        <w:tblStyle w:val="Tableausimple2"/>
        <w:tblW w:w="0" w:type="auto"/>
        <w:tblLook w:val="04A0" w:firstRow="1" w:lastRow="0" w:firstColumn="1" w:lastColumn="0" w:noHBand="0" w:noVBand="1"/>
      </w:tblPr>
      <w:tblGrid>
        <w:gridCol w:w="3934"/>
        <w:gridCol w:w="669"/>
      </w:tblGrid>
      <w:tr w:rsidR="00416EEE" w:rsidRPr="002D3BB7" w14:paraId="0E5B54EB"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tcPr>
          <w:p w14:paraId="59E70298" w14:textId="77777777" w:rsidR="00416EEE" w:rsidRPr="002D3BB7" w:rsidRDefault="00416EEE" w:rsidP="002D3BB7">
            <w:pPr>
              <w:pStyle w:val="Contenudetableau"/>
              <w:rPr>
                <w:rFonts w:ascii="Calibri" w:hAnsi="Calibri"/>
                <w:color w:val="000000"/>
                <w:sz w:val="18"/>
                <w:szCs w:val="18"/>
              </w:rPr>
            </w:pPr>
            <w:r w:rsidRPr="002D3BB7">
              <w:rPr>
                <w:rFonts w:ascii="Calibri" w:hAnsi="Calibri"/>
                <w:color w:val="000000"/>
                <w:sz w:val="18"/>
                <w:szCs w:val="18"/>
              </w:rPr>
              <w:t>Roughage feed</w:t>
            </w:r>
          </w:p>
        </w:tc>
      </w:tr>
      <w:tr w:rsidR="00416EEE" w:rsidRPr="002D3BB7" w14:paraId="30050A44"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0D56AB9" w14:textId="3E96BE98" w:rsidR="00416EEE" w:rsidRPr="002D3BB7" w:rsidRDefault="00416EEE" w:rsidP="00487401">
            <w:pPr>
              <w:pStyle w:val="Contenudetableau"/>
              <w:jc w:val="right"/>
              <w:rPr>
                <w:rFonts w:ascii="Calibri" w:hAnsi="Calibri"/>
                <w:color w:val="000000"/>
                <w:sz w:val="18"/>
                <w:szCs w:val="18"/>
              </w:rPr>
            </w:pPr>
            <w:r w:rsidRPr="002D3BB7">
              <w:rPr>
                <w:rFonts w:ascii="Calibri" w:hAnsi="Calibri"/>
                <w:color w:val="000000"/>
                <w:sz w:val="18"/>
                <w:szCs w:val="18"/>
              </w:rPr>
              <w:t>Commodity group</w:t>
            </w:r>
          </w:p>
        </w:tc>
        <w:tc>
          <w:tcPr>
            <w:tcW w:w="0" w:type="auto"/>
          </w:tcPr>
          <w:p w14:paraId="766C339D" w14:textId="3AEA543A" w:rsidR="00416EEE" w:rsidRPr="002D3BB7" w:rsidRDefault="00263BBC" w:rsidP="00487401">
            <w:pPr>
              <w:pStyle w:val="Contenudetableau"/>
              <w:cnfStyle w:val="000000100000" w:firstRow="0" w:lastRow="0" w:firstColumn="0" w:lastColumn="0" w:oddVBand="0" w:evenVBand="0" w:oddHBand="1" w:evenHBand="0" w:firstRowFirstColumn="0" w:firstRowLastColumn="0" w:lastRowFirstColumn="0" w:lastRowLastColumn="0"/>
              <w:rPr>
                <w:rFonts w:ascii="Calibri" w:hAnsi="Calibri"/>
                <w:b/>
                <w:color w:val="000000"/>
                <w:sz w:val="18"/>
                <w:szCs w:val="18"/>
              </w:rPr>
            </w:pPr>
            <w:r>
              <w:rPr>
                <w:rFonts w:ascii="Calibri" w:hAnsi="Calibri"/>
                <w:b/>
                <w:color w:val="000000"/>
                <w:sz w:val="18"/>
                <w:szCs w:val="18"/>
              </w:rPr>
              <w:t>Share</w:t>
            </w:r>
          </w:p>
        </w:tc>
      </w:tr>
      <w:tr w:rsidR="00416EEE" w:rsidRPr="002D3BB7" w14:paraId="7F6D63D3"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4C67B2D6" w14:textId="77777777" w:rsidR="00416EEE" w:rsidRPr="002D3BB7" w:rsidRDefault="00416EEE" w:rsidP="00487401">
            <w:pPr>
              <w:pStyle w:val="Contenudetableau"/>
              <w:jc w:val="right"/>
              <w:rPr>
                <w:b w:val="0"/>
                <w:sz w:val="18"/>
                <w:szCs w:val="18"/>
              </w:rPr>
            </w:pPr>
            <w:r w:rsidRPr="002D3BB7">
              <w:rPr>
                <w:b w:val="0"/>
                <w:sz w:val="18"/>
                <w:szCs w:val="18"/>
              </w:rPr>
              <w:t>Grass silage</w:t>
            </w:r>
          </w:p>
        </w:tc>
        <w:tc>
          <w:tcPr>
            <w:tcW w:w="0" w:type="auto"/>
          </w:tcPr>
          <w:p w14:paraId="4144974E" w14:textId="77777777" w:rsidR="00416EEE" w:rsidRPr="002D3BB7" w:rsidRDefault="00416EEE" w:rsidP="00487401">
            <w:pPr>
              <w:pStyle w:val="Contenudetableau"/>
              <w:cnfStyle w:val="000000000000" w:firstRow="0" w:lastRow="0" w:firstColumn="0" w:lastColumn="0" w:oddVBand="0" w:evenVBand="0" w:oddHBand="0" w:evenHBand="0" w:firstRowFirstColumn="0" w:firstRowLastColumn="0" w:lastRowFirstColumn="0" w:lastRowLastColumn="0"/>
              <w:rPr>
                <w:b/>
                <w:sz w:val="18"/>
                <w:szCs w:val="18"/>
              </w:rPr>
            </w:pPr>
            <w:r w:rsidRPr="002D3BB7">
              <w:rPr>
                <w:b/>
                <w:sz w:val="18"/>
                <w:szCs w:val="18"/>
              </w:rPr>
              <w:t>25%</w:t>
            </w:r>
          </w:p>
        </w:tc>
      </w:tr>
      <w:tr w:rsidR="00416EEE" w:rsidRPr="002D3BB7" w14:paraId="0F14B9D5"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29B8359" w14:textId="77777777" w:rsidR="00416EEE" w:rsidRPr="002D3BB7" w:rsidRDefault="00416EEE" w:rsidP="00487401">
            <w:pPr>
              <w:pStyle w:val="Contenudetableau"/>
              <w:jc w:val="right"/>
              <w:rPr>
                <w:b w:val="0"/>
                <w:sz w:val="18"/>
                <w:szCs w:val="18"/>
              </w:rPr>
            </w:pPr>
            <w:r w:rsidRPr="002D3BB7">
              <w:rPr>
                <w:b w:val="0"/>
                <w:sz w:val="18"/>
                <w:szCs w:val="18"/>
              </w:rPr>
              <w:t>Ryegrass silage</w:t>
            </w:r>
          </w:p>
        </w:tc>
        <w:tc>
          <w:tcPr>
            <w:tcW w:w="0" w:type="auto"/>
          </w:tcPr>
          <w:p w14:paraId="430AC42D" w14:textId="77777777" w:rsidR="00416EEE" w:rsidRPr="002D3BB7" w:rsidRDefault="00416EEE" w:rsidP="00487401">
            <w:pPr>
              <w:pStyle w:val="Contenudetableau"/>
              <w:cnfStyle w:val="000000100000" w:firstRow="0" w:lastRow="0" w:firstColumn="0" w:lastColumn="0" w:oddVBand="0" w:evenVBand="0" w:oddHBand="1" w:evenHBand="0" w:firstRowFirstColumn="0" w:firstRowLastColumn="0" w:lastRowFirstColumn="0" w:lastRowLastColumn="0"/>
              <w:rPr>
                <w:b/>
                <w:sz w:val="18"/>
                <w:szCs w:val="18"/>
              </w:rPr>
            </w:pPr>
            <w:r w:rsidRPr="002D3BB7">
              <w:rPr>
                <w:b/>
                <w:sz w:val="18"/>
                <w:szCs w:val="18"/>
              </w:rPr>
              <w:t>25%</w:t>
            </w:r>
          </w:p>
        </w:tc>
      </w:tr>
      <w:tr w:rsidR="00416EEE" w:rsidRPr="002D3BB7" w14:paraId="44A1F6DC"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2929DECC" w14:textId="77777777" w:rsidR="00416EEE" w:rsidRPr="002D3BB7" w:rsidRDefault="00416EEE" w:rsidP="00487401">
            <w:pPr>
              <w:pStyle w:val="Contenudetableau"/>
              <w:jc w:val="right"/>
              <w:rPr>
                <w:b w:val="0"/>
                <w:sz w:val="18"/>
                <w:szCs w:val="18"/>
              </w:rPr>
            </w:pPr>
            <w:r w:rsidRPr="002D3BB7">
              <w:rPr>
                <w:b w:val="0"/>
                <w:sz w:val="18"/>
                <w:szCs w:val="18"/>
              </w:rPr>
              <w:t>Alfalfa-grass silage</w:t>
            </w:r>
          </w:p>
        </w:tc>
        <w:tc>
          <w:tcPr>
            <w:tcW w:w="0" w:type="auto"/>
          </w:tcPr>
          <w:p w14:paraId="4654F759" w14:textId="77777777" w:rsidR="00416EEE" w:rsidRPr="002D3BB7" w:rsidRDefault="00416EEE" w:rsidP="00487401">
            <w:pPr>
              <w:pStyle w:val="Contenudetableau"/>
              <w:cnfStyle w:val="000000000000" w:firstRow="0" w:lastRow="0" w:firstColumn="0" w:lastColumn="0" w:oddVBand="0" w:evenVBand="0" w:oddHBand="0" w:evenHBand="0" w:firstRowFirstColumn="0" w:firstRowLastColumn="0" w:lastRowFirstColumn="0" w:lastRowLastColumn="0"/>
              <w:rPr>
                <w:b/>
                <w:sz w:val="18"/>
                <w:szCs w:val="18"/>
              </w:rPr>
            </w:pPr>
            <w:r w:rsidRPr="002D3BB7">
              <w:rPr>
                <w:b/>
                <w:sz w:val="18"/>
                <w:szCs w:val="18"/>
              </w:rPr>
              <w:t>25%</w:t>
            </w:r>
          </w:p>
        </w:tc>
      </w:tr>
      <w:tr w:rsidR="00416EEE" w:rsidRPr="002D3BB7" w14:paraId="14D61318"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488347C" w14:textId="77777777" w:rsidR="00416EEE" w:rsidRPr="002D3BB7" w:rsidRDefault="00416EEE" w:rsidP="00487401">
            <w:pPr>
              <w:pStyle w:val="Contenudetableau"/>
              <w:jc w:val="right"/>
              <w:rPr>
                <w:b w:val="0"/>
                <w:sz w:val="18"/>
                <w:szCs w:val="18"/>
              </w:rPr>
            </w:pPr>
            <w:r w:rsidRPr="002D3BB7">
              <w:rPr>
                <w:b w:val="0"/>
                <w:sz w:val="18"/>
                <w:szCs w:val="18"/>
              </w:rPr>
              <w:t>Ryegrass mixture silage (Egyptian &amp; Persian clover)</w:t>
            </w:r>
          </w:p>
        </w:tc>
        <w:tc>
          <w:tcPr>
            <w:tcW w:w="0" w:type="auto"/>
          </w:tcPr>
          <w:p w14:paraId="4852355D" w14:textId="77777777" w:rsidR="00416EEE" w:rsidRPr="002D3BB7" w:rsidRDefault="00416EEE" w:rsidP="00487401">
            <w:pPr>
              <w:pStyle w:val="Contenudetableau"/>
              <w:cnfStyle w:val="000000100000" w:firstRow="0" w:lastRow="0" w:firstColumn="0" w:lastColumn="0" w:oddVBand="0" w:evenVBand="0" w:oddHBand="1" w:evenHBand="0" w:firstRowFirstColumn="0" w:firstRowLastColumn="0" w:lastRowFirstColumn="0" w:lastRowLastColumn="0"/>
              <w:rPr>
                <w:b/>
                <w:sz w:val="18"/>
                <w:szCs w:val="18"/>
              </w:rPr>
            </w:pPr>
            <w:r w:rsidRPr="002D3BB7">
              <w:rPr>
                <w:b/>
                <w:sz w:val="18"/>
                <w:szCs w:val="18"/>
              </w:rPr>
              <w:t>12.5%</w:t>
            </w:r>
          </w:p>
        </w:tc>
      </w:tr>
      <w:tr w:rsidR="00416EEE" w:rsidRPr="002D3BB7" w14:paraId="2D37D7CA"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73A73F2E" w14:textId="77777777" w:rsidR="00416EEE" w:rsidRPr="002D3BB7" w:rsidRDefault="00416EEE" w:rsidP="00487401">
            <w:pPr>
              <w:pStyle w:val="Contenudetableau"/>
              <w:jc w:val="right"/>
              <w:rPr>
                <w:b w:val="0"/>
                <w:sz w:val="18"/>
                <w:szCs w:val="18"/>
              </w:rPr>
            </w:pPr>
            <w:r w:rsidRPr="002D3BB7">
              <w:rPr>
                <w:b w:val="0"/>
                <w:sz w:val="18"/>
                <w:szCs w:val="18"/>
              </w:rPr>
              <w:t>Ryegrass mixture silage (Egyptian &amp; Red clover)</w:t>
            </w:r>
          </w:p>
        </w:tc>
        <w:tc>
          <w:tcPr>
            <w:tcW w:w="0" w:type="auto"/>
          </w:tcPr>
          <w:p w14:paraId="722FC224" w14:textId="77777777" w:rsidR="00416EEE" w:rsidRPr="002D3BB7" w:rsidRDefault="00416EEE" w:rsidP="00487401">
            <w:pPr>
              <w:pStyle w:val="Contenudetableau"/>
              <w:cnfStyle w:val="000000000000" w:firstRow="0" w:lastRow="0" w:firstColumn="0" w:lastColumn="0" w:oddVBand="0" w:evenVBand="0" w:oddHBand="0" w:evenHBand="0" w:firstRowFirstColumn="0" w:firstRowLastColumn="0" w:lastRowFirstColumn="0" w:lastRowLastColumn="0"/>
              <w:rPr>
                <w:b/>
                <w:sz w:val="18"/>
                <w:szCs w:val="18"/>
              </w:rPr>
            </w:pPr>
            <w:r w:rsidRPr="002D3BB7">
              <w:rPr>
                <w:b/>
                <w:sz w:val="18"/>
                <w:szCs w:val="18"/>
              </w:rPr>
              <w:t>12.5%</w:t>
            </w:r>
          </w:p>
        </w:tc>
      </w:tr>
    </w:tbl>
    <w:p w14:paraId="525E2BD6" w14:textId="16347E73" w:rsidR="00416EEE" w:rsidRDefault="00416EEE" w:rsidP="00416EEE">
      <w:pPr>
        <w:jc w:val="center"/>
        <w:rPr>
          <w:sz w:val="18"/>
        </w:rPr>
      </w:pPr>
    </w:p>
    <w:p w14:paraId="76E3AEA8" w14:textId="0C18BDD2" w:rsidR="00ED65B5" w:rsidRPr="00ED65B5" w:rsidRDefault="00ED65B5" w:rsidP="00ED65B5">
      <w:pPr>
        <w:jc w:val="both"/>
      </w:pPr>
      <w:r w:rsidRPr="00ED65B5">
        <w:t>Proposed modeling</w:t>
      </w:r>
      <w:r>
        <w:t xml:space="preserve"> enables to express any ingredient </w:t>
      </w:r>
      <w:r w:rsidR="002D3BB7">
        <w:t>with its</w:t>
      </w:r>
      <w:r>
        <w:t xml:space="preserve"> equivalent in terms of feed service this would supply if entering feed markets</w:t>
      </w:r>
      <w:r w:rsidR="00D27762">
        <w:t xml:space="preserve"> (</w:t>
      </w:r>
      <w:r w:rsidR="00D27762" w:rsidRPr="00D27762">
        <w:rPr>
          <w:b/>
        </w:rPr>
        <w:fldChar w:fldCharType="begin"/>
      </w:r>
      <w:r w:rsidR="00D27762" w:rsidRPr="00D27762">
        <w:rPr>
          <w:b/>
        </w:rPr>
        <w:instrText xml:space="preserve"> REF _Ref144743142 \h </w:instrText>
      </w:r>
      <w:r w:rsidR="00D27762">
        <w:rPr>
          <w:b/>
        </w:rPr>
        <w:instrText xml:space="preserve"> \* MERGEFORMAT </w:instrText>
      </w:r>
      <w:r w:rsidR="00D27762" w:rsidRPr="00D27762">
        <w:rPr>
          <w:b/>
        </w:rPr>
      </w:r>
      <w:r w:rsidR="00D27762" w:rsidRPr="00D27762">
        <w:rPr>
          <w:b/>
        </w:rPr>
        <w:fldChar w:fldCharType="separate"/>
      </w:r>
      <w:r w:rsidR="00F25F8C" w:rsidRPr="00F25F8C">
        <w:rPr>
          <w:b/>
        </w:rPr>
        <w:t xml:space="preserve">Table SI. </w:t>
      </w:r>
      <w:r w:rsidR="00F25F8C" w:rsidRPr="00F25F8C">
        <w:rPr>
          <w:b/>
          <w:noProof/>
        </w:rPr>
        <w:t>21</w:t>
      </w:r>
      <w:r w:rsidR="00D27762" w:rsidRPr="00D27762">
        <w:rPr>
          <w:b/>
        </w:rPr>
        <w:fldChar w:fldCharType="end"/>
      </w:r>
      <w:r w:rsidR="00D27762">
        <w:t>)</w:t>
      </w:r>
      <w:r>
        <w:t xml:space="preserve">. </w:t>
      </w:r>
      <w:r w:rsidR="00F63174">
        <w:t>Yet, t</w:t>
      </w:r>
      <w:r>
        <w:t xml:space="preserve">his equivalent is a function of </w:t>
      </w:r>
      <w:r w:rsidR="00F63174">
        <w:t xml:space="preserve">the suppliers which would be displaced </w:t>
      </w:r>
      <w:r>
        <w:t>(</w:t>
      </w:r>
      <w:r w:rsidRPr="00ED65B5">
        <w:rPr>
          <w:b/>
        </w:rPr>
        <w:fldChar w:fldCharType="begin"/>
      </w:r>
      <w:r w:rsidRPr="00ED65B5">
        <w:rPr>
          <w:b/>
        </w:rPr>
        <w:instrText xml:space="preserve"> REF _Ref144741457 \h </w:instrText>
      </w:r>
      <w:r>
        <w:rPr>
          <w:b/>
        </w:rPr>
        <w:instrText xml:space="preserve"> \* MERGEFORMAT </w:instrText>
      </w:r>
      <w:r w:rsidRPr="00ED65B5">
        <w:rPr>
          <w:b/>
        </w:rPr>
      </w:r>
      <w:r w:rsidRPr="00ED65B5">
        <w:rPr>
          <w:b/>
        </w:rPr>
        <w:fldChar w:fldCharType="separate"/>
      </w:r>
      <w:r w:rsidR="00F25F8C" w:rsidRPr="00F25F8C">
        <w:rPr>
          <w:b/>
        </w:rPr>
        <w:t xml:space="preserve">Table SI. </w:t>
      </w:r>
      <w:r w:rsidR="00F25F8C" w:rsidRPr="00F25F8C">
        <w:rPr>
          <w:b/>
          <w:noProof/>
        </w:rPr>
        <w:t>19</w:t>
      </w:r>
      <w:r w:rsidRPr="00ED65B5">
        <w:rPr>
          <w:b/>
        </w:rPr>
        <w:fldChar w:fldCharType="end"/>
      </w:r>
      <w:r>
        <w:t xml:space="preserve"> and </w:t>
      </w:r>
      <w:r w:rsidRPr="00ED65B5">
        <w:rPr>
          <w:b/>
        </w:rPr>
        <w:fldChar w:fldCharType="begin"/>
      </w:r>
      <w:r w:rsidRPr="00ED65B5">
        <w:rPr>
          <w:b/>
        </w:rPr>
        <w:instrText xml:space="preserve"> REF _Ref144742220 \h </w:instrText>
      </w:r>
      <w:r>
        <w:rPr>
          <w:b/>
        </w:rPr>
        <w:instrText xml:space="preserve"> \* MERGEFORMAT </w:instrText>
      </w:r>
      <w:r w:rsidRPr="00ED65B5">
        <w:rPr>
          <w:b/>
        </w:rPr>
      </w:r>
      <w:r w:rsidRPr="00ED65B5">
        <w:rPr>
          <w:b/>
        </w:rPr>
        <w:fldChar w:fldCharType="separate"/>
      </w:r>
      <w:r w:rsidR="00F25F8C" w:rsidRPr="00F25F8C">
        <w:rPr>
          <w:b/>
        </w:rPr>
        <w:t xml:space="preserve">Table SI. </w:t>
      </w:r>
      <w:r w:rsidR="00F25F8C" w:rsidRPr="00F25F8C">
        <w:rPr>
          <w:b/>
          <w:noProof/>
        </w:rPr>
        <w:t>20</w:t>
      </w:r>
      <w:r w:rsidRPr="00ED65B5">
        <w:rPr>
          <w:b/>
        </w:rPr>
        <w:fldChar w:fldCharType="end"/>
      </w:r>
      <w:r w:rsidRPr="00ED65B5">
        <w:t>)</w:t>
      </w:r>
      <w:r w:rsidR="00F63174">
        <w:t xml:space="preserve">, </w:t>
      </w:r>
      <w:r w:rsidR="003939F9">
        <w:t>requiring an additional layer of hypothesis</w:t>
      </w:r>
      <w:r>
        <w:rPr>
          <w:b/>
        </w:rPr>
        <w:t>.</w:t>
      </w:r>
    </w:p>
    <w:p w14:paraId="6B83ED9E" w14:textId="36BDBCE8" w:rsidR="00416EEE" w:rsidRDefault="00487401" w:rsidP="006B5342">
      <w:pPr>
        <w:pStyle w:val="Lgende"/>
        <w:jc w:val="left"/>
        <w:rPr>
          <w:highlight w:val="yellow"/>
        </w:rPr>
      </w:pPr>
      <w:bookmarkStart w:id="105" w:name="_Ref144743142"/>
      <w:bookmarkStart w:id="106" w:name="_Toc128061479"/>
      <w:bookmarkStart w:id="107" w:name="_Toc151967905"/>
      <w:r>
        <w:t>Table SI.</w:t>
      </w:r>
      <w:r w:rsidR="00416EEE">
        <w:t xml:space="preserve"> </w:t>
      </w:r>
      <w:r>
        <w:fldChar w:fldCharType="begin"/>
      </w:r>
      <w:r>
        <w:instrText xml:space="preserve"> SEQ Table_SI. \* ARABIC </w:instrText>
      </w:r>
      <w:r>
        <w:fldChar w:fldCharType="separate"/>
      </w:r>
      <w:r w:rsidR="00F25F8C">
        <w:rPr>
          <w:noProof/>
        </w:rPr>
        <w:t>21</w:t>
      </w:r>
      <w:r>
        <w:fldChar w:fldCharType="end"/>
      </w:r>
      <w:bookmarkEnd w:id="105"/>
      <w:r w:rsidR="00416EEE">
        <w:t xml:space="preserve"> </w:t>
      </w:r>
      <w:r w:rsidR="00416EEE" w:rsidRPr="00B1022E">
        <w:t>– Nutritional value of marginal feed ingredients</w:t>
      </w:r>
      <w:bookmarkEnd w:id="106"/>
      <w:bookmarkEnd w:id="107"/>
    </w:p>
    <w:tbl>
      <w:tblPr>
        <w:tblStyle w:val="Tableausimple2"/>
        <w:tblW w:w="0" w:type="auto"/>
        <w:tblLook w:val="04A0" w:firstRow="1" w:lastRow="0" w:firstColumn="1" w:lastColumn="0" w:noHBand="0" w:noVBand="1"/>
      </w:tblPr>
      <w:tblGrid>
        <w:gridCol w:w="1824"/>
        <w:gridCol w:w="1000"/>
      </w:tblGrid>
      <w:tr w:rsidR="00416EEE" w:rsidRPr="002D3BB7" w14:paraId="13DAE1E8"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F3FBFC9" w14:textId="77777777" w:rsidR="00416EEE" w:rsidRPr="002D3BB7" w:rsidRDefault="00416EEE" w:rsidP="00487401">
            <w:pPr>
              <w:jc w:val="right"/>
              <w:rPr>
                <w:sz w:val="18"/>
                <w:szCs w:val="18"/>
              </w:rPr>
            </w:pPr>
            <w:r w:rsidRPr="002D3BB7">
              <w:rPr>
                <w:sz w:val="18"/>
                <w:szCs w:val="18"/>
              </w:rPr>
              <w:t>Marginal feed service</w:t>
            </w:r>
          </w:p>
        </w:tc>
        <w:tc>
          <w:tcPr>
            <w:tcW w:w="0" w:type="auto"/>
          </w:tcPr>
          <w:p w14:paraId="0BAD5678" w14:textId="77777777" w:rsidR="00416EEE" w:rsidRPr="002D3BB7" w:rsidRDefault="00416EEE" w:rsidP="00487401">
            <w:pPr>
              <w:cnfStyle w:val="100000000000" w:firstRow="1" w:lastRow="0" w:firstColumn="0" w:lastColumn="0" w:oddVBand="0" w:evenVBand="0" w:oddHBand="0" w:evenHBand="0" w:firstRowFirstColumn="0" w:firstRowLastColumn="0" w:lastRowFirstColumn="0" w:lastRowLastColumn="0"/>
              <w:rPr>
                <w:sz w:val="18"/>
                <w:szCs w:val="18"/>
              </w:rPr>
            </w:pPr>
            <w:r w:rsidRPr="002D3BB7">
              <w:rPr>
                <w:sz w:val="18"/>
                <w:szCs w:val="18"/>
              </w:rPr>
              <w:t>SFU.kg</w:t>
            </w:r>
            <w:r w:rsidRPr="002D3BB7">
              <w:rPr>
                <w:sz w:val="18"/>
                <w:szCs w:val="18"/>
                <w:vertAlign w:val="subscript"/>
              </w:rPr>
              <w:t>DM</w:t>
            </w:r>
            <w:r w:rsidRPr="002D3BB7">
              <w:rPr>
                <w:sz w:val="18"/>
                <w:szCs w:val="18"/>
                <w:vertAlign w:val="superscript"/>
              </w:rPr>
              <w:t>-1</w:t>
            </w:r>
          </w:p>
        </w:tc>
      </w:tr>
      <w:tr w:rsidR="00416EEE" w:rsidRPr="002D3BB7" w14:paraId="15153EBE"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F19507B" w14:textId="77777777" w:rsidR="00416EEE" w:rsidRPr="002D3BB7" w:rsidRDefault="00416EEE" w:rsidP="00487401">
            <w:pPr>
              <w:jc w:val="right"/>
              <w:rPr>
                <w:sz w:val="18"/>
                <w:szCs w:val="18"/>
              </w:rPr>
            </w:pPr>
            <w:r w:rsidRPr="002D3BB7">
              <w:rPr>
                <w:sz w:val="18"/>
                <w:szCs w:val="18"/>
              </w:rPr>
              <w:t>Protein feed</w:t>
            </w:r>
          </w:p>
        </w:tc>
        <w:tc>
          <w:tcPr>
            <w:tcW w:w="0" w:type="auto"/>
          </w:tcPr>
          <w:p w14:paraId="1931584D" w14:textId="77777777" w:rsidR="00416EEE" w:rsidRPr="002D3BB7" w:rsidRDefault="00416EEE" w:rsidP="00487401">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1.10</w:t>
            </w:r>
          </w:p>
        </w:tc>
      </w:tr>
      <w:tr w:rsidR="00416EEE" w:rsidRPr="002D3BB7" w14:paraId="5C18F810"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6B14BE69" w14:textId="77777777" w:rsidR="00416EEE" w:rsidRPr="002D3BB7" w:rsidRDefault="00416EEE" w:rsidP="00487401">
            <w:pPr>
              <w:jc w:val="right"/>
              <w:rPr>
                <w:sz w:val="18"/>
                <w:szCs w:val="18"/>
              </w:rPr>
            </w:pPr>
            <w:r w:rsidRPr="002D3BB7">
              <w:rPr>
                <w:sz w:val="18"/>
                <w:szCs w:val="18"/>
              </w:rPr>
              <w:t>Lipid feed</w:t>
            </w:r>
          </w:p>
        </w:tc>
        <w:tc>
          <w:tcPr>
            <w:tcW w:w="0" w:type="auto"/>
          </w:tcPr>
          <w:p w14:paraId="15D9B59D" w14:textId="77777777" w:rsidR="00416EEE" w:rsidRPr="002D3BB7" w:rsidRDefault="00416EEE" w:rsidP="00487401">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1.16</w:t>
            </w:r>
          </w:p>
        </w:tc>
      </w:tr>
      <w:tr w:rsidR="00416EEE" w:rsidRPr="002D3BB7" w14:paraId="006B13D6"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4F16836" w14:textId="77777777" w:rsidR="00416EEE" w:rsidRPr="002D3BB7" w:rsidRDefault="00416EEE" w:rsidP="00487401">
            <w:pPr>
              <w:jc w:val="right"/>
              <w:rPr>
                <w:sz w:val="18"/>
                <w:szCs w:val="18"/>
              </w:rPr>
            </w:pPr>
            <w:r w:rsidRPr="002D3BB7">
              <w:rPr>
                <w:sz w:val="18"/>
                <w:szCs w:val="18"/>
              </w:rPr>
              <w:t>Energy feed</w:t>
            </w:r>
          </w:p>
        </w:tc>
        <w:tc>
          <w:tcPr>
            <w:tcW w:w="0" w:type="auto"/>
          </w:tcPr>
          <w:p w14:paraId="7C37B6C1" w14:textId="77777777" w:rsidR="00416EEE" w:rsidRPr="002D3BB7" w:rsidRDefault="00416EEE" w:rsidP="00487401">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2.73</w:t>
            </w:r>
          </w:p>
        </w:tc>
      </w:tr>
      <w:tr w:rsidR="00416EEE" w:rsidRPr="002D3BB7" w14:paraId="447F6037"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26E4A6D3" w14:textId="77777777" w:rsidR="00416EEE" w:rsidRPr="002D3BB7" w:rsidRDefault="00416EEE" w:rsidP="00487401">
            <w:pPr>
              <w:jc w:val="right"/>
              <w:rPr>
                <w:sz w:val="18"/>
                <w:szCs w:val="18"/>
              </w:rPr>
            </w:pPr>
            <w:r w:rsidRPr="002D3BB7">
              <w:rPr>
                <w:sz w:val="18"/>
                <w:szCs w:val="18"/>
              </w:rPr>
              <w:t>Roughage feed</w:t>
            </w:r>
          </w:p>
        </w:tc>
        <w:tc>
          <w:tcPr>
            <w:tcW w:w="0" w:type="auto"/>
          </w:tcPr>
          <w:p w14:paraId="2CE0BB54" w14:textId="77777777" w:rsidR="00416EEE" w:rsidRPr="002D3BB7" w:rsidRDefault="00416EEE" w:rsidP="00487401">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0.60</w:t>
            </w:r>
          </w:p>
        </w:tc>
      </w:tr>
    </w:tbl>
    <w:p w14:paraId="659B063E" w14:textId="2C36E926" w:rsidR="00416EEE" w:rsidRDefault="00416EEE" w:rsidP="006B5342">
      <w:pPr>
        <w:rPr>
          <w:sz w:val="18"/>
        </w:rPr>
      </w:pPr>
      <w:r w:rsidRPr="008E0A09">
        <w:rPr>
          <w:sz w:val="18"/>
        </w:rPr>
        <w:t xml:space="preserve">SFU </w:t>
      </w:r>
      <w:r w:rsidR="00D27762">
        <w:rPr>
          <w:sz w:val="18"/>
        </w:rPr>
        <w:t>stands for Scandinavian Feed Unit</w:t>
      </w:r>
      <w:r w:rsidRPr="008E0A09">
        <w:rPr>
          <w:sz w:val="18"/>
        </w:rPr>
        <w:t>. Rounded to two digits</w:t>
      </w:r>
    </w:p>
    <w:p w14:paraId="44F4F0C6" w14:textId="0688DA8F" w:rsidR="008A1882" w:rsidRPr="00A66A35" w:rsidRDefault="008A1882" w:rsidP="008A1882">
      <w:pPr>
        <w:pStyle w:val="Titre4"/>
      </w:pPr>
      <w:bookmarkStart w:id="108" w:name="_Toc125927276"/>
      <w:bookmarkStart w:id="109" w:name="_Toc128061432"/>
      <w:r w:rsidRPr="00A66A35">
        <w:t>Food markets</w:t>
      </w:r>
      <w:bookmarkEnd w:id="108"/>
      <w:bookmarkEnd w:id="109"/>
      <w:r>
        <w:t xml:space="preserve"> and services modeling </w:t>
      </w:r>
    </w:p>
    <w:p w14:paraId="23CA1214" w14:textId="0FED21AD" w:rsidR="00D31C73" w:rsidRPr="0033039D" w:rsidRDefault="00D31C73" w:rsidP="00D31C73">
      <w:pPr>
        <w:jc w:val="both"/>
      </w:pPr>
      <w:r>
        <w:t>The studied pathways provided</w:t>
      </w:r>
      <w:r w:rsidR="009A6151">
        <w:t xml:space="preserve"> novel foods</w:t>
      </w:r>
      <w:r>
        <w:t xml:space="preserve"> target</w:t>
      </w:r>
      <w:r w:rsidR="00120256">
        <w:t>ing</w:t>
      </w:r>
      <w:r>
        <w:t xml:space="preserve"> two different</w:t>
      </w:r>
      <w:r w:rsidR="009A6151">
        <w:t xml:space="preserve"> </w:t>
      </w:r>
      <w:r>
        <w:t>markets: the flour-equivalent (SSF_food)</w:t>
      </w:r>
      <w:r w:rsidR="00416EEE" w:rsidRPr="00416EEE">
        <w:fldChar w:fldCharType="begin"/>
      </w:r>
      <w:r w:rsidR="00682E10">
        <w:instrText xml:space="preserve"> ADDIN ZOTERO_ITEM CSL_CITATION {"citationID":"a6cq91qtvl","properties":{"formattedCitation":"\\super 4\\nosupersub{}","plainCitation":"4","noteIndex":0},"citationItems":[{"id":13553,"uris":["http://zotero.org/users/6423791/items/EU8KLJZY"],"itemData":{"id":13553,"type":"article-journal","abstract":"Transforming residual biomass into edible ingredients is increasingly\npromoted to alleviate the environmental impacts of food systems. Yet,\nthese approaches mostly rely on emerging technologies and constrained\nresources, and their environmental benefits remain unclear. By combining\nprocess-based consequential life cycle analysis, uncertainty assessment\nand biomass resource estimation, we quantified the impacts of deploying\nwaste-to-nutrition pathways, here applied to the upgrading of agrifood\nco-products by solid-state fermentation (SSF). The benefits of reducing the\ndemand for soybean meal by enhancing the protein concentration of feed\nthrough SSF do not compensate for the environmental burdens induced\nby the process on climate change, water depletion and land use. Besides\nunlocking feed markets to low-feed-quality streams, SSF outperforms\nenergy valorization for most environmental impacts but is less competitive\nto mitigate climate change. Yet, SSF yields overall environmental benefits\nwhen unlocking food markets rather than supplying feed and energy\nservices. Systematic methodological harmonization is required to assess the\npotential of novel ingredients, as outcomes vary according to the displaced\nfood and feed baskets, and related land use changes.","container-title":"Nature Food","DOI":"10.1038/s43016-022-00621-9","journalAbbreviation":"Nat Food","language":"en","page":"911-920","title":"Upgrading agrifood co-products via solid fermentation yields environmental benefits under specific conditions only","volume":"3","author":[{"family":"Javourez","given":"Ugo"},{"family":"Rosero Delgado","given":"Ernesto Alonso"},{"family":"Hamelin","given":"Lorie"}],"issued":{"date-parts":[["2022",10,31]]}}}],"schema":"https://github.com/citation-style-language/schema/raw/master/csl-citation.json"} </w:instrText>
      </w:r>
      <w:r w:rsidR="00416EEE" w:rsidRPr="00416EEE">
        <w:fldChar w:fldCharType="separate"/>
      </w:r>
      <w:r w:rsidR="00682E10" w:rsidRPr="00682E10">
        <w:rPr>
          <w:rFonts w:ascii="Calibri" w:hAnsi="Calibri" w:cs="Calibri"/>
          <w:szCs w:val="24"/>
          <w:vertAlign w:val="superscript"/>
        </w:rPr>
        <w:t>4</w:t>
      </w:r>
      <w:r w:rsidR="00416EEE" w:rsidRPr="00416EEE">
        <w:fldChar w:fldCharType="end"/>
      </w:r>
      <w:r>
        <w:t xml:space="preserve"> and the meat-equivalent (Myco_food, BSF_food). As described in corresponding mode</w:t>
      </w:r>
      <w:r w:rsidR="00655BBB">
        <w:t>l</w:t>
      </w:r>
      <w:r>
        <w:t>’s description, m</w:t>
      </w:r>
      <w:r w:rsidRPr="003F5DA8">
        <w:t xml:space="preserve">eat-equivalent is a category of </w:t>
      </w:r>
      <w:bookmarkStart w:id="110" w:name="_Hlk141177148"/>
      <w:r w:rsidRPr="003F5DA8">
        <w:t xml:space="preserve">product </w:t>
      </w:r>
      <w:r>
        <w:t>aiming</w:t>
      </w:r>
      <w:r w:rsidRPr="003F5DA8">
        <w:t xml:space="preserve"> </w:t>
      </w:r>
      <w:r>
        <w:t>at</w:t>
      </w:r>
      <w:r w:rsidRPr="003F5DA8">
        <w:t xml:space="preserve"> mimicking conventional meat products </w:t>
      </w:r>
      <w:bookmarkEnd w:id="110"/>
      <w:r w:rsidRPr="003F5DA8">
        <w:t>(also called meat substitutes). These can be formulated from basically all protein-rich (and food-grade) novel ingredients</w:t>
      </w:r>
      <w:r w:rsidRPr="003F5DA8">
        <w:fldChar w:fldCharType="begin"/>
      </w:r>
      <w:r w:rsidR="008C451C">
        <w:instrText xml:space="preserve"> ADDIN ZOTERO_ITEM CSL_CITATION {"citationID":"9dTpbMot","properties":{"formattedCitation":"\\super 57\\nosupersub{}","plainCitation":"57","noteIndex":0},"citationItems":[{"id":13973,"uris":["http://zotero.org/users/6423791/items/73RCPEXW"],"itemData":{"id":13973,"type":"article-journal","abstract":"The modern food system is characterized with high environmental impact, which is in many cases associated with increased rates of animal production and overconsumption. The adoption of alternatives to meat proteins (insects, plants, mycoprotein, microalgae, cultured meat, etc.) might potentially influence the environmental impact and human health in a positive or negative way but could also trigger indirect impacts with higher consumption rates. Current review provides a condensed analysis on potential environmental impacts, resource consumption rates and unintended trade-offs associated with integration of alternative proteins in complex global food system in the form of meat substitutes. We focus on emissions of greenhouse gases, land use, non-renewable energy use and water footprint highlighted for both ingredients used for meat substitutes and ready products. The benefits and limitations of meat substitution are highlighted in relation to a weight and protein content. The analysis of the recent research literature allowed us to define issues, that require the attention of future studies.","container-title":"Resources, Conservation and Recycling","DOI":"10.1016/j.resconrec.2022.106831","ISSN":"0921-3449","journalAbbreviation":"Resources, Conservation and Recycling","language":"en","page":"106831","source":"ScienceDirect","title":"Meat substitutes: Resource demands and environmental footprints","title-short":"Meat substitutes","volume":"190","author":[{"family":"Smetana","given":"Sergiy"},{"family":"Ristic","given":"Dusan"},{"family":"Pleissner","given":"Daniel"},{"family":"Tuomisto","given":"Hanna L."},{"family":"Parniakov","given":"Oleksii"},{"family":"Heinz","given":"Volker"}],"issued":{"date-parts":[["2023",3,1]]}}}],"schema":"https://github.com/citation-style-language/schema/raw/master/csl-citation.json"} </w:instrText>
      </w:r>
      <w:r w:rsidRPr="003F5DA8">
        <w:fldChar w:fldCharType="separate"/>
      </w:r>
      <w:r w:rsidR="008C451C" w:rsidRPr="008C451C">
        <w:rPr>
          <w:rFonts w:ascii="Calibri" w:hAnsi="Calibri" w:cs="Calibri"/>
          <w:szCs w:val="24"/>
          <w:vertAlign w:val="superscript"/>
        </w:rPr>
        <w:t>57</w:t>
      </w:r>
      <w:r w:rsidRPr="003F5DA8">
        <w:fldChar w:fldCharType="end"/>
      </w:r>
      <w:r>
        <w:t xml:space="preserve">, and </w:t>
      </w:r>
      <w:r w:rsidRPr="003F5DA8">
        <w:t>are considered key to facilitate the transitions of meat eaters towards lower conventional meat consumption</w:t>
      </w:r>
      <w:r w:rsidRPr="003F5DA8">
        <w:fldChar w:fldCharType="begin"/>
      </w:r>
      <w:r w:rsidR="008C451C">
        <w:instrText xml:space="preserve"> ADDIN ZOTERO_ITEM CSL_CITATION {"citationID":"f70WvUUN","properties":{"formattedCitation":"\\super 58\\nosupersub{}","plainCitation":"58","noteIndex":0},"citationItems":[{"id":3139,"uris":["http://zotero.org/users/6423791/items/M4PCPB72"],"itemData":{"id":3139,"type":"article-journal","abstract":"High levels of meat consumption are increasingly being criticised for ethical, environmental and social reasons. Plant-based meat substitutes have been identified as healthy sources of protein that, in comparison to meat, offer a number of social, environmental and health benefits and may play a role in reducing meat consumption. However, there has been a lack of research on the role they can play in the policy agenda and how specific meat substitute attributes can influence consumers to partially replace meat in their diets. This paper is focused on consumers&amp;rsquo; preferences for so-called meathybrid or plant-meathybrid products. In meathybrids, only a fraction of the meat product (e.g., 20% to 50%) is replaced with plant-based proteins. Research demonstrates that in many countries, consumers are highly attached to meat and consider it as an essential and integral element of their daily diet. For these consumers that are not interested in vegan or vegetarian alternatives as meat substitutes, meathybrids could be a low-threshold option for a more sustainable food consumption behaviour. In this paper, the results of an online survey with 500 German and 501 Belgian consumers are presented. The results show that more than fifty percent of consumers substitute meat at least occasionally. Thus, about half of the respondents reveal an eligible consumption behaviour with respect to sustainability and healthiness, at least sometimes. The applied discrete choice experiment demonstrated that the analysed meat products are the most preferred by consumers. Nonetheless, the tested meathybrid variants with different shares of plant-based proteins took the second position followed by the vegetarian-based alternatives. Therefore, meathybrids could facilitate the diet transition of meat-eaters in the direction toward a more healthy and sustainable consumption. The analysed consumer segment is more open-minded to the meathybrid concept in comparison to the vegetarian substitutes.","container-title":"Foods","DOI":"10.3390/foods10010071","issue":"1","language":"en","license":"http://creativecommons.org/licenses/by/3.0/","note":"number: 1\npublisher: Multidisciplinary Digital Publishing Institute","page":"71","source":"www.mdpi.com","title":"Discrete Choice Analysis of Consumer Preferences for Meathybrids—Findings from Germany and Belgium","volume":"10","author":[{"family":"Profeta","given":"Adriano"},{"family":"Baune","given":"Marie-Christin"},{"family":"Smetana","given":"Sergiy"},{"family":"Broucke","given":"Keshia"},{"family":"Van Royen","given":"Geert"},{"family":"Weiss","given":"Jochen"},{"family":"Heinz","given":"Volker"},{"family":"Terjung","given":"Nino"}],"issued":{"date-parts":[["2021",1]]}}}],"schema":"https://github.com/citation-style-language/schema/raw/master/csl-citation.json"} </w:instrText>
      </w:r>
      <w:r w:rsidRPr="003F5DA8">
        <w:fldChar w:fldCharType="separate"/>
      </w:r>
      <w:r w:rsidR="008C451C" w:rsidRPr="008C451C">
        <w:rPr>
          <w:rFonts w:ascii="Calibri" w:hAnsi="Calibri" w:cs="Calibri"/>
          <w:szCs w:val="24"/>
          <w:vertAlign w:val="superscript"/>
        </w:rPr>
        <w:t>58</w:t>
      </w:r>
      <w:r w:rsidRPr="003F5DA8">
        <w:fldChar w:fldCharType="end"/>
      </w:r>
      <w:r w:rsidRPr="003F5DA8">
        <w:t>.</w:t>
      </w:r>
      <w:r w:rsidR="006B5342">
        <w:t xml:space="preserve"> </w:t>
      </w:r>
      <w:r>
        <w:t xml:space="preserve">It is out of the scope of this study to draw a complete panorama of the dynamics driving the adoption of novel food in human diets. To simplify while still acknowledging that food provides many services beyond their strict nutritional values, a portion-based approach was adopted. This means that the </w:t>
      </w:r>
      <w:r w:rsidR="00797E93">
        <w:t>equivalence</w:t>
      </w:r>
      <w:r>
        <w:t xml:space="preserve"> was considered by direct weight, not by strict nutritional equivalency. This assumption is seen in line with the fact that, in the French context, there is already a</w:t>
      </w:r>
      <w:r w:rsidR="009A6151">
        <w:t xml:space="preserve">n </w:t>
      </w:r>
      <w:r>
        <w:t xml:space="preserve">overconsumption of proteins and calories which does not need full </w:t>
      </w:r>
      <w:r w:rsidR="00797E93">
        <w:t>strict one-by-one nutritional equivalence</w:t>
      </w:r>
      <w:r>
        <w:fldChar w:fldCharType="begin"/>
      </w:r>
      <w:r w:rsidR="008C451C">
        <w:instrText xml:space="preserve"> ADDIN ZOTERO_ITEM CSL_CITATION {"citationID":"ClQLbgOH","properties":{"formattedCitation":"\\super 59\\nosupersub{}","plainCitation":"59","noteIndex":0},"citationItems":[{"id":1031,"uris":["http://zotero.org/users/6423791/items/NV44HS9S"],"itemData":{"id":1031,"type":"book","event-place":"Washington (USA)","ISBN":"978-1-56973-963-1","language":"English","publisher":"World Resource Institute","publisher-place":"Washington (USA)","title":"Creating a sustainable food future: A menu of solutions to feed nearly 10 billion people by 2050. Final Report","URL":"https://agritrop.cirad.fr/593176/1/WRR_Food_Full_Report_0.pdf","author":[{"family":"Searchinger","given":"Tim"},{"family":"Waite","given":"Richard"},{"family":"Hanson","given":"Craig"},{"family":"Ranganathan","given":"Janet"},{"family":"Matthews","given":"Emily"}],"issued":{"date-parts":[["2018",12]]}}}],"schema":"https://github.com/citation-style-language/schema/raw/master/csl-citation.json"} </w:instrText>
      </w:r>
      <w:r>
        <w:fldChar w:fldCharType="separate"/>
      </w:r>
      <w:r w:rsidR="008C451C" w:rsidRPr="008C451C">
        <w:rPr>
          <w:rFonts w:ascii="Calibri" w:hAnsi="Calibri" w:cs="Calibri"/>
          <w:szCs w:val="24"/>
          <w:vertAlign w:val="superscript"/>
        </w:rPr>
        <w:t>59</w:t>
      </w:r>
      <w:r>
        <w:fldChar w:fldCharType="end"/>
      </w:r>
      <w:r>
        <w:t>. Moreover, the novel foods providing a meat-equivalent services</w:t>
      </w:r>
      <w:r w:rsidR="009A6151">
        <w:t xml:space="preserve"> (insects and mycoproteins)</w:t>
      </w:r>
      <w:r>
        <w:t xml:space="preserve"> already host a </w:t>
      </w:r>
      <w:r w:rsidR="009A6151">
        <w:t xml:space="preserve">macronutrients </w:t>
      </w:r>
      <w:r>
        <w:t xml:space="preserve">composition not so far from conventional meat (that is, proteins- and lipids-rich). Accordingly, we considered that such ingredients were formulated in a way that they provide the same sensory properties and satiety than their equivalent in weight of meat portion. This means that the novel food is part of a standardized ready-to-eat formulation, so the </w:t>
      </w:r>
      <w:r w:rsidR="00797E93">
        <w:t>equivalence ratio</w:t>
      </w:r>
      <w:r>
        <w:t xml:space="preserve"> can be assumed on a dry matter basis (to avoid distortions due to different moisture content). This is the same than providing a standardized burger patty in weight from different primary ingredients</w:t>
      </w:r>
      <w:r>
        <w:fldChar w:fldCharType="begin"/>
      </w:r>
      <w:r w:rsidR="008C451C">
        <w:instrText xml:space="preserve"> ADDIN ZOTERO_ITEM CSL_CITATION {"citationID":"zD2YimYk","properties":{"formattedCitation":"\\super 60\\nosupersub{}","plainCitation":"60","noteIndex":0},"citationItems":[{"id":11256,"uris":["http://zotero.org/users/6423791/items/BZ9ELZZV"],"itemData":{"id":11256,"type":"article-journal","abstract":"Substitution of beef with alternative proteins is one practical trend taken by industry and consumers to reduce the negative impact of convenience products on the environment. Numerous products based on plant, insect and fungi proteins compete to replace beef burgers in an environmentally friendly and healthy way. At the same time, there is a lack of studies which assess different options from environmental impact perspective but also with consideration of production scales, recipes, nutritional values, and sensory properties. Therefore, the current study aimed to perform a holistic assessment (Life Cycle Assessment, sensory properties, and nutritional profile) of beef burgers in comparison to selected, alternative burgers, available on the market in Germany. The results indicated that alternative burgers based on plant, insect and mycoprotein biomass would be more environmentally friendly than beef burgers, but only a couple of them (insect-based and soy-based) have satisfying sensory or nutritional properties. Pea-based and mycoprotein-based burgers were perceived as average burgers from an environmental and sensorial perspective. The study demonstrated a sustainability differentiation system of meat analogs in convenience products using the multicriteria framework with inclusion of nutrient scoring, sensorial testing and Life Cycle Assessment.","container-title":"Future Foods","DOI":"10.1016/j.fufo.2021.100042","ISSN":"2666-8335","journalAbbreviation":"Future Foods","language":"en","page":"100042","source":"ScienceDirect","title":"Meat substitution in burgers: nutritional scoring, sensorial testing, and Life Cycle Assessment","title-short":"Meat substitution in burgers","author":[{"family":"Smetana","given":""},{"family":"Profeta","given":"Adriano"},{"family":"Voigt","given":"Rieke"},{"family":"Kircher","given":"Christian"},{"family":"Heinz","given":"Volker"}],"issued":{"date-parts":[["2021",5,1]]}}}],"schema":"https://github.com/citation-style-language/schema/raw/master/csl-citation.json"} </w:instrText>
      </w:r>
      <w:r>
        <w:fldChar w:fldCharType="separate"/>
      </w:r>
      <w:r w:rsidR="008C451C" w:rsidRPr="008C451C">
        <w:rPr>
          <w:rFonts w:ascii="Calibri" w:hAnsi="Calibri" w:cs="Calibri"/>
          <w:szCs w:val="24"/>
          <w:vertAlign w:val="superscript"/>
        </w:rPr>
        <w:t>60</w:t>
      </w:r>
      <w:r>
        <w:fldChar w:fldCharType="end"/>
      </w:r>
      <w:r>
        <w:t xml:space="preserve">. </w:t>
      </w:r>
      <w:r w:rsidRPr="00D606C5">
        <w:rPr>
          <w:rFonts w:cs="Times New Roman"/>
        </w:rPr>
        <w:t xml:space="preserve">The rest of the </w:t>
      </w:r>
      <w:r>
        <w:rPr>
          <w:rFonts w:cs="Times New Roman"/>
        </w:rPr>
        <w:t>diet</w:t>
      </w:r>
      <w:r w:rsidRPr="00D606C5">
        <w:rPr>
          <w:rFonts w:cs="Times New Roman"/>
        </w:rPr>
        <w:t xml:space="preserve"> was assumed unchanged</w:t>
      </w:r>
      <w:r w:rsidRPr="00D606C5">
        <w:rPr>
          <w:rFonts w:cs="Times New Roman"/>
        </w:rPr>
        <w:fldChar w:fldCharType="begin"/>
      </w:r>
      <w:r w:rsidR="008C451C">
        <w:rPr>
          <w:rFonts w:cs="Times New Roman"/>
        </w:rPr>
        <w:instrText xml:space="preserve"> ADDIN ZOTERO_ITEM CSL_CITATION {"citationID":"JmXs6nMT","properties":{"formattedCitation":"\\super 61\\nosupersub{}","plainCitation":"61","noteIndex":0},"citationItems":[{"id":13453,"uris":["http://zotero.org/users/6423791/items/E6YU7VBI"],"itemData":{"id":13453,"type":"article-journal","abstract":"Reducing meat consumption could protect the environment and human health.We tested the impact of a behavioral intervention to reduce meat consumption.Adult volunteers who regularly consumed meat were recruited from the general public and randomized 1:1 to an intervention or control condition. The intervention comprised free meat substitutes for 4 weeks, information about the benefits of eating less meat, success stories, and recipes. The control group received no intervention or advice on dietary change. The primary outcome was daily meat consumption after 4 weeks, assessed by a 7-day food diary, and repeated after 8 weeks as a secondary outcome. Other secondary and exploratory outcomes included the consumption of meat substitutes, cardiovascular risk factors, psychosocial variables related to meat consumption, and the nutritional composition of the diet. We also estimated the intervention's environmental impact. We evaluated the intervention using generalized linear mixed-effects models.Between June 2018 and October 2019, 115 participants were randomized. The baseline meat consumption values were 134 g/d in the control group and 130 g/d in the intervention group. Relative to the control condition, the intervention reduced meat consumption at 4 weeks by 63 g/d (95% CI: 44–82; P &amp;lt; 0.0001; n = 114) and at 8 weeks by 39 g/d (95% CI: 16–62; P = 0.0009; n = 113), adjusting for sex and baseline consumption. The intervention significantly increased the consumption of meat substitutes without changing the intakes of other principal food groups. The intervention increased intentions, positive attitudes, perceived control, and subjective norms of eating a low-meat diet and using meat substitutes, and decreased attachment to meat. At 8 weeks, 55% of intervention recipients identified as meat eaters, compared to 89% of participants in the control group.A behavioral program involving free meat substitutes can reduce meat intake and change psychosocial constructs consistent with a sustained reduction in meat intake.","container-title":"The American Journal of Clinical Nutrition","DOI":"10.1093/ajcn/nqab414","ISSN":"0002-9165","issue":"5","journalAbbreviation":"The American Journal of Clinical Nutrition","page":"1357-1366","source":"Silverchair","title":"Replacing meat with alternative plant-based products (RE-MAP): a randomized controlled trial of a multicomponent behavioral intervention to reduce meat consumption","title-short":"Replacing meat with alternative plant-based products (RE-MAP)","volume":"115","author":[{"family":"Bianchi","given":"Filippo"},{"family":"Stewart","given":"Cristina"},{"family":"Astbury","given":"Nerys M"},{"family":"Cook","given":"Brian"},{"family":"Aveyard","given":"Paul"},{"family":"Jebb","given":"Susan A"}],"issued":{"date-parts":[["2022",5,1]]}}}],"schema":"https://github.com/citation-style-language/schema/raw/master/csl-citation.json"} </w:instrText>
      </w:r>
      <w:r w:rsidRPr="00D606C5">
        <w:rPr>
          <w:rFonts w:cs="Times New Roman"/>
        </w:rPr>
        <w:fldChar w:fldCharType="separate"/>
      </w:r>
      <w:r w:rsidR="008C451C" w:rsidRPr="008C451C">
        <w:rPr>
          <w:rFonts w:ascii="Calibri" w:hAnsi="Calibri" w:cs="Calibri"/>
          <w:szCs w:val="24"/>
          <w:vertAlign w:val="superscript"/>
        </w:rPr>
        <w:t>61</w:t>
      </w:r>
      <w:r w:rsidRPr="00D606C5">
        <w:rPr>
          <w:rFonts w:cs="Times New Roman"/>
        </w:rPr>
        <w:fldChar w:fldCharType="end"/>
      </w:r>
      <w:r w:rsidRPr="00D606C5">
        <w:rPr>
          <w:rFonts w:cs="Times New Roman"/>
        </w:rPr>
        <w:t>.</w:t>
      </w:r>
      <w:r>
        <w:rPr>
          <w:rFonts w:cs="Times New Roman"/>
        </w:rPr>
        <w:t xml:space="preserve"> The ready-to-eat formulation was assumed to have the exact same consumption impacts (e.g. cooking operations) than the product they </w:t>
      </w:r>
      <w:r w:rsidR="00797E93">
        <w:rPr>
          <w:rFonts w:cs="Times New Roman"/>
        </w:rPr>
        <w:t>mimic</w:t>
      </w:r>
      <w:r>
        <w:rPr>
          <w:rFonts w:cs="Times New Roman"/>
        </w:rPr>
        <w:t xml:space="preserve">, meaning that these operations were not modeled. All these simplifications require further refinements, </w:t>
      </w:r>
      <w:r>
        <w:t>particularly when it comes to the quantification of the effects of missing micronutrients in the meat-equivalent service (e.g. B</w:t>
      </w:r>
      <w:r w:rsidRPr="00BD461E">
        <w:rPr>
          <w:vertAlign w:val="subscript"/>
        </w:rPr>
        <w:t>12</w:t>
      </w:r>
      <w:r>
        <w:t>, iron)</w:t>
      </w:r>
      <w:r>
        <w:fldChar w:fldCharType="begin"/>
      </w:r>
      <w:r w:rsidR="008C451C">
        <w:instrText xml:space="preserve"> ADDIN ZOTERO_ITEM CSL_CITATION {"citationID":"NcWDI0QV","properties":{"formattedCitation":"\\super 62\\nosupersub{}","plainCitation":"62","noteIndex":0},"citationItems":[{"id":697,"uris":["http://zotero.org/users/6423791/items/GCQ946PZ"],"itemData":{"id":697,"type":"article-journal","container-title":"Nature Sustainability","DOI":"10.1038/s41893-018-0189-7","ISSN":"2398-9629","issue":"12","journalAbbreviation":"Nat. Sustain.","language":"en","page":"782-789","source":"DOI.org (Crossref)","title":"The potential of future foods for sustainable and healthy diets","volume":"1","author":[{"family":"Parodi","given":"A."},{"family":"Leip","given":"A."},{"family":"De Boer","given":"I. J. M."},{"family":"Slegers","given":"P. M."},{"family":"Ziegler","given":"F."},{"family":"Temme","given":"E. H. M."},{"family":"Herrero","given":"M."},{"family":"Tuomisto","given":"H."},{"family":"Valin","given":"H."},{"family":"Van Middelaar","given":"C. E."},{"family":"Van Loon","given":"J. J. A."},{"family":"Van Zanten","given":"H. H. E."}],"issued":{"date-parts":[["2018",12]]}}}],"schema":"https://github.com/citation-style-language/schema/raw/master/csl-citation.json"} </w:instrText>
      </w:r>
      <w:r>
        <w:fldChar w:fldCharType="separate"/>
      </w:r>
      <w:r w:rsidR="008C451C" w:rsidRPr="008C451C">
        <w:rPr>
          <w:rFonts w:ascii="Calibri" w:hAnsi="Calibri" w:cs="Calibri"/>
          <w:szCs w:val="24"/>
          <w:vertAlign w:val="superscript"/>
        </w:rPr>
        <w:t>62</w:t>
      </w:r>
      <w:r>
        <w:fldChar w:fldCharType="end"/>
      </w:r>
      <w:r>
        <w:t>. These same considerations applied for flour-equivalent services. To generically account for the uncertainty around the real adoption potential of novel meat-equivalent formulations, a</w:t>
      </w:r>
      <w:r w:rsidR="00797E93">
        <w:t xml:space="preserve">n equivalence ratio </w:t>
      </w:r>
      <w:r>
        <w:t xml:space="preserve">was defined as a </w:t>
      </w:r>
      <w:r w:rsidRPr="00416EEE">
        <w:t>parameter (</w:t>
      </w:r>
      <w:r w:rsidR="00416EEE" w:rsidRPr="00C51E07">
        <w:rPr>
          <w:b/>
        </w:rPr>
        <w:fldChar w:fldCharType="begin"/>
      </w:r>
      <w:r w:rsidR="00416EEE" w:rsidRPr="00C51E07">
        <w:rPr>
          <w:b/>
        </w:rPr>
        <w:instrText xml:space="preserve"> REF _Ref144740882 \h  \* MERGEFORMAT </w:instrText>
      </w:r>
      <w:r w:rsidR="00416EEE" w:rsidRPr="00C51E07">
        <w:rPr>
          <w:b/>
        </w:rPr>
      </w:r>
      <w:r w:rsidR="00416EEE" w:rsidRPr="00C51E07">
        <w:rPr>
          <w:b/>
        </w:rPr>
        <w:fldChar w:fldCharType="separate"/>
      </w:r>
      <w:r w:rsidR="00F25F8C" w:rsidRPr="00F25F8C">
        <w:rPr>
          <w:b/>
          <w:noProof/>
        </w:rPr>
        <w:t>Table SI. 22</w:t>
      </w:r>
      <w:r w:rsidR="00416EEE" w:rsidRPr="00C51E07">
        <w:rPr>
          <w:b/>
        </w:rPr>
        <w:fldChar w:fldCharType="end"/>
      </w:r>
      <w:r w:rsidRPr="00C51E07">
        <w:t>)</w:t>
      </w:r>
      <w:r w:rsidRPr="00416EEE">
        <w:t xml:space="preserve">, as performed in </w:t>
      </w:r>
      <w:r w:rsidR="00416EEE" w:rsidRPr="00416EEE">
        <w:t>Javourez et al., (2022)</w:t>
      </w:r>
      <w:r w:rsidR="00416EEE" w:rsidRPr="00416EEE">
        <w:fldChar w:fldCharType="begin"/>
      </w:r>
      <w:r w:rsidR="00682E10">
        <w:instrText xml:space="preserve"> ADDIN ZOTERO_ITEM CSL_CITATION {"citationID":"arqcab95ee","properties":{"formattedCitation":"\\super 4\\nosupersub{}","plainCitation":"4","noteIndex":0},"citationItems":[{"id":13553,"uris":["http://zotero.org/users/6423791/items/EU8KLJZY"],"itemData":{"id":13553,"type":"article-journal","abstract":"Transforming residual biomass into edible ingredients is increasingly\npromoted to alleviate the environmental impacts of food systems. Yet,\nthese approaches mostly rely on emerging technologies and constrained\nresources, and their environmental benefits remain unclear. By combining\nprocess-based consequential life cycle analysis, uncertainty assessment\nand biomass resource estimation, we quantified the impacts of deploying\nwaste-to-nutrition pathways, here applied to the upgrading of agrifood\nco-products by solid-state fermentation (SSF). The benefits of reducing the\ndemand for soybean meal by enhancing the protein concentration of feed\nthrough SSF do not compensate for the environmental burdens induced\nby the process on climate change, water depletion and land use. Besides\nunlocking feed markets to low-feed-quality streams, SSF outperforms\nenergy valorization for most environmental impacts but is less competitive\nto mitigate climate change. Yet, SSF yields overall environmental benefits\nwhen unlocking food markets rather than supplying feed and energy\nservices. Systematic methodological harmonization is required to assess the\npotential of novel ingredients, as outcomes vary according to the displaced\nfood and feed baskets, and related land use changes.","container-title":"Nature Food","DOI":"10.1038/s43016-022-00621-9","journalAbbreviation":"Nat Food","language":"en","page":"911-920","title":"Upgrading agrifood co-products via solid fermentation yields environmental benefits under specific conditions only","volume":"3","author":[{"family":"Javourez","given":"Ugo"},{"family":"Rosero Delgado","given":"Ernesto Alonso"},{"family":"Hamelin","given":"Lorie"}],"issued":{"date-parts":[["2022",10,31]]}}}],"schema":"https://github.com/citation-style-language/schema/raw/master/csl-citation.json"} </w:instrText>
      </w:r>
      <w:r w:rsidR="00416EEE" w:rsidRPr="00416EEE">
        <w:fldChar w:fldCharType="separate"/>
      </w:r>
      <w:r w:rsidR="00682E10" w:rsidRPr="00682E10">
        <w:rPr>
          <w:rFonts w:ascii="Calibri" w:hAnsi="Calibri" w:cs="Calibri"/>
          <w:szCs w:val="24"/>
          <w:vertAlign w:val="superscript"/>
        </w:rPr>
        <w:t>4</w:t>
      </w:r>
      <w:r w:rsidR="00416EEE" w:rsidRPr="00416EEE">
        <w:fldChar w:fldCharType="end"/>
      </w:r>
      <w:r w:rsidRPr="00416EEE">
        <w:t xml:space="preserve"> for the</w:t>
      </w:r>
      <w:r w:rsidRPr="0033039D">
        <w:t xml:space="preserve"> case of SSF_food.</w:t>
      </w:r>
    </w:p>
    <w:p w14:paraId="1A24497B" w14:textId="1E782678" w:rsidR="00D31C73" w:rsidRPr="0033039D" w:rsidRDefault="00874128" w:rsidP="006B5342">
      <w:pPr>
        <w:pStyle w:val="Lgende"/>
        <w:jc w:val="left"/>
        <w:rPr>
          <w:b w:val="0"/>
          <w:i/>
        </w:rPr>
      </w:pPr>
      <w:bookmarkStart w:id="111" w:name="_Ref144740882"/>
      <w:bookmarkStart w:id="112" w:name="_Toc134537596"/>
      <w:bookmarkStart w:id="113" w:name="_Toc151967906"/>
      <w:r>
        <w:lastRenderedPageBreak/>
        <w:t>Table SI.</w:t>
      </w:r>
      <w:r w:rsidR="00D31C73">
        <w:t xml:space="preserve"> </w:t>
      </w:r>
      <w:r>
        <w:fldChar w:fldCharType="begin"/>
      </w:r>
      <w:r>
        <w:instrText xml:space="preserve"> SEQ Table_SI. \* ARABIC </w:instrText>
      </w:r>
      <w:r>
        <w:fldChar w:fldCharType="separate"/>
      </w:r>
      <w:r w:rsidR="00F25F8C">
        <w:rPr>
          <w:noProof/>
        </w:rPr>
        <w:t>22</w:t>
      </w:r>
      <w:r>
        <w:fldChar w:fldCharType="end"/>
      </w:r>
      <w:bookmarkEnd w:id="111"/>
      <w:r w:rsidR="00D31C73">
        <w:t xml:space="preserve"> </w:t>
      </w:r>
      <w:r w:rsidR="00D31C73" w:rsidRPr="00F61C31">
        <w:t>– Parameters specific to food services</w:t>
      </w:r>
      <w:bookmarkEnd w:id="112"/>
      <w:bookmarkEnd w:id="113"/>
    </w:p>
    <w:tbl>
      <w:tblPr>
        <w:tblStyle w:val="Tableausimple2"/>
        <w:tblW w:w="0" w:type="auto"/>
        <w:jc w:val="center"/>
        <w:tblLook w:val="04A0" w:firstRow="1" w:lastRow="0" w:firstColumn="1" w:lastColumn="0" w:noHBand="0" w:noVBand="1"/>
      </w:tblPr>
      <w:tblGrid>
        <w:gridCol w:w="399"/>
        <w:gridCol w:w="1145"/>
        <w:gridCol w:w="537"/>
        <w:gridCol w:w="1306"/>
        <w:gridCol w:w="1418"/>
        <w:gridCol w:w="4237"/>
      </w:tblGrid>
      <w:tr w:rsidR="00D31C73" w:rsidRPr="002D3BB7" w14:paraId="59B17749" w14:textId="77777777" w:rsidTr="002D3BB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7D23C0B5" w14:textId="77777777" w:rsidR="00D31C73" w:rsidRPr="002D3BB7" w:rsidRDefault="00D31C73" w:rsidP="00D31C73">
            <w:pPr>
              <w:rPr>
                <w:sz w:val="18"/>
                <w:szCs w:val="18"/>
              </w:rPr>
            </w:pPr>
            <w:r w:rsidRPr="002D3BB7">
              <w:rPr>
                <w:sz w:val="18"/>
                <w:szCs w:val="18"/>
              </w:rPr>
              <w:t>n°</w:t>
            </w:r>
          </w:p>
        </w:tc>
        <w:tc>
          <w:tcPr>
            <w:tcW w:w="1145" w:type="dxa"/>
          </w:tcPr>
          <w:p w14:paraId="5FA4D577" w14:textId="77777777" w:rsidR="00D31C73" w:rsidRPr="002D3BB7" w:rsidRDefault="00D31C73" w:rsidP="00D31C73">
            <w:pPr>
              <w:jc w:val="right"/>
              <w:cnfStyle w:val="100000000000" w:firstRow="1" w:lastRow="0" w:firstColumn="0" w:lastColumn="0" w:oddVBand="0" w:evenVBand="0" w:oddHBand="0" w:evenHBand="0" w:firstRowFirstColumn="0" w:firstRowLastColumn="0" w:lastRowFirstColumn="0" w:lastRowLastColumn="0"/>
              <w:rPr>
                <w:sz w:val="18"/>
                <w:szCs w:val="18"/>
              </w:rPr>
            </w:pPr>
            <w:r w:rsidRPr="002D3BB7">
              <w:rPr>
                <w:sz w:val="18"/>
                <w:szCs w:val="18"/>
              </w:rPr>
              <w:t>Parameter</w:t>
            </w:r>
          </w:p>
        </w:tc>
        <w:tc>
          <w:tcPr>
            <w:tcW w:w="537" w:type="dxa"/>
          </w:tcPr>
          <w:p w14:paraId="519E1DDB" w14:textId="77777777" w:rsidR="00D31C73" w:rsidRPr="002D3BB7" w:rsidRDefault="00D31C73" w:rsidP="00D31C73">
            <w:pPr>
              <w:cnfStyle w:val="100000000000" w:firstRow="1" w:lastRow="0" w:firstColumn="0" w:lastColumn="0" w:oddVBand="0" w:evenVBand="0" w:oddHBand="0" w:evenHBand="0" w:firstRowFirstColumn="0" w:firstRowLastColumn="0" w:lastRowFirstColumn="0" w:lastRowLastColumn="0"/>
              <w:rPr>
                <w:sz w:val="18"/>
                <w:szCs w:val="18"/>
              </w:rPr>
            </w:pPr>
            <w:r w:rsidRPr="002D3BB7">
              <w:rPr>
                <w:sz w:val="18"/>
                <w:szCs w:val="18"/>
              </w:rPr>
              <w:t>Unit</w:t>
            </w:r>
          </w:p>
        </w:tc>
        <w:tc>
          <w:tcPr>
            <w:tcW w:w="1306" w:type="dxa"/>
          </w:tcPr>
          <w:p w14:paraId="39EC3C6A" w14:textId="77777777" w:rsidR="00D31C73" w:rsidRPr="002D3BB7" w:rsidRDefault="00D31C73" w:rsidP="00D31C73">
            <w:pPr>
              <w:cnfStyle w:val="100000000000" w:firstRow="1" w:lastRow="0" w:firstColumn="0" w:lastColumn="0" w:oddVBand="0" w:evenVBand="0" w:oddHBand="0" w:evenHBand="0" w:firstRowFirstColumn="0" w:firstRowLastColumn="0" w:lastRowFirstColumn="0" w:lastRowLastColumn="0"/>
              <w:rPr>
                <w:sz w:val="18"/>
                <w:szCs w:val="18"/>
              </w:rPr>
            </w:pPr>
            <w:r w:rsidRPr="002D3BB7">
              <w:rPr>
                <w:sz w:val="18"/>
                <w:szCs w:val="18"/>
              </w:rPr>
              <w:t>Baseline value</w:t>
            </w:r>
          </w:p>
        </w:tc>
        <w:tc>
          <w:tcPr>
            <w:tcW w:w="1418" w:type="dxa"/>
          </w:tcPr>
          <w:p w14:paraId="36D690E4" w14:textId="77777777" w:rsidR="00D31C73" w:rsidRPr="002D3BB7" w:rsidRDefault="00D31C73" w:rsidP="00D31C73">
            <w:pPr>
              <w:cnfStyle w:val="100000000000" w:firstRow="1" w:lastRow="0" w:firstColumn="0" w:lastColumn="0" w:oddVBand="0" w:evenVBand="0" w:oddHBand="0" w:evenHBand="0" w:firstRowFirstColumn="0" w:firstRowLastColumn="0" w:lastRowFirstColumn="0" w:lastRowLastColumn="0"/>
              <w:rPr>
                <w:sz w:val="18"/>
                <w:szCs w:val="18"/>
              </w:rPr>
            </w:pPr>
            <w:r w:rsidRPr="002D3BB7">
              <w:rPr>
                <w:sz w:val="18"/>
                <w:szCs w:val="18"/>
              </w:rPr>
              <w:t>Variation range</w:t>
            </w:r>
          </w:p>
        </w:tc>
        <w:tc>
          <w:tcPr>
            <w:tcW w:w="4237" w:type="dxa"/>
          </w:tcPr>
          <w:p w14:paraId="60814142" w14:textId="77777777" w:rsidR="00D31C73" w:rsidRPr="002D3BB7" w:rsidRDefault="00D31C73" w:rsidP="00E9442B">
            <w:pPr>
              <w:cnfStyle w:val="100000000000" w:firstRow="1" w:lastRow="0" w:firstColumn="0" w:lastColumn="0" w:oddVBand="0" w:evenVBand="0" w:oddHBand="0" w:evenHBand="0" w:firstRowFirstColumn="0" w:firstRowLastColumn="0" w:lastRowFirstColumn="0" w:lastRowLastColumn="0"/>
              <w:rPr>
                <w:i/>
                <w:sz w:val="18"/>
                <w:szCs w:val="18"/>
              </w:rPr>
            </w:pPr>
            <w:r w:rsidRPr="002D3BB7">
              <w:rPr>
                <w:i/>
                <w:sz w:val="18"/>
                <w:szCs w:val="18"/>
              </w:rPr>
              <w:t>Comment</w:t>
            </w:r>
          </w:p>
        </w:tc>
      </w:tr>
      <w:tr w:rsidR="00D31C73" w:rsidRPr="002D3BB7" w14:paraId="0EA24963" w14:textId="77777777" w:rsidTr="002D3BB7">
        <w:trPr>
          <w:cnfStyle w:val="000000100000" w:firstRow="0" w:lastRow="0" w:firstColumn="0" w:lastColumn="0" w:oddVBand="0" w:evenVBand="0" w:oddHBand="1" w:evenHBand="0" w:firstRowFirstColumn="0" w:firstRowLastColumn="0" w:lastRowFirstColumn="0" w:lastRowLastColumn="0"/>
          <w:trHeight w:val="1496"/>
          <w:jc w:val="center"/>
        </w:trPr>
        <w:tc>
          <w:tcPr>
            <w:cnfStyle w:val="001000000000" w:firstRow="0" w:lastRow="0" w:firstColumn="1" w:lastColumn="0" w:oddVBand="0" w:evenVBand="0" w:oddHBand="0" w:evenHBand="0" w:firstRowFirstColumn="0" w:firstRowLastColumn="0" w:lastRowFirstColumn="0" w:lastRowLastColumn="0"/>
            <w:tcW w:w="0" w:type="auto"/>
          </w:tcPr>
          <w:p w14:paraId="083A2475" w14:textId="77777777" w:rsidR="00D31C73" w:rsidRPr="002D3BB7" w:rsidRDefault="00D31C73" w:rsidP="00D31C73">
            <w:pPr>
              <w:rPr>
                <w:sz w:val="18"/>
                <w:szCs w:val="18"/>
              </w:rPr>
            </w:pPr>
            <w:r w:rsidRPr="002D3BB7">
              <w:rPr>
                <w:sz w:val="18"/>
                <w:szCs w:val="18"/>
              </w:rPr>
              <w:t>33</w:t>
            </w:r>
          </w:p>
        </w:tc>
        <w:tc>
          <w:tcPr>
            <w:tcW w:w="1145" w:type="dxa"/>
          </w:tcPr>
          <w:p w14:paraId="3995566D" w14:textId="70780B70" w:rsidR="00D31C73" w:rsidRPr="002D3BB7" w:rsidRDefault="00D31C73" w:rsidP="00D31C73">
            <w:pPr>
              <w:jc w:val="right"/>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Meat-equivalent rat</w:t>
            </w:r>
            <w:r w:rsidR="00797E93" w:rsidRPr="002D3BB7">
              <w:rPr>
                <w:sz w:val="18"/>
                <w:szCs w:val="18"/>
              </w:rPr>
              <w:t>io</w:t>
            </w:r>
          </w:p>
        </w:tc>
        <w:tc>
          <w:tcPr>
            <w:tcW w:w="537" w:type="dxa"/>
          </w:tcPr>
          <w:p w14:paraId="312156BC" w14:textId="77777777" w:rsidR="00D31C73" w:rsidRPr="002D3BB7"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w:t>
            </w:r>
            <w:r w:rsidRPr="002D3BB7">
              <w:rPr>
                <w:sz w:val="18"/>
                <w:szCs w:val="18"/>
                <w:vertAlign w:val="subscript"/>
              </w:rPr>
              <w:t>DM</w:t>
            </w:r>
          </w:p>
        </w:tc>
        <w:tc>
          <w:tcPr>
            <w:tcW w:w="1306" w:type="dxa"/>
          </w:tcPr>
          <w:p w14:paraId="67093A8B" w14:textId="77777777" w:rsidR="00D31C73" w:rsidRPr="002D3BB7"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80%</w:t>
            </w:r>
          </w:p>
        </w:tc>
        <w:tc>
          <w:tcPr>
            <w:tcW w:w="1418" w:type="dxa"/>
          </w:tcPr>
          <w:p w14:paraId="6817D4F0" w14:textId="77777777" w:rsidR="00D31C73" w:rsidRPr="002D3BB7" w:rsidRDefault="00D31C73" w:rsidP="00D31C73">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50-100%</w:t>
            </w:r>
          </w:p>
        </w:tc>
        <w:tc>
          <w:tcPr>
            <w:tcW w:w="4237" w:type="dxa"/>
            <w:vMerge w:val="restart"/>
          </w:tcPr>
          <w:p w14:paraId="06C3550B" w14:textId="43331857" w:rsidR="00D31C73" w:rsidRPr="002D3BB7" w:rsidRDefault="00D31C73" w:rsidP="00797E93">
            <w:pPr>
              <w:jc w:val="both"/>
              <w:cnfStyle w:val="000000100000" w:firstRow="0" w:lastRow="0" w:firstColumn="0" w:lastColumn="0" w:oddVBand="0" w:evenVBand="0" w:oddHBand="1" w:evenHBand="0" w:firstRowFirstColumn="0" w:firstRowLastColumn="0" w:lastRowFirstColumn="0" w:lastRowLastColumn="0"/>
              <w:rPr>
                <w:i/>
                <w:sz w:val="18"/>
                <w:szCs w:val="18"/>
              </w:rPr>
            </w:pPr>
            <w:r w:rsidRPr="002D3BB7">
              <w:rPr>
                <w:i/>
                <w:sz w:val="18"/>
                <w:szCs w:val="18"/>
              </w:rPr>
              <w:t xml:space="preserve"> Seen to depend on marketing strategies, organoleptic properties, socio-economic factors, among others.  100% represents the best case: the full </w:t>
            </w:r>
            <w:r w:rsidR="00797E93" w:rsidRPr="002D3BB7">
              <w:rPr>
                <w:i/>
                <w:sz w:val="18"/>
                <w:szCs w:val="18"/>
              </w:rPr>
              <w:t>equivalence</w:t>
            </w:r>
            <w:r w:rsidRPr="002D3BB7">
              <w:rPr>
                <w:i/>
                <w:sz w:val="18"/>
                <w:szCs w:val="18"/>
              </w:rPr>
              <w:t xml:space="preserve"> of meat-equivalent services</w:t>
            </w:r>
            <w:r w:rsidR="00797E93" w:rsidRPr="002D3BB7">
              <w:rPr>
                <w:i/>
                <w:sz w:val="18"/>
                <w:szCs w:val="18"/>
              </w:rPr>
              <w:t xml:space="preserve"> between novel food and conventional meat</w:t>
            </w:r>
            <w:r w:rsidRPr="002D3BB7">
              <w:rPr>
                <w:i/>
                <w:sz w:val="18"/>
                <w:szCs w:val="18"/>
              </w:rPr>
              <w:t>. On the other hand, the displacement paradox</w:t>
            </w:r>
            <w:r w:rsidRPr="002D3BB7">
              <w:rPr>
                <w:i/>
                <w:sz w:val="18"/>
                <w:szCs w:val="18"/>
              </w:rPr>
              <w:fldChar w:fldCharType="begin"/>
            </w:r>
            <w:r w:rsidR="008C451C">
              <w:rPr>
                <w:i/>
                <w:sz w:val="18"/>
                <w:szCs w:val="18"/>
              </w:rPr>
              <w:instrText xml:space="preserve"> ADDIN ZOTERO_ITEM CSL_CITATION {"citationID":"yjquwc3M","properties":{"formattedCitation":"\\super 63\\nosupersub{}","plainCitation":"63","noteIndex":0},"citationItems":[{"id":13821,"uris":["http://zotero.org/users/6423791/items/SVDTYF7J"],"itemData":{"id":13821,"type":"article-journal","abstract":"Industry and governments are increasingly investing in cellular agriculture. However, the trajectory of these technologies is likely to reinforce many current food system problems, particularly power asymmetries.","container-title":"Nature Food","DOI":"10.1038/s43016-022-00609-5","ISSN":"2662-1355","issue":"10","journalAbbreviation":"Nat Food","language":"en","license":"2022 Springer Nature Limited","note":"number: 10\npublisher: Nature Publishing Group","page":"798-800","source":"www.nature.com","title":"Cellular agriculture will reinforce power asymmetries in food systems","volume":"3","author":[{"family":"Howard","given":"Philip H."}],"issued":{"date-parts":[["2022",10]]}}}],"schema":"https://github.com/citation-style-language/schema/raw/master/csl-citation.json"} </w:instrText>
            </w:r>
            <w:r w:rsidRPr="002D3BB7">
              <w:rPr>
                <w:i/>
                <w:sz w:val="18"/>
                <w:szCs w:val="18"/>
              </w:rPr>
              <w:fldChar w:fldCharType="separate"/>
            </w:r>
            <w:r w:rsidR="008C451C" w:rsidRPr="008C451C">
              <w:rPr>
                <w:rFonts w:ascii="Calibri" w:hAnsi="Calibri" w:cs="Calibri"/>
                <w:sz w:val="18"/>
                <w:szCs w:val="24"/>
                <w:vertAlign w:val="superscript"/>
              </w:rPr>
              <w:t>63</w:t>
            </w:r>
            <w:r w:rsidRPr="002D3BB7">
              <w:rPr>
                <w:i/>
                <w:sz w:val="18"/>
                <w:szCs w:val="18"/>
              </w:rPr>
              <w:fldChar w:fldCharType="end"/>
            </w:r>
            <w:r w:rsidRPr="002D3BB7">
              <w:rPr>
                <w:i/>
                <w:sz w:val="18"/>
                <w:szCs w:val="18"/>
              </w:rPr>
              <w:t xml:space="preserve"> is documented enough for other cases (e.g. for meat</w:t>
            </w:r>
            <w:r w:rsidRPr="002D3BB7">
              <w:rPr>
                <w:i/>
                <w:sz w:val="18"/>
                <w:szCs w:val="18"/>
              </w:rPr>
              <w:fldChar w:fldCharType="begin"/>
            </w:r>
            <w:r w:rsidR="008C451C">
              <w:rPr>
                <w:i/>
                <w:sz w:val="18"/>
                <w:szCs w:val="18"/>
              </w:rPr>
              <w:instrText xml:space="preserve"> ADDIN ZOTERO_ITEM CSL_CITATION {"citationID":"Xpuqok9T","properties":{"formattedCitation":"\\super 64\\nosupersub{}","plainCitation":"64","noteIndex":0},"citationItems":[{"id":14051,"uris":["http://zotero.org/users/6423791/items/MSE8RNGK"],"itemData":{"id":14051,"type":"article-journal","abstract":"Meat consumption of all types is a major contributor to climate change and other environmental problems, but poultry and fish and aquatic invertebrates have lower environmental impacts than most other meats. To evaluate whether the growth in consumption of lower-impact meats has suppressed other meat sources, I analysed cross-national panel data for 1961–2013. I found that the increased consumption of poultry and fish and aquatic invertebrates has not suppressed the consumption of other meat sources.","container-title":"Nature Sustainability","DOI":"10.1038/s41893-021-00714-6","ISSN":"2398-9629","issue":"9","journalAbbreviation":"Nat Sustain","language":"en","license":"2021 The Author(s), under exclusive licence to Springer Nature Limited","note":"number: 9\npublisher: Nature Publishing Group","page":"766-768","source":"www.nature.com","title":"Poultry and fish and aquatic invertebrates have not displaced other meat sources","volume":"4","author":[{"family":"York","given":"Richard"}],"issued":{"date-parts":[["2021",9]]}}}],"schema":"https://github.com/citation-style-language/schema/raw/master/csl-citation.json"} </w:instrText>
            </w:r>
            <w:r w:rsidRPr="002D3BB7">
              <w:rPr>
                <w:i/>
                <w:sz w:val="18"/>
                <w:szCs w:val="18"/>
              </w:rPr>
              <w:fldChar w:fldCharType="separate"/>
            </w:r>
            <w:r w:rsidR="008C451C" w:rsidRPr="008C451C">
              <w:rPr>
                <w:rFonts w:ascii="Calibri" w:hAnsi="Calibri" w:cs="Calibri"/>
                <w:sz w:val="18"/>
                <w:szCs w:val="24"/>
                <w:vertAlign w:val="superscript"/>
              </w:rPr>
              <w:t>64</w:t>
            </w:r>
            <w:r w:rsidRPr="002D3BB7">
              <w:rPr>
                <w:i/>
                <w:sz w:val="18"/>
                <w:szCs w:val="18"/>
              </w:rPr>
              <w:fldChar w:fldCharType="end"/>
            </w:r>
            <w:r w:rsidRPr="002D3BB7">
              <w:rPr>
                <w:i/>
                <w:sz w:val="18"/>
                <w:szCs w:val="18"/>
              </w:rPr>
              <w:t xml:space="preserve">) to challenge the fact that the introduction of alternative products on markets will suppress the demand for the initial product. Here, </w:t>
            </w:r>
            <w:r w:rsidR="00797E93" w:rsidRPr="002D3BB7">
              <w:rPr>
                <w:i/>
                <w:sz w:val="18"/>
                <w:szCs w:val="18"/>
              </w:rPr>
              <w:t>a</w:t>
            </w:r>
            <w:r w:rsidRPr="002D3BB7">
              <w:rPr>
                <w:i/>
                <w:sz w:val="18"/>
                <w:szCs w:val="18"/>
              </w:rPr>
              <w:t xml:space="preserve"> 50% </w:t>
            </w:r>
            <w:r w:rsidR="00797E93" w:rsidRPr="002D3BB7">
              <w:rPr>
                <w:i/>
                <w:sz w:val="18"/>
                <w:szCs w:val="18"/>
              </w:rPr>
              <w:t>equivalence</w:t>
            </w:r>
            <w:r w:rsidRPr="002D3BB7">
              <w:rPr>
                <w:i/>
                <w:sz w:val="18"/>
                <w:szCs w:val="18"/>
              </w:rPr>
              <w:t xml:space="preserve"> rate was arbitrarily selected as a threshold where there is no utility for the consumer to buy the novel product. (0% would mean that the novel ingredient just adds to the diet without replacing anything).</w:t>
            </w:r>
          </w:p>
        </w:tc>
      </w:tr>
      <w:tr w:rsidR="00D31C73" w:rsidRPr="002D3BB7" w14:paraId="087DEA48" w14:textId="77777777" w:rsidTr="002D3BB7">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02E60BE6" w14:textId="77777777" w:rsidR="00D31C73" w:rsidRPr="002D3BB7" w:rsidRDefault="00D31C73" w:rsidP="00D31C73">
            <w:pPr>
              <w:rPr>
                <w:sz w:val="18"/>
                <w:szCs w:val="18"/>
              </w:rPr>
            </w:pPr>
            <w:r w:rsidRPr="002D3BB7">
              <w:rPr>
                <w:sz w:val="18"/>
                <w:szCs w:val="18"/>
              </w:rPr>
              <w:t>61</w:t>
            </w:r>
          </w:p>
        </w:tc>
        <w:tc>
          <w:tcPr>
            <w:tcW w:w="1145" w:type="dxa"/>
          </w:tcPr>
          <w:p w14:paraId="4E631B1F" w14:textId="5350423A" w:rsidR="00D31C73" w:rsidRPr="002D3BB7" w:rsidRDefault="00D31C73" w:rsidP="00D31C73">
            <w:pPr>
              <w:jc w:val="right"/>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Flour-equivalent rat</w:t>
            </w:r>
            <w:r w:rsidR="00797E93" w:rsidRPr="002D3BB7">
              <w:rPr>
                <w:sz w:val="18"/>
                <w:szCs w:val="18"/>
              </w:rPr>
              <w:t>io</w:t>
            </w:r>
          </w:p>
        </w:tc>
        <w:tc>
          <w:tcPr>
            <w:tcW w:w="537" w:type="dxa"/>
          </w:tcPr>
          <w:p w14:paraId="4B144051" w14:textId="77777777" w:rsidR="00D31C73" w:rsidRPr="002D3BB7"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w:t>
            </w:r>
            <w:r w:rsidRPr="002D3BB7">
              <w:rPr>
                <w:sz w:val="18"/>
                <w:szCs w:val="18"/>
                <w:vertAlign w:val="subscript"/>
              </w:rPr>
              <w:t>DM</w:t>
            </w:r>
          </w:p>
        </w:tc>
        <w:tc>
          <w:tcPr>
            <w:tcW w:w="1306" w:type="dxa"/>
          </w:tcPr>
          <w:p w14:paraId="62F43BEA" w14:textId="77777777" w:rsidR="00D31C73" w:rsidRPr="002D3BB7"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80%</w:t>
            </w:r>
          </w:p>
        </w:tc>
        <w:tc>
          <w:tcPr>
            <w:tcW w:w="1418" w:type="dxa"/>
          </w:tcPr>
          <w:p w14:paraId="4EAB6DB4" w14:textId="77777777" w:rsidR="00D31C73" w:rsidRPr="002D3BB7" w:rsidRDefault="00D31C73" w:rsidP="00D31C73">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50-100%</w:t>
            </w:r>
          </w:p>
        </w:tc>
        <w:tc>
          <w:tcPr>
            <w:tcW w:w="4237" w:type="dxa"/>
            <w:vMerge/>
          </w:tcPr>
          <w:p w14:paraId="219C693C" w14:textId="77777777" w:rsidR="00D31C73" w:rsidRPr="002D3BB7" w:rsidRDefault="00D31C73" w:rsidP="00D31C73">
            <w:pPr>
              <w:cnfStyle w:val="000000000000" w:firstRow="0" w:lastRow="0" w:firstColumn="0" w:lastColumn="0" w:oddVBand="0" w:evenVBand="0" w:oddHBand="0" w:evenHBand="0" w:firstRowFirstColumn="0" w:firstRowLastColumn="0" w:lastRowFirstColumn="0" w:lastRowLastColumn="0"/>
              <w:rPr>
                <w:i/>
                <w:sz w:val="18"/>
                <w:szCs w:val="18"/>
              </w:rPr>
            </w:pPr>
          </w:p>
        </w:tc>
      </w:tr>
    </w:tbl>
    <w:p w14:paraId="7C2E902C" w14:textId="2685CE52" w:rsidR="00D31C73" w:rsidRPr="002D3BB7" w:rsidRDefault="00D31C73" w:rsidP="006B5342">
      <w:pPr>
        <w:rPr>
          <w:sz w:val="18"/>
        </w:rPr>
      </w:pPr>
      <w:r w:rsidRPr="003F5DA8">
        <w:rPr>
          <w:sz w:val="18"/>
        </w:rPr>
        <w:t xml:space="preserve">Numbering of parameters corresponds to the one </w:t>
      </w:r>
      <w:r>
        <w:rPr>
          <w:sz w:val="18"/>
        </w:rPr>
        <w:t xml:space="preserve">of </w:t>
      </w:r>
      <w:r w:rsidR="00877BEE" w:rsidRPr="002D3BB7">
        <w:rPr>
          <w:b/>
          <w:sz w:val="18"/>
          <w:szCs w:val="18"/>
        </w:rPr>
        <w:fldChar w:fldCharType="begin"/>
      </w:r>
      <w:r w:rsidR="00877BEE" w:rsidRPr="002D3BB7">
        <w:rPr>
          <w:b/>
          <w:sz w:val="18"/>
          <w:szCs w:val="18"/>
        </w:rPr>
        <w:instrText xml:space="preserve"> REF _Ref144914839 \h  \* MERGEFORMAT </w:instrText>
      </w:r>
      <w:r w:rsidR="00877BEE" w:rsidRPr="002D3BB7">
        <w:rPr>
          <w:b/>
          <w:sz w:val="18"/>
          <w:szCs w:val="18"/>
        </w:rPr>
      </w:r>
      <w:r w:rsidR="00877BEE" w:rsidRPr="002D3BB7">
        <w:rPr>
          <w:b/>
          <w:sz w:val="18"/>
          <w:szCs w:val="18"/>
        </w:rPr>
        <w:fldChar w:fldCharType="separate"/>
      </w:r>
      <w:r w:rsidR="00877BEE" w:rsidRPr="002D3BB7">
        <w:rPr>
          <w:b/>
          <w:sz w:val="18"/>
          <w:szCs w:val="18"/>
        </w:rPr>
        <w:t xml:space="preserve">Table SI. </w:t>
      </w:r>
      <w:r w:rsidR="00877BEE" w:rsidRPr="002D3BB7">
        <w:rPr>
          <w:b/>
          <w:noProof/>
          <w:sz w:val="18"/>
          <w:szCs w:val="18"/>
        </w:rPr>
        <w:t>103</w:t>
      </w:r>
      <w:r w:rsidR="00877BEE" w:rsidRPr="002D3BB7">
        <w:rPr>
          <w:b/>
          <w:sz w:val="18"/>
          <w:szCs w:val="18"/>
        </w:rPr>
        <w:fldChar w:fldCharType="end"/>
      </w:r>
      <w:r w:rsidRPr="002D3BB7">
        <w:rPr>
          <w:sz w:val="18"/>
        </w:rPr>
        <w:t>.</w:t>
      </w:r>
    </w:p>
    <w:p w14:paraId="5741701C" w14:textId="42294AF1" w:rsidR="00D27762" w:rsidRPr="00D27762" w:rsidRDefault="00D27762" w:rsidP="00D27762">
      <w:pPr>
        <w:pStyle w:val="Titre3"/>
      </w:pPr>
      <w:bookmarkStart w:id="114" w:name="_Toc145069109"/>
      <w:bookmarkStart w:id="115" w:name="_Ref145069652"/>
      <w:r w:rsidRPr="00D27762">
        <w:t>Energy and fertiliz</w:t>
      </w:r>
      <w:r>
        <w:t>er</w:t>
      </w:r>
      <w:r w:rsidRPr="00D27762">
        <w:t xml:space="preserve"> services</w:t>
      </w:r>
      <w:bookmarkEnd w:id="114"/>
      <w:bookmarkEnd w:id="115"/>
    </w:p>
    <w:p w14:paraId="5C64D640" w14:textId="23D42430" w:rsidR="00D27762" w:rsidRPr="00D27762" w:rsidRDefault="00D27762" w:rsidP="00D27762">
      <w:pPr>
        <w:ind w:firstLine="360"/>
      </w:pPr>
      <w:r w:rsidRPr="00D27762">
        <w:t xml:space="preserve">These services were considered as defined in </w:t>
      </w:r>
      <w:r w:rsidR="002D3BB7">
        <w:t xml:space="preserve">Javourez </w:t>
      </w:r>
      <w:r w:rsidR="002D3BB7" w:rsidRPr="003A663A">
        <w:t>et al., 202</w:t>
      </w:r>
      <w:r w:rsidR="003A663A" w:rsidRPr="003A663A">
        <w:t>4</w:t>
      </w:r>
      <w:r w:rsidR="002D3BB7" w:rsidRPr="003A663A">
        <w:fldChar w:fldCharType="begin"/>
      </w:r>
      <w:r w:rsidR="00827449">
        <w:instrText xml:space="preserve"> ADDIN ZOTERO_ITEM CSL_CITATION {"citationID":"oJkkrQu9","properties":{"formattedCitation":"\\super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2D3BB7" w:rsidRPr="003A663A">
        <w:fldChar w:fldCharType="separate"/>
      </w:r>
      <w:r w:rsidR="008C451C" w:rsidRPr="003A663A">
        <w:rPr>
          <w:rFonts w:ascii="Calibri" w:hAnsi="Calibri" w:cs="Calibri"/>
          <w:szCs w:val="24"/>
          <w:vertAlign w:val="superscript"/>
        </w:rPr>
        <w:t>1</w:t>
      </w:r>
      <w:r w:rsidR="002D3BB7" w:rsidRPr="003A663A">
        <w:fldChar w:fldCharType="end"/>
      </w:r>
      <w:r w:rsidRPr="003A663A">
        <w:t>.</w:t>
      </w:r>
    </w:p>
    <w:p w14:paraId="58D238F7" w14:textId="0476CB60" w:rsidR="00D27762" w:rsidRPr="000A7F72" w:rsidRDefault="00D27762" w:rsidP="00D27762">
      <w:pPr>
        <w:pStyle w:val="Titre3"/>
      </w:pPr>
      <w:bookmarkStart w:id="116" w:name="_Toc145069110"/>
      <w:r w:rsidRPr="000A7F72">
        <w:t>General principles for reuse of the co-products</w:t>
      </w:r>
      <w:bookmarkEnd w:id="116"/>
    </w:p>
    <w:p w14:paraId="13E03400" w14:textId="4600DDB9" w:rsidR="00D27762" w:rsidRDefault="00D27762" w:rsidP="00D27762">
      <w:pPr>
        <w:ind w:firstLine="360"/>
        <w:jc w:val="both"/>
      </w:pPr>
      <w:r>
        <w:t xml:space="preserve">The rationale sustaining the selection of plausible reuse of co-products generated by the studied waste-to-nutrition pathways is summarized in </w:t>
      </w:r>
      <w:r w:rsidRPr="00D27762">
        <w:rPr>
          <w:b/>
        </w:rPr>
        <w:fldChar w:fldCharType="begin"/>
      </w:r>
      <w:r w:rsidRPr="00D27762">
        <w:rPr>
          <w:b/>
        </w:rPr>
        <w:instrText xml:space="preserve"> REF _Ref144743731 \h </w:instrText>
      </w:r>
      <w:r>
        <w:rPr>
          <w:b/>
        </w:rPr>
        <w:instrText xml:space="preserve"> \* MERGEFORMAT </w:instrText>
      </w:r>
      <w:r w:rsidRPr="00D27762">
        <w:rPr>
          <w:b/>
        </w:rPr>
      </w:r>
      <w:r w:rsidRPr="00D27762">
        <w:rPr>
          <w:b/>
        </w:rPr>
        <w:fldChar w:fldCharType="separate"/>
      </w:r>
      <w:r w:rsidR="00F25F8C" w:rsidRPr="00F25F8C">
        <w:rPr>
          <w:b/>
        </w:rPr>
        <w:t xml:space="preserve">Table SI. </w:t>
      </w:r>
      <w:r w:rsidR="00F25F8C" w:rsidRPr="00F25F8C">
        <w:rPr>
          <w:b/>
          <w:noProof/>
        </w:rPr>
        <w:t>23</w:t>
      </w:r>
      <w:r w:rsidRPr="00D27762">
        <w:rPr>
          <w:b/>
        </w:rPr>
        <w:fldChar w:fldCharType="end"/>
      </w:r>
      <w:r>
        <w:t xml:space="preserve"> and based on the </w:t>
      </w:r>
      <w:r w:rsidRPr="0033039D">
        <w:rPr>
          <w:b/>
        </w:rPr>
        <w:t xml:space="preserve">section </w:t>
      </w:r>
      <w:r w:rsidR="003A663A">
        <w:rPr>
          <w:b/>
        </w:rPr>
        <w:t xml:space="preserve">SI. </w:t>
      </w:r>
      <w:r>
        <w:rPr>
          <w:b/>
        </w:rPr>
        <w:fldChar w:fldCharType="begin"/>
      </w:r>
      <w:r>
        <w:rPr>
          <w:b/>
        </w:rPr>
        <w:instrText xml:space="preserve"> REF _Ref144743765 \r \h </w:instrText>
      </w:r>
      <w:r>
        <w:rPr>
          <w:b/>
        </w:rPr>
      </w:r>
      <w:r>
        <w:rPr>
          <w:b/>
        </w:rPr>
        <w:fldChar w:fldCharType="separate"/>
      </w:r>
      <w:r w:rsidR="00F25F8C">
        <w:rPr>
          <w:b/>
        </w:rPr>
        <w:t>2.2</w:t>
      </w:r>
      <w:r>
        <w:rPr>
          <w:b/>
        </w:rPr>
        <w:fldChar w:fldCharType="end"/>
      </w:r>
      <w:r>
        <w:t xml:space="preserve">. Specific technical choices are further detailed in each </w:t>
      </w:r>
      <w:r w:rsidRPr="0033039D">
        <w:t xml:space="preserve">corresponding </w:t>
      </w:r>
      <w:r>
        <w:t>section</w:t>
      </w:r>
      <w:r w:rsidRPr="0033039D">
        <w:t>.</w:t>
      </w:r>
    </w:p>
    <w:p w14:paraId="1B37966E" w14:textId="4FA3DE11" w:rsidR="00D27762" w:rsidRPr="000C72C6" w:rsidRDefault="00D27762" w:rsidP="006B5342">
      <w:pPr>
        <w:pStyle w:val="Lgende"/>
        <w:jc w:val="left"/>
        <w:rPr>
          <w:b w:val="0"/>
          <w:i/>
        </w:rPr>
      </w:pPr>
      <w:bookmarkStart w:id="117" w:name="_Ref144743731"/>
      <w:bookmarkStart w:id="118" w:name="_Toc151967907"/>
      <w:r>
        <w:t xml:space="preserve">Table SI. </w:t>
      </w:r>
      <w:r>
        <w:fldChar w:fldCharType="begin"/>
      </w:r>
      <w:r>
        <w:instrText xml:space="preserve"> SEQ Table_SI. \* ARABIC </w:instrText>
      </w:r>
      <w:r>
        <w:fldChar w:fldCharType="separate"/>
      </w:r>
      <w:r w:rsidR="00F25F8C">
        <w:rPr>
          <w:noProof/>
        </w:rPr>
        <w:t>23</w:t>
      </w:r>
      <w:r>
        <w:fldChar w:fldCharType="end"/>
      </w:r>
      <w:bookmarkEnd w:id="117"/>
      <w:r>
        <w:t xml:space="preserve"> </w:t>
      </w:r>
      <w:r w:rsidRPr="00F61C31">
        <w:t>– Estimation of process operation’s risk mitigation potential</w:t>
      </w:r>
      <w:r w:rsidR="004C02F1">
        <w:t xml:space="preserve"> for </w:t>
      </w:r>
      <w:r w:rsidRPr="00F61C31">
        <w:t>co-products.</w:t>
      </w:r>
      <w:bookmarkEnd w:id="118"/>
    </w:p>
    <w:tbl>
      <w:tblPr>
        <w:tblStyle w:val="Tableausimple2"/>
        <w:tblW w:w="0" w:type="auto"/>
        <w:tblLook w:val="04A0" w:firstRow="1" w:lastRow="0" w:firstColumn="1" w:lastColumn="0" w:noHBand="0" w:noVBand="1"/>
      </w:tblPr>
      <w:tblGrid>
        <w:gridCol w:w="1562"/>
        <w:gridCol w:w="1411"/>
        <w:gridCol w:w="1563"/>
        <w:gridCol w:w="4536"/>
      </w:tblGrid>
      <w:tr w:rsidR="00D27762" w:rsidRPr="002D3BB7" w14:paraId="2E937100" w14:textId="77777777" w:rsidTr="002D3BB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E92B6CE" w14:textId="1FA4628E" w:rsidR="00D27762" w:rsidRPr="002D3BB7" w:rsidRDefault="002D3BB7" w:rsidP="00FA1EC9">
            <w:pPr>
              <w:jc w:val="right"/>
              <w:rPr>
                <w:sz w:val="18"/>
                <w:szCs w:val="18"/>
              </w:rPr>
            </w:pPr>
            <w:r>
              <w:rPr>
                <w:sz w:val="18"/>
                <w:szCs w:val="18"/>
              </w:rPr>
              <w:t>P</w:t>
            </w:r>
            <w:r w:rsidR="00D27762" w:rsidRPr="002D3BB7">
              <w:rPr>
                <w:sz w:val="18"/>
                <w:szCs w:val="18"/>
              </w:rPr>
              <w:t>athways</w:t>
            </w:r>
          </w:p>
        </w:tc>
        <w:tc>
          <w:tcPr>
            <w:tcW w:w="1411" w:type="dxa"/>
          </w:tcPr>
          <w:p w14:paraId="1D7BC332" w14:textId="77777777" w:rsidR="00D27762" w:rsidRPr="002D3BB7" w:rsidRDefault="00D27762" w:rsidP="00FA1EC9">
            <w:pPr>
              <w:cnfStyle w:val="100000000000" w:firstRow="1" w:lastRow="0" w:firstColumn="0" w:lastColumn="0" w:oddVBand="0" w:evenVBand="0" w:oddHBand="0" w:evenHBand="0" w:firstRowFirstColumn="0" w:firstRowLastColumn="0" w:lastRowFirstColumn="0" w:lastRowLastColumn="0"/>
              <w:rPr>
                <w:sz w:val="18"/>
                <w:szCs w:val="18"/>
              </w:rPr>
            </w:pPr>
            <w:r w:rsidRPr="002D3BB7">
              <w:rPr>
                <w:sz w:val="18"/>
                <w:szCs w:val="18"/>
              </w:rPr>
              <w:t>Co-product</w:t>
            </w:r>
          </w:p>
        </w:tc>
        <w:tc>
          <w:tcPr>
            <w:tcW w:w="1563" w:type="dxa"/>
          </w:tcPr>
          <w:p w14:paraId="761D4821" w14:textId="42ACBA49" w:rsidR="00D27762" w:rsidRPr="002D3BB7" w:rsidRDefault="00D27762" w:rsidP="002D3BB7">
            <w:pPr>
              <w:cnfStyle w:val="100000000000" w:firstRow="1" w:lastRow="0" w:firstColumn="0" w:lastColumn="0" w:oddVBand="0" w:evenVBand="0" w:oddHBand="0" w:evenHBand="0" w:firstRowFirstColumn="0" w:firstRowLastColumn="0" w:lastRowFirstColumn="0" w:lastRowLastColumn="0"/>
              <w:rPr>
                <w:sz w:val="18"/>
                <w:szCs w:val="18"/>
              </w:rPr>
            </w:pPr>
            <w:r w:rsidRPr="002D3BB7">
              <w:rPr>
                <w:sz w:val="18"/>
                <w:szCs w:val="18"/>
              </w:rPr>
              <w:t xml:space="preserve">Input risk level </w:t>
            </w:r>
            <w:r w:rsidRPr="002D3BB7">
              <w:rPr>
                <w:sz w:val="18"/>
                <w:szCs w:val="18"/>
                <w:vertAlign w:val="superscript"/>
              </w:rPr>
              <w:t>a</w:t>
            </w:r>
          </w:p>
        </w:tc>
        <w:tc>
          <w:tcPr>
            <w:tcW w:w="4536" w:type="dxa"/>
          </w:tcPr>
          <w:p w14:paraId="5C652042" w14:textId="77777777" w:rsidR="00D27762" w:rsidRPr="002D3BB7" w:rsidRDefault="00D27762" w:rsidP="00E9442B">
            <w:pPr>
              <w:cnfStyle w:val="100000000000" w:firstRow="1" w:lastRow="0" w:firstColumn="0" w:lastColumn="0" w:oddVBand="0" w:evenVBand="0" w:oddHBand="0" w:evenHBand="0" w:firstRowFirstColumn="0" w:firstRowLastColumn="0" w:lastRowFirstColumn="0" w:lastRowLastColumn="0"/>
              <w:rPr>
                <w:sz w:val="18"/>
                <w:szCs w:val="18"/>
              </w:rPr>
            </w:pPr>
            <w:r w:rsidRPr="002D3BB7">
              <w:rPr>
                <w:sz w:val="18"/>
                <w:szCs w:val="18"/>
              </w:rPr>
              <w:t xml:space="preserve">Reuse framework </w:t>
            </w:r>
            <w:r w:rsidRPr="002D3BB7">
              <w:rPr>
                <w:sz w:val="18"/>
                <w:szCs w:val="18"/>
                <w:vertAlign w:val="superscript"/>
              </w:rPr>
              <w:t>b</w:t>
            </w:r>
          </w:p>
        </w:tc>
      </w:tr>
      <w:tr w:rsidR="00D27762" w:rsidRPr="002D3BB7" w14:paraId="7000338A" w14:textId="77777777" w:rsidTr="002D3B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cPr>
          <w:p w14:paraId="6962CB7D" w14:textId="77777777" w:rsidR="00D27762" w:rsidRPr="002D3BB7" w:rsidRDefault="00D27762" w:rsidP="00FA1EC9">
            <w:pPr>
              <w:jc w:val="right"/>
              <w:rPr>
                <w:sz w:val="18"/>
                <w:szCs w:val="18"/>
              </w:rPr>
            </w:pPr>
            <w:r w:rsidRPr="002D3BB7">
              <w:rPr>
                <w:sz w:val="18"/>
                <w:szCs w:val="18"/>
              </w:rPr>
              <w:t>Insects farming</w:t>
            </w:r>
          </w:p>
        </w:tc>
        <w:tc>
          <w:tcPr>
            <w:tcW w:w="1411" w:type="dxa"/>
            <w:vMerge w:val="restart"/>
          </w:tcPr>
          <w:p w14:paraId="0E2566FC" w14:textId="77777777" w:rsidR="00D27762" w:rsidRPr="002D3BB7" w:rsidRDefault="00D27762" w:rsidP="00FA1EC9">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Frass</w:t>
            </w:r>
          </w:p>
        </w:tc>
        <w:tc>
          <w:tcPr>
            <w:tcW w:w="1563" w:type="dxa"/>
          </w:tcPr>
          <w:p w14:paraId="4BEC8C97" w14:textId="77777777" w:rsidR="00D27762" w:rsidRPr="002D3BB7" w:rsidRDefault="00D27762" w:rsidP="00FA1EC9">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Waste</w:t>
            </w:r>
          </w:p>
        </w:tc>
        <w:tc>
          <w:tcPr>
            <w:tcW w:w="4536" w:type="dxa"/>
          </w:tcPr>
          <w:p w14:paraId="4CDA5BCA" w14:textId="77777777" w:rsidR="00D27762" w:rsidRPr="002D3BB7" w:rsidRDefault="00D27762" w:rsidP="00E9442B">
            <w:pPr>
              <w:cnfStyle w:val="000000100000" w:firstRow="0" w:lastRow="0" w:firstColumn="0" w:lastColumn="0" w:oddVBand="0" w:evenVBand="0" w:oddHBand="1" w:evenHBand="0" w:firstRowFirstColumn="0" w:firstRowLastColumn="0" w:lastRowFirstColumn="0" w:lastRowLastColumn="0"/>
              <w:rPr>
                <w:sz w:val="18"/>
                <w:szCs w:val="18"/>
              </w:rPr>
            </w:pPr>
            <w:r w:rsidRPr="002D3BB7">
              <w:rPr>
                <w:b/>
                <w:sz w:val="18"/>
                <w:szCs w:val="18"/>
              </w:rPr>
              <w:t xml:space="preserve">? </w:t>
            </w:r>
            <w:r w:rsidRPr="002D3BB7">
              <w:rPr>
                <w:sz w:val="18"/>
                <w:szCs w:val="18"/>
                <w:vertAlign w:val="superscript"/>
              </w:rPr>
              <w:t>c</w:t>
            </w:r>
          </w:p>
        </w:tc>
      </w:tr>
      <w:tr w:rsidR="00D27762" w:rsidRPr="002D3BB7" w14:paraId="2ADF7A56" w14:textId="77777777" w:rsidTr="002D3BB7">
        <w:tc>
          <w:tcPr>
            <w:cnfStyle w:val="001000000000" w:firstRow="0" w:lastRow="0" w:firstColumn="1" w:lastColumn="0" w:oddVBand="0" w:evenVBand="0" w:oddHBand="0" w:evenHBand="0" w:firstRowFirstColumn="0" w:firstRowLastColumn="0" w:lastRowFirstColumn="0" w:lastRowLastColumn="0"/>
            <w:tcW w:w="0" w:type="auto"/>
            <w:vMerge/>
          </w:tcPr>
          <w:p w14:paraId="52C62932" w14:textId="77777777" w:rsidR="00D27762" w:rsidRPr="002D3BB7" w:rsidRDefault="00D27762" w:rsidP="00FA1EC9">
            <w:pPr>
              <w:jc w:val="right"/>
              <w:rPr>
                <w:sz w:val="18"/>
                <w:szCs w:val="18"/>
              </w:rPr>
            </w:pPr>
          </w:p>
        </w:tc>
        <w:tc>
          <w:tcPr>
            <w:tcW w:w="1411" w:type="dxa"/>
            <w:vMerge/>
          </w:tcPr>
          <w:p w14:paraId="17274AF1" w14:textId="77777777" w:rsidR="00D27762" w:rsidRPr="002D3BB7" w:rsidRDefault="00D27762" w:rsidP="00FA1EC9">
            <w:pPr>
              <w:cnfStyle w:val="000000000000" w:firstRow="0" w:lastRow="0" w:firstColumn="0" w:lastColumn="0" w:oddVBand="0" w:evenVBand="0" w:oddHBand="0" w:evenHBand="0" w:firstRowFirstColumn="0" w:firstRowLastColumn="0" w:lastRowFirstColumn="0" w:lastRowLastColumn="0"/>
              <w:rPr>
                <w:sz w:val="18"/>
                <w:szCs w:val="18"/>
              </w:rPr>
            </w:pPr>
          </w:p>
        </w:tc>
        <w:tc>
          <w:tcPr>
            <w:tcW w:w="1563" w:type="dxa"/>
          </w:tcPr>
          <w:p w14:paraId="5972C8FB" w14:textId="77777777" w:rsidR="00D27762" w:rsidRPr="002D3BB7" w:rsidRDefault="00D27762" w:rsidP="00FA1EC9">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Feed-grade</w:t>
            </w:r>
          </w:p>
        </w:tc>
        <w:tc>
          <w:tcPr>
            <w:tcW w:w="4536" w:type="dxa"/>
          </w:tcPr>
          <w:p w14:paraId="23951F53" w14:textId="77777777" w:rsidR="00D27762" w:rsidRPr="002D3BB7" w:rsidRDefault="00D27762" w:rsidP="00E9442B">
            <w:pPr>
              <w:cnfStyle w:val="000000000000" w:firstRow="0" w:lastRow="0" w:firstColumn="0" w:lastColumn="0" w:oddVBand="0" w:evenVBand="0" w:oddHBand="0" w:evenHBand="0" w:firstRowFirstColumn="0" w:firstRowLastColumn="0" w:lastRowFirstColumn="0" w:lastRowLastColumn="0"/>
              <w:rPr>
                <w:sz w:val="18"/>
                <w:szCs w:val="18"/>
              </w:rPr>
            </w:pPr>
            <w:r w:rsidRPr="002D3BB7">
              <w:rPr>
                <w:b/>
                <w:sz w:val="18"/>
                <w:szCs w:val="18"/>
              </w:rPr>
              <w:t>Fertilizer</w:t>
            </w:r>
            <w:r w:rsidRPr="002D3BB7">
              <w:rPr>
                <w:sz w:val="18"/>
                <w:szCs w:val="18"/>
              </w:rPr>
              <w:t>: if complying with Animal by-products regulations and Waste framework directive (CMC 10/11)</w:t>
            </w:r>
          </w:p>
        </w:tc>
      </w:tr>
      <w:tr w:rsidR="00D27762" w:rsidRPr="002D3BB7" w14:paraId="210BD052" w14:textId="77777777" w:rsidTr="002D3B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cPr>
          <w:p w14:paraId="5A64FE25" w14:textId="77777777" w:rsidR="00D27762" w:rsidRPr="002D3BB7" w:rsidRDefault="00D27762" w:rsidP="00FA1EC9">
            <w:pPr>
              <w:jc w:val="right"/>
              <w:rPr>
                <w:sz w:val="18"/>
                <w:szCs w:val="18"/>
              </w:rPr>
            </w:pPr>
            <w:r w:rsidRPr="002D3BB7">
              <w:rPr>
                <w:sz w:val="18"/>
                <w:szCs w:val="18"/>
              </w:rPr>
              <w:t>Microbial proteins production</w:t>
            </w:r>
          </w:p>
        </w:tc>
        <w:tc>
          <w:tcPr>
            <w:tcW w:w="1411" w:type="dxa"/>
            <w:vMerge w:val="restart"/>
          </w:tcPr>
          <w:p w14:paraId="6F76C787" w14:textId="77777777" w:rsidR="00D27762" w:rsidRPr="002D3BB7" w:rsidRDefault="00D27762" w:rsidP="00FA1EC9">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Gaschar (gasification-based pathways)</w:t>
            </w:r>
          </w:p>
        </w:tc>
        <w:tc>
          <w:tcPr>
            <w:tcW w:w="1563" w:type="dxa"/>
          </w:tcPr>
          <w:p w14:paraId="3AD16A13" w14:textId="77777777" w:rsidR="00D27762" w:rsidRPr="002D3BB7" w:rsidRDefault="00D27762" w:rsidP="00FA1EC9">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Waste</w:t>
            </w:r>
          </w:p>
        </w:tc>
        <w:tc>
          <w:tcPr>
            <w:tcW w:w="4536" w:type="dxa"/>
          </w:tcPr>
          <w:p w14:paraId="0EDF2143" w14:textId="77777777" w:rsidR="00D27762" w:rsidRPr="002D3BB7" w:rsidRDefault="00D27762" w:rsidP="00E9442B">
            <w:pPr>
              <w:cnfStyle w:val="000000100000" w:firstRow="0" w:lastRow="0" w:firstColumn="0" w:lastColumn="0" w:oddVBand="0" w:evenVBand="0" w:oddHBand="1" w:evenHBand="0" w:firstRowFirstColumn="0" w:firstRowLastColumn="0" w:lastRowFirstColumn="0" w:lastRowLastColumn="0"/>
              <w:rPr>
                <w:sz w:val="18"/>
                <w:szCs w:val="18"/>
              </w:rPr>
            </w:pPr>
            <w:r w:rsidRPr="002D3BB7">
              <w:rPr>
                <w:b/>
                <w:sz w:val="18"/>
                <w:szCs w:val="18"/>
              </w:rPr>
              <w:t>Not in food system</w:t>
            </w:r>
            <w:r w:rsidRPr="002D3BB7">
              <w:rPr>
                <w:sz w:val="18"/>
                <w:szCs w:val="18"/>
              </w:rPr>
              <w:t>: considered as “pyrolysis waste containing hazardous substances” (19 01 17 in the EU List of waste)</w:t>
            </w:r>
          </w:p>
        </w:tc>
      </w:tr>
      <w:tr w:rsidR="00D27762" w:rsidRPr="002D3BB7" w14:paraId="481C66A4" w14:textId="77777777" w:rsidTr="002D3BB7">
        <w:tc>
          <w:tcPr>
            <w:cnfStyle w:val="001000000000" w:firstRow="0" w:lastRow="0" w:firstColumn="1" w:lastColumn="0" w:oddVBand="0" w:evenVBand="0" w:oddHBand="0" w:evenHBand="0" w:firstRowFirstColumn="0" w:firstRowLastColumn="0" w:lastRowFirstColumn="0" w:lastRowLastColumn="0"/>
            <w:tcW w:w="0" w:type="auto"/>
            <w:vMerge/>
          </w:tcPr>
          <w:p w14:paraId="5D43B07B" w14:textId="77777777" w:rsidR="00D27762" w:rsidRPr="002D3BB7" w:rsidRDefault="00D27762" w:rsidP="00FA1EC9">
            <w:pPr>
              <w:jc w:val="right"/>
              <w:rPr>
                <w:sz w:val="18"/>
                <w:szCs w:val="18"/>
              </w:rPr>
            </w:pPr>
          </w:p>
        </w:tc>
        <w:tc>
          <w:tcPr>
            <w:tcW w:w="1411" w:type="dxa"/>
            <w:vMerge/>
          </w:tcPr>
          <w:p w14:paraId="08D63E98" w14:textId="77777777" w:rsidR="00D27762" w:rsidRPr="002D3BB7" w:rsidRDefault="00D27762" w:rsidP="00FA1EC9">
            <w:pPr>
              <w:cnfStyle w:val="000000000000" w:firstRow="0" w:lastRow="0" w:firstColumn="0" w:lastColumn="0" w:oddVBand="0" w:evenVBand="0" w:oddHBand="0" w:evenHBand="0" w:firstRowFirstColumn="0" w:firstRowLastColumn="0" w:lastRowFirstColumn="0" w:lastRowLastColumn="0"/>
              <w:rPr>
                <w:sz w:val="18"/>
                <w:szCs w:val="18"/>
              </w:rPr>
            </w:pPr>
          </w:p>
        </w:tc>
        <w:tc>
          <w:tcPr>
            <w:tcW w:w="1563" w:type="dxa"/>
          </w:tcPr>
          <w:p w14:paraId="1E2C13E1" w14:textId="77777777" w:rsidR="00D27762" w:rsidRPr="002D3BB7" w:rsidRDefault="00D27762" w:rsidP="00FA1EC9">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Feed-grade</w:t>
            </w:r>
          </w:p>
        </w:tc>
        <w:tc>
          <w:tcPr>
            <w:tcW w:w="4536" w:type="dxa"/>
          </w:tcPr>
          <w:p w14:paraId="1C035D3B" w14:textId="77777777" w:rsidR="00D27762" w:rsidRPr="002D3BB7" w:rsidRDefault="00D27762" w:rsidP="00E9442B">
            <w:pPr>
              <w:cnfStyle w:val="000000000000" w:firstRow="0" w:lastRow="0" w:firstColumn="0" w:lastColumn="0" w:oddVBand="0" w:evenVBand="0" w:oddHBand="0" w:evenHBand="0" w:firstRowFirstColumn="0" w:firstRowLastColumn="0" w:lastRowFirstColumn="0" w:lastRowLastColumn="0"/>
              <w:rPr>
                <w:sz w:val="18"/>
                <w:szCs w:val="18"/>
              </w:rPr>
            </w:pPr>
            <w:r w:rsidRPr="002D3BB7">
              <w:rPr>
                <w:b/>
                <w:sz w:val="18"/>
                <w:szCs w:val="18"/>
              </w:rPr>
              <w:t>Fertilizer</w:t>
            </w:r>
            <w:r w:rsidRPr="002D3BB7">
              <w:rPr>
                <w:sz w:val="18"/>
                <w:szCs w:val="18"/>
              </w:rPr>
              <w:t>: mention importance of biochar’s return to soil in EU fertilizing products regulation</w:t>
            </w:r>
          </w:p>
        </w:tc>
      </w:tr>
      <w:tr w:rsidR="00D27762" w:rsidRPr="002D3BB7" w14:paraId="52701652" w14:textId="77777777" w:rsidTr="002D3BB7">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0" w:type="auto"/>
            <w:vMerge/>
          </w:tcPr>
          <w:p w14:paraId="049A82FD" w14:textId="77777777" w:rsidR="00D27762" w:rsidRPr="002D3BB7" w:rsidRDefault="00D27762" w:rsidP="00FA1EC9">
            <w:pPr>
              <w:jc w:val="right"/>
              <w:rPr>
                <w:sz w:val="18"/>
                <w:szCs w:val="18"/>
              </w:rPr>
            </w:pPr>
          </w:p>
        </w:tc>
        <w:tc>
          <w:tcPr>
            <w:tcW w:w="1411" w:type="dxa"/>
            <w:vMerge w:val="restart"/>
          </w:tcPr>
          <w:p w14:paraId="369FDC7B" w14:textId="77777777" w:rsidR="00D27762" w:rsidRPr="002D3BB7" w:rsidRDefault="00D27762" w:rsidP="00FA1EC9">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Digestate (anaerobic digestion-based pathways)</w:t>
            </w:r>
          </w:p>
        </w:tc>
        <w:tc>
          <w:tcPr>
            <w:tcW w:w="1563" w:type="dxa"/>
          </w:tcPr>
          <w:p w14:paraId="2DDA39D8" w14:textId="77777777" w:rsidR="00D27762" w:rsidRPr="002D3BB7" w:rsidRDefault="00D27762" w:rsidP="00FA1EC9">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Waste</w:t>
            </w:r>
          </w:p>
        </w:tc>
        <w:tc>
          <w:tcPr>
            <w:tcW w:w="4536" w:type="dxa"/>
            <w:vMerge w:val="restart"/>
          </w:tcPr>
          <w:p w14:paraId="27E9E12C" w14:textId="77777777" w:rsidR="00D27762" w:rsidRPr="002D3BB7" w:rsidRDefault="00D27762" w:rsidP="00E9442B">
            <w:pPr>
              <w:cnfStyle w:val="000000100000" w:firstRow="0" w:lastRow="0" w:firstColumn="0" w:lastColumn="0" w:oddVBand="0" w:evenVBand="0" w:oddHBand="1" w:evenHBand="0" w:firstRowFirstColumn="0" w:firstRowLastColumn="0" w:lastRowFirstColumn="0" w:lastRowLastColumn="0"/>
              <w:rPr>
                <w:sz w:val="18"/>
                <w:szCs w:val="18"/>
              </w:rPr>
            </w:pPr>
            <w:r w:rsidRPr="002D3BB7">
              <w:rPr>
                <w:b/>
                <w:sz w:val="18"/>
                <w:szCs w:val="18"/>
              </w:rPr>
              <w:t>Fertilizer</w:t>
            </w:r>
            <w:r w:rsidRPr="002D3BB7">
              <w:rPr>
                <w:sz w:val="18"/>
                <w:szCs w:val="18"/>
              </w:rPr>
              <w:t xml:space="preserve"> (i) following Sewage sludge directive for sludge streams, (ii) following Animal by-products for corresponding streams (incl. manure), (iii) rest entering EU fertilizing products regulation (CMC 5)</w:t>
            </w:r>
          </w:p>
        </w:tc>
      </w:tr>
      <w:tr w:rsidR="00D27762" w:rsidRPr="002D3BB7" w14:paraId="7D64CBEF" w14:textId="77777777" w:rsidTr="002D3BB7">
        <w:tc>
          <w:tcPr>
            <w:cnfStyle w:val="001000000000" w:firstRow="0" w:lastRow="0" w:firstColumn="1" w:lastColumn="0" w:oddVBand="0" w:evenVBand="0" w:oddHBand="0" w:evenHBand="0" w:firstRowFirstColumn="0" w:firstRowLastColumn="0" w:lastRowFirstColumn="0" w:lastRowLastColumn="0"/>
            <w:tcW w:w="0" w:type="auto"/>
            <w:vMerge/>
          </w:tcPr>
          <w:p w14:paraId="3115309D" w14:textId="77777777" w:rsidR="00D27762" w:rsidRPr="002D3BB7" w:rsidRDefault="00D27762" w:rsidP="00FA1EC9">
            <w:pPr>
              <w:jc w:val="right"/>
              <w:rPr>
                <w:sz w:val="18"/>
                <w:szCs w:val="18"/>
              </w:rPr>
            </w:pPr>
          </w:p>
        </w:tc>
        <w:tc>
          <w:tcPr>
            <w:tcW w:w="1411" w:type="dxa"/>
            <w:vMerge/>
          </w:tcPr>
          <w:p w14:paraId="14F6D54C" w14:textId="77777777" w:rsidR="00D27762" w:rsidRPr="002D3BB7" w:rsidRDefault="00D27762" w:rsidP="00FA1EC9">
            <w:pPr>
              <w:cnfStyle w:val="000000000000" w:firstRow="0" w:lastRow="0" w:firstColumn="0" w:lastColumn="0" w:oddVBand="0" w:evenVBand="0" w:oddHBand="0" w:evenHBand="0" w:firstRowFirstColumn="0" w:firstRowLastColumn="0" w:lastRowFirstColumn="0" w:lastRowLastColumn="0"/>
              <w:rPr>
                <w:sz w:val="18"/>
                <w:szCs w:val="18"/>
              </w:rPr>
            </w:pPr>
          </w:p>
        </w:tc>
        <w:tc>
          <w:tcPr>
            <w:tcW w:w="1563" w:type="dxa"/>
          </w:tcPr>
          <w:p w14:paraId="5C618B6A" w14:textId="77777777" w:rsidR="00D27762" w:rsidRPr="002D3BB7" w:rsidRDefault="00D27762" w:rsidP="00FA1EC9">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Feed-grade</w:t>
            </w:r>
          </w:p>
        </w:tc>
        <w:tc>
          <w:tcPr>
            <w:tcW w:w="4536" w:type="dxa"/>
            <w:vMerge/>
          </w:tcPr>
          <w:p w14:paraId="252E544D" w14:textId="77777777" w:rsidR="00D27762" w:rsidRPr="002D3BB7" w:rsidRDefault="00D27762" w:rsidP="00E9442B">
            <w:pPr>
              <w:cnfStyle w:val="000000000000" w:firstRow="0" w:lastRow="0" w:firstColumn="0" w:lastColumn="0" w:oddVBand="0" w:evenVBand="0" w:oddHBand="0" w:evenHBand="0" w:firstRowFirstColumn="0" w:firstRowLastColumn="0" w:lastRowFirstColumn="0" w:lastRowLastColumn="0"/>
              <w:rPr>
                <w:sz w:val="18"/>
                <w:szCs w:val="18"/>
              </w:rPr>
            </w:pPr>
          </w:p>
        </w:tc>
      </w:tr>
      <w:tr w:rsidR="00D27762" w:rsidRPr="002D3BB7" w14:paraId="3F62B7C7" w14:textId="77777777" w:rsidTr="002D3B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cPr>
          <w:p w14:paraId="1EF09859" w14:textId="77777777" w:rsidR="00D27762" w:rsidRPr="002D3BB7" w:rsidRDefault="00D27762" w:rsidP="00FA1EC9">
            <w:pPr>
              <w:jc w:val="right"/>
              <w:rPr>
                <w:sz w:val="18"/>
                <w:szCs w:val="18"/>
              </w:rPr>
            </w:pPr>
            <w:r w:rsidRPr="002D3BB7">
              <w:rPr>
                <w:sz w:val="18"/>
                <w:szCs w:val="18"/>
              </w:rPr>
              <w:t>Green biorefinery</w:t>
            </w:r>
          </w:p>
        </w:tc>
        <w:tc>
          <w:tcPr>
            <w:tcW w:w="1411" w:type="dxa"/>
            <w:vMerge w:val="restart"/>
          </w:tcPr>
          <w:p w14:paraId="0F114003" w14:textId="77777777" w:rsidR="00D27762" w:rsidRPr="002D3BB7" w:rsidRDefault="00D27762" w:rsidP="00FA1EC9">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Brown juice</w:t>
            </w:r>
          </w:p>
        </w:tc>
        <w:tc>
          <w:tcPr>
            <w:tcW w:w="1563" w:type="dxa"/>
          </w:tcPr>
          <w:p w14:paraId="23D176FA" w14:textId="77777777" w:rsidR="00D27762" w:rsidRPr="002D3BB7" w:rsidRDefault="00D27762" w:rsidP="00FA1EC9">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Waste</w:t>
            </w:r>
          </w:p>
        </w:tc>
        <w:tc>
          <w:tcPr>
            <w:tcW w:w="4536" w:type="dxa"/>
            <w:vMerge w:val="restart"/>
          </w:tcPr>
          <w:p w14:paraId="35CE1E07" w14:textId="77777777" w:rsidR="00D27762" w:rsidRPr="002D3BB7" w:rsidRDefault="00D27762" w:rsidP="00E9442B">
            <w:pPr>
              <w:cnfStyle w:val="000000100000" w:firstRow="0" w:lastRow="0" w:firstColumn="0" w:lastColumn="0" w:oddVBand="0" w:evenVBand="0" w:oddHBand="1" w:evenHBand="0" w:firstRowFirstColumn="0" w:firstRowLastColumn="0" w:lastRowFirstColumn="0" w:lastRowLastColumn="0"/>
              <w:rPr>
                <w:sz w:val="18"/>
                <w:szCs w:val="18"/>
              </w:rPr>
            </w:pPr>
            <w:r w:rsidRPr="002D3BB7">
              <w:rPr>
                <w:b/>
                <w:sz w:val="18"/>
                <w:szCs w:val="18"/>
              </w:rPr>
              <w:t>Fertilizer</w:t>
            </w:r>
            <w:r w:rsidRPr="002D3BB7">
              <w:rPr>
                <w:sz w:val="18"/>
                <w:szCs w:val="18"/>
              </w:rPr>
              <w:t>, entering CMC 2/11 (no presence in the EU Catalogue of feed materials)</w:t>
            </w:r>
          </w:p>
        </w:tc>
      </w:tr>
      <w:tr w:rsidR="00D27762" w:rsidRPr="002D3BB7" w14:paraId="20B02455" w14:textId="77777777" w:rsidTr="002D3BB7">
        <w:tc>
          <w:tcPr>
            <w:cnfStyle w:val="001000000000" w:firstRow="0" w:lastRow="0" w:firstColumn="1" w:lastColumn="0" w:oddVBand="0" w:evenVBand="0" w:oddHBand="0" w:evenHBand="0" w:firstRowFirstColumn="0" w:firstRowLastColumn="0" w:lastRowFirstColumn="0" w:lastRowLastColumn="0"/>
            <w:tcW w:w="0" w:type="auto"/>
            <w:vMerge/>
          </w:tcPr>
          <w:p w14:paraId="493120D6" w14:textId="77777777" w:rsidR="00D27762" w:rsidRPr="002D3BB7" w:rsidRDefault="00D27762" w:rsidP="00FA1EC9">
            <w:pPr>
              <w:jc w:val="right"/>
              <w:rPr>
                <w:sz w:val="18"/>
                <w:szCs w:val="18"/>
              </w:rPr>
            </w:pPr>
          </w:p>
        </w:tc>
        <w:tc>
          <w:tcPr>
            <w:tcW w:w="1411" w:type="dxa"/>
            <w:vMerge/>
          </w:tcPr>
          <w:p w14:paraId="7CC59FE2" w14:textId="77777777" w:rsidR="00D27762" w:rsidRPr="002D3BB7" w:rsidRDefault="00D27762" w:rsidP="00FA1EC9">
            <w:pPr>
              <w:cnfStyle w:val="000000000000" w:firstRow="0" w:lastRow="0" w:firstColumn="0" w:lastColumn="0" w:oddVBand="0" w:evenVBand="0" w:oddHBand="0" w:evenHBand="0" w:firstRowFirstColumn="0" w:firstRowLastColumn="0" w:lastRowFirstColumn="0" w:lastRowLastColumn="0"/>
              <w:rPr>
                <w:sz w:val="18"/>
                <w:szCs w:val="18"/>
              </w:rPr>
            </w:pPr>
          </w:p>
        </w:tc>
        <w:tc>
          <w:tcPr>
            <w:tcW w:w="1563" w:type="dxa"/>
          </w:tcPr>
          <w:p w14:paraId="4493A1C1" w14:textId="77777777" w:rsidR="00D27762" w:rsidRPr="002D3BB7" w:rsidRDefault="00D27762" w:rsidP="00FA1EC9">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Feed-grade</w:t>
            </w:r>
          </w:p>
        </w:tc>
        <w:tc>
          <w:tcPr>
            <w:tcW w:w="4536" w:type="dxa"/>
            <w:vMerge/>
          </w:tcPr>
          <w:p w14:paraId="6EB13E4E" w14:textId="77777777" w:rsidR="00D27762" w:rsidRPr="002D3BB7" w:rsidRDefault="00D27762" w:rsidP="00E9442B">
            <w:pPr>
              <w:cnfStyle w:val="000000000000" w:firstRow="0" w:lastRow="0" w:firstColumn="0" w:lastColumn="0" w:oddVBand="0" w:evenVBand="0" w:oddHBand="0" w:evenHBand="0" w:firstRowFirstColumn="0" w:firstRowLastColumn="0" w:lastRowFirstColumn="0" w:lastRowLastColumn="0"/>
              <w:rPr>
                <w:sz w:val="18"/>
                <w:szCs w:val="18"/>
              </w:rPr>
            </w:pPr>
          </w:p>
        </w:tc>
      </w:tr>
      <w:tr w:rsidR="00D27762" w:rsidRPr="002D3BB7" w14:paraId="6B46487F" w14:textId="77777777" w:rsidTr="002D3B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206E9D3C" w14:textId="77777777" w:rsidR="00D27762" w:rsidRPr="002D3BB7" w:rsidRDefault="00D27762" w:rsidP="00FA1EC9">
            <w:pPr>
              <w:jc w:val="right"/>
              <w:rPr>
                <w:sz w:val="18"/>
                <w:szCs w:val="18"/>
              </w:rPr>
            </w:pPr>
          </w:p>
        </w:tc>
        <w:tc>
          <w:tcPr>
            <w:tcW w:w="1411" w:type="dxa"/>
            <w:vMerge w:val="restart"/>
          </w:tcPr>
          <w:p w14:paraId="4E92BDCB" w14:textId="77777777" w:rsidR="00D27762" w:rsidRPr="002D3BB7" w:rsidRDefault="00D27762" w:rsidP="00FA1EC9">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Press-cake</w:t>
            </w:r>
          </w:p>
        </w:tc>
        <w:tc>
          <w:tcPr>
            <w:tcW w:w="1563" w:type="dxa"/>
          </w:tcPr>
          <w:p w14:paraId="6E87FB05" w14:textId="77777777" w:rsidR="00D27762" w:rsidRPr="002D3BB7" w:rsidRDefault="00D27762" w:rsidP="00FA1EC9">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Waste</w:t>
            </w:r>
          </w:p>
        </w:tc>
        <w:tc>
          <w:tcPr>
            <w:tcW w:w="4536" w:type="dxa"/>
          </w:tcPr>
          <w:p w14:paraId="71B5ECB1" w14:textId="77777777" w:rsidR="00D27762" w:rsidRPr="002D3BB7" w:rsidRDefault="00D27762" w:rsidP="00E9442B">
            <w:pPr>
              <w:cnfStyle w:val="000000100000" w:firstRow="0" w:lastRow="0" w:firstColumn="0" w:lastColumn="0" w:oddVBand="0" w:evenVBand="0" w:oddHBand="1" w:evenHBand="0" w:firstRowFirstColumn="0" w:firstRowLastColumn="0" w:lastRowFirstColumn="0" w:lastRowLastColumn="0"/>
              <w:rPr>
                <w:sz w:val="18"/>
                <w:szCs w:val="18"/>
              </w:rPr>
            </w:pPr>
            <w:r w:rsidRPr="002D3BB7">
              <w:rPr>
                <w:b/>
                <w:sz w:val="18"/>
                <w:szCs w:val="18"/>
              </w:rPr>
              <w:t>Fertilizer</w:t>
            </w:r>
            <w:r w:rsidRPr="002D3BB7">
              <w:rPr>
                <w:sz w:val="18"/>
                <w:szCs w:val="18"/>
              </w:rPr>
              <w:t>, entering CMC 2/11</w:t>
            </w:r>
          </w:p>
        </w:tc>
      </w:tr>
      <w:tr w:rsidR="00D27762" w:rsidRPr="002D3BB7" w14:paraId="68406ED6" w14:textId="77777777" w:rsidTr="002D3BB7">
        <w:tc>
          <w:tcPr>
            <w:cnfStyle w:val="001000000000" w:firstRow="0" w:lastRow="0" w:firstColumn="1" w:lastColumn="0" w:oddVBand="0" w:evenVBand="0" w:oddHBand="0" w:evenHBand="0" w:firstRowFirstColumn="0" w:firstRowLastColumn="0" w:lastRowFirstColumn="0" w:lastRowLastColumn="0"/>
            <w:tcW w:w="0" w:type="auto"/>
            <w:vMerge/>
          </w:tcPr>
          <w:p w14:paraId="02581645" w14:textId="77777777" w:rsidR="00D27762" w:rsidRPr="002D3BB7" w:rsidRDefault="00D27762" w:rsidP="00FA1EC9">
            <w:pPr>
              <w:jc w:val="right"/>
              <w:rPr>
                <w:sz w:val="18"/>
                <w:szCs w:val="18"/>
              </w:rPr>
            </w:pPr>
          </w:p>
        </w:tc>
        <w:tc>
          <w:tcPr>
            <w:tcW w:w="1411" w:type="dxa"/>
            <w:vMerge/>
          </w:tcPr>
          <w:p w14:paraId="085AF85D" w14:textId="77777777" w:rsidR="00D27762" w:rsidRPr="002D3BB7" w:rsidRDefault="00D27762" w:rsidP="00FA1EC9">
            <w:pPr>
              <w:cnfStyle w:val="000000000000" w:firstRow="0" w:lastRow="0" w:firstColumn="0" w:lastColumn="0" w:oddVBand="0" w:evenVBand="0" w:oddHBand="0" w:evenHBand="0" w:firstRowFirstColumn="0" w:firstRowLastColumn="0" w:lastRowFirstColumn="0" w:lastRowLastColumn="0"/>
              <w:rPr>
                <w:sz w:val="18"/>
                <w:szCs w:val="18"/>
              </w:rPr>
            </w:pPr>
          </w:p>
        </w:tc>
        <w:tc>
          <w:tcPr>
            <w:tcW w:w="1563" w:type="dxa"/>
          </w:tcPr>
          <w:p w14:paraId="24F6AA1B" w14:textId="77777777" w:rsidR="00D27762" w:rsidRPr="002D3BB7" w:rsidRDefault="00D27762" w:rsidP="00FA1EC9">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Feed-grade</w:t>
            </w:r>
          </w:p>
        </w:tc>
        <w:tc>
          <w:tcPr>
            <w:tcW w:w="4536" w:type="dxa"/>
          </w:tcPr>
          <w:p w14:paraId="25E89F9F" w14:textId="77777777" w:rsidR="00D27762" w:rsidRPr="002D3BB7" w:rsidRDefault="00D27762" w:rsidP="00E9442B">
            <w:pPr>
              <w:cnfStyle w:val="000000000000" w:firstRow="0" w:lastRow="0" w:firstColumn="0" w:lastColumn="0" w:oddVBand="0" w:evenVBand="0" w:oddHBand="0" w:evenHBand="0" w:firstRowFirstColumn="0" w:firstRowLastColumn="0" w:lastRowFirstColumn="0" w:lastRowLastColumn="0"/>
              <w:rPr>
                <w:sz w:val="18"/>
                <w:szCs w:val="18"/>
              </w:rPr>
            </w:pPr>
            <w:r w:rsidRPr="002D3BB7">
              <w:rPr>
                <w:b/>
                <w:sz w:val="18"/>
                <w:szCs w:val="18"/>
              </w:rPr>
              <w:t>Feed ingredient</w:t>
            </w:r>
            <w:r w:rsidRPr="002D3BB7">
              <w:rPr>
                <w:sz w:val="18"/>
                <w:szCs w:val="18"/>
              </w:rPr>
              <w:t xml:space="preserve"> (6.6.2 in the EU Catalogue of feed materials), but also </w:t>
            </w:r>
            <w:r w:rsidRPr="002D3BB7">
              <w:rPr>
                <w:b/>
                <w:sz w:val="18"/>
                <w:szCs w:val="18"/>
              </w:rPr>
              <w:t>fertilizer</w:t>
            </w:r>
            <w:r w:rsidRPr="002D3BB7">
              <w:rPr>
                <w:sz w:val="18"/>
                <w:szCs w:val="18"/>
              </w:rPr>
              <w:t xml:space="preserve"> (CMC 2/11)</w:t>
            </w:r>
          </w:p>
        </w:tc>
      </w:tr>
      <w:tr w:rsidR="00D27762" w:rsidRPr="002D3BB7" w14:paraId="72A44F5F" w14:textId="77777777" w:rsidTr="002D3BB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cPr>
          <w:p w14:paraId="0AE908A9" w14:textId="77777777" w:rsidR="00D27762" w:rsidRPr="002D3BB7" w:rsidRDefault="00D27762" w:rsidP="00FA1EC9">
            <w:pPr>
              <w:jc w:val="right"/>
              <w:rPr>
                <w:sz w:val="18"/>
                <w:szCs w:val="18"/>
              </w:rPr>
            </w:pPr>
            <w:r w:rsidRPr="002D3BB7">
              <w:rPr>
                <w:sz w:val="18"/>
                <w:szCs w:val="18"/>
              </w:rPr>
              <w:t>Mycoproteins production</w:t>
            </w:r>
          </w:p>
        </w:tc>
        <w:tc>
          <w:tcPr>
            <w:tcW w:w="1411" w:type="dxa"/>
          </w:tcPr>
          <w:p w14:paraId="28FDEF66" w14:textId="77777777" w:rsidR="00D27762" w:rsidRPr="002D3BB7" w:rsidRDefault="00D27762" w:rsidP="00FA1EC9">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Lignin-rich cake</w:t>
            </w:r>
          </w:p>
        </w:tc>
        <w:tc>
          <w:tcPr>
            <w:tcW w:w="1563" w:type="dxa"/>
          </w:tcPr>
          <w:p w14:paraId="30D5D1C8" w14:textId="77777777" w:rsidR="00D27762" w:rsidRPr="002D3BB7" w:rsidRDefault="00D27762" w:rsidP="00FA1EC9">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Waste or Feed-grade</w:t>
            </w:r>
          </w:p>
        </w:tc>
        <w:tc>
          <w:tcPr>
            <w:tcW w:w="4536" w:type="dxa"/>
          </w:tcPr>
          <w:p w14:paraId="15DDA234" w14:textId="77777777" w:rsidR="00D27762" w:rsidRPr="002D3BB7" w:rsidRDefault="00D27762" w:rsidP="00E9442B">
            <w:pPr>
              <w:cnfStyle w:val="000000100000" w:firstRow="0" w:lastRow="0" w:firstColumn="0" w:lastColumn="0" w:oddVBand="0" w:evenVBand="0" w:oddHBand="1" w:evenHBand="0" w:firstRowFirstColumn="0" w:firstRowLastColumn="0" w:lastRowFirstColumn="0" w:lastRowLastColumn="0"/>
              <w:rPr>
                <w:sz w:val="18"/>
                <w:szCs w:val="18"/>
              </w:rPr>
            </w:pPr>
            <w:r w:rsidRPr="002D3BB7">
              <w:rPr>
                <w:b/>
                <w:sz w:val="18"/>
                <w:szCs w:val="18"/>
              </w:rPr>
              <w:t>Energy</w:t>
            </w:r>
            <w:r w:rsidRPr="002D3BB7">
              <w:rPr>
                <w:sz w:val="18"/>
                <w:szCs w:val="18"/>
              </w:rPr>
              <w:t xml:space="preserve"> (lack of nutrients)</w:t>
            </w:r>
          </w:p>
        </w:tc>
      </w:tr>
      <w:tr w:rsidR="00D27762" w:rsidRPr="002D3BB7" w14:paraId="34F40FA9" w14:textId="77777777" w:rsidTr="002D3BB7">
        <w:tc>
          <w:tcPr>
            <w:cnfStyle w:val="001000000000" w:firstRow="0" w:lastRow="0" w:firstColumn="1" w:lastColumn="0" w:oddVBand="0" w:evenVBand="0" w:oddHBand="0" w:evenHBand="0" w:firstRowFirstColumn="0" w:firstRowLastColumn="0" w:lastRowFirstColumn="0" w:lastRowLastColumn="0"/>
            <w:tcW w:w="0" w:type="auto"/>
            <w:vMerge/>
          </w:tcPr>
          <w:p w14:paraId="2485EF57" w14:textId="77777777" w:rsidR="00D27762" w:rsidRPr="002D3BB7" w:rsidRDefault="00D27762" w:rsidP="00FA1EC9">
            <w:pPr>
              <w:jc w:val="right"/>
              <w:rPr>
                <w:b w:val="0"/>
                <w:sz w:val="18"/>
                <w:szCs w:val="18"/>
              </w:rPr>
            </w:pPr>
          </w:p>
        </w:tc>
        <w:tc>
          <w:tcPr>
            <w:tcW w:w="1411" w:type="dxa"/>
          </w:tcPr>
          <w:p w14:paraId="413BB1F3" w14:textId="77777777" w:rsidR="00D27762" w:rsidRPr="002D3BB7" w:rsidRDefault="00D27762" w:rsidP="00FA1EC9">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Press-cake (starch set-up)</w:t>
            </w:r>
          </w:p>
        </w:tc>
        <w:tc>
          <w:tcPr>
            <w:tcW w:w="1563" w:type="dxa"/>
          </w:tcPr>
          <w:p w14:paraId="2A268CD9" w14:textId="77777777" w:rsidR="00D27762" w:rsidRPr="002D3BB7" w:rsidRDefault="00D27762" w:rsidP="00FA1EC9">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Feed-grade</w:t>
            </w:r>
          </w:p>
        </w:tc>
        <w:tc>
          <w:tcPr>
            <w:tcW w:w="4536" w:type="dxa"/>
          </w:tcPr>
          <w:p w14:paraId="23F624F2" w14:textId="77777777" w:rsidR="00D27762" w:rsidRPr="002D3BB7" w:rsidRDefault="00D27762" w:rsidP="00E9442B">
            <w:pPr>
              <w:cnfStyle w:val="000000000000" w:firstRow="0" w:lastRow="0" w:firstColumn="0" w:lastColumn="0" w:oddVBand="0" w:evenVBand="0" w:oddHBand="0" w:evenHBand="0" w:firstRowFirstColumn="0" w:firstRowLastColumn="0" w:lastRowFirstColumn="0" w:lastRowLastColumn="0"/>
              <w:rPr>
                <w:sz w:val="18"/>
                <w:szCs w:val="18"/>
              </w:rPr>
            </w:pPr>
            <w:r w:rsidRPr="002D3BB7">
              <w:rPr>
                <w:b/>
                <w:sz w:val="18"/>
                <w:szCs w:val="18"/>
              </w:rPr>
              <w:t>Feed ingredient</w:t>
            </w:r>
            <w:r w:rsidRPr="002D3BB7">
              <w:rPr>
                <w:sz w:val="18"/>
                <w:szCs w:val="18"/>
              </w:rPr>
              <w:t>: enzymatic hydrolysis is considered feed-grade operation by the EU catalogue of feed materials.</w:t>
            </w:r>
          </w:p>
        </w:tc>
      </w:tr>
    </w:tbl>
    <w:p w14:paraId="1209A5A2" w14:textId="0EDFF99A" w:rsidR="006B5342" w:rsidRDefault="00D27762" w:rsidP="003A663A">
      <w:pPr>
        <w:rPr>
          <w:sz w:val="18"/>
          <w:szCs w:val="18"/>
        </w:rPr>
      </w:pPr>
      <w:r>
        <w:rPr>
          <w:sz w:val="18"/>
          <w:vertAlign w:val="superscript"/>
        </w:rPr>
        <w:t>a</w:t>
      </w:r>
      <w:r>
        <w:rPr>
          <w:sz w:val="18"/>
        </w:rPr>
        <w:t xml:space="preserve">: As </w:t>
      </w:r>
      <w:r w:rsidRPr="002C1C52">
        <w:rPr>
          <w:sz w:val="18"/>
        </w:rPr>
        <w:t xml:space="preserve">defined in </w:t>
      </w:r>
      <w:r w:rsidRPr="002C1C52">
        <w:rPr>
          <w:b/>
          <w:sz w:val="18"/>
        </w:rPr>
        <w:t xml:space="preserve">section </w:t>
      </w:r>
      <w:r w:rsidR="003A663A">
        <w:rPr>
          <w:b/>
          <w:sz w:val="18"/>
        </w:rPr>
        <w:t xml:space="preserve">SI. </w:t>
      </w:r>
      <w:r>
        <w:rPr>
          <w:b/>
          <w:sz w:val="18"/>
        </w:rPr>
        <w:fldChar w:fldCharType="begin"/>
      </w:r>
      <w:r>
        <w:rPr>
          <w:b/>
          <w:sz w:val="18"/>
        </w:rPr>
        <w:instrText xml:space="preserve"> REF _Ref144721185 \r \h </w:instrText>
      </w:r>
      <w:r w:rsidR="003A663A">
        <w:rPr>
          <w:b/>
          <w:sz w:val="18"/>
        </w:rPr>
        <w:instrText xml:space="preserve"> \* MERGEFORMAT </w:instrText>
      </w:r>
      <w:r>
        <w:rPr>
          <w:b/>
          <w:sz w:val="18"/>
        </w:rPr>
      </w:r>
      <w:r>
        <w:rPr>
          <w:b/>
          <w:sz w:val="18"/>
        </w:rPr>
        <w:fldChar w:fldCharType="separate"/>
      </w:r>
      <w:r w:rsidR="00F25F8C">
        <w:rPr>
          <w:b/>
          <w:sz w:val="18"/>
        </w:rPr>
        <w:t>2.1</w:t>
      </w:r>
      <w:r>
        <w:rPr>
          <w:b/>
          <w:sz w:val="18"/>
        </w:rPr>
        <w:fldChar w:fldCharType="end"/>
      </w:r>
      <w:r w:rsidRPr="002C1C52">
        <w:rPr>
          <w:sz w:val="18"/>
        </w:rPr>
        <w:br/>
      </w:r>
      <w:r w:rsidRPr="002C1C52">
        <w:rPr>
          <w:sz w:val="18"/>
          <w:vertAlign w:val="superscript"/>
        </w:rPr>
        <w:t>b</w:t>
      </w:r>
      <w:r w:rsidRPr="002C1C52">
        <w:rPr>
          <w:sz w:val="18"/>
        </w:rPr>
        <w:t xml:space="preserve">: Terminology of </w:t>
      </w:r>
      <w:r w:rsidR="00DF50C3" w:rsidRPr="00DF50C3">
        <w:rPr>
          <w:b/>
          <w:sz w:val="18"/>
          <w:szCs w:val="18"/>
        </w:rPr>
        <w:fldChar w:fldCharType="begin"/>
      </w:r>
      <w:r w:rsidR="00DF50C3" w:rsidRPr="00DF50C3">
        <w:rPr>
          <w:b/>
          <w:sz w:val="18"/>
          <w:szCs w:val="18"/>
        </w:rPr>
        <w:instrText xml:space="preserve"> REF _Ref144720659 \h  \* MERGEFORMAT </w:instrText>
      </w:r>
      <w:r w:rsidR="00DF50C3" w:rsidRPr="00DF50C3">
        <w:rPr>
          <w:b/>
          <w:sz w:val="18"/>
          <w:szCs w:val="18"/>
        </w:rPr>
      </w:r>
      <w:r w:rsidR="00DF50C3" w:rsidRPr="00DF50C3">
        <w:rPr>
          <w:b/>
          <w:sz w:val="18"/>
          <w:szCs w:val="18"/>
        </w:rPr>
        <w:fldChar w:fldCharType="separate"/>
      </w:r>
      <w:r w:rsidR="00F25F8C" w:rsidRPr="00F25F8C">
        <w:rPr>
          <w:b/>
          <w:sz w:val="18"/>
          <w:szCs w:val="18"/>
        </w:rPr>
        <w:t xml:space="preserve">Table SI. </w:t>
      </w:r>
      <w:r w:rsidR="00F25F8C" w:rsidRPr="00F25F8C">
        <w:rPr>
          <w:b/>
          <w:noProof/>
          <w:sz w:val="18"/>
          <w:szCs w:val="18"/>
        </w:rPr>
        <w:t>3</w:t>
      </w:r>
      <w:r w:rsidR="00DF50C3" w:rsidRPr="00DF50C3">
        <w:rPr>
          <w:b/>
          <w:sz w:val="18"/>
          <w:szCs w:val="18"/>
        </w:rPr>
        <w:fldChar w:fldCharType="end"/>
      </w:r>
      <w:r w:rsidRPr="002C1C52">
        <w:rPr>
          <w:sz w:val="18"/>
        </w:rPr>
        <w:br/>
      </w:r>
      <w:r w:rsidRPr="002C1C52">
        <w:rPr>
          <w:sz w:val="18"/>
          <w:vertAlign w:val="superscript"/>
        </w:rPr>
        <w:t>c</w:t>
      </w:r>
      <w:r w:rsidRPr="002C1C52">
        <w:rPr>
          <w:sz w:val="18"/>
        </w:rPr>
        <w:t>: It is still unknown if emerging supply</w:t>
      </w:r>
      <w:r>
        <w:rPr>
          <w:sz w:val="18"/>
        </w:rPr>
        <w:t xml:space="preserve"> chains based on waste can enter food systems even as agricultural inpu</w:t>
      </w:r>
      <w:r w:rsidRPr="008D3F87">
        <w:rPr>
          <w:sz w:val="18"/>
          <w:szCs w:val="18"/>
        </w:rPr>
        <w:t>ts</w:t>
      </w:r>
      <w:r w:rsidRPr="008D3F87">
        <w:rPr>
          <w:sz w:val="18"/>
          <w:szCs w:val="18"/>
        </w:rPr>
        <w:fldChar w:fldCharType="begin"/>
      </w:r>
      <w:r w:rsidR="00682E10">
        <w:rPr>
          <w:sz w:val="18"/>
          <w:szCs w:val="18"/>
        </w:rPr>
        <w:instrText xml:space="preserve"> ADDIN ZOTERO_ITEM CSL_CITATION {"citationID":"07g72Gxt","properties":{"formattedCitation":"\\super 18\\nosupersub{}","plainCitation":"18","noteIndex":0},"citationItems":[{"id":13116,"uris":["http://zotero.org/users/6423791/items/4F98PUNJ"],"itemData":{"id":13116,"type":"article-journal","abstract":"Circular economy (CE) is an approach that decouples economic activity from the consumption of finite resources, designs out waste, and instead promotes an economic model based on sharing, leasing, reuse, repair, refurbishment and recycling, in an (almost) closed loop. This extensive literature review identified and categorised CE practices within all stages of the food and feed production chain in Europe to provide an overview of current and envisaged practices. Four broad macro areas were identified within which CE practices are envisaged or currently used in Europe: primary production of food and feed; reducing industrial/manufacturing/processing waste; reducing food and feed waste in wholesale, food retail, catering and households; and reducing food and feed packaging waste. In each macro area, there were a variety of practices of interest regarding emerging risk to plant, animal, human health and the environment.","container-title":"EFSA Supporting Publications","DOI":"10.2903/sp.efsa.2022.EN-7226","ISSN":"23978325, 23978325","issue":"3","journalAbbreviation":"EFS3","language":"en","source":"DOI.org (CSL JSON)","title":"Food and feed safety vulnerabilities in the circular economy","URL":"https://data.europa.eu/doi/10.2903/sp.efsa.2022.EN-7226","volume":"19","author":[{"family":"James","given":"Katy"},{"family":"Millington","given":"Anthony"},{"family":"Randall","given":"Nicola"}],"accessed":{"date-parts":[["2022",3,22]]},"issued":{"date-parts":[["2022",3]]}}}],"schema":"https://github.com/citation-style-language/schema/raw/master/csl-citation.json"} </w:instrText>
      </w:r>
      <w:r w:rsidRPr="008D3F87">
        <w:rPr>
          <w:sz w:val="18"/>
          <w:szCs w:val="18"/>
        </w:rPr>
        <w:fldChar w:fldCharType="separate"/>
      </w:r>
      <w:r w:rsidR="00682E10" w:rsidRPr="00682E10">
        <w:rPr>
          <w:rFonts w:ascii="Calibri" w:hAnsi="Calibri" w:cs="Calibri"/>
          <w:sz w:val="18"/>
          <w:szCs w:val="24"/>
          <w:vertAlign w:val="superscript"/>
        </w:rPr>
        <w:t>18</w:t>
      </w:r>
      <w:r w:rsidRPr="008D3F87">
        <w:rPr>
          <w:sz w:val="18"/>
          <w:szCs w:val="18"/>
        </w:rPr>
        <w:fldChar w:fldCharType="end"/>
      </w:r>
    </w:p>
    <w:p w14:paraId="04CE4A92" w14:textId="6416FE49" w:rsidR="00D27762" w:rsidRDefault="006B5342" w:rsidP="006B5342">
      <w:pPr>
        <w:rPr>
          <w:sz w:val="18"/>
          <w:szCs w:val="18"/>
        </w:rPr>
      </w:pPr>
      <w:r>
        <w:rPr>
          <w:sz w:val="18"/>
          <w:szCs w:val="18"/>
        </w:rPr>
        <w:br w:type="page"/>
      </w:r>
    </w:p>
    <w:p w14:paraId="5CE114B1" w14:textId="2115AA57" w:rsidR="001B6545" w:rsidRDefault="00A47F01" w:rsidP="003A33EB">
      <w:pPr>
        <w:pStyle w:val="Titre2"/>
      </w:pPr>
      <w:bookmarkStart w:id="119" w:name="_Ref144804882"/>
      <w:bookmarkStart w:id="120" w:name="_Toc145069111"/>
      <w:r>
        <w:lastRenderedPageBreak/>
        <w:t>Compound feed</w:t>
      </w:r>
      <w:r w:rsidR="00FA1EC9">
        <w:t xml:space="preserve"> LCI mode</w:t>
      </w:r>
      <w:bookmarkEnd w:id="119"/>
      <w:bookmarkEnd w:id="120"/>
      <w:r w:rsidR="00655BBB">
        <w:t>l</w:t>
      </w:r>
    </w:p>
    <w:p w14:paraId="78A53F3A" w14:textId="40478B71" w:rsidR="00A47F01" w:rsidRDefault="003A33EB" w:rsidP="003A33EB">
      <w:pPr>
        <w:ind w:firstLine="360"/>
        <w:jc w:val="both"/>
      </w:pPr>
      <w:r w:rsidRPr="003F5DA8">
        <w:t>The present</w:t>
      </w:r>
      <w:r>
        <w:t xml:space="preserve"> Compound Feed</w:t>
      </w:r>
      <w:r w:rsidRPr="003F5DA8">
        <w:t xml:space="preserve"> </w:t>
      </w:r>
      <w:r>
        <w:t>(</w:t>
      </w:r>
      <w:r w:rsidRPr="003F5DA8">
        <w:t>CF</w:t>
      </w:r>
      <w:r>
        <w:t>)</w:t>
      </w:r>
      <w:r w:rsidRPr="003F5DA8">
        <w:t xml:space="preserve"> LCI model directly builds on the CF model used </w:t>
      </w:r>
      <w:r>
        <w:t>in Javourez et al., (2022)</w:t>
      </w:r>
      <w:r w:rsidRPr="003A33EB">
        <w:fldChar w:fldCharType="begin"/>
      </w:r>
      <w:r w:rsidR="00682E10">
        <w:instrText xml:space="preserve"> ADDIN ZOTERO_ITEM CSL_CITATION {"citationID":"a7t1pckooi","properties":{"formattedCitation":"\\super 4\\nosupersub{}","plainCitation":"4","noteIndex":0},"citationItems":[{"id":13553,"uris":["http://zotero.org/users/6423791/items/EU8KLJZY"],"itemData":{"id":13553,"type":"article-journal","abstract":"Transforming residual biomass into edible ingredients is increasingly\npromoted to alleviate the environmental impacts of food systems. Yet,\nthese approaches mostly rely on emerging technologies and constrained\nresources, and their environmental benefits remain unclear. By combining\nprocess-based consequential life cycle analysis, uncertainty assessment\nand biomass resource estimation, we quantified the impacts of deploying\nwaste-to-nutrition pathways, here applied to the upgrading of agrifood\nco-products by solid-state fermentation (SSF). The benefits of reducing the\ndemand for soybean meal by enhancing the protein concentration of feed\nthrough SSF do not compensate for the environmental burdens induced\nby the process on climate change, water depletion and land use. Besides\nunlocking feed markets to low-feed-quality streams, SSF outperforms\nenergy valorization for most environmental impacts but is less competitive\nto mitigate climate change. Yet, SSF yields overall environmental benefits\nwhen unlocking food markets rather than supplying feed and energy\nservices. Systematic methodological harmonization is required to assess the\npotential of novel ingredients, as outcomes vary according to the displaced\nfood and feed baskets, and related land use changes.","container-title":"Nature Food","DOI":"10.1038/s43016-022-00621-9","journalAbbreviation":"Nat Food","language":"en","page":"911-920","title":"Upgrading agrifood co-products via solid fermentation yields environmental benefits under specific conditions only","volume":"3","author":[{"family":"Javourez","given":"Ugo"},{"family":"Rosero Delgado","given":"Ernesto Alonso"},{"family":"Hamelin","given":"Lorie"}],"issued":{"date-parts":[["2022",10,31]]}}}],"schema":"https://github.com/citation-style-language/schema/raw/master/csl-citation.json"} </w:instrText>
      </w:r>
      <w:r w:rsidRPr="003A33EB">
        <w:fldChar w:fldCharType="separate"/>
      </w:r>
      <w:r w:rsidR="00682E10" w:rsidRPr="00682E10">
        <w:rPr>
          <w:rFonts w:ascii="Calibri" w:hAnsi="Calibri" w:cs="Calibri"/>
          <w:szCs w:val="24"/>
          <w:vertAlign w:val="superscript"/>
        </w:rPr>
        <w:t>4</w:t>
      </w:r>
      <w:r w:rsidRPr="003A33EB">
        <w:fldChar w:fldCharType="end"/>
      </w:r>
      <w:r w:rsidRPr="003F5DA8">
        <w:t>, but is amenable to a wider scope of residual biomasses (</w:t>
      </w:r>
      <w:r>
        <w:t>including crop residues</w:t>
      </w:r>
      <w:r w:rsidRPr="003F5DA8">
        <w:t xml:space="preserve">). Therefore, corresponding </w:t>
      </w:r>
      <w:r>
        <w:t>documentation</w:t>
      </w:r>
      <w:r w:rsidRPr="003F5DA8">
        <w:t xml:space="preserve"> can be found in</w:t>
      </w:r>
      <w:r>
        <w:t xml:space="preserve"> the aforementioned reference</w:t>
      </w:r>
      <w:r w:rsidRPr="003F5DA8">
        <w:t>.</w:t>
      </w:r>
      <w:r>
        <w:t xml:space="preserve"> The option to direct feed residues to livestock on farm was not specifically modeled, but would differ in terms of </w:t>
      </w:r>
      <w:r w:rsidR="00A47F01" w:rsidRPr="003F5DA8">
        <w:t xml:space="preserve">drying and </w:t>
      </w:r>
      <w:r w:rsidR="00A47F01" w:rsidRPr="00033394">
        <w:t>transportation requirements</w:t>
      </w:r>
      <w:r w:rsidRPr="003A33EB">
        <w:fldChar w:fldCharType="begin"/>
      </w:r>
      <w:r w:rsidR="00682E10">
        <w:instrText xml:space="preserve"> ADDIN ZOTERO_ITEM CSL_CITATION {"citationID":"UQhY540m","properties":{"formattedCitation":"\\super 4\\nosupersub{}","plainCitation":"4","noteIndex":0},"citationItems":[{"id":13553,"uris":["http://zotero.org/users/6423791/items/EU8KLJZY"],"itemData":{"id":13553,"type":"article-journal","abstract":"Transforming residual biomass into edible ingredients is increasingly\npromoted to alleviate the environmental impacts of food systems. Yet,\nthese approaches mostly rely on emerging technologies and constrained\nresources, and their environmental benefits remain unclear. By combining\nprocess-based consequential life cycle analysis, uncertainty assessment\nand biomass resource estimation, we quantified the impacts of deploying\nwaste-to-nutrition pathways, here applied to the upgrading of agrifood\nco-products by solid-state fermentation (SSF). The benefits of reducing the\ndemand for soybean meal by enhancing the protein concentration of feed\nthrough SSF do not compensate for the environmental burdens induced\nby the process on climate change, water depletion and land use. Besides\nunlocking feed markets to low-feed-quality streams, SSF outperforms\nenergy valorization for most environmental impacts but is less competitive\nto mitigate climate change. Yet, SSF yields overall environmental benefits\nwhen unlocking food markets rather than supplying feed and energy\nservices. Systematic methodological harmonization is required to assess the\npotential of novel ingredients, as outcomes vary according to the displaced\nfood and feed baskets, and related land use changes.","container-title":"Nature Food","DOI":"10.1038/s43016-022-00621-9","journalAbbreviation":"Nat Food","language":"en","page":"911-920","title":"Upgrading agrifood co-products via solid fermentation yields environmental benefits under specific conditions only","volume":"3","author":[{"family":"Javourez","given":"Ugo"},{"family":"Rosero Delgado","given":"Ernesto Alonso"},{"family":"Hamelin","given":"Lorie"}],"issued":{"date-parts":[["2022",10,31]]}}}],"schema":"https://github.com/citation-style-language/schema/raw/master/csl-citation.json"} </w:instrText>
      </w:r>
      <w:r w:rsidRPr="003A33EB">
        <w:fldChar w:fldCharType="separate"/>
      </w:r>
      <w:r w:rsidR="00682E10" w:rsidRPr="00682E10">
        <w:rPr>
          <w:rFonts w:ascii="Calibri" w:hAnsi="Calibri" w:cs="Calibri"/>
          <w:szCs w:val="24"/>
          <w:vertAlign w:val="superscript"/>
        </w:rPr>
        <w:t>4</w:t>
      </w:r>
      <w:r w:rsidRPr="003A33EB">
        <w:fldChar w:fldCharType="end"/>
      </w:r>
      <w:r w:rsidR="00A47F01" w:rsidRPr="00033394">
        <w:t xml:space="preserve">. This is a rather conservative assumptions for e.g. vegetable tops streams; as these would likely be used as roughage directly on farm. </w:t>
      </w:r>
    </w:p>
    <w:p w14:paraId="2053539D" w14:textId="4442CA7D" w:rsidR="00376F11" w:rsidRPr="00033394" w:rsidRDefault="00376F11" w:rsidP="00376F11">
      <w:r w:rsidRPr="00033394">
        <w:t>The technology parameters retained for CF pathways modeling are displayed in the</w:t>
      </w:r>
      <w:r w:rsidR="003A33EB">
        <w:t xml:space="preserve"> </w:t>
      </w:r>
      <w:r w:rsidR="003A33EB" w:rsidRPr="003A33EB">
        <w:rPr>
          <w:b/>
        </w:rPr>
        <w:fldChar w:fldCharType="begin"/>
      </w:r>
      <w:r w:rsidR="003A33EB" w:rsidRPr="003A33EB">
        <w:rPr>
          <w:b/>
        </w:rPr>
        <w:instrText xml:space="preserve"> REF _Ref144744215 \h </w:instrText>
      </w:r>
      <w:r w:rsidR="003A33EB">
        <w:rPr>
          <w:b/>
        </w:rPr>
        <w:instrText xml:space="preserve"> \* MERGEFORMAT </w:instrText>
      </w:r>
      <w:r w:rsidR="003A33EB" w:rsidRPr="003A33EB">
        <w:rPr>
          <w:b/>
        </w:rPr>
      </w:r>
      <w:r w:rsidR="003A33EB" w:rsidRPr="003A33EB">
        <w:rPr>
          <w:b/>
        </w:rPr>
        <w:fldChar w:fldCharType="separate"/>
      </w:r>
      <w:r w:rsidR="00F25F8C" w:rsidRPr="00F25F8C">
        <w:rPr>
          <w:b/>
        </w:rPr>
        <w:t xml:space="preserve">Table SI. </w:t>
      </w:r>
      <w:r w:rsidR="00F25F8C" w:rsidRPr="00F25F8C">
        <w:rPr>
          <w:b/>
          <w:noProof/>
        </w:rPr>
        <w:t>24</w:t>
      </w:r>
      <w:r w:rsidR="003A33EB" w:rsidRPr="003A33EB">
        <w:rPr>
          <w:b/>
        </w:rPr>
        <w:fldChar w:fldCharType="end"/>
      </w:r>
      <w:r w:rsidRPr="00033394">
        <w:t>.</w:t>
      </w:r>
    </w:p>
    <w:p w14:paraId="37BB66E8" w14:textId="5D4C91D2" w:rsidR="00376F11" w:rsidRPr="00B825DA" w:rsidRDefault="00874128" w:rsidP="006B5342">
      <w:pPr>
        <w:pStyle w:val="Lgende"/>
        <w:jc w:val="left"/>
        <w:rPr>
          <w:b w:val="0"/>
          <w:i/>
        </w:rPr>
      </w:pPr>
      <w:bookmarkStart w:id="121" w:name="_Ref144744215"/>
      <w:bookmarkStart w:id="122" w:name="_Toc134537598"/>
      <w:bookmarkStart w:id="123" w:name="_Toc151967908"/>
      <w:r>
        <w:t>Table SI.</w:t>
      </w:r>
      <w:r w:rsidR="00376F11">
        <w:t xml:space="preserve"> </w:t>
      </w:r>
      <w:r>
        <w:fldChar w:fldCharType="begin"/>
      </w:r>
      <w:r>
        <w:instrText xml:space="preserve"> SEQ Table_SI. \* ARABIC </w:instrText>
      </w:r>
      <w:r>
        <w:fldChar w:fldCharType="separate"/>
      </w:r>
      <w:r w:rsidR="00F25F8C">
        <w:rPr>
          <w:noProof/>
        </w:rPr>
        <w:t>24</w:t>
      </w:r>
      <w:r>
        <w:fldChar w:fldCharType="end"/>
      </w:r>
      <w:bookmarkEnd w:id="121"/>
      <w:r w:rsidR="00376F11">
        <w:t xml:space="preserve"> </w:t>
      </w:r>
      <w:r w:rsidR="00376F11" w:rsidRPr="007B2D88">
        <w:t>– Parameters specific to CF pathways</w:t>
      </w:r>
      <w:bookmarkEnd w:id="122"/>
      <w:bookmarkEnd w:id="123"/>
    </w:p>
    <w:tbl>
      <w:tblPr>
        <w:tblStyle w:val="Tableausimple2"/>
        <w:tblW w:w="0" w:type="auto"/>
        <w:jc w:val="center"/>
        <w:tblLook w:val="04A0" w:firstRow="1" w:lastRow="0" w:firstColumn="1" w:lastColumn="0" w:noHBand="0" w:noVBand="1"/>
      </w:tblPr>
      <w:tblGrid>
        <w:gridCol w:w="978"/>
        <w:gridCol w:w="2551"/>
        <w:gridCol w:w="1134"/>
        <w:gridCol w:w="1418"/>
        <w:gridCol w:w="1417"/>
        <w:gridCol w:w="1544"/>
      </w:tblGrid>
      <w:tr w:rsidR="00376F11" w:rsidRPr="002D3BB7" w14:paraId="184F3CB1" w14:textId="77777777" w:rsidTr="002D3BB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78" w:type="dxa"/>
          </w:tcPr>
          <w:p w14:paraId="2B67A6F4" w14:textId="77777777" w:rsidR="00376F11" w:rsidRPr="002D3BB7" w:rsidRDefault="00376F11" w:rsidP="006458E0">
            <w:pPr>
              <w:rPr>
                <w:sz w:val="18"/>
                <w:szCs w:val="18"/>
              </w:rPr>
            </w:pPr>
            <w:bookmarkStart w:id="124" w:name="_Hlk123716662"/>
            <w:r w:rsidRPr="002D3BB7">
              <w:rPr>
                <w:sz w:val="18"/>
                <w:szCs w:val="18"/>
              </w:rPr>
              <w:t>n°</w:t>
            </w:r>
          </w:p>
        </w:tc>
        <w:tc>
          <w:tcPr>
            <w:tcW w:w="2551" w:type="dxa"/>
          </w:tcPr>
          <w:p w14:paraId="427C9BDB" w14:textId="77777777" w:rsidR="00376F11" w:rsidRPr="002D3BB7" w:rsidRDefault="00376F11" w:rsidP="006458E0">
            <w:pPr>
              <w:jc w:val="right"/>
              <w:cnfStyle w:val="100000000000" w:firstRow="1" w:lastRow="0" w:firstColumn="0" w:lastColumn="0" w:oddVBand="0" w:evenVBand="0" w:oddHBand="0" w:evenHBand="0" w:firstRowFirstColumn="0" w:firstRowLastColumn="0" w:lastRowFirstColumn="0" w:lastRowLastColumn="0"/>
              <w:rPr>
                <w:sz w:val="18"/>
                <w:szCs w:val="18"/>
              </w:rPr>
            </w:pPr>
            <w:r w:rsidRPr="002D3BB7">
              <w:rPr>
                <w:sz w:val="18"/>
                <w:szCs w:val="18"/>
              </w:rPr>
              <w:t>Parameter</w:t>
            </w:r>
          </w:p>
        </w:tc>
        <w:tc>
          <w:tcPr>
            <w:tcW w:w="1134" w:type="dxa"/>
          </w:tcPr>
          <w:p w14:paraId="417409C2" w14:textId="77777777" w:rsidR="00376F11" w:rsidRPr="002D3BB7" w:rsidRDefault="00376F11" w:rsidP="006458E0">
            <w:pPr>
              <w:cnfStyle w:val="100000000000" w:firstRow="1" w:lastRow="0" w:firstColumn="0" w:lastColumn="0" w:oddVBand="0" w:evenVBand="0" w:oddHBand="0" w:evenHBand="0" w:firstRowFirstColumn="0" w:firstRowLastColumn="0" w:lastRowFirstColumn="0" w:lastRowLastColumn="0"/>
              <w:rPr>
                <w:sz w:val="18"/>
                <w:szCs w:val="18"/>
              </w:rPr>
            </w:pPr>
            <w:r w:rsidRPr="002D3BB7">
              <w:rPr>
                <w:sz w:val="18"/>
                <w:szCs w:val="18"/>
              </w:rPr>
              <w:t>Unit</w:t>
            </w:r>
          </w:p>
        </w:tc>
        <w:tc>
          <w:tcPr>
            <w:tcW w:w="1418" w:type="dxa"/>
          </w:tcPr>
          <w:p w14:paraId="1BA73238" w14:textId="77777777" w:rsidR="00376F11" w:rsidRPr="002D3BB7" w:rsidRDefault="00376F11" w:rsidP="006458E0">
            <w:pPr>
              <w:cnfStyle w:val="100000000000" w:firstRow="1" w:lastRow="0" w:firstColumn="0" w:lastColumn="0" w:oddVBand="0" w:evenVBand="0" w:oddHBand="0" w:evenHBand="0" w:firstRowFirstColumn="0" w:firstRowLastColumn="0" w:lastRowFirstColumn="0" w:lastRowLastColumn="0"/>
              <w:rPr>
                <w:sz w:val="18"/>
                <w:szCs w:val="18"/>
              </w:rPr>
            </w:pPr>
            <w:r w:rsidRPr="002D3BB7">
              <w:rPr>
                <w:sz w:val="18"/>
                <w:szCs w:val="18"/>
              </w:rPr>
              <w:t>Baseline value</w:t>
            </w:r>
          </w:p>
        </w:tc>
        <w:tc>
          <w:tcPr>
            <w:tcW w:w="1417" w:type="dxa"/>
          </w:tcPr>
          <w:p w14:paraId="783E408B" w14:textId="77777777" w:rsidR="00376F11" w:rsidRPr="002D3BB7" w:rsidRDefault="00376F11" w:rsidP="006458E0">
            <w:pPr>
              <w:cnfStyle w:val="100000000000" w:firstRow="1" w:lastRow="0" w:firstColumn="0" w:lastColumn="0" w:oddVBand="0" w:evenVBand="0" w:oddHBand="0" w:evenHBand="0" w:firstRowFirstColumn="0" w:firstRowLastColumn="0" w:lastRowFirstColumn="0" w:lastRowLastColumn="0"/>
              <w:rPr>
                <w:sz w:val="18"/>
                <w:szCs w:val="18"/>
              </w:rPr>
            </w:pPr>
            <w:r w:rsidRPr="002D3BB7">
              <w:rPr>
                <w:sz w:val="18"/>
                <w:szCs w:val="18"/>
              </w:rPr>
              <w:t>Variation range</w:t>
            </w:r>
          </w:p>
        </w:tc>
        <w:tc>
          <w:tcPr>
            <w:tcW w:w="1544" w:type="dxa"/>
          </w:tcPr>
          <w:p w14:paraId="073F092A" w14:textId="77777777" w:rsidR="00376F11" w:rsidRPr="002D3BB7" w:rsidRDefault="00376F11" w:rsidP="00E9442B">
            <w:pPr>
              <w:cnfStyle w:val="100000000000" w:firstRow="1" w:lastRow="0" w:firstColumn="0" w:lastColumn="0" w:oddVBand="0" w:evenVBand="0" w:oddHBand="0" w:evenHBand="0" w:firstRowFirstColumn="0" w:firstRowLastColumn="0" w:lastRowFirstColumn="0" w:lastRowLastColumn="0"/>
              <w:rPr>
                <w:i/>
                <w:sz w:val="18"/>
                <w:szCs w:val="18"/>
              </w:rPr>
            </w:pPr>
            <w:r w:rsidRPr="002D3BB7">
              <w:rPr>
                <w:i/>
                <w:sz w:val="18"/>
                <w:szCs w:val="18"/>
              </w:rPr>
              <w:t>Comment</w:t>
            </w:r>
          </w:p>
        </w:tc>
      </w:tr>
      <w:tr w:rsidR="00376F11" w:rsidRPr="002D3BB7" w14:paraId="3896410F" w14:textId="77777777" w:rsidTr="002D3BB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78" w:type="dxa"/>
          </w:tcPr>
          <w:p w14:paraId="32D82120" w14:textId="77777777" w:rsidR="00376F11" w:rsidRPr="002D3BB7" w:rsidRDefault="00376F11" w:rsidP="006458E0">
            <w:pPr>
              <w:rPr>
                <w:sz w:val="18"/>
                <w:szCs w:val="18"/>
              </w:rPr>
            </w:pPr>
            <w:r w:rsidRPr="002D3BB7">
              <w:rPr>
                <w:sz w:val="18"/>
                <w:szCs w:val="18"/>
              </w:rPr>
              <w:t>12</w:t>
            </w:r>
          </w:p>
        </w:tc>
        <w:tc>
          <w:tcPr>
            <w:tcW w:w="2551" w:type="dxa"/>
          </w:tcPr>
          <w:p w14:paraId="287BA5C3" w14:textId="77777777" w:rsidR="00376F11" w:rsidRPr="002D3BB7" w:rsidRDefault="00376F11"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Humidity for grinding</w:t>
            </w:r>
          </w:p>
        </w:tc>
        <w:tc>
          <w:tcPr>
            <w:tcW w:w="1134" w:type="dxa"/>
          </w:tcPr>
          <w:p w14:paraId="2A92FB37"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w:t>
            </w:r>
            <w:r w:rsidRPr="002D3BB7">
              <w:rPr>
                <w:sz w:val="18"/>
                <w:szCs w:val="18"/>
                <w:vertAlign w:val="subscript"/>
              </w:rPr>
              <w:t>ww</w:t>
            </w:r>
          </w:p>
        </w:tc>
        <w:tc>
          <w:tcPr>
            <w:tcW w:w="1418" w:type="dxa"/>
          </w:tcPr>
          <w:p w14:paraId="63BC2A7F"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9%</w:t>
            </w:r>
          </w:p>
        </w:tc>
        <w:tc>
          <w:tcPr>
            <w:tcW w:w="1417" w:type="dxa"/>
          </w:tcPr>
          <w:p w14:paraId="44B728D9"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9-13%</w:t>
            </w:r>
          </w:p>
        </w:tc>
        <w:tc>
          <w:tcPr>
            <w:tcW w:w="1544" w:type="dxa"/>
            <w:vMerge w:val="restart"/>
          </w:tcPr>
          <w:p w14:paraId="41A6D716" w14:textId="3067DDAE" w:rsidR="00376F11" w:rsidRPr="002D3BB7" w:rsidRDefault="00376F11"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2D3BB7">
              <w:rPr>
                <w:i/>
                <w:sz w:val="18"/>
                <w:szCs w:val="18"/>
              </w:rPr>
              <w:t>Already detailed in Javourez et al., 2022</w:t>
            </w:r>
            <w:r w:rsidRPr="002D3BB7">
              <w:rPr>
                <w:i/>
                <w:sz w:val="18"/>
                <w:szCs w:val="18"/>
              </w:rPr>
              <w:fldChar w:fldCharType="begin"/>
            </w:r>
            <w:r w:rsidR="00682E10" w:rsidRPr="002D3BB7">
              <w:rPr>
                <w:i/>
                <w:sz w:val="18"/>
                <w:szCs w:val="18"/>
              </w:rPr>
              <w:instrText xml:space="preserve"> ADDIN ZOTERO_ITEM CSL_CITATION {"citationID":"3aBmA5Db","properties":{"formattedCitation":"\\super 4\\nosupersub{}","plainCitation":"4","noteIndex":0},"citationItems":[{"id":13553,"uris":["http://zotero.org/users/6423791/items/EU8KLJZY"],"itemData":{"id":13553,"type":"article-journal","abstract":"Transforming residual biomass into edible ingredients is increasingly\npromoted to alleviate the environmental impacts of food systems. Yet,\nthese approaches mostly rely on emerging technologies and constrained\nresources, and their environmental benefits remain unclear. By combining\nprocess-based consequential life cycle analysis, uncertainty assessment\nand biomass resource estimation, we quantified the impacts of deploying\nwaste-to-nutrition pathways, here applied to the upgrading of agrifood\nco-products by solid-state fermentation (SSF). The benefits of reducing the\ndemand for soybean meal by enhancing the protein concentration of feed\nthrough SSF do not compensate for the environmental burdens induced\nby the process on climate change, water depletion and land use. Besides\nunlocking feed markets to low-feed-quality streams, SSF outperforms\nenergy valorization for most environmental impacts but is less competitive\nto mitigate climate change. Yet, SSF yields overall environmental benefits\nwhen unlocking food markets rather than supplying feed and energy\nservices. Systematic methodological harmonization is required to assess the\npotential of novel ingredients, as outcomes vary according to the displaced\nfood and feed baskets, and related land use changes.","container-title":"Nature Food","DOI":"10.1038/s43016-022-00621-9","journalAbbreviation":"Nat Food","language":"en","page":"911-920","title":"Upgrading agrifood co-products via solid fermentation yields environmental benefits under specific conditions only","volume":"3","author":[{"family":"Javourez","given":"Ugo"},{"family":"Rosero Delgado","given":"Ernesto Alonso"},{"family":"Hamelin","given":"Lorie"}],"issued":{"date-parts":[["2022",10,31]]}}}],"schema":"https://github.com/citation-style-language/schema/raw/master/csl-citation.json"} </w:instrText>
            </w:r>
            <w:r w:rsidRPr="002D3BB7">
              <w:rPr>
                <w:i/>
                <w:sz w:val="18"/>
                <w:szCs w:val="18"/>
              </w:rPr>
              <w:fldChar w:fldCharType="separate"/>
            </w:r>
            <w:r w:rsidR="00682E10" w:rsidRPr="002D3BB7">
              <w:rPr>
                <w:rFonts w:ascii="Calibri" w:hAnsi="Calibri" w:cs="Calibri"/>
                <w:sz w:val="18"/>
                <w:szCs w:val="18"/>
                <w:vertAlign w:val="superscript"/>
              </w:rPr>
              <w:t>4</w:t>
            </w:r>
            <w:r w:rsidRPr="002D3BB7">
              <w:rPr>
                <w:i/>
                <w:sz w:val="18"/>
                <w:szCs w:val="18"/>
              </w:rPr>
              <w:fldChar w:fldCharType="end"/>
            </w:r>
            <w:r w:rsidRPr="002D3BB7">
              <w:rPr>
                <w:i/>
                <w:sz w:val="18"/>
                <w:szCs w:val="18"/>
              </w:rPr>
              <w:t>, based on review of feed formulation processes.</w:t>
            </w:r>
          </w:p>
        </w:tc>
      </w:tr>
      <w:tr w:rsidR="00376F11" w:rsidRPr="002D3BB7" w14:paraId="44F440A6" w14:textId="77777777" w:rsidTr="002D3BB7">
        <w:trPr>
          <w:jc w:val="center"/>
        </w:trPr>
        <w:tc>
          <w:tcPr>
            <w:cnfStyle w:val="001000000000" w:firstRow="0" w:lastRow="0" w:firstColumn="1" w:lastColumn="0" w:oddVBand="0" w:evenVBand="0" w:oddHBand="0" w:evenHBand="0" w:firstRowFirstColumn="0" w:firstRowLastColumn="0" w:lastRowFirstColumn="0" w:lastRowLastColumn="0"/>
            <w:tcW w:w="978" w:type="dxa"/>
          </w:tcPr>
          <w:p w14:paraId="774A9CA9" w14:textId="77777777" w:rsidR="00376F11" w:rsidRPr="002D3BB7" w:rsidRDefault="00376F11" w:rsidP="006458E0">
            <w:pPr>
              <w:rPr>
                <w:sz w:val="18"/>
                <w:szCs w:val="18"/>
              </w:rPr>
            </w:pPr>
            <w:r w:rsidRPr="002D3BB7">
              <w:rPr>
                <w:sz w:val="18"/>
                <w:szCs w:val="18"/>
              </w:rPr>
              <w:t>13</w:t>
            </w:r>
          </w:p>
        </w:tc>
        <w:tc>
          <w:tcPr>
            <w:tcW w:w="2551" w:type="dxa"/>
          </w:tcPr>
          <w:p w14:paraId="0468F2CA" w14:textId="77777777" w:rsidR="00376F11" w:rsidRPr="002D3BB7" w:rsidRDefault="00376F11"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Cabinet dryer energy</w:t>
            </w:r>
          </w:p>
        </w:tc>
        <w:tc>
          <w:tcPr>
            <w:tcW w:w="1134" w:type="dxa"/>
          </w:tcPr>
          <w:p w14:paraId="4936D85E"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2D3BB7">
              <w:rPr>
                <w:sz w:val="18"/>
                <w:szCs w:val="18"/>
              </w:rPr>
              <w:t>MJ.kg</w:t>
            </w:r>
            <w:r w:rsidRPr="002D3BB7">
              <w:rPr>
                <w:sz w:val="18"/>
                <w:szCs w:val="18"/>
                <w:vertAlign w:val="subscript"/>
              </w:rPr>
              <w:t>water</w:t>
            </w:r>
            <w:proofErr w:type="gramEnd"/>
            <w:r w:rsidRPr="002D3BB7">
              <w:rPr>
                <w:sz w:val="18"/>
                <w:szCs w:val="18"/>
                <w:vertAlign w:val="superscript"/>
              </w:rPr>
              <w:t>-1</w:t>
            </w:r>
          </w:p>
        </w:tc>
        <w:tc>
          <w:tcPr>
            <w:tcW w:w="1418" w:type="dxa"/>
          </w:tcPr>
          <w:p w14:paraId="581775B3"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5.6</w:t>
            </w:r>
          </w:p>
        </w:tc>
        <w:tc>
          <w:tcPr>
            <w:tcW w:w="1417" w:type="dxa"/>
          </w:tcPr>
          <w:p w14:paraId="170B2EEB"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5.2-6</w:t>
            </w:r>
          </w:p>
        </w:tc>
        <w:tc>
          <w:tcPr>
            <w:tcW w:w="1544" w:type="dxa"/>
            <w:vMerge/>
          </w:tcPr>
          <w:p w14:paraId="2313AD83"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i/>
                <w:sz w:val="18"/>
                <w:szCs w:val="18"/>
              </w:rPr>
            </w:pPr>
          </w:p>
        </w:tc>
      </w:tr>
      <w:tr w:rsidR="00376F11" w:rsidRPr="002D3BB7" w14:paraId="54E47878" w14:textId="77777777" w:rsidTr="002D3BB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78" w:type="dxa"/>
          </w:tcPr>
          <w:p w14:paraId="6960F3C6" w14:textId="77777777" w:rsidR="00376F11" w:rsidRPr="002D3BB7" w:rsidRDefault="00376F11" w:rsidP="006458E0">
            <w:pPr>
              <w:rPr>
                <w:sz w:val="18"/>
                <w:szCs w:val="18"/>
              </w:rPr>
            </w:pPr>
            <w:r w:rsidRPr="002D3BB7">
              <w:rPr>
                <w:sz w:val="18"/>
                <w:szCs w:val="18"/>
              </w:rPr>
              <w:t>14</w:t>
            </w:r>
          </w:p>
        </w:tc>
        <w:tc>
          <w:tcPr>
            <w:tcW w:w="2551" w:type="dxa"/>
          </w:tcPr>
          <w:p w14:paraId="4774DA1B" w14:textId="77777777" w:rsidR="00376F11" w:rsidRPr="002D3BB7" w:rsidRDefault="00376F11"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Cabinet dryer capacity</w:t>
            </w:r>
          </w:p>
        </w:tc>
        <w:tc>
          <w:tcPr>
            <w:tcW w:w="1134" w:type="dxa"/>
          </w:tcPr>
          <w:p w14:paraId="68E01C37"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t</w:t>
            </w:r>
            <w:r w:rsidRPr="002D3BB7">
              <w:rPr>
                <w:sz w:val="18"/>
                <w:szCs w:val="18"/>
                <w:vertAlign w:val="subscript"/>
              </w:rPr>
              <w:t>ww</w:t>
            </w:r>
            <w:r w:rsidRPr="002D3BB7">
              <w:rPr>
                <w:sz w:val="18"/>
                <w:szCs w:val="18"/>
              </w:rPr>
              <w:t>.h</w:t>
            </w:r>
            <w:r w:rsidRPr="002D3BB7">
              <w:rPr>
                <w:sz w:val="18"/>
                <w:szCs w:val="18"/>
                <w:vertAlign w:val="superscript"/>
              </w:rPr>
              <w:t>-1</w:t>
            </w:r>
          </w:p>
        </w:tc>
        <w:tc>
          <w:tcPr>
            <w:tcW w:w="1418" w:type="dxa"/>
          </w:tcPr>
          <w:p w14:paraId="78A76516"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12</w:t>
            </w:r>
          </w:p>
        </w:tc>
        <w:tc>
          <w:tcPr>
            <w:tcW w:w="1417" w:type="dxa"/>
          </w:tcPr>
          <w:p w14:paraId="48DDE78A"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5-12</w:t>
            </w:r>
          </w:p>
        </w:tc>
        <w:tc>
          <w:tcPr>
            <w:tcW w:w="1544" w:type="dxa"/>
            <w:vMerge/>
          </w:tcPr>
          <w:p w14:paraId="04087E5D"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i/>
                <w:sz w:val="18"/>
                <w:szCs w:val="18"/>
              </w:rPr>
            </w:pPr>
          </w:p>
        </w:tc>
      </w:tr>
      <w:tr w:rsidR="00376F11" w:rsidRPr="002D3BB7" w14:paraId="0BA37014" w14:textId="77777777" w:rsidTr="002D3BB7">
        <w:trPr>
          <w:jc w:val="center"/>
        </w:trPr>
        <w:tc>
          <w:tcPr>
            <w:cnfStyle w:val="001000000000" w:firstRow="0" w:lastRow="0" w:firstColumn="1" w:lastColumn="0" w:oddVBand="0" w:evenVBand="0" w:oddHBand="0" w:evenHBand="0" w:firstRowFirstColumn="0" w:firstRowLastColumn="0" w:lastRowFirstColumn="0" w:lastRowLastColumn="0"/>
            <w:tcW w:w="978" w:type="dxa"/>
          </w:tcPr>
          <w:p w14:paraId="5BEE86C2" w14:textId="77777777" w:rsidR="00376F11" w:rsidRPr="002D3BB7" w:rsidRDefault="00376F11" w:rsidP="006458E0">
            <w:pPr>
              <w:rPr>
                <w:sz w:val="18"/>
                <w:szCs w:val="18"/>
              </w:rPr>
            </w:pPr>
            <w:r w:rsidRPr="002D3BB7">
              <w:rPr>
                <w:sz w:val="18"/>
                <w:szCs w:val="18"/>
              </w:rPr>
              <w:t>17</w:t>
            </w:r>
          </w:p>
        </w:tc>
        <w:tc>
          <w:tcPr>
            <w:tcW w:w="2551" w:type="dxa"/>
          </w:tcPr>
          <w:p w14:paraId="68B4A148" w14:textId="77777777" w:rsidR="00376F11" w:rsidRPr="002D3BB7" w:rsidRDefault="00376F11"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Grinding energy</w:t>
            </w:r>
          </w:p>
        </w:tc>
        <w:tc>
          <w:tcPr>
            <w:tcW w:w="1134" w:type="dxa"/>
          </w:tcPr>
          <w:p w14:paraId="749C3B11"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kWh.t</w:t>
            </w:r>
            <w:r w:rsidRPr="002D3BB7">
              <w:rPr>
                <w:sz w:val="18"/>
                <w:szCs w:val="18"/>
                <w:vertAlign w:val="subscript"/>
              </w:rPr>
              <w:t>ww</w:t>
            </w:r>
            <w:r w:rsidRPr="002D3BB7">
              <w:rPr>
                <w:sz w:val="18"/>
                <w:szCs w:val="18"/>
                <w:vertAlign w:val="superscript"/>
              </w:rPr>
              <w:t>-1</w:t>
            </w:r>
          </w:p>
        </w:tc>
        <w:tc>
          <w:tcPr>
            <w:tcW w:w="1418" w:type="dxa"/>
          </w:tcPr>
          <w:p w14:paraId="2892FB4E"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1</w:t>
            </w:r>
          </w:p>
        </w:tc>
        <w:tc>
          <w:tcPr>
            <w:tcW w:w="1417" w:type="dxa"/>
          </w:tcPr>
          <w:p w14:paraId="29BFAA31"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0.2-2</w:t>
            </w:r>
          </w:p>
        </w:tc>
        <w:tc>
          <w:tcPr>
            <w:tcW w:w="1544" w:type="dxa"/>
            <w:vMerge/>
          </w:tcPr>
          <w:p w14:paraId="38F0DEE3"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i/>
                <w:sz w:val="18"/>
                <w:szCs w:val="18"/>
              </w:rPr>
            </w:pPr>
          </w:p>
        </w:tc>
      </w:tr>
      <w:tr w:rsidR="00376F11" w:rsidRPr="002D3BB7" w14:paraId="3EA5B891" w14:textId="77777777" w:rsidTr="002D3BB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78" w:type="dxa"/>
          </w:tcPr>
          <w:p w14:paraId="180F58EE" w14:textId="77777777" w:rsidR="00376F11" w:rsidRPr="002D3BB7" w:rsidRDefault="00376F11" w:rsidP="006458E0">
            <w:pPr>
              <w:rPr>
                <w:sz w:val="18"/>
                <w:szCs w:val="18"/>
              </w:rPr>
            </w:pPr>
            <w:r w:rsidRPr="002D3BB7">
              <w:rPr>
                <w:sz w:val="18"/>
                <w:szCs w:val="18"/>
              </w:rPr>
              <w:t>18</w:t>
            </w:r>
          </w:p>
        </w:tc>
        <w:tc>
          <w:tcPr>
            <w:tcW w:w="2551" w:type="dxa"/>
          </w:tcPr>
          <w:p w14:paraId="1FD355A4" w14:textId="77777777" w:rsidR="00376F11" w:rsidRPr="002D3BB7" w:rsidRDefault="00376F11"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Water loss at pelletizing</w:t>
            </w:r>
          </w:p>
        </w:tc>
        <w:tc>
          <w:tcPr>
            <w:tcW w:w="1134" w:type="dxa"/>
          </w:tcPr>
          <w:p w14:paraId="09892A61"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w:t>
            </w:r>
            <w:r w:rsidRPr="002D3BB7">
              <w:rPr>
                <w:sz w:val="18"/>
                <w:szCs w:val="18"/>
                <w:vertAlign w:val="subscript"/>
              </w:rPr>
              <w:t>water</w:t>
            </w:r>
          </w:p>
        </w:tc>
        <w:tc>
          <w:tcPr>
            <w:tcW w:w="1418" w:type="dxa"/>
          </w:tcPr>
          <w:p w14:paraId="6E2B8EBF"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16%</w:t>
            </w:r>
          </w:p>
        </w:tc>
        <w:tc>
          <w:tcPr>
            <w:tcW w:w="1417" w:type="dxa"/>
          </w:tcPr>
          <w:p w14:paraId="1810287B"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7-16%</w:t>
            </w:r>
          </w:p>
        </w:tc>
        <w:tc>
          <w:tcPr>
            <w:tcW w:w="1544" w:type="dxa"/>
            <w:vMerge/>
          </w:tcPr>
          <w:p w14:paraId="3EEDAA29"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i/>
                <w:sz w:val="18"/>
                <w:szCs w:val="18"/>
              </w:rPr>
            </w:pPr>
          </w:p>
        </w:tc>
      </w:tr>
      <w:tr w:rsidR="00376F11" w:rsidRPr="002D3BB7" w14:paraId="28566036" w14:textId="77777777" w:rsidTr="002D3BB7">
        <w:trPr>
          <w:jc w:val="center"/>
        </w:trPr>
        <w:tc>
          <w:tcPr>
            <w:cnfStyle w:val="001000000000" w:firstRow="0" w:lastRow="0" w:firstColumn="1" w:lastColumn="0" w:oddVBand="0" w:evenVBand="0" w:oddHBand="0" w:evenHBand="0" w:firstRowFirstColumn="0" w:firstRowLastColumn="0" w:lastRowFirstColumn="0" w:lastRowLastColumn="0"/>
            <w:tcW w:w="978" w:type="dxa"/>
          </w:tcPr>
          <w:p w14:paraId="76A66C10" w14:textId="77777777" w:rsidR="00376F11" w:rsidRPr="002D3BB7" w:rsidRDefault="00376F11" w:rsidP="006458E0">
            <w:pPr>
              <w:rPr>
                <w:sz w:val="18"/>
                <w:szCs w:val="18"/>
              </w:rPr>
            </w:pPr>
            <w:r w:rsidRPr="002D3BB7">
              <w:rPr>
                <w:sz w:val="18"/>
                <w:szCs w:val="18"/>
              </w:rPr>
              <w:t>19</w:t>
            </w:r>
          </w:p>
        </w:tc>
        <w:tc>
          <w:tcPr>
            <w:tcW w:w="2551" w:type="dxa"/>
          </w:tcPr>
          <w:p w14:paraId="698C9666" w14:textId="77777777" w:rsidR="00376F11" w:rsidRPr="002D3BB7" w:rsidRDefault="00376F11"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Feed pelletizing energy</w:t>
            </w:r>
          </w:p>
        </w:tc>
        <w:tc>
          <w:tcPr>
            <w:tcW w:w="1134" w:type="dxa"/>
          </w:tcPr>
          <w:p w14:paraId="5172B92B"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kWh.t</w:t>
            </w:r>
            <w:r w:rsidRPr="002D3BB7">
              <w:rPr>
                <w:sz w:val="18"/>
                <w:szCs w:val="18"/>
                <w:vertAlign w:val="subscript"/>
              </w:rPr>
              <w:t>ww</w:t>
            </w:r>
            <w:r w:rsidRPr="002D3BB7">
              <w:rPr>
                <w:sz w:val="18"/>
                <w:szCs w:val="18"/>
                <w:vertAlign w:val="superscript"/>
              </w:rPr>
              <w:t>-1</w:t>
            </w:r>
          </w:p>
        </w:tc>
        <w:tc>
          <w:tcPr>
            <w:tcW w:w="1418" w:type="dxa"/>
          </w:tcPr>
          <w:p w14:paraId="393698F6"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20</w:t>
            </w:r>
          </w:p>
        </w:tc>
        <w:tc>
          <w:tcPr>
            <w:tcW w:w="1417" w:type="dxa"/>
          </w:tcPr>
          <w:p w14:paraId="7E96F63F"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15-28.2</w:t>
            </w:r>
          </w:p>
        </w:tc>
        <w:tc>
          <w:tcPr>
            <w:tcW w:w="1544" w:type="dxa"/>
            <w:vMerge/>
          </w:tcPr>
          <w:p w14:paraId="0071C9C6"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i/>
                <w:sz w:val="18"/>
                <w:szCs w:val="18"/>
              </w:rPr>
            </w:pPr>
          </w:p>
        </w:tc>
      </w:tr>
      <w:tr w:rsidR="00376F11" w:rsidRPr="002D3BB7" w14:paraId="2BE73C52" w14:textId="77777777" w:rsidTr="002D3BB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78" w:type="dxa"/>
          </w:tcPr>
          <w:p w14:paraId="14B5C2B3" w14:textId="77777777" w:rsidR="00376F11" w:rsidRPr="002D3BB7" w:rsidRDefault="00376F11" w:rsidP="006458E0">
            <w:pPr>
              <w:rPr>
                <w:sz w:val="18"/>
                <w:szCs w:val="18"/>
              </w:rPr>
            </w:pPr>
            <w:r w:rsidRPr="002D3BB7">
              <w:rPr>
                <w:sz w:val="18"/>
                <w:szCs w:val="18"/>
              </w:rPr>
              <w:t>20</w:t>
            </w:r>
          </w:p>
        </w:tc>
        <w:tc>
          <w:tcPr>
            <w:tcW w:w="2551" w:type="dxa"/>
          </w:tcPr>
          <w:p w14:paraId="1BFB0C28" w14:textId="77777777" w:rsidR="00376F11" w:rsidRPr="002D3BB7" w:rsidRDefault="00376F11"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Humidity for pelletizing</w:t>
            </w:r>
          </w:p>
        </w:tc>
        <w:tc>
          <w:tcPr>
            <w:tcW w:w="1134" w:type="dxa"/>
          </w:tcPr>
          <w:p w14:paraId="090E226E"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w:t>
            </w:r>
            <w:r w:rsidRPr="002D3BB7">
              <w:rPr>
                <w:sz w:val="18"/>
                <w:szCs w:val="18"/>
                <w:vertAlign w:val="subscript"/>
              </w:rPr>
              <w:t>ww</w:t>
            </w:r>
          </w:p>
        </w:tc>
        <w:tc>
          <w:tcPr>
            <w:tcW w:w="1418" w:type="dxa"/>
          </w:tcPr>
          <w:p w14:paraId="7E4B8127"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10%</w:t>
            </w:r>
          </w:p>
        </w:tc>
        <w:tc>
          <w:tcPr>
            <w:tcW w:w="1417" w:type="dxa"/>
          </w:tcPr>
          <w:p w14:paraId="31A6BDA7"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8-10%</w:t>
            </w:r>
          </w:p>
        </w:tc>
        <w:tc>
          <w:tcPr>
            <w:tcW w:w="1544" w:type="dxa"/>
            <w:vMerge/>
          </w:tcPr>
          <w:p w14:paraId="64C670EE"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i/>
                <w:sz w:val="18"/>
                <w:szCs w:val="18"/>
              </w:rPr>
            </w:pPr>
          </w:p>
        </w:tc>
      </w:tr>
    </w:tbl>
    <w:bookmarkEnd w:id="124"/>
    <w:p w14:paraId="6101D1CE" w14:textId="6738F732" w:rsidR="00376F11" w:rsidRPr="003F5DA8" w:rsidRDefault="00376F11" w:rsidP="006B5342">
      <w:pPr>
        <w:jc w:val="both"/>
        <w:rPr>
          <w:sz w:val="18"/>
        </w:rPr>
      </w:pPr>
      <w:r w:rsidRPr="003F5DA8">
        <w:rPr>
          <w:sz w:val="18"/>
        </w:rPr>
        <w:t xml:space="preserve">Numbering of parameters corresponds to the one </w:t>
      </w:r>
      <w:r>
        <w:rPr>
          <w:sz w:val="18"/>
        </w:rPr>
        <w:t xml:space="preserve">of </w:t>
      </w:r>
      <w:r w:rsidR="00877BEE" w:rsidRPr="002D3BB7">
        <w:rPr>
          <w:b/>
          <w:sz w:val="18"/>
          <w:szCs w:val="18"/>
        </w:rPr>
        <w:fldChar w:fldCharType="begin"/>
      </w:r>
      <w:r w:rsidR="00877BEE" w:rsidRPr="002D3BB7">
        <w:rPr>
          <w:b/>
          <w:sz w:val="18"/>
          <w:szCs w:val="18"/>
        </w:rPr>
        <w:instrText xml:space="preserve"> REF _Ref144914839 \h  \* MERGEFORMAT </w:instrText>
      </w:r>
      <w:r w:rsidR="00877BEE" w:rsidRPr="002D3BB7">
        <w:rPr>
          <w:b/>
          <w:sz w:val="18"/>
          <w:szCs w:val="18"/>
        </w:rPr>
      </w:r>
      <w:r w:rsidR="00877BEE" w:rsidRPr="002D3BB7">
        <w:rPr>
          <w:b/>
          <w:sz w:val="18"/>
          <w:szCs w:val="18"/>
        </w:rPr>
        <w:fldChar w:fldCharType="separate"/>
      </w:r>
      <w:r w:rsidR="00877BEE" w:rsidRPr="002D3BB7">
        <w:rPr>
          <w:b/>
          <w:sz w:val="18"/>
          <w:szCs w:val="18"/>
        </w:rPr>
        <w:t xml:space="preserve">Table SI. </w:t>
      </w:r>
      <w:r w:rsidR="00877BEE" w:rsidRPr="002D3BB7">
        <w:rPr>
          <w:b/>
          <w:noProof/>
          <w:sz w:val="18"/>
          <w:szCs w:val="18"/>
        </w:rPr>
        <w:t>103</w:t>
      </w:r>
      <w:r w:rsidR="00877BEE" w:rsidRPr="002D3BB7">
        <w:rPr>
          <w:b/>
          <w:sz w:val="18"/>
          <w:szCs w:val="18"/>
        </w:rPr>
        <w:fldChar w:fldCharType="end"/>
      </w:r>
      <w:r w:rsidRPr="002D3BB7">
        <w:rPr>
          <w:sz w:val="18"/>
        </w:rPr>
        <w:t>. P</w:t>
      </w:r>
      <w:r w:rsidRPr="003F5DA8">
        <w:rPr>
          <w:sz w:val="18"/>
        </w:rPr>
        <w:t>arameters specific to CF model but not mentioned in this table were assumed as constants. Transportation requirements in</w:t>
      </w:r>
      <w:r w:rsidR="003A33EB">
        <w:rPr>
          <w:sz w:val="18"/>
        </w:rPr>
        <w:t xml:space="preserve"> </w:t>
      </w:r>
      <w:r w:rsidR="003A33EB" w:rsidRPr="003A33EB">
        <w:rPr>
          <w:b/>
          <w:sz w:val="18"/>
        </w:rPr>
        <w:fldChar w:fldCharType="begin"/>
      </w:r>
      <w:r w:rsidR="003A33EB" w:rsidRPr="003A33EB">
        <w:rPr>
          <w:b/>
          <w:sz w:val="18"/>
        </w:rPr>
        <w:instrText xml:space="preserve"> REF _Ref144738481 \h  \* MERGEFORMAT </w:instrText>
      </w:r>
      <w:r w:rsidR="003A33EB" w:rsidRPr="003A33EB">
        <w:rPr>
          <w:b/>
          <w:sz w:val="18"/>
        </w:rPr>
      </w:r>
      <w:r w:rsidR="003A33EB" w:rsidRPr="003A33EB">
        <w:rPr>
          <w:b/>
          <w:sz w:val="18"/>
        </w:rPr>
        <w:fldChar w:fldCharType="separate"/>
      </w:r>
      <w:r w:rsidR="00F25F8C" w:rsidRPr="00F25F8C">
        <w:rPr>
          <w:b/>
          <w:sz w:val="18"/>
        </w:rPr>
        <w:t>Table SI. 16</w:t>
      </w:r>
      <w:r w:rsidR="003A33EB" w:rsidRPr="003A33EB">
        <w:rPr>
          <w:b/>
          <w:sz w:val="18"/>
        </w:rPr>
        <w:fldChar w:fldCharType="end"/>
      </w:r>
      <w:r w:rsidRPr="003F5DA8">
        <w:rPr>
          <w:sz w:val="18"/>
        </w:rPr>
        <w:t>.</w:t>
      </w:r>
    </w:p>
    <w:p w14:paraId="1DDAB8A2" w14:textId="38059941" w:rsidR="00376F11" w:rsidRPr="003F5DA8" w:rsidRDefault="00376F11" w:rsidP="00376F11">
      <w:pPr>
        <w:jc w:val="both"/>
      </w:pPr>
      <w:r w:rsidRPr="003F5DA8">
        <w:t>The background processes used specific</w:t>
      </w:r>
      <w:r w:rsidR="002D3BB7">
        <w:t>ally for</w:t>
      </w:r>
      <w:r w:rsidRPr="003F5DA8">
        <w:t xml:space="preserve"> this </w:t>
      </w:r>
      <w:r w:rsidR="002D3BB7">
        <w:t xml:space="preserve">LCI </w:t>
      </w:r>
      <w:r w:rsidRPr="003F5DA8">
        <w:t>model are gathered in</w:t>
      </w:r>
      <w:r w:rsidR="003A33EB">
        <w:rPr>
          <w:b/>
        </w:rPr>
        <w:t xml:space="preserve"> </w:t>
      </w:r>
      <w:r w:rsidR="003A33EB" w:rsidRPr="002D3BB7">
        <w:rPr>
          <w:b/>
        </w:rPr>
        <w:fldChar w:fldCharType="begin"/>
      </w:r>
      <w:r w:rsidR="003A33EB" w:rsidRPr="002D3BB7">
        <w:rPr>
          <w:b/>
        </w:rPr>
        <w:instrText xml:space="preserve"> REF _Ref144744290 \h  \* MERGEFORMAT </w:instrText>
      </w:r>
      <w:r w:rsidR="003A33EB" w:rsidRPr="002D3BB7">
        <w:rPr>
          <w:b/>
        </w:rPr>
      </w:r>
      <w:r w:rsidR="003A33EB" w:rsidRPr="002D3BB7">
        <w:rPr>
          <w:b/>
        </w:rPr>
        <w:fldChar w:fldCharType="separate"/>
      </w:r>
      <w:r w:rsidR="00F25F8C" w:rsidRPr="002D3BB7">
        <w:rPr>
          <w:b/>
        </w:rPr>
        <w:t xml:space="preserve">Table SI. </w:t>
      </w:r>
      <w:r w:rsidR="00F25F8C" w:rsidRPr="002D3BB7">
        <w:rPr>
          <w:b/>
          <w:noProof/>
        </w:rPr>
        <w:t>25</w:t>
      </w:r>
      <w:r w:rsidR="003A33EB" w:rsidRPr="002D3BB7">
        <w:rPr>
          <w:b/>
        </w:rPr>
        <w:fldChar w:fldCharType="end"/>
      </w:r>
      <w:r w:rsidRPr="003F5DA8">
        <w:t xml:space="preserve">. </w:t>
      </w:r>
    </w:p>
    <w:p w14:paraId="6AE9EECC" w14:textId="463260E2" w:rsidR="00376F11" w:rsidRPr="007B2D88" w:rsidRDefault="00874128" w:rsidP="006B5342">
      <w:pPr>
        <w:pStyle w:val="Lgende"/>
        <w:jc w:val="left"/>
      </w:pPr>
      <w:bookmarkStart w:id="125" w:name="_Ref144744290"/>
      <w:bookmarkStart w:id="126" w:name="_Toc134537599"/>
      <w:bookmarkStart w:id="127" w:name="_Toc151967909"/>
      <w:r>
        <w:t>Table SI.</w:t>
      </w:r>
      <w:r w:rsidR="00376F11">
        <w:t xml:space="preserve"> </w:t>
      </w:r>
      <w:r>
        <w:fldChar w:fldCharType="begin"/>
      </w:r>
      <w:r>
        <w:instrText xml:space="preserve"> SEQ Table_SI. \* ARABIC </w:instrText>
      </w:r>
      <w:r>
        <w:fldChar w:fldCharType="separate"/>
      </w:r>
      <w:r w:rsidR="00F25F8C">
        <w:rPr>
          <w:noProof/>
        </w:rPr>
        <w:t>25</w:t>
      </w:r>
      <w:r>
        <w:fldChar w:fldCharType="end"/>
      </w:r>
      <w:bookmarkEnd w:id="125"/>
      <w:r w:rsidR="00376F11">
        <w:t xml:space="preserve"> </w:t>
      </w:r>
      <w:r w:rsidR="00376F11" w:rsidRPr="007B2D88">
        <w:t>– Background processes used specifically for CF pathways</w:t>
      </w:r>
      <w:bookmarkEnd w:id="126"/>
      <w:bookmarkEnd w:id="127"/>
    </w:p>
    <w:tbl>
      <w:tblPr>
        <w:tblStyle w:val="Tableausimple2"/>
        <w:tblW w:w="0" w:type="auto"/>
        <w:jc w:val="center"/>
        <w:tblLook w:val="04A0" w:firstRow="1" w:lastRow="0" w:firstColumn="1" w:lastColumn="0" w:noHBand="0" w:noVBand="1"/>
      </w:tblPr>
      <w:tblGrid>
        <w:gridCol w:w="2867"/>
        <w:gridCol w:w="1315"/>
        <w:gridCol w:w="4766"/>
      </w:tblGrid>
      <w:tr w:rsidR="00376F11" w:rsidRPr="002D3BB7" w14:paraId="04A55548" w14:textId="77777777" w:rsidTr="002D3BB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2B7B010C" w14:textId="77777777" w:rsidR="00376F11" w:rsidRPr="002D3BB7" w:rsidRDefault="00376F11" w:rsidP="006458E0">
            <w:pPr>
              <w:jc w:val="right"/>
              <w:rPr>
                <w:sz w:val="18"/>
                <w:szCs w:val="18"/>
              </w:rPr>
            </w:pPr>
            <w:r w:rsidRPr="002D3BB7">
              <w:rPr>
                <w:sz w:val="18"/>
                <w:szCs w:val="18"/>
              </w:rPr>
              <w:t>Background process</w:t>
            </w:r>
          </w:p>
        </w:tc>
        <w:tc>
          <w:tcPr>
            <w:tcW w:w="0" w:type="auto"/>
          </w:tcPr>
          <w:p w14:paraId="28E3E36E" w14:textId="77777777" w:rsidR="00376F11" w:rsidRPr="002D3BB7" w:rsidRDefault="00376F11" w:rsidP="006458E0">
            <w:pPr>
              <w:cnfStyle w:val="100000000000" w:firstRow="1" w:lastRow="0" w:firstColumn="0" w:lastColumn="0" w:oddVBand="0" w:evenVBand="0" w:oddHBand="0" w:evenHBand="0" w:firstRowFirstColumn="0" w:firstRowLastColumn="0" w:lastRowFirstColumn="0" w:lastRowLastColumn="0"/>
              <w:rPr>
                <w:sz w:val="18"/>
                <w:szCs w:val="18"/>
              </w:rPr>
            </w:pPr>
            <w:r w:rsidRPr="002D3BB7">
              <w:rPr>
                <w:sz w:val="18"/>
                <w:szCs w:val="18"/>
              </w:rPr>
              <w:t>Unit operation</w:t>
            </w:r>
          </w:p>
        </w:tc>
        <w:tc>
          <w:tcPr>
            <w:tcW w:w="0" w:type="auto"/>
          </w:tcPr>
          <w:p w14:paraId="4998C408" w14:textId="77777777" w:rsidR="00376F11" w:rsidRPr="002D3BB7" w:rsidRDefault="00376F11" w:rsidP="00E9442B">
            <w:pPr>
              <w:cnfStyle w:val="100000000000" w:firstRow="1" w:lastRow="0" w:firstColumn="0" w:lastColumn="0" w:oddVBand="0" w:evenVBand="0" w:oddHBand="0" w:evenHBand="0" w:firstRowFirstColumn="0" w:firstRowLastColumn="0" w:lastRowFirstColumn="0" w:lastRowLastColumn="0"/>
              <w:rPr>
                <w:i/>
                <w:sz w:val="18"/>
                <w:szCs w:val="18"/>
              </w:rPr>
            </w:pPr>
            <w:r w:rsidRPr="002D3BB7">
              <w:rPr>
                <w:i/>
                <w:sz w:val="18"/>
                <w:szCs w:val="18"/>
              </w:rPr>
              <w:t>Comment</w:t>
            </w:r>
          </w:p>
        </w:tc>
      </w:tr>
      <w:tr w:rsidR="00376F11" w:rsidRPr="002D3BB7" w14:paraId="5FD186BC" w14:textId="77777777" w:rsidTr="002D3BB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55C54D9F" w14:textId="77777777" w:rsidR="00376F11" w:rsidRPr="002D3BB7" w:rsidRDefault="00376F11" w:rsidP="006458E0">
            <w:pPr>
              <w:jc w:val="right"/>
              <w:rPr>
                <w:b w:val="0"/>
                <w:sz w:val="18"/>
                <w:szCs w:val="18"/>
              </w:rPr>
            </w:pPr>
            <w:r w:rsidRPr="002D3BB7">
              <w:rPr>
                <w:b w:val="0"/>
                <w:sz w:val="18"/>
                <w:szCs w:val="18"/>
              </w:rPr>
              <w:t>Market for tap water, CH</w:t>
            </w:r>
          </w:p>
        </w:tc>
        <w:tc>
          <w:tcPr>
            <w:tcW w:w="0" w:type="auto"/>
          </w:tcPr>
          <w:p w14:paraId="0D3FBBE2"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Pelletizing</w:t>
            </w:r>
          </w:p>
        </w:tc>
        <w:tc>
          <w:tcPr>
            <w:tcW w:w="0" w:type="auto"/>
          </w:tcPr>
          <w:p w14:paraId="61178EE3" w14:textId="145D6CAF" w:rsidR="00376F11" w:rsidRPr="002D3BB7" w:rsidRDefault="00376F11"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2D3BB7">
              <w:rPr>
                <w:i/>
                <w:sz w:val="18"/>
                <w:szCs w:val="18"/>
              </w:rPr>
              <w:t>Compensate water loss and meet pelletizing requirements</w:t>
            </w:r>
            <w:r w:rsidRPr="002D3BB7">
              <w:rPr>
                <w:i/>
                <w:sz w:val="18"/>
                <w:szCs w:val="18"/>
              </w:rPr>
              <w:fldChar w:fldCharType="begin"/>
            </w:r>
            <w:r w:rsidR="00682E10" w:rsidRPr="002D3BB7">
              <w:rPr>
                <w:i/>
                <w:sz w:val="18"/>
                <w:szCs w:val="18"/>
              </w:rPr>
              <w:instrText xml:space="preserve"> ADDIN ZOTERO_ITEM CSL_CITATION {"citationID":"TIhRzGRr","properties":{"formattedCitation":"\\super 4\\nosupersub{}","plainCitation":"4","noteIndex":0},"citationItems":[{"id":13553,"uris":["http://zotero.org/users/6423791/items/EU8KLJZY"],"itemData":{"id":13553,"type":"article-journal","abstract":"Transforming residual biomass into edible ingredients is increasingly\npromoted to alleviate the environmental impacts of food systems. Yet,\nthese approaches mostly rely on emerging technologies and constrained\nresources, and their environmental benefits remain unclear. By combining\nprocess-based consequential life cycle analysis, uncertainty assessment\nand biomass resource estimation, we quantified the impacts of deploying\nwaste-to-nutrition pathways, here applied to the upgrading of agrifood\nco-products by solid-state fermentation (SSF). The benefits of reducing the\ndemand for soybean meal by enhancing the protein concentration of feed\nthrough SSF do not compensate for the environmental burdens induced\nby the process on climate change, water depletion and land use. Besides\nunlocking feed markets to low-feed-quality streams, SSF outperforms\nenergy valorization for most environmental impacts but is less competitive\nto mitigate climate change. Yet, SSF yields overall environmental benefits\nwhen unlocking food markets rather than supplying feed and energy\nservices. Systematic methodological harmonization is required to assess the\npotential of novel ingredients, as outcomes vary according to the displaced\nfood and feed baskets, and related land use changes.","container-title":"Nature Food","DOI":"10.1038/s43016-022-00621-9","journalAbbreviation":"Nat Food","language":"en","page":"911-920","title":"Upgrading agrifood co-products via solid fermentation yields environmental benefits under specific conditions only","volume":"3","author":[{"family":"Javourez","given":"Ugo"},{"family":"Rosero Delgado","given":"Ernesto Alonso"},{"family":"Hamelin","given":"Lorie"}],"issued":{"date-parts":[["2022",10,31]]}}}],"schema":"https://github.com/citation-style-language/schema/raw/master/csl-citation.json"} </w:instrText>
            </w:r>
            <w:r w:rsidRPr="002D3BB7">
              <w:rPr>
                <w:i/>
                <w:sz w:val="18"/>
                <w:szCs w:val="18"/>
              </w:rPr>
              <w:fldChar w:fldCharType="separate"/>
            </w:r>
            <w:r w:rsidR="00682E10" w:rsidRPr="002D3BB7">
              <w:rPr>
                <w:rFonts w:ascii="Calibri" w:hAnsi="Calibri" w:cs="Calibri"/>
                <w:sz w:val="18"/>
                <w:szCs w:val="18"/>
                <w:vertAlign w:val="superscript"/>
              </w:rPr>
              <w:t>4</w:t>
            </w:r>
            <w:r w:rsidRPr="002D3BB7">
              <w:rPr>
                <w:i/>
                <w:sz w:val="18"/>
                <w:szCs w:val="18"/>
              </w:rPr>
              <w:fldChar w:fldCharType="end"/>
            </w:r>
          </w:p>
        </w:tc>
      </w:tr>
      <w:tr w:rsidR="00376F11" w:rsidRPr="002D3BB7" w14:paraId="7F6E994C" w14:textId="77777777" w:rsidTr="002D3BB7">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042AC633" w14:textId="77777777" w:rsidR="00376F11" w:rsidRPr="002D3BB7" w:rsidRDefault="00376F11" w:rsidP="006458E0">
            <w:pPr>
              <w:jc w:val="right"/>
              <w:rPr>
                <w:b w:val="0"/>
                <w:sz w:val="18"/>
                <w:szCs w:val="18"/>
              </w:rPr>
            </w:pPr>
            <w:r w:rsidRPr="002D3BB7">
              <w:rPr>
                <w:b w:val="0"/>
                <w:sz w:val="18"/>
                <w:szCs w:val="18"/>
              </w:rPr>
              <w:t>Market for wood pellet factory, GLO</w:t>
            </w:r>
          </w:p>
        </w:tc>
        <w:tc>
          <w:tcPr>
            <w:tcW w:w="0" w:type="auto"/>
          </w:tcPr>
          <w:p w14:paraId="78023537"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n.a.</w:t>
            </w:r>
          </w:p>
        </w:tc>
        <w:tc>
          <w:tcPr>
            <w:tcW w:w="0" w:type="auto"/>
          </w:tcPr>
          <w:p w14:paraId="07C08302" w14:textId="77777777" w:rsidR="00376F11" w:rsidRPr="002D3BB7" w:rsidRDefault="00376F11"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2D3BB7">
              <w:rPr>
                <w:i/>
                <w:sz w:val="18"/>
                <w:szCs w:val="18"/>
              </w:rPr>
              <w:t>Proxy of the CF facility, adapted per kg</w:t>
            </w:r>
            <w:r w:rsidRPr="002D3BB7">
              <w:rPr>
                <w:i/>
                <w:sz w:val="18"/>
                <w:szCs w:val="18"/>
                <w:vertAlign w:val="subscript"/>
              </w:rPr>
              <w:t>DM</w:t>
            </w:r>
            <w:r w:rsidRPr="002D3BB7">
              <w:rPr>
                <w:i/>
                <w:sz w:val="18"/>
                <w:szCs w:val="18"/>
              </w:rPr>
              <w:t xml:space="preserve"> (0.00005 </w:t>
            </w:r>
            <w:proofErr w:type="gramStart"/>
            <w:r w:rsidRPr="002D3BB7">
              <w:rPr>
                <w:i/>
                <w:sz w:val="18"/>
                <w:szCs w:val="18"/>
              </w:rPr>
              <w:t>unit.kg</w:t>
            </w:r>
            <w:r w:rsidRPr="002D3BB7">
              <w:rPr>
                <w:i/>
                <w:sz w:val="18"/>
                <w:szCs w:val="18"/>
                <w:vertAlign w:val="subscript"/>
              </w:rPr>
              <w:t>DM</w:t>
            </w:r>
            <w:proofErr w:type="gramEnd"/>
            <w:r w:rsidRPr="002D3BB7">
              <w:rPr>
                <w:i/>
                <w:sz w:val="18"/>
                <w:szCs w:val="18"/>
                <w:vertAlign w:val="superscript"/>
              </w:rPr>
              <w:t>-1</w:t>
            </w:r>
            <w:r w:rsidRPr="002D3BB7">
              <w:rPr>
                <w:i/>
                <w:sz w:val="18"/>
                <w:szCs w:val="18"/>
              </w:rPr>
              <w:t>)</w:t>
            </w:r>
          </w:p>
        </w:tc>
      </w:tr>
    </w:tbl>
    <w:p w14:paraId="50FBF3F1" w14:textId="757CE981" w:rsidR="00376F11" w:rsidRPr="003F5DA8" w:rsidRDefault="00376F11" w:rsidP="006B5342">
      <w:pPr>
        <w:jc w:val="both"/>
        <w:rPr>
          <w:sz w:val="18"/>
        </w:rPr>
      </w:pPr>
      <w:r w:rsidRPr="003F5DA8">
        <w:rPr>
          <w:sz w:val="18"/>
        </w:rPr>
        <w:t xml:space="preserve">All processes are from the ecoinvent 3.8 consequential database. Direct flows to biosphere are </w:t>
      </w:r>
      <w:r w:rsidRPr="00B825DA">
        <w:rPr>
          <w:sz w:val="18"/>
        </w:rPr>
        <w:t xml:space="preserve">displayed in </w:t>
      </w:r>
      <w:r w:rsidR="002D3BB7" w:rsidRPr="002D3BB7">
        <w:rPr>
          <w:i/>
          <w:sz w:val="18"/>
        </w:rPr>
        <w:t>B.CF_module</w:t>
      </w:r>
      <w:r w:rsidR="003A33EB" w:rsidRPr="002D3BB7">
        <w:rPr>
          <w:i/>
          <w:sz w:val="18"/>
        </w:rPr>
        <w:t xml:space="preserve"> spreadsheet</w:t>
      </w:r>
      <w:r w:rsidRPr="002D3BB7">
        <w:rPr>
          <w:i/>
          <w:sz w:val="18"/>
        </w:rPr>
        <w:t>.</w:t>
      </w:r>
    </w:p>
    <w:p w14:paraId="25B15509" w14:textId="1870E494" w:rsidR="00376F11" w:rsidRDefault="003A33EB" w:rsidP="00376F11">
      <w:pPr>
        <w:jc w:val="both"/>
      </w:pPr>
      <w:r>
        <w:t>Overall, o</w:t>
      </w:r>
      <w:r w:rsidR="00376F11" w:rsidRPr="003F5DA8">
        <w:t>nly two studies were found (Albizzati et al., 2021</w:t>
      </w:r>
      <w:r w:rsidR="00376F11" w:rsidRPr="003F5DA8">
        <w:fldChar w:fldCharType="begin"/>
      </w:r>
      <w:r w:rsidR="008C451C">
        <w:instrText xml:space="preserve"> ADDIN ZOTERO_ITEM CSL_CITATION {"citationID":"434SFqYJ","properties":{"formattedCitation":"\\super 65\\nosupersub{}","plainCitation":"65","noteIndex":0},"citationItems":[{"id":12392,"uris":["http://zotero.org/users/6423791/items/PS7WU774"],"itemData":{"id":12392,"type":"article-journal","abstract":"In an endeavor to make Europe carbon-neutral, and to foster a circular economy, improving food waste management has been identified by the European Union (EU) as a key factor. In this study, we consider 21 pathways, covering: (i) prevention; (ii) reuse for both human consumption and animal feed; (iii) material recycling as an input into the food and chemical industries; (iv) nutrient recycling; and (v) energy/fuel recovery. To include all types of impact, a sustainability assessment, encompassing environmental, economic, and social pillars, is performed and complemented with societal life cycle costing. The results indicate that after prevention, reuse for human consumption and animal feed is the most preferred option, and, in most cases, nutrient recycling and energy recovery are favored over material recycling for chemical production. While highlighting that the food waste management hierarchy should be supported with quantitative sustainability analyses, the findings also illustrate that biochemical pathways should be improved to be competitive despite the fact that food waste valorization has the potential to satisfy the EU demand for the chemicals investigated. Yet, the results clearly show that the potential benefits of improving emerging technologies would still not eclipse the benefits related to food waste prevention and its redistribution.","container-title":"Environmental Science &amp; Technology","journalAbbreviation":"Environ. Sci. Technol.","note":"publisher: American Chemical Society","source":"ACS Publications","title":"A Quantitative Sustainability Assessment of Food Waste Management in the European Union","URL":"https://doi.org/10.1021/acs.est.1c03940","author":[{"family":"Albizzati","given":"Paola Federica"},{"family":"Tonini","given":"Davide"},{"family":"Astrup","given":"Thomas F."}],"accessed":{"date-parts":[["2021",11,18]]},"issued":{"date-parts":[["2021",11,16]]}}}],"schema":"https://github.com/citation-style-language/schema/raw/master/csl-citation.json"} </w:instrText>
      </w:r>
      <w:r w:rsidR="00376F11" w:rsidRPr="003F5DA8">
        <w:fldChar w:fldCharType="separate"/>
      </w:r>
      <w:r w:rsidR="008C451C" w:rsidRPr="008C451C">
        <w:rPr>
          <w:rFonts w:ascii="Calibri" w:hAnsi="Calibri" w:cs="Calibri"/>
          <w:szCs w:val="24"/>
          <w:vertAlign w:val="superscript"/>
        </w:rPr>
        <w:t>65</w:t>
      </w:r>
      <w:r w:rsidR="00376F11" w:rsidRPr="003F5DA8">
        <w:fldChar w:fldCharType="end"/>
      </w:r>
      <w:r w:rsidR="00376F11" w:rsidRPr="003F5DA8">
        <w:t xml:space="preserve"> and Salemdeeb et al., 2017</w:t>
      </w:r>
      <w:r w:rsidR="00376F11" w:rsidRPr="003F5DA8">
        <w:fldChar w:fldCharType="begin"/>
      </w:r>
      <w:r w:rsidR="008C451C">
        <w:instrText xml:space="preserve"> ADDIN ZOTERO_ITEM CSL_CITATION {"citationID":"MUVcnXLk","properties":{"formattedCitation":"\\super 66\\nosupersub{}","plainCitation":"66","noteIndex":0},"citationItems":[{"id":3056,"uris":["http://zotero.org/users/6423791/items/8S69I6LA"],"itemData":{"id":3056,"type":"article-journal","abstract":"The disposal of food waste is a large environmental problem. In the United Kingdom (UK), approximately 15 million tonnes of food are wasted each year, mostly disposed of in landfill, via composting, or anaerobic digestion (AD). European Union (EU) guidelines state that food waste should preferentially be used as animal feed though for most food waste this practice is currently illegal, because of disease control concerns. Interest in the potential diversion of food waste for animal feed is however growing, with a number of East Asian states offering working examples of safe food waste recycling – based on tight regulation and rendering food waste safe through heat treatment. This study investigates the potential benefits of diverting food waste for pig feed in the UK. A hybrid, consequential life cycle assessment (LCA) was conducted to compare the environmental and health impacts of four technologies for food waste processing: two technologies of South Korean style-animal feed production (as a wet pig feed and a dry pig feed) were compared with two widespread UK disposal technologies: AD and composting. Results of 14 mid-point impact categories show that the processing of food waste as a wet pig feed and a dry pig feed have the best and second-best scores, respectively, for 13/14 and 12/14 environmental and health impacts. The low impact of food waste feed stems in large part from its substitution of conventional feed, the production of which has substantial environmental and health impacts. While the re-legalisation of the use of food waste as pig feed could offer environmental and public health benefits, this will require support from policy makers, the public, and the pig industry, as well as investment in separated food waste collection which currently occurs in only a minority of regions.","container-title":"Journal of Cleaner Production","DOI":"10.1016/j.jclepro.2016.05.049","ISSN":"0959-6526","journalAbbreviation":"J Clean Prod","language":"en","page":"871-880","source":"ScienceDirect","title":"Environmental and health impacts of using food waste as animal feed: a comparative analysis of food waste management options","title-short":"Environmental and health impacts of using food waste as animal feed","volume":"140","author":[{"family":"Salemdeeb","given":"Ramy"},{"family":"Ermgassen","given":"Erasmus K. H. J.","non-dropping-particle":"zu"},{"family":"Kim","given":"Mi Hyung"},{"family":"Balmford","given":"Andrew"},{"family":"Al-Tabbaa","given":"Abir"}],"issued":{"date-parts":[["2017",1,1]]}}}],"schema":"https://github.com/citation-style-language/schema/raw/master/csl-citation.json"} </w:instrText>
      </w:r>
      <w:r w:rsidR="00376F11" w:rsidRPr="003F5DA8">
        <w:fldChar w:fldCharType="separate"/>
      </w:r>
      <w:r w:rsidR="008C451C" w:rsidRPr="008C451C">
        <w:rPr>
          <w:rFonts w:ascii="Calibri" w:hAnsi="Calibri" w:cs="Calibri"/>
          <w:szCs w:val="24"/>
          <w:vertAlign w:val="superscript"/>
        </w:rPr>
        <w:t>66</w:t>
      </w:r>
      <w:r w:rsidR="00376F11" w:rsidRPr="003F5DA8">
        <w:fldChar w:fldCharType="end"/>
      </w:r>
      <w:r w:rsidR="00376F11" w:rsidRPr="003F5DA8">
        <w:t xml:space="preserve">) with a similar FU and scope (i.e. the comparison of competing bioresource management options including direct feeding) albeit limited to food waste streams. Both highlighted the predominant contribution of the avoided feed </w:t>
      </w:r>
      <w:r>
        <w:t>services</w:t>
      </w:r>
      <w:r w:rsidR="00376F11" w:rsidRPr="003F5DA8">
        <w:t xml:space="preserve"> basket on the </w:t>
      </w:r>
      <w:r>
        <w:t>environmental impacts</w:t>
      </w:r>
      <w:r w:rsidR="00376F11" w:rsidRPr="003F5DA8">
        <w:t>, albeit in their case they modeled</w:t>
      </w:r>
      <w:r>
        <w:t xml:space="preserve"> an</w:t>
      </w:r>
      <w:r w:rsidR="00376F11" w:rsidRPr="003F5DA8">
        <w:t xml:space="preserve"> </w:t>
      </w:r>
      <w:r>
        <w:t xml:space="preserve">additional </w:t>
      </w:r>
      <w:r w:rsidR="00376F11" w:rsidRPr="003F5DA8">
        <w:t>operation to hygienize food waste before feeding</w:t>
      </w:r>
      <w:r>
        <w:t xml:space="preserve"> (considered as not safety-compliant here)</w:t>
      </w:r>
      <w:r w:rsidR="00376F11" w:rsidRPr="003F5DA8">
        <w:t>.</w:t>
      </w:r>
    </w:p>
    <w:p w14:paraId="255DF381" w14:textId="56DA11CF" w:rsidR="00376F11" w:rsidRDefault="00FA1EC9" w:rsidP="003A33EB">
      <w:pPr>
        <w:pStyle w:val="Titre2"/>
      </w:pPr>
      <w:bookmarkStart w:id="128" w:name="_Toc145069112"/>
      <w:r>
        <w:t>Nutritional enhancement through solid fermentation LCI mode</w:t>
      </w:r>
      <w:bookmarkEnd w:id="128"/>
      <w:r w:rsidR="00655BBB">
        <w:t>l</w:t>
      </w:r>
    </w:p>
    <w:p w14:paraId="6CD6ED62" w14:textId="6086291F" w:rsidR="00376F11" w:rsidRPr="00FA1EC9" w:rsidRDefault="00D02C4C" w:rsidP="009A570F">
      <w:pPr>
        <w:jc w:val="both"/>
        <w:rPr>
          <w:highlight w:val="yellow"/>
        </w:rPr>
      </w:pPr>
      <w:r>
        <w:t>As for CF, t</w:t>
      </w:r>
      <w:r w:rsidRPr="003F5DA8">
        <w:t>he present</w:t>
      </w:r>
      <w:r>
        <w:t xml:space="preserve"> Solid State Fermentation</w:t>
      </w:r>
      <w:r w:rsidRPr="003F5DA8">
        <w:t xml:space="preserve"> </w:t>
      </w:r>
      <w:r>
        <w:t>(SS</w:t>
      </w:r>
      <w:r w:rsidRPr="003F5DA8">
        <w:t>F</w:t>
      </w:r>
      <w:r>
        <w:t>)</w:t>
      </w:r>
      <w:r w:rsidRPr="003F5DA8">
        <w:t xml:space="preserve"> LCI model directly builds on the </w:t>
      </w:r>
      <w:r>
        <w:t>SS</w:t>
      </w:r>
      <w:r w:rsidRPr="003F5DA8">
        <w:t xml:space="preserve">F model </w:t>
      </w:r>
      <w:r w:rsidR="00FA1EC9">
        <w:t>proposed</w:t>
      </w:r>
      <w:r w:rsidRPr="003F5DA8">
        <w:t xml:space="preserve"> </w:t>
      </w:r>
      <w:r>
        <w:t>in Javourez et al., (2022)</w:t>
      </w:r>
      <w:r w:rsidRPr="003A33EB">
        <w:fldChar w:fldCharType="begin"/>
      </w:r>
      <w:r w:rsidR="00682E10">
        <w:instrText xml:space="preserve"> ADDIN ZOTERO_ITEM CSL_CITATION {"citationID":"XiTTIvzt","properties":{"formattedCitation":"\\super 4\\nosupersub{}","plainCitation":"4","noteIndex":0},"citationItems":[{"id":13553,"uris":["http://zotero.org/users/6423791/items/EU8KLJZY"],"itemData":{"id":13553,"type":"article-journal","abstract":"Transforming residual biomass into edible ingredients is increasingly\npromoted to alleviate the environmental impacts of food systems. Yet,\nthese approaches mostly rely on emerging technologies and constrained\nresources, and their environmental benefits remain unclear. By combining\nprocess-based consequential life cycle analysis, uncertainty assessment\nand biomass resource estimation, we quantified the impacts of deploying\nwaste-to-nutrition pathways, here applied to the upgrading of agrifood\nco-products by solid-state fermentation (SSF). The benefits of reducing the\ndemand for soybean meal by enhancing the protein concentration of feed\nthrough SSF do not compensate for the environmental burdens induced\nby the process on climate change, water depletion and land use. Besides\nunlocking feed markets to low-feed-quality streams, SSF outperforms\nenergy valorization for most environmental impacts but is less competitive\nto mitigate climate change. Yet, SSF yields overall environmental benefits\nwhen unlocking food markets rather than supplying feed and energy\nservices. Systematic methodological harmonization is required to assess the\npotential of novel ingredients, as outcomes vary according to the displaced\nfood and feed baskets, and related land use changes.","container-title":"Nature Food","DOI":"10.1038/s43016-022-00621-9","journalAbbreviation":"Nat Food","language":"en","page":"911-920","title":"Upgrading agrifood co-products via solid fermentation yields environmental benefits under specific conditions only","volume":"3","author":[{"family":"Javourez","given":"Ugo"},{"family":"Rosero Delgado","given":"Ernesto Alonso"},{"family":"Hamelin","given":"Lorie"}],"issued":{"date-parts":[["2022",10,31]]}}}],"schema":"https://github.com/citation-style-language/schema/raw/master/csl-citation.json"} </w:instrText>
      </w:r>
      <w:r w:rsidRPr="003A33EB">
        <w:fldChar w:fldCharType="separate"/>
      </w:r>
      <w:r w:rsidR="00682E10" w:rsidRPr="00682E10">
        <w:rPr>
          <w:rFonts w:ascii="Calibri" w:hAnsi="Calibri" w:cs="Calibri"/>
          <w:szCs w:val="24"/>
          <w:vertAlign w:val="superscript"/>
        </w:rPr>
        <w:t>4</w:t>
      </w:r>
      <w:r w:rsidRPr="003A33EB">
        <w:fldChar w:fldCharType="end"/>
      </w:r>
      <w:r w:rsidRPr="003F5DA8">
        <w:t>, but is amenable to a wider scope of residual biomasses (</w:t>
      </w:r>
      <w:r>
        <w:t>including crop residues</w:t>
      </w:r>
      <w:r w:rsidRPr="003F5DA8">
        <w:t>).</w:t>
      </w:r>
      <w:r w:rsidR="00FA1EC9">
        <w:t xml:space="preserve"> </w:t>
      </w:r>
      <w:r w:rsidR="00FA1EC9" w:rsidRPr="003F5DA8">
        <w:t xml:space="preserve">Therefore, corresponding </w:t>
      </w:r>
      <w:r w:rsidR="00FA1EC9">
        <w:t>documentation</w:t>
      </w:r>
      <w:r w:rsidR="00FA1EC9" w:rsidRPr="003F5DA8">
        <w:t xml:space="preserve"> can be found in</w:t>
      </w:r>
      <w:r w:rsidR="00FA1EC9">
        <w:t xml:space="preserve"> the aforementioned reference</w:t>
      </w:r>
      <w:r w:rsidR="00FA1EC9" w:rsidRPr="003F5DA8">
        <w:t>.</w:t>
      </w:r>
      <w:r w:rsidR="00FA1EC9">
        <w:t xml:space="preserve"> </w:t>
      </w:r>
      <w:r w:rsidR="00376F11" w:rsidRPr="003F5DA8">
        <w:t xml:space="preserve">In a nutshell, streams are fist dried </w:t>
      </w:r>
      <w:r w:rsidR="00376F11" w:rsidRPr="003F5DA8">
        <w:rPr>
          <w:i/>
        </w:rPr>
        <w:t>in-situ</w:t>
      </w:r>
      <w:r w:rsidR="00376F11" w:rsidRPr="003F5DA8">
        <w:t xml:space="preserve"> or at the collection platform if originally diffuse, with cabinet driers. Dried streams are then transported towards the SSF facility where they are successively standardized (size, moisture, N content, etc.) and sterilized (steam-based). Then, the SSF stage is carried out in an aerobic packed column bioreactor (30 days). Fungal growth was modeled with fraction-specific heterotrophic cell growth equations</w:t>
      </w:r>
      <w:r w:rsidR="00FA1EC9">
        <w:t xml:space="preserve"> (here corresponding to the </w:t>
      </w:r>
      <w:r w:rsidR="00FA1EC9" w:rsidRPr="00FA1EC9">
        <w:rPr>
          <w:i/>
        </w:rPr>
        <w:t>Pleurotus sp.</w:t>
      </w:r>
      <w:r w:rsidR="00FA1EC9">
        <w:t xml:space="preserve"> strain)</w:t>
      </w:r>
      <w:r w:rsidR="00376F11" w:rsidRPr="00692922">
        <w:t>. After fermentation, the substrate is dried towards the requirements of either flour mill or compound feed processing, depending on target market (SSF_food and SSF_feed pathways). If targeting food</w:t>
      </w:r>
      <w:r w:rsidR="00376F11" w:rsidRPr="003F5DA8">
        <w:t xml:space="preserve"> markets (food-grade streams only), SSF-based alternative flour supplies </w:t>
      </w:r>
      <w:r w:rsidR="00FA1EC9">
        <w:t>what is referred to as a</w:t>
      </w:r>
      <w:r w:rsidR="00376F11" w:rsidRPr="003F5DA8">
        <w:t xml:space="preserve"> flour-equivalent </w:t>
      </w:r>
      <w:r w:rsidR="00FA1EC9">
        <w:t>service</w:t>
      </w:r>
      <w:r w:rsidR="00FA1EC9" w:rsidRPr="00FA1EC9">
        <w:fldChar w:fldCharType="begin"/>
      </w:r>
      <w:r w:rsidR="00682E10">
        <w:instrText xml:space="preserve"> ADDIN ZOTERO_ITEM CSL_CITATION {"citationID":"a1b30fdb2e8","properties":{"formattedCitation":"\\super 4\\nosupersub{}","plainCitation":"4","noteIndex":0},"citationItems":[{"id":13553,"uris":["http://zotero.org/users/6423791/items/EU8KLJZY"],"itemData":{"id":13553,"type":"article-journal","abstract":"Transforming residual biomass into edible ingredients is increasingly\npromoted to alleviate the environmental impacts of food systems. Yet,\nthese approaches mostly rely on emerging technologies and constrained\nresources, and their environmental benefits remain unclear. By combining\nprocess-based consequential life cycle analysis, uncertainty assessment\nand biomass resource estimation, we quantified the impacts of deploying\nwaste-to-nutrition pathways, here applied to the upgrading of agrifood\nco-products by solid-state fermentation (SSF). The benefits of reducing the\ndemand for soybean meal by enhancing the protein concentration of feed\nthrough SSF do not compensate for the environmental burdens induced\nby the process on climate change, water depletion and land use. Besides\nunlocking feed markets to low-feed-quality streams, SSF outperforms\nenergy valorization for most environmental impacts but is less competitive\nto mitigate climate change. Yet, SSF yields overall environmental benefits\nwhen unlocking food markets rather than supplying feed and energy\nservices. Systematic methodological harmonization is required to assess the\npotential of novel ingredients, as outcomes vary according to the displaced\nfood and feed baskets, and related land use changes.","container-title":"Nature Food","DOI":"10.1038/s43016-022-00621-9","journalAbbreviation":"Nat Food","language":"en","page":"911-920","title":"Upgrading agrifood co-products via solid fermentation yields environmental benefits under specific conditions only","volume":"3","author":[{"family":"Javourez","given":"Ugo"},{"family":"Rosero Delgado","given":"Ernesto Alonso"},{"family":"Hamelin","given":"Lorie"}],"issued":{"date-parts":[["2022",10,31]]}}}],"schema":"https://github.com/citation-style-language/schema/raw/master/csl-citation.json"} </w:instrText>
      </w:r>
      <w:r w:rsidR="00FA1EC9" w:rsidRPr="00FA1EC9">
        <w:fldChar w:fldCharType="separate"/>
      </w:r>
      <w:r w:rsidR="00682E10" w:rsidRPr="00682E10">
        <w:rPr>
          <w:rFonts w:ascii="Calibri" w:hAnsi="Calibri" w:cs="Calibri"/>
          <w:szCs w:val="24"/>
          <w:vertAlign w:val="superscript"/>
        </w:rPr>
        <w:t>4</w:t>
      </w:r>
      <w:r w:rsidR="00FA1EC9" w:rsidRPr="00FA1EC9">
        <w:fldChar w:fldCharType="end"/>
      </w:r>
      <w:r w:rsidR="00376F11">
        <w:t>.</w:t>
      </w:r>
      <w:r w:rsidR="005A2F43">
        <w:t xml:space="preserve"> Even after SSF, fiber-rich streams (e.g. </w:t>
      </w:r>
      <w:r w:rsidR="0057680A">
        <w:t>crop residues) were still assumed to supply roughage feed services.</w:t>
      </w:r>
    </w:p>
    <w:p w14:paraId="7907F198" w14:textId="5DEFD10B" w:rsidR="00376F11" w:rsidRPr="003F5DA8" w:rsidRDefault="00376F11" w:rsidP="00376F11">
      <w:pPr>
        <w:jc w:val="both"/>
      </w:pPr>
      <w:r w:rsidRPr="003F5DA8">
        <w:lastRenderedPageBreak/>
        <w:t xml:space="preserve">The technology parameters retained for SSF pathways modeling are </w:t>
      </w:r>
      <w:r w:rsidRPr="00692922">
        <w:t>displayed in the</w:t>
      </w:r>
      <w:r w:rsidR="00FA1EC9">
        <w:t xml:space="preserve"> </w:t>
      </w:r>
      <w:r w:rsidR="00FA1EC9" w:rsidRPr="00FA1EC9">
        <w:rPr>
          <w:b/>
        </w:rPr>
        <w:fldChar w:fldCharType="begin"/>
      </w:r>
      <w:r w:rsidR="00FA1EC9" w:rsidRPr="00FA1EC9">
        <w:rPr>
          <w:b/>
        </w:rPr>
        <w:instrText xml:space="preserve"> REF _Ref144802380 \h </w:instrText>
      </w:r>
      <w:r w:rsidR="00FA1EC9">
        <w:rPr>
          <w:b/>
        </w:rPr>
        <w:instrText xml:space="preserve"> \* MERGEFORMAT </w:instrText>
      </w:r>
      <w:r w:rsidR="00FA1EC9" w:rsidRPr="00FA1EC9">
        <w:rPr>
          <w:b/>
        </w:rPr>
      </w:r>
      <w:r w:rsidR="00FA1EC9" w:rsidRPr="00FA1EC9">
        <w:rPr>
          <w:b/>
        </w:rPr>
        <w:fldChar w:fldCharType="separate"/>
      </w:r>
      <w:r w:rsidR="00F25F8C" w:rsidRPr="00F25F8C">
        <w:rPr>
          <w:b/>
        </w:rPr>
        <w:t xml:space="preserve">Table SI. </w:t>
      </w:r>
      <w:r w:rsidR="00F25F8C" w:rsidRPr="00F25F8C">
        <w:rPr>
          <w:b/>
          <w:noProof/>
        </w:rPr>
        <w:t>26</w:t>
      </w:r>
      <w:r w:rsidR="00FA1EC9" w:rsidRPr="00FA1EC9">
        <w:rPr>
          <w:b/>
        </w:rPr>
        <w:fldChar w:fldCharType="end"/>
      </w:r>
      <w:r w:rsidRPr="00692922">
        <w:t>.</w:t>
      </w:r>
    </w:p>
    <w:p w14:paraId="40CC4F7A" w14:textId="37F03161" w:rsidR="00376F11" w:rsidRPr="00692922" w:rsidRDefault="00874128" w:rsidP="006B5342">
      <w:pPr>
        <w:pStyle w:val="Lgende"/>
        <w:jc w:val="left"/>
        <w:rPr>
          <w:b w:val="0"/>
          <w:i/>
        </w:rPr>
      </w:pPr>
      <w:bookmarkStart w:id="129" w:name="_Ref144802380"/>
      <w:bookmarkStart w:id="130" w:name="_Toc134537600"/>
      <w:bookmarkStart w:id="131" w:name="_Toc151967910"/>
      <w:r>
        <w:t>Table SI.</w:t>
      </w:r>
      <w:r w:rsidR="00376F11">
        <w:t xml:space="preserve"> </w:t>
      </w:r>
      <w:r>
        <w:fldChar w:fldCharType="begin"/>
      </w:r>
      <w:r>
        <w:instrText xml:space="preserve"> SEQ Table_SI. \* ARABIC </w:instrText>
      </w:r>
      <w:r>
        <w:fldChar w:fldCharType="separate"/>
      </w:r>
      <w:r w:rsidR="00F25F8C">
        <w:rPr>
          <w:noProof/>
        </w:rPr>
        <w:t>26</w:t>
      </w:r>
      <w:r>
        <w:fldChar w:fldCharType="end"/>
      </w:r>
      <w:bookmarkEnd w:id="129"/>
      <w:r w:rsidR="00376F11">
        <w:t xml:space="preserve"> </w:t>
      </w:r>
      <w:r w:rsidR="00376F11" w:rsidRPr="007B2D88">
        <w:t>– Parameters specific to SSF pathways</w:t>
      </w:r>
      <w:bookmarkEnd w:id="130"/>
      <w:bookmarkEnd w:id="131"/>
    </w:p>
    <w:tbl>
      <w:tblPr>
        <w:tblStyle w:val="Tableausimple2"/>
        <w:tblW w:w="0" w:type="auto"/>
        <w:jc w:val="center"/>
        <w:tblLook w:val="04A0" w:firstRow="1" w:lastRow="0" w:firstColumn="1" w:lastColumn="0" w:noHBand="0" w:noVBand="1"/>
      </w:tblPr>
      <w:tblGrid>
        <w:gridCol w:w="978"/>
        <w:gridCol w:w="2551"/>
        <w:gridCol w:w="1134"/>
        <w:gridCol w:w="1418"/>
        <w:gridCol w:w="1417"/>
        <w:gridCol w:w="1544"/>
      </w:tblGrid>
      <w:tr w:rsidR="00376F11" w:rsidRPr="002D3BB7" w14:paraId="385A4D26" w14:textId="77777777" w:rsidTr="002D3BB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78" w:type="dxa"/>
          </w:tcPr>
          <w:p w14:paraId="7911CD83" w14:textId="77777777" w:rsidR="00376F11" w:rsidRPr="002D3BB7" w:rsidRDefault="00376F11" w:rsidP="006458E0">
            <w:pPr>
              <w:rPr>
                <w:sz w:val="18"/>
                <w:szCs w:val="18"/>
              </w:rPr>
            </w:pPr>
            <w:r w:rsidRPr="002D3BB7">
              <w:rPr>
                <w:sz w:val="18"/>
                <w:szCs w:val="18"/>
              </w:rPr>
              <w:t>n°</w:t>
            </w:r>
          </w:p>
        </w:tc>
        <w:tc>
          <w:tcPr>
            <w:tcW w:w="2551" w:type="dxa"/>
          </w:tcPr>
          <w:p w14:paraId="3B0624C2" w14:textId="77777777" w:rsidR="00376F11" w:rsidRPr="002D3BB7" w:rsidRDefault="00376F11" w:rsidP="006458E0">
            <w:pPr>
              <w:jc w:val="right"/>
              <w:cnfStyle w:val="100000000000" w:firstRow="1" w:lastRow="0" w:firstColumn="0" w:lastColumn="0" w:oddVBand="0" w:evenVBand="0" w:oddHBand="0" w:evenHBand="0" w:firstRowFirstColumn="0" w:firstRowLastColumn="0" w:lastRowFirstColumn="0" w:lastRowLastColumn="0"/>
              <w:rPr>
                <w:sz w:val="18"/>
                <w:szCs w:val="18"/>
              </w:rPr>
            </w:pPr>
            <w:r w:rsidRPr="002D3BB7">
              <w:rPr>
                <w:sz w:val="18"/>
                <w:szCs w:val="18"/>
              </w:rPr>
              <w:t>Parameter</w:t>
            </w:r>
          </w:p>
        </w:tc>
        <w:tc>
          <w:tcPr>
            <w:tcW w:w="1134" w:type="dxa"/>
          </w:tcPr>
          <w:p w14:paraId="75BCFE37" w14:textId="77777777" w:rsidR="00376F11" w:rsidRPr="002D3BB7" w:rsidRDefault="00376F11" w:rsidP="006458E0">
            <w:pPr>
              <w:cnfStyle w:val="100000000000" w:firstRow="1" w:lastRow="0" w:firstColumn="0" w:lastColumn="0" w:oddVBand="0" w:evenVBand="0" w:oddHBand="0" w:evenHBand="0" w:firstRowFirstColumn="0" w:firstRowLastColumn="0" w:lastRowFirstColumn="0" w:lastRowLastColumn="0"/>
              <w:rPr>
                <w:sz w:val="18"/>
                <w:szCs w:val="18"/>
              </w:rPr>
            </w:pPr>
            <w:r w:rsidRPr="002D3BB7">
              <w:rPr>
                <w:sz w:val="18"/>
                <w:szCs w:val="18"/>
              </w:rPr>
              <w:t>Unit</w:t>
            </w:r>
          </w:p>
        </w:tc>
        <w:tc>
          <w:tcPr>
            <w:tcW w:w="1418" w:type="dxa"/>
          </w:tcPr>
          <w:p w14:paraId="6E7178B7" w14:textId="77777777" w:rsidR="00376F11" w:rsidRPr="002D3BB7" w:rsidRDefault="00376F11" w:rsidP="006458E0">
            <w:pPr>
              <w:cnfStyle w:val="100000000000" w:firstRow="1" w:lastRow="0" w:firstColumn="0" w:lastColumn="0" w:oddVBand="0" w:evenVBand="0" w:oddHBand="0" w:evenHBand="0" w:firstRowFirstColumn="0" w:firstRowLastColumn="0" w:lastRowFirstColumn="0" w:lastRowLastColumn="0"/>
              <w:rPr>
                <w:sz w:val="18"/>
                <w:szCs w:val="18"/>
              </w:rPr>
            </w:pPr>
            <w:r w:rsidRPr="002D3BB7">
              <w:rPr>
                <w:sz w:val="18"/>
                <w:szCs w:val="18"/>
              </w:rPr>
              <w:t>Baseline value</w:t>
            </w:r>
          </w:p>
        </w:tc>
        <w:tc>
          <w:tcPr>
            <w:tcW w:w="1417" w:type="dxa"/>
          </w:tcPr>
          <w:p w14:paraId="123104B0" w14:textId="77777777" w:rsidR="00376F11" w:rsidRPr="002D3BB7" w:rsidRDefault="00376F11" w:rsidP="006458E0">
            <w:pPr>
              <w:cnfStyle w:val="100000000000" w:firstRow="1" w:lastRow="0" w:firstColumn="0" w:lastColumn="0" w:oddVBand="0" w:evenVBand="0" w:oddHBand="0" w:evenHBand="0" w:firstRowFirstColumn="0" w:firstRowLastColumn="0" w:lastRowFirstColumn="0" w:lastRowLastColumn="0"/>
              <w:rPr>
                <w:sz w:val="18"/>
                <w:szCs w:val="18"/>
              </w:rPr>
            </w:pPr>
            <w:r w:rsidRPr="002D3BB7">
              <w:rPr>
                <w:sz w:val="18"/>
                <w:szCs w:val="18"/>
              </w:rPr>
              <w:t>Variation range</w:t>
            </w:r>
          </w:p>
        </w:tc>
        <w:tc>
          <w:tcPr>
            <w:tcW w:w="1544" w:type="dxa"/>
          </w:tcPr>
          <w:p w14:paraId="7D8D7F51" w14:textId="77777777" w:rsidR="00376F11" w:rsidRPr="002D3BB7" w:rsidRDefault="00376F11" w:rsidP="00E9442B">
            <w:pPr>
              <w:cnfStyle w:val="100000000000" w:firstRow="1" w:lastRow="0" w:firstColumn="0" w:lastColumn="0" w:oddVBand="0" w:evenVBand="0" w:oddHBand="0" w:evenHBand="0" w:firstRowFirstColumn="0" w:firstRowLastColumn="0" w:lastRowFirstColumn="0" w:lastRowLastColumn="0"/>
              <w:rPr>
                <w:i/>
                <w:sz w:val="18"/>
                <w:szCs w:val="18"/>
              </w:rPr>
            </w:pPr>
            <w:r w:rsidRPr="002D3BB7">
              <w:rPr>
                <w:i/>
                <w:sz w:val="18"/>
                <w:szCs w:val="18"/>
              </w:rPr>
              <w:t>Comment</w:t>
            </w:r>
          </w:p>
        </w:tc>
      </w:tr>
      <w:tr w:rsidR="00376F11" w:rsidRPr="002D3BB7" w14:paraId="74657AD6" w14:textId="77777777" w:rsidTr="002D3BB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78" w:type="dxa"/>
          </w:tcPr>
          <w:p w14:paraId="7B4E750E" w14:textId="77777777" w:rsidR="00376F11" w:rsidRPr="002D3BB7" w:rsidRDefault="00376F11" w:rsidP="006458E0">
            <w:pPr>
              <w:rPr>
                <w:sz w:val="18"/>
                <w:szCs w:val="18"/>
              </w:rPr>
            </w:pPr>
            <w:r w:rsidRPr="002D3BB7">
              <w:rPr>
                <w:sz w:val="18"/>
                <w:szCs w:val="18"/>
              </w:rPr>
              <w:t>21</w:t>
            </w:r>
          </w:p>
        </w:tc>
        <w:tc>
          <w:tcPr>
            <w:tcW w:w="2551" w:type="dxa"/>
          </w:tcPr>
          <w:p w14:paraId="0BED9A84" w14:textId="77777777" w:rsidR="00376F11" w:rsidRPr="002D3BB7" w:rsidRDefault="00376F11"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Humidity for crushing</w:t>
            </w:r>
          </w:p>
        </w:tc>
        <w:tc>
          <w:tcPr>
            <w:tcW w:w="1134" w:type="dxa"/>
          </w:tcPr>
          <w:p w14:paraId="354D7A51"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w:t>
            </w:r>
            <w:r w:rsidRPr="002D3BB7">
              <w:rPr>
                <w:sz w:val="18"/>
                <w:szCs w:val="18"/>
                <w:vertAlign w:val="subscript"/>
              </w:rPr>
              <w:t>ww</w:t>
            </w:r>
          </w:p>
        </w:tc>
        <w:tc>
          <w:tcPr>
            <w:tcW w:w="1418" w:type="dxa"/>
          </w:tcPr>
          <w:p w14:paraId="785A5063"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9%</w:t>
            </w:r>
          </w:p>
        </w:tc>
        <w:tc>
          <w:tcPr>
            <w:tcW w:w="1417" w:type="dxa"/>
          </w:tcPr>
          <w:p w14:paraId="3BCAD370"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9-13%</w:t>
            </w:r>
          </w:p>
        </w:tc>
        <w:tc>
          <w:tcPr>
            <w:tcW w:w="1544" w:type="dxa"/>
            <w:vMerge w:val="restart"/>
          </w:tcPr>
          <w:p w14:paraId="6F1E31B2" w14:textId="69BA974E" w:rsidR="00376F11" w:rsidRPr="002D3BB7" w:rsidRDefault="00376F11"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2D3BB7">
              <w:rPr>
                <w:i/>
                <w:sz w:val="18"/>
                <w:szCs w:val="18"/>
              </w:rPr>
              <w:t>Already detailed in Javourez et al., 2022</w:t>
            </w:r>
            <w:r w:rsidRPr="002D3BB7">
              <w:rPr>
                <w:i/>
                <w:sz w:val="18"/>
                <w:szCs w:val="18"/>
              </w:rPr>
              <w:fldChar w:fldCharType="begin"/>
            </w:r>
            <w:r w:rsidR="00682E10" w:rsidRPr="002D3BB7">
              <w:rPr>
                <w:i/>
                <w:sz w:val="18"/>
                <w:szCs w:val="18"/>
              </w:rPr>
              <w:instrText xml:space="preserve"> ADDIN ZOTERO_ITEM CSL_CITATION {"citationID":"R0dAM4YN","properties":{"formattedCitation":"\\super 4\\nosupersub{}","plainCitation":"4","noteIndex":0},"citationItems":[{"id":13553,"uris":["http://zotero.org/users/6423791/items/EU8KLJZY"],"itemData":{"id":13553,"type":"article-journal","abstract":"Transforming residual biomass into edible ingredients is increasingly\npromoted to alleviate the environmental impacts of food systems. Yet,\nthese approaches mostly rely on emerging technologies and constrained\nresources, and their environmental benefits remain unclear. By combining\nprocess-based consequential life cycle analysis, uncertainty assessment\nand biomass resource estimation, we quantified the impacts of deploying\nwaste-to-nutrition pathways, here applied to the upgrading of agrifood\nco-products by solid-state fermentation (SSF). The benefits of reducing the\ndemand for soybean meal by enhancing the protein concentration of feed\nthrough SSF do not compensate for the environmental burdens induced\nby the process on climate change, water depletion and land use. Besides\nunlocking feed markets to low-feed-quality streams, SSF outperforms\nenergy valorization for most environmental impacts but is less competitive\nto mitigate climate change. Yet, SSF yields overall environmental benefits\nwhen unlocking food markets rather than supplying feed and energy\nservices. Systematic methodological harmonization is required to assess the\npotential of novel ingredients, as outcomes vary according to the displaced\nfood and feed baskets, and related land use changes.","container-title":"Nature Food","DOI":"10.1038/s43016-022-00621-9","journalAbbreviation":"Nat Food","language":"en","page":"911-920","title":"Upgrading agrifood co-products via solid fermentation yields environmental benefits under specific conditions only","volume":"3","author":[{"family":"Javourez","given":"Ugo"},{"family":"Rosero Delgado","given":"Ernesto Alonso"},{"family":"Hamelin","given":"Lorie"}],"issued":{"date-parts":[["2022",10,31]]}}}],"schema":"https://github.com/citation-style-language/schema/raw/master/csl-citation.json"} </w:instrText>
            </w:r>
            <w:r w:rsidRPr="002D3BB7">
              <w:rPr>
                <w:i/>
                <w:sz w:val="18"/>
                <w:szCs w:val="18"/>
              </w:rPr>
              <w:fldChar w:fldCharType="separate"/>
            </w:r>
            <w:r w:rsidR="00682E10" w:rsidRPr="002D3BB7">
              <w:rPr>
                <w:rFonts w:ascii="Calibri" w:hAnsi="Calibri" w:cs="Calibri"/>
                <w:sz w:val="18"/>
                <w:szCs w:val="18"/>
                <w:vertAlign w:val="superscript"/>
              </w:rPr>
              <w:t>4</w:t>
            </w:r>
            <w:r w:rsidRPr="002D3BB7">
              <w:rPr>
                <w:i/>
                <w:sz w:val="18"/>
                <w:szCs w:val="18"/>
              </w:rPr>
              <w:fldChar w:fldCharType="end"/>
            </w:r>
            <w:r w:rsidRPr="002D3BB7">
              <w:rPr>
                <w:i/>
                <w:sz w:val="18"/>
                <w:szCs w:val="18"/>
              </w:rPr>
              <w:t>, based on literature review of each unit process involved.</w:t>
            </w:r>
          </w:p>
        </w:tc>
      </w:tr>
      <w:tr w:rsidR="00376F11" w:rsidRPr="002D3BB7" w14:paraId="3AC6DA3D" w14:textId="77777777" w:rsidTr="002D3BB7">
        <w:trPr>
          <w:jc w:val="center"/>
        </w:trPr>
        <w:tc>
          <w:tcPr>
            <w:cnfStyle w:val="001000000000" w:firstRow="0" w:lastRow="0" w:firstColumn="1" w:lastColumn="0" w:oddVBand="0" w:evenVBand="0" w:oddHBand="0" w:evenHBand="0" w:firstRowFirstColumn="0" w:firstRowLastColumn="0" w:lastRowFirstColumn="0" w:lastRowLastColumn="0"/>
            <w:tcW w:w="978" w:type="dxa"/>
          </w:tcPr>
          <w:p w14:paraId="742669A3" w14:textId="77777777" w:rsidR="00376F11" w:rsidRPr="002D3BB7" w:rsidRDefault="00376F11" w:rsidP="006458E0">
            <w:pPr>
              <w:rPr>
                <w:sz w:val="18"/>
                <w:szCs w:val="18"/>
              </w:rPr>
            </w:pPr>
            <w:r w:rsidRPr="002D3BB7">
              <w:rPr>
                <w:sz w:val="18"/>
                <w:szCs w:val="18"/>
              </w:rPr>
              <w:t>22</w:t>
            </w:r>
          </w:p>
        </w:tc>
        <w:tc>
          <w:tcPr>
            <w:tcW w:w="2551" w:type="dxa"/>
          </w:tcPr>
          <w:p w14:paraId="00AF82D6" w14:textId="77777777" w:rsidR="00376F11" w:rsidRPr="002D3BB7" w:rsidRDefault="00376F11"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Crushing dust generation</w:t>
            </w:r>
          </w:p>
        </w:tc>
        <w:tc>
          <w:tcPr>
            <w:tcW w:w="1134" w:type="dxa"/>
          </w:tcPr>
          <w:p w14:paraId="683AFF84"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w:t>
            </w:r>
            <w:r w:rsidRPr="002D3BB7">
              <w:rPr>
                <w:sz w:val="18"/>
                <w:szCs w:val="18"/>
                <w:vertAlign w:val="subscript"/>
              </w:rPr>
              <w:t>ww</w:t>
            </w:r>
          </w:p>
        </w:tc>
        <w:tc>
          <w:tcPr>
            <w:tcW w:w="1418" w:type="dxa"/>
          </w:tcPr>
          <w:p w14:paraId="3A695880"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0.5%</w:t>
            </w:r>
          </w:p>
        </w:tc>
        <w:tc>
          <w:tcPr>
            <w:tcW w:w="1417" w:type="dxa"/>
          </w:tcPr>
          <w:p w14:paraId="7674FADE"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0-0.5%</w:t>
            </w:r>
          </w:p>
        </w:tc>
        <w:tc>
          <w:tcPr>
            <w:tcW w:w="1544" w:type="dxa"/>
            <w:vMerge/>
          </w:tcPr>
          <w:p w14:paraId="00C904B9"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i/>
                <w:sz w:val="18"/>
                <w:szCs w:val="18"/>
              </w:rPr>
            </w:pPr>
          </w:p>
        </w:tc>
      </w:tr>
      <w:tr w:rsidR="00376F11" w:rsidRPr="002D3BB7" w14:paraId="77F0820F" w14:textId="77777777" w:rsidTr="002D3BB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78" w:type="dxa"/>
          </w:tcPr>
          <w:p w14:paraId="79AF365E" w14:textId="77777777" w:rsidR="00376F11" w:rsidRPr="002D3BB7" w:rsidRDefault="00376F11" w:rsidP="006458E0">
            <w:pPr>
              <w:rPr>
                <w:sz w:val="18"/>
                <w:szCs w:val="18"/>
              </w:rPr>
            </w:pPr>
            <w:r w:rsidRPr="002D3BB7">
              <w:rPr>
                <w:sz w:val="18"/>
                <w:szCs w:val="18"/>
              </w:rPr>
              <w:t>60</w:t>
            </w:r>
          </w:p>
        </w:tc>
        <w:tc>
          <w:tcPr>
            <w:tcW w:w="2551" w:type="dxa"/>
          </w:tcPr>
          <w:p w14:paraId="51C5A224" w14:textId="77777777" w:rsidR="00376F11" w:rsidRPr="002D3BB7" w:rsidRDefault="00376F11"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Water loss at crushing</w:t>
            </w:r>
          </w:p>
        </w:tc>
        <w:tc>
          <w:tcPr>
            <w:tcW w:w="1134" w:type="dxa"/>
          </w:tcPr>
          <w:p w14:paraId="25EA31CC"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w:t>
            </w:r>
            <w:r w:rsidRPr="002D3BB7">
              <w:rPr>
                <w:sz w:val="18"/>
                <w:szCs w:val="18"/>
                <w:vertAlign w:val="subscript"/>
              </w:rPr>
              <w:t>water</w:t>
            </w:r>
          </w:p>
        </w:tc>
        <w:tc>
          <w:tcPr>
            <w:tcW w:w="1418" w:type="dxa"/>
          </w:tcPr>
          <w:p w14:paraId="2485161C"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0.15%</w:t>
            </w:r>
          </w:p>
        </w:tc>
        <w:tc>
          <w:tcPr>
            <w:tcW w:w="1417" w:type="dxa"/>
          </w:tcPr>
          <w:p w14:paraId="20ADF017"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0.1-0.2%</w:t>
            </w:r>
          </w:p>
        </w:tc>
        <w:tc>
          <w:tcPr>
            <w:tcW w:w="1544" w:type="dxa"/>
            <w:vMerge/>
          </w:tcPr>
          <w:p w14:paraId="4BE05382"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i/>
                <w:sz w:val="18"/>
                <w:szCs w:val="18"/>
              </w:rPr>
            </w:pPr>
          </w:p>
        </w:tc>
      </w:tr>
      <w:tr w:rsidR="00376F11" w:rsidRPr="002D3BB7" w14:paraId="2E262977" w14:textId="77777777" w:rsidTr="002D3BB7">
        <w:trPr>
          <w:jc w:val="center"/>
        </w:trPr>
        <w:tc>
          <w:tcPr>
            <w:cnfStyle w:val="001000000000" w:firstRow="0" w:lastRow="0" w:firstColumn="1" w:lastColumn="0" w:oddVBand="0" w:evenVBand="0" w:oddHBand="0" w:evenHBand="0" w:firstRowFirstColumn="0" w:firstRowLastColumn="0" w:lastRowFirstColumn="0" w:lastRowLastColumn="0"/>
            <w:tcW w:w="978" w:type="dxa"/>
          </w:tcPr>
          <w:p w14:paraId="60BA5F80" w14:textId="77777777" w:rsidR="00376F11" w:rsidRPr="002D3BB7" w:rsidRDefault="00376F11" w:rsidP="006458E0">
            <w:pPr>
              <w:rPr>
                <w:sz w:val="18"/>
                <w:szCs w:val="18"/>
              </w:rPr>
            </w:pPr>
            <w:r w:rsidRPr="002D3BB7">
              <w:rPr>
                <w:sz w:val="18"/>
                <w:szCs w:val="18"/>
              </w:rPr>
              <w:t>48</w:t>
            </w:r>
          </w:p>
        </w:tc>
        <w:tc>
          <w:tcPr>
            <w:tcW w:w="2551" w:type="dxa"/>
          </w:tcPr>
          <w:p w14:paraId="68EE9A9F" w14:textId="77777777" w:rsidR="00376F11" w:rsidRPr="002D3BB7" w:rsidRDefault="00376F11"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SSF moisture</w:t>
            </w:r>
          </w:p>
        </w:tc>
        <w:tc>
          <w:tcPr>
            <w:tcW w:w="1134" w:type="dxa"/>
          </w:tcPr>
          <w:p w14:paraId="24AEBFE6"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w:t>
            </w:r>
            <w:r w:rsidRPr="002D3BB7">
              <w:rPr>
                <w:sz w:val="18"/>
                <w:szCs w:val="18"/>
                <w:vertAlign w:val="subscript"/>
              </w:rPr>
              <w:t>ww</w:t>
            </w:r>
          </w:p>
        </w:tc>
        <w:tc>
          <w:tcPr>
            <w:tcW w:w="1418" w:type="dxa"/>
          </w:tcPr>
          <w:p w14:paraId="5F0490E0"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65%</w:t>
            </w:r>
          </w:p>
        </w:tc>
        <w:tc>
          <w:tcPr>
            <w:tcW w:w="1417" w:type="dxa"/>
          </w:tcPr>
          <w:p w14:paraId="4D36D5AA"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50-80%</w:t>
            </w:r>
          </w:p>
        </w:tc>
        <w:tc>
          <w:tcPr>
            <w:tcW w:w="1544" w:type="dxa"/>
            <w:vMerge/>
          </w:tcPr>
          <w:p w14:paraId="4BAFB100"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i/>
                <w:sz w:val="18"/>
                <w:szCs w:val="18"/>
              </w:rPr>
            </w:pPr>
          </w:p>
        </w:tc>
      </w:tr>
      <w:tr w:rsidR="00376F11" w:rsidRPr="002D3BB7" w14:paraId="0A046A60" w14:textId="77777777" w:rsidTr="002D3BB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78" w:type="dxa"/>
          </w:tcPr>
          <w:p w14:paraId="09117341" w14:textId="77777777" w:rsidR="00376F11" w:rsidRPr="002D3BB7" w:rsidRDefault="00376F11" w:rsidP="006458E0">
            <w:pPr>
              <w:rPr>
                <w:sz w:val="18"/>
                <w:szCs w:val="18"/>
              </w:rPr>
            </w:pPr>
            <w:r w:rsidRPr="002D3BB7">
              <w:rPr>
                <w:sz w:val="18"/>
                <w:szCs w:val="18"/>
              </w:rPr>
              <w:t>49</w:t>
            </w:r>
          </w:p>
        </w:tc>
        <w:tc>
          <w:tcPr>
            <w:tcW w:w="2551" w:type="dxa"/>
          </w:tcPr>
          <w:p w14:paraId="7D7F40DA" w14:textId="77777777" w:rsidR="00376F11" w:rsidRPr="002D3BB7" w:rsidRDefault="00376F11"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SSF sterilization energy</w:t>
            </w:r>
          </w:p>
        </w:tc>
        <w:tc>
          <w:tcPr>
            <w:tcW w:w="1134" w:type="dxa"/>
          </w:tcPr>
          <w:p w14:paraId="15E7ECE6"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2D3BB7">
              <w:rPr>
                <w:sz w:val="18"/>
                <w:szCs w:val="18"/>
              </w:rPr>
              <w:t>MJ.kg</w:t>
            </w:r>
            <w:r w:rsidRPr="002D3BB7">
              <w:rPr>
                <w:sz w:val="18"/>
                <w:szCs w:val="18"/>
                <w:vertAlign w:val="subscript"/>
              </w:rPr>
              <w:t>ww</w:t>
            </w:r>
            <w:proofErr w:type="gramEnd"/>
            <w:r w:rsidRPr="002D3BB7">
              <w:rPr>
                <w:sz w:val="18"/>
                <w:szCs w:val="18"/>
                <w:vertAlign w:val="superscript"/>
              </w:rPr>
              <w:t>-1</w:t>
            </w:r>
          </w:p>
        </w:tc>
        <w:tc>
          <w:tcPr>
            <w:tcW w:w="1418" w:type="dxa"/>
          </w:tcPr>
          <w:p w14:paraId="7D77F736"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0.84</w:t>
            </w:r>
          </w:p>
        </w:tc>
        <w:tc>
          <w:tcPr>
            <w:tcW w:w="1417" w:type="dxa"/>
          </w:tcPr>
          <w:p w14:paraId="7E53D3A4"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0.4-1.3</w:t>
            </w:r>
          </w:p>
        </w:tc>
        <w:tc>
          <w:tcPr>
            <w:tcW w:w="1544" w:type="dxa"/>
            <w:vMerge/>
          </w:tcPr>
          <w:p w14:paraId="70EB32AF"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i/>
                <w:sz w:val="18"/>
                <w:szCs w:val="18"/>
              </w:rPr>
            </w:pPr>
          </w:p>
        </w:tc>
      </w:tr>
      <w:tr w:rsidR="00376F11" w:rsidRPr="002D3BB7" w14:paraId="120EF71F" w14:textId="77777777" w:rsidTr="002D3BB7">
        <w:trPr>
          <w:jc w:val="center"/>
        </w:trPr>
        <w:tc>
          <w:tcPr>
            <w:cnfStyle w:val="001000000000" w:firstRow="0" w:lastRow="0" w:firstColumn="1" w:lastColumn="0" w:oddVBand="0" w:evenVBand="0" w:oddHBand="0" w:evenHBand="0" w:firstRowFirstColumn="0" w:firstRowLastColumn="0" w:lastRowFirstColumn="0" w:lastRowLastColumn="0"/>
            <w:tcW w:w="978" w:type="dxa"/>
          </w:tcPr>
          <w:p w14:paraId="66718FA8" w14:textId="77777777" w:rsidR="00376F11" w:rsidRPr="002D3BB7" w:rsidRDefault="00376F11" w:rsidP="006458E0">
            <w:pPr>
              <w:rPr>
                <w:sz w:val="18"/>
                <w:szCs w:val="18"/>
              </w:rPr>
            </w:pPr>
            <w:r w:rsidRPr="002D3BB7">
              <w:rPr>
                <w:sz w:val="18"/>
                <w:szCs w:val="18"/>
              </w:rPr>
              <w:t>50</w:t>
            </w:r>
          </w:p>
        </w:tc>
        <w:tc>
          <w:tcPr>
            <w:tcW w:w="2551" w:type="dxa"/>
          </w:tcPr>
          <w:p w14:paraId="2DA1155F" w14:textId="77777777" w:rsidR="00376F11" w:rsidRPr="002D3BB7" w:rsidRDefault="00376F11"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Fungal energy coefficient</w:t>
            </w:r>
          </w:p>
        </w:tc>
        <w:tc>
          <w:tcPr>
            <w:tcW w:w="1134" w:type="dxa"/>
          </w:tcPr>
          <w:p w14:paraId="17BDA239"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w:t>
            </w:r>
          </w:p>
        </w:tc>
        <w:tc>
          <w:tcPr>
            <w:tcW w:w="1418" w:type="dxa"/>
          </w:tcPr>
          <w:p w14:paraId="61052DD6"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60%</w:t>
            </w:r>
          </w:p>
        </w:tc>
        <w:tc>
          <w:tcPr>
            <w:tcW w:w="1417" w:type="dxa"/>
          </w:tcPr>
          <w:p w14:paraId="1EBC4F60"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50-70%</w:t>
            </w:r>
          </w:p>
        </w:tc>
        <w:tc>
          <w:tcPr>
            <w:tcW w:w="1544" w:type="dxa"/>
            <w:vMerge/>
          </w:tcPr>
          <w:p w14:paraId="393DC72E"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i/>
                <w:sz w:val="18"/>
                <w:szCs w:val="18"/>
              </w:rPr>
            </w:pPr>
          </w:p>
        </w:tc>
      </w:tr>
      <w:tr w:rsidR="00376F11" w:rsidRPr="002D3BB7" w14:paraId="338E4DE4" w14:textId="77777777" w:rsidTr="002D3BB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78" w:type="dxa"/>
          </w:tcPr>
          <w:p w14:paraId="632B17B5" w14:textId="77777777" w:rsidR="00376F11" w:rsidRPr="002D3BB7" w:rsidRDefault="00376F11" w:rsidP="006458E0">
            <w:pPr>
              <w:rPr>
                <w:sz w:val="18"/>
                <w:szCs w:val="18"/>
              </w:rPr>
            </w:pPr>
            <w:r w:rsidRPr="002D3BB7">
              <w:rPr>
                <w:sz w:val="18"/>
                <w:szCs w:val="18"/>
              </w:rPr>
              <w:t>51</w:t>
            </w:r>
          </w:p>
        </w:tc>
        <w:tc>
          <w:tcPr>
            <w:tcW w:w="2551" w:type="dxa"/>
          </w:tcPr>
          <w:p w14:paraId="0739647B" w14:textId="77777777" w:rsidR="00376F11" w:rsidRPr="002D3BB7" w:rsidRDefault="00376F11"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Fungal protein content</w:t>
            </w:r>
          </w:p>
        </w:tc>
        <w:tc>
          <w:tcPr>
            <w:tcW w:w="1134" w:type="dxa"/>
          </w:tcPr>
          <w:p w14:paraId="3FD08179"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w:t>
            </w:r>
            <w:r w:rsidRPr="002D3BB7">
              <w:rPr>
                <w:sz w:val="18"/>
                <w:szCs w:val="18"/>
                <w:vertAlign w:val="subscript"/>
              </w:rPr>
              <w:t>DM</w:t>
            </w:r>
          </w:p>
        </w:tc>
        <w:tc>
          <w:tcPr>
            <w:tcW w:w="1418" w:type="dxa"/>
          </w:tcPr>
          <w:p w14:paraId="3D03E10A"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40%</w:t>
            </w:r>
          </w:p>
        </w:tc>
        <w:tc>
          <w:tcPr>
            <w:tcW w:w="1417" w:type="dxa"/>
          </w:tcPr>
          <w:p w14:paraId="58DD0D8E"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24.4-53.3%</w:t>
            </w:r>
          </w:p>
        </w:tc>
        <w:tc>
          <w:tcPr>
            <w:tcW w:w="1544" w:type="dxa"/>
            <w:vMerge/>
          </w:tcPr>
          <w:p w14:paraId="335DE105"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i/>
                <w:sz w:val="18"/>
                <w:szCs w:val="18"/>
              </w:rPr>
            </w:pPr>
          </w:p>
        </w:tc>
      </w:tr>
      <w:tr w:rsidR="00376F11" w:rsidRPr="002D3BB7" w14:paraId="727D6962" w14:textId="77777777" w:rsidTr="002D3BB7">
        <w:trPr>
          <w:jc w:val="center"/>
        </w:trPr>
        <w:tc>
          <w:tcPr>
            <w:cnfStyle w:val="001000000000" w:firstRow="0" w:lastRow="0" w:firstColumn="1" w:lastColumn="0" w:oddVBand="0" w:evenVBand="0" w:oddHBand="0" w:evenHBand="0" w:firstRowFirstColumn="0" w:firstRowLastColumn="0" w:lastRowFirstColumn="0" w:lastRowLastColumn="0"/>
            <w:tcW w:w="978" w:type="dxa"/>
          </w:tcPr>
          <w:p w14:paraId="754EEBD5" w14:textId="77777777" w:rsidR="00376F11" w:rsidRPr="002D3BB7" w:rsidRDefault="00376F11" w:rsidP="006458E0">
            <w:pPr>
              <w:rPr>
                <w:sz w:val="18"/>
                <w:szCs w:val="18"/>
              </w:rPr>
            </w:pPr>
            <w:r w:rsidRPr="002D3BB7">
              <w:rPr>
                <w:sz w:val="18"/>
                <w:szCs w:val="18"/>
              </w:rPr>
              <w:t>52</w:t>
            </w:r>
          </w:p>
        </w:tc>
        <w:tc>
          <w:tcPr>
            <w:tcW w:w="2551" w:type="dxa"/>
          </w:tcPr>
          <w:p w14:paraId="6FBA3992" w14:textId="77777777" w:rsidR="00376F11" w:rsidRPr="002D3BB7" w:rsidRDefault="00376F11"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SSF cellulose degradation</w:t>
            </w:r>
          </w:p>
        </w:tc>
        <w:tc>
          <w:tcPr>
            <w:tcW w:w="1134" w:type="dxa"/>
          </w:tcPr>
          <w:p w14:paraId="563F8528"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w:t>
            </w:r>
            <w:r w:rsidRPr="002D3BB7">
              <w:rPr>
                <w:sz w:val="18"/>
                <w:szCs w:val="18"/>
                <w:vertAlign w:val="subscript"/>
              </w:rPr>
              <w:t>cellulose</w:t>
            </w:r>
          </w:p>
        </w:tc>
        <w:tc>
          <w:tcPr>
            <w:tcW w:w="1418" w:type="dxa"/>
          </w:tcPr>
          <w:p w14:paraId="5DE437C1"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40%</w:t>
            </w:r>
          </w:p>
        </w:tc>
        <w:tc>
          <w:tcPr>
            <w:tcW w:w="1417" w:type="dxa"/>
          </w:tcPr>
          <w:p w14:paraId="173BDA5B"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2.4%-49.9%</w:t>
            </w:r>
          </w:p>
        </w:tc>
        <w:tc>
          <w:tcPr>
            <w:tcW w:w="1544" w:type="dxa"/>
            <w:vMerge/>
          </w:tcPr>
          <w:p w14:paraId="6E349678"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i/>
                <w:sz w:val="18"/>
                <w:szCs w:val="18"/>
              </w:rPr>
            </w:pPr>
          </w:p>
        </w:tc>
      </w:tr>
      <w:tr w:rsidR="00376F11" w:rsidRPr="002D3BB7" w14:paraId="1ACE73E4" w14:textId="77777777" w:rsidTr="002D3BB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78" w:type="dxa"/>
          </w:tcPr>
          <w:p w14:paraId="5040D51A" w14:textId="77777777" w:rsidR="00376F11" w:rsidRPr="002D3BB7" w:rsidRDefault="00376F11" w:rsidP="006458E0">
            <w:pPr>
              <w:rPr>
                <w:sz w:val="18"/>
                <w:szCs w:val="18"/>
              </w:rPr>
            </w:pPr>
            <w:r w:rsidRPr="002D3BB7">
              <w:rPr>
                <w:sz w:val="18"/>
                <w:szCs w:val="18"/>
              </w:rPr>
              <w:t>53</w:t>
            </w:r>
          </w:p>
        </w:tc>
        <w:tc>
          <w:tcPr>
            <w:tcW w:w="2551" w:type="dxa"/>
          </w:tcPr>
          <w:p w14:paraId="623C3410" w14:textId="77777777" w:rsidR="00376F11" w:rsidRPr="002D3BB7" w:rsidRDefault="00376F11"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SSF hemicellulose degradation</w:t>
            </w:r>
          </w:p>
        </w:tc>
        <w:tc>
          <w:tcPr>
            <w:tcW w:w="1134" w:type="dxa"/>
          </w:tcPr>
          <w:p w14:paraId="3AA6400D"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w:t>
            </w:r>
            <w:r w:rsidRPr="002D3BB7">
              <w:rPr>
                <w:sz w:val="18"/>
                <w:szCs w:val="18"/>
                <w:vertAlign w:val="subscript"/>
              </w:rPr>
              <w:t>hemicellulose</w:t>
            </w:r>
          </w:p>
        </w:tc>
        <w:tc>
          <w:tcPr>
            <w:tcW w:w="1418" w:type="dxa"/>
          </w:tcPr>
          <w:p w14:paraId="16F3FE54"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40%</w:t>
            </w:r>
          </w:p>
        </w:tc>
        <w:tc>
          <w:tcPr>
            <w:tcW w:w="1417" w:type="dxa"/>
          </w:tcPr>
          <w:p w14:paraId="29709A8F"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16%-44.9%</w:t>
            </w:r>
          </w:p>
        </w:tc>
        <w:tc>
          <w:tcPr>
            <w:tcW w:w="1544" w:type="dxa"/>
            <w:vMerge/>
          </w:tcPr>
          <w:p w14:paraId="5FE622B5"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i/>
                <w:sz w:val="18"/>
                <w:szCs w:val="18"/>
              </w:rPr>
            </w:pPr>
          </w:p>
        </w:tc>
      </w:tr>
      <w:tr w:rsidR="00376F11" w:rsidRPr="002D3BB7" w14:paraId="3C0D12BC" w14:textId="77777777" w:rsidTr="002D3BB7">
        <w:trPr>
          <w:jc w:val="center"/>
        </w:trPr>
        <w:tc>
          <w:tcPr>
            <w:cnfStyle w:val="001000000000" w:firstRow="0" w:lastRow="0" w:firstColumn="1" w:lastColumn="0" w:oddVBand="0" w:evenVBand="0" w:oddHBand="0" w:evenHBand="0" w:firstRowFirstColumn="0" w:firstRowLastColumn="0" w:lastRowFirstColumn="0" w:lastRowLastColumn="0"/>
            <w:tcW w:w="978" w:type="dxa"/>
          </w:tcPr>
          <w:p w14:paraId="7D40A826" w14:textId="77777777" w:rsidR="00376F11" w:rsidRPr="002D3BB7" w:rsidRDefault="00376F11" w:rsidP="006458E0">
            <w:pPr>
              <w:rPr>
                <w:sz w:val="18"/>
                <w:szCs w:val="18"/>
              </w:rPr>
            </w:pPr>
            <w:r w:rsidRPr="002D3BB7">
              <w:rPr>
                <w:sz w:val="18"/>
                <w:szCs w:val="18"/>
              </w:rPr>
              <w:t>54</w:t>
            </w:r>
          </w:p>
        </w:tc>
        <w:tc>
          <w:tcPr>
            <w:tcW w:w="2551" w:type="dxa"/>
          </w:tcPr>
          <w:p w14:paraId="347FAE18" w14:textId="77777777" w:rsidR="00376F11" w:rsidRPr="002D3BB7" w:rsidRDefault="00376F11"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SSF lignin degradation</w:t>
            </w:r>
          </w:p>
        </w:tc>
        <w:tc>
          <w:tcPr>
            <w:tcW w:w="1134" w:type="dxa"/>
          </w:tcPr>
          <w:p w14:paraId="2146A4F7"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w:t>
            </w:r>
            <w:r w:rsidRPr="002D3BB7">
              <w:rPr>
                <w:sz w:val="18"/>
                <w:szCs w:val="18"/>
                <w:vertAlign w:val="subscript"/>
              </w:rPr>
              <w:t>lignin</w:t>
            </w:r>
          </w:p>
        </w:tc>
        <w:tc>
          <w:tcPr>
            <w:tcW w:w="1418" w:type="dxa"/>
          </w:tcPr>
          <w:p w14:paraId="2E334DD5"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40%</w:t>
            </w:r>
          </w:p>
        </w:tc>
        <w:tc>
          <w:tcPr>
            <w:tcW w:w="1417" w:type="dxa"/>
          </w:tcPr>
          <w:p w14:paraId="013D9D67"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11.9%-50.9%</w:t>
            </w:r>
          </w:p>
        </w:tc>
        <w:tc>
          <w:tcPr>
            <w:tcW w:w="1544" w:type="dxa"/>
            <w:vMerge/>
          </w:tcPr>
          <w:p w14:paraId="33CC34A9"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i/>
                <w:sz w:val="18"/>
                <w:szCs w:val="18"/>
              </w:rPr>
            </w:pPr>
          </w:p>
        </w:tc>
      </w:tr>
      <w:tr w:rsidR="00376F11" w:rsidRPr="002D3BB7" w14:paraId="0F4BB40D" w14:textId="77777777" w:rsidTr="002D3BB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78" w:type="dxa"/>
          </w:tcPr>
          <w:p w14:paraId="5C948562" w14:textId="77777777" w:rsidR="00376F11" w:rsidRPr="002D3BB7" w:rsidRDefault="00376F11" w:rsidP="006458E0">
            <w:pPr>
              <w:rPr>
                <w:sz w:val="18"/>
                <w:szCs w:val="18"/>
              </w:rPr>
            </w:pPr>
            <w:r w:rsidRPr="002D3BB7">
              <w:rPr>
                <w:sz w:val="18"/>
                <w:szCs w:val="18"/>
              </w:rPr>
              <w:t>55</w:t>
            </w:r>
          </w:p>
        </w:tc>
        <w:tc>
          <w:tcPr>
            <w:tcW w:w="2551" w:type="dxa"/>
          </w:tcPr>
          <w:p w14:paraId="48CDE2E8" w14:textId="77777777" w:rsidR="00376F11" w:rsidRPr="002D3BB7" w:rsidRDefault="00376F11"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SSF humidity degradation</w:t>
            </w:r>
          </w:p>
        </w:tc>
        <w:tc>
          <w:tcPr>
            <w:tcW w:w="1134" w:type="dxa"/>
          </w:tcPr>
          <w:p w14:paraId="1D86C41C"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w:t>
            </w:r>
            <w:r w:rsidRPr="002D3BB7">
              <w:rPr>
                <w:sz w:val="18"/>
                <w:szCs w:val="18"/>
                <w:vertAlign w:val="subscript"/>
              </w:rPr>
              <w:t>moisture</w:t>
            </w:r>
          </w:p>
        </w:tc>
        <w:tc>
          <w:tcPr>
            <w:tcW w:w="1418" w:type="dxa"/>
          </w:tcPr>
          <w:p w14:paraId="561E3A3E"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10%</w:t>
            </w:r>
          </w:p>
        </w:tc>
        <w:tc>
          <w:tcPr>
            <w:tcW w:w="1417" w:type="dxa"/>
          </w:tcPr>
          <w:p w14:paraId="60AD2EB8"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3.2%-15.9%</w:t>
            </w:r>
          </w:p>
        </w:tc>
        <w:tc>
          <w:tcPr>
            <w:tcW w:w="1544" w:type="dxa"/>
            <w:vMerge/>
          </w:tcPr>
          <w:p w14:paraId="6EE62CA5"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i/>
                <w:sz w:val="18"/>
                <w:szCs w:val="18"/>
              </w:rPr>
            </w:pPr>
          </w:p>
        </w:tc>
      </w:tr>
      <w:tr w:rsidR="00376F11" w:rsidRPr="002D3BB7" w14:paraId="3D395FE6" w14:textId="77777777" w:rsidTr="002D3BB7">
        <w:trPr>
          <w:jc w:val="center"/>
        </w:trPr>
        <w:tc>
          <w:tcPr>
            <w:cnfStyle w:val="001000000000" w:firstRow="0" w:lastRow="0" w:firstColumn="1" w:lastColumn="0" w:oddVBand="0" w:evenVBand="0" w:oddHBand="0" w:evenHBand="0" w:firstRowFirstColumn="0" w:firstRowLastColumn="0" w:lastRowFirstColumn="0" w:lastRowLastColumn="0"/>
            <w:tcW w:w="978" w:type="dxa"/>
          </w:tcPr>
          <w:p w14:paraId="6646FECF" w14:textId="77777777" w:rsidR="00376F11" w:rsidRPr="002D3BB7" w:rsidRDefault="00376F11" w:rsidP="006458E0">
            <w:pPr>
              <w:rPr>
                <w:sz w:val="18"/>
                <w:szCs w:val="18"/>
              </w:rPr>
            </w:pPr>
            <w:r w:rsidRPr="002D3BB7">
              <w:rPr>
                <w:sz w:val="18"/>
                <w:szCs w:val="18"/>
              </w:rPr>
              <w:t>56</w:t>
            </w:r>
          </w:p>
        </w:tc>
        <w:tc>
          <w:tcPr>
            <w:tcW w:w="2551" w:type="dxa"/>
          </w:tcPr>
          <w:p w14:paraId="4CAA2BDB" w14:textId="77777777" w:rsidR="00376F11" w:rsidRPr="002D3BB7" w:rsidRDefault="00376F11"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SSF crude fiber degradation</w:t>
            </w:r>
          </w:p>
        </w:tc>
        <w:tc>
          <w:tcPr>
            <w:tcW w:w="1134" w:type="dxa"/>
          </w:tcPr>
          <w:p w14:paraId="37615689"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w:t>
            </w:r>
            <w:r w:rsidRPr="002D3BB7">
              <w:rPr>
                <w:sz w:val="18"/>
                <w:szCs w:val="18"/>
                <w:vertAlign w:val="subscript"/>
              </w:rPr>
              <w:t>fibers</w:t>
            </w:r>
          </w:p>
        </w:tc>
        <w:tc>
          <w:tcPr>
            <w:tcW w:w="1418" w:type="dxa"/>
          </w:tcPr>
          <w:p w14:paraId="2C41A7C7"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20%</w:t>
            </w:r>
          </w:p>
        </w:tc>
        <w:tc>
          <w:tcPr>
            <w:tcW w:w="1417" w:type="dxa"/>
          </w:tcPr>
          <w:p w14:paraId="6DCE473F"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(-2.3)-28.7%</w:t>
            </w:r>
          </w:p>
        </w:tc>
        <w:tc>
          <w:tcPr>
            <w:tcW w:w="1544" w:type="dxa"/>
            <w:vMerge/>
          </w:tcPr>
          <w:p w14:paraId="1D902071"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i/>
                <w:sz w:val="18"/>
                <w:szCs w:val="18"/>
              </w:rPr>
            </w:pPr>
          </w:p>
        </w:tc>
      </w:tr>
      <w:tr w:rsidR="00376F11" w:rsidRPr="002D3BB7" w14:paraId="4BF17F60" w14:textId="77777777" w:rsidTr="002D3BB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78" w:type="dxa"/>
          </w:tcPr>
          <w:p w14:paraId="5D20D405" w14:textId="77777777" w:rsidR="00376F11" w:rsidRPr="002D3BB7" w:rsidRDefault="00376F11" w:rsidP="006458E0">
            <w:pPr>
              <w:rPr>
                <w:sz w:val="18"/>
                <w:szCs w:val="18"/>
              </w:rPr>
            </w:pPr>
            <w:r w:rsidRPr="002D3BB7">
              <w:rPr>
                <w:sz w:val="18"/>
                <w:szCs w:val="18"/>
              </w:rPr>
              <w:t>57</w:t>
            </w:r>
          </w:p>
        </w:tc>
        <w:tc>
          <w:tcPr>
            <w:tcW w:w="2551" w:type="dxa"/>
          </w:tcPr>
          <w:p w14:paraId="4F729902" w14:textId="77777777" w:rsidR="00376F11" w:rsidRPr="002D3BB7" w:rsidRDefault="00376F11"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SSF free sugars degradation</w:t>
            </w:r>
          </w:p>
        </w:tc>
        <w:tc>
          <w:tcPr>
            <w:tcW w:w="1134" w:type="dxa"/>
          </w:tcPr>
          <w:p w14:paraId="7A64CFB8"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w:t>
            </w:r>
            <w:r w:rsidRPr="002D3BB7">
              <w:rPr>
                <w:sz w:val="18"/>
                <w:szCs w:val="18"/>
                <w:vertAlign w:val="subscript"/>
              </w:rPr>
              <w:t>sugars</w:t>
            </w:r>
          </w:p>
        </w:tc>
        <w:tc>
          <w:tcPr>
            <w:tcW w:w="1418" w:type="dxa"/>
          </w:tcPr>
          <w:p w14:paraId="0881B890"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70%</w:t>
            </w:r>
          </w:p>
        </w:tc>
        <w:tc>
          <w:tcPr>
            <w:tcW w:w="1417" w:type="dxa"/>
          </w:tcPr>
          <w:p w14:paraId="73922362"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16.1%-92.8%</w:t>
            </w:r>
          </w:p>
        </w:tc>
        <w:tc>
          <w:tcPr>
            <w:tcW w:w="1544" w:type="dxa"/>
            <w:vMerge/>
          </w:tcPr>
          <w:p w14:paraId="486453D9"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i/>
                <w:sz w:val="18"/>
                <w:szCs w:val="18"/>
              </w:rPr>
            </w:pPr>
          </w:p>
        </w:tc>
      </w:tr>
      <w:tr w:rsidR="00376F11" w:rsidRPr="002D3BB7" w14:paraId="5DDB7AF9" w14:textId="77777777" w:rsidTr="002D3BB7">
        <w:trPr>
          <w:jc w:val="center"/>
        </w:trPr>
        <w:tc>
          <w:tcPr>
            <w:cnfStyle w:val="001000000000" w:firstRow="0" w:lastRow="0" w:firstColumn="1" w:lastColumn="0" w:oddVBand="0" w:evenVBand="0" w:oddHBand="0" w:evenHBand="0" w:firstRowFirstColumn="0" w:firstRowLastColumn="0" w:lastRowFirstColumn="0" w:lastRowLastColumn="0"/>
            <w:tcW w:w="978" w:type="dxa"/>
          </w:tcPr>
          <w:p w14:paraId="0AB07406" w14:textId="77777777" w:rsidR="00376F11" w:rsidRPr="002D3BB7" w:rsidRDefault="00376F11" w:rsidP="006458E0">
            <w:pPr>
              <w:rPr>
                <w:sz w:val="18"/>
                <w:szCs w:val="18"/>
              </w:rPr>
            </w:pPr>
            <w:r w:rsidRPr="002D3BB7">
              <w:rPr>
                <w:sz w:val="18"/>
                <w:szCs w:val="18"/>
              </w:rPr>
              <w:t>58</w:t>
            </w:r>
          </w:p>
        </w:tc>
        <w:tc>
          <w:tcPr>
            <w:tcW w:w="2551" w:type="dxa"/>
          </w:tcPr>
          <w:p w14:paraId="2E5FBE1B" w14:textId="77777777" w:rsidR="00376F11" w:rsidRPr="002D3BB7" w:rsidRDefault="00376F11"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Roller mill energy</w:t>
            </w:r>
          </w:p>
        </w:tc>
        <w:tc>
          <w:tcPr>
            <w:tcW w:w="1134" w:type="dxa"/>
          </w:tcPr>
          <w:p w14:paraId="2A0CE6EE"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kWh.t</w:t>
            </w:r>
            <w:r w:rsidRPr="002D3BB7">
              <w:rPr>
                <w:sz w:val="18"/>
                <w:szCs w:val="18"/>
                <w:vertAlign w:val="subscript"/>
              </w:rPr>
              <w:t>ww</w:t>
            </w:r>
            <w:r w:rsidRPr="002D3BB7">
              <w:rPr>
                <w:sz w:val="18"/>
                <w:szCs w:val="18"/>
                <w:vertAlign w:val="superscript"/>
              </w:rPr>
              <w:t>-1</w:t>
            </w:r>
          </w:p>
        </w:tc>
        <w:tc>
          <w:tcPr>
            <w:tcW w:w="1418" w:type="dxa"/>
          </w:tcPr>
          <w:p w14:paraId="4C03F920"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40</w:t>
            </w:r>
          </w:p>
        </w:tc>
        <w:tc>
          <w:tcPr>
            <w:tcW w:w="1417" w:type="dxa"/>
          </w:tcPr>
          <w:p w14:paraId="4F791119"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35-45</w:t>
            </w:r>
          </w:p>
        </w:tc>
        <w:tc>
          <w:tcPr>
            <w:tcW w:w="1544" w:type="dxa"/>
            <w:vMerge/>
          </w:tcPr>
          <w:p w14:paraId="7291C911"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i/>
                <w:sz w:val="18"/>
                <w:szCs w:val="18"/>
              </w:rPr>
            </w:pPr>
          </w:p>
        </w:tc>
      </w:tr>
      <w:tr w:rsidR="00376F11" w:rsidRPr="002D3BB7" w14:paraId="5D01115B" w14:textId="77777777" w:rsidTr="002D3BB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78" w:type="dxa"/>
          </w:tcPr>
          <w:p w14:paraId="48098E94" w14:textId="77777777" w:rsidR="00376F11" w:rsidRPr="002D3BB7" w:rsidRDefault="00376F11" w:rsidP="006458E0">
            <w:pPr>
              <w:rPr>
                <w:sz w:val="18"/>
                <w:szCs w:val="18"/>
              </w:rPr>
            </w:pPr>
            <w:r w:rsidRPr="002D3BB7">
              <w:rPr>
                <w:sz w:val="18"/>
                <w:szCs w:val="18"/>
              </w:rPr>
              <w:t>59</w:t>
            </w:r>
          </w:p>
        </w:tc>
        <w:tc>
          <w:tcPr>
            <w:tcW w:w="2551" w:type="dxa"/>
          </w:tcPr>
          <w:p w14:paraId="31AFA1BA" w14:textId="77777777" w:rsidR="00376F11" w:rsidRPr="002D3BB7" w:rsidRDefault="00376F11"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Humidity for milling</w:t>
            </w:r>
          </w:p>
        </w:tc>
        <w:tc>
          <w:tcPr>
            <w:tcW w:w="1134" w:type="dxa"/>
          </w:tcPr>
          <w:p w14:paraId="39DC2DDE"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w:t>
            </w:r>
            <w:r w:rsidRPr="002D3BB7">
              <w:rPr>
                <w:sz w:val="18"/>
                <w:szCs w:val="18"/>
                <w:vertAlign w:val="subscript"/>
              </w:rPr>
              <w:t>ww</w:t>
            </w:r>
          </w:p>
        </w:tc>
        <w:tc>
          <w:tcPr>
            <w:tcW w:w="1418" w:type="dxa"/>
          </w:tcPr>
          <w:p w14:paraId="4ED87A8F"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14%</w:t>
            </w:r>
          </w:p>
        </w:tc>
        <w:tc>
          <w:tcPr>
            <w:tcW w:w="1417" w:type="dxa"/>
          </w:tcPr>
          <w:p w14:paraId="61E2A2C7"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12-16%</w:t>
            </w:r>
          </w:p>
        </w:tc>
        <w:tc>
          <w:tcPr>
            <w:tcW w:w="1544" w:type="dxa"/>
            <w:vMerge/>
          </w:tcPr>
          <w:p w14:paraId="4E8B9C89"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i/>
                <w:sz w:val="18"/>
                <w:szCs w:val="18"/>
              </w:rPr>
            </w:pPr>
          </w:p>
        </w:tc>
      </w:tr>
      <w:tr w:rsidR="00376F11" w:rsidRPr="002D3BB7" w14:paraId="4149355C" w14:textId="77777777" w:rsidTr="002D3BB7">
        <w:trPr>
          <w:jc w:val="center"/>
        </w:trPr>
        <w:tc>
          <w:tcPr>
            <w:cnfStyle w:val="001000000000" w:firstRow="0" w:lastRow="0" w:firstColumn="1" w:lastColumn="0" w:oddVBand="0" w:evenVBand="0" w:oddHBand="0" w:evenHBand="0" w:firstRowFirstColumn="0" w:firstRowLastColumn="0" w:lastRowFirstColumn="0" w:lastRowLastColumn="0"/>
            <w:tcW w:w="978" w:type="dxa"/>
          </w:tcPr>
          <w:p w14:paraId="0D03A4E1" w14:textId="77777777" w:rsidR="00376F11" w:rsidRPr="002D3BB7" w:rsidRDefault="00376F11" w:rsidP="006458E0">
            <w:pPr>
              <w:rPr>
                <w:sz w:val="18"/>
                <w:szCs w:val="18"/>
              </w:rPr>
            </w:pPr>
            <w:r w:rsidRPr="002D3BB7">
              <w:rPr>
                <w:sz w:val="18"/>
                <w:szCs w:val="18"/>
              </w:rPr>
              <w:t>61</w:t>
            </w:r>
          </w:p>
        </w:tc>
        <w:tc>
          <w:tcPr>
            <w:tcW w:w="2551" w:type="dxa"/>
          </w:tcPr>
          <w:p w14:paraId="5FD916E4" w14:textId="77777777" w:rsidR="00376F11" w:rsidRPr="002D3BB7" w:rsidRDefault="00376F11"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Wheat flour replacement</w:t>
            </w:r>
          </w:p>
        </w:tc>
        <w:tc>
          <w:tcPr>
            <w:tcW w:w="1134" w:type="dxa"/>
          </w:tcPr>
          <w:p w14:paraId="265009CA"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w:t>
            </w:r>
          </w:p>
        </w:tc>
        <w:tc>
          <w:tcPr>
            <w:tcW w:w="1418" w:type="dxa"/>
          </w:tcPr>
          <w:p w14:paraId="67943F81"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80%</w:t>
            </w:r>
          </w:p>
        </w:tc>
        <w:tc>
          <w:tcPr>
            <w:tcW w:w="1417" w:type="dxa"/>
          </w:tcPr>
          <w:p w14:paraId="3D552FC0"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50-100%</w:t>
            </w:r>
          </w:p>
        </w:tc>
        <w:tc>
          <w:tcPr>
            <w:tcW w:w="1544" w:type="dxa"/>
            <w:vMerge/>
          </w:tcPr>
          <w:p w14:paraId="0815A435"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i/>
                <w:sz w:val="18"/>
                <w:szCs w:val="18"/>
              </w:rPr>
            </w:pPr>
          </w:p>
        </w:tc>
      </w:tr>
      <w:tr w:rsidR="00376F11" w:rsidRPr="002D3BB7" w14:paraId="42A45621" w14:textId="77777777" w:rsidTr="002D3BB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498" w:type="dxa"/>
            <w:gridSpan w:val="5"/>
          </w:tcPr>
          <w:p w14:paraId="3090D56D" w14:textId="03D2D6DF" w:rsidR="00376F11" w:rsidRPr="002D3BB7" w:rsidRDefault="00376F11" w:rsidP="006458E0">
            <w:pPr>
              <w:rPr>
                <w:b w:val="0"/>
                <w:sz w:val="18"/>
                <w:szCs w:val="18"/>
              </w:rPr>
            </w:pPr>
            <w:r w:rsidRPr="002D3BB7">
              <w:rPr>
                <w:b w:val="0"/>
                <w:sz w:val="18"/>
                <w:szCs w:val="18"/>
              </w:rPr>
              <w:t>All the CF mod</w:t>
            </w:r>
            <w:r w:rsidR="00655BBB">
              <w:rPr>
                <w:b w:val="0"/>
                <w:sz w:val="18"/>
                <w:szCs w:val="18"/>
              </w:rPr>
              <w:t>el</w:t>
            </w:r>
            <w:r w:rsidRPr="002D3BB7">
              <w:rPr>
                <w:b w:val="0"/>
                <w:sz w:val="18"/>
                <w:szCs w:val="18"/>
              </w:rPr>
              <w:t xml:space="preserve"> parameters (</w:t>
            </w:r>
            <w:r w:rsidR="00FA1EC9" w:rsidRPr="002D3BB7">
              <w:rPr>
                <w:sz w:val="18"/>
                <w:szCs w:val="18"/>
              </w:rPr>
              <w:fldChar w:fldCharType="begin"/>
            </w:r>
            <w:r w:rsidR="00FA1EC9" w:rsidRPr="002D3BB7">
              <w:rPr>
                <w:b w:val="0"/>
                <w:sz w:val="18"/>
                <w:szCs w:val="18"/>
              </w:rPr>
              <w:instrText xml:space="preserve"> REF _Ref144744215 \h </w:instrText>
            </w:r>
            <w:r w:rsidR="002D3BB7" w:rsidRPr="002D3BB7">
              <w:rPr>
                <w:sz w:val="18"/>
                <w:szCs w:val="18"/>
              </w:rPr>
              <w:instrText xml:space="preserve"> \* MERGEFORMAT </w:instrText>
            </w:r>
            <w:r w:rsidR="00FA1EC9" w:rsidRPr="002D3BB7">
              <w:rPr>
                <w:sz w:val="18"/>
                <w:szCs w:val="18"/>
              </w:rPr>
            </w:r>
            <w:r w:rsidR="00FA1EC9" w:rsidRPr="002D3BB7">
              <w:rPr>
                <w:sz w:val="18"/>
                <w:szCs w:val="18"/>
              </w:rPr>
              <w:fldChar w:fldCharType="separate"/>
            </w:r>
            <w:r w:rsidR="00F25F8C" w:rsidRPr="002D3BB7">
              <w:rPr>
                <w:sz w:val="18"/>
                <w:szCs w:val="18"/>
              </w:rPr>
              <w:t xml:space="preserve">Table SI. </w:t>
            </w:r>
            <w:r w:rsidR="00F25F8C" w:rsidRPr="002D3BB7">
              <w:rPr>
                <w:noProof/>
                <w:sz w:val="18"/>
                <w:szCs w:val="18"/>
              </w:rPr>
              <w:t>24</w:t>
            </w:r>
            <w:r w:rsidR="00FA1EC9" w:rsidRPr="002D3BB7">
              <w:rPr>
                <w:sz w:val="18"/>
                <w:szCs w:val="18"/>
              </w:rPr>
              <w:fldChar w:fldCharType="end"/>
            </w:r>
            <w:r w:rsidRPr="002D3BB7">
              <w:rPr>
                <w:b w:val="0"/>
                <w:sz w:val="18"/>
                <w:szCs w:val="18"/>
              </w:rPr>
              <w:t>) are also included in the SSF mode</w:t>
            </w:r>
            <w:r w:rsidR="00655BBB">
              <w:rPr>
                <w:b w:val="0"/>
                <w:sz w:val="18"/>
                <w:szCs w:val="18"/>
              </w:rPr>
              <w:t>l</w:t>
            </w:r>
          </w:p>
        </w:tc>
        <w:tc>
          <w:tcPr>
            <w:tcW w:w="1544" w:type="dxa"/>
            <w:vMerge/>
          </w:tcPr>
          <w:p w14:paraId="3F58899E"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i/>
                <w:sz w:val="18"/>
                <w:szCs w:val="18"/>
              </w:rPr>
            </w:pPr>
          </w:p>
        </w:tc>
      </w:tr>
      <w:tr w:rsidR="00376F11" w:rsidRPr="002D3BB7" w14:paraId="1C8C2B01" w14:textId="77777777" w:rsidTr="002D3BB7">
        <w:trPr>
          <w:jc w:val="center"/>
        </w:trPr>
        <w:tc>
          <w:tcPr>
            <w:cnfStyle w:val="001000000000" w:firstRow="0" w:lastRow="0" w:firstColumn="1" w:lastColumn="0" w:oddVBand="0" w:evenVBand="0" w:oddHBand="0" w:evenHBand="0" w:firstRowFirstColumn="0" w:firstRowLastColumn="0" w:lastRowFirstColumn="0" w:lastRowLastColumn="0"/>
            <w:tcW w:w="978" w:type="dxa"/>
          </w:tcPr>
          <w:p w14:paraId="358900C3" w14:textId="77777777" w:rsidR="00376F11" w:rsidRPr="002D3BB7" w:rsidRDefault="00376F11" w:rsidP="006458E0">
            <w:pPr>
              <w:rPr>
                <w:sz w:val="18"/>
                <w:szCs w:val="18"/>
              </w:rPr>
            </w:pPr>
            <w:r w:rsidRPr="002D3BB7">
              <w:rPr>
                <w:sz w:val="18"/>
                <w:szCs w:val="18"/>
              </w:rPr>
              <w:t>62</w:t>
            </w:r>
          </w:p>
        </w:tc>
        <w:tc>
          <w:tcPr>
            <w:tcW w:w="2551" w:type="dxa"/>
          </w:tcPr>
          <w:p w14:paraId="63EF0B56" w14:textId="77777777" w:rsidR="00376F11" w:rsidRPr="002D3BB7" w:rsidRDefault="00376F11"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SSF digestibility enhancement: agrifood co-products</w:t>
            </w:r>
          </w:p>
        </w:tc>
        <w:tc>
          <w:tcPr>
            <w:tcW w:w="1134" w:type="dxa"/>
          </w:tcPr>
          <w:p w14:paraId="6492BB8E"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w:t>
            </w:r>
            <w:r w:rsidRPr="002D3BB7">
              <w:rPr>
                <w:sz w:val="18"/>
                <w:szCs w:val="18"/>
                <w:vertAlign w:val="subscript"/>
              </w:rPr>
              <w:t>OMdigestibility</w:t>
            </w:r>
          </w:p>
        </w:tc>
        <w:tc>
          <w:tcPr>
            <w:tcW w:w="1418" w:type="dxa"/>
          </w:tcPr>
          <w:p w14:paraId="6C322434"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15%</w:t>
            </w:r>
          </w:p>
        </w:tc>
        <w:tc>
          <w:tcPr>
            <w:tcW w:w="1417" w:type="dxa"/>
          </w:tcPr>
          <w:p w14:paraId="5AA3D520"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(-10)-20%</w:t>
            </w:r>
          </w:p>
        </w:tc>
        <w:tc>
          <w:tcPr>
            <w:tcW w:w="1544" w:type="dxa"/>
            <w:vMerge/>
          </w:tcPr>
          <w:p w14:paraId="5A341EBD"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i/>
                <w:sz w:val="18"/>
                <w:szCs w:val="18"/>
              </w:rPr>
            </w:pPr>
          </w:p>
        </w:tc>
      </w:tr>
      <w:tr w:rsidR="00376F11" w:rsidRPr="002D3BB7" w14:paraId="0C2913C4" w14:textId="77777777" w:rsidTr="002D3BB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78" w:type="dxa"/>
          </w:tcPr>
          <w:p w14:paraId="485A7FE2" w14:textId="77777777" w:rsidR="00376F11" w:rsidRPr="002D3BB7" w:rsidRDefault="00376F11" w:rsidP="006458E0">
            <w:pPr>
              <w:rPr>
                <w:sz w:val="18"/>
                <w:szCs w:val="18"/>
              </w:rPr>
            </w:pPr>
            <w:r w:rsidRPr="002D3BB7">
              <w:rPr>
                <w:sz w:val="18"/>
                <w:szCs w:val="18"/>
              </w:rPr>
              <w:t>63</w:t>
            </w:r>
          </w:p>
        </w:tc>
        <w:tc>
          <w:tcPr>
            <w:tcW w:w="2551" w:type="dxa"/>
          </w:tcPr>
          <w:p w14:paraId="52E8D59F" w14:textId="77777777" w:rsidR="00376F11" w:rsidRPr="002D3BB7" w:rsidRDefault="00376F11"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SSF digestibility enhancement: crop residues</w:t>
            </w:r>
          </w:p>
        </w:tc>
        <w:tc>
          <w:tcPr>
            <w:tcW w:w="1134" w:type="dxa"/>
          </w:tcPr>
          <w:p w14:paraId="49580A68"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w:t>
            </w:r>
            <w:r w:rsidRPr="002D3BB7">
              <w:rPr>
                <w:sz w:val="18"/>
                <w:szCs w:val="18"/>
                <w:vertAlign w:val="subscript"/>
              </w:rPr>
              <w:t>OMdigestibility</w:t>
            </w:r>
          </w:p>
        </w:tc>
        <w:tc>
          <w:tcPr>
            <w:tcW w:w="1418" w:type="dxa"/>
          </w:tcPr>
          <w:p w14:paraId="519402DC"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20%</w:t>
            </w:r>
          </w:p>
        </w:tc>
        <w:tc>
          <w:tcPr>
            <w:tcW w:w="1417" w:type="dxa"/>
          </w:tcPr>
          <w:p w14:paraId="363E8BE9"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0-35%</w:t>
            </w:r>
          </w:p>
        </w:tc>
        <w:tc>
          <w:tcPr>
            <w:tcW w:w="1544" w:type="dxa"/>
            <w:vMerge/>
          </w:tcPr>
          <w:p w14:paraId="188A4941"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i/>
                <w:sz w:val="18"/>
                <w:szCs w:val="18"/>
              </w:rPr>
            </w:pPr>
          </w:p>
        </w:tc>
      </w:tr>
    </w:tbl>
    <w:p w14:paraId="1EE7EED1" w14:textId="5B61CA57" w:rsidR="00376F11" w:rsidRPr="003F5DA8" w:rsidRDefault="00376F11" w:rsidP="006B5342">
      <w:pPr>
        <w:jc w:val="both"/>
        <w:rPr>
          <w:sz w:val="18"/>
        </w:rPr>
      </w:pPr>
      <w:r w:rsidRPr="003F5DA8">
        <w:rPr>
          <w:sz w:val="18"/>
        </w:rPr>
        <w:t xml:space="preserve">Numbering of parameters corresponds to the one </w:t>
      </w:r>
      <w:r>
        <w:rPr>
          <w:sz w:val="18"/>
        </w:rPr>
        <w:t xml:space="preserve">of </w:t>
      </w:r>
      <w:r w:rsidR="00877BEE" w:rsidRPr="002D3BB7">
        <w:rPr>
          <w:b/>
          <w:sz w:val="18"/>
          <w:szCs w:val="18"/>
        </w:rPr>
        <w:fldChar w:fldCharType="begin"/>
      </w:r>
      <w:r w:rsidR="00877BEE" w:rsidRPr="002D3BB7">
        <w:rPr>
          <w:b/>
          <w:sz w:val="18"/>
          <w:szCs w:val="18"/>
        </w:rPr>
        <w:instrText xml:space="preserve"> REF _Ref144914839 \h  \* MERGEFORMAT </w:instrText>
      </w:r>
      <w:r w:rsidR="00877BEE" w:rsidRPr="002D3BB7">
        <w:rPr>
          <w:b/>
          <w:sz w:val="18"/>
          <w:szCs w:val="18"/>
        </w:rPr>
      </w:r>
      <w:r w:rsidR="00877BEE" w:rsidRPr="002D3BB7">
        <w:rPr>
          <w:b/>
          <w:sz w:val="18"/>
          <w:szCs w:val="18"/>
        </w:rPr>
        <w:fldChar w:fldCharType="separate"/>
      </w:r>
      <w:r w:rsidR="00877BEE" w:rsidRPr="002D3BB7">
        <w:rPr>
          <w:b/>
          <w:sz w:val="18"/>
          <w:szCs w:val="18"/>
        </w:rPr>
        <w:t xml:space="preserve">Table SI. </w:t>
      </w:r>
      <w:r w:rsidR="00877BEE" w:rsidRPr="002D3BB7">
        <w:rPr>
          <w:b/>
          <w:noProof/>
          <w:sz w:val="18"/>
          <w:szCs w:val="18"/>
        </w:rPr>
        <w:t>103</w:t>
      </w:r>
      <w:r w:rsidR="00877BEE" w:rsidRPr="002D3BB7">
        <w:rPr>
          <w:b/>
          <w:sz w:val="18"/>
          <w:szCs w:val="18"/>
        </w:rPr>
        <w:fldChar w:fldCharType="end"/>
      </w:r>
      <w:r w:rsidRPr="002D3BB7">
        <w:rPr>
          <w:sz w:val="18"/>
        </w:rPr>
        <w:t xml:space="preserve">. </w:t>
      </w:r>
      <w:r w:rsidRPr="003F5DA8">
        <w:rPr>
          <w:sz w:val="18"/>
        </w:rPr>
        <w:t xml:space="preserve">Parameters specific to </w:t>
      </w:r>
      <w:r>
        <w:rPr>
          <w:sz w:val="18"/>
        </w:rPr>
        <w:t>SS</w:t>
      </w:r>
      <w:r w:rsidRPr="003F5DA8">
        <w:rPr>
          <w:sz w:val="18"/>
        </w:rPr>
        <w:t>F model but not mentioned in this table were assumed as constants. Transportation requirements in</w:t>
      </w:r>
      <w:r w:rsidR="00A11CA6">
        <w:rPr>
          <w:sz w:val="18"/>
        </w:rPr>
        <w:t xml:space="preserve"> </w:t>
      </w:r>
      <w:r w:rsidR="00A11CA6" w:rsidRPr="00A11CA6">
        <w:rPr>
          <w:b/>
          <w:sz w:val="18"/>
          <w:szCs w:val="18"/>
        </w:rPr>
        <w:fldChar w:fldCharType="begin"/>
      </w:r>
      <w:r w:rsidR="00A11CA6" w:rsidRPr="00A11CA6">
        <w:rPr>
          <w:b/>
          <w:sz w:val="18"/>
          <w:szCs w:val="18"/>
        </w:rPr>
        <w:instrText xml:space="preserve"> REF _Ref144738047 \h  \* MERGEFORMAT </w:instrText>
      </w:r>
      <w:r w:rsidR="00A11CA6" w:rsidRPr="00A11CA6">
        <w:rPr>
          <w:b/>
          <w:sz w:val="18"/>
          <w:szCs w:val="18"/>
        </w:rPr>
      </w:r>
      <w:r w:rsidR="00A11CA6" w:rsidRPr="00A11CA6">
        <w:rPr>
          <w:b/>
          <w:sz w:val="18"/>
          <w:szCs w:val="18"/>
        </w:rPr>
        <w:fldChar w:fldCharType="separate"/>
      </w:r>
      <w:r w:rsidR="00F25F8C" w:rsidRPr="00F25F8C">
        <w:rPr>
          <w:b/>
          <w:sz w:val="18"/>
          <w:szCs w:val="18"/>
        </w:rPr>
        <w:t xml:space="preserve">Table SI. </w:t>
      </w:r>
      <w:r w:rsidR="00F25F8C" w:rsidRPr="00F25F8C">
        <w:rPr>
          <w:b/>
          <w:noProof/>
          <w:sz w:val="18"/>
          <w:szCs w:val="18"/>
        </w:rPr>
        <w:t>15</w:t>
      </w:r>
      <w:r w:rsidR="00A11CA6" w:rsidRPr="00A11CA6">
        <w:rPr>
          <w:b/>
          <w:sz w:val="18"/>
          <w:szCs w:val="18"/>
        </w:rPr>
        <w:fldChar w:fldCharType="end"/>
      </w:r>
      <w:r w:rsidRPr="003F5DA8">
        <w:rPr>
          <w:sz w:val="18"/>
        </w:rPr>
        <w:t>.</w:t>
      </w:r>
    </w:p>
    <w:p w14:paraId="163D1259" w14:textId="4B441308" w:rsidR="00376F11" w:rsidRDefault="00376F11" w:rsidP="00A11CA6">
      <w:pPr>
        <w:jc w:val="both"/>
      </w:pPr>
      <w:r w:rsidRPr="003F5DA8">
        <w:t>The background processes used specific</w:t>
      </w:r>
      <w:r w:rsidR="002D3BB7">
        <w:t xml:space="preserve">ally for </w:t>
      </w:r>
      <w:r w:rsidRPr="003F5DA8">
        <w:t xml:space="preserve">this </w:t>
      </w:r>
      <w:r w:rsidR="002D3BB7">
        <w:t xml:space="preserve">LCI </w:t>
      </w:r>
      <w:r w:rsidRPr="003F5DA8">
        <w:t>model are gathered in</w:t>
      </w:r>
      <w:r w:rsidR="00A11CA6">
        <w:t xml:space="preserve"> </w:t>
      </w:r>
      <w:r w:rsidR="00A11CA6" w:rsidRPr="00A11CA6">
        <w:rPr>
          <w:b/>
        </w:rPr>
        <w:fldChar w:fldCharType="begin"/>
      </w:r>
      <w:r w:rsidR="00A11CA6" w:rsidRPr="00A11CA6">
        <w:rPr>
          <w:b/>
        </w:rPr>
        <w:instrText xml:space="preserve"> REF _Ref144802472 \h </w:instrText>
      </w:r>
      <w:r w:rsidR="00A11CA6">
        <w:rPr>
          <w:b/>
        </w:rPr>
        <w:instrText xml:space="preserve"> \* MERGEFORMAT </w:instrText>
      </w:r>
      <w:r w:rsidR="00A11CA6" w:rsidRPr="00A11CA6">
        <w:rPr>
          <w:b/>
        </w:rPr>
      </w:r>
      <w:r w:rsidR="00A11CA6" w:rsidRPr="00A11CA6">
        <w:rPr>
          <w:b/>
        </w:rPr>
        <w:fldChar w:fldCharType="separate"/>
      </w:r>
      <w:r w:rsidR="00F25F8C" w:rsidRPr="00F25F8C">
        <w:rPr>
          <w:b/>
        </w:rPr>
        <w:t xml:space="preserve">Table SI. </w:t>
      </w:r>
      <w:r w:rsidR="00F25F8C" w:rsidRPr="00F25F8C">
        <w:rPr>
          <w:b/>
          <w:noProof/>
        </w:rPr>
        <w:t>27</w:t>
      </w:r>
      <w:r w:rsidR="00A11CA6" w:rsidRPr="00A11CA6">
        <w:rPr>
          <w:b/>
        </w:rPr>
        <w:fldChar w:fldCharType="end"/>
      </w:r>
      <w:r w:rsidRPr="003F5DA8">
        <w:t>.</w:t>
      </w:r>
    </w:p>
    <w:p w14:paraId="3FF59E99" w14:textId="11F0989C" w:rsidR="00376F11" w:rsidRPr="00B515B9" w:rsidRDefault="00874128" w:rsidP="006B5342">
      <w:pPr>
        <w:pStyle w:val="Lgende"/>
        <w:jc w:val="left"/>
      </w:pPr>
      <w:bookmarkStart w:id="132" w:name="_Ref144802472"/>
      <w:bookmarkStart w:id="133" w:name="_Toc134537601"/>
      <w:bookmarkStart w:id="134" w:name="_Toc151967911"/>
      <w:r>
        <w:t>Table SI.</w:t>
      </w:r>
      <w:r w:rsidR="00376F11">
        <w:t xml:space="preserve"> </w:t>
      </w:r>
      <w:r>
        <w:fldChar w:fldCharType="begin"/>
      </w:r>
      <w:r>
        <w:instrText xml:space="preserve"> SEQ Table_SI. \* ARABIC </w:instrText>
      </w:r>
      <w:r>
        <w:fldChar w:fldCharType="separate"/>
      </w:r>
      <w:r w:rsidR="00F25F8C">
        <w:rPr>
          <w:noProof/>
        </w:rPr>
        <w:t>27</w:t>
      </w:r>
      <w:r>
        <w:fldChar w:fldCharType="end"/>
      </w:r>
      <w:bookmarkEnd w:id="132"/>
      <w:r w:rsidR="00376F11">
        <w:t xml:space="preserve"> </w:t>
      </w:r>
      <w:r w:rsidR="00376F11" w:rsidRPr="00B515B9">
        <w:t>– Background processes used specifically for SSF pathways</w:t>
      </w:r>
      <w:bookmarkEnd w:id="133"/>
      <w:bookmarkEnd w:id="134"/>
    </w:p>
    <w:tbl>
      <w:tblPr>
        <w:tblStyle w:val="Tableausimple2"/>
        <w:tblW w:w="0" w:type="auto"/>
        <w:jc w:val="center"/>
        <w:tblLook w:val="04A0" w:firstRow="1" w:lastRow="0" w:firstColumn="1" w:lastColumn="0" w:noHBand="0" w:noVBand="1"/>
      </w:tblPr>
      <w:tblGrid>
        <w:gridCol w:w="3760"/>
        <w:gridCol w:w="1268"/>
        <w:gridCol w:w="4044"/>
      </w:tblGrid>
      <w:tr w:rsidR="00376F11" w:rsidRPr="002D3BB7" w14:paraId="2A2368D5" w14:textId="77777777" w:rsidTr="002D3BB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4CD22B3F" w14:textId="77777777" w:rsidR="00376F11" w:rsidRPr="002D3BB7" w:rsidRDefault="00376F11" w:rsidP="006458E0">
            <w:pPr>
              <w:jc w:val="right"/>
              <w:rPr>
                <w:sz w:val="18"/>
                <w:szCs w:val="18"/>
              </w:rPr>
            </w:pPr>
            <w:r w:rsidRPr="002D3BB7">
              <w:rPr>
                <w:sz w:val="18"/>
                <w:szCs w:val="18"/>
              </w:rPr>
              <w:t>Background process</w:t>
            </w:r>
          </w:p>
        </w:tc>
        <w:tc>
          <w:tcPr>
            <w:tcW w:w="0" w:type="auto"/>
          </w:tcPr>
          <w:p w14:paraId="35D1FDA8" w14:textId="77777777" w:rsidR="00376F11" w:rsidRPr="002D3BB7" w:rsidRDefault="00376F11" w:rsidP="006458E0">
            <w:pPr>
              <w:cnfStyle w:val="100000000000" w:firstRow="1" w:lastRow="0" w:firstColumn="0" w:lastColumn="0" w:oddVBand="0" w:evenVBand="0" w:oddHBand="0" w:evenHBand="0" w:firstRowFirstColumn="0" w:firstRowLastColumn="0" w:lastRowFirstColumn="0" w:lastRowLastColumn="0"/>
              <w:rPr>
                <w:sz w:val="18"/>
                <w:szCs w:val="18"/>
              </w:rPr>
            </w:pPr>
            <w:r w:rsidRPr="002D3BB7">
              <w:rPr>
                <w:sz w:val="18"/>
                <w:szCs w:val="18"/>
              </w:rPr>
              <w:t>Unit operation</w:t>
            </w:r>
          </w:p>
        </w:tc>
        <w:tc>
          <w:tcPr>
            <w:tcW w:w="0" w:type="auto"/>
          </w:tcPr>
          <w:p w14:paraId="53FCF3D7" w14:textId="77777777" w:rsidR="00376F11" w:rsidRPr="002D3BB7" w:rsidRDefault="00376F11" w:rsidP="00E9442B">
            <w:pPr>
              <w:cnfStyle w:val="100000000000" w:firstRow="1" w:lastRow="0" w:firstColumn="0" w:lastColumn="0" w:oddVBand="0" w:evenVBand="0" w:oddHBand="0" w:evenHBand="0" w:firstRowFirstColumn="0" w:firstRowLastColumn="0" w:lastRowFirstColumn="0" w:lastRowLastColumn="0"/>
              <w:rPr>
                <w:i/>
                <w:sz w:val="18"/>
                <w:szCs w:val="18"/>
              </w:rPr>
            </w:pPr>
            <w:r w:rsidRPr="002D3BB7">
              <w:rPr>
                <w:i/>
                <w:sz w:val="18"/>
                <w:szCs w:val="18"/>
              </w:rPr>
              <w:t>Comment</w:t>
            </w:r>
          </w:p>
        </w:tc>
      </w:tr>
      <w:tr w:rsidR="00376F11" w:rsidRPr="002D3BB7" w14:paraId="046BA480" w14:textId="77777777" w:rsidTr="002D3BB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2B79722C" w14:textId="77777777" w:rsidR="00376F11" w:rsidRPr="002D3BB7" w:rsidRDefault="00376F11" w:rsidP="006458E0">
            <w:pPr>
              <w:jc w:val="right"/>
              <w:rPr>
                <w:b w:val="0"/>
                <w:sz w:val="18"/>
                <w:szCs w:val="18"/>
              </w:rPr>
            </w:pPr>
            <w:r w:rsidRPr="002D3BB7">
              <w:rPr>
                <w:b w:val="0"/>
                <w:sz w:val="18"/>
                <w:szCs w:val="18"/>
              </w:rPr>
              <w:t>Market for tap water, CH</w:t>
            </w:r>
          </w:p>
        </w:tc>
        <w:tc>
          <w:tcPr>
            <w:tcW w:w="0" w:type="auto"/>
          </w:tcPr>
          <w:p w14:paraId="6D1DBDB3"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where required</w:t>
            </w:r>
          </w:p>
        </w:tc>
        <w:tc>
          <w:tcPr>
            <w:tcW w:w="0" w:type="auto"/>
          </w:tcPr>
          <w:p w14:paraId="29037351" w14:textId="77777777" w:rsidR="00376F11" w:rsidRPr="002D3BB7" w:rsidRDefault="00376F11" w:rsidP="006458E0">
            <w:pPr>
              <w:jc w:val="both"/>
              <w:cnfStyle w:val="000000100000" w:firstRow="0" w:lastRow="0" w:firstColumn="0" w:lastColumn="0" w:oddVBand="0" w:evenVBand="0" w:oddHBand="1" w:evenHBand="0" w:firstRowFirstColumn="0" w:firstRowLastColumn="0" w:lastRowFirstColumn="0" w:lastRowLastColumn="0"/>
              <w:rPr>
                <w:i/>
                <w:sz w:val="18"/>
                <w:szCs w:val="18"/>
              </w:rPr>
            </w:pPr>
            <w:r w:rsidRPr="002D3BB7">
              <w:rPr>
                <w:i/>
                <w:sz w:val="18"/>
                <w:szCs w:val="18"/>
              </w:rPr>
              <w:t>Meet SSF moisture, sterilization and spawn production requirements</w:t>
            </w:r>
          </w:p>
        </w:tc>
      </w:tr>
      <w:tr w:rsidR="00376F11" w:rsidRPr="002D3BB7" w14:paraId="286231C3" w14:textId="77777777" w:rsidTr="002D3BB7">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30926D36" w14:textId="77777777" w:rsidR="00376F11" w:rsidRPr="002D3BB7" w:rsidRDefault="00376F11" w:rsidP="006458E0">
            <w:pPr>
              <w:jc w:val="right"/>
              <w:rPr>
                <w:b w:val="0"/>
                <w:sz w:val="18"/>
                <w:szCs w:val="18"/>
              </w:rPr>
            </w:pPr>
            <w:r w:rsidRPr="002D3BB7">
              <w:rPr>
                <w:b w:val="0"/>
                <w:sz w:val="18"/>
                <w:szCs w:val="18"/>
              </w:rPr>
              <w:t>Market for compressed air production, 600 kPa gauge, &gt;30kW, optimized generation, RER</w:t>
            </w:r>
          </w:p>
        </w:tc>
        <w:tc>
          <w:tcPr>
            <w:tcW w:w="0" w:type="auto"/>
          </w:tcPr>
          <w:p w14:paraId="7C74789F"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SSF</w:t>
            </w:r>
          </w:p>
        </w:tc>
        <w:tc>
          <w:tcPr>
            <w:tcW w:w="0" w:type="auto"/>
          </w:tcPr>
          <w:p w14:paraId="1B445AF5" w14:textId="77777777" w:rsidR="00376F11" w:rsidRPr="002D3BB7" w:rsidRDefault="00376F11" w:rsidP="006458E0">
            <w:pPr>
              <w:jc w:val="both"/>
              <w:cnfStyle w:val="000000000000" w:firstRow="0" w:lastRow="0" w:firstColumn="0" w:lastColumn="0" w:oddVBand="0" w:evenVBand="0" w:oddHBand="0" w:evenHBand="0" w:firstRowFirstColumn="0" w:firstRowLastColumn="0" w:lastRowFirstColumn="0" w:lastRowLastColumn="0"/>
              <w:rPr>
                <w:i/>
                <w:sz w:val="18"/>
                <w:szCs w:val="18"/>
              </w:rPr>
            </w:pPr>
            <w:r w:rsidRPr="002D3BB7">
              <w:rPr>
                <w:i/>
                <w:sz w:val="18"/>
                <w:szCs w:val="18"/>
              </w:rPr>
              <w:t>Proxy of air blowing, background electricity replaced by the marginal mix of this study</w:t>
            </w:r>
          </w:p>
        </w:tc>
      </w:tr>
      <w:tr w:rsidR="00376F11" w:rsidRPr="002D3BB7" w14:paraId="4131F8E9" w14:textId="77777777" w:rsidTr="002D3BB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5A1BC7A0" w14:textId="77777777" w:rsidR="00376F11" w:rsidRPr="002D3BB7" w:rsidRDefault="00376F11" w:rsidP="006458E0">
            <w:pPr>
              <w:jc w:val="right"/>
              <w:rPr>
                <w:b w:val="0"/>
                <w:sz w:val="18"/>
                <w:szCs w:val="18"/>
              </w:rPr>
            </w:pPr>
            <w:r w:rsidRPr="002D3BB7">
              <w:rPr>
                <w:b w:val="0"/>
                <w:sz w:val="18"/>
                <w:szCs w:val="18"/>
              </w:rPr>
              <w:t>Market for lime, RER</w:t>
            </w:r>
          </w:p>
        </w:tc>
        <w:tc>
          <w:tcPr>
            <w:tcW w:w="0" w:type="auto"/>
          </w:tcPr>
          <w:p w14:paraId="76C63165" w14:textId="77777777" w:rsidR="00376F11" w:rsidRPr="002D3BB7" w:rsidRDefault="00376F11" w:rsidP="006458E0">
            <w:pPr>
              <w:cnfStyle w:val="000000100000" w:firstRow="0" w:lastRow="0" w:firstColumn="0" w:lastColumn="0" w:oddVBand="0" w:evenVBand="0" w:oddHBand="1" w:evenHBand="0" w:firstRowFirstColumn="0" w:firstRowLastColumn="0" w:lastRowFirstColumn="0" w:lastRowLastColumn="0"/>
              <w:rPr>
                <w:sz w:val="18"/>
                <w:szCs w:val="18"/>
              </w:rPr>
            </w:pPr>
            <w:r w:rsidRPr="002D3BB7">
              <w:rPr>
                <w:sz w:val="18"/>
                <w:szCs w:val="18"/>
              </w:rPr>
              <w:t>Spawn production</w:t>
            </w:r>
          </w:p>
        </w:tc>
        <w:tc>
          <w:tcPr>
            <w:tcW w:w="0" w:type="auto"/>
          </w:tcPr>
          <w:p w14:paraId="2C61DB97" w14:textId="77777777" w:rsidR="00376F11" w:rsidRPr="002D3BB7" w:rsidRDefault="00376F11" w:rsidP="006458E0">
            <w:pPr>
              <w:jc w:val="both"/>
              <w:cnfStyle w:val="000000100000" w:firstRow="0" w:lastRow="0" w:firstColumn="0" w:lastColumn="0" w:oddVBand="0" w:evenVBand="0" w:oddHBand="1" w:evenHBand="0" w:firstRowFirstColumn="0" w:firstRowLastColumn="0" w:lastRowFirstColumn="0" w:lastRowLastColumn="0"/>
              <w:rPr>
                <w:i/>
                <w:sz w:val="18"/>
                <w:szCs w:val="18"/>
              </w:rPr>
            </w:pPr>
            <w:r w:rsidRPr="002D3BB7">
              <w:rPr>
                <w:i/>
                <w:sz w:val="18"/>
                <w:szCs w:val="18"/>
              </w:rPr>
              <w:t>Part of the spawn substrate</w:t>
            </w:r>
          </w:p>
        </w:tc>
      </w:tr>
      <w:tr w:rsidR="00376F11" w:rsidRPr="002D3BB7" w14:paraId="6E98645C" w14:textId="77777777" w:rsidTr="002D3BB7">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3526E04E" w14:textId="77777777" w:rsidR="00376F11" w:rsidRPr="002D3BB7" w:rsidRDefault="00376F11" w:rsidP="006458E0">
            <w:pPr>
              <w:jc w:val="right"/>
              <w:rPr>
                <w:b w:val="0"/>
                <w:sz w:val="18"/>
                <w:szCs w:val="18"/>
              </w:rPr>
            </w:pPr>
            <w:r w:rsidRPr="002D3BB7">
              <w:rPr>
                <w:b w:val="0"/>
                <w:sz w:val="18"/>
                <w:szCs w:val="18"/>
              </w:rPr>
              <w:t>Ethanol fermentation plant construction, CH</w:t>
            </w:r>
          </w:p>
        </w:tc>
        <w:tc>
          <w:tcPr>
            <w:tcW w:w="0" w:type="auto"/>
          </w:tcPr>
          <w:p w14:paraId="2F77EC20" w14:textId="77777777" w:rsidR="00376F11" w:rsidRPr="002D3BB7" w:rsidRDefault="00376F11" w:rsidP="006458E0">
            <w:pPr>
              <w:cnfStyle w:val="000000000000" w:firstRow="0" w:lastRow="0" w:firstColumn="0" w:lastColumn="0" w:oddVBand="0" w:evenVBand="0" w:oddHBand="0" w:evenHBand="0" w:firstRowFirstColumn="0" w:firstRowLastColumn="0" w:lastRowFirstColumn="0" w:lastRowLastColumn="0"/>
              <w:rPr>
                <w:sz w:val="18"/>
                <w:szCs w:val="18"/>
              </w:rPr>
            </w:pPr>
            <w:r w:rsidRPr="002D3BB7">
              <w:rPr>
                <w:sz w:val="18"/>
                <w:szCs w:val="18"/>
              </w:rPr>
              <w:t>n.a.</w:t>
            </w:r>
          </w:p>
        </w:tc>
        <w:tc>
          <w:tcPr>
            <w:tcW w:w="0" w:type="auto"/>
          </w:tcPr>
          <w:p w14:paraId="26AA4EA9" w14:textId="77777777" w:rsidR="00376F11" w:rsidRPr="002D3BB7" w:rsidRDefault="00376F11" w:rsidP="006458E0">
            <w:pPr>
              <w:jc w:val="both"/>
              <w:cnfStyle w:val="000000000000" w:firstRow="0" w:lastRow="0" w:firstColumn="0" w:lastColumn="0" w:oddVBand="0" w:evenVBand="0" w:oddHBand="0" w:evenHBand="0" w:firstRowFirstColumn="0" w:firstRowLastColumn="0" w:lastRowFirstColumn="0" w:lastRowLastColumn="0"/>
              <w:rPr>
                <w:i/>
                <w:sz w:val="18"/>
                <w:szCs w:val="18"/>
              </w:rPr>
            </w:pPr>
            <w:r w:rsidRPr="002D3BB7">
              <w:rPr>
                <w:i/>
                <w:sz w:val="18"/>
                <w:szCs w:val="18"/>
              </w:rPr>
              <w:t>Proxy of the SSF facility, considering same plant production and lifetime, output weight equivalent.</w:t>
            </w:r>
          </w:p>
        </w:tc>
      </w:tr>
    </w:tbl>
    <w:p w14:paraId="674F1BC0" w14:textId="47F1EA9E" w:rsidR="00376F11" w:rsidRPr="003F5DA8" w:rsidRDefault="00376F11" w:rsidP="006B5342">
      <w:pPr>
        <w:jc w:val="both"/>
        <w:rPr>
          <w:sz w:val="18"/>
        </w:rPr>
      </w:pPr>
      <w:r w:rsidRPr="003F5DA8">
        <w:rPr>
          <w:sz w:val="18"/>
        </w:rPr>
        <w:t xml:space="preserve">All processes are from the ecoinvent 3.8 consequential database. Direct flows to biosphere are displayed in </w:t>
      </w:r>
      <w:r w:rsidR="002D3BB7" w:rsidRPr="002D3BB7">
        <w:rPr>
          <w:i/>
          <w:sz w:val="18"/>
        </w:rPr>
        <w:t>B.</w:t>
      </w:r>
      <w:r w:rsidR="002D3BB7">
        <w:rPr>
          <w:i/>
          <w:sz w:val="18"/>
        </w:rPr>
        <w:t>SS</w:t>
      </w:r>
      <w:r w:rsidR="002D3BB7" w:rsidRPr="002D3BB7">
        <w:rPr>
          <w:i/>
          <w:sz w:val="18"/>
        </w:rPr>
        <w:t>F_module spreadsheet.</w:t>
      </w:r>
    </w:p>
    <w:p w14:paraId="60E8782E" w14:textId="4A6C78A0" w:rsidR="00981F01" w:rsidRDefault="00376F11" w:rsidP="00376F11">
      <w:pPr>
        <w:jc w:val="both"/>
      </w:pPr>
      <w:r w:rsidRPr="003F5DA8">
        <w:t>Background processes and technology parameters associated with transversal unit operations between many mode</w:t>
      </w:r>
      <w:r w:rsidR="00655BBB">
        <w:t>l</w:t>
      </w:r>
      <w:r w:rsidRPr="003F5DA8">
        <w:t xml:space="preserve">s (e.g. pretreatments, transportation, etc.) </w:t>
      </w:r>
      <w:r w:rsidR="00A11CA6">
        <w:t>were</w:t>
      </w:r>
      <w:r w:rsidRPr="003F5DA8">
        <w:t xml:space="preserve"> displayed in the </w:t>
      </w:r>
      <w:r w:rsidRPr="00B825DA">
        <w:t>common</w:t>
      </w:r>
      <w:r w:rsidR="00A11CA6">
        <w:t xml:space="preserve"> </w:t>
      </w:r>
      <w:r w:rsidR="00A11CA6" w:rsidRPr="00A11CA6">
        <w:rPr>
          <w:b/>
        </w:rPr>
        <w:t xml:space="preserve">section </w:t>
      </w:r>
      <w:r w:rsidR="003A663A">
        <w:rPr>
          <w:b/>
        </w:rPr>
        <w:t xml:space="preserve">SI. </w:t>
      </w:r>
      <w:r w:rsidR="00A11CA6" w:rsidRPr="00A11CA6">
        <w:rPr>
          <w:b/>
        </w:rPr>
        <w:fldChar w:fldCharType="begin"/>
      </w:r>
      <w:r w:rsidR="00A11CA6" w:rsidRPr="00A11CA6">
        <w:rPr>
          <w:b/>
        </w:rPr>
        <w:instrText xml:space="preserve"> REF _Ref144802667 \r \h </w:instrText>
      </w:r>
      <w:r w:rsidR="00A11CA6">
        <w:rPr>
          <w:b/>
        </w:rPr>
        <w:instrText xml:space="preserve"> \* MERGEFORMAT </w:instrText>
      </w:r>
      <w:r w:rsidR="00A11CA6" w:rsidRPr="00A11CA6">
        <w:rPr>
          <w:b/>
        </w:rPr>
      </w:r>
      <w:r w:rsidR="00A11CA6" w:rsidRPr="00A11CA6">
        <w:rPr>
          <w:b/>
        </w:rPr>
        <w:fldChar w:fldCharType="separate"/>
      </w:r>
      <w:r w:rsidR="00F25F8C">
        <w:rPr>
          <w:b/>
        </w:rPr>
        <w:t>4.1</w:t>
      </w:r>
      <w:r w:rsidR="00A11CA6" w:rsidRPr="00A11CA6">
        <w:rPr>
          <w:b/>
        </w:rPr>
        <w:fldChar w:fldCharType="end"/>
      </w:r>
      <w:r w:rsidRPr="00B825DA">
        <w:t>.</w:t>
      </w:r>
      <w:r w:rsidRPr="003F5DA8">
        <w:t xml:space="preserve"> For consistency with the rest of the mode</w:t>
      </w:r>
      <w:r w:rsidR="00655BBB">
        <w:t>l</w:t>
      </w:r>
      <w:r w:rsidRPr="003F5DA8">
        <w:t xml:space="preserve">s, N supply </w:t>
      </w:r>
      <w:r w:rsidRPr="00360ED1">
        <w:t>for substrate standardization was modeled as the marginal N fertilizer service. Similarly</w:t>
      </w:r>
      <w:r w:rsidRPr="003F5DA8">
        <w:t xml:space="preserve">, cereals required for spawn production were modeled as </w:t>
      </w:r>
      <w:r w:rsidR="00A11CA6">
        <w:t>the marginal</w:t>
      </w:r>
      <w:r w:rsidRPr="003F5DA8">
        <w:t xml:space="preserve"> energy feed service. Rest of modeling details (e.g. all biosphere flows) are available directly within corresponding excel mode</w:t>
      </w:r>
      <w:r w:rsidR="00655BBB">
        <w:t>l</w:t>
      </w:r>
      <w:r w:rsidRPr="003F5DA8">
        <w:t>.</w:t>
      </w:r>
      <w:r w:rsidR="00A11CA6">
        <w:t xml:space="preserve"> Last but not least, no alternative comparable studies were found to confront the outcomes of the present SSF LCI.</w:t>
      </w:r>
    </w:p>
    <w:p w14:paraId="57569FF2" w14:textId="77777777" w:rsidR="00981F01" w:rsidRDefault="00981F01">
      <w:r>
        <w:br w:type="page"/>
      </w:r>
    </w:p>
    <w:p w14:paraId="3FB5175D" w14:textId="2F0BCB08" w:rsidR="00454A0E" w:rsidRDefault="00454A0E" w:rsidP="00A860E3">
      <w:pPr>
        <w:pStyle w:val="Titre2"/>
      </w:pPr>
      <w:bookmarkStart w:id="135" w:name="_Toc145069113"/>
      <w:r>
        <w:lastRenderedPageBreak/>
        <w:t>Insects</w:t>
      </w:r>
      <w:r w:rsidR="00A860E3">
        <w:t xml:space="preserve"> farming on residual biomass streams LCI mode</w:t>
      </w:r>
      <w:bookmarkEnd w:id="135"/>
      <w:r w:rsidR="00655BBB">
        <w:t>l</w:t>
      </w:r>
    </w:p>
    <w:p w14:paraId="404C48D8" w14:textId="515233DB" w:rsidR="00633BB9" w:rsidRDefault="00633BB9" w:rsidP="00633BB9">
      <w:pPr>
        <w:ind w:firstLine="360"/>
        <w:jc w:val="both"/>
      </w:pPr>
      <w:r w:rsidRPr="003F5DA8">
        <w:t xml:space="preserve">This </w:t>
      </w:r>
      <w:r w:rsidR="00A860E3">
        <w:t>section</w:t>
      </w:r>
      <w:r w:rsidRPr="003F5DA8">
        <w:t xml:space="preserve"> presents the details (including assumptions, choice rationales, calculations and data sources) of the insects farming (BSF) life cycle inventory (LCI) model, </w:t>
      </w:r>
      <w:r w:rsidR="00A860E3">
        <w:t>with the objective to</w:t>
      </w:r>
      <w:r w:rsidRPr="003F5DA8">
        <w:t xml:space="preserve"> </w:t>
      </w:r>
      <w:r w:rsidR="00A860E3">
        <w:t>perform</w:t>
      </w:r>
      <w:r w:rsidRPr="003F5DA8">
        <w:t xml:space="preserve"> the LCA of transforming bioresources into edible insects. The insects farming </w:t>
      </w:r>
      <w:r w:rsidR="00981F01">
        <w:t xml:space="preserve">LCI </w:t>
      </w:r>
      <w:r w:rsidRPr="003F5DA8">
        <w:t xml:space="preserve">model supporting both variants BSF_feed and BSF_food pathways </w:t>
      </w:r>
      <w:proofErr w:type="gramStart"/>
      <w:r w:rsidRPr="003F5DA8">
        <w:t>is</w:t>
      </w:r>
      <w:proofErr w:type="gramEnd"/>
      <w:r w:rsidRPr="003F5DA8">
        <w:t xml:space="preserve"> available </w:t>
      </w:r>
      <w:r>
        <w:t xml:space="preserve">in </w:t>
      </w:r>
      <w:r w:rsidR="00981F01" w:rsidRPr="00981F01">
        <w:rPr>
          <w:i/>
        </w:rPr>
        <w:t>B.SSF_module spreadsheet</w:t>
      </w:r>
      <w:r w:rsidRPr="00981F01">
        <w:t>.</w:t>
      </w:r>
    </w:p>
    <w:p w14:paraId="595459BE" w14:textId="77777777" w:rsidR="006458E0" w:rsidRPr="006458E0" w:rsidRDefault="006458E0" w:rsidP="00E819F5">
      <w:pPr>
        <w:pStyle w:val="Titre3"/>
      </w:pPr>
      <w:bookmarkStart w:id="136" w:name="_Toc145069114"/>
      <w:r w:rsidRPr="006458E0">
        <w:t>Set-up selection</w:t>
      </w:r>
      <w:bookmarkEnd w:id="136"/>
    </w:p>
    <w:p w14:paraId="633AFEEA" w14:textId="5C8A8FC1" w:rsidR="006458E0" w:rsidRPr="003F5DA8" w:rsidRDefault="006458E0" w:rsidP="006458E0">
      <w:pPr>
        <w:ind w:firstLine="360"/>
        <w:jc w:val="both"/>
        <w:rPr>
          <w:rFonts w:cs="Times New Roman"/>
        </w:rPr>
      </w:pPr>
      <w:r w:rsidRPr="003F5DA8">
        <w:rPr>
          <w:rFonts w:cs="Times New Roman"/>
        </w:rPr>
        <w:t>Albeit insect species include a wide panel of physiologically-distinct species (e.g. crickets and termites), the unit operations workflow developed to achieve mass production is similar</w:t>
      </w:r>
      <w:r w:rsidRPr="003F5DA8">
        <w:rPr>
          <w:rFonts w:cs="Times New Roman"/>
        </w:rPr>
        <w:fldChar w:fldCharType="begin"/>
      </w:r>
      <w:r w:rsidR="008C451C">
        <w:rPr>
          <w:rFonts w:cs="Times New Roman"/>
        </w:rPr>
        <w:instrText xml:space="preserve"> ADDIN ZOTERO_ITEM CSL_CITATION {"citationID":"SSMNMHHd","properties":{"formattedCitation":"\\super 67\\nosupersub{}","plainCitation":"67","noteIndex":0},"citationItems":[{"id":12260,"uris":["http://zotero.org/users/6423791/items/7WTH59GM"],"itemData":{"id":12260,"type":"article-journal","abstract":"The inclusion of insect protein into the food system has been proposed as a promising solution to ensure future food security and mitigate negative environmental impacts related to food production. However, the market volume for edible insects in Europe is still small; consequently, producers need a decision-support system to ensure the sustainable upscaling of the sector. The study analyzed environmental and economic impacts of insect production to identify the most eco-efficient production scenarios.","container-title":"The International Journal of Life Cycle Assessment","DOI":"10.1007/s11367-021-01986-y","ISSN":"1614-7502","journalAbbreviation":"Int J Life Cycle Assess","language":"en","source":"Springer Link","title":"A modular environmental and economic assessment applied to the production of Hermetia illucens larvae as a protein source for food and feed","URL":"https://doi.org/10.1007/s11367-021-01986-y","author":[{"family":"Spykman","given":"Raphaela"},{"family":"Hossaini","given":"Sayed Mahdi"},{"family":"Peguero","given":"Daniela A."},{"family":"Green","given":"Ashley"},{"family":"Heinz","given":"Volker"},{"family":"Smetana","given":"Sergiy"}],"accessed":{"date-parts":[["2021",10,14]]},"issued":{"date-parts":[["2021",10,9]]}}}],"schema":"https://github.com/citation-style-language/schema/raw/master/csl-citation.json"} </w:instrText>
      </w:r>
      <w:r w:rsidRPr="003F5DA8">
        <w:rPr>
          <w:rFonts w:cs="Times New Roman"/>
        </w:rPr>
        <w:fldChar w:fldCharType="separate"/>
      </w:r>
      <w:r w:rsidR="008C451C" w:rsidRPr="008C451C">
        <w:rPr>
          <w:rFonts w:ascii="Calibri" w:hAnsi="Calibri" w:cs="Calibri"/>
          <w:szCs w:val="24"/>
          <w:vertAlign w:val="superscript"/>
        </w:rPr>
        <w:t>67</w:t>
      </w:r>
      <w:r w:rsidRPr="003F5DA8">
        <w:rPr>
          <w:rFonts w:cs="Times New Roman"/>
        </w:rPr>
        <w:fldChar w:fldCharType="end"/>
      </w:r>
      <w:r w:rsidRPr="003F5DA8">
        <w:rPr>
          <w:rFonts w:cs="Times New Roman"/>
        </w:rPr>
        <w:t>, and comparable to conventional livestock farming. Indeed, insects are “mini-livestocks”</w:t>
      </w:r>
      <w:r w:rsidRPr="003F5DA8">
        <w:rPr>
          <w:rFonts w:cs="Times New Roman"/>
        </w:rPr>
        <w:fldChar w:fldCharType="begin"/>
      </w:r>
      <w:r w:rsidR="008C451C">
        <w:rPr>
          <w:rFonts w:cs="Times New Roman"/>
        </w:rPr>
        <w:instrText xml:space="preserve"> ADDIN ZOTERO_ITEM CSL_CITATION {"citationID":"8BaaUYHU","properties":{"formattedCitation":"\\super 68\\nosupersub{}","plainCitation":"68","noteIndex":0},"citationItems":[{"id":13423,"uris":["http://zotero.org/users/6423791/items/BDIGW3PI"],"itemData":{"id":13423,"type":"article-journal","abstract":"Livestock production is among the most ecologically harmful of all anthropogenic activities. It has massive direct and indirect contributions to global warming besides causing widespread ecodegradation in other ways. But livestock production cannot be reduced because, as it is, the global demand for animal protein is far higher than the supply. Whereas in developed countries people get about 95 g of protein per day in their diets, of which nearly 60% is made up of animal protein, in developing countries the protein intake is only about 45 g/day and of it a mere 15% is made up of animal protein. This gap in the availability of animal protein for a large fraction of the world's population who desires it, is continuing to increase because of the increased globalization-induced rich-poor gap across the world. Besides the fact that conventional ways of animal protein production using livestock―chicken, goat, pork, beef―are highly eco-degrading; in terms of availability of pasture lands as well as enhancement in productivity of edible zoomass with inputs from science and technology, the upper limits of animal protein production have already been reached. The ocean-based food production has similarly reached unsustainable levels. As a consequence, now onwards the demand will increasingly outstrip supply. In this backdrop it is essential that we look at the potential of minilivestock, especially insects. As brought out in this paper, human beings have evolved as entomophagous species and there are even suggestions that some of the special proteins and other constituents present in the insects might have helped the human brain to develop as rapidly as it did to enable its evolution into Home sapiens. Moreover, several species of insects are prized delicacies in advanced countries like Japan, Australia, and Europe. Hence, insects are not restricted to being ‘subsistence food’ of grossly impoverished people as one might imagine though a lot of species do help the world's poor to survive. If other virtues of insects are considered― especially their high food-to-zoomass conversion efficiency, quick growth rate, enormous variety, and world-wide distribution―their potential as a much more sustainable source of animal protein than conventional livestock would become obvious.","collection-title":"Preventing Smog Crises","container-title":"Journal of Cleaner Production","DOI":"10.1016/j.jclepro.2015.02.094","ISSN":"0959-6526","journalAbbreviation":"Journal of Cleaner Production","language":"en","page":"1754-1766","source":"ScienceDirect","title":"Reducing the global environmental impact of livestock production: the minilivestock option","title-short":"Reducing the global environmental impact of livestock production","volume":"112","author":[{"literal":"Tabassum-Abbasi"},{"family":"Abbasi","given":"Tasneem"},{"family":"Abbasi","given":"S. A."}],"issued":{"date-parts":[["2016",1,20]]}}}],"schema":"https://github.com/citation-style-language/schema/raw/master/csl-citation.json"} </w:instrText>
      </w:r>
      <w:r w:rsidRPr="003F5DA8">
        <w:rPr>
          <w:rFonts w:cs="Times New Roman"/>
        </w:rPr>
        <w:fldChar w:fldCharType="separate"/>
      </w:r>
      <w:r w:rsidR="008C451C" w:rsidRPr="008C451C">
        <w:rPr>
          <w:rFonts w:ascii="Calibri" w:hAnsi="Calibri" w:cs="Calibri"/>
          <w:szCs w:val="24"/>
          <w:vertAlign w:val="superscript"/>
        </w:rPr>
        <w:t>68</w:t>
      </w:r>
      <w:r w:rsidRPr="003F5DA8">
        <w:rPr>
          <w:rFonts w:cs="Times New Roman"/>
        </w:rPr>
        <w:fldChar w:fldCharType="end"/>
      </w:r>
      <w:r w:rsidRPr="003F5DA8">
        <w:rPr>
          <w:rFonts w:cs="Times New Roman"/>
        </w:rPr>
        <w:t>. Therefore, the main factors shaping the differences in the performance of insects farming between species are related to (i) different feed conversion ratios (FCR), (ii) growth time period and (ii) necessity of post-treatments (including difference in terms of final nutritional profile). Naturally, additional considerations on equipment and infrastructure are required if rearing flying species, but otherwise utilities are mostly considered similar, such as cleaning requirements or climate systems as insects are mostly poikilothermic</w:t>
      </w:r>
      <w:r w:rsidRPr="003F5DA8">
        <w:rPr>
          <w:rFonts w:cs="Times New Roman"/>
        </w:rPr>
        <w:fldChar w:fldCharType="begin"/>
      </w:r>
      <w:r w:rsidR="008C451C">
        <w:rPr>
          <w:rFonts w:cs="Times New Roman"/>
        </w:rPr>
        <w:instrText xml:space="preserve"> ADDIN ZOTERO_ITEM CSL_CITATION {"citationID":"8ysD6Q4m","properties":{"formattedCitation":"\\super 69\\nosupersub{}","plainCitation":"69","noteIndex":0},"citationItems":[{"id":273,"uris":["http://zotero.org/users/6423791/items/IN539F47"],"itemData":{"id":273,"type":"article-journal","container-title":"Agronomy for Sustainable Development","DOI":"10.1007/s13593-017-0452-8","ISSN":"1774-0746, 1773-0155","issue":"5","journalAbbreviation":"Agron. Sustain. Dev.","language":"English","page":"43","source":"DOI.org (Crossref)","title":"The environmental sustainability of insects as food and feed. A review","volume":"37","author":[{"family":"Huis","given":"Arnold","non-dropping-particle":"van"},{"family":"Oonincx","given":"Dennis G. A. B."}],"issued":{"date-parts":[["2017",10]]}}}],"schema":"https://github.com/citation-style-language/schema/raw/master/csl-citation.json"} </w:instrText>
      </w:r>
      <w:r w:rsidRPr="003F5DA8">
        <w:rPr>
          <w:rFonts w:cs="Times New Roman"/>
        </w:rPr>
        <w:fldChar w:fldCharType="separate"/>
      </w:r>
      <w:r w:rsidR="008C451C" w:rsidRPr="008C451C">
        <w:rPr>
          <w:rFonts w:ascii="Calibri" w:hAnsi="Calibri" w:cs="Calibri"/>
          <w:szCs w:val="24"/>
          <w:vertAlign w:val="superscript"/>
        </w:rPr>
        <w:t>69</w:t>
      </w:r>
      <w:r w:rsidRPr="003F5DA8">
        <w:rPr>
          <w:rFonts w:cs="Times New Roman"/>
        </w:rPr>
        <w:fldChar w:fldCharType="end"/>
      </w:r>
      <w:r w:rsidRPr="003F5DA8">
        <w:rPr>
          <w:rFonts w:cs="Times New Roman"/>
        </w:rPr>
        <w:t>, among others.</w:t>
      </w:r>
      <w:r>
        <w:rPr>
          <w:rFonts w:cs="Times New Roman"/>
        </w:rPr>
        <w:t xml:space="preserve"> </w:t>
      </w:r>
      <w:r w:rsidRPr="003F5DA8">
        <w:rPr>
          <w:rFonts w:cs="Times New Roman"/>
        </w:rPr>
        <w:t xml:space="preserve">The legislative status in the EU are differentiated among species and target final markets, but rapidly evolving; BSF (fractions or as a whole) can already supply most of feed markets and its Novel food application is still ongoing (time of writing), </w:t>
      </w:r>
      <w:r w:rsidR="00E819F5">
        <w:rPr>
          <w:rFonts w:cs="Times New Roman"/>
        </w:rPr>
        <w:t xml:space="preserve">while </w:t>
      </w:r>
      <w:r w:rsidRPr="003F5DA8">
        <w:rPr>
          <w:rFonts w:cs="Times New Roman"/>
          <w:i/>
        </w:rPr>
        <w:t>Tenebrio Molitor</w:t>
      </w:r>
      <w:r w:rsidRPr="003F5DA8">
        <w:rPr>
          <w:rFonts w:cs="Times New Roman"/>
        </w:rPr>
        <w:t xml:space="preserve"> mealworms and </w:t>
      </w:r>
      <w:r w:rsidRPr="003F5DA8">
        <w:rPr>
          <w:rFonts w:cs="Times New Roman"/>
          <w:i/>
        </w:rPr>
        <w:t>Acheta Domesticus</w:t>
      </w:r>
      <w:r w:rsidRPr="003F5DA8">
        <w:rPr>
          <w:rFonts w:cs="Times New Roman"/>
        </w:rPr>
        <w:t xml:space="preserve"> crickets were already granted with the Novel food status</w:t>
      </w:r>
      <w:r w:rsidRPr="003F5DA8">
        <w:rPr>
          <w:rFonts w:cs="Times New Roman"/>
        </w:rPr>
        <w:fldChar w:fldCharType="begin"/>
      </w:r>
      <w:r w:rsidR="008C451C">
        <w:rPr>
          <w:rFonts w:cs="Times New Roman"/>
        </w:rPr>
        <w:instrText xml:space="preserve"> ADDIN ZOTERO_ITEM CSL_CITATION {"citationID":"sTAT2tQx","properties":{"formattedCitation":"\\super 70\\nosupersub{}","plainCitation":"70","noteIndex":0},"citationItems":[{"id":13425,"uris":["http://zotero.org/users/6423791/items/F2RP6RRS"],"itemData":{"id":13425,"type":"webpage","abstract":"IPIFF is an EU non-profit organisation. We promote the use of insects for human consumption and insect derived products as a food source for animal feed.","container-title":"International Platform of Insects for Food and Feed, Brussels","language":"en-GB","title":"Promoting Insects for Human Consumption &amp; Animal Feed – IPIFF","URL":"https://ipiff.org/","author":[{"literal":"IPIFF"}],"accessed":{"date-parts":[["2022",6,8]]},"issued":{"date-parts":[["2022"]]}}}],"schema":"https://github.com/citation-style-language/schema/raw/master/csl-citation.json"} </w:instrText>
      </w:r>
      <w:r w:rsidRPr="003F5DA8">
        <w:rPr>
          <w:rFonts w:cs="Times New Roman"/>
        </w:rPr>
        <w:fldChar w:fldCharType="separate"/>
      </w:r>
      <w:r w:rsidR="008C451C" w:rsidRPr="008C451C">
        <w:rPr>
          <w:rFonts w:ascii="Calibri" w:hAnsi="Calibri" w:cs="Calibri"/>
          <w:szCs w:val="24"/>
          <w:vertAlign w:val="superscript"/>
        </w:rPr>
        <w:t>70</w:t>
      </w:r>
      <w:r w:rsidRPr="003F5DA8">
        <w:rPr>
          <w:rFonts w:cs="Times New Roman"/>
        </w:rPr>
        <w:fldChar w:fldCharType="end"/>
      </w:r>
      <w:r w:rsidRPr="003F5DA8">
        <w:rPr>
          <w:rFonts w:cs="Times New Roman"/>
        </w:rPr>
        <w:t>. It is often considered that, albeit hosting different functional and nutritional properties, these insects belong to the same food product group for consumers</w:t>
      </w:r>
      <w:r w:rsidRPr="003F5DA8">
        <w:rPr>
          <w:rFonts w:cs="Times New Roman"/>
        </w:rPr>
        <w:fldChar w:fldCharType="begin"/>
      </w:r>
      <w:r w:rsidR="008C451C">
        <w:rPr>
          <w:rFonts w:cs="Times New Roman"/>
        </w:rPr>
        <w:instrText xml:space="preserve"> ADDIN ZOTERO_ITEM CSL_CITATION {"citationID":"BlmB6Za4","properties":{"formattedCitation":"\\super 71\\nosupersub{}","plainCitation":"71","noteIndex":0},"citationItems":[{"id":2730,"uris":["http://zotero.org/users/6423791/items/9RLFFZ66"],"itemData":{"id":2730,"type":"article-journal","abstract":"Over the past decade, the potential of edible insects as a novel ingredient in high value-added products has been investigated to find alternatives to conventional protein sources that are expensive, over-exploited and harmful to the environment. This review assesses the state of insects as an alternative protein source from production to consumption. More specifically, this review details the conventional procedures related to the production of insect flours as well as insect-derived ingredients such as protein concentrates and isolates. As a source of alternative protein in food ingredient formulations, the available data on the functionalities of edible insect ingredients is also examined and compared to conventional animal- and plant-based protein sources. Finally, the major challenges facing entomophagy in the mainstream food industry are explored. This review highlights the fact that insect proteins can serve as functional ingredients in food preparation. However, additional comparative studies are required to assess the functionality of various insect proteins compared to conventional proteins, regardless of processing method. To be incorporated into large scale industries, more research is needed to optimize processing methods to obtain the best compromise between cost-effectiveness, functionality, tastiness and sustainability, while ensuring consumer safety.","container-title":"Innovative Food Science &amp; Emerging Technologies","DOI":"10.1016/j.ifset.2019.102272","ISSN":"1466-8564","journalAbbreviation":"Innov. Food Sci. Emerg. Technol.","language":"en","page":"102272","source":"ScienceDirect","title":"The use of edible insect proteins in food: Challenges and issues related to their functional properties","title-short":"The use of edible insect proteins in food","volume":"59","author":[{"family":"Gravel","given":"Alexia"},{"family":"Doyen","given":"Alain"}],"issued":{"date-parts":[["2020",1,1]]}}}],"schema":"https://github.com/citation-style-language/schema/raw/master/csl-citation.json"} </w:instrText>
      </w:r>
      <w:r w:rsidRPr="003F5DA8">
        <w:rPr>
          <w:rFonts w:cs="Times New Roman"/>
        </w:rPr>
        <w:fldChar w:fldCharType="separate"/>
      </w:r>
      <w:r w:rsidR="008C451C" w:rsidRPr="008C451C">
        <w:rPr>
          <w:rFonts w:ascii="Calibri" w:hAnsi="Calibri" w:cs="Calibri"/>
          <w:szCs w:val="24"/>
          <w:vertAlign w:val="superscript"/>
        </w:rPr>
        <w:t>71</w:t>
      </w:r>
      <w:r w:rsidRPr="003F5DA8">
        <w:rPr>
          <w:rFonts w:cs="Times New Roman"/>
        </w:rPr>
        <w:fldChar w:fldCharType="end"/>
      </w:r>
      <w:r w:rsidRPr="003F5DA8">
        <w:rPr>
          <w:rFonts w:cs="Times New Roman"/>
        </w:rPr>
        <w:t>. Therefore, while still unauthorized to date in Europe, we considered here the scenario of food markets entry for dried BSF larvae as representative of generic insects’ inclusions into food markets</w:t>
      </w:r>
      <w:r w:rsidR="00E819F5">
        <w:rPr>
          <w:rFonts w:cs="Times New Roman"/>
        </w:rPr>
        <w:t xml:space="preserve"> (BSF_food pathway)</w:t>
      </w:r>
      <w:r w:rsidRPr="003F5DA8">
        <w:rPr>
          <w:rFonts w:cs="Times New Roman"/>
        </w:rPr>
        <w:t xml:space="preserve">. Finally, it is worth mentioning that the wide literature body documenting BSF development and performances allow to build more robust LCI than for other insect species (e.g. lack of direct emissions data for </w:t>
      </w:r>
      <w:r w:rsidRPr="003F5DA8">
        <w:rPr>
          <w:rFonts w:cs="Times New Roman"/>
          <w:i/>
        </w:rPr>
        <w:t>Tenebrio Molitor</w:t>
      </w:r>
      <w:r w:rsidRPr="003F5DA8">
        <w:rPr>
          <w:rFonts w:cs="Times New Roman"/>
        </w:rPr>
        <w:t xml:space="preserve"> mealworm and the</w:t>
      </w:r>
      <w:r w:rsidRPr="003F5DA8">
        <w:rPr>
          <w:rFonts w:cs="Times New Roman"/>
          <w:i/>
        </w:rPr>
        <w:t xml:space="preserve"> Acheta Domesticus</w:t>
      </w:r>
      <w:r w:rsidRPr="003F5DA8">
        <w:rPr>
          <w:rFonts w:cs="Times New Roman"/>
        </w:rPr>
        <w:t xml:space="preserve"> cricket).</w:t>
      </w:r>
    </w:p>
    <w:p w14:paraId="78ABCC1A" w14:textId="5E39D04F" w:rsidR="006458E0" w:rsidRDefault="00E819F5" w:rsidP="006458E0">
      <w:pPr>
        <w:jc w:val="both"/>
        <w:rPr>
          <w:rFonts w:cs="Times New Roman"/>
        </w:rPr>
      </w:pPr>
      <w:bookmarkStart w:id="137" w:name="_Hlk141261973"/>
      <w:r>
        <w:rPr>
          <w:rFonts w:cs="Times New Roman"/>
        </w:rPr>
        <w:t>Present</w:t>
      </w:r>
      <w:r w:rsidR="006458E0" w:rsidRPr="003F5DA8">
        <w:rPr>
          <w:rFonts w:cs="Times New Roman"/>
        </w:rPr>
        <w:t xml:space="preserve"> BSF farming LCI model builds on the framework provided by Spykman et al., 2021</w:t>
      </w:r>
      <w:r w:rsidR="006458E0" w:rsidRPr="003F5DA8">
        <w:rPr>
          <w:rFonts w:cs="Times New Roman"/>
        </w:rPr>
        <w:fldChar w:fldCharType="begin"/>
      </w:r>
      <w:r w:rsidR="008C451C">
        <w:rPr>
          <w:rFonts w:cs="Times New Roman"/>
        </w:rPr>
        <w:instrText xml:space="preserve"> ADDIN ZOTERO_ITEM CSL_CITATION {"citationID":"yxerdHGC","properties":{"formattedCitation":"\\super 67\\nosupersub{}","plainCitation":"67","noteIndex":0},"citationItems":[{"id":12260,"uris":["http://zotero.org/users/6423791/items/7WTH59GM"],"itemData":{"id":12260,"type":"article-journal","abstract":"The inclusion of insect protein into the food system has been proposed as a promising solution to ensure future food security and mitigate negative environmental impacts related to food production. However, the market volume for edible insects in Europe is still small; consequently, producers need a decision-support system to ensure the sustainable upscaling of the sector. The study analyzed environmental and economic impacts of insect production to identify the most eco-efficient production scenarios.","container-title":"The International Journal of Life Cycle Assessment","DOI":"10.1007/s11367-021-01986-y","ISSN":"1614-7502","journalAbbreviation":"Int J Life Cycle Assess","language":"en","source":"Springer Link","title":"A modular environmental and economic assessment applied to the production of Hermetia illucens larvae as a protein source for food and feed","URL":"https://doi.org/10.1007/s11367-021-01986-y","author":[{"family":"Spykman","given":"Raphaela"},{"family":"Hossaini","given":"Sayed Mahdi"},{"family":"Peguero","given":"Daniela A."},{"family":"Green","given":"Ashley"},{"family":"Heinz","given":"Volker"},{"family":"Smetana","given":"Sergiy"}],"accessed":{"date-parts":[["2021",10,14]]},"issued":{"date-parts":[["2021",10,9]]}}}],"schema":"https://github.com/citation-style-language/schema/raw/master/csl-citation.json"} </w:instrText>
      </w:r>
      <w:r w:rsidR="006458E0" w:rsidRPr="003F5DA8">
        <w:rPr>
          <w:rFonts w:cs="Times New Roman"/>
        </w:rPr>
        <w:fldChar w:fldCharType="separate"/>
      </w:r>
      <w:r w:rsidR="008C451C" w:rsidRPr="008C451C">
        <w:rPr>
          <w:rFonts w:ascii="Calibri" w:hAnsi="Calibri" w:cs="Calibri"/>
          <w:szCs w:val="24"/>
          <w:vertAlign w:val="superscript"/>
        </w:rPr>
        <w:t>67</w:t>
      </w:r>
      <w:r w:rsidR="006458E0" w:rsidRPr="003F5DA8">
        <w:rPr>
          <w:rFonts w:cs="Times New Roman"/>
        </w:rPr>
        <w:fldChar w:fldCharType="end"/>
      </w:r>
      <w:r w:rsidR="006458E0" w:rsidRPr="003F5DA8">
        <w:rPr>
          <w:rFonts w:cs="Times New Roman"/>
        </w:rPr>
        <w:t>, based on scaled installations set-up.</w:t>
      </w:r>
      <w:bookmarkEnd w:id="137"/>
      <w:r w:rsidR="006458E0">
        <w:rPr>
          <w:rFonts w:cs="Times New Roman"/>
        </w:rPr>
        <w:t xml:space="preserve"> </w:t>
      </w:r>
      <w:r w:rsidR="006458E0" w:rsidRPr="003F5DA8">
        <w:rPr>
          <w:rFonts w:cs="Times New Roman"/>
        </w:rPr>
        <w:t>In front of the high heterogeneity and complex interactions between insects and their rearing substrates, coupled with a lack of harmonized specific data, this analysis remains at the macronutrient level, and does not include details about fatty or amino acids, nor other elements than N, P and K.</w:t>
      </w:r>
    </w:p>
    <w:p w14:paraId="25334638" w14:textId="77777777" w:rsidR="006458E0" w:rsidRPr="006458E0" w:rsidRDefault="006458E0" w:rsidP="00E819F5">
      <w:pPr>
        <w:pStyle w:val="Titre3"/>
      </w:pPr>
      <w:bookmarkStart w:id="138" w:name="_Toc145069115"/>
      <w:r w:rsidRPr="006458E0">
        <w:t>Unit operation design and assumptions</w:t>
      </w:r>
      <w:bookmarkEnd w:id="138"/>
    </w:p>
    <w:p w14:paraId="3B19A18B" w14:textId="77777777" w:rsidR="006458E0" w:rsidRPr="006458E0" w:rsidRDefault="006458E0" w:rsidP="00E819F5">
      <w:pPr>
        <w:pStyle w:val="Titre4"/>
      </w:pPr>
      <w:r w:rsidRPr="006458E0">
        <w:t>Pretreatments</w:t>
      </w:r>
    </w:p>
    <w:p w14:paraId="61572B1C" w14:textId="586B592E" w:rsidR="006458E0" w:rsidRDefault="006458E0" w:rsidP="00E819F5">
      <w:pPr>
        <w:ind w:firstLine="360"/>
        <w:jc w:val="both"/>
        <w:rPr>
          <w:rFonts w:cs="Times New Roman"/>
        </w:rPr>
      </w:pPr>
      <w:r w:rsidRPr="003F5DA8">
        <w:t xml:space="preserve">Transportation requirements were modeled </w:t>
      </w:r>
      <w:r w:rsidRPr="002A0A9E">
        <w:t>in</w:t>
      </w:r>
      <w:r w:rsidR="00E819F5">
        <w:t xml:space="preserve"> </w:t>
      </w:r>
      <w:r w:rsidR="00E819F5" w:rsidRPr="00E819F5">
        <w:rPr>
          <w:b/>
        </w:rPr>
        <w:fldChar w:fldCharType="begin"/>
      </w:r>
      <w:r w:rsidR="00E819F5" w:rsidRPr="00E819F5">
        <w:rPr>
          <w:b/>
        </w:rPr>
        <w:instrText xml:space="preserve"> REF _Ref144738047 \h </w:instrText>
      </w:r>
      <w:r w:rsidR="00E819F5">
        <w:rPr>
          <w:b/>
        </w:rPr>
        <w:instrText xml:space="preserve"> \* MERGEFORMAT </w:instrText>
      </w:r>
      <w:r w:rsidR="00E819F5" w:rsidRPr="00E819F5">
        <w:rPr>
          <w:b/>
        </w:rPr>
      </w:r>
      <w:r w:rsidR="00E819F5" w:rsidRPr="00E819F5">
        <w:rPr>
          <w:b/>
        </w:rPr>
        <w:fldChar w:fldCharType="separate"/>
      </w:r>
      <w:r w:rsidR="00F25F8C" w:rsidRPr="00F25F8C">
        <w:rPr>
          <w:b/>
        </w:rPr>
        <w:t xml:space="preserve">Table SI. </w:t>
      </w:r>
      <w:r w:rsidR="00F25F8C" w:rsidRPr="00F25F8C">
        <w:rPr>
          <w:b/>
          <w:noProof/>
        </w:rPr>
        <w:t>15</w:t>
      </w:r>
      <w:r w:rsidR="00E819F5" w:rsidRPr="00E819F5">
        <w:rPr>
          <w:b/>
        </w:rPr>
        <w:fldChar w:fldCharType="end"/>
      </w:r>
      <w:r w:rsidRPr="002A0A9E">
        <w:t>. As</w:t>
      </w:r>
      <w:r w:rsidRPr="003F5DA8">
        <w:t xml:space="preserve"> insects require a wet rearing substrate, and to avoid energy-intensive sequences of drying and moistening operations, input feedstocks were assumed transported “as generated”, without previous drying operations. A 20%</w:t>
      </w:r>
      <w:r w:rsidRPr="003F5DA8">
        <w:rPr>
          <w:vertAlign w:val="subscript"/>
        </w:rPr>
        <w:t>ww</w:t>
      </w:r>
      <w:r w:rsidRPr="003F5DA8">
        <w:t xml:space="preserve"> input’s initial moisture threshold value was set to ensure stability during transportation and storage. If higher, a cold chain management was considered necessary to avoid spoiling and ensure compliance with food and feed standard. Storage was assumed to last 1-2 weeks</w:t>
      </w:r>
      <w:r w:rsidR="00E819F5">
        <w:t>.</w:t>
      </w:r>
      <w:r w:rsidRPr="003F5DA8">
        <w:t xml:space="preserve"> </w:t>
      </w:r>
      <w:r w:rsidR="00E819F5">
        <w:t>L</w:t>
      </w:r>
      <w:r w:rsidRPr="003F5DA8">
        <w:t>osses and emissions</w:t>
      </w:r>
      <w:r w:rsidR="00E819F5">
        <w:t xml:space="preserve"> were estimated</w:t>
      </w:r>
      <w:r w:rsidRPr="003F5DA8">
        <w:t xml:space="preserve"> based on </w:t>
      </w:r>
      <w:r w:rsidR="00E819F5">
        <w:t xml:space="preserve">the </w:t>
      </w:r>
      <w:r w:rsidRPr="003F5DA8">
        <w:t>bioresource</w:t>
      </w:r>
      <w:r w:rsidR="00E819F5">
        <w:t>’s</w:t>
      </w:r>
      <w:r w:rsidRPr="003F5DA8">
        <w:t xml:space="preserve"> piling</w:t>
      </w:r>
      <w:r w:rsidR="00E819F5">
        <w:t>-</w:t>
      </w:r>
      <w:r w:rsidRPr="003F5DA8">
        <w:t>up model</w:t>
      </w:r>
      <w:r w:rsidR="00E819F5">
        <w:t>ing used</w:t>
      </w:r>
      <w:r w:rsidRPr="003F5DA8">
        <w:t xml:space="preserve"> for the GA mod</w:t>
      </w:r>
      <w:r w:rsidR="00655BBB">
        <w:t>el</w:t>
      </w:r>
      <w:r w:rsidRPr="003F5DA8">
        <w:t xml:space="preserve"> (</w:t>
      </w:r>
      <w:r w:rsidRPr="00981F01">
        <w:rPr>
          <w:b/>
        </w:rPr>
        <w:t>section</w:t>
      </w:r>
      <w:r w:rsidR="00981F01" w:rsidRPr="00981F01">
        <w:rPr>
          <w:b/>
        </w:rPr>
        <w:t xml:space="preserve"> </w:t>
      </w:r>
      <w:r w:rsidR="00C913E1">
        <w:rPr>
          <w:b/>
        </w:rPr>
        <w:t xml:space="preserve">SI. </w:t>
      </w:r>
      <w:r w:rsidR="00981F01" w:rsidRPr="00981F01">
        <w:rPr>
          <w:b/>
        </w:rPr>
        <w:t>4.8.2</w:t>
      </w:r>
      <w:r w:rsidRPr="003F5DA8">
        <w:t>), proportionally adapting to the duration (</w:t>
      </w:r>
      <w:r w:rsidR="00E819F5" w:rsidRPr="00E819F5">
        <w:rPr>
          <w:b/>
        </w:rPr>
        <w:fldChar w:fldCharType="begin"/>
      </w:r>
      <w:r w:rsidR="00E819F5" w:rsidRPr="00E819F5">
        <w:rPr>
          <w:rFonts w:cs="Times New Roman"/>
          <w:b/>
        </w:rPr>
        <w:instrText xml:space="preserve"> REF _Ref144803461 \h </w:instrText>
      </w:r>
      <w:r w:rsidR="00E819F5" w:rsidRPr="00E819F5">
        <w:rPr>
          <w:b/>
        </w:rPr>
        <w:instrText xml:space="preserve"> \* MERGEFORMAT </w:instrText>
      </w:r>
      <w:r w:rsidR="00E819F5" w:rsidRPr="00E819F5">
        <w:rPr>
          <w:b/>
        </w:rPr>
      </w:r>
      <w:r w:rsidR="00E819F5" w:rsidRPr="00E819F5">
        <w:rPr>
          <w:b/>
        </w:rPr>
        <w:fldChar w:fldCharType="separate"/>
      </w:r>
      <w:r w:rsidR="00F25F8C" w:rsidRPr="00F25F8C">
        <w:rPr>
          <w:b/>
        </w:rPr>
        <w:t xml:space="preserve">Table SI. </w:t>
      </w:r>
      <w:r w:rsidR="00F25F8C" w:rsidRPr="00F25F8C">
        <w:rPr>
          <w:b/>
          <w:noProof/>
        </w:rPr>
        <w:t>28</w:t>
      </w:r>
      <w:r w:rsidR="00E819F5" w:rsidRPr="00E819F5">
        <w:rPr>
          <w:b/>
        </w:rPr>
        <w:fldChar w:fldCharType="end"/>
      </w:r>
      <w:r w:rsidRPr="003F5DA8">
        <w:t xml:space="preserve">). Importantly, </w:t>
      </w:r>
      <w:r w:rsidRPr="003F5DA8">
        <w:rPr>
          <w:rFonts w:cs="Times New Roman"/>
        </w:rPr>
        <w:t xml:space="preserve">input streams able to enter the BSF pathway were generally assumed feed-grade (as defined </w:t>
      </w:r>
      <w:r w:rsidRPr="004975C4">
        <w:rPr>
          <w:rFonts w:cs="Times New Roman"/>
        </w:rPr>
        <w:t xml:space="preserve">in </w:t>
      </w:r>
      <w:r w:rsidRPr="004975C4">
        <w:rPr>
          <w:rFonts w:cs="Times New Roman"/>
          <w:b/>
        </w:rPr>
        <w:t>section</w:t>
      </w:r>
      <w:r w:rsidR="003A663A">
        <w:rPr>
          <w:rFonts w:cs="Times New Roman"/>
          <w:b/>
        </w:rPr>
        <w:t xml:space="preserve"> SI.</w:t>
      </w:r>
      <w:r w:rsidR="00E819F5">
        <w:rPr>
          <w:rFonts w:cs="Times New Roman"/>
          <w:b/>
        </w:rPr>
        <w:t xml:space="preserve"> </w:t>
      </w:r>
      <w:r w:rsidR="00E819F5">
        <w:rPr>
          <w:rFonts w:cs="Times New Roman"/>
          <w:b/>
        </w:rPr>
        <w:fldChar w:fldCharType="begin"/>
      </w:r>
      <w:r w:rsidR="00E819F5">
        <w:rPr>
          <w:rFonts w:cs="Times New Roman"/>
          <w:b/>
        </w:rPr>
        <w:instrText xml:space="preserve"> REF _Ref144721185 \r \h </w:instrText>
      </w:r>
      <w:r w:rsidR="00E819F5">
        <w:rPr>
          <w:rFonts w:cs="Times New Roman"/>
          <w:b/>
        </w:rPr>
      </w:r>
      <w:r w:rsidR="00E819F5">
        <w:rPr>
          <w:rFonts w:cs="Times New Roman"/>
          <w:b/>
        </w:rPr>
        <w:fldChar w:fldCharType="separate"/>
      </w:r>
      <w:r w:rsidR="00F25F8C">
        <w:rPr>
          <w:rFonts w:cs="Times New Roman"/>
          <w:b/>
        </w:rPr>
        <w:t>2.1</w:t>
      </w:r>
      <w:r w:rsidR="00E819F5">
        <w:rPr>
          <w:rFonts w:cs="Times New Roman"/>
          <w:b/>
        </w:rPr>
        <w:fldChar w:fldCharType="end"/>
      </w:r>
      <w:r w:rsidRPr="004975C4">
        <w:rPr>
          <w:rFonts w:cs="Times New Roman"/>
        </w:rPr>
        <w:t xml:space="preserve">), that is source-segregated and contaminants-, packaging-free. No specific </w:t>
      </w:r>
      <w:r w:rsidR="00E819F5">
        <w:rPr>
          <w:rFonts w:cs="Times New Roman"/>
        </w:rPr>
        <w:t xml:space="preserve">detoxification or de-packaging </w:t>
      </w:r>
      <w:r w:rsidRPr="004975C4">
        <w:rPr>
          <w:rFonts w:cs="Times New Roman"/>
        </w:rPr>
        <w:t>operation w</w:t>
      </w:r>
      <w:r w:rsidR="00E819F5">
        <w:rPr>
          <w:rFonts w:cs="Times New Roman"/>
        </w:rPr>
        <w:t>ere further</w:t>
      </w:r>
      <w:r w:rsidRPr="004975C4">
        <w:rPr>
          <w:rFonts w:cs="Times New Roman"/>
        </w:rPr>
        <w:t xml:space="preserve"> modeled. However, as a borderline case, streams</w:t>
      </w:r>
      <w:r w:rsidRPr="003F5DA8">
        <w:rPr>
          <w:rFonts w:cs="Times New Roman"/>
        </w:rPr>
        <w:t xml:space="preserve"> currently under waste regulation but with potential near future plausible end-of-waste status were assumed obliged to undergo a decontamination stage, </w:t>
      </w:r>
      <w:r w:rsidRPr="003F5DA8">
        <w:rPr>
          <w:rFonts w:cs="Times New Roman"/>
        </w:rPr>
        <w:lastRenderedPageBreak/>
        <w:t>as in Spykman et al., 2021</w:t>
      </w:r>
      <w:r w:rsidRPr="003F5DA8">
        <w:rPr>
          <w:rFonts w:cs="Times New Roman"/>
        </w:rPr>
        <w:fldChar w:fldCharType="begin"/>
      </w:r>
      <w:r w:rsidR="008C451C">
        <w:rPr>
          <w:rFonts w:cs="Times New Roman"/>
        </w:rPr>
        <w:instrText xml:space="preserve"> ADDIN ZOTERO_ITEM CSL_CITATION {"citationID":"bz3J4z5J","properties":{"formattedCitation":"\\super 67\\nosupersub{}","plainCitation":"67","noteIndex":0},"citationItems":[{"id":12260,"uris":["http://zotero.org/users/6423791/items/7WTH59GM"],"itemData":{"id":12260,"type":"article-journal","abstract":"The inclusion of insect protein into the food system has been proposed as a promising solution to ensure future food security and mitigate negative environmental impacts related to food production. However, the market volume for edible insects in Europe is still small; consequently, producers need a decision-support system to ensure the sustainable upscaling of the sector. The study analyzed environmental and economic impacts of insect production to identify the most eco-efficient production scenarios.","container-title":"The International Journal of Life Cycle Assessment","DOI":"10.1007/s11367-021-01986-y","ISSN":"1614-7502","journalAbbreviation":"Int J Life Cycle Assess","language":"en","source":"Springer Link","title":"A modular environmental and economic assessment applied to the production of Hermetia illucens larvae as a protein source for food and feed","URL":"https://doi.org/10.1007/s11367-021-01986-y","author":[{"family":"Spykman","given":"Raphaela"},{"family":"Hossaini","given":"Sayed Mahdi"},{"family":"Peguero","given":"Daniela A."},{"family":"Green","given":"Ashley"},{"family":"Heinz","given":"Volker"},{"family":"Smetana","given":"Sergiy"}],"accessed":{"date-parts":[["2021",10,14]]},"issued":{"date-parts":[["2021",10,9]]}}}],"schema":"https://github.com/citation-style-language/schema/raw/master/csl-citation.json"} </w:instrText>
      </w:r>
      <w:r w:rsidRPr="003F5DA8">
        <w:rPr>
          <w:rFonts w:cs="Times New Roman"/>
        </w:rPr>
        <w:fldChar w:fldCharType="separate"/>
      </w:r>
      <w:r w:rsidR="008C451C" w:rsidRPr="008C451C">
        <w:rPr>
          <w:rFonts w:ascii="Calibri" w:hAnsi="Calibri" w:cs="Calibri"/>
          <w:szCs w:val="24"/>
          <w:vertAlign w:val="superscript"/>
        </w:rPr>
        <w:t>67</w:t>
      </w:r>
      <w:r w:rsidRPr="003F5DA8">
        <w:rPr>
          <w:rFonts w:cs="Times New Roman"/>
        </w:rPr>
        <w:fldChar w:fldCharType="end"/>
      </w:r>
      <w:r w:rsidRPr="003F5DA8">
        <w:rPr>
          <w:rFonts w:cs="Times New Roman"/>
        </w:rPr>
        <w:t>. Then, the rearing substrate was standardized in terms of size (towards 0.5-2mm) through successive comminution and crushing/grinding operations and moisture content (</w:t>
      </w:r>
      <w:r w:rsidR="00E819F5" w:rsidRPr="00E819F5">
        <w:rPr>
          <w:b/>
        </w:rPr>
        <w:fldChar w:fldCharType="begin"/>
      </w:r>
      <w:r w:rsidR="00E819F5" w:rsidRPr="00E819F5">
        <w:rPr>
          <w:rFonts w:cs="Times New Roman"/>
          <w:b/>
        </w:rPr>
        <w:instrText xml:space="preserve"> REF _Ref144803461 \h </w:instrText>
      </w:r>
      <w:r w:rsidR="00E819F5" w:rsidRPr="00E819F5">
        <w:rPr>
          <w:b/>
        </w:rPr>
        <w:instrText xml:space="preserve"> \* MERGEFORMAT </w:instrText>
      </w:r>
      <w:r w:rsidR="00E819F5" w:rsidRPr="00E819F5">
        <w:rPr>
          <w:b/>
        </w:rPr>
      </w:r>
      <w:r w:rsidR="00E819F5" w:rsidRPr="00E819F5">
        <w:rPr>
          <w:b/>
        </w:rPr>
        <w:fldChar w:fldCharType="separate"/>
      </w:r>
      <w:r w:rsidR="00F25F8C" w:rsidRPr="00F25F8C">
        <w:rPr>
          <w:b/>
        </w:rPr>
        <w:t xml:space="preserve">Table SI. </w:t>
      </w:r>
      <w:r w:rsidR="00F25F8C" w:rsidRPr="00F25F8C">
        <w:rPr>
          <w:b/>
          <w:noProof/>
        </w:rPr>
        <w:t>28</w:t>
      </w:r>
      <w:r w:rsidR="00E819F5" w:rsidRPr="00E819F5">
        <w:rPr>
          <w:b/>
        </w:rPr>
        <w:fldChar w:fldCharType="end"/>
      </w:r>
      <w:r w:rsidRPr="003F5DA8">
        <w:rPr>
          <w:rFonts w:cs="Times New Roman"/>
        </w:rPr>
        <w:t xml:space="preserve">). To do so, water was either added if moisture content was initially too low, or passive (gravitational) water draining towards target </w:t>
      </w:r>
      <w:r w:rsidR="00E819F5">
        <w:rPr>
          <w:rFonts w:cs="Times New Roman"/>
        </w:rPr>
        <w:t xml:space="preserve">moisture </w:t>
      </w:r>
      <w:r w:rsidRPr="003F5DA8">
        <w:rPr>
          <w:rFonts w:cs="Times New Roman"/>
        </w:rPr>
        <w:t xml:space="preserve">content was assumed if the content was initially too high. </w:t>
      </w:r>
      <w:r w:rsidR="00E819F5">
        <w:rPr>
          <w:rFonts w:cs="Times New Roman"/>
        </w:rPr>
        <w:t>The r</w:t>
      </w:r>
      <w:r w:rsidRPr="003F5DA8">
        <w:rPr>
          <w:rFonts w:cs="Times New Roman"/>
        </w:rPr>
        <w:t>est of utilities and operations</w:t>
      </w:r>
      <w:r w:rsidR="00E819F5">
        <w:rPr>
          <w:rFonts w:cs="Times New Roman"/>
        </w:rPr>
        <w:t xml:space="preserve"> involved in this stage</w:t>
      </w:r>
      <w:r w:rsidRPr="003F5DA8">
        <w:rPr>
          <w:rFonts w:cs="Times New Roman"/>
        </w:rPr>
        <w:t xml:space="preserve"> were assumed as proposed by Spykman et al., 2021</w:t>
      </w:r>
      <w:r w:rsidRPr="003F5DA8">
        <w:rPr>
          <w:rFonts w:cs="Times New Roman"/>
        </w:rPr>
        <w:fldChar w:fldCharType="begin"/>
      </w:r>
      <w:r w:rsidR="008C451C">
        <w:rPr>
          <w:rFonts w:cs="Times New Roman"/>
        </w:rPr>
        <w:instrText xml:space="preserve"> ADDIN ZOTERO_ITEM CSL_CITATION {"citationID":"DS8xw8PW","properties":{"formattedCitation":"\\super 67\\nosupersub{}","plainCitation":"67","noteIndex":0},"citationItems":[{"id":12260,"uris":["http://zotero.org/users/6423791/items/7WTH59GM"],"itemData":{"id":12260,"type":"article-journal","abstract":"The inclusion of insect protein into the food system has been proposed as a promising solution to ensure future food security and mitigate negative environmental impacts related to food production. However, the market volume for edible insects in Europe is still small; consequently, producers need a decision-support system to ensure the sustainable upscaling of the sector. The study analyzed environmental and economic impacts of insect production to identify the most eco-efficient production scenarios.","container-title":"The International Journal of Life Cycle Assessment","DOI":"10.1007/s11367-021-01986-y","ISSN":"1614-7502","journalAbbreviation":"Int J Life Cycle Assess","language":"en","source":"Springer Link","title":"A modular environmental and economic assessment applied to the production of Hermetia illucens larvae as a protein source for food and feed","URL":"https://doi.org/10.1007/s11367-021-01986-y","author":[{"family":"Spykman","given":"Raphaela"},{"family":"Hossaini","given":"Sayed Mahdi"},{"family":"Peguero","given":"Daniela A."},{"family":"Green","given":"Ashley"},{"family":"Heinz","given":"Volker"},{"family":"Smetana","given":"Sergiy"}],"accessed":{"date-parts":[["2021",10,14]]},"issued":{"date-parts":[["2021",10,9]]}}}],"schema":"https://github.com/citation-style-language/schema/raw/master/csl-citation.json"} </w:instrText>
      </w:r>
      <w:r w:rsidRPr="003F5DA8">
        <w:rPr>
          <w:rFonts w:cs="Times New Roman"/>
        </w:rPr>
        <w:fldChar w:fldCharType="separate"/>
      </w:r>
      <w:r w:rsidR="008C451C" w:rsidRPr="008C451C">
        <w:rPr>
          <w:rFonts w:ascii="Calibri" w:hAnsi="Calibri" w:cs="Calibri"/>
          <w:szCs w:val="24"/>
          <w:vertAlign w:val="superscript"/>
        </w:rPr>
        <w:t>67</w:t>
      </w:r>
      <w:r w:rsidRPr="003F5DA8">
        <w:rPr>
          <w:rFonts w:cs="Times New Roman"/>
        </w:rPr>
        <w:fldChar w:fldCharType="end"/>
      </w:r>
      <w:r w:rsidRPr="003F5DA8">
        <w:rPr>
          <w:rFonts w:cs="Times New Roman"/>
        </w:rPr>
        <w:t>. Emerging pretreatment operations to increase BSF FCR or uptake of residual biomass feedstocks (e.g. fermentation)</w:t>
      </w:r>
      <w:r w:rsidRPr="003F5DA8">
        <w:rPr>
          <w:rFonts w:cs="Times New Roman"/>
        </w:rPr>
        <w:fldChar w:fldCharType="begin"/>
      </w:r>
      <w:r w:rsidR="00942782">
        <w:rPr>
          <w:rFonts w:cs="Times New Roman"/>
        </w:rPr>
        <w:instrText xml:space="preserve"> ADDIN ZOTERO_ITEM CSL_CITATION {"citationID":"a19h12ltn1q","properties":{"formattedCitation":"\\super 72,73\\nosupersub{}","plainCitation":"72,73","noteIndex":0},"citationItems":[{"id":13837,"uris":["http://zotero.org/users/6423791/items/I9P9IYVZ"],"itemData":{"id":13837,"type":"article-journal","abstract":"The use of black soldier fly larvae (BSFL) in livestock farming and aquaculture as an alternative protein source sheds light on sustainable development of agriculture. The aims of this scientific note were to address the recent progress and the challenges specifically in the research of BSFL rearing using locally available organic waste as feedstock. It has been found that the pre-treatment of feedstock with blending and fermentation methods increases nutrient content and palatability. Studies examining bioconversion of feedstock, growth performance and protein production of BSFL are highlighted. Moving towards Industry 4.0, the Internet of Things (IoT) and automated smart farming systems have been proposed and implemented recently to establish a sustainable agriculture system in BSFL rearing industry. Notwithstanding, much work is still required on the post-harvest processing techniques and the application of advanced technologies to standardize BSFL protein quality. The resolution of industrialization challenges will comprehend the sustainable production and the potential applications of BSFL protein.","container-title":"International Journal of Tropical Insect Science","DOI":"10.1007/s42690-022-00916-1","ISSN":"1742-7592","journalAbbreviation":"Int J Trop Insect Sci","language":"en","source":"Springer Link","title":"Black soldier fly (Hermetia illucens L.) larvae in degrading agricultural waste as a sustainable protein production: feedstock modification and challenges","title-short":"Black soldier fly (Hermetia illucens L.) larvae in degrading agricultural waste as a sustainable protein production","URL":"https://doi.org/10.1007/s42690-022-00916-1","author":[{"family":"Ee","given":"Kah Yaw"},{"family":"Lam","given":"Ming Quan"},{"family":"Mah","given":"Jun Kit"},{"family":"Merican","given":"Amirul"}],"accessed":{"date-parts":[["2022",11,1]]},"issued":{"date-parts":[["2022",10,28]]}}},{"id":14346,"uris":["http://zotero.org/users/6423791/items/QQ3GDLB8"],"itemData":{"id":14346,"type":"article-journal","abstract":"The escalating global food waste (FW) issues necessitate sustainable management strategies. Black soldier fly larvae (BSFL) offer a promising solution for FW management by converting organic matter into insect protein. However, the fermentation of FW during production, collection, and transportation induces changes in FW’s physicochemical properties and bacterial communities, requiring further exploration of its impact on BSFL growth and gut microbiota. The results showed that feeding FW fermented for different durations (0–10 d) slightly affected the BSFL yield. Feeding FW fermented for 8 d, characterized by a lower pH and higher biodiversity, resulted in a slight increase in larval biomass (222 mg/larvae). Nearly all groups harvested the peak larval biomass after 10 day’s bioconversion. The fermentation significantly altered the microbial community of FW, with an increase in the abundance of unclassified_f_Clostridiaceae and a decrease in Lactobacillus abundance. As bioconversion progressed, intricate and mutualistic microbial interactions likely occurred between the BSFL gut and FW substrate, restructuring each other’s microbial community. Specifically, the abundance of unclassified_f_Clostridiaceae increased in the BSFL gut, while its abundance in the initial larval gut was extremely low (&lt;1 %). Despite the substrate microbial changes and interactions, a stable core gut microbiota was identified across all BSFL samples, primarily composed of nine genera dominated by Enterococcus and Klebsiella. This core gut microbiome may play a crucial role in facilitating the adaptation of BSFL to various environmental conditions and maintaining efficient FW bioconversion. These findings enhance our understanding of the role of BSFL gut microbiota in FW bioconversion.","container-title":"Waste Management","DOI":"10.1016/j.wasman.2023.10.002","ISSN":"0956-053X","journalAbbreviation":"Waste Management","page":"580-589","source":"ScienceDirect","title":"Revealing the effects of fermented food waste on the growth and intestinal microorganisms of black soldier fly (Hermetia illucens) larvae","volume":"171","author":[{"family":"Quan","given":"Jiawei"},{"family":"Wang","given":"Yu"},{"family":"Cheng","given":"Xiang"},{"family":"Li","given":"Chunxing"},{"family":"Yuan","given":"Zengwei"}],"issued":{"date-parts":[["2023",11,1]]}}}],"schema":"https://github.com/citation-style-language/schema/raw/master/csl-citation.json"} </w:instrText>
      </w:r>
      <w:r w:rsidRPr="003F5DA8">
        <w:rPr>
          <w:rFonts w:cs="Times New Roman"/>
        </w:rPr>
        <w:fldChar w:fldCharType="separate"/>
      </w:r>
      <w:r w:rsidR="00942782" w:rsidRPr="00942782">
        <w:rPr>
          <w:rFonts w:ascii="Calibri" w:hAnsi="Calibri" w:cs="Calibri"/>
          <w:szCs w:val="24"/>
          <w:vertAlign w:val="superscript"/>
        </w:rPr>
        <w:t>72,73</w:t>
      </w:r>
      <w:r w:rsidRPr="003F5DA8">
        <w:rPr>
          <w:rFonts w:cs="Times New Roman"/>
        </w:rPr>
        <w:fldChar w:fldCharType="end"/>
      </w:r>
      <w:r w:rsidRPr="003F5DA8">
        <w:rPr>
          <w:rFonts w:cs="Times New Roman"/>
        </w:rPr>
        <w:t xml:space="preserve"> were not directly considered. These effects (and any techniques to include residues in BSF diets even at low rates</w:t>
      </w:r>
      <w:r w:rsidRPr="003F5DA8">
        <w:rPr>
          <w:rFonts w:cs="Times New Roman"/>
        </w:rPr>
        <w:fldChar w:fldCharType="begin"/>
      </w:r>
      <w:r w:rsidR="00942782">
        <w:rPr>
          <w:rFonts w:cs="Times New Roman"/>
        </w:rPr>
        <w:instrText xml:space="preserve"> ADDIN ZOTERO_ITEM CSL_CITATION {"citationID":"XICsBu0x","properties":{"formattedCitation":"\\super 74\\nosupersub{}","plainCitation":"74","noteIndex":0},"citationItems":[{"id":13964,"uris":["http://zotero.org/users/6423791/items/ML6A5YDG"],"itemData":{"id":13964,"type":"article-journal","abstract":"Circular economy principles aim to maintain resources in the economic circle. Accordingly, the use of agricultural waste and its transformation into novel products is a smart approach that creates benefits for the environment, industries and consumers. Herein, we conjugated the principles of circular economy with the search for novel sustainable functional foods, transforming agricultural food chain by-products into feed supplements for Tenebrio molitor larvae (TML) feeding. Accordingly, tomato peels and seeds (TPS) stemming from the tomato sauce production, as well as olive (Olea europaea) and mastic (Pistacia lentiscus) leaves (OEL and PLL) from pruning were finely pulverised and used as feed supplements. All the diet supplements efficiently supported larval growth, offering optimal values of larvae mean body weight and survival rate. Interestingly, both total phenol content and antioxidant activities increased compared to the control, thanks to the accumulation of active compounds with hydrophilic or lipophilic characteristics. In addition, the fatty acids composition was determined, revealing a beneficial reduction of omega-6 (n-6)/omega-3 (n-3) ratio. Taken together, our results strongly support TPS, OEL and PLL use as smart breeding supplements, able to increase the antioxidant activity and ameliorate fatty acid profile of TML with important applications in human and animal nutrition.","container-title":"Journal of Insects as Food and Feed","DOI":"10.3920/JIFF2022.0090","note":"publisher: Wageningen Academic Publishers","page":"1-12","source":"wageningenacademic.com (Atypon)","title":"Efficient use of agricultural waste to naturally fortify Tenebrio molitor mealworms and evaluation of their nutraceutical properties","author":[{"family":"Brai","given":"A."},{"family":"Poggialini","given":"F."},{"family":"Trivisani","given":"C.i."},{"family":"Vagaggini","given":"C."},{"family":"Tarchi","given":"F."},{"family":"Francardi","given":"V."},{"family":"Dreassi","given":"E."}],"issued":{"date-parts":[["2022",12,13]]}}}],"schema":"https://github.com/citation-style-language/schema/raw/master/csl-citation.json"} </w:instrText>
      </w:r>
      <w:r w:rsidRPr="003F5DA8">
        <w:rPr>
          <w:rFonts w:cs="Times New Roman"/>
        </w:rPr>
        <w:fldChar w:fldCharType="separate"/>
      </w:r>
      <w:r w:rsidR="00942782" w:rsidRPr="00942782">
        <w:rPr>
          <w:rFonts w:ascii="Calibri" w:hAnsi="Calibri" w:cs="Calibri"/>
          <w:szCs w:val="24"/>
          <w:vertAlign w:val="superscript"/>
        </w:rPr>
        <w:t>74</w:t>
      </w:r>
      <w:r w:rsidRPr="003F5DA8">
        <w:rPr>
          <w:rFonts w:cs="Times New Roman"/>
        </w:rPr>
        <w:fldChar w:fldCharType="end"/>
      </w:r>
      <w:r w:rsidRPr="003F5DA8">
        <w:rPr>
          <w:rFonts w:cs="Times New Roman"/>
        </w:rPr>
        <w:t>) were rather indirectly considered through the insects performance parameters.</w:t>
      </w:r>
    </w:p>
    <w:p w14:paraId="569AD3B9" w14:textId="438B256D" w:rsidR="006458E0" w:rsidRPr="004975C4" w:rsidRDefault="00874128" w:rsidP="006B5342">
      <w:pPr>
        <w:pStyle w:val="Lgende"/>
        <w:jc w:val="left"/>
        <w:rPr>
          <w:rFonts w:cs="Times New Roman"/>
          <w:b w:val="0"/>
          <w:i/>
        </w:rPr>
      </w:pPr>
      <w:bookmarkStart w:id="139" w:name="_Ref144803461"/>
      <w:bookmarkStart w:id="140" w:name="_Toc134537668"/>
      <w:bookmarkStart w:id="141" w:name="_Toc151967912"/>
      <w:r>
        <w:t>Table SI.</w:t>
      </w:r>
      <w:r w:rsidR="006458E0">
        <w:t xml:space="preserve"> </w:t>
      </w:r>
      <w:r>
        <w:fldChar w:fldCharType="begin"/>
      </w:r>
      <w:r>
        <w:instrText xml:space="preserve"> SEQ Table_SI. \* ARABIC </w:instrText>
      </w:r>
      <w:r>
        <w:fldChar w:fldCharType="separate"/>
      </w:r>
      <w:r w:rsidR="00F25F8C">
        <w:rPr>
          <w:noProof/>
        </w:rPr>
        <w:t>28</w:t>
      </w:r>
      <w:r>
        <w:fldChar w:fldCharType="end"/>
      </w:r>
      <w:bookmarkEnd w:id="139"/>
      <w:r w:rsidR="006458E0">
        <w:t xml:space="preserve"> </w:t>
      </w:r>
      <w:r w:rsidR="006458E0" w:rsidRPr="00B56B39">
        <w:rPr>
          <w:rFonts w:cs="Times New Roman"/>
        </w:rPr>
        <w:t>– BSF pretreatment modeling parameters</w:t>
      </w:r>
      <w:bookmarkEnd w:id="140"/>
      <w:bookmarkEnd w:id="141"/>
    </w:p>
    <w:tbl>
      <w:tblPr>
        <w:tblStyle w:val="Tableausimple2"/>
        <w:tblW w:w="0" w:type="auto"/>
        <w:jc w:val="center"/>
        <w:tblLook w:val="04A0" w:firstRow="1" w:lastRow="0" w:firstColumn="1" w:lastColumn="0" w:noHBand="0" w:noVBand="1"/>
      </w:tblPr>
      <w:tblGrid>
        <w:gridCol w:w="1925"/>
        <w:gridCol w:w="1006"/>
        <w:gridCol w:w="699"/>
        <w:gridCol w:w="1048"/>
        <w:gridCol w:w="4394"/>
      </w:tblGrid>
      <w:tr w:rsidR="006458E0" w:rsidRPr="00981F01" w14:paraId="6442A3DB" w14:textId="77777777" w:rsidTr="00981F0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0CB953AD" w14:textId="77777777" w:rsidR="006458E0" w:rsidRPr="00981F01" w:rsidRDefault="006458E0" w:rsidP="006458E0">
            <w:pPr>
              <w:jc w:val="right"/>
              <w:rPr>
                <w:sz w:val="18"/>
                <w:szCs w:val="18"/>
              </w:rPr>
            </w:pPr>
            <w:r w:rsidRPr="00981F01">
              <w:rPr>
                <w:sz w:val="18"/>
                <w:szCs w:val="18"/>
              </w:rPr>
              <w:t>Parameter</w:t>
            </w:r>
          </w:p>
        </w:tc>
        <w:tc>
          <w:tcPr>
            <w:tcW w:w="1006" w:type="dxa"/>
          </w:tcPr>
          <w:p w14:paraId="3CCBC3CD" w14:textId="77777777" w:rsidR="006458E0" w:rsidRPr="00981F01"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981F01">
              <w:rPr>
                <w:sz w:val="18"/>
                <w:szCs w:val="18"/>
              </w:rPr>
              <w:t>Unit</w:t>
            </w:r>
          </w:p>
        </w:tc>
        <w:tc>
          <w:tcPr>
            <w:tcW w:w="699" w:type="dxa"/>
          </w:tcPr>
          <w:p w14:paraId="702372E6" w14:textId="77777777" w:rsidR="006458E0" w:rsidRPr="00981F01"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981F01">
              <w:rPr>
                <w:sz w:val="18"/>
                <w:szCs w:val="18"/>
              </w:rPr>
              <w:t>Value</w:t>
            </w:r>
          </w:p>
        </w:tc>
        <w:tc>
          <w:tcPr>
            <w:tcW w:w="1048" w:type="dxa"/>
          </w:tcPr>
          <w:p w14:paraId="1AFBE32F" w14:textId="77777777" w:rsidR="006458E0" w:rsidRPr="00981F01"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981F01">
              <w:rPr>
                <w:sz w:val="18"/>
                <w:szCs w:val="18"/>
              </w:rPr>
              <w:t>Range</w:t>
            </w:r>
          </w:p>
        </w:tc>
        <w:tc>
          <w:tcPr>
            <w:tcW w:w="4394" w:type="dxa"/>
          </w:tcPr>
          <w:p w14:paraId="4C473ED7" w14:textId="77777777" w:rsidR="006458E0" w:rsidRPr="00981F01" w:rsidRDefault="006458E0" w:rsidP="00E9442B">
            <w:pPr>
              <w:cnfStyle w:val="100000000000" w:firstRow="1" w:lastRow="0" w:firstColumn="0" w:lastColumn="0" w:oddVBand="0" w:evenVBand="0" w:oddHBand="0" w:evenHBand="0" w:firstRowFirstColumn="0" w:firstRowLastColumn="0" w:lastRowFirstColumn="0" w:lastRowLastColumn="0"/>
              <w:rPr>
                <w:sz w:val="18"/>
                <w:szCs w:val="18"/>
              </w:rPr>
            </w:pPr>
            <w:r w:rsidRPr="00981F01">
              <w:rPr>
                <w:sz w:val="18"/>
                <w:szCs w:val="18"/>
              </w:rPr>
              <w:t>Comment</w:t>
            </w:r>
          </w:p>
        </w:tc>
      </w:tr>
      <w:tr w:rsidR="006458E0" w:rsidRPr="00981F01" w14:paraId="4C6B972E" w14:textId="77777777" w:rsidTr="00981F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6B94FC05" w14:textId="77777777" w:rsidR="006458E0" w:rsidRPr="00981F01" w:rsidRDefault="006458E0" w:rsidP="006458E0">
            <w:pPr>
              <w:jc w:val="right"/>
              <w:rPr>
                <w:b w:val="0"/>
                <w:sz w:val="18"/>
                <w:szCs w:val="18"/>
              </w:rPr>
            </w:pPr>
            <w:r w:rsidRPr="00981F01">
              <w:rPr>
                <w:b w:val="0"/>
                <w:sz w:val="18"/>
                <w:szCs w:val="18"/>
              </w:rPr>
              <w:t>Storage losses</w:t>
            </w:r>
          </w:p>
        </w:tc>
        <w:tc>
          <w:tcPr>
            <w:tcW w:w="1006" w:type="dxa"/>
          </w:tcPr>
          <w:p w14:paraId="4D95487F"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w:t>
            </w:r>
            <w:r w:rsidRPr="00981F01">
              <w:rPr>
                <w:sz w:val="18"/>
                <w:szCs w:val="18"/>
                <w:vertAlign w:val="subscript"/>
              </w:rPr>
              <w:t>VS</w:t>
            </w:r>
          </w:p>
        </w:tc>
        <w:tc>
          <w:tcPr>
            <w:tcW w:w="699" w:type="dxa"/>
          </w:tcPr>
          <w:p w14:paraId="730B1390"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1%</w:t>
            </w:r>
          </w:p>
        </w:tc>
        <w:tc>
          <w:tcPr>
            <w:tcW w:w="1048" w:type="dxa"/>
          </w:tcPr>
          <w:p w14:paraId="0AFA7CF1"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
        </w:tc>
        <w:tc>
          <w:tcPr>
            <w:tcW w:w="4394" w:type="dxa"/>
            <w:vMerge w:val="restart"/>
          </w:tcPr>
          <w:p w14:paraId="4697E651" w14:textId="751E7014" w:rsidR="006458E0" w:rsidRPr="00981F01"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981F01">
              <w:rPr>
                <w:i/>
                <w:sz w:val="18"/>
                <w:szCs w:val="18"/>
              </w:rPr>
              <w:t>As piling-up lignocellulosic biomass for 1 week (</w:t>
            </w:r>
            <w:r w:rsidR="00981F01" w:rsidRPr="00981F01">
              <w:rPr>
                <w:b/>
                <w:i/>
                <w:sz w:val="18"/>
                <w:szCs w:val="18"/>
              </w:rPr>
              <w:fldChar w:fldCharType="begin"/>
            </w:r>
            <w:r w:rsidR="00981F01" w:rsidRPr="00981F01">
              <w:rPr>
                <w:b/>
                <w:i/>
                <w:sz w:val="18"/>
                <w:szCs w:val="18"/>
              </w:rPr>
              <w:instrText xml:space="preserve"> REF _Ref144912560 \h  \* MERGEFORMAT </w:instrText>
            </w:r>
            <w:r w:rsidR="00981F01" w:rsidRPr="00981F01">
              <w:rPr>
                <w:b/>
                <w:i/>
                <w:sz w:val="18"/>
                <w:szCs w:val="18"/>
              </w:rPr>
            </w:r>
            <w:r w:rsidR="00981F01" w:rsidRPr="00981F01">
              <w:rPr>
                <w:b/>
                <w:i/>
                <w:sz w:val="18"/>
                <w:szCs w:val="18"/>
              </w:rPr>
              <w:fldChar w:fldCharType="separate"/>
            </w:r>
            <w:r w:rsidR="00981F01" w:rsidRPr="00981F01">
              <w:rPr>
                <w:b/>
                <w:i/>
                <w:sz w:val="18"/>
                <w:szCs w:val="18"/>
              </w:rPr>
              <w:t xml:space="preserve">Table SI. </w:t>
            </w:r>
            <w:r w:rsidR="00981F01" w:rsidRPr="00981F01">
              <w:rPr>
                <w:b/>
                <w:i/>
                <w:noProof/>
                <w:sz w:val="18"/>
                <w:szCs w:val="18"/>
              </w:rPr>
              <w:t>95</w:t>
            </w:r>
            <w:r w:rsidR="00981F01" w:rsidRPr="00981F01">
              <w:rPr>
                <w:b/>
                <w:i/>
                <w:sz w:val="18"/>
                <w:szCs w:val="18"/>
              </w:rPr>
              <w:fldChar w:fldCharType="end"/>
            </w:r>
            <w:r w:rsidRPr="00981F01">
              <w:rPr>
                <w:i/>
                <w:sz w:val="18"/>
                <w:szCs w:val="18"/>
              </w:rPr>
              <w:t xml:space="preserve">), range </w:t>
            </w:r>
            <w:r w:rsidRPr="00981F01">
              <w:rPr>
                <w:rFonts w:cstheme="minorHAnsi"/>
                <w:i/>
                <w:sz w:val="18"/>
                <w:szCs w:val="18"/>
              </w:rPr>
              <w:t>±</w:t>
            </w:r>
            <w:r w:rsidRPr="00981F01">
              <w:rPr>
                <w:i/>
                <w:sz w:val="18"/>
                <w:szCs w:val="18"/>
              </w:rPr>
              <w:t>15%</w:t>
            </w:r>
          </w:p>
        </w:tc>
      </w:tr>
      <w:tr w:rsidR="006458E0" w:rsidRPr="00981F01" w14:paraId="6DF8A455" w14:textId="77777777" w:rsidTr="00981F01">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56938CD0" w14:textId="77777777" w:rsidR="006458E0" w:rsidRPr="00981F01" w:rsidRDefault="006458E0" w:rsidP="006458E0">
            <w:pPr>
              <w:jc w:val="right"/>
              <w:rPr>
                <w:b w:val="0"/>
                <w:sz w:val="18"/>
                <w:szCs w:val="18"/>
              </w:rPr>
            </w:pPr>
            <w:r w:rsidRPr="00981F01">
              <w:rPr>
                <w:b w:val="0"/>
                <w:sz w:val="18"/>
                <w:szCs w:val="18"/>
              </w:rPr>
              <w:t>CH</w:t>
            </w:r>
            <w:r w:rsidRPr="00981F01">
              <w:rPr>
                <w:b w:val="0"/>
                <w:sz w:val="18"/>
                <w:szCs w:val="18"/>
                <w:vertAlign w:val="subscript"/>
              </w:rPr>
              <w:t>4</w:t>
            </w:r>
            <w:r w:rsidRPr="00981F01">
              <w:rPr>
                <w:b w:val="0"/>
                <w:sz w:val="18"/>
                <w:szCs w:val="18"/>
              </w:rPr>
              <w:t>-C storage</w:t>
            </w:r>
          </w:p>
        </w:tc>
        <w:tc>
          <w:tcPr>
            <w:tcW w:w="1006" w:type="dxa"/>
          </w:tcPr>
          <w:p w14:paraId="758DDDE0"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g</w:t>
            </w:r>
            <w:r w:rsidRPr="00981F01">
              <w:rPr>
                <w:sz w:val="18"/>
                <w:szCs w:val="18"/>
                <w:vertAlign w:val="subscript"/>
              </w:rPr>
              <w:t>CH4</w:t>
            </w:r>
            <w:r w:rsidRPr="00981F01">
              <w:rPr>
                <w:sz w:val="18"/>
                <w:szCs w:val="18"/>
              </w:rPr>
              <w:t>.kg</w:t>
            </w:r>
            <w:r w:rsidRPr="00981F01">
              <w:rPr>
                <w:sz w:val="18"/>
                <w:szCs w:val="18"/>
                <w:vertAlign w:val="subscript"/>
              </w:rPr>
              <w:t>VS</w:t>
            </w:r>
            <w:r w:rsidRPr="00981F01">
              <w:rPr>
                <w:sz w:val="18"/>
                <w:szCs w:val="18"/>
                <w:vertAlign w:val="superscript"/>
              </w:rPr>
              <w:t>-1</w:t>
            </w:r>
          </w:p>
        </w:tc>
        <w:tc>
          <w:tcPr>
            <w:tcW w:w="699" w:type="dxa"/>
          </w:tcPr>
          <w:p w14:paraId="5E85E42B"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1</w:t>
            </w:r>
          </w:p>
        </w:tc>
        <w:tc>
          <w:tcPr>
            <w:tcW w:w="1048" w:type="dxa"/>
          </w:tcPr>
          <w:p w14:paraId="518F20F5"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0.85-1.15</w:t>
            </w:r>
          </w:p>
        </w:tc>
        <w:tc>
          <w:tcPr>
            <w:tcW w:w="4394" w:type="dxa"/>
            <w:vMerge/>
          </w:tcPr>
          <w:p w14:paraId="7AF040F3" w14:textId="77777777" w:rsidR="006458E0" w:rsidRPr="00981F01"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p>
        </w:tc>
      </w:tr>
      <w:tr w:rsidR="006458E0" w:rsidRPr="00981F01" w14:paraId="6F347C11" w14:textId="77777777" w:rsidTr="00981F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76C54D08" w14:textId="77777777" w:rsidR="006458E0" w:rsidRPr="00981F01" w:rsidRDefault="006458E0" w:rsidP="006458E0">
            <w:pPr>
              <w:jc w:val="right"/>
              <w:rPr>
                <w:b w:val="0"/>
                <w:sz w:val="18"/>
                <w:szCs w:val="18"/>
              </w:rPr>
            </w:pPr>
            <w:r w:rsidRPr="00981F01">
              <w:rPr>
                <w:b w:val="0"/>
                <w:sz w:val="18"/>
                <w:szCs w:val="18"/>
              </w:rPr>
              <w:t>Refrigeration</w:t>
            </w:r>
          </w:p>
        </w:tc>
        <w:tc>
          <w:tcPr>
            <w:tcW w:w="1006" w:type="dxa"/>
          </w:tcPr>
          <w:p w14:paraId="0A292B5D"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kWh.t</w:t>
            </w:r>
            <w:r w:rsidRPr="00981F01">
              <w:rPr>
                <w:sz w:val="18"/>
                <w:szCs w:val="18"/>
                <w:vertAlign w:val="subscript"/>
              </w:rPr>
              <w:t>ww</w:t>
            </w:r>
            <w:r w:rsidRPr="00981F01">
              <w:rPr>
                <w:sz w:val="18"/>
                <w:szCs w:val="18"/>
                <w:vertAlign w:val="superscript"/>
              </w:rPr>
              <w:t>-1</w:t>
            </w:r>
          </w:p>
        </w:tc>
        <w:tc>
          <w:tcPr>
            <w:tcW w:w="699" w:type="dxa"/>
          </w:tcPr>
          <w:p w14:paraId="68714136"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3</w:t>
            </w:r>
          </w:p>
        </w:tc>
        <w:tc>
          <w:tcPr>
            <w:tcW w:w="1048" w:type="dxa"/>
          </w:tcPr>
          <w:p w14:paraId="5BDF97D2"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
        </w:tc>
        <w:tc>
          <w:tcPr>
            <w:tcW w:w="4394" w:type="dxa"/>
          </w:tcPr>
          <w:p w14:paraId="2BD04003" w14:textId="01DCFB97" w:rsidR="006458E0" w:rsidRPr="00981F01"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981F01">
              <w:rPr>
                <w:i/>
                <w:sz w:val="18"/>
                <w:szCs w:val="18"/>
              </w:rPr>
              <w:t>One week, only for perishable streams</w:t>
            </w:r>
            <w:r w:rsidRPr="00981F01">
              <w:rPr>
                <w:i/>
                <w:sz w:val="18"/>
                <w:szCs w:val="18"/>
              </w:rPr>
              <w:fldChar w:fldCharType="begin"/>
            </w:r>
            <w:r w:rsidR="008C451C">
              <w:rPr>
                <w:i/>
                <w:sz w:val="18"/>
                <w:szCs w:val="18"/>
              </w:rPr>
              <w:instrText xml:space="preserve"> ADDIN ZOTERO_ITEM CSL_CITATION {"citationID":"mPpsKbWD","properties":{"formattedCitation":"\\super 67\\nosupersub{}","plainCitation":"67","noteIndex":0},"citationItems":[{"id":12260,"uris":["http://zotero.org/users/6423791/items/7WTH59GM"],"itemData":{"id":12260,"type":"article-journal","abstract":"The inclusion of insect protein into the food system has been proposed as a promising solution to ensure future food security and mitigate negative environmental impacts related to food production. However, the market volume for edible insects in Europe is still small; consequently, producers need a decision-support system to ensure the sustainable upscaling of the sector. The study analyzed environmental and economic impacts of insect production to identify the most eco-efficient production scenarios.","container-title":"The International Journal of Life Cycle Assessment","DOI":"10.1007/s11367-021-01986-y","ISSN":"1614-7502","journalAbbreviation":"Int J Life Cycle Assess","language":"en","source":"Springer Link","title":"A modular environmental and economic assessment applied to the production of Hermetia illucens larvae as a protein source for food and feed","URL":"https://doi.org/10.1007/s11367-021-01986-y","author":[{"family":"Spykman","given":"Raphaela"},{"family":"Hossaini","given":"Sayed Mahdi"},{"family":"Peguero","given":"Daniela A."},{"family":"Green","given":"Ashley"},{"family":"Heinz","given":"Volker"},{"family":"Smetana","given":"Sergiy"}],"accessed":{"date-parts":[["2021",10,14]]},"issued":{"date-parts":[["2021",10,9]]}}}],"schema":"https://github.com/citation-style-language/schema/raw/master/csl-citation.json"} </w:instrText>
            </w:r>
            <w:r w:rsidRPr="00981F01">
              <w:rPr>
                <w:i/>
                <w:sz w:val="18"/>
                <w:szCs w:val="18"/>
              </w:rPr>
              <w:fldChar w:fldCharType="separate"/>
            </w:r>
            <w:r w:rsidR="008C451C" w:rsidRPr="008C451C">
              <w:rPr>
                <w:rFonts w:ascii="Calibri" w:hAnsi="Calibri" w:cs="Calibri"/>
                <w:sz w:val="18"/>
                <w:szCs w:val="24"/>
                <w:vertAlign w:val="superscript"/>
              </w:rPr>
              <w:t>67</w:t>
            </w:r>
            <w:r w:rsidRPr="00981F01">
              <w:rPr>
                <w:i/>
                <w:sz w:val="18"/>
                <w:szCs w:val="18"/>
              </w:rPr>
              <w:fldChar w:fldCharType="end"/>
            </w:r>
          </w:p>
        </w:tc>
      </w:tr>
      <w:tr w:rsidR="006458E0" w:rsidRPr="00981F01" w14:paraId="7382FFF9" w14:textId="77777777" w:rsidTr="00981F01">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4B88953B" w14:textId="77777777" w:rsidR="006458E0" w:rsidRPr="00981F01" w:rsidRDefault="006458E0" w:rsidP="006458E0">
            <w:pPr>
              <w:jc w:val="right"/>
              <w:rPr>
                <w:b w:val="0"/>
                <w:sz w:val="18"/>
                <w:szCs w:val="18"/>
              </w:rPr>
            </w:pPr>
            <w:r w:rsidRPr="00981F01">
              <w:rPr>
                <w:b w:val="0"/>
                <w:sz w:val="18"/>
                <w:szCs w:val="18"/>
              </w:rPr>
              <w:t>Decontamination energy</w:t>
            </w:r>
          </w:p>
        </w:tc>
        <w:tc>
          <w:tcPr>
            <w:tcW w:w="1006" w:type="dxa"/>
          </w:tcPr>
          <w:p w14:paraId="51D1D86A"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kWh.t</w:t>
            </w:r>
            <w:r w:rsidRPr="00981F01">
              <w:rPr>
                <w:sz w:val="18"/>
                <w:szCs w:val="18"/>
                <w:vertAlign w:val="subscript"/>
              </w:rPr>
              <w:t>ww</w:t>
            </w:r>
            <w:r w:rsidRPr="00981F01">
              <w:rPr>
                <w:sz w:val="18"/>
                <w:szCs w:val="18"/>
                <w:vertAlign w:val="superscript"/>
              </w:rPr>
              <w:t>-1</w:t>
            </w:r>
          </w:p>
        </w:tc>
        <w:tc>
          <w:tcPr>
            <w:tcW w:w="699" w:type="dxa"/>
          </w:tcPr>
          <w:p w14:paraId="7A684E7E"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26.5</w:t>
            </w:r>
          </w:p>
        </w:tc>
        <w:tc>
          <w:tcPr>
            <w:tcW w:w="1048" w:type="dxa"/>
          </w:tcPr>
          <w:p w14:paraId="0E983EDF"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3-50</w:t>
            </w:r>
          </w:p>
        </w:tc>
        <w:tc>
          <w:tcPr>
            <w:tcW w:w="4394" w:type="dxa"/>
          </w:tcPr>
          <w:p w14:paraId="01B0B7AC" w14:textId="1CB2AF1D" w:rsidR="006458E0" w:rsidRPr="00981F01"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981F01">
              <w:rPr>
                <w:i/>
                <w:sz w:val="18"/>
                <w:szCs w:val="18"/>
              </w:rPr>
              <w:t>Review of available technologies</w:t>
            </w:r>
            <w:r w:rsidRPr="00981F01">
              <w:rPr>
                <w:i/>
                <w:sz w:val="18"/>
                <w:szCs w:val="18"/>
              </w:rPr>
              <w:fldChar w:fldCharType="begin"/>
            </w:r>
            <w:r w:rsidR="008C451C">
              <w:rPr>
                <w:i/>
                <w:sz w:val="18"/>
                <w:szCs w:val="18"/>
              </w:rPr>
              <w:instrText xml:space="preserve"> ADDIN ZOTERO_ITEM CSL_CITATION {"citationID":"kJVCd1UI","properties":{"formattedCitation":"\\super 67\\nosupersub{}","plainCitation":"67","noteIndex":0},"citationItems":[{"id":12260,"uris":["http://zotero.org/users/6423791/items/7WTH59GM"],"itemData":{"id":12260,"type":"article-journal","abstract":"The inclusion of insect protein into the food system has been proposed as a promising solution to ensure future food security and mitigate negative environmental impacts related to food production. However, the market volume for edible insects in Europe is still small; consequently, producers need a decision-support system to ensure the sustainable upscaling of the sector. The study analyzed environmental and economic impacts of insect production to identify the most eco-efficient production scenarios.","container-title":"The International Journal of Life Cycle Assessment","DOI":"10.1007/s11367-021-01986-y","ISSN":"1614-7502","journalAbbreviation":"Int J Life Cycle Assess","language":"en","source":"Springer Link","title":"A modular environmental and economic assessment applied to the production of Hermetia illucens larvae as a protein source for food and feed","URL":"https://doi.org/10.1007/s11367-021-01986-y","author":[{"family":"Spykman","given":"Raphaela"},{"family":"Hossaini","given":"Sayed Mahdi"},{"family":"Peguero","given":"Daniela A."},{"family":"Green","given":"Ashley"},{"family":"Heinz","given":"Volker"},{"family":"Smetana","given":"Sergiy"}],"accessed":{"date-parts":[["2021",10,14]]},"issued":{"date-parts":[["2021",10,9]]}}}],"schema":"https://github.com/citation-style-language/schema/raw/master/csl-citation.json"} </w:instrText>
            </w:r>
            <w:r w:rsidRPr="00981F01">
              <w:rPr>
                <w:i/>
                <w:sz w:val="18"/>
                <w:szCs w:val="18"/>
              </w:rPr>
              <w:fldChar w:fldCharType="separate"/>
            </w:r>
            <w:r w:rsidR="008C451C" w:rsidRPr="008C451C">
              <w:rPr>
                <w:rFonts w:ascii="Calibri" w:hAnsi="Calibri" w:cs="Calibri"/>
                <w:sz w:val="18"/>
                <w:szCs w:val="24"/>
                <w:vertAlign w:val="superscript"/>
              </w:rPr>
              <w:t>67</w:t>
            </w:r>
            <w:r w:rsidRPr="00981F01">
              <w:rPr>
                <w:i/>
                <w:sz w:val="18"/>
                <w:szCs w:val="18"/>
              </w:rPr>
              <w:fldChar w:fldCharType="end"/>
            </w:r>
            <w:r w:rsidRPr="00981F01">
              <w:rPr>
                <w:i/>
                <w:sz w:val="18"/>
                <w:szCs w:val="18"/>
              </w:rPr>
              <w:t>, based as average.</w:t>
            </w:r>
          </w:p>
        </w:tc>
      </w:tr>
      <w:tr w:rsidR="006458E0" w:rsidRPr="00981F01" w14:paraId="463F7141" w14:textId="77777777" w:rsidTr="00981F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03A2E009" w14:textId="77777777" w:rsidR="006458E0" w:rsidRPr="00981F01" w:rsidRDefault="006458E0" w:rsidP="006458E0">
            <w:pPr>
              <w:jc w:val="right"/>
              <w:rPr>
                <w:b w:val="0"/>
                <w:sz w:val="18"/>
                <w:szCs w:val="18"/>
              </w:rPr>
            </w:pPr>
            <w:r w:rsidRPr="00981F01">
              <w:rPr>
                <w:b w:val="0"/>
                <w:sz w:val="18"/>
                <w:szCs w:val="18"/>
              </w:rPr>
              <w:t>Target feed DM</w:t>
            </w:r>
          </w:p>
        </w:tc>
        <w:tc>
          <w:tcPr>
            <w:tcW w:w="1006" w:type="dxa"/>
          </w:tcPr>
          <w:p w14:paraId="1A7964F5"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w:t>
            </w:r>
            <w:r w:rsidRPr="00981F01">
              <w:rPr>
                <w:sz w:val="18"/>
                <w:szCs w:val="18"/>
                <w:vertAlign w:val="subscript"/>
              </w:rPr>
              <w:t>DM</w:t>
            </w:r>
          </w:p>
        </w:tc>
        <w:tc>
          <w:tcPr>
            <w:tcW w:w="699" w:type="dxa"/>
          </w:tcPr>
          <w:p w14:paraId="3E22BA82"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30%</w:t>
            </w:r>
          </w:p>
        </w:tc>
        <w:tc>
          <w:tcPr>
            <w:tcW w:w="1048" w:type="dxa"/>
          </w:tcPr>
          <w:p w14:paraId="5559ED35"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20-38%</w:t>
            </w:r>
          </w:p>
        </w:tc>
        <w:tc>
          <w:tcPr>
            <w:tcW w:w="4394" w:type="dxa"/>
          </w:tcPr>
          <w:p w14:paraId="75EDFE3D" w14:textId="1C01277D" w:rsidR="006458E0" w:rsidRPr="00981F01"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981F01">
              <w:rPr>
                <w:i/>
                <w:sz w:val="18"/>
                <w:szCs w:val="18"/>
              </w:rPr>
              <w:t>30% often mentioned</w:t>
            </w:r>
            <w:r w:rsidRPr="00981F01">
              <w:rPr>
                <w:i/>
                <w:sz w:val="18"/>
                <w:szCs w:val="18"/>
              </w:rPr>
              <w:fldChar w:fldCharType="begin"/>
            </w:r>
            <w:r w:rsidR="00942782">
              <w:rPr>
                <w:i/>
                <w:sz w:val="18"/>
                <w:szCs w:val="18"/>
              </w:rPr>
              <w:instrText xml:space="preserve"> ADDIN ZOTERO_ITEM CSL_CITATION {"citationID":"J90PBE5S","properties":{"formattedCitation":"\\super 67,75\\nosupersub{}","plainCitation":"67,75","noteIndex":0},"citationItems":[{"id":12260,"uris":["http://zotero.org/users/6423791/items/7WTH59GM"],"itemData":{"id":12260,"type":"article-journal","abstract":"The inclusion of insect protein into the food system has been proposed as a promising solution to ensure future food security and mitigate negative environmental impacts related to food production. However, the market volume for edible insects in Europe is still small; consequently, producers need a decision-support system to ensure the sustainable upscaling of the sector. The study analyzed environmental and economic impacts of insect production to identify the most eco-efficient production scenarios.","container-title":"The International Journal of Life Cycle Assessment","DOI":"10.1007/s11367-021-01986-y","ISSN":"1614-7502","journalAbbreviation":"Int J Life Cycle Assess","language":"en","source":"Springer Link","title":"A modular environmental and economic assessment applied to the production of Hermetia illucens larvae as a protein source for food and feed","URL":"https://doi.org/10.1007/s11367-021-01986-y","author":[{"family":"Spykman","given":"Raphaela"},{"family":"Hossaini","given":"Sayed Mahdi"},{"family":"Peguero","given":"Daniela A."},{"family":"Green","given":"Ashley"},{"family":"Heinz","given":"Volker"},{"family":"Smetana","given":"Sergiy"}],"accessed":{"date-parts":[["2021",10,14]]},"issued":{"date-parts":[["2021",10,9]]}}},{"id":12295,"uris":["http://zotero.org/users/6423791/items/VVS73WKS"],"itemData":{"id":12295,"type":"article-journal","abstract":"Black soldier fly larvae (BSFL) treatment is promising for organic waste valorisation in the circular economy; however, waste variability impacts the process performance and quality of produced larvae. Specifically, variation in the carbohydrate profile of treated wastes has been suggested to have a significant impact on BSFL treatment performance and quality of produced larvae, with particular carbohydrates either positively or negatively influencing these variables. This study examines the hypothesis that the types of carbohydrates within the substrate can have significant influence on larval survival, waste reduction, bioconversion, and waste conversion efficiency, as well as the crude lipid content and fatty acid profiles of the produced larvae. The carbohydrates explored were D glucose, sucrose, D (−) fructose, corn and wheat starch, D (+) galactose, D (+) mannose, D (+) xylose, D (−) arabinose and xylan from beechwood. Young larvae were grown for 9 days on chicken feed-based diets containing various carbohydrate additives each at 20 dry mass %. Treatments containing hemicellulose constituents galactose and arabinose produced the most adverse effects on process performance relative to the benchmark. Xylan was significantly detrimental to bioconversion (−14.7 ± 3.8%) and waste conversion efficiencies (−19.0 ± 4.4%). There were minimal significant effects on performance from mono- and di-saccharides and starch additives. Larvae crude lipid contents were significantly increased by wheat starch (+12.6 ± 3.0%) and decreased by galactose (−15.0 ± 1.4%) and xylan additives (−27.5 ± 3.4%), however fatty acid profiles were largely unaffected and were dominated by lauric acid. These results indicate that despite an otherwise balanced and nutritious substrate, the carbohydrate profile of organic waste should be an important consideration in BSFL treatment when ensuring process performance and larval lipid contents. The consequences of these results for BSFL treatment of real wastes are discussed. Large scale treatment facilities should formulate substrates accordingly and identify methods to mitigate the anti-nutritional effects of poor carbohydrate profiles, particularly those high in hemicelluloses and their constituents.","container-title":"Waste Management","DOI":"10.1016/j.wasman.2021.10.013","ISSN":"0956-053X","journalAbbreviation":"Waste Management","language":"en","page":"9-19","source":"ScienceDirect","title":"Understanding dietary carbohydrates in black soldier fly larvae treatment of organic waste in the circular economy","volume":"137","author":[{"family":"Cohn","given":"Zachary"},{"family":"Latty","given":"Tanya"},{"family":"Abbas","given":"Ali"}],"issued":{"date-parts":[["2022",1,1]]}}}],"schema":"https://github.com/citation-style-language/schema/raw/master/csl-citation.json"} </w:instrText>
            </w:r>
            <w:r w:rsidRPr="00981F01">
              <w:rPr>
                <w:i/>
                <w:sz w:val="18"/>
                <w:szCs w:val="18"/>
              </w:rPr>
              <w:fldChar w:fldCharType="separate"/>
            </w:r>
            <w:r w:rsidR="00942782" w:rsidRPr="00942782">
              <w:rPr>
                <w:rFonts w:ascii="Calibri" w:hAnsi="Calibri" w:cs="Calibri"/>
                <w:sz w:val="18"/>
                <w:szCs w:val="24"/>
                <w:vertAlign w:val="superscript"/>
              </w:rPr>
              <w:t>67,75</w:t>
            </w:r>
            <w:r w:rsidRPr="00981F01">
              <w:rPr>
                <w:i/>
                <w:sz w:val="18"/>
                <w:szCs w:val="18"/>
              </w:rPr>
              <w:fldChar w:fldCharType="end"/>
            </w:r>
            <w:r w:rsidRPr="00981F01">
              <w:rPr>
                <w:i/>
                <w:sz w:val="18"/>
                <w:szCs w:val="18"/>
              </w:rPr>
              <w:t>, but possible range</w:t>
            </w:r>
            <w:r w:rsidRPr="00981F01">
              <w:rPr>
                <w:i/>
                <w:sz w:val="18"/>
                <w:szCs w:val="18"/>
              </w:rPr>
              <w:fldChar w:fldCharType="begin"/>
            </w:r>
            <w:r w:rsidR="00827449">
              <w:rPr>
                <w:i/>
                <w:sz w:val="18"/>
                <w:szCs w:val="18"/>
              </w:rPr>
              <w:instrText xml:space="preserve"> ADDIN ZOTERO_ITEM CSL_CITATION {"citationID":"7I52cjby","properties":{"formattedCitation":"\\super 76,77\\nosupersub{}","plainCitation":"76,77","noteIndex":0},"citationItems":[{"id":3213,"uris":["http://zotero.org/users/6423791/items/WS8LUFQN"],"itemData":{"id":3213,"type":"report","event-place":"Dübendorf, Switzerland","language":"en","publisher":"Eawag: Swiss Federal Institute of Aquatic Science and Technology","publisher-place":"Dübendorf, Switzerland","source":"Zotero","title":"Black Soldier Fly Biowaste Processing - A Step-by-Step Guide","author":[{"family":"Dortmans","given":"B.M.A."},{"family":"Diener","given":"Stefan"},{"family":"Verstappen","given":"B.M."},{"family":"Zurbrügg","given":"Christian"}],"issued":{"date-parts":[["2017"]]}}},{"id":3227,"uris":["http://zotero.org/users/6423791/items/Y3LCJLWA"],"itemData":{"id":3227,"type":"article-journal","abstract":"This study provided a systematic analysis on material flow and environmental impacts of a food waste (FW) bioconversion plant using black soldier fly larvae (BSFL), with a daily capacity of 15 tons of FW (wet weight). Food waste feed (FWF) used for BSFL bioconversion consisted of 80% FW (collected from households, restaurants, and canteens) and 20% rice hull powder. Material flow analysis conducted on a dry weight basis showed that 6% of FWF was transformed into BSF pre-pupae, 51% was stored in matured compost, and 43% was emitted to the air. Emissions of high environmental concern such as methane, nitrous oxide and ammonia (NH3) were sampled and quantified by laboratory analysis. The life cycle assessment revealed that the overall impact was 17.36 kg CO2-eq/t FW for global warming potential, 5.54 kg SO2-eq/t FW for acidification, 24.05 mol N-eq/t FW for terrestrial eutrophication, 0.54 kg N-eq NH3/t FW for marine eutrophication, and 0.18 kg PM2.5-eq/t FW of particulate matter up to 2.5 μm diameter. Moreover, emissions from post-composting, energy consumptions of drying and chemical fertilizer substitution ratio were detected by contribution analysis as the main contributors to those impacts. Finally, sensitivity analysis indicated that the substitution ratio of mineral fertilizer and protein feed as well as energy consumption were the most influential parameters, therefore control of the post-composting process of residual material should be closely monitored because it was responsible for significant environmental load caused by N-related emissions.","container-title":"Science of The Total Environment","DOI":"10.1016/j.scitotenv.2020.141656","ISSN":"0048-9697","journalAbbreviation":"Sci. Total Environ.","language":"en","page":"141656","source":"ScienceDirect","title":"Material flow analysis and life cycle assessment of food waste bioconversion by black soldier fly larvae (Hermetia illucens L.)","volume":"750","author":[{"family":"Guo","given":"Hanwen"},{"family":"Jiang","given":"Chengliang"},{"family":"Zhang","given":"Zhijian"},{"family":"Lu","given":"Wenjing"},{"family":"Wang","given":"Hongtao"}],"issued":{"date-parts":[["2021",1,1]]}}}],"schema":"https://github.com/citation-style-language/schema/raw/master/csl-citation.json"} </w:instrText>
            </w:r>
            <w:r w:rsidRPr="00981F01">
              <w:rPr>
                <w:i/>
                <w:sz w:val="18"/>
                <w:szCs w:val="18"/>
              </w:rPr>
              <w:fldChar w:fldCharType="separate"/>
            </w:r>
            <w:r w:rsidR="00942782" w:rsidRPr="00942782">
              <w:rPr>
                <w:rFonts w:ascii="Calibri" w:hAnsi="Calibri" w:cs="Calibri"/>
                <w:sz w:val="18"/>
                <w:szCs w:val="24"/>
                <w:vertAlign w:val="superscript"/>
              </w:rPr>
              <w:t>76,77</w:t>
            </w:r>
            <w:r w:rsidRPr="00981F01">
              <w:rPr>
                <w:i/>
                <w:sz w:val="18"/>
                <w:szCs w:val="18"/>
              </w:rPr>
              <w:fldChar w:fldCharType="end"/>
            </w:r>
          </w:p>
        </w:tc>
      </w:tr>
      <w:tr w:rsidR="006458E0" w:rsidRPr="00981F01" w14:paraId="709C4C71" w14:textId="77777777" w:rsidTr="00981F01">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0AE8B7A3" w14:textId="77777777" w:rsidR="006458E0" w:rsidRPr="00981F01" w:rsidRDefault="006458E0" w:rsidP="006458E0">
            <w:pPr>
              <w:jc w:val="right"/>
              <w:rPr>
                <w:b w:val="0"/>
                <w:sz w:val="18"/>
                <w:szCs w:val="18"/>
              </w:rPr>
            </w:pPr>
            <w:r w:rsidRPr="00981F01">
              <w:rPr>
                <w:b w:val="0"/>
                <w:sz w:val="18"/>
                <w:szCs w:val="18"/>
              </w:rPr>
              <w:t>Comminution energy</w:t>
            </w:r>
          </w:p>
        </w:tc>
        <w:tc>
          <w:tcPr>
            <w:tcW w:w="1006" w:type="dxa"/>
          </w:tcPr>
          <w:p w14:paraId="1CD9A6B5"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kWh.t</w:t>
            </w:r>
            <w:r w:rsidRPr="00981F01">
              <w:rPr>
                <w:sz w:val="18"/>
                <w:szCs w:val="18"/>
                <w:vertAlign w:val="subscript"/>
              </w:rPr>
              <w:t>DM</w:t>
            </w:r>
            <w:r w:rsidRPr="00981F01">
              <w:rPr>
                <w:sz w:val="18"/>
                <w:szCs w:val="18"/>
                <w:vertAlign w:val="superscript"/>
              </w:rPr>
              <w:t>-1</w:t>
            </w:r>
          </w:p>
        </w:tc>
        <w:tc>
          <w:tcPr>
            <w:tcW w:w="699" w:type="dxa"/>
          </w:tcPr>
          <w:p w14:paraId="64DD33F6"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7.5</w:t>
            </w:r>
          </w:p>
        </w:tc>
        <w:tc>
          <w:tcPr>
            <w:tcW w:w="1048" w:type="dxa"/>
          </w:tcPr>
          <w:p w14:paraId="151F45C7"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
        </w:tc>
        <w:tc>
          <w:tcPr>
            <w:tcW w:w="4394" w:type="dxa"/>
          </w:tcPr>
          <w:p w14:paraId="6BC49BDD" w14:textId="448EA1BA" w:rsidR="006458E0" w:rsidRPr="00981F01"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981F01">
              <w:rPr>
                <w:i/>
                <w:sz w:val="18"/>
                <w:szCs w:val="18"/>
              </w:rPr>
              <w:fldChar w:fldCharType="begin"/>
            </w:r>
            <w:r w:rsidR="00682E10" w:rsidRPr="00981F01">
              <w:rPr>
                <w:i/>
                <w:sz w:val="18"/>
                <w:szCs w:val="18"/>
              </w:rPr>
              <w:instrText xml:space="preserve"> ADDIN ZOTERO_ITEM CSL_CITATION {"citationID":"yRpswUnR","properties":{"formattedCitation":"\\super 10\\nosupersub{}","plainCitation":"10","noteIndex":0},"citationItems":[{"id":11593,"uris":["http://zotero.org/users/6423791/items/LLHNGSED"],"itemData":{"id":11593,"type":"article-journal","abstract":"Manure-biogas is a renewable energy resource rather untapped in Europe in comparison to its full potential. Given the current and emerging renewable energy targets, considerable increases in its production can be expected. This consequential life cycle assessment (LCA) study investigated the environmental consequences of different co-substrate strategies for reaching drastic increases in manure-biogas production in Denmark. Six co-substrates not already fully used for biogas were considered: energy crops, straw, household food waste, commercial food waste, garden waste and the solid fraction deriving from source-segregation of animal urine and feces. Soil carbon changes as well as direct and indirect land use changes were included in the LCA. Source-segregated manure stood out as the environmentally best co-substrate, followed by garden waste. Co-substrates already in use for energy recovery (straw, household and commercial food wastes) displayed a more modest environmental performance while energy crops, here represented by maize silage, was the only option giving rise to net greenhouse gas emissions. This was essentially due to the indirect land use change emissions related to this scenario, which were quantified to 357tCO2eq.ha−1 displaced.","container-title":"Applied Energy","DOI":"10.1016/j.apenergy.2013.09.033","ISSN":"0306-2619","journalAbbreviation":"Appl. Energy","language":"en","page":"774-782","source":"ScienceDirect","title":"Environmental consequences of different carbon alternatives for increased manure-based biogas","volume":"114","author":[{"family":"Hamelin","given":"Lorie"},{"family":"Naroznova","given":"Irina"},{"family":"Wenzel","given":"Henrik"}],"issued":{"date-parts":[["2014",2,1]]}}}],"schema":"https://github.com/citation-style-language/schema/raw/master/csl-citation.json"} </w:instrText>
            </w:r>
            <w:r w:rsidRPr="00981F01">
              <w:rPr>
                <w:i/>
                <w:sz w:val="18"/>
                <w:szCs w:val="18"/>
              </w:rPr>
              <w:fldChar w:fldCharType="separate"/>
            </w:r>
            <w:r w:rsidR="00682E10" w:rsidRPr="00981F01">
              <w:rPr>
                <w:rFonts w:ascii="Calibri" w:hAnsi="Calibri" w:cs="Calibri"/>
                <w:sz w:val="18"/>
                <w:szCs w:val="18"/>
                <w:vertAlign w:val="superscript"/>
              </w:rPr>
              <w:t>10</w:t>
            </w:r>
            <w:r w:rsidRPr="00981F01">
              <w:rPr>
                <w:i/>
                <w:sz w:val="18"/>
                <w:szCs w:val="18"/>
              </w:rPr>
              <w:fldChar w:fldCharType="end"/>
            </w:r>
          </w:p>
        </w:tc>
      </w:tr>
      <w:tr w:rsidR="006458E0" w:rsidRPr="00981F01" w14:paraId="52AEA285" w14:textId="77777777" w:rsidTr="00981F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372D7F44" w14:textId="77777777" w:rsidR="006458E0" w:rsidRPr="00981F01" w:rsidRDefault="006458E0" w:rsidP="006458E0">
            <w:pPr>
              <w:jc w:val="right"/>
              <w:rPr>
                <w:b w:val="0"/>
                <w:sz w:val="18"/>
                <w:szCs w:val="18"/>
              </w:rPr>
            </w:pPr>
            <w:r w:rsidRPr="00981F01">
              <w:rPr>
                <w:b w:val="0"/>
                <w:sz w:val="18"/>
                <w:szCs w:val="18"/>
              </w:rPr>
              <w:t>Crushing energy</w:t>
            </w:r>
          </w:p>
        </w:tc>
        <w:tc>
          <w:tcPr>
            <w:tcW w:w="1006" w:type="dxa"/>
          </w:tcPr>
          <w:p w14:paraId="6778230D"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kWh.t</w:t>
            </w:r>
            <w:r w:rsidRPr="00981F01">
              <w:rPr>
                <w:sz w:val="18"/>
                <w:szCs w:val="18"/>
                <w:vertAlign w:val="subscript"/>
              </w:rPr>
              <w:t>ww</w:t>
            </w:r>
            <w:r w:rsidRPr="00981F01">
              <w:rPr>
                <w:sz w:val="18"/>
                <w:szCs w:val="18"/>
                <w:vertAlign w:val="superscript"/>
              </w:rPr>
              <w:t>-1</w:t>
            </w:r>
          </w:p>
        </w:tc>
        <w:tc>
          <w:tcPr>
            <w:tcW w:w="699" w:type="dxa"/>
          </w:tcPr>
          <w:p w14:paraId="06E59147"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17</w:t>
            </w:r>
          </w:p>
        </w:tc>
        <w:tc>
          <w:tcPr>
            <w:tcW w:w="1048" w:type="dxa"/>
          </w:tcPr>
          <w:p w14:paraId="30030552"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
        </w:tc>
        <w:tc>
          <w:tcPr>
            <w:tcW w:w="4394" w:type="dxa"/>
          </w:tcPr>
          <w:p w14:paraId="7EEFDAED" w14:textId="77777777" w:rsidR="006458E0" w:rsidRPr="00981F01"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981F01">
              <w:rPr>
                <w:i/>
                <w:sz w:val="18"/>
                <w:szCs w:val="18"/>
              </w:rPr>
              <w:t>Average of crushing/grinding adapted from t</w:t>
            </w:r>
            <w:r w:rsidRPr="00981F01">
              <w:rPr>
                <w:i/>
                <w:sz w:val="18"/>
                <w:szCs w:val="18"/>
                <w:vertAlign w:val="subscript"/>
              </w:rPr>
              <w:t>DM</w:t>
            </w:r>
          </w:p>
        </w:tc>
      </w:tr>
      <w:tr w:rsidR="006458E0" w:rsidRPr="00981F01" w14:paraId="20027FE6" w14:textId="77777777" w:rsidTr="00981F01">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109D9BDD" w14:textId="77777777" w:rsidR="006458E0" w:rsidRPr="00981F01" w:rsidRDefault="006458E0" w:rsidP="006458E0">
            <w:pPr>
              <w:jc w:val="right"/>
              <w:rPr>
                <w:b w:val="0"/>
                <w:sz w:val="18"/>
                <w:szCs w:val="18"/>
              </w:rPr>
            </w:pPr>
            <w:r w:rsidRPr="00981F01">
              <w:rPr>
                <w:b w:val="0"/>
                <w:sz w:val="18"/>
                <w:szCs w:val="18"/>
              </w:rPr>
              <w:t>Inner transportation</w:t>
            </w:r>
          </w:p>
        </w:tc>
        <w:tc>
          <w:tcPr>
            <w:tcW w:w="1006" w:type="dxa"/>
          </w:tcPr>
          <w:p w14:paraId="09713512"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kWh.t</w:t>
            </w:r>
            <w:r w:rsidRPr="00981F01">
              <w:rPr>
                <w:sz w:val="18"/>
                <w:szCs w:val="18"/>
                <w:vertAlign w:val="subscript"/>
              </w:rPr>
              <w:t>ww</w:t>
            </w:r>
            <w:r w:rsidRPr="00981F01">
              <w:rPr>
                <w:sz w:val="18"/>
                <w:szCs w:val="18"/>
                <w:vertAlign w:val="superscript"/>
              </w:rPr>
              <w:t>-1</w:t>
            </w:r>
          </w:p>
        </w:tc>
        <w:tc>
          <w:tcPr>
            <w:tcW w:w="699" w:type="dxa"/>
          </w:tcPr>
          <w:p w14:paraId="570DA777"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5</w:t>
            </w:r>
          </w:p>
        </w:tc>
        <w:tc>
          <w:tcPr>
            <w:tcW w:w="1048" w:type="dxa"/>
          </w:tcPr>
          <w:p w14:paraId="41DE5559"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
        </w:tc>
        <w:tc>
          <w:tcPr>
            <w:tcW w:w="4394" w:type="dxa"/>
            <w:vMerge w:val="restart"/>
          </w:tcPr>
          <w:p w14:paraId="097D1E5D" w14:textId="33124812" w:rsidR="006458E0" w:rsidRPr="00981F01"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981F01">
              <w:rPr>
                <w:i/>
                <w:sz w:val="18"/>
                <w:szCs w:val="18"/>
              </w:rPr>
              <w:t>As proposed by Spykman et al., 2021</w:t>
            </w:r>
            <w:r w:rsidRPr="00981F01">
              <w:rPr>
                <w:i/>
                <w:sz w:val="18"/>
                <w:szCs w:val="18"/>
              </w:rPr>
              <w:fldChar w:fldCharType="begin"/>
            </w:r>
            <w:r w:rsidR="008C451C">
              <w:rPr>
                <w:i/>
                <w:sz w:val="18"/>
                <w:szCs w:val="18"/>
              </w:rPr>
              <w:instrText xml:space="preserve"> ADDIN ZOTERO_ITEM CSL_CITATION {"citationID":"fMhwoDbR","properties":{"formattedCitation":"\\super 67\\nosupersub{}","plainCitation":"67","noteIndex":0},"citationItems":[{"id":12260,"uris":["http://zotero.org/users/6423791/items/7WTH59GM"],"itemData":{"id":12260,"type":"article-journal","abstract":"The inclusion of insect protein into the food system has been proposed as a promising solution to ensure future food security and mitigate negative environmental impacts related to food production. However, the market volume for edible insects in Europe is still small; consequently, producers need a decision-support system to ensure the sustainable upscaling of the sector. The study analyzed environmental and economic impacts of insect production to identify the most eco-efficient production scenarios.","container-title":"The International Journal of Life Cycle Assessment","DOI":"10.1007/s11367-021-01986-y","ISSN":"1614-7502","journalAbbreviation":"Int J Life Cycle Assess","language":"en","source":"Springer Link","title":"A modular environmental and economic assessment applied to the production of Hermetia illucens larvae as a protein source for food and feed","URL":"https://doi.org/10.1007/s11367-021-01986-y","author":[{"family":"Spykman","given":"Raphaela"},{"family":"Hossaini","given":"Sayed Mahdi"},{"family":"Peguero","given":"Daniela A."},{"family":"Green","given":"Ashley"},{"family":"Heinz","given":"Volker"},{"family":"Smetana","given":"Sergiy"}],"accessed":{"date-parts":[["2021",10,14]]},"issued":{"date-parts":[["2021",10,9]]}}}],"schema":"https://github.com/citation-style-language/schema/raw/master/csl-citation.json"} </w:instrText>
            </w:r>
            <w:r w:rsidRPr="00981F01">
              <w:rPr>
                <w:i/>
                <w:sz w:val="18"/>
                <w:szCs w:val="18"/>
              </w:rPr>
              <w:fldChar w:fldCharType="separate"/>
            </w:r>
            <w:r w:rsidR="008C451C" w:rsidRPr="008C451C">
              <w:rPr>
                <w:rFonts w:ascii="Calibri" w:hAnsi="Calibri" w:cs="Calibri"/>
                <w:sz w:val="18"/>
                <w:szCs w:val="24"/>
                <w:vertAlign w:val="superscript"/>
              </w:rPr>
              <w:t>67</w:t>
            </w:r>
            <w:r w:rsidRPr="00981F01">
              <w:rPr>
                <w:i/>
                <w:sz w:val="18"/>
                <w:szCs w:val="18"/>
              </w:rPr>
              <w:fldChar w:fldCharType="end"/>
            </w:r>
          </w:p>
        </w:tc>
      </w:tr>
      <w:tr w:rsidR="006458E0" w:rsidRPr="00981F01" w14:paraId="76460C7A" w14:textId="77777777" w:rsidTr="00981F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1AF1512E" w14:textId="77777777" w:rsidR="006458E0" w:rsidRPr="00981F01" w:rsidRDefault="006458E0" w:rsidP="006458E0">
            <w:pPr>
              <w:jc w:val="right"/>
              <w:rPr>
                <w:b w:val="0"/>
                <w:sz w:val="18"/>
                <w:szCs w:val="18"/>
              </w:rPr>
            </w:pPr>
            <w:r w:rsidRPr="00981F01">
              <w:rPr>
                <w:b w:val="0"/>
                <w:sz w:val="18"/>
                <w:szCs w:val="18"/>
              </w:rPr>
              <w:t>Mixing energy</w:t>
            </w:r>
          </w:p>
        </w:tc>
        <w:tc>
          <w:tcPr>
            <w:tcW w:w="1006" w:type="dxa"/>
          </w:tcPr>
          <w:p w14:paraId="36C41526"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kWh.t</w:t>
            </w:r>
            <w:r w:rsidRPr="00981F01">
              <w:rPr>
                <w:sz w:val="18"/>
                <w:szCs w:val="18"/>
                <w:vertAlign w:val="subscript"/>
              </w:rPr>
              <w:t>ww</w:t>
            </w:r>
            <w:r w:rsidRPr="00981F01">
              <w:rPr>
                <w:sz w:val="18"/>
                <w:szCs w:val="18"/>
                <w:vertAlign w:val="superscript"/>
              </w:rPr>
              <w:t>-1</w:t>
            </w:r>
          </w:p>
        </w:tc>
        <w:tc>
          <w:tcPr>
            <w:tcW w:w="699" w:type="dxa"/>
          </w:tcPr>
          <w:p w14:paraId="1B6C1891"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18</w:t>
            </w:r>
          </w:p>
        </w:tc>
        <w:tc>
          <w:tcPr>
            <w:tcW w:w="1048" w:type="dxa"/>
          </w:tcPr>
          <w:p w14:paraId="1CF72A46"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
        </w:tc>
        <w:tc>
          <w:tcPr>
            <w:tcW w:w="4394" w:type="dxa"/>
            <w:vMerge/>
          </w:tcPr>
          <w:p w14:paraId="511D90BA"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i/>
                <w:sz w:val="18"/>
                <w:szCs w:val="18"/>
              </w:rPr>
            </w:pPr>
          </w:p>
        </w:tc>
      </w:tr>
      <w:tr w:rsidR="006458E0" w:rsidRPr="00981F01" w14:paraId="701C3167" w14:textId="77777777" w:rsidTr="00981F01">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7859AD83" w14:textId="77777777" w:rsidR="006458E0" w:rsidRPr="00981F01" w:rsidRDefault="006458E0" w:rsidP="006458E0">
            <w:pPr>
              <w:jc w:val="right"/>
              <w:rPr>
                <w:b w:val="0"/>
                <w:sz w:val="18"/>
                <w:szCs w:val="18"/>
              </w:rPr>
            </w:pPr>
            <w:r w:rsidRPr="00981F01">
              <w:rPr>
                <w:b w:val="0"/>
                <w:sz w:val="18"/>
                <w:szCs w:val="18"/>
              </w:rPr>
              <w:t>Cleaning water</w:t>
            </w:r>
          </w:p>
        </w:tc>
        <w:tc>
          <w:tcPr>
            <w:tcW w:w="1006" w:type="dxa"/>
          </w:tcPr>
          <w:p w14:paraId="23626AE9"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L.t</w:t>
            </w:r>
            <w:r w:rsidRPr="00981F01">
              <w:rPr>
                <w:sz w:val="18"/>
                <w:szCs w:val="18"/>
                <w:vertAlign w:val="subscript"/>
              </w:rPr>
              <w:t>ww</w:t>
            </w:r>
            <w:r w:rsidRPr="00981F01">
              <w:rPr>
                <w:sz w:val="18"/>
                <w:szCs w:val="18"/>
                <w:vertAlign w:val="superscript"/>
              </w:rPr>
              <w:t>-1</w:t>
            </w:r>
          </w:p>
        </w:tc>
        <w:tc>
          <w:tcPr>
            <w:tcW w:w="699" w:type="dxa"/>
          </w:tcPr>
          <w:p w14:paraId="11AC2AEA"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670</w:t>
            </w:r>
          </w:p>
        </w:tc>
        <w:tc>
          <w:tcPr>
            <w:tcW w:w="1048" w:type="dxa"/>
          </w:tcPr>
          <w:p w14:paraId="14F70450"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
        </w:tc>
        <w:tc>
          <w:tcPr>
            <w:tcW w:w="4394" w:type="dxa"/>
            <w:vMerge/>
          </w:tcPr>
          <w:p w14:paraId="636D3878"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i/>
                <w:sz w:val="18"/>
                <w:szCs w:val="18"/>
              </w:rPr>
            </w:pPr>
          </w:p>
        </w:tc>
      </w:tr>
      <w:tr w:rsidR="006458E0" w:rsidRPr="00981F01" w14:paraId="141547A5" w14:textId="77777777" w:rsidTr="00981F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04A02625" w14:textId="77777777" w:rsidR="006458E0" w:rsidRPr="00981F01" w:rsidRDefault="006458E0" w:rsidP="006458E0">
            <w:pPr>
              <w:jc w:val="right"/>
              <w:rPr>
                <w:b w:val="0"/>
                <w:sz w:val="18"/>
                <w:szCs w:val="18"/>
              </w:rPr>
            </w:pPr>
            <w:r w:rsidRPr="00981F01">
              <w:rPr>
                <w:b w:val="0"/>
                <w:sz w:val="18"/>
                <w:szCs w:val="18"/>
              </w:rPr>
              <w:t>Cleaning detergent</w:t>
            </w:r>
          </w:p>
        </w:tc>
        <w:tc>
          <w:tcPr>
            <w:tcW w:w="1006" w:type="dxa"/>
          </w:tcPr>
          <w:p w14:paraId="0EE4184F"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kg.t</w:t>
            </w:r>
            <w:r w:rsidRPr="00981F01">
              <w:rPr>
                <w:sz w:val="18"/>
                <w:szCs w:val="18"/>
                <w:vertAlign w:val="subscript"/>
              </w:rPr>
              <w:t>ww</w:t>
            </w:r>
            <w:r w:rsidRPr="00981F01">
              <w:rPr>
                <w:sz w:val="18"/>
                <w:szCs w:val="18"/>
                <w:vertAlign w:val="superscript"/>
              </w:rPr>
              <w:t>-1</w:t>
            </w:r>
          </w:p>
        </w:tc>
        <w:tc>
          <w:tcPr>
            <w:tcW w:w="699" w:type="dxa"/>
          </w:tcPr>
          <w:p w14:paraId="5F855162"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0.838</w:t>
            </w:r>
          </w:p>
        </w:tc>
        <w:tc>
          <w:tcPr>
            <w:tcW w:w="1048" w:type="dxa"/>
          </w:tcPr>
          <w:p w14:paraId="18900FC5"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
        </w:tc>
        <w:tc>
          <w:tcPr>
            <w:tcW w:w="4394" w:type="dxa"/>
            <w:vMerge/>
          </w:tcPr>
          <w:p w14:paraId="69B9B302"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i/>
                <w:sz w:val="18"/>
                <w:szCs w:val="18"/>
              </w:rPr>
            </w:pPr>
          </w:p>
        </w:tc>
      </w:tr>
    </w:tbl>
    <w:p w14:paraId="790052AB" w14:textId="36B3B671" w:rsidR="006458E0" w:rsidRPr="006458E0" w:rsidRDefault="006458E0" w:rsidP="003A663A">
      <w:pPr>
        <w:rPr>
          <w:rFonts w:cs="Times New Roman"/>
          <w:sz w:val="18"/>
        </w:rPr>
      </w:pPr>
      <w:r w:rsidRPr="003F5DA8">
        <w:rPr>
          <w:rFonts w:cs="Times New Roman"/>
          <w:sz w:val="18"/>
        </w:rPr>
        <w:t xml:space="preserve">Feedstock-specific handling </w:t>
      </w:r>
      <w:r>
        <w:rPr>
          <w:rFonts w:cs="Times New Roman"/>
          <w:sz w:val="18"/>
        </w:rPr>
        <w:t>in</w:t>
      </w:r>
      <w:r w:rsidR="00E819F5">
        <w:rPr>
          <w:rFonts w:cs="Times New Roman"/>
          <w:sz w:val="18"/>
        </w:rPr>
        <w:t xml:space="preserve"> </w:t>
      </w:r>
      <w:r w:rsidR="00E819F5" w:rsidRPr="00E819F5">
        <w:rPr>
          <w:rFonts w:cs="Times New Roman"/>
          <w:b/>
          <w:sz w:val="18"/>
        </w:rPr>
        <w:t xml:space="preserve">section </w:t>
      </w:r>
      <w:r w:rsidR="003A663A">
        <w:rPr>
          <w:rFonts w:cs="Times New Roman"/>
          <w:b/>
          <w:sz w:val="18"/>
        </w:rPr>
        <w:t xml:space="preserve">SI. </w:t>
      </w:r>
      <w:r w:rsidR="00E819F5" w:rsidRPr="00E819F5">
        <w:rPr>
          <w:rFonts w:cs="Times New Roman"/>
          <w:b/>
          <w:sz w:val="18"/>
        </w:rPr>
        <w:fldChar w:fldCharType="begin"/>
      </w:r>
      <w:r w:rsidR="00E819F5" w:rsidRPr="00E819F5">
        <w:rPr>
          <w:rFonts w:cs="Times New Roman"/>
          <w:b/>
          <w:sz w:val="18"/>
        </w:rPr>
        <w:instrText xml:space="preserve"> REF _Ref144803593 \r \h </w:instrText>
      </w:r>
      <w:r w:rsidR="00E819F5">
        <w:rPr>
          <w:rFonts w:cs="Times New Roman"/>
          <w:b/>
          <w:sz w:val="18"/>
        </w:rPr>
        <w:instrText xml:space="preserve"> \* MERGEFORMAT </w:instrText>
      </w:r>
      <w:r w:rsidR="00E819F5" w:rsidRPr="00E819F5">
        <w:rPr>
          <w:rFonts w:cs="Times New Roman"/>
          <w:b/>
          <w:sz w:val="18"/>
        </w:rPr>
      </w:r>
      <w:r w:rsidR="00E819F5" w:rsidRPr="00E819F5">
        <w:rPr>
          <w:rFonts w:cs="Times New Roman"/>
          <w:b/>
          <w:sz w:val="18"/>
        </w:rPr>
        <w:fldChar w:fldCharType="separate"/>
      </w:r>
      <w:r w:rsidR="00F25F8C">
        <w:rPr>
          <w:rFonts w:cs="Times New Roman"/>
          <w:b/>
          <w:sz w:val="18"/>
        </w:rPr>
        <w:t>4.1.7</w:t>
      </w:r>
      <w:r w:rsidR="00E819F5" w:rsidRPr="00E819F5">
        <w:rPr>
          <w:rFonts w:cs="Times New Roman"/>
          <w:b/>
          <w:sz w:val="18"/>
        </w:rPr>
        <w:fldChar w:fldCharType="end"/>
      </w:r>
      <w:r>
        <w:rPr>
          <w:rFonts w:cs="Times New Roman"/>
          <w:sz w:val="18"/>
        </w:rPr>
        <w:t>.</w:t>
      </w:r>
    </w:p>
    <w:p w14:paraId="1C706DFF" w14:textId="77777777" w:rsidR="006458E0" w:rsidRPr="006458E0" w:rsidRDefault="006458E0" w:rsidP="00E819F5">
      <w:pPr>
        <w:pStyle w:val="Titre4"/>
      </w:pPr>
      <w:r w:rsidRPr="006458E0">
        <w:t>Seed larvae production</w:t>
      </w:r>
    </w:p>
    <w:p w14:paraId="20389D7D" w14:textId="53C289C7" w:rsidR="00981F01" w:rsidRDefault="006458E0" w:rsidP="00E819F5">
      <w:pPr>
        <w:ind w:firstLine="360"/>
        <w:jc w:val="both"/>
        <w:rPr>
          <w:rFonts w:cs="Times New Roman"/>
        </w:rPr>
      </w:pPr>
      <w:r w:rsidRPr="003F5DA8">
        <w:rPr>
          <w:rFonts w:cs="Times New Roman"/>
        </w:rPr>
        <w:t>Insects reach their nutritional optimum before their reproduction period (e.g. for BSF, the prepupa stage is targeted). Therefore, a breeding and nursery cycle is required to maintain the delivery of starter larvae, usually called X-DOL (i.e. X days of life-old larvae). For BSF, 5-DOL larvae are usually considered mature enough to enter the rearing process. To ensure survival rates of hatching, during the initial days of life and pupation stage, a premium starter substrate is fed to the breeding and nursery operations. A standardized representative diets for such operation is the Gainesville fly diets which consists in 30% ground alfalfa, 50% wheat bran and 20% corn meal, by weight</w:t>
      </w:r>
      <w:r w:rsidRPr="003F5DA8">
        <w:rPr>
          <w:rFonts w:cs="Times New Roman"/>
        </w:rPr>
        <w:fldChar w:fldCharType="begin"/>
      </w:r>
      <w:r w:rsidR="00942782">
        <w:rPr>
          <w:rFonts w:cs="Times New Roman"/>
        </w:rPr>
        <w:instrText xml:space="preserve"> ADDIN ZOTERO_ITEM CSL_CITATION {"citationID":"DR5M4GY0","properties":{"formattedCitation":"\\super 78\\nosupersub{}","plainCitation":"78","noteIndex":0},"citationItems":[{"id":13326,"uris":["http://zotero.org/users/6423791/items/G6IKZJDE"],"itemData":{"id":13326,"type":"article-journal","abstract":"Mass production of insects is calling for environmentally optimised and economically efficient insect value chains. It is a complex task considering a great variety in insect species, production scales, feed formulations, etc. Taking a challenge of environmental impact clarification, a few studies highlight on life cycle assessment (LCA) of insect production. The current study is aimed to systemise 24 selected previous studies to establish a modular framework for the determination of contribution of sustainability assessment factors of insect production chains. Reviewing published studies according to the elements of LCA, the study identified a feasible approach for the modelling of insect production chains, which can be used for the facilitation of comparability of further LCA studies. The approach is based on a modular analysis of insect production through a graphical mapping of value chains (allowed identification of precise system boundaries) supplemented with table analysis considering scale of production, reference (functional) unit, impact assessment methodology and type of LCA. Such an approach allows for consistency in LCA setting and further comparability of results.","container-title":"Journal of Insects as Food and Feed","DOI":"10.3920/JIFF2020.0116","ISSN":"2352-4588","issue":"5","journalAbbreviation":"J. Insects Food Feed","language":"en","page":"553-571","source":"DOI.org (Crossref)","title":"Environmental aspects of insect mass production","volume":"7","author":[{"family":"Smetana","given":"S."},{"family":"Spykman","given":"R."},{"family":"Heinz","given":"V."}],"issued":{"date-parts":[["2021",8,13]]}}}],"schema":"https://github.com/citation-style-language/schema/raw/master/csl-citation.json"} </w:instrText>
      </w:r>
      <w:r w:rsidRPr="003F5DA8">
        <w:rPr>
          <w:rFonts w:cs="Times New Roman"/>
        </w:rPr>
        <w:fldChar w:fldCharType="separate"/>
      </w:r>
      <w:r w:rsidR="00942782" w:rsidRPr="00942782">
        <w:rPr>
          <w:rFonts w:ascii="Calibri" w:hAnsi="Calibri" w:cs="Calibri"/>
          <w:szCs w:val="24"/>
          <w:vertAlign w:val="superscript"/>
        </w:rPr>
        <w:t>78</w:t>
      </w:r>
      <w:r w:rsidRPr="003F5DA8">
        <w:rPr>
          <w:rFonts w:cs="Times New Roman"/>
        </w:rPr>
        <w:fldChar w:fldCharType="end"/>
      </w:r>
      <w:r w:rsidRPr="003F5DA8">
        <w:rPr>
          <w:rFonts w:cs="Times New Roman"/>
        </w:rPr>
        <w:t>. These ingredients were traduced in terms energy and protein feed service demand based on their nutritional composition, for consistency with the rest of the study (</w:t>
      </w:r>
      <w:r>
        <w:rPr>
          <w:b/>
        </w:rPr>
        <w:t>section</w:t>
      </w:r>
      <w:r w:rsidR="00E819F5">
        <w:rPr>
          <w:b/>
        </w:rPr>
        <w:t xml:space="preserve"> </w:t>
      </w:r>
      <w:r w:rsidR="003A663A">
        <w:rPr>
          <w:b/>
        </w:rPr>
        <w:t xml:space="preserve">SI. </w:t>
      </w:r>
      <w:r w:rsidR="00E819F5">
        <w:rPr>
          <w:b/>
        </w:rPr>
        <w:fldChar w:fldCharType="begin"/>
      </w:r>
      <w:r w:rsidR="00E819F5">
        <w:rPr>
          <w:b/>
        </w:rPr>
        <w:instrText xml:space="preserve"> REF _Ref144803705 \r \h </w:instrText>
      </w:r>
      <w:r w:rsidR="00E819F5">
        <w:rPr>
          <w:b/>
        </w:rPr>
      </w:r>
      <w:r w:rsidR="00E819F5">
        <w:rPr>
          <w:b/>
        </w:rPr>
        <w:fldChar w:fldCharType="separate"/>
      </w:r>
      <w:r w:rsidR="00F25F8C">
        <w:rPr>
          <w:b/>
        </w:rPr>
        <w:t>4.1.9</w:t>
      </w:r>
      <w:r w:rsidR="00E819F5">
        <w:rPr>
          <w:b/>
        </w:rPr>
        <w:fldChar w:fldCharType="end"/>
      </w:r>
      <w:r w:rsidRPr="003F5DA8">
        <w:rPr>
          <w:rFonts w:cs="Times New Roman"/>
        </w:rPr>
        <w:t>). The breeding and nursery cycle</w:t>
      </w:r>
      <w:r w:rsidR="00E819F5">
        <w:rPr>
          <w:rFonts w:cs="Times New Roman"/>
        </w:rPr>
        <w:t>s</w:t>
      </w:r>
      <w:r w:rsidRPr="003F5DA8">
        <w:rPr>
          <w:rFonts w:cs="Times New Roman"/>
        </w:rPr>
        <w:t xml:space="preserve"> w</w:t>
      </w:r>
      <w:r w:rsidR="00E819F5">
        <w:rPr>
          <w:rFonts w:cs="Times New Roman"/>
        </w:rPr>
        <w:t>ere</w:t>
      </w:r>
      <w:r w:rsidRPr="003F5DA8">
        <w:rPr>
          <w:rFonts w:cs="Times New Roman"/>
        </w:rPr>
        <w:t xml:space="preserve"> designed based on the BSF-specific performance indicators (</w:t>
      </w:r>
      <w:r w:rsidR="00E819F5" w:rsidRPr="00E819F5">
        <w:rPr>
          <w:rFonts w:cs="Times New Roman"/>
          <w:b/>
        </w:rPr>
        <w:fldChar w:fldCharType="begin"/>
      </w:r>
      <w:r w:rsidR="00E819F5" w:rsidRPr="00E819F5">
        <w:rPr>
          <w:rFonts w:cs="Times New Roman"/>
          <w:b/>
        </w:rPr>
        <w:instrText xml:space="preserve"> REF _Ref144803728 \h </w:instrText>
      </w:r>
      <w:r w:rsidR="00E819F5">
        <w:rPr>
          <w:rFonts w:cs="Times New Roman"/>
          <w:b/>
        </w:rPr>
        <w:instrText xml:space="preserve"> \* MERGEFORMAT </w:instrText>
      </w:r>
      <w:r w:rsidR="00E819F5" w:rsidRPr="00E819F5">
        <w:rPr>
          <w:rFonts w:cs="Times New Roman"/>
          <w:b/>
        </w:rPr>
      </w:r>
      <w:r w:rsidR="00E819F5" w:rsidRPr="00E819F5">
        <w:rPr>
          <w:rFonts w:cs="Times New Roman"/>
          <w:b/>
        </w:rPr>
        <w:fldChar w:fldCharType="separate"/>
      </w:r>
      <w:r w:rsidR="00F25F8C" w:rsidRPr="00F25F8C">
        <w:rPr>
          <w:b/>
        </w:rPr>
        <w:t xml:space="preserve">Table SI. </w:t>
      </w:r>
      <w:r w:rsidR="00F25F8C" w:rsidRPr="00F25F8C">
        <w:rPr>
          <w:b/>
          <w:noProof/>
        </w:rPr>
        <w:t>29</w:t>
      </w:r>
      <w:r w:rsidR="00E819F5" w:rsidRPr="00E819F5">
        <w:rPr>
          <w:rFonts w:cs="Times New Roman"/>
          <w:b/>
        </w:rPr>
        <w:fldChar w:fldCharType="end"/>
      </w:r>
      <w:r w:rsidRPr="003F5DA8">
        <w:rPr>
          <w:rFonts w:cs="Times New Roman"/>
        </w:rPr>
        <w:t>) provided by the detailed operational guide of Dortmans et al., 2017</w:t>
      </w:r>
      <w:r w:rsidRPr="003F5DA8">
        <w:rPr>
          <w:rFonts w:cs="Times New Roman"/>
        </w:rPr>
        <w:fldChar w:fldCharType="begin"/>
      </w:r>
      <w:r w:rsidR="00942782">
        <w:rPr>
          <w:rFonts w:cs="Times New Roman"/>
        </w:rPr>
        <w:instrText xml:space="preserve"> ADDIN ZOTERO_ITEM CSL_CITATION {"citationID":"MCQlhs6o","properties":{"formattedCitation":"\\super 76\\nosupersub{}","plainCitation":"76","noteIndex":0},"citationItems":[{"id":3213,"uris":["http://zotero.org/users/6423791/items/WS8LUFQN"],"itemData":{"id":3213,"type":"report","event-place":"Dübendorf, Switzerland","language":"en","publisher":"Eawag: Swiss Federal Institute of Aquatic Science and Technology","publisher-place":"Dübendorf, Switzerland","source":"Zotero","title":"Black Soldier Fly Biowaste Processing - A Step-by-Step Guide","author":[{"family":"Dortmans","given":"B.M.A."},{"family":"Diener","given":"Stefan"},{"family":"Verstappen","given":"B.M."},{"family":"Zurbrügg","given":"Christian"}],"issued":{"date-parts":[["2017"]]}}}],"schema":"https://github.com/citation-style-language/schema/raw/master/csl-citation.json"} </w:instrText>
      </w:r>
      <w:r w:rsidRPr="003F5DA8">
        <w:rPr>
          <w:rFonts w:cs="Times New Roman"/>
        </w:rPr>
        <w:fldChar w:fldCharType="separate"/>
      </w:r>
      <w:r w:rsidR="00942782" w:rsidRPr="00942782">
        <w:rPr>
          <w:rFonts w:ascii="Calibri" w:hAnsi="Calibri" w:cs="Calibri"/>
          <w:szCs w:val="24"/>
          <w:vertAlign w:val="superscript"/>
        </w:rPr>
        <w:t>76</w:t>
      </w:r>
      <w:r w:rsidRPr="003F5DA8">
        <w:rPr>
          <w:rFonts w:cs="Times New Roman"/>
        </w:rPr>
        <w:fldChar w:fldCharType="end"/>
      </w:r>
      <w:r w:rsidRPr="003F5DA8">
        <w:rPr>
          <w:rFonts w:cs="Times New Roman"/>
        </w:rPr>
        <w:t>. Residues (including frass, uneaten meal, dead flies, etc.) were estimated by mass balance, neglecting emissions, and considered mixed with the frass generated at the BFS farming stage (see</w:t>
      </w:r>
      <w:r w:rsidR="00981F01">
        <w:rPr>
          <w:rFonts w:cs="Times New Roman"/>
        </w:rPr>
        <w:t xml:space="preserve"> below</w:t>
      </w:r>
      <w:r w:rsidRPr="003F5DA8">
        <w:rPr>
          <w:rFonts w:cs="Times New Roman"/>
        </w:rPr>
        <w:t>).</w:t>
      </w:r>
    </w:p>
    <w:p w14:paraId="71617953" w14:textId="77777777" w:rsidR="00981F01" w:rsidRDefault="00981F01">
      <w:pPr>
        <w:rPr>
          <w:rFonts w:cs="Times New Roman"/>
        </w:rPr>
      </w:pPr>
      <w:r>
        <w:rPr>
          <w:rFonts w:cs="Times New Roman"/>
        </w:rPr>
        <w:br w:type="page"/>
      </w:r>
    </w:p>
    <w:p w14:paraId="36FE93AF" w14:textId="1B7996A4" w:rsidR="006458E0" w:rsidRPr="004975C4" w:rsidRDefault="00874128" w:rsidP="006B5342">
      <w:pPr>
        <w:pStyle w:val="Lgende"/>
        <w:jc w:val="left"/>
        <w:rPr>
          <w:rFonts w:cs="Times New Roman"/>
          <w:b w:val="0"/>
          <w:i/>
        </w:rPr>
      </w:pPr>
      <w:bookmarkStart w:id="142" w:name="_Ref144803728"/>
      <w:bookmarkStart w:id="143" w:name="_Toc134537669"/>
      <w:bookmarkStart w:id="144" w:name="_Toc151967913"/>
      <w:r>
        <w:lastRenderedPageBreak/>
        <w:t>Table SI.</w:t>
      </w:r>
      <w:r w:rsidR="006458E0">
        <w:t xml:space="preserve"> </w:t>
      </w:r>
      <w:r>
        <w:fldChar w:fldCharType="begin"/>
      </w:r>
      <w:r>
        <w:instrText xml:space="preserve"> SEQ Table_SI. \* ARABIC </w:instrText>
      </w:r>
      <w:r>
        <w:fldChar w:fldCharType="separate"/>
      </w:r>
      <w:r w:rsidR="00F25F8C">
        <w:rPr>
          <w:noProof/>
        </w:rPr>
        <w:t>29</w:t>
      </w:r>
      <w:r>
        <w:fldChar w:fldCharType="end"/>
      </w:r>
      <w:bookmarkEnd w:id="142"/>
      <w:r w:rsidR="006458E0">
        <w:t xml:space="preserve"> </w:t>
      </w:r>
      <w:r w:rsidR="006458E0" w:rsidRPr="00B56B39">
        <w:rPr>
          <w:rFonts w:cs="Times New Roman"/>
        </w:rPr>
        <w:t>– BSF seed larvae modeling parameters</w:t>
      </w:r>
      <w:bookmarkEnd w:id="143"/>
      <w:bookmarkEnd w:id="144"/>
    </w:p>
    <w:tbl>
      <w:tblPr>
        <w:tblStyle w:val="Tableausimple2"/>
        <w:tblW w:w="0" w:type="auto"/>
        <w:tblLook w:val="04A0" w:firstRow="1" w:lastRow="0" w:firstColumn="1" w:lastColumn="0" w:noHBand="0" w:noVBand="1"/>
      </w:tblPr>
      <w:tblGrid>
        <w:gridCol w:w="1970"/>
        <w:gridCol w:w="1262"/>
        <w:gridCol w:w="643"/>
        <w:gridCol w:w="679"/>
        <w:gridCol w:w="3804"/>
      </w:tblGrid>
      <w:tr w:rsidR="006458E0" w:rsidRPr="00981F01" w14:paraId="581C6675"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0" w:type="dxa"/>
          </w:tcPr>
          <w:p w14:paraId="5F748128" w14:textId="77777777" w:rsidR="006458E0" w:rsidRPr="00981F01" w:rsidRDefault="006458E0" w:rsidP="006458E0">
            <w:pPr>
              <w:jc w:val="right"/>
              <w:rPr>
                <w:sz w:val="18"/>
                <w:szCs w:val="18"/>
              </w:rPr>
            </w:pPr>
            <w:r w:rsidRPr="00981F01">
              <w:rPr>
                <w:sz w:val="18"/>
                <w:szCs w:val="18"/>
              </w:rPr>
              <w:t>Parameter</w:t>
            </w:r>
          </w:p>
        </w:tc>
        <w:tc>
          <w:tcPr>
            <w:tcW w:w="1262" w:type="dxa"/>
          </w:tcPr>
          <w:p w14:paraId="138BBA8B" w14:textId="77777777" w:rsidR="006458E0" w:rsidRPr="00981F01"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981F01">
              <w:rPr>
                <w:sz w:val="18"/>
                <w:szCs w:val="18"/>
              </w:rPr>
              <w:t>Unit</w:t>
            </w:r>
          </w:p>
        </w:tc>
        <w:tc>
          <w:tcPr>
            <w:tcW w:w="643" w:type="dxa"/>
          </w:tcPr>
          <w:p w14:paraId="72802642" w14:textId="77777777" w:rsidR="006458E0" w:rsidRPr="00981F01"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981F01">
              <w:rPr>
                <w:sz w:val="18"/>
                <w:szCs w:val="18"/>
              </w:rPr>
              <w:t>Value</w:t>
            </w:r>
          </w:p>
        </w:tc>
        <w:tc>
          <w:tcPr>
            <w:tcW w:w="679" w:type="dxa"/>
          </w:tcPr>
          <w:p w14:paraId="3948A1EC" w14:textId="77777777" w:rsidR="006458E0" w:rsidRPr="00981F01"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981F01">
              <w:rPr>
                <w:sz w:val="18"/>
                <w:szCs w:val="18"/>
              </w:rPr>
              <w:t>Range</w:t>
            </w:r>
          </w:p>
        </w:tc>
        <w:tc>
          <w:tcPr>
            <w:tcW w:w="0" w:type="auto"/>
          </w:tcPr>
          <w:p w14:paraId="32789C99" w14:textId="77777777" w:rsidR="006458E0" w:rsidRPr="00981F01" w:rsidRDefault="006458E0" w:rsidP="00E9442B">
            <w:pPr>
              <w:cnfStyle w:val="100000000000" w:firstRow="1" w:lastRow="0" w:firstColumn="0" w:lastColumn="0" w:oddVBand="0" w:evenVBand="0" w:oddHBand="0" w:evenHBand="0" w:firstRowFirstColumn="0" w:firstRowLastColumn="0" w:lastRowFirstColumn="0" w:lastRowLastColumn="0"/>
              <w:rPr>
                <w:sz w:val="18"/>
                <w:szCs w:val="18"/>
              </w:rPr>
            </w:pPr>
            <w:r w:rsidRPr="00981F01">
              <w:rPr>
                <w:sz w:val="18"/>
                <w:szCs w:val="18"/>
              </w:rPr>
              <w:t>Comment</w:t>
            </w:r>
          </w:p>
        </w:tc>
      </w:tr>
      <w:tr w:rsidR="006458E0" w:rsidRPr="00981F01" w14:paraId="3E783312"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0" w:type="dxa"/>
          </w:tcPr>
          <w:p w14:paraId="54937E47" w14:textId="77777777" w:rsidR="006458E0" w:rsidRPr="00981F01" w:rsidRDefault="006458E0" w:rsidP="006458E0">
            <w:pPr>
              <w:jc w:val="right"/>
              <w:rPr>
                <w:b w:val="0"/>
                <w:sz w:val="18"/>
                <w:szCs w:val="18"/>
              </w:rPr>
            </w:pPr>
            <w:r w:rsidRPr="00981F01">
              <w:rPr>
                <w:b w:val="0"/>
                <w:sz w:val="18"/>
                <w:szCs w:val="18"/>
              </w:rPr>
              <w:t>Starter feed mix</w:t>
            </w:r>
          </w:p>
        </w:tc>
        <w:tc>
          <w:tcPr>
            <w:tcW w:w="1262" w:type="dxa"/>
          </w:tcPr>
          <w:p w14:paraId="39605996"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mg</w:t>
            </w:r>
            <w:r w:rsidRPr="00981F01">
              <w:rPr>
                <w:sz w:val="18"/>
                <w:szCs w:val="18"/>
                <w:vertAlign w:val="subscript"/>
              </w:rPr>
              <w:t>ww</w:t>
            </w:r>
            <w:r w:rsidRPr="00981F01">
              <w:rPr>
                <w:sz w:val="18"/>
                <w:szCs w:val="18"/>
              </w:rPr>
              <w:t>.5-DOL</w:t>
            </w:r>
            <w:r w:rsidRPr="00981F01">
              <w:rPr>
                <w:sz w:val="18"/>
                <w:szCs w:val="18"/>
                <w:vertAlign w:val="superscript"/>
              </w:rPr>
              <w:t>-1</w:t>
            </w:r>
          </w:p>
        </w:tc>
        <w:tc>
          <w:tcPr>
            <w:tcW w:w="643" w:type="dxa"/>
          </w:tcPr>
          <w:p w14:paraId="4059A9A2"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12</w:t>
            </w:r>
          </w:p>
        </w:tc>
        <w:tc>
          <w:tcPr>
            <w:tcW w:w="679" w:type="dxa"/>
          </w:tcPr>
          <w:p w14:paraId="4ACD7308"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10-15</w:t>
            </w:r>
          </w:p>
        </w:tc>
        <w:tc>
          <w:tcPr>
            <w:tcW w:w="0" w:type="auto"/>
          </w:tcPr>
          <w:p w14:paraId="46C2E92D" w14:textId="77777777" w:rsidR="006458E0" w:rsidRPr="00981F01"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981F01">
              <w:rPr>
                <w:i/>
                <w:sz w:val="18"/>
                <w:szCs w:val="18"/>
              </w:rPr>
              <w:t>At 30%</w:t>
            </w:r>
            <w:r w:rsidRPr="00981F01">
              <w:rPr>
                <w:i/>
                <w:sz w:val="18"/>
                <w:szCs w:val="18"/>
                <w:vertAlign w:val="subscript"/>
              </w:rPr>
              <w:t>DM</w:t>
            </w:r>
            <w:r w:rsidRPr="00981F01">
              <w:rPr>
                <w:i/>
                <w:sz w:val="18"/>
                <w:szCs w:val="18"/>
              </w:rPr>
              <w:t>, 65% protein feed and 35% energy feed</w:t>
            </w:r>
          </w:p>
        </w:tc>
      </w:tr>
      <w:tr w:rsidR="006458E0" w:rsidRPr="00981F01" w14:paraId="1946AD16" w14:textId="77777777" w:rsidTr="006B5342">
        <w:tc>
          <w:tcPr>
            <w:cnfStyle w:val="001000000000" w:firstRow="0" w:lastRow="0" w:firstColumn="1" w:lastColumn="0" w:oddVBand="0" w:evenVBand="0" w:oddHBand="0" w:evenHBand="0" w:firstRowFirstColumn="0" w:firstRowLastColumn="0" w:lastRowFirstColumn="0" w:lastRowLastColumn="0"/>
            <w:tcW w:w="1970" w:type="dxa"/>
          </w:tcPr>
          <w:p w14:paraId="244C1D92" w14:textId="77777777" w:rsidR="006458E0" w:rsidRPr="00981F01" w:rsidRDefault="006458E0" w:rsidP="006458E0">
            <w:pPr>
              <w:jc w:val="right"/>
              <w:rPr>
                <w:b w:val="0"/>
                <w:sz w:val="18"/>
                <w:szCs w:val="18"/>
              </w:rPr>
            </w:pPr>
            <w:r w:rsidRPr="00981F01">
              <w:rPr>
                <w:b w:val="0"/>
                <w:sz w:val="18"/>
                <w:szCs w:val="18"/>
              </w:rPr>
              <w:t>5-DOL weight</w:t>
            </w:r>
          </w:p>
        </w:tc>
        <w:tc>
          <w:tcPr>
            <w:tcW w:w="1262" w:type="dxa"/>
          </w:tcPr>
          <w:p w14:paraId="17173053"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mg</w:t>
            </w:r>
            <w:r w:rsidRPr="00981F01">
              <w:rPr>
                <w:sz w:val="18"/>
                <w:szCs w:val="18"/>
                <w:vertAlign w:val="subscript"/>
              </w:rPr>
              <w:t>ww</w:t>
            </w:r>
            <w:r w:rsidRPr="00981F01">
              <w:rPr>
                <w:sz w:val="18"/>
                <w:szCs w:val="18"/>
              </w:rPr>
              <w:t>.5-DOL</w:t>
            </w:r>
            <w:r w:rsidRPr="00981F01">
              <w:rPr>
                <w:sz w:val="18"/>
                <w:szCs w:val="18"/>
                <w:vertAlign w:val="superscript"/>
              </w:rPr>
              <w:t>-1</w:t>
            </w:r>
          </w:p>
        </w:tc>
        <w:tc>
          <w:tcPr>
            <w:tcW w:w="643" w:type="dxa"/>
          </w:tcPr>
          <w:p w14:paraId="6FA5A229"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6</w:t>
            </w:r>
          </w:p>
        </w:tc>
        <w:tc>
          <w:tcPr>
            <w:tcW w:w="679" w:type="dxa"/>
          </w:tcPr>
          <w:p w14:paraId="404B0012"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2-10</w:t>
            </w:r>
          </w:p>
        </w:tc>
        <w:tc>
          <w:tcPr>
            <w:tcW w:w="0" w:type="auto"/>
          </w:tcPr>
          <w:p w14:paraId="184E9213" w14:textId="095BE766" w:rsidR="006458E0" w:rsidRPr="00981F01"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981F01">
              <w:rPr>
                <w:i/>
                <w:sz w:val="18"/>
                <w:szCs w:val="18"/>
              </w:rPr>
              <w:t>Range reported, depend on diet</w:t>
            </w:r>
            <w:r w:rsidRPr="00981F01">
              <w:rPr>
                <w:i/>
                <w:sz w:val="18"/>
                <w:szCs w:val="18"/>
              </w:rPr>
              <w:fldChar w:fldCharType="begin"/>
            </w:r>
            <w:r w:rsidR="00942782">
              <w:rPr>
                <w:i/>
                <w:sz w:val="18"/>
                <w:szCs w:val="18"/>
              </w:rPr>
              <w:instrText xml:space="preserve"> ADDIN ZOTERO_ITEM CSL_CITATION {"citationID":"3Fkrs5VS","properties":{"formattedCitation":"\\super 67,75,79\\nosupersub{}","plainCitation":"67,75,79","noteIndex":0},"citationItems":[{"id":12260,"uris":["http://zotero.org/users/6423791/items/7WTH59GM"],"itemData":{"id":12260,"type":"article-journal","abstract":"The inclusion of insect protein into the food system has been proposed as a promising solution to ensure future food security and mitigate negative environmental impacts related to food production. However, the market volume for edible insects in Europe is still small; consequently, producers need a decision-support system to ensure the sustainable upscaling of the sector. The study analyzed environmental and economic impacts of insect production to identify the most eco-efficient production scenarios.","container-title":"The International Journal of Life Cycle Assessment","DOI":"10.1007/s11367-021-01986-y","ISSN":"1614-7502","journalAbbreviation":"Int J Life Cycle Assess","language":"en","source":"Springer Link","title":"A modular environmental and economic assessment applied to the production of Hermetia illucens larvae as a protein source for food and feed","URL":"https://doi.org/10.1007/s11367-021-01986-y","author":[{"family":"Spykman","given":"Raphaela"},{"family":"Hossaini","given":"Sayed Mahdi"},{"family":"Peguero","given":"Daniela A."},{"family":"Green","given":"Ashley"},{"family":"Heinz","given":"Volker"},{"family":"Smetana","given":"Sergiy"}],"accessed":{"date-parts":[["2021",10,14]]},"issued":{"date-parts":[["2021",10,9]]}}},{"id":12295,"uris":["http://zotero.org/users/6423791/items/VVS73WKS"],"itemData":{"id":12295,"type":"article-journal","abstract":"Black soldier fly larvae (BSFL) treatment is promising for organic waste valorisation in the circular economy; however, waste variability impacts the process performance and quality of produced larvae. Specifically, variation in the carbohydrate profile of treated wastes has been suggested to have a significant impact on BSFL treatment performance and quality of produced larvae, with particular carbohydrates either positively or negatively influencing these variables. This study examines the hypothesis that the types of carbohydrates within the substrate can have significant influence on larval survival, waste reduction, bioconversion, and waste conversion efficiency, as well as the crude lipid content and fatty acid profiles of the produced larvae. The carbohydrates explored were D glucose, sucrose, D (−) fructose, corn and wheat starch, D (+) galactose, D (+) mannose, D (+) xylose, D (−) arabinose and xylan from beechwood. Young larvae were grown for 9 days on chicken feed-based diets containing various carbohydrate additives each at 20 dry mass %. Treatments containing hemicellulose constituents galactose and arabinose produced the most adverse effects on process performance relative to the benchmark. Xylan was significantly detrimental to bioconversion (−14.7 ± 3.8%) and waste conversion efficiencies (−19.0 ± 4.4%). There were minimal significant effects on performance from mono- and di-saccharides and starch additives. Larvae crude lipid contents were significantly increased by wheat starch (+12.6 ± 3.0%) and decreased by galactose (−15.0 ± 1.4%) and xylan additives (−27.5 ± 3.4%), however fatty acid profiles were largely unaffected and were dominated by lauric acid. These results indicate that despite an otherwise balanced and nutritious substrate, the carbohydrate profile of organic waste should be an important consideration in BSFL treatment when ensuring process performance and larval lipid contents. The consequences of these results for BSFL treatment of real wastes are discussed. Large scale treatment facilities should formulate substrates accordingly and identify methods to mitigate the anti-nutritional effects of poor carbohydrate profiles, particularly those high in hemicelluloses and their constituents.","container-title":"Waste Management","DOI":"10.1016/j.wasman.2021.10.013","ISSN":"0956-053X","journalAbbreviation":"Waste Management","language":"en","page":"9-19","source":"ScienceDirect","title":"Understanding dietary carbohydrates in black soldier fly larvae treatment of organic waste in the circular economy","volume":"137","author":[{"family":"Cohn","given":"Zachary"},{"family":"Latty","given":"Tanya"},{"family":"Abbas","given":"Ali"}],"issued":{"date-parts":[["2022",1,1]]}}},{"id":2351,"uris":["http://zotero.org/users/6423791/items/GENSMZAR"],"itemData":{"id":2351,"type":"article-journal","abstract":"Black soldier fly larvae (BSFL) are acknowledged for their potential to upcycle waste biomass into animal feed, human food or biofuels. To ensure sust…","container-title":"Journal of Cleaner Production","DOI":"10.1016/j.jclepro.2020.122488","ISSN":"0959-6526","journalAbbreviation":"J. Clean. Prod.","language":"en","note":"publisher: Elsevier","page":"122488","source":"www-sciencedirect-com.gorgone.univ-toulouse.fr","title":"Bioconversion efficiencies, greenhouse gas and ammonia emissions during black soldier fly rearing – A mass balance approach","volume":"271","author":[{"family":"Parodi","given":"A."},{"family":"De Boer","given":"Imke J. M."},{"family":"Gerrits","given":"W. J. J."},{"family":"Van Loon","given":"J. J. A."},{"family":"Heetkamp","given":"M. J.W"},{"family":"Van Schelt","given":"J"},{"family":"Elizabeth Bolhuis","given":"J."},{"family":"Van Zanten","given":"H. H. E."}],"issued":{"date-parts":[["2020",10,20]]}}}],"schema":"https://github.com/citation-style-language/schema/raw/master/csl-citation.json"} </w:instrText>
            </w:r>
            <w:r w:rsidRPr="00981F01">
              <w:rPr>
                <w:i/>
                <w:sz w:val="18"/>
                <w:szCs w:val="18"/>
              </w:rPr>
              <w:fldChar w:fldCharType="separate"/>
            </w:r>
            <w:r w:rsidR="00942782" w:rsidRPr="00942782">
              <w:rPr>
                <w:rFonts w:ascii="Calibri" w:hAnsi="Calibri" w:cs="Calibri"/>
                <w:sz w:val="18"/>
                <w:szCs w:val="24"/>
                <w:vertAlign w:val="superscript"/>
              </w:rPr>
              <w:t>67,75,79</w:t>
            </w:r>
            <w:r w:rsidRPr="00981F01">
              <w:rPr>
                <w:i/>
                <w:sz w:val="18"/>
                <w:szCs w:val="18"/>
              </w:rPr>
              <w:fldChar w:fldCharType="end"/>
            </w:r>
          </w:p>
        </w:tc>
      </w:tr>
      <w:tr w:rsidR="006458E0" w:rsidRPr="00981F01" w14:paraId="17DAF686"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0" w:type="dxa"/>
          </w:tcPr>
          <w:p w14:paraId="476AD1B9" w14:textId="77777777" w:rsidR="006458E0" w:rsidRPr="00981F01" w:rsidRDefault="006458E0" w:rsidP="006458E0">
            <w:pPr>
              <w:jc w:val="right"/>
              <w:rPr>
                <w:b w:val="0"/>
                <w:sz w:val="18"/>
                <w:szCs w:val="18"/>
              </w:rPr>
            </w:pPr>
            <w:r w:rsidRPr="00981F01">
              <w:rPr>
                <w:b w:val="0"/>
                <w:sz w:val="18"/>
                <w:szCs w:val="18"/>
              </w:rPr>
              <w:t>5-DOL moisture</w:t>
            </w:r>
          </w:p>
        </w:tc>
        <w:tc>
          <w:tcPr>
            <w:tcW w:w="1262" w:type="dxa"/>
          </w:tcPr>
          <w:p w14:paraId="67FC90E7"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%ww</w:t>
            </w:r>
          </w:p>
        </w:tc>
        <w:tc>
          <w:tcPr>
            <w:tcW w:w="643" w:type="dxa"/>
          </w:tcPr>
          <w:p w14:paraId="5F4FE0EE"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80%</w:t>
            </w:r>
          </w:p>
        </w:tc>
        <w:tc>
          <w:tcPr>
            <w:tcW w:w="679" w:type="dxa"/>
          </w:tcPr>
          <w:p w14:paraId="167503B3"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221B9976" w14:textId="5E0590CB" w:rsidR="006458E0" w:rsidRPr="00981F01"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981F01">
              <w:rPr>
                <w:i/>
                <w:sz w:val="18"/>
                <w:szCs w:val="18"/>
              </w:rPr>
              <w:fldChar w:fldCharType="begin"/>
            </w:r>
            <w:r w:rsidR="00942782">
              <w:rPr>
                <w:i/>
                <w:sz w:val="18"/>
                <w:szCs w:val="18"/>
              </w:rPr>
              <w:instrText xml:space="preserve"> ADDIN ZOTERO_ITEM CSL_CITATION {"citationID":"c3bDohF0","properties":{"formattedCitation":"\\super 67,80,81\\nosupersub{}","plainCitation":"67,80,81","noteIndex":0},"citationItems":[{"id":12260,"uris":["http://zotero.org/users/6423791/items/7WTH59GM"],"itemData":{"id":12260,"type":"article-journal","abstract":"The inclusion of insect protein into the food system has been proposed as a promising solution to ensure future food security and mitigate negative environmental impacts related to food production. However, the market volume for edible insects in Europe is still small; consequently, producers need a decision-support system to ensure the sustainable upscaling of the sector. The study analyzed environmental and economic impacts of insect production to identify the most eco-efficient production scenarios.","container-title":"The International Journal of Life Cycle Assessment","DOI":"10.1007/s11367-021-01986-y","ISSN":"1614-7502","journalAbbreviation":"Int J Life Cycle Assess","language":"en","source":"Springer Link","title":"A modular environmental and economic assessment applied to the production of Hermetia illucens larvae as a protein source for food and feed","URL":"https://doi.org/10.1007/s11367-021-01986-y","author":[{"family":"Spykman","given":"Raphaela"},{"family":"Hossaini","given":"Sayed Mahdi"},{"family":"Peguero","given":"Daniela A."},{"family":"Green","given":"Ashley"},{"family":"Heinz","given":"Volker"},{"family":"Smetana","given":"Sergiy"}],"accessed":{"date-parts":[["2021",10,14]]},"issued":{"date-parts":[["2021",10,9]]}}},{"id":2873,"uris":["http://zotero.org/users/6423791/items/8282Z3IX"],"itemData":{"id":2873,"type":"article-journal","abstract":"The feed sector requires new sustainable sources of protein, and at the same time better waste management practices are required to decrease and upcycle post-consumers&amp;rsquo; food waste (catering and organic household waste), which is currently used for energy production or discharged as waste. The production of Hermetia illucens larvae (L.) (BSFL) was conducted in 15 batches at pilot scale. Furthermore, a feeding strategy experiment was conducted to optimize feedings and decrease handling, followed by a digestibility study for assessing the applicability of BSFL as a feed ingredient. About 190 kg of food waste was used to produce 79 kg of BSFL. The bioconversion of food waste into BSFL was found to be highly efficient, with feed conversion rate (FCR) values ranging between 1.7 and 3.6, when assessed on dry matter. The feeding experiment showed similar BSFL and insect frass production as well as similar FCR, revealing that a decrease in handling can be obtained if two feeding episodes are used. The digestibility of protein and fat was high at 86.2 and 90.4% and revealed that BSFL meal can be successfully used as a protein and fat source in feed for carnivore animals outside the food chain (e.g., pet food).","container-title":"Sustainability","DOI":"10.3390/su12239864","issue":"23","language":"en","license":"http://creativecommons.org/licenses/by/3.0/","note":"number: 23\npublisher: Multidisciplinary Digital Publishing Institute","page":"9864","source":"www.mdpi.com","title":"Production and Optimization of Hermetia illucens (L.) Larvae Reared on Food Waste and Utilized as Feed Ingredient","volume":"12","author":[{"family":"Gligorescu","given":"Anton"},{"family":"Fischer","given":"Christian Holst"},{"family":"Larsen","given":"Peter Foged"},{"family":"Nørgaard","given":"Jan Værum"},{"family":"Heckman","given":"Lars-Henrik Lau"}],"issued":{"date-parts":[["2020",1]]}}},{"id":13430,"uris":["http://zotero.org/users/6423791/items/3NJWF7VQ"],"itemData":{"id":13430,"type":"article-journal","abstract":"Black soldier fly larvae (Hermetia illucens; BSFL) can convert organic wastes into a nutrient-rich biomass suitable in animal feed, which could be a way to achieve more sustainable production of food. However, little is known about how the diet fed to BSFL affects their nutritional value, especially their fatty acid composition. In this study, BSFL were fed 11 diets based on four different organic waste sources (mussels, bread, fish and food waste). Fatty acid and proximate composition (dry matter, crude fat, crude protein and ash) were analysed in the diets, in two-week-old larvae and substrate residues. Larval weight, survival and feed conversion were also recorded. The diet was found to affect all parameters investigated. Irrespective of diet, the larval fat consisted mainly of lauric acid and other saturated fatty acids and these were found to be synthesised by the larvae. However, both the fatty acid composition of the substrate, and the larval weight were found to affect the fatty acid profile of the larvae. In general, larvae with a higher weight contained a higher percentage of saturated fatty acids and a lower percentage of unsaturated fatty acids, such as eicosapentaenoic (EPA) and docosahexaenoic acid (DHA). It was concluded that the possibilities to tailor the fatty acid composition of the BSFL through the diet are limited; thus, the BSFL fat may not be suitable to replace fish oil, but has potential of inclusion in other food, feed and fuel products.","container-title":"Waste Management","DOI":"10.1016/j.wasman.2019.10.014","ISSN":"0956-053X","journalAbbreviation":"Waste Management","language":"en","page":"40-47","source":"ScienceDirect","title":"Fatty acid composition of black soldier fly larvae (Hermetia illucens) – Possibilities and limitations for modification through diet","volume":"102","author":[{"family":"Ewald","given":"Nils"},{"family":"Vidakovic","given":"Aleksandar"},{"family":"Langeland","given":"Markus"},{"family":"Kiessling","given":"Anders"},{"family":"Sampels","given":"Sabine"},{"family":"Lalander","given":"Cecilia"}],"issued":{"date-parts":[["2020",2,1]]}}}],"schema":"https://github.com/citation-style-language/schema/raw/master/csl-citation.json"} </w:instrText>
            </w:r>
            <w:r w:rsidRPr="00981F01">
              <w:rPr>
                <w:i/>
                <w:sz w:val="18"/>
                <w:szCs w:val="18"/>
              </w:rPr>
              <w:fldChar w:fldCharType="separate"/>
            </w:r>
            <w:r w:rsidR="00942782" w:rsidRPr="00942782">
              <w:rPr>
                <w:rFonts w:ascii="Calibri" w:hAnsi="Calibri" w:cs="Calibri"/>
                <w:sz w:val="18"/>
                <w:szCs w:val="24"/>
                <w:vertAlign w:val="superscript"/>
              </w:rPr>
              <w:t>67,80,81</w:t>
            </w:r>
            <w:r w:rsidRPr="00981F01">
              <w:rPr>
                <w:i/>
                <w:sz w:val="18"/>
                <w:szCs w:val="18"/>
              </w:rPr>
              <w:fldChar w:fldCharType="end"/>
            </w:r>
          </w:p>
        </w:tc>
      </w:tr>
      <w:tr w:rsidR="006458E0" w:rsidRPr="00981F01" w14:paraId="40006E24" w14:textId="77777777" w:rsidTr="006B5342">
        <w:tc>
          <w:tcPr>
            <w:cnfStyle w:val="001000000000" w:firstRow="0" w:lastRow="0" w:firstColumn="1" w:lastColumn="0" w:oddVBand="0" w:evenVBand="0" w:oddHBand="0" w:evenHBand="0" w:firstRowFirstColumn="0" w:firstRowLastColumn="0" w:lastRowFirstColumn="0" w:lastRowLastColumn="0"/>
            <w:tcW w:w="1970" w:type="dxa"/>
          </w:tcPr>
          <w:p w14:paraId="46301E10" w14:textId="77777777" w:rsidR="006458E0" w:rsidRPr="00981F01" w:rsidRDefault="006458E0" w:rsidP="006458E0">
            <w:pPr>
              <w:jc w:val="right"/>
              <w:rPr>
                <w:b w:val="0"/>
                <w:sz w:val="18"/>
                <w:szCs w:val="18"/>
              </w:rPr>
            </w:pPr>
            <w:r w:rsidRPr="00981F01">
              <w:rPr>
                <w:b w:val="0"/>
                <w:sz w:val="18"/>
                <w:szCs w:val="18"/>
              </w:rPr>
              <w:t>5-DOL cycled</w:t>
            </w:r>
          </w:p>
        </w:tc>
        <w:tc>
          <w:tcPr>
            <w:tcW w:w="1262" w:type="dxa"/>
          </w:tcPr>
          <w:p w14:paraId="3EFE2C2C"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w:t>
            </w:r>
            <w:r w:rsidRPr="00981F01">
              <w:rPr>
                <w:sz w:val="18"/>
                <w:szCs w:val="18"/>
                <w:vertAlign w:val="subscript"/>
              </w:rPr>
              <w:t>prod</w:t>
            </w:r>
          </w:p>
        </w:tc>
        <w:tc>
          <w:tcPr>
            <w:tcW w:w="643" w:type="dxa"/>
          </w:tcPr>
          <w:p w14:paraId="37F15E17"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2%</w:t>
            </w:r>
          </w:p>
        </w:tc>
        <w:tc>
          <w:tcPr>
            <w:tcW w:w="679" w:type="dxa"/>
          </w:tcPr>
          <w:p w14:paraId="41B3647C"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val="restart"/>
          </w:tcPr>
          <w:p w14:paraId="1A22B181" w14:textId="0C0782B0" w:rsidR="006458E0" w:rsidRPr="00981F01"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981F01">
              <w:rPr>
                <w:i/>
                <w:sz w:val="18"/>
                <w:szCs w:val="18"/>
              </w:rPr>
              <w:t>See Dortmans et al., 2017</w:t>
            </w:r>
            <w:r w:rsidRPr="00981F01">
              <w:rPr>
                <w:rFonts w:cs="Times New Roman"/>
                <w:sz w:val="18"/>
                <w:szCs w:val="18"/>
              </w:rPr>
              <w:fldChar w:fldCharType="begin"/>
            </w:r>
            <w:r w:rsidR="00942782">
              <w:rPr>
                <w:rFonts w:cs="Times New Roman"/>
                <w:sz w:val="18"/>
                <w:szCs w:val="18"/>
              </w:rPr>
              <w:instrText xml:space="preserve"> ADDIN ZOTERO_ITEM CSL_CITATION {"citationID":"w8OD8b2g","properties":{"formattedCitation":"\\super 76\\nosupersub{}","plainCitation":"76","noteIndex":0},"citationItems":[{"id":3213,"uris":["http://zotero.org/users/6423791/items/WS8LUFQN"],"itemData":{"id":3213,"type":"report","event-place":"Dübendorf, Switzerland","language":"en","publisher":"Eawag: Swiss Federal Institute of Aquatic Science and Technology","publisher-place":"Dübendorf, Switzerland","source":"Zotero","title":"Black Soldier Fly Biowaste Processing - A Step-by-Step Guide","author":[{"family":"Dortmans","given":"B.M.A."},{"family":"Diener","given":"Stefan"},{"family":"Verstappen","given":"B.M."},{"family":"Zurbrügg","given":"Christian"}],"issued":{"date-parts":[["2017"]]}}}],"schema":"https://github.com/citation-style-language/schema/raw/master/csl-citation.json"} </w:instrText>
            </w:r>
            <w:r w:rsidRPr="00981F01">
              <w:rPr>
                <w:rFonts w:cs="Times New Roman"/>
                <w:sz w:val="18"/>
                <w:szCs w:val="18"/>
              </w:rPr>
              <w:fldChar w:fldCharType="separate"/>
            </w:r>
            <w:r w:rsidR="00942782" w:rsidRPr="00942782">
              <w:rPr>
                <w:rFonts w:ascii="Calibri" w:hAnsi="Calibri" w:cs="Calibri"/>
                <w:sz w:val="18"/>
                <w:szCs w:val="24"/>
                <w:vertAlign w:val="superscript"/>
              </w:rPr>
              <w:t>76</w:t>
            </w:r>
            <w:r w:rsidRPr="00981F01">
              <w:rPr>
                <w:rFonts w:cs="Times New Roman"/>
                <w:sz w:val="18"/>
                <w:szCs w:val="18"/>
              </w:rPr>
              <w:fldChar w:fldCharType="end"/>
            </w:r>
          </w:p>
        </w:tc>
      </w:tr>
      <w:tr w:rsidR="006458E0" w:rsidRPr="00981F01" w14:paraId="7F3980DD"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0" w:type="dxa"/>
          </w:tcPr>
          <w:p w14:paraId="6B8E3178" w14:textId="77777777" w:rsidR="006458E0" w:rsidRPr="00981F01" w:rsidRDefault="006458E0" w:rsidP="006458E0">
            <w:pPr>
              <w:jc w:val="right"/>
              <w:rPr>
                <w:b w:val="0"/>
                <w:sz w:val="18"/>
                <w:szCs w:val="18"/>
              </w:rPr>
            </w:pPr>
            <w:r w:rsidRPr="00981F01">
              <w:rPr>
                <w:b w:val="0"/>
                <w:sz w:val="18"/>
                <w:szCs w:val="18"/>
              </w:rPr>
              <w:t>Eggs weight</w:t>
            </w:r>
          </w:p>
        </w:tc>
        <w:tc>
          <w:tcPr>
            <w:tcW w:w="1262" w:type="dxa"/>
          </w:tcPr>
          <w:p w14:paraId="490CB2FE"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mg</w:t>
            </w:r>
          </w:p>
        </w:tc>
        <w:tc>
          <w:tcPr>
            <w:tcW w:w="643" w:type="dxa"/>
          </w:tcPr>
          <w:p w14:paraId="073B916B"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0.025</w:t>
            </w:r>
          </w:p>
        </w:tc>
        <w:tc>
          <w:tcPr>
            <w:tcW w:w="679" w:type="dxa"/>
          </w:tcPr>
          <w:p w14:paraId="134672DE"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tcPr>
          <w:p w14:paraId="10B15C95" w14:textId="77777777" w:rsidR="006458E0" w:rsidRPr="00981F01"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6458E0" w:rsidRPr="00981F01" w14:paraId="79DDF516" w14:textId="77777777" w:rsidTr="006B5342">
        <w:tc>
          <w:tcPr>
            <w:cnfStyle w:val="001000000000" w:firstRow="0" w:lastRow="0" w:firstColumn="1" w:lastColumn="0" w:oddVBand="0" w:evenVBand="0" w:oddHBand="0" w:evenHBand="0" w:firstRowFirstColumn="0" w:firstRowLastColumn="0" w:lastRowFirstColumn="0" w:lastRowLastColumn="0"/>
            <w:tcW w:w="1970" w:type="dxa"/>
          </w:tcPr>
          <w:p w14:paraId="5C119C17" w14:textId="77777777" w:rsidR="006458E0" w:rsidRPr="00981F01" w:rsidRDefault="006458E0" w:rsidP="006458E0">
            <w:pPr>
              <w:jc w:val="right"/>
              <w:rPr>
                <w:b w:val="0"/>
                <w:sz w:val="18"/>
                <w:szCs w:val="18"/>
              </w:rPr>
            </w:pPr>
            <w:r w:rsidRPr="00981F01">
              <w:rPr>
                <w:b w:val="0"/>
                <w:sz w:val="18"/>
                <w:szCs w:val="18"/>
              </w:rPr>
              <w:t>Hatching yield</w:t>
            </w:r>
          </w:p>
        </w:tc>
        <w:tc>
          <w:tcPr>
            <w:tcW w:w="1262" w:type="dxa"/>
          </w:tcPr>
          <w:p w14:paraId="2A9DF74C"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5-DOL.g</w:t>
            </w:r>
            <w:r w:rsidRPr="00981F01">
              <w:rPr>
                <w:sz w:val="18"/>
                <w:szCs w:val="18"/>
                <w:vertAlign w:val="subscript"/>
              </w:rPr>
              <w:t>egg</w:t>
            </w:r>
            <w:r w:rsidRPr="00981F01">
              <w:rPr>
                <w:sz w:val="18"/>
                <w:szCs w:val="18"/>
                <w:vertAlign w:val="superscript"/>
              </w:rPr>
              <w:t>-1</w:t>
            </w:r>
          </w:p>
        </w:tc>
        <w:tc>
          <w:tcPr>
            <w:tcW w:w="643" w:type="dxa"/>
          </w:tcPr>
          <w:p w14:paraId="0924E964"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40</w:t>
            </w:r>
          </w:p>
        </w:tc>
        <w:tc>
          <w:tcPr>
            <w:tcW w:w="679" w:type="dxa"/>
          </w:tcPr>
          <w:p w14:paraId="681A5F71"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56CC6224" w14:textId="77777777" w:rsidR="006458E0" w:rsidRPr="00981F01"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p>
        </w:tc>
      </w:tr>
      <w:tr w:rsidR="006458E0" w:rsidRPr="00981F01" w14:paraId="1C8F1003"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0" w:type="dxa"/>
          </w:tcPr>
          <w:p w14:paraId="5310506A" w14:textId="77777777" w:rsidR="006458E0" w:rsidRPr="00981F01" w:rsidRDefault="006458E0" w:rsidP="006458E0">
            <w:pPr>
              <w:jc w:val="right"/>
              <w:rPr>
                <w:b w:val="0"/>
                <w:sz w:val="18"/>
                <w:szCs w:val="18"/>
              </w:rPr>
            </w:pPr>
            <w:r w:rsidRPr="00981F01">
              <w:rPr>
                <w:b w:val="0"/>
                <w:sz w:val="18"/>
                <w:szCs w:val="18"/>
              </w:rPr>
              <w:t>BSF eggs yield</w:t>
            </w:r>
          </w:p>
        </w:tc>
        <w:tc>
          <w:tcPr>
            <w:tcW w:w="1262" w:type="dxa"/>
          </w:tcPr>
          <w:p w14:paraId="33E9E36D"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981F01">
              <w:rPr>
                <w:sz w:val="18"/>
                <w:szCs w:val="18"/>
              </w:rPr>
              <w:t>eggs.female</w:t>
            </w:r>
            <w:proofErr w:type="gramEnd"/>
            <w:r w:rsidRPr="00981F01">
              <w:rPr>
                <w:sz w:val="18"/>
                <w:szCs w:val="18"/>
                <w:vertAlign w:val="superscript"/>
              </w:rPr>
              <w:t>-1</w:t>
            </w:r>
          </w:p>
        </w:tc>
        <w:tc>
          <w:tcPr>
            <w:tcW w:w="643" w:type="dxa"/>
          </w:tcPr>
          <w:p w14:paraId="2EC69C2C"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600</w:t>
            </w:r>
          </w:p>
        </w:tc>
        <w:tc>
          <w:tcPr>
            <w:tcW w:w="679" w:type="dxa"/>
          </w:tcPr>
          <w:p w14:paraId="14621A14"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tcPr>
          <w:p w14:paraId="128F3FCB" w14:textId="77777777" w:rsidR="006458E0" w:rsidRPr="00981F01"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6458E0" w:rsidRPr="00981F01" w14:paraId="32228C2E" w14:textId="77777777" w:rsidTr="006B5342">
        <w:tc>
          <w:tcPr>
            <w:cnfStyle w:val="001000000000" w:firstRow="0" w:lastRow="0" w:firstColumn="1" w:lastColumn="0" w:oddVBand="0" w:evenVBand="0" w:oddHBand="0" w:evenHBand="0" w:firstRowFirstColumn="0" w:firstRowLastColumn="0" w:lastRowFirstColumn="0" w:lastRowLastColumn="0"/>
            <w:tcW w:w="1970" w:type="dxa"/>
          </w:tcPr>
          <w:p w14:paraId="3765FE95" w14:textId="77777777" w:rsidR="006458E0" w:rsidRPr="00981F01" w:rsidRDefault="006458E0" w:rsidP="006458E0">
            <w:pPr>
              <w:jc w:val="right"/>
              <w:rPr>
                <w:b w:val="0"/>
                <w:sz w:val="18"/>
                <w:szCs w:val="18"/>
              </w:rPr>
            </w:pPr>
            <w:r w:rsidRPr="00981F01">
              <w:rPr>
                <w:b w:val="0"/>
                <w:sz w:val="18"/>
                <w:szCs w:val="18"/>
              </w:rPr>
              <w:t>Hatching survival rate</w:t>
            </w:r>
          </w:p>
        </w:tc>
        <w:tc>
          <w:tcPr>
            <w:tcW w:w="1262" w:type="dxa"/>
          </w:tcPr>
          <w:p w14:paraId="5EE47C82"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w:t>
            </w:r>
            <w:r w:rsidRPr="00981F01">
              <w:rPr>
                <w:sz w:val="18"/>
                <w:szCs w:val="18"/>
                <w:vertAlign w:val="subscript"/>
              </w:rPr>
              <w:t>eggs</w:t>
            </w:r>
          </w:p>
        </w:tc>
        <w:tc>
          <w:tcPr>
            <w:tcW w:w="643" w:type="dxa"/>
          </w:tcPr>
          <w:p w14:paraId="7E897405"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70%</w:t>
            </w:r>
          </w:p>
        </w:tc>
        <w:tc>
          <w:tcPr>
            <w:tcW w:w="679" w:type="dxa"/>
          </w:tcPr>
          <w:p w14:paraId="7A34DA20"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58A0F6A2" w14:textId="77777777" w:rsidR="006458E0" w:rsidRPr="00981F01"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p>
        </w:tc>
      </w:tr>
      <w:tr w:rsidR="006458E0" w:rsidRPr="00981F01" w14:paraId="03F9A38A"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0" w:type="dxa"/>
          </w:tcPr>
          <w:p w14:paraId="726886B1" w14:textId="77777777" w:rsidR="006458E0" w:rsidRPr="00981F01" w:rsidRDefault="006458E0" w:rsidP="006458E0">
            <w:pPr>
              <w:jc w:val="right"/>
              <w:rPr>
                <w:b w:val="0"/>
                <w:sz w:val="18"/>
                <w:szCs w:val="18"/>
              </w:rPr>
            </w:pPr>
            <w:r w:rsidRPr="00981F01">
              <w:rPr>
                <w:b w:val="0"/>
                <w:sz w:val="18"/>
                <w:szCs w:val="18"/>
              </w:rPr>
              <w:t>Pupae survival rate</w:t>
            </w:r>
          </w:p>
        </w:tc>
        <w:tc>
          <w:tcPr>
            <w:tcW w:w="1262" w:type="dxa"/>
          </w:tcPr>
          <w:p w14:paraId="2F04272B"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w:t>
            </w:r>
          </w:p>
        </w:tc>
        <w:tc>
          <w:tcPr>
            <w:tcW w:w="643" w:type="dxa"/>
          </w:tcPr>
          <w:p w14:paraId="4D5F61A1"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56%</w:t>
            </w:r>
          </w:p>
        </w:tc>
        <w:tc>
          <w:tcPr>
            <w:tcW w:w="679" w:type="dxa"/>
          </w:tcPr>
          <w:p w14:paraId="5F31427D"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tcPr>
          <w:p w14:paraId="7FD0AFEA" w14:textId="77777777" w:rsidR="006458E0" w:rsidRPr="00981F01"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6458E0" w:rsidRPr="00981F01" w14:paraId="68061FD5" w14:textId="77777777" w:rsidTr="006B5342">
        <w:tc>
          <w:tcPr>
            <w:cnfStyle w:val="001000000000" w:firstRow="0" w:lastRow="0" w:firstColumn="1" w:lastColumn="0" w:oddVBand="0" w:evenVBand="0" w:oddHBand="0" w:evenHBand="0" w:firstRowFirstColumn="0" w:firstRowLastColumn="0" w:lastRowFirstColumn="0" w:lastRowLastColumn="0"/>
            <w:tcW w:w="1970" w:type="dxa"/>
          </w:tcPr>
          <w:p w14:paraId="1B039E9B" w14:textId="77777777" w:rsidR="006458E0" w:rsidRPr="00981F01" w:rsidRDefault="006458E0" w:rsidP="006458E0">
            <w:pPr>
              <w:jc w:val="right"/>
              <w:rPr>
                <w:b w:val="0"/>
                <w:sz w:val="18"/>
                <w:szCs w:val="18"/>
              </w:rPr>
            </w:pPr>
            <w:r w:rsidRPr="00981F01">
              <w:rPr>
                <w:b w:val="0"/>
                <w:sz w:val="18"/>
                <w:szCs w:val="18"/>
              </w:rPr>
              <w:t>FCR nursery</w:t>
            </w:r>
          </w:p>
        </w:tc>
        <w:tc>
          <w:tcPr>
            <w:tcW w:w="1262" w:type="dxa"/>
          </w:tcPr>
          <w:p w14:paraId="74E85FFF"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981F01">
              <w:rPr>
                <w:sz w:val="18"/>
                <w:szCs w:val="18"/>
              </w:rPr>
              <w:t>kg</w:t>
            </w:r>
            <w:r w:rsidRPr="00981F01">
              <w:rPr>
                <w:sz w:val="18"/>
                <w:szCs w:val="18"/>
                <w:vertAlign w:val="subscript"/>
              </w:rPr>
              <w:t>feed</w:t>
            </w:r>
            <w:r w:rsidRPr="00981F01">
              <w:rPr>
                <w:sz w:val="18"/>
                <w:szCs w:val="18"/>
              </w:rPr>
              <w:t>.kg</w:t>
            </w:r>
            <w:r w:rsidRPr="00981F01">
              <w:rPr>
                <w:sz w:val="18"/>
                <w:szCs w:val="18"/>
                <w:vertAlign w:val="subscript"/>
              </w:rPr>
              <w:t>larvae</w:t>
            </w:r>
            <w:proofErr w:type="gramEnd"/>
            <w:r w:rsidRPr="00981F01">
              <w:rPr>
                <w:sz w:val="18"/>
                <w:szCs w:val="18"/>
                <w:vertAlign w:val="superscript"/>
              </w:rPr>
              <w:t>-1</w:t>
            </w:r>
          </w:p>
        </w:tc>
        <w:tc>
          <w:tcPr>
            <w:tcW w:w="643" w:type="dxa"/>
          </w:tcPr>
          <w:p w14:paraId="11B7A29D"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4</w:t>
            </w:r>
          </w:p>
        </w:tc>
        <w:tc>
          <w:tcPr>
            <w:tcW w:w="679" w:type="dxa"/>
          </w:tcPr>
          <w:p w14:paraId="4CE626F1"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3470D773" w14:textId="77777777" w:rsidR="006458E0" w:rsidRPr="00981F01"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p>
        </w:tc>
      </w:tr>
      <w:tr w:rsidR="006458E0" w:rsidRPr="00981F01" w14:paraId="53DC053A"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0" w:type="dxa"/>
          </w:tcPr>
          <w:p w14:paraId="4E000C0A" w14:textId="77777777" w:rsidR="006458E0" w:rsidRPr="00981F01" w:rsidRDefault="006458E0" w:rsidP="006458E0">
            <w:pPr>
              <w:jc w:val="right"/>
              <w:rPr>
                <w:b w:val="0"/>
                <w:sz w:val="18"/>
                <w:szCs w:val="18"/>
              </w:rPr>
            </w:pPr>
            <w:r w:rsidRPr="00981F01">
              <w:rPr>
                <w:b w:val="0"/>
                <w:sz w:val="18"/>
                <w:szCs w:val="18"/>
              </w:rPr>
              <w:t>Adult weight</w:t>
            </w:r>
          </w:p>
        </w:tc>
        <w:tc>
          <w:tcPr>
            <w:tcW w:w="1262" w:type="dxa"/>
          </w:tcPr>
          <w:p w14:paraId="72DAB76B"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981F01">
              <w:rPr>
                <w:sz w:val="18"/>
                <w:szCs w:val="18"/>
              </w:rPr>
              <w:t>mg</w:t>
            </w:r>
            <w:r w:rsidRPr="00981F01">
              <w:rPr>
                <w:sz w:val="18"/>
                <w:szCs w:val="18"/>
                <w:vertAlign w:val="subscript"/>
              </w:rPr>
              <w:t>ww</w:t>
            </w:r>
            <w:r w:rsidRPr="00981F01">
              <w:rPr>
                <w:sz w:val="18"/>
                <w:szCs w:val="18"/>
              </w:rPr>
              <w:t>.adult</w:t>
            </w:r>
            <w:proofErr w:type="gramEnd"/>
            <w:r w:rsidRPr="00981F01">
              <w:rPr>
                <w:sz w:val="18"/>
                <w:szCs w:val="18"/>
                <w:vertAlign w:val="superscript"/>
              </w:rPr>
              <w:t>-1</w:t>
            </w:r>
          </w:p>
        </w:tc>
        <w:tc>
          <w:tcPr>
            <w:tcW w:w="643" w:type="dxa"/>
          </w:tcPr>
          <w:p w14:paraId="4BBB7144"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200</w:t>
            </w:r>
          </w:p>
        </w:tc>
        <w:tc>
          <w:tcPr>
            <w:tcW w:w="679" w:type="dxa"/>
          </w:tcPr>
          <w:p w14:paraId="70F51F08"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tcPr>
          <w:p w14:paraId="06B4743D" w14:textId="77777777" w:rsidR="006458E0" w:rsidRPr="00981F01"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6458E0" w:rsidRPr="00981F01" w14:paraId="42D21F16" w14:textId="77777777" w:rsidTr="006B5342">
        <w:tc>
          <w:tcPr>
            <w:cnfStyle w:val="001000000000" w:firstRow="0" w:lastRow="0" w:firstColumn="1" w:lastColumn="0" w:oddVBand="0" w:evenVBand="0" w:oddHBand="0" w:evenHBand="0" w:firstRowFirstColumn="0" w:firstRowLastColumn="0" w:lastRowFirstColumn="0" w:lastRowLastColumn="0"/>
            <w:tcW w:w="1970" w:type="dxa"/>
          </w:tcPr>
          <w:p w14:paraId="3AC15D55" w14:textId="77777777" w:rsidR="006458E0" w:rsidRPr="00981F01" w:rsidRDefault="006458E0" w:rsidP="006458E0">
            <w:pPr>
              <w:jc w:val="right"/>
              <w:rPr>
                <w:b w:val="0"/>
                <w:sz w:val="18"/>
                <w:szCs w:val="18"/>
              </w:rPr>
            </w:pPr>
            <w:r w:rsidRPr="00981F01">
              <w:rPr>
                <w:b w:val="0"/>
                <w:sz w:val="18"/>
                <w:szCs w:val="18"/>
              </w:rPr>
              <w:t>Reproduction rate</w:t>
            </w:r>
          </w:p>
        </w:tc>
        <w:tc>
          <w:tcPr>
            <w:tcW w:w="1262" w:type="dxa"/>
          </w:tcPr>
          <w:p w14:paraId="272668DC"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w:t>
            </w:r>
            <w:r w:rsidRPr="00981F01">
              <w:rPr>
                <w:sz w:val="18"/>
                <w:szCs w:val="18"/>
                <w:vertAlign w:val="subscript"/>
              </w:rPr>
              <w:t>females</w:t>
            </w:r>
          </w:p>
        </w:tc>
        <w:tc>
          <w:tcPr>
            <w:tcW w:w="643" w:type="dxa"/>
          </w:tcPr>
          <w:p w14:paraId="079197BE"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70%</w:t>
            </w:r>
          </w:p>
        </w:tc>
        <w:tc>
          <w:tcPr>
            <w:tcW w:w="679" w:type="dxa"/>
          </w:tcPr>
          <w:p w14:paraId="77770300"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2BBB12EF" w14:textId="77777777" w:rsidR="006458E0" w:rsidRPr="00981F01"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p>
        </w:tc>
      </w:tr>
      <w:tr w:rsidR="006458E0" w:rsidRPr="00981F01" w14:paraId="5A1E205D"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0" w:type="dxa"/>
          </w:tcPr>
          <w:p w14:paraId="11FF54AE" w14:textId="77777777" w:rsidR="006458E0" w:rsidRPr="00981F01" w:rsidRDefault="006458E0" w:rsidP="006458E0">
            <w:pPr>
              <w:jc w:val="right"/>
              <w:rPr>
                <w:b w:val="0"/>
                <w:sz w:val="18"/>
                <w:szCs w:val="18"/>
              </w:rPr>
            </w:pPr>
            <w:r w:rsidRPr="00981F01">
              <w:rPr>
                <w:b w:val="0"/>
                <w:sz w:val="18"/>
                <w:szCs w:val="18"/>
              </w:rPr>
              <w:t>Electricity</w:t>
            </w:r>
          </w:p>
        </w:tc>
        <w:tc>
          <w:tcPr>
            <w:tcW w:w="1262" w:type="dxa"/>
          </w:tcPr>
          <w:p w14:paraId="0B6047D8"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Wh.5-DOL</w:t>
            </w:r>
            <w:r w:rsidRPr="00981F01">
              <w:rPr>
                <w:sz w:val="18"/>
                <w:szCs w:val="18"/>
                <w:vertAlign w:val="superscript"/>
              </w:rPr>
              <w:t>-1</w:t>
            </w:r>
          </w:p>
        </w:tc>
        <w:tc>
          <w:tcPr>
            <w:tcW w:w="643" w:type="dxa"/>
          </w:tcPr>
          <w:p w14:paraId="07B0D887"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0.12</w:t>
            </w:r>
          </w:p>
        </w:tc>
        <w:tc>
          <w:tcPr>
            <w:tcW w:w="679" w:type="dxa"/>
          </w:tcPr>
          <w:p w14:paraId="266F6938"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val="restart"/>
          </w:tcPr>
          <w:p w14:paraId="1B244956" w14:textId="48AAC201" w:rsidR="006458E0" w:rsidRPr="00981F01"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981F01">
              <w:rPr>
                <w:i/>
                <w:sz w:val="18"/>
                <w:szCs w:val="18"/>
              </w:rPr>
              <w:t>Aggregated from Spykman et al., 2021</w:t>
            </w:r>
            <w:r w:rsidRPr="00981F01">
              <w:rPr>
                <w:i/>
                <w:sz w:val="18"/>
                <w:szCs w:val="18"/>
              </w:rPr>
              <w:fldChar w:fldCharType="begin"/>
            </w:r>
            <w:r w:rsidR="008C451C">
              <w:rPr>
                <w:i/>
                <w:sz w:val="18"/>
                <w:szCs w:val="18"/>
              </w:rPr>
              <w:instrText xml:space="preserve"> ADDIN ZOTERO_ITEM CSL_CITATION {"citationID":"yt60jSnS","properties":{"formattedCitation":"\\super 67\\nosupersub{}","plainCitation":"67","noteIndex":0},"citationItems":[{"id":12260,"uris":["http://zotero.org/users/6423791/items/7WTH59GM"],"itemData":{"id":12260,"type":"article-journal","abstract":"The inclusion of insect protein into the food system has been proposed as a promising solution to ensure future food security and mitigate negative environmental impacts related to food production. However, the market volume for edible insects in Europe is still small; consequently, producers need a decision-support system to ensure the sustainable upscaling of the sector. The study analyzed environmental and economic impacts of insect production to identify the most eco-efficient production scenarios.","container-title":"The International Journal of Life Cycle Assessment","DOI":"10.1007/s11367-021-01986-y","ISSN":"1614-7502","journalAbbreviation":"Int J Life Cycle Assess","language":"en","source":"Springer Link","title":"A modular environmental and economic assessment applied to the production of Hermetia illucens larvae as a protein source for food and feed","URL":"https://doi.org/10.1007/s11367-021-01986-y","author":[{"family":"Spykman","given":"Raphaela"},{"family":"Hossaini","given":"Sayed Mahdi"},{"family":"Peguero","given":"Daniela A."},{"family":"Green","given":"Ashley"},{"family":"Heinz","given":"Volker"},{"family":"Smetana","given":"Sergiy"}],"accessed":{"date-parts":[["2021",10,14]]},"issued":{"date-parts":[["2021",10,9]]}}}],"schema":"https://github.com/citation-style-language/schema/raw/master/csl-citation.json"} </w:instrText>
            </w:r>
            <w:r w:rsidRPr="00981F01">
              <w:rPr>
                <w:i/>
                <w:sz w:val="18"/>
                <w:szCs w:val="18"/>
              </w:rPr>
              <w:fldChar w:fldCharType="separate"/>
            </w:r>
            <w:r w:rsidR="008C451C" w:rsidRPr="008C451C">
              <w:rPr>
                <w:rFonts w:ascii="Calibri" w:hAnsi="Calibri" w:cs="Calibri"/>
                <w:sz w:val="18"/>
                <w:szCs w:val="24"/>
                <w:vertAlign w:val="superscript"/>
              </w:rPr>
              <w:t>67</w:t>
            </w:r>
            <w:r w:rsidRPr="00981F01">
              <w:rPr>
                <w:i/>
                <w:sz w:val="18"/>
                <w:szCs w:val="18"/>
              </w:rPr>
              <w:fldChar w:fldCharType="end"/>
            </w:r>
          </w:p>
        </w:tc>
      </w:tr>
      <w:tr w:rsidR="006458E0" w:rsidRPr="00981F01" w14:paraId="44E7C6CA" w14:textId="77777777" w:rsidTr="006B5342">
        <w:tc>
          <w:tcPr>
            <w:cnfStyle w:val="001000000000" w:firstRow="0" w:lastRow="0" w:firstColumn="1" w:lastColumn="0" w:oddVBand="0" w:evenVBand="0" w:oddHBand="0" w:evenHBand="0" w:firstRowFirstColumn="0" w:firstRowLastColumn="0" w:lastRowFirstColumn="0" w:lastRowLastColumn="0"/>
            <w:tcW w:w="1970" w:type="dxa"/>
          </w:tcPr>
          <w:p w14:paraId="50CC6B7F" w14:textId="77777777" w:rsidR="006458E0" w:rsidRPr="00981F01" w:rsidRDefault="006458E0" w:rsidP="006458E0">
            <w:pPr>
              <w:jc w:val="right"/>
              <w:rPr>
                <w:b w:val="0"/>
                <w:sz w:val="18"/>
                <w:szCs w:val="18"/>
              </w:rPr>
            </w:pPr>
            <w:r w:rsidRPr="00981F01">
              <w:rPr>
                <w:b w:val="0"/>
                <w:sz w:val="18"/>
                <w:szCs w:val="18"/>
              </w:rPr>
              <w:t>LT Heating</w:t>
            </w:r>
          </w:p>
        </w:tc>
        <w:tc>
          <w:tcPr>
            <w:tcW w:w="1262" w:type="dxa"/>
          </w:tcPr>
          <w:p w14:paraId="4D44CD90"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kJ.5-DOL</w:t>
            </w:r>
            <w:r w:rsidRPr="00981F01">
              <w:rPr>
                <w:sz w:val="18"/>
                <w:szCs w:val="18"/>
                <w:vertAlign w:val="superscript"/>
              </w:rPr>
              <w:t>-1</w:t>
            </w:r>
          </w:p>
        </w:tc>
        <w:tc>
          <w:tcPr>
            <w:tcW w:w="643" w:type="dxa"/>
          </w:tcPr>
          <w:p w14:paraId="638EF2C3"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0.13</w:t>
            </w:r>
          </w:p>
        </w:tc>
        <w:tc>
          <w:tcPr>
            <w:tcW w:w="679" w:type="dxa"/>
          </w:tcPr>
          <w:p w14:paraId="7E0420CA"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7F6AF28B"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i/>
                <w:sz w:val="18"/>
                <w:szCs w:val="18"/>
              </w:rPr>
            </w:pPr>
          </w:p>
        </w:tc>
      </w:tr>
      <w:tr w:rsidR="006458E0" w:rsidRPr="00981F01" w14:paraId="1D8C6B51"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0" w:type="dxa"/>
          </w:tcPr>
          <w:p w14:paraId="0AC21CCF" w14:textId="77777777" w:rsidR="006458E0" w:rsidRPr="00981F01" w:rsidRDefault="006458E0" w:rsidP="006458E0">
            <w:pPr>
              <w:jc w:val="right"/>
              <w:rPr>
                <w:b w:val="0"/>
                <w:sz w:val="18"/>
                <w:szCs w:val="18"/>
              </w:rPr>
            </w:pPr>
            <w:r w:rsidRPr="00981F01">
              <w:rPr>
                <w:b w:val="0"/>
                <w:sz w:val="18"/>
                <w:szCs w:val="18"/>
              </w:rPr>
              <w:t>Cleaning water</w:t>
            </w:r>
          </w:p>
        </w:tc>
        <w:tc>
          <w:tcPr>
            <w:tcW w:w="1262" w:type="dxa"/>
          </w:tcPr>
          <w:p w14:paraId="53D7FA7A"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mL.5-DOL</w:t>
            </w:r>
            <w:r w:rsidRPr="00981F01">
              <w:rPr>
                <w:sz w:val="18"/>
                <w:szCs w:val="18"/>
                <w:vertAlign w:val="superscript"/>
              </w:rPr>
              <w:t>-1</w:t>
            </w:r>
          </w:p>
        </w:tc>
        <w:tc>
          <w:tcPr>
            <w:tcW w:w="643" w:type="dxa"/>
          </w:tcPr>
          <w:p w14:paraId="1FB10CE3"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1.9</w:t>
            </w:r>
          </w:p>
        </w:tc>
        <w:tc>
          <w:tcPr>
            <w:tcW w:w="679" w:type="dxa"/>
          </w:tcPr>
          <w:p w14:paraId="66482FE3"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tcPr>
          <w:p w14:paraId="7A6205FB"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i/>
                <w:sz w:val="18"/>
                <w:szCs w:val="18"/>
              </w:rPr>
            </w:pPr>
          </w:p>
        </w:tc>
      </w:tr>
      <w:tr w:rsidR="006458E0" w:rsidRPr="00981F01" w14:paraId="4022FF78" w14:textId="77777777" w:rsidTr="006B5342">
        <w:tc>
          <w:tcPr>
            <w:cnfStyle w:val="001000000000" w:firstRow="0" w:lastRow="0" w:firstColumn="1" w:lastColumn="0" w:oddVBand="0" w:evenVBand="0" w:oddHBand="0" w:evenHBand="0" w:firstRowFirstColumn="0" w:firstRowLastColumn="0" w:lastRowFirstColumn="0" w:lastRowLastColumn="0"/>
            <w:tcW w:w="1970" w:type="dxa"/>
          </w:tcPr>
          <w:p w14:paraId="2EFDC317" w14:textId="77777777" w:rsidR="006458E0" w:rsidRPr="00981F01" w:rsidRDefault="006458E0" w:rsidP="006458E0">
            <w:pPr>
              <w:jc w:val="right"/>
              <w:rPr>
                <w:b w:val="0"/>
                <w:sz w:val="18"/>
                <w:szCs w:val="18"/>
              </w:rPr>
            </w:pPr>
            <w:r w:rsidRPr="00981F01">
              <w:rPr>
                <w:b w:val="0"/>
                <w:sz w:val="18"/>
                <w:szCs w:val="18"/>
              </w:rPr>
              <w:t>Cleaning detergent</w:t>
            </w:r>
          </w:p>
        </w:tc>
        <w:tc>
          <w:tcPr>
            <w:tcW w:w="1262" w:type="dxa"/>
          </w:tcPr>
          <w:p w14:paraId="583219D4"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mg. 5-DOL</w:t>
            </w:r>
            <w:r w:rsidRPr="00981F01">
              <w:rPr>
                <w:sz w:val="18"/>
                <w:szCs w:val="18"/>
                <w:vertAlign w:val="superscript"/>
              </w:rPr>
              <w:t>-1</w:t>
            </w:r>
          </w:p>
        </w:tc>
        <w:tc>
          <w:tcPr>
            <w:tcW w:w="643" w:type="dxa"/>
          </w:tcPr>
          <w:p w14:paraId="1515B701"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2</w:t>
            </w:r>
          </w:p>
        </w:tc>
        <w:tc>
          <w:tcPr>
            <w:tcW w:w="679" w:type="dxa"/>
          </w:tcPr>
          <w:p w14:paraId="7D1A64CC"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7899D23A"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i/>
                <w:sz w:val="18"/>
                <w:szCs w:val="18"/>
              </w:rPr>
            </w:pPr>
          </w:p>
        </w:tc>
      </w:tr>
    </w:tbl>
    <w:p w14:paraId="19AF76F0" w14:textId="77777777" w:rsidR="006458E0" w:rsidRPr="003F5DA8" w:rsidRDefault="006458E0" w:rsidP="006458E0">
      <w:pPr>
        <w:jc w:val="both"/>
        <w:rPr>
          <w:rFonts w:cs="Times New Roman"/>
        </w:rPr>
      </w:pPr>
    </w:p>
    <w:p w14:paraId="7B728E94" w14:textId="77777777" w:rsidR="006458E0" w:rsidRPr="006458E0" w:rsidRDefault="006458E0" w:rsidP="00E819F5">
      <w:pPr>
        <w:pStyle w:val="Titre4"/>
      </w:pPr>
      <w:r w:rsidRPr="006458E0">
        <w:t>Insect farming</w:t>
      </w:r>
    </w:p>
    <w:p w14:paraId="74D4C936" w14:textId="77777777" w:rsidR="006458E0" w:rsidRPr="006458E0" w:rsidRDefault="006458E0" w:rsidP="00877BEE">
      <w:pPr>
        <w:pStyle w:val="Titre5"/>
      </w:pPr>
      <w:r w:rsidRPr="006458E0">
        <w:t>Insect growth</w:t>
      </w:r>
    </w:p>
    <w:p w14:paraId="633296FF" w14:textId="1CF8655A" w:rsidR="006458E0" w:rsidRPr="003F5DA8" w:rsidRDefault="006458E0" w:rsidP="006458E0">
      <w:pPr>
        <w:jc w:val="both"/>
        <w:rPr>
          <w:rFonts w:cs="Times New Roman"/>
        </w:rPr>
      </w:pPr>
      <w:r w:rsidRPr="003F5DA8">
        <w:rPr>
          <w:rFonts w:cs="Times New Roman"/>
        </w:rPr>
        <w:t>This stage corresponds to the conversion of the standardized substrate into larvae biomass until reaching the pre-pupae stage, in a controlled environment. In an industrial context, when targeting food and feed markets, substrates supplied to insects are carefully tailored in terms of composition to meet their nutritional requirements, favoring FCR, survival rates and growth period length</w:t>
      </w:r>
      <w:r w:rsidRPr="003F5DA8">
        <w:rPr>
          <w:rFonts w:cs="Times New Roman"/>
        </w:rPr>
        <w:fldChar w:fldCharType="begin"/>
      </w:r>
      <w:r w:rsidR="00942782">
        <w:rPr>
          <w:rFonts w:cs="Times New Roman"/>
        </w:rPr>
        <w:instrText xml:space="preserve"> ADDIN ZOTERO_ITEM CSL_CITATION {"citationID":"AN1wHmqM","properties":{"formattedCitation":"\\super 75\\nosupersub{}","plainCitation":"75","noteIndex":0},"citationItems":[{"id":12295,"uris":["http://zotero.org/users/6423791/items/VVS73WKS"],"itemData":{"id":12295,"type":"article-journal","abstract":"Black soldier fly larvae (BSFL) treatment is promising for organic waste valorisation in the circular economy; however, waste variability impacts the process performance and quality of produced larvae. Specifically, variation in the carbohydrate profile of treated wastes has been suggested to have a significant impact on BSFL treatment performance and quality of produced larvae, with particular carbohydrates either positively or negatively influencing these variables. This study examines the hypothesis that the types of carbohydrates within the substrate can have significant influence on larval survival, waste reduction, bioconversion, and waste conversion efficiency, as well as the crude lipid content and fatty acid profiles of the produced larvae. The carbohydrates explored were D glucose, sucrose, D (−) fructose, corn and wheat starch, D (+) galactose, D (+) mannose, D (+) xylose, D (−) arabinose and xylan from beechwood. Young larvae were grown for 9 days on chicken feed-based diets containing various carbohydrate additives each at 20 dry mass %. Treatments containing hemicellulose constituents galactose and arabinose produced the most adverse effects on process performance relative to the benchmark. Xylan was significantly detrimental to bioconversion (−14.7 ± 3.8%) and waste conversion efficiencies (−19.0 ± 4.4%). There were minimal significant effects on performance from mono- and di-saccharides and starch additives. Larvae crude lipid contents were significantly increased by wheat starch (+12.6 ± 3.0%) and decreased by galactose (−15.0 ± 1.4%) and xylan additives (−27.5 ± 3.4%), however fatty acid profiles were largely unaffected and were dominated by lauric acid. These results indicate that despite an otherwise balanced and nutritious substrate, the carbohydrate profile of organic waste should be an important consideration in BSFL treatment when ensuring process performance and larval lipid contents. The consequences of these results for BSFL treatment of real wastes are discussed. Large scale treatment facilities should formulate substrates accordingly and identify methods to mitigate the anti-nutritional effects of poor carbohydrate profiles, particularly those high in hemicelluloses and their constituents.","container-title":"Waste Management","DOI":"10.1016/j.wasman.2021.10.013","ISSN":"0956-053X","journalAbbreviation":"Waste Management","language":"en","page":"9-19","source":"ScienceDirect","title":"Understanding dietary carbohydrates in black soldier fly larvae treatment of organic waste in the circular economy","volume":"137","author":[{"family":"Cohn","given":"Zachary"},{"family":"Latty","given":"Tanya"},{"family":"Abbas","given":"Ali"}],"issued":{"date-parts":[["2022",1,1]]}}}],"schema":"https://github.com/citation-style-language/schema/raw/master/csl-citation.json"} </w:instrText>
      </w:r>
      <w:r w:rsidRPr="003F5DA8">
        <w:rPr>
          <w:rFonts w:cs="Times New Roman"/>
        </w:rPr>
        <w:fldChar w:fldCharType="separate"/>
      </w:r>
      <w:r w:rsidR="00942782" w:rsidRPr="00942782">
        <w:rPr>
          <w:rFonts w:ascii="Calibri" w:hAnsi="Calibri" w:cs="Calibri"/>
          <w:szCs w:val="24"/>
          <w:vertAlign w:val="superscript"/>
        </w:rPr>
        <w:t>75</w:t>
      </w:r>
      <w:r w:rsidRPr="003F5DA8">
        <w:rPr>
          <w:rFonts w:cs="Times New Roman"/>
        </w:rPr>
        <w:fldChar w:fldCharType="end"/>
      </w:r>
      <w:r w:rsidRPr="003F5DA8">
        <w:rPr>
          <w:rFonts w:cs="Times New Roman"/>
        </w:rPr>
        <w:t>. For example, high fibers content usually limits final larvae weight, increases growth period, and damages FCR</w:t>
      </w:r>
      <w:r w:rsidRPr="003F5DA8">
        <w:rPr>
          <w:rFonts w:cs="Times New Roman"/>
        </w:rPr>
        <w:fldChar w:fldCharType="begin"/>
      </w:r>
      <w:r w:rsidR="00942782">
        <w:rPr>
          <w:rFonts w:cs="Times New Roman"/>
        </w:rPr>
        <w:instrText xml:space="preserve"> ADDIN ZOTERO_ITEM CSL_CITATION {"citationID":"sNg86fyT","properties":{"formattedCitation":"\\super 82\\nosupersub{}","plainCitation":"82","noteIndex":0},"citationItems":[{"id":13387,"uris":["http://zotero.org/users/6423791/items/422TLKZP"],"itemData":{"id":13387,"type":"article-journal","abstract":"Insects are becoming increasingly relevant as protein sources in food and feed. The Black Soldier Fly (BSF) is one of the most utilized, thanks to its ability to live on many leftovers. Vegetable processing industries produce huge amounts of by-products, and it is important to efficiently rear BSF on different substrates to assure an economical advantage in bioconversion and to overcome the seasonality of some leftovers. This work evaluated how different substrates affect the protein and amino acid content of BSF. BSF prepupae reared on different substrates showed total protein content varying between 35% and 49% on dry matter. Significant lower protein contents were detected in BSF grown on fruit by-products, while higher contents were observed when autumnal leftovers were employed. BSF protein content was mainly correlated to fibre and protein content in the diet. Among amino acids, lysine, valine and leucine were most affected by the diet. Essential amino acids satisfied the Food and Agricultural Organization (FAO) requirements for human nutrition, except for lysine in few cases. BSF could be a flexible tool to bio-convert a wide range of vegetable by-products of different seasonality in a high-quality protein-rich biomass, even if significant differences in the protein fraction were observed according to the rearing substrate.","container-title":"Foods","DOI":"10.3390/foods10081773","ISSN":"2304-8158","issue":"8","language":"en","license":"http://creativecommons.org/licenses/by/3.0/","note":"number: 8\npublisher: Multidisciplinary Digital Publishing Institute","page":"1773","source":"www.mdpi.com","title":"Effect of the Rearing Substrate on Total Protein and Amino Acid Composition in Black Soldier Fly","volume":"10","author":[{"family":"Fuso","given":"Andrea"},{"family":"Barbi","given":"Silvia"},{"family":"Macavei","given":"Laura Ioana"},{"family":"Luparelli","given":"Anna Valentina"},{"family":"Maistrello","given":"Lara"},{"family":"Montorsi","given":"Monia"},{"family":"Sforza","given":"Stefano"},{"family":"Caligiani","given":"Augusta"}],"issued":{"date-parts":[["2021",8]]}}}],"schema":"https://github.com/citation-style-language/schema/raw/master/csl-citation.json"} </w:instrText>
      </w:r>
      <w:r w:rsidRPr="003F5DA8">
        <w:rPr>
          <w:rFonts w:cs="Times New Roman"/>
        </w:rPr>
        <w:fldChar w:fldCharType="separate"/>
      </w:r>
      <w:r w:rsidR="00942782" w:rsidRPr="00942782">
        <w:rPr>
          <w:rFonts w:ascii="Calibri" w:hAnsi="Calibri" w:cs="Calibri"/>
          <w:szCs w:val="24"/>
          <w:vertAlign w:val="superscript"/>
        </w:rPr>
        <w:t>82</w:t>
      </w:r>
      <w:r w:rsidRPr="003F5DA8">
        <w:rPr>
          <w:rFonts w:cs="Times New Roman"/>
        </w:rPr>
        <w:fldChar w:fldCharType="end"/>
      </w:r>
      <w:r w:rsidRPr="003F5DA8">
        <w:rPr>
          <w:rFonts w:cs="Times New Roman"/>
        </w:rPr>
        <w:t>. Existing benchmarks of insect growth performances when fed specific residual biomasses streams also demonstrate that survival rates are shorten (e.g. down to 70-80% for sugar beet pulp or winery co-products</w:t>
      </w:r>
      <w:r w:rsidRPr="003F5DA8">
        <w:rPr>
          <w:rFonts w:cs="Times New Roman"/>
        </w:rPr>
        <w:fldChar w:fldCharType="begin"/>
      </w:r>
      <w:r w:rsidR="00942782">
        <w:rPr>
          <w:rFonts w:cs="Times New Roman"/>
        </w:rPr>
        <w:instrText xml:space="preserve"> ADDIN ZOTERO_ITEM CSL_CITATION {"citationID":"Hzh4QZgn","properties":{"formattedCitation":"\\super 83\\nosupersub{}","plainCitation":"83","noteIndex":0},"citationItems":[{"id":11579,"uris":["http://zotero.org/users/6423791/items/8LZ274B9"],"itemData":{"id":11579,"type":"article-journal","abstract":"The Black Soldier Fly (BSF) offers the potential to address two global challenges; the environmental detriments of food waste and the rising demand for protein. Food waste digested by BSF larvae can be converted into biomass, which may then be utilized for the development of value-added products including new food sources for human and animal consumption. A systematic literature search was conducted to identify studies investigating the inﬂuence of food waste rearing substrates on BSF larvae protein composition. Of 1712 articles identiﬁed, 23 articles were selected for inclusion. Based on the results of this review, BSF larvae reared on ‘Fish waste Sardinella aurita’ for two days reported the highest total protein content at 78.8% and BSF larvae reared on various formulations of ‘Fruit and vegetable’ reported the lowest protein content at 12.9%. This review is the ﬁrst to examine the inﬂuence of food waste on the protein composition of BSF larvae. Major differences in larval rearing conditions and methods utilized to perform nutritional analyses, potentially inﬂuenced the reported protein composition of the BSF larvae. While this review has highlighted the role BSF larvae in food waste management and alternative protein development, their application in nutrition is still in its infancy.","container-title":"Insects","DOI":"10.3390/insects12070608","ISSN":"2075-4450","issue":"7","journalAbbreviation":"Insects","language":"en","page":"608","source":"DOI.org (Crossref)","title":"The Influence of Food Waste Rearing Substrates on Black Soldier Fly Larvae Protein Composition: A Systematic Review","title-short":"The Influence of Food Waste Rearing Substrates on Black Soldier Fly Larvae Protein Composition","volume":"12","author":[{"family":"Hopkins","given":"Indee"},{"family":"Newman","given":"Lisa P."},{"family":"Gill","given":"Harsharn"},{"family":"Danaher","given":"Jessica"}],"issued":{"date-parts":[["2021",7,4]]}}}],"schema":"https://github.com/citation-style-language/schema/raw/master/csl-citation.json"} </w:instrText>
      </w:r>
      <w:r w:rsidRPr="003F5DA8">
        <w:rPr>
          <w:rFonts w:cs="Times New Roman"/>
        </w:rPr>
        <w:fldChar w:fldCharType="separate"/>
      </w:r>
      <w:r w:rsidR="00942782" w:rsidRPr="00942782">
        <w:rPr>
          <w:rFonts w:ascii="Calibri" w:hAnsi="Calibri" w:cs="Calibri"/>
          <w:szCs w:val="24"/>
          <w:vertAlign w:val="superscript"/>
        </w:rPr>
        <w:t>83</w:t>
      </w:r>
      <w:r w:rsidRPr="003F5DA8">
        <w:rPr>
          <w:rFonts w:cs="Times New Roman"/>
        </w:rPr>
        <w:fldChar w:fldCharType="end"/>
      </w:r>
      <w:r w:rsidRPr="003F5DA8">
        <w:rPr>
          <w:rFonts w:cs="Times New Roman"/>
        </w:rPr>
        <w:t>) and growth period before pre-pupae extended (up to 40-50 days for vegetable residues and fruit pomaces only</w:t>
      </w:r>
      <w:r w:rsidRPr="003F5DA8">
        <w:rPr>
          <w:rFonts w:cs="Times New Roman"/>
        </w:rPr>
        <w:fldChar w:fldCharType="begin"/>
      </w:r>
      <w:r w:rsidR="00942782">
        <w:rPr>
          <w:rFonts w:cs="Times New Roman"/>
        </w:rPr>
        <w:instrText xml:space="preserve"> ADDIN ZOTERO_ITEM CSL_CITATION {"citationID":"c1PQFcQ6","properties":{"formattedCitation":"\\super 83\\nosupersub{}","plainCitation":"83","noteIndex":0},"citationItems":[{"id":11579,"uris":["http://zotero.org/users/6423791/items/8LZ274B9"],"itemData":{"id":11579,"type":"article-journal","abstract":"The Black Soldier Fly (BSF) offers the potential to address two global challenges; the environmental detriments of food waste and the rising demand for protein. Food waste digested by BSF larvae can be converted into biomass, which may then be utilized for the development of value-added products including new food sources for human and animal consumption. A systematic literature search was conducted to identify studies investigating the inﬂuence of food waste rearing substrates on BSF larvae protein composition. Of 1712 articles identiﬁed, 23 articles were selected for inclusion. Based on the results of this review, BSF larvae reared on ‘Fish waste Sardinella aurita’ for two days reported the highest total protein content at 78.8% and BSF larvae reared on various formulations of ‘Fruit and vegetable’ reported the lowest protein content at 12.9%. This review is the ﬁrst to examine the inﬂuence of food waste on the protein composition of BSF larvae. Major differences in larval rearing conditions and methods utilized to perform nutritional analyses, potentially inﬂuenced the reported protein composition of the BSF larvae. While this review has highlighted the role BSF larvae in food waste management and alternative protein development, their application in nutrition is still in its infancy.","container-title":"Insects","DOI":"10.3390/insects12070608","ISSN":"2075-4450","issue":"7","journalAbbreviation":"Insects","language":"en","page":"608","source":"DOI.org (Crossref)","title":"The Influence of Food Waste Rearing Substrates on Black Soldier Fly Larvae Protein Composition: A Systematic Review","title-short":"The Influence of Food Waste Rearing Substrates on Black Soldier Fly Larvae Protein Composition","volume":"12","author":[{"family":"Hopkins","given":"Indee"},{"family":"Newman","given":"Lisa P."},{"family":"Gill","given":"Harsharn"},{"family":"Danaher","given":"Jessica"}],"issued":{"date-parts":[["2021",7,4]]}}}],"schema":"https://github.com/citation-style-language/schema/raw/master/csl-citation.json"} </w:instrText>
      </w:r>
      <w:r w:rsidRPr="003F5DA8">
        <w:rPr>
          <w:rFonts w:cs="Times New Roman"/>
        </w:rPr>
        <w:fldChar w:fldCharType="separate"/>
      </w:r>
      <w:r w:rsidR="00942782" w:rsidRPr="00942782">
        <w:rPr>
          <w:rFonts w:ascii="Calibri" w:hAnsi="Calibri" w:cs="Calibri"/>
          <w:szCs w:val="24"/>
          <w:vertAlign w:val="superscript"/>
        </w:rPr>
        <w:t>83</w:t>
      </w:r>
      <w:r w:rsidRPr="003F5DA8">
        <w:rPr>
          <w:rFonts w:cs="Times New Roman"/>
        </w:rPr>
        <w:fldChar w:fldCharType="end"/>
      </w:r>
      <w:r w:rsidRPr="003F5DA8">
        <w:rPr>
          <w:rFonts w:cs="Times New Roman"/>
        </w:rPr>
        <w:t>) compared to conventional diets. The same authors also showed the influence of the individual substrate composition on the final composition of the BSF larvae, which can therefore be indirectly monitored (e.g. yielding specific fatty acids</w:t>
      </w:r>
      <w:r w:rsidRPr="003F5DA8">
        <w:rPr>
          <w:rFonts w:cs="Times New Roman"/>
        </w:rPr>
        <w:fldChar w:fldCharType="begin"/>
      </w:r>
      <w:r w:rsidR="00827449">
        <w:rPr>
          <w:rFonts w:cs="Times New Roman"/>
        </w:rPr>
        <w:instrText xml:space="preserve"> ADDIN ZOTERO_ITEM CSL_CITATION {"citationID":"rl29wm7o","properties":{"formattedCitation":"\\super 84\\nosupersub{}","plainCitation":"84","noteIndex":0},"citationItems":[{"id":13439,"uris":["http://zotero.org/users/6423791/items/H2CECFSU"],"itemData":{"id":13439,"type":"article-journal","abstract":"Insects need a sufficient quantity of macro- and micronutrients in their diet for maximising their growth, development, and reproduction. To achieve high efficiency in the mass production of a particular insect species, the quality of the diet given must be considered, both in terms of its chemical (nutrients) and physical (hardness and form) characteristics. Black soldier fly (BSF), Hermetia illucens (L.) (Diptera: Stratiomyidae), is a beneficial insect widely reared due to its easy and cost-effective maintenance. An example of the end-product of BSF larvae (BSFL) is known as BSF oil, which can be used for animal feed, raw material in bar/liquid soap, and biodiesel. To obtain the best quality of oil produced from BSFL, finding an optimal substrate through diet mixing or manipulation is quite necessitated. Fatty acids with more than 18 carbons should be found in the substrate to be absorbed into the fat of BSFL to obtain a high-quality oil. There is a positive correlation between the fatty acid concentration in the substrate and the concentration in BSFL, that the concentration in BSFL is influenced by the concentration in the substrate. This emphasises the importance of the substrate’s fatty acid content in incorporating these fatty acids into BSF oil. Although the oils produced by the insect are especially high in medium-chain fatty acids and monounsaturated fatty acids, yet, to produce on such a large scale requiring further investigations.","container-title":"Journal of Insects as Food and Feed","DOI":"10.3920/JIFF2021.0162","journalAbbreviation":"J. Insects Food Feed","note":"publisher: Wageningen Academic Publishers","page":"1-20","source":"wageningenacademic.com (Atypon)","title":"Manipulation of the black soldier fly larvae (Hermetia illucens; Diptera: Stratiomyidae) fatty acid profile through the substrate","title-short":"Manipulation of the black soldier fly larvae (Hermetia illucens; Diptera","author":[{"family":"Siddiqui","given":"S.a."},{"family":"Snoeck","given":"E.r."},{"family":"Tello","given":"A."},{"family":"Alles","given":"M.c."},{"family":"Fernando","given":"I."},{"family":"Saraswati","given":"Y.r."},{"family":"Rahayu","given":"T."},{"family":"Grover","given":"R."},{"family":"Ullah","given":"M.i."},{"family":"Ristow","given":"B."},{"family":"Nagdalian","given":"A.a."}],"issued":{"date-parts":[["2022",3]]}}}],"schema":"https://github.com/citation-style-language/schema/raw/master/csl-citation.json"} </w:instrText>
      </w:r>
      <w:r w:rsidRPr="003F5DA8">
        <w:rPr>
          <w:rFonts w:cs="Times New Roman"/>
        </w:rPr>
        <w:fldChar w:fldCharType="separate"/>
      </w:r>
      <w:r w:rsidR="00942782" w:rsidRPr="00942782">
        <w:rPr>
          <w:rFonts w:ascii="Calibri" w:hAnsi="Calibri" w:cs="Calibri"/>
          <w:szCs w:val="24"/>
          <w:vertAlign w:val="superscript"/>
        </w:rPr>
        <w:t>84</w:t>
      </w:r>
      <w:r w:rsidRPr="003F5DA8">
        <w:rPr>
          <w:rFonts w:cs="Times New Roman"/>
        </w:rPr>
        <w:fldChar w:fldCharType="end"/>
      </w:r>
      <w:r w:rsidRPr="003F5DA8">
        <w:rPr>
          <w:rFonts w:cs="Times New Roman"/>
        </w:rPr>
        <w:t>).</w:t>
      </w:r>
      <w:r>
        <w:rPr>
          <w:rFonts w:cs="Times New Roman"/>
        </w:rPr>
        <w:t xml:space="preserve"> </w:t>
      </w:r>
      <w:bookmarkStart w:id="145" w:name="_Hlk141263066"/>
      <w:r w:rsidRPr="00E819F5">
        <w:rPr>
          <w:rFonts w:cs="Times New Roman"/>
        </w:rPr>
        <w:t>This model considers that single residual streams will be part of a tailored substrate for insect rearing</w:t>
      </w:r>
      <w:bookmarkEnd w:id="145"/>
      <w:r w:rsidRPr="00E819F5">
        <w:rPr>
          <w:rFonts w:cs="Times New Roman"/>
        </w:rPr>
        <w:t>,</w:t>
      </w:r>
      <w:r w:rsidRPr="003F5DA8">
        <w:rPr>
          <w:rFonts w:cs="Times New Roman"/>
        </w:rPr>
        <w:t xml:space="preserve"> for example resulting from a multi-objective optimization as implemented for common livestock feed formulation</w:t>
      </w:r>
      <w:r w:rsidRPr="003F5DA8">
        <w:rPr>
          <w:rFonts w:cs="Times New Roman"/>
        </w:rPr>
        <w:fldChar w:fldCharType="begin"/>
      </w:r>
      <w:r w:rsidR="00942782">
        <w:rPr>
          <w:rFonts w:cs="Times New Roman"/>
        </w:rPr>
        <w:instrText xml:space="preserve"> ADDIN ZOTERO_ITEM CSL_CITATION {"citationID":"lWJqmW3C","properties":{"formattedCitation":"\\super 85\\nosupersub{}","plainCitation":"85","noteIndex":0},"citationItems":[{"id":12297,"uris":["http://zotero.org/users/6423791/items/JCSEQLGM"],"itemData":{"id":12297,"type":"article-journal","abstract":"Animal feeding has a major contribution to the environmental impacts of pig production. One potential way to mitigate such effects is to incorporate an assessment of these impacts in the feed formulation process. The objective of this study was to test the ability of innovative formulation methodologies to reduce the impacts of pig production while also taking into account possible effects on growth performance. We compared three different formulation methodologies: least-cost formulation, in accordance with standard practices on commercial farms; multiobjective (MO) formulation, which considered feed cost and environmental impacts as calculated by life cycle assessment (LCA); and MO formulation, which prioritized locally produced feed ingredients to reduce the impact of transport. Ninety-six pigs were distributed between three experimental groups, with pigs individually weighted and fed using an automatic feeding system from 40 to 115 kg body weight. Based on the experimental results, six categories of impacts were evaluated: climate change (CC), demand in non-renewable energy (NRE), acidification (AC), eutrophication (EU), land occupation (LO), and phosphorus demand (PD), at both feed plant gate and farm gate, with 1 kg of feed and 1 kg of live pig as functional units, respectively. At feed level, MO formulations reduced CC, NRE, AC, and PD impacts but sometimes increased LO and EU impacts. These formulations reduced the proportion of cereals and oil meals into feeds (feed ingredients with high impacts), while the proportion of alternative protein sources, like peas, faba beans, or high-protein agricultural coproducts increased (feed ingredients with low impacts). Overall, animal performance was not affected by the dietary treatment; because of this, the general pattern of results obtained with either MO formulation at farm gate was similar to that obtained at feed level. Thus, MO diet formulation represents an efficient way to reduce the environmental impacts of pig production without compromising animal performance.","container-title":"Frontiers in Veterinary Science","DOI":"10.3389/fvets.2021.689012","ISSN":"2297-1769","journalAbbreviation":"Front. Vet. Sci.","page":"703","source":"Frontiers","title":"Eco-Friendly Feed Formulation and On-Farm Feed Production as Ways to Reduce the Environmental Impacts of Pig Production Without Consequences on Animal Performance","volume":"8","author":[{"family":"Quelen","given":"Francine","non-dropping-particle":"de"},{"family":"Brossard","given":"Ludovic"},{"family":"Wilfart","given":"Aurélie"},{"family":"Dourmad","given":"Jean-Yves"},{"family":"Garcia-Launay","given":"Florence"}],"issued":{"date-parts":[["2021"]]}}}],"schema":"https://github.com/citation-style-language/schema/raw/master/csl-citation.json"} </w:instrText>
      </w:r>
      <w:r w:rsidRPr="003F5DA8">
        <w:rPr>
          <w:rFonts w:cs="Times New Roman"/>
        </w:rPr>
        <w:fldChar w:fldCharType="separate"/>
      </w:r>
      <w:r w:rsidR="00942782" w:rsidRPr="00942782">
        <w:rPr>
          <w:rFonts w:ascii="Calibri" w:hAnsi="Calibri" w:cs="Calibri"/>
          <w:szCs w:val="24"/>
          <w:vertAlign w:val="superscript"/>
        </w:rPr>
        <w:t>85</w:t>
      </w:r>
      <w:r w:rsidRPr="003F5DA8">
        <w:rPr>
          <w:rFonts w:cs="Times New Roman"/>
        </w:rPr>
        <w:fldChar w:fldCharType="end"/>
      </w:r>
      <w:r w:rsidRPr="003F5DA8">
        <w:rPr>
          <w:rFonts w:cs="Times New Roman"/>
        </w:rPr>
        <w:t>.</w:t>
      </w:r>
      <w:r>
        <w:rPr>
          <w:rFonts w:cs="Times New Roman"/>
        </w:rPr>
        <w:t xml:space="preserve"> </w:t>
      </w:r>
      <w:r w:rsidRPr="003F5DA8">
        <w:rPr>
          <w:rFonts w:cs="Times New Roman"/>
        </w:rPr>
        <w:t>With these simplifying assumptions, the</w:t>
      </w:r>
      <w:r w:rsidR="00E819F5">
        <w:rPr>
          <w:rFonts w:cs="Times New Roman"/>
        </w:rPr>
        <w:t xml:space="preserve"> protein conversion ratio</w:t>
      </w:r>
      <w:r w:rsidRPr="003F5DA8">
        <w:rPr>
          <w:rFonts w:cs="Times New Roman"/>
        </w:rPr>
        <w:t xml:space="preserve"> </w:t>
      </w:r>
      <w:r w:rsidR="00E819F5">
        <w:rPr>
          <w:rFonts w:cs="Times New Roman"/>
        </w:rPr>
        <w:t>(</w:t>
      </w:r>
      <w:r w:rsidRPr="003F5DA8">
        <w:rPr>
          <w:rFonts w:cs="Times New Roman"/>
        </w:rPr>
        <w:t>PCR</w:t>
      </w:r>
      <w:r w:rsidR="00E819F5">
        <w:rPr>
          <w:rFonts w:cs="Times New Roman"/>
        </w:rPr>
        <w:t>)</w:t>
      </w:r>
      <w:r w:rsidRPr="003F5DA8">
        <w:rPr>
          <w:rFonts w:cs="Times New Roman"/>
        </w:rPr>
        <w:t xml:space="preserve"> and the number of 5-DOL required per weight unit of substrate remains the sole variables which adjust to the specific composition of input feedstock. In other words, the model aimed to provide a proxy of the effects to include a specific residual biomass streams within a tailored insect mass rearing diet.</w:t>
      </w:r>
      <w:r>
        <w:rPr>
          <w:rFonts w:cs="Times New Roman"/>
        </w:rPr>
        <w:t xml:space="preserve"> </w:t>
      </w:r>
      <w:r w:rsidRPr="003F5DA8">
        <w:rPr>
          <w:rFonts w:cs="Times New Roman"/>
        </w:rPr>
        <w:t>A recent study showed that manure-based ammonia (NH</w:t>
      </w:r>
      <w:r w:rsidRPr="003F5DA8">
        <w:rPr>
          <w:rFonts w:cs="Times New Roman"/>
          <w:vertAlign w:val="subscript"/>
        </w:rPr>
        <w:t>3</w:t>
      </w:r>
      <w:r w:rsidRPr="003F5DA8">
        <w:rPr>
          <w:rFonts w:cs="Times New Roman"/>
        </w:rPr>
        <w:t>) can be assimilated in the BSF larvae body into proteins</w:t>
      </w:r>
      <w:r w:rsidRPr="003F5DA8">
        <w:rPr>
          <w:rFonts w:cs="Times New Roman"/>
        </w:rPr>
        <w:fldChar w:fldCharType="begin"/>
      </w:r>
      <w:r w:rsidR="00942782">
        <w:rPr>
          <w:rFonts w:cs="Times New Roman"/>
        </w:rPr>
        <w:instrText xml:space="preserve"> ADDIN ZOTERO_ITEM CSL_CITATION {"citationID":"uixcAn7O","properties":{"formattedCitation":"\\super 86\\nosupersub{}","plainCitation":"86","noteIndex":0},"citationItems":[{"id":13335,"uris":["http://zotero.org/users/6423791/items/NECPH3J7"],"itemData":{"id":13335,"type":"article-journal","abstract":"Nitrogen (N) losses via ammonia (NH3) emissions from manure is one of the main environmental burdens resulting from livestock production. Feeding manure to black soldier fly larvae (BSFL) is envisioned as a new circular strategy to recover manure-N, reduce its environmental impact, and upgrade it into insect proteins to be used in animal feed. However, so far, it remained unknown if BSFL could incorporate N from NH3 in manure into the larval body mass. Here, using the stable isotope 15N in NH3, we demonstrate that at least 13% of pig manure NH3-N can be incorporated into BSFL body mass. Within the larval body, the tracer was found in both insoluble and soluble nitrogen fractions, including proteins. We discuss interventions that could increase the incorporation of NH3-N into larval proteins and with that reduce NH3 emissions from manure. Our results provide the first reliable quantification of NH3-N assimilation in manure-fed larvae and contributes to quantifying the potential of BSFL for manure management, and as a circular protein source.","container-title":"Resources, Conservation and Recycling","DOI":"10.1016/j.resconrec.2022.106343","ISSN":"0921-3449","journalAbbreviation":"Resources, Conservation and Recycling","language":"en","page":"106343","source":"ScienceDirect","title":"Upgrading ammonia-nitrogen from manure into body proteins in black soldier fly larvae","volume":"182","author":[{"family":"Parodi","given":"Alejandro"},{"family":"Yao","given":"Qifa"},{"family":"Gerrits","given":"Walter J. J."},{"family":"Mishyna","given":"Maryia"},{"family":"Lakemond","given":"Catriona M. M."},{"family":"Oonincx","given":"Dennis G. A. B."},{"family":"Van Loon","given":"Joop J. A."}],"issued":{"date-parts":[["2022",7,1]]}}}],"schema":"https://github.com/citation-style-language/schema/raw/master/csl-citation.json"} </w:instrText>
      </w:r>
      <w:r w:rsidRPr="003F5DA8">
        <w:rPr>
          <w:rFonts w:cs="Times New Roman"/>
        </w:rPr>
        <w:fldChar w:fldCharType="separate"/>
      </w:r>
      <w:r w:rsidR="00942782" w:rsidRPr="00942782">
        <w:rPr>
          <w:rFonts w:ascii="Calibri" w:hAnsi="Calibri" w:cs="Calibri"/>
          <w:szCs w:val="24"/>
          <w:vertAlign w:val="superscript"/>
        </w:rPr>
        <w:t>86</w:t>
      </w:r>
      <w:r w:rsidRPr="003F5DA8">
        <w:rPr>
          <w:rFonts w:cs="Times New Roman"/>
        </w:rPr>
        <w:fldChar w:fldCharType="end"/>
      </w:r>
      <w:r w:rsidRPr="003F5DA8">
        <w:rPr>
          <w:rFonts w:cs="Times New Roman"/>
        </w:rPr>
        <w:t>. Yet, it remains unclear if this assimilation resulted from the insect’s metabolism itself (transamination) or came from the action of external microorganisms acting as intermediates (synthesizing microbial proteins, further ingested as proteins by the insects). A review by Bar-Shmuel et al., 2020</w:t>
      </w:r>
      <w:r w:rsidRPr="003F5DA8">
        <w:rPr>
          <w:rFonts w:cs="Times New Roman"/>
        </w:rPr>
        <w:fldChar w:fldCharType="begin"/>
      </w:r>
      <w:r w:rsidR="00942782">
        <w:rPr>
          <w:rFonts w:cs="Times New Roman"/>
        </w:rPr>
        <w:instrText xml:space="preserve"> ADDIN ZOTERO_ITEM CSL_CITATION {"citationID":"AEnKmsZk","properties":{"formattedCitation":"\\super 87\\nosupersub{}","plainCitation":"87","noteIndex":0},"citationItems":[{"id":2050,"uris":["http://zotero.org/users/6423791/items/9TLKWPKH"],"itemData":{"id":2050,"type":"article-journal","abstract":"Many insects feed on a low-nitrogen diet, and the origin of their nitrogen supply is poorly understood. It has been hypothesized that some insects rely on nitrogen-fixing bacteria (diazotrophs) to supplement their diets. Nitrogen fixation by diazotrophs has been extensively studied and convincingly demonstrated in termites, while evidence for the occurrence and role of nitrogen fixation in the diet of other insects is less conclusive. Here, we summarize the methods to detect nitrogen fixation in insects and review the available evidence for its occurrence (focusing on insects other than termites). We distinguish between three aspects of nitrogen fixation investigations: (i) detecting the presence of potential diazotrophs; (ii) detecting the activity of the nitrogen-fixing enzyme; and (iii) detecting the assimilation of fixed nitrogen into the insect tissues. We show that although evidence from investigations of the first aspect reveals ample opportunities for interactions with potential diazotrophs in a variety of insects, demonstrations of actual biological nitrogen fixation and the assimilation of fixed nitrogen are restricted to very few insect groups, including wood-feeding beetles, fruit flies, leafcutter ants, and a wood wasp. We then discuss potential implications for the insect's fitness and for the ecosystem as a whole. We suggest that combining these multiple approaches is crucial for the study of nitrogen fixation in insects, and argue that further demonstrations are desperately needed in order to determine the relative importance of diazotrophs for insect diet and fitness, as well as to evaluate their overall impact on the ecosystem.","container-title":"Insect Science","DOI":"10.1111/1744-7917.12697","ISSN":"1744-7917","issue":"3","language":"en","license":"© 2019 Institute of Zoology, Chinese Academy of Sciences","note":"_eprint: https://onlinelibrary.wiley.com/doi/pdf/10.1111/1744-7917.12697","page":"392-403","source":"Wiley Online Library","title":"What do we know about biological nitrogen fixation in insects? Evidence and implications for the insect and the ecosystem","title-short":"What do we know about biological nitrogen fixation in insects?","volume":"27","author":[{"family":"Bar‐Shmuel","given":"Nitsan"},{"family":"Behar","given":"Adi"},{"family":"Segoli","given":"Michal"}],"issued":{"date-parts":[["2020"]]}}}],"schema":"https://github.com/citation-style-language/schema/raw/master/csl-citation.json"} </w:instrText>
      </w:r>
      <w:r w:rsidRPr="003F5DA8">
        <w:rPr>
          <w:rFonts w:cs="Times New Roman"/>
        </w:rPr>
        <w:fldChar w:fldCharType="separate"/>
      </w:r>
      <w:r w:rsidR="00942782" w:rsidRPr="00942782">
        <w:rPr>
          <w:rFonts w:ascii="Calibri" w:hAnsi="Calibri" w:cs="Calibri"/>
          <w:szCs w:val="24"/>
          <w:vertAlign w:val="superscript"/>
        </w:rPr>
        <w:t>87</w:t>
      </w:r>
      <w:r w:rsidRPr="003F5DA8">
        <w:rPr>
          <w:rFonts w:cs="Times New Roman"/>
        </w:rPr>
        <w:fldChar w:fldCharType="end"/>
      </w:r>
      <w:r w:rsidRPr="003F5DA8">
        <w:rPr>
          <w:rFonts w:cs="Times New Roman"/>
        </w:rPr>
        <w:t xml:space="preserve"> arrived to a similar conclusion (synergy between diazotroph microbes and insects), acknowledging that the ability to directly fixed mineral N as proteins is restricted to a small group of insects which does not include BSF. Considering that (i) studied feedstocks to target food and feed markets mostly include streams hosting protein-bound N (hence low presence of ammoniacal nitrogen; manure being explicitly prohibited in feed) and (ii) rearing was assumed in a controlled and hygienized environment, limited in time (growth period of ca. 20 days), we considered that the proteins initially present in the feedstock were the only nitrogen source for insects’ development.</w:t>
      </w:r>
    </w:p>
    <w:p w14:paraId="213607E3" w14:textId="6A8AFB1F" w:rsidR="006458E0" w:rsidRDefault="006458E0" w:rsidP="006458E0">
      <w:pPr>
        <w:jc w:val="both"/>
        <w:rPr>
          <w:rFonts w:cs="Times New Roman"/>
        </w:rPr>
      </w:pPr>
      <w:r w:rsidRPr="003F5DA8">
        <w:rPr>
          <w:rFonts w:cs="Times New Roman"/>
        </w:rPr>
        <w:lastRenderedPageBreak/>
        <w:t>Additionally, insect’s PCR was found inversely correlated to the amount of protein in the rearing substrate</w:t>
      </w:r>
      <w:r w:rsidRPr="003F5DA8">
        <w:rPr>
          <w:rFonts w:cs="Times New Roman"/>
        </w:rPr>
        <w:fldChar w:fldCharType="begin"/>
      </w:r>
      <w:r w:rsidR="00942782">
        <w:rPr>
          <w:rFonts w:cs="Times New Roman"/>
        </w:rPr>
        <w:instrText xml:space="preserve"> ADDIN ZOTERO_ITEM CSL_CITATION {"citationID":"SnuRh2BV","properties":{"formattedCitation":"\\super 82\\nosupersub{}","plainCitation":"82","noteIndex":0},"citationItems":[{"id":13387,"uris":["http://zotero.org/users/6423791/items/422TLKZP"],"itemData":{"id":13387,"type":"article-journal","abstract":"Insects are becoming increasingly relevant as protein sources in food and feed. The Black Soldier Fly (BSF) is one of the most utilized, thanks to its ability to live on many leftovers. Vegetable processing industries produce huge amounts of by-products, and it is important to efficiently rear BSF on different substrates to assure an economical advantage in bioconversion and to overcome the seasonality of some leftovers. This work evaluated how different substrates affect the protein and amino acid content of BSF. BSF prepupae reared on different substrates showed total protein content varying between 35% and 49% on dry matter. Significant lower protein contents were detected in BSF grown on fruit by-products, while higher contents were observed when autumnal leftovers were employed. BSF protein content was mainly correlated to fibre and protein content in the diet. Among amino acids, lysine, valine and leucine were most affected by the diet. Essential amino acids satisfied the Food and Agricultural Organization (FAO) requirements for human nutrition, except for lysine in few cases. BSF could be a flexible tool to bio-convert a wide range of vegetable by-products of different seasonality in a high-quality protein-rich biomass, even if significant differences in the protein fraction were observed according to the rearing substrate.","container-title":"Foods","DOI":"10.3390/foods10081773","ISSN":"2304-8158","issue":"8","language":"en","license":"http://creativecommons.org/licenses/by/3.0/","note":"number: 8\npublisher: Multidisciplinary Digital Publishing Institute","page":"1773","source":"www.mdpi.com","title":"Effect of the Rearing Substrate on Total Protein and Amino Acid Composition in Black Soldier Fly","volume":"10","author":[{"family":"Fuso","given":"Andrea"},{"family":"Barbi","given":"Silvia"},{"family":"Macavei","given":"Laura Ioana"},{"family":"Luparelli","given":"Anna Valentina"},{"family":"Maistrello","given":"Lara"},{"family":"Montorsi","given":"Monia"},{"family":"Sforza","given":"Stefano"},{"family":"Caligiani","given":"Augusta"}],"issued":{"date-parts":[["2021",8]]}}}],"schema":"https://github.com/citation-style-language/schema/raw/master/csl-citation.json"} </w:instrText>
      </w:r>
      <w:r w:rsidRPr="003F5DA8">
        <w:rPr>
          <w:rFonts w:cs="Times New Roman"/>
        </w:rPr>
        <w:fldChar w:fldCharType="separate"/>
      </w:r>
      <w:r w:rsidR="00942782" w:rsidRPr="00942782">
        <w:rPr>
          <w:rFonts w:ascii="Calibri" w:hAnsi="Calibri" w:cs="Calibri"/>
          <w:szCs w:val="24"/>
          <w:vertAlign w:val="superscript"/>
        </w:rPr>
        <w:t>82</w:t>
      </w:r>
      <w:r w:rsidRPr="003F5DA8">
        <w:rPr>
          <w:rFonts w:cs="Times New Roman"/>
        </w:rPr>
        <w:fldChar w:fldCharType="end"/>
      </w:r>
      <w:r w:rsidRPr="003F5DA8">
        <w:rPr>
          <w:rFonts w:cs="Times New Roman"/>
        </w:rPr>
        <w:t>. While a minimum amount of proteins needs to be supplied to ensure BSF larvae’s development and competitive FCR (estimated around 5-10%</w:t>
      </w:r>
      <w:r w:rsidRPr="003F5DA8">
        <w:rPr>
          <w:rFonts w:cs="Times New Roman"/>
          <w:vertAlign w:val="subscript"/>
        </w:rPr>
        <w:t>DM</w:t>
      </w:r>
      <w:r w:rsidRPr="003F5DA8">
        <w:rPr>
          <w:rFonts w:cs="Times New Roman"/>
        </w:rPr>
        <w:t xml:space="preserve"> of the diet), the authors showed that providing (relatively) more proteins was unnecessary as most of these will remain untouched or unconverted into insect proteins, somehow similarly to the common “barrel principle” of animal nutrition. Albeit depending on many factors and assumptions (e.g. nitrogen-to-protein ratio for insects, among others), </w:t>
      </w:r>
      <w:r w:rsidRPr="00E819F5">
        <w:rPr>
          <w:rFonts w:cs="Times New Roman"/>
        </w:rPr>
        <w:t xml:space="preserve">common PCR values for tailored diets range between 25-60% for BSF. </w:t>
      </w:r>
      <w:r w:rsidRPr="003F5DA8">
        <w:rPr>
          <w:rFonts w:cs="Times New Roman"/>
        </w:rPr>
        <w:t xml:space="preserve">Therefore, this PCR value was set as a technology parameter and most of remaining performance indicators deduced from it. </w:t>
      </w:r>
      <w:r w:rsidR="00E819F5" w:rsidRPr="00E819F5">
        <w:rPr>
          <w:rFonts w:cs="Times New Roman"/>
          <w:b/>
        </w:rPr>
        <w:fldChar w:fldCharType="begin"/>
      </w:r>
      <w:r w:rsidR="00E819F5" w:rsidRPr="00E819F5">
        <w:rPr>
          <w:rFonts w:cs="Times New Roman"/>
          <w:b/>
        </w:rPr>
        <w:instrText xml:space="preserve"> REF _Ref144803952 \h </w:instrText>
      </w:r>
      <w:r w:rsidR="00E819F5">
        <w:rPr>
          <w:rFonts w:cs="Times New Roman"/>
          <w:b/>
        </w:rPr>
        <w:instrText xml:space="preserve"> \* MERGEFORMAT </w:instrText>
      </w:r>
      <w:r w:rsidR="00E819F5" w:rsidRPr="00E819F5">
        <w:rPr>
          <w:rFonts w:cs="Times New Roman"/>
          <w:b/>
        </w:rPr>
      </w:r>
      <w:r w:rsidR="00E819F5" w:rsidRPr="00E819F5">
        <w:rPr>
          <w:rFonts w:cs="Times New Roman"/>
          <w:b/>
        </w:rPr>
        <w:fldChar w:fldCharType="separate"/>
      </w:r>
      <w:r w:rsidR="00F25F8C" w:rsidRPr="00F25F8C">
        <w:rPr>
          <w:b/>
        </w:rPr>
        <w:t xml:space="preserve">Table SI. </w:t>
      </w:r>
      <w:r w:rsidR="00F25F8C" w:rsidRPr="00F25F8C">
        <w:rPr>
          <w:b/>
          <w:noProof/>
        </w:rPr>
        <w:t>30</w:t>
      </w:r>
      <w:r w:rsidR="00E819F5" w:rsidRPr="00E819F5">
        <w:rPr>
          <w:rFonts w:cs="Times New Roman"/>
          <w:b/>
        </w:rPr>
        <w:fldChar w:fldCharType="end"/>
      </w:r>
      <w:r w:rsidR="00E819F5">
        <w:rPr>
          <w:rFonts w:cs="Times New Roman"/>
        </w:rPr>
        <w:t xml:space="preserve"> </w:t>
      </w:r>
      <w:r w:rsidRPr="003F5DA8">
        <w:rPr>
          <w:rFonts w:cs="Times New Roman"/>
        </w:rPr>
        <w:t>further summarizes the main assumptions used.</w:t>
      </w:r>
    </w:p>
    <w:p w14:paraId="7DA7222C" w14:textId="4BA38A6B" w:rsidR="006458E0" w:rsidRPr="001E0013" w:rsidRDefault="00874128" w:rsidP="006B5342">
      <w:pPr>
        <w:pStyle w:val="Lgende"/>
        <w:jc w:val="left"/>
      </w:pPr>
      <w:bookmarkStart w:id="146" w:name="_Ref144803952"/>
      <w:bookmarkStart w:id="147" w:name="_Toc109425723"/>
      <w:bookmarkStart w:id="148" w:name="_Toc134537670"/>
      <w:bookmarkStart w:id="149" w:name="_Ref144804917"/>
      <w:bookmarkStart w:id="150" w:name="_Toc151967914"/>
      <w:r>
        <w:t>Table SI.</w:t>
      </w:r>
      <w:r w:rsidR="006458E0">
        <w:t xml:space="preserve"> </w:t>
      </w:r>
      <w:r>
        <w:fldChar w:fldCharType="begin"/>
      </w:r>
      <w:r>
        <w:instrText xml:space="preserve"> SEQ Table_SI. \* ARABIC </w:instrText>
      </w:r>
      <w:r>
        <w:fldChar w:fldCharType="separate"/>
      </w:r>
      <w:r w:rsidR="00F25F8C">
        <w:rPr>
          <w:noProof/>
        </w:rPr>
        <w:t>30</w:t>
      </w:r>
      <w:r>
        <w:fldChar w:fldCharType="end"/>
      </w:r>
      <w:bookmarkEnd w:id="146"/>
      <w:r w:rsidR="006458E0">
        <w:t xml:space="preserve"> – </w:t>
      </w:r>
      <w:r w:rsidR="006458E0" w:rsidRPr="001E0013">
        <w:t>Main parameters used to model BSF growth</w:t>
      </w:r>
      <w:bookmarkEnd w:id="147"/>
      <w:bookmarkEnd w:id="148"/>
      <w:bookmarkEnd w:id="149"/>
      <w:bookmarkEnd w:id="150"/>
    </w:p>
    <w:tbl>
      <w:tblPr>
        <w:tblStyle w:val="Tableausimple2"/>
        <w:tblW w:w="0" w:type="auto"/>
        <w:tblLook w:val="04A0" w:firstRow="1" w:lastRow="0" w:firstColumn="1" w:lastColumn="0" w:noHBand="0" w:noVBand="1"/>
      </w:tblPr>
      <w:tblGrid>
        <w:gridCol w:w="1970"/>
        <w:gridCol w:w="1262"/>
        <w:gridCol w:w="664"/>
        <w:gridCol w:w="1051"/>
        <w:gridCol w:w="3432"/>
      </w:tblGrid>
      <w:tr w:rsidR="006458E0" w:rsidRPr="00981F01" w14:paraId="669FCCB2"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0" w:type="dxa"/>
            <w:vMerge w:val="restart"/>
          </w:tcPr>
          <w:p w14:paraId="0FD6E155" w14:textId="77777777" w:rsidR="006458E0" w:rsidRPr="00981F01" w:rsidRDefault="006458E0" w:rsidP="006458E0">
            <w:pPr>
              <w:jc w:val="right"/>
              <w:rPr>
                <w:sz w:val="18"/>
                <w:szCs w:val="18"/>
              </w:rPr>
            </w:pPr>
            <w:r w:rsidRPr="00981F01">
              <w:rPr>
                <w:sz w:val="18"/>
                <w:szCs w:val="18"/>
              </w:rPr>
              <w:t>Composition (%</w:t>
            </w:r>
            <w:r w:rsidRPr="00981F01">
              <w:rPr>
                <w:sz w:val="18"/>
                <w:szCs w:val="18"/>
                <w:vertAlign w:val="subscript"/>
              </w:rPr>
              <w:t>DM</w:t>
            </w:r>
            <w:r w:rsidRPr="00981F01">
              <w:rPr>
                <w:sz w:val="18"/>
                <w:szCs w:val="18"/>
              </w:rPr>
              <w:t>)</w:t>
            </w:r>
          </w:p>
        </w:tc>
        <w:tc>
          <w:tcPr>
            <w:tcW w:w="1262" w:type="dxa"/>
          </w:tcPr>
          <w:p w14:paraId="418F2A5C" w14:textId="44450136" w:rsidR="006458E0" w:rsidRPr="00981F01"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981F01">
              <w:rPr>
                <w:sz w:val="18"/>
                <w:szCs w:val="18"/>
              </w:rPr>
              <w:t>5-DOL</w:t>
            </w:r>
            <w:r w:rsidRPr="00981F01">
              <w:rPr>
                <w:rFonts w:cs="Times New Roman"/>
                <w:sz w:val="18"/>
                <w:szCs w:val="18"/>
              </w:rPr>
              <w:fldChar w:fldCharType="begin"/>
            </w:r>
            <w:r w:rsidR="00942782">
              <w:rPr>
                <w:rFonts w:cs="Times New Roman"/>
                <w:sz w:val="18"/>
                <w:szCs w:val="18"/>
              </w:rPr>
              <w:instrText xml:space="preserve"> ADDIN ZOTERO_ITEM CSL_CITATION {"citationID":"AkxYISPa","properties":{"formattedCitation":"\\super 79,81\\nosupersub{}","plainCitation":"79,81","noteIndex":0},"citationItems":[{"id":13430,"uris":["http://zotero.org/users/6423791/items/3NJWF7VQ"],"itemData":{"id":13430,"type":"article-journal","abstract":"Black soldier fly larvae (Hermetia illucens; BSFL) can convert organic wastes into a nutrient-rich biomass suitable in animal feed, which could be a way to achieve more sustainable production of food. However, little is known about how the diet fed to BSFL affects their nutritional value, especially their fatty acid composition. In this study, BSFL were fed 11 diets based on four different organic waste sources (mussels, bread, fish and food waste). Fatty acid and proximate composition (dry matter, crude fat, crude protein and ash) were analysed in the diets, in two-week-old larvae and substrate residues. Larval weight, survival and feed conversion were also recorded. The diet was found to affect all parameters investigated. Irrespective of diet, the larval fat consisted mainly of lauric acid and other saturated fatty acids and these were found to be synthesised by the larvae. However, both the fatty acid composition of the substrate, and the larval weight were found to affect the fatty acid profile of the larvae. In general, larvae with a higher weight contained a higher percentage of saturated fatty acids and a lower percentage of unsaturated fatty acids, such as eicosapentaenoic (EPA) and docosahexaenoic acid (DHA). It was concluded that the possibilities to tailor the fatty acid composition of the BSFL through the diet are limited; thus, the BSFL fat may not be suitable to replace fish oil, but has potential of inclusion in other food, feed and fuel products.","container-title":"Waste Management","DOI":"10.1016/j.wasman.2019.10.014","ISSN":"0956-053X","journalAbbreviation":"Waste Management","language":"en","page":"40-47","source":"ScienceDirect","title":"Fatty acid composition of black soldier fly larvae (Hermetia illucens) – Possibilities and limitations for modification through diet","volume":"102","author":[{"family":"Ewald","given":"Nils"},{"family":"Vidakovic","given":"Aleksandar"},{"family":"Langeland","given":"Markus"},{"family":"Kiessling","given":"Anders"},{"family":"Sampels","given":"Sabine"},{"family":"Lalander","given":"Cecilia"}],"issued":{"date-parts":[["2020",2,1]]}}},{"id":2351,"uris":["http://zotero.org/users/6423791/items/GENSMZAR"],"itemData":{"id":2351,"type":"article-journal","abstract":"Black soldier fly larvae (BSFL) are acknowledged for their potential to upcycle waste biomass into animal feed, human food or biofuels. To ensure sust…","container-title":"Journal of Cleaner Production","DOI":"10.1016/j.jclepro.2020.122488","ISSN":"0959-6526","journalAbbreviation":"J. Clean. Prod.","language":"en","note":"publisher: Elsevier","page":"122488","source":"www-sciencedirect-com.gorgone.univ-toulouse.fr","title":"Bioconversion efficiencies, greenhouse gas and ammonia emissions during black soldier fly rearing – A mass balance approach","volume":"271","author":[{"family":"Parodi","given":"A."},{"family":"De Boer","given":"Imke J. M."},{"family":"Gerrits","given":"W. J. J."},{"family":"Van Loon","given":"J. J. A."},{"family":"Heetkamp","given":"M. J.W"},{"family":"Van Schelt","given":"J"},{"family":"Elizabeth Bolhuis","given":"J."},{"family":"Van Zanten","given":"H. H. E."}],"issued":{"date-parts":[["2020",10,20]]}}}],"schema":"https://github.com/citation-style-language/schema/raw/master/csl-citation.json"} </w:instrText>
            </w:r>
            <w:r w:rsidRPr="00981F01">
              <w:rPr>
                <w:rFonts w:cs="Times New Roman"/>
                <w:sz w:val="18"/>
                <w:szCs w:val="18"/>
              </w:rPr>
              <w:fldChar w:fldCharType="separate"/>
            </w:r>
            <w:r w:rsidR="00942782" w:rsidRPr="00942782">
              <w:rPr>
                <w:rFonts w:ascii="Calibri" w:hAnsi="Calibri" w:cs="Calibri"/>
                <w:sz w:val="18"/>
                <w:szCs w:val="24"/>
                <w:vertAlign w:val="superscript"/>
              </w:rPr>
              <w:t>79,81</w:t>
            </w:r>
            <w:r w:rsidRPr="00981F01">
              <w:rPr>
                <w:rFonts w:cs="Times New Roman"/>
                <w:sz w:val="18"/>
                <w:szCs w:val="18"/>
              </w:rPr>
              <w:fldChar w:fldCharType="end"/>
            </w:r>
          </w:p>
        </w:tc>
        <w:tc>
          <w:tcPr>
            <w:tcW w:w="5147" w:type="dxa"/>
            <w:gridSpan w:val="3"/>
          </w:tcPr>
          <w:p w14:paraId="2C58D2E8" w14:textId="77777777" w:rsidR="006458E0" w:rsidRPr="00981F01"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981F01">
              <w:rPr>
                <w:sz w:val="18"/>
                <w:szCs w:val="18"/>
              </w:rPr>
              <w:t>Finishing larvae</w:t>
            </w:r>
          </w:p>
        </w:tc>
      </w:tr>
      <w:tr w:rsidR="006458E0" w:rsidRPr="00981F01" w14:paraId="727A2ABD"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0" w:type="dxa"/>
            <w:vMerge/>
          </w:tcPr>
          <w:p w14:paraId="1B7CAE45" w14:textId="77777777" w:rsidR="006458E0" w:rsidRPr="00981F01" w:rsidRDefault="006458E0" w:rsidP="006458E0">
            <w:pPr>
              <w:jc w:val="right"/>
              <w:rPr>
                <w:b w:val="0"/>
                <w:sz w:val="18"/>
                <w:szCs w:val="18"/>
              </w:rPr>
            </w:pPr>
          </w:p>
        </w:tc>
        <w:tc>
          <w:tcPr>
            <w:tcW w:w="1262" w:type="dxa"/>
          </w:tcPr>
          <w:p w14:paraId="19364C3C"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b/>
                <w:sz w:val="18"/>
                <w:szCs w:val="18"/>
              </w:rPr>
            </w:pPr>
            <w:r w:rsidRPr="00981F01">
              <w:rPr>
                <w:b/>
                <w:sz w:val="18"/>
                <w:szCs w:val="18"/>
              </w:rPr>
              <w:t>Value</w:t>
            </w:r>
          </w:p>
        </w:tc>
        <w:tc>
          <w:tcPr>
            <w:tcW w:w="664" w:type="dxa"/>
          </w:tcPr>
          <w:p w14:paraId="531751FE"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b/>
                <w:sz w:val="18"/>
                <w:szCs w:val="18"/>
              </w:rPr>
            </w:pPr>
            <w:r w:rsidRPr="00981F01">
              <w:rPr>
                <w:b/>
                <w:sz w:val="18"/>
                <w:szCs w:val="18"/>
              </w:rPr>
              <w:t>Value</w:t>
            </w:r>
          </w:p>
        </w:tc>
        <w:tc>
          <w:tcPr>
            <w:tcW w:w="1051" w:type="dxa"/>
          </w:tcPr>
          <w:p w14:paraId="40B15FF4"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b/>
                <w:sz w:val="18"/>
                <w:szCs w:val="18"/>
              </w:rPr>
            </w:pPr>
            <w:r w:rsidRPr="00981F01">
              <w:rPr>
                <w:b/>
                <w:sz w:val="18"/>
                <w:szCs w:val="18"/>
              </w:rPr>
              <w:t>Range</w:t>
            </w:r>
          </w:p>
        </w:tc>
        <w:tc>
          <w:tcPr>
            <w:tcW w:w="3432" w:type="dxa"/>
          </w:tcPr>
          <w:p w14:paraId="6FBAF5F2" w14:textId="77777777" w:rsidR="006458E0" w:rsidRPr="00981F01" w:rsidRDefault="006458E0" w:rsidP="00E9442B">
            <w:pPr>
              <w:cnfStyle w:val="000000100000" w:firstRow="0" w:lastRow="0" w:firstColumn="0" w:lastColumn="0" w:oddVBand="0" w:evenVBand="0" w:oddHBand="1" w:evenHBand="0" w:firstRowFirstColumn="0" w:firstRowLastColumn="0" w:lastRowFirstColumn="0" w:lastRowLastColumn="0"/>
              <w:rPr>
                <w:b/>
                <w:i/>
                <w:sz w:val="18"/>
                <w:szCs w:val="18"/>
              </w:rPr>
            </w:pPr>
            <w:r w:rsidRPr="00981F01">
              <w:rPr>
                <w:b/>
                <w:i/>
                <w:sz w:val="18"/>
                <w:szCs w:val="18"/>
              </w:rPr>
              <w:t>Comment</w:t>
            </w:r>
          </w:p>
        </w:tc>
      </w:tr>
      <w:tr w:rsidR="006458E0" w:rsidRPr="00981F01" w14:paraId="15010C16" w14:textId="77777777" w:rsidTr="006B5342">
        <w:tc>
          <w:tcPr>
            <w:cnfStyle w:val="001000000000" w:firstRow="0" w:lastRow="0" w:firstColumn="1" w:lastColumn="0" w:oddVBand="0" w:evenVBand="0" w:oddHBand="0" w:evenHBand="0" w:firstRowFirstColumn="0" w:firstRowLastColumn="0" w:lastRowFirstColumn="0" w:lastRowLastColumn="0"/>
            <w:tcW w:w="1970" w:type="dxa"/>
          </w:tcPr>
          <w:p w14:paraId="53C68F2B" w14:textId="77777777" w:rsidR="006458E0" w:rsidRPr="00981F01" w:rsidRDefault="006458E0" w:rsidP="006458E0">
            <w:pPr>
              <w:jc w:val="right"/>
              <w:rPr>
                <w:b w:val="0"/>
                <w:sz w:val="18"/>
                <w:szCs w:val="18"/>
              </w:rPr>
            </w:pPr>
            <w:r w:rsidRPr="00981F01">
              <w:rPr>
                <w:rFonts w:cs="Times New Roman"/>
                <w:b w:val="0"/>
                <w:sz w:val="18"/>
                <w:szCs w:val="18"/>
              </w:rPr>
              <w:t>Moisture (%</w:t>
            </w:r>
            <w:r w:rsidRPr="00981F01">
              <w:rPr>
                <w:rFonts w:cs="Times New Roman"/>
                <w:b w:val="0"/>
                <w:sz w:val="18"/>
                <w:szCs w:val="18"/>
                <w:vertAlign w:val="subscript"/>
              </w:rPr>
              <w:t>ww</w:t>
            </w:r>
            <w:r w:rsidRPr="00981F01">
              <w:rPr>
                <w:rFonts w:cs="Times New Roman"/>
                <w:b w:val="0"/>
                <w:sz w:val="18"/>
                <w:szCs w:val="18"/>
              </w:rPr>
              <w:t>)</w:t>
            </w:r>
          </w:p>
        </w:tc>
        <w:tc>
          <w:tcPr>
            <w:tcW w:w="1262" w:type="dxa"/>
          </w:tcPr>
          <w:p w14:paraId="036F3DDD"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cs="Times New Roman"/>
                <w:sz w:val="18"/>
                <w:szCs w:val="18"/>
              </w:rPr>
              <w:t>80%</w:t>
            </w:r>
          </w:p>
        </w:tc>
        <w:tc>
          <w:tcPr>
            <w:tcW w:w="664" w:type="dxa"/>
          </w:tcPr>
          <w:p w14:paraId="5DA50792"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cs="Times New Roman"/>
                <w:sz w:val="18"/>
                <w:szCs w:val="18"/>
              </w:rPr>
              <w:t>64%</w:t>
            </w:r>
          </w:p>
        </w:tc>
        <w:tc>
          <w:tcPr>
            <w:tcW w:w="1051" w:type="dxa"/>
          </w:tcPr>
          <w:p w14:paraId="1F206666"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60-70%</w:t>
            </w:r>
          </w:p>
        </w:tc>
        <w:tc>
          <w:tcPr>
            <w:tcW w:w="3432" w:type="dxa"/>
          </w:tcPr>
          <w:p w14:paraId="39052249" w14:textId="01C24000" w:rsidR="006458E0" w:rsidRPr="00981F01"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981F01">
              <w:rPr>
                <w:b/>
                <w:i/>
                <w:sz w:val="18"/>
                <w:szCs w:val="18"/>
              </w:rPr>
              <w:t>Technology parameter</w:t>
            </w:r>
            <w:r w:rsidRPr="00981F01">
              <w:rPr>
                <w:i/>
                <w:sz w:val="18"/>
                <w:szCs w:val="18"/>
              </w:rPr>
              <w:t>: reviewed range</w:t>
            </w:r>
            <w:r w:rsidRPr="00981F01">
              <w:rPr>
                <w:rFonts w:cs="Times New Roman"/>
                <w:i/>
                <w:sz w:val="18"/>
                <w:szCs w:val="18"/>
              </w:rPr>
              <w:fldChar w:fldCharType="begin"/>
            </w:r>
            <w:r w:rsidR="00942782">
              <w:rPr>
                <w:rFonts w:cs="Times New Roman"/>
                <w:i/>
                <w:sz w:val="18"/>
                <w:szCs w:val="18"/>
              </w:rPr>
              <w:instrText xml:space="preserve"> ADDIN ZOTERO_ITEM CSL_CITATION {"citationID":"AQGmm7qr","properties":{"formattedCitation":"\\super 75\\nosupersub{}","plainCitation":"75","noteIndex":0},"citationItems":[{"id":12295,"uris":["http://zotero.org/users/6423791/items/VVS73WKS"],"itemData":{"id":12295,"type":"article-journal","abstract":"Black soldier fly larvae (BSFL) treatment is promising for organic waste valorisation in the circular economy; however, waste variability impacts the process performance and quality of produced larvae. Specifically, variation in the carbohydrate profile of treated wastes has been suggested to have a significant impact on BSFL treatment performance and quality of produced larvae, with particular carbohydrates either positively or negatively influencing these variables. This study examines the hypothesis that the types of carbohydrates within the substrate can have significant influence on larval survival, waste reduction, bioconversion, and waste conversion efficiency, as well as the crude lipid content and fatty acid profiles of the produced larvae. The carbohydrates explored were D glucose, sucrose, D (−) fructose, corn and wheat starch, D (+) galactose, D (+) mannose, D (+) xylose, D (−) arabinose and xylan from beechwood. Young larvae were grown for 9 days on chicken feed-based diets containing various carbohydrate additives each at 20 dry mass %. Treatments containing hemicellulose constituents galactose and arabinose produced the most adverse effects on process performance relative to the benchmark. Xylan was significantly detrimental to bioconversion (−14.7 ± 3.8%) and waste conversion efficiencies (−19.0 ± 4.4%). There were minimal significant effects on performance from mono- and di-saccharides and starch additives. Larvae crude lipid contents were significantly increased by wheat starch (+12.6 ± 3.0%) and decreased by galactose (−15.0 ± 1.4%) and xylan additives (−27.5 ± 3.4%), however fatty acid profiles were largely unaffected and were dominated by lauric acid. These results indicate that despite an otherwise balanced and nutritious substrate, the carbohydrate profile of organic waste should be an important consideration in BSFL treatment when ensuring process performance and larval lipid contents. The consequences of these results for BSFL treatment of real wastes are discussed. Large scale treatment facilities should formulate substrates accordingly and identify methods to mitigate the anti-nutritional effects of poor carbohydrate profiles, particularly those high in hemicelluloses and their constituents.","container-title":"Waste Management","DOI":"10.1016/j.wasman.2021.10.013","ISSN":"0956-053X","journalAbbreviation":"Waste Management","language":"en","page":"9-19","source":"ScienceDirect","title":"Understanding dietary carbohydrates in black soldier fly larvae treatment of organic waste in the circular economy","volume":"137","author":[{"family":"Cohn","given":"Zachary"},{"family":"Latty","given":"Tanya"},{"family":"Abbas","given":"Ali"}],"issued":{"date-parts":[["2022",1,1]]}}}],"schema":"https://github.com/citation-style-language/schema/raw/master/csl-citation.json"} </w:instrText>
            </w:r>
            <w:r w:rsidRPr="00981F01">
              <w:rPr>
                <w:rFonts w:cs="Times New Roman"/>
                <w:i/>
                <w:sz w:val="18"/>
                <w:szCs w:val="18"/>
              </w:rPr>
              <w:fldChar w:fldCharType="separate"/>
            </w:r>
            <w:r w:rsidR="00942782" w:rsidRPr="00942782">
              <w:rPr>
                <w:rFonts w:ascii="Calibri" w:hAnsi="Calibri" w:cs="Calibri"/>
                <w:sz w:val="18"/>
                <w:szCs w:val="24"/>
                <w:vertAlign w:val="superscript"/>
              </w:rPr>
              <w:t>75</w:t>
            </w:r>
            <w:r w:rsidRPr="00981F01">
              <w:rPr>
                <w:rFonts w:cs="Times New Roman"/>
                <w:i/>
                <w:sz w:val="18"/>
                <w:szCs w:val="18"/>
              </w:rPr>
              <w:fldChar w:fldCharType="end"/>
            </w:r>
          </w:p>
        </w:tc>
      </w:tr>
      <w:tr w:rsidR="006458E0" w:rsidRPr="00981F01" w14:paraId="14032330"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0" w:type="dxa"/>
          </w:tcPr>
          <w:p w14:paraId="643958FE" w14:textId="77777777" w:rsidR="006458E0" w:rsidRPr="00981F01" w:rsidRDefault="006458E0" w:rsidP="006458E0">
            <w:pPr>
              <w:jc w:val="right"/>
              <w:rPr>
                <w:b w:val="0"/>
                <w:sz w:val="18"/>
                <w:szCs w:val="18"/>
              </w:rPr>
            </w:pPr>
            <w:r w:rsidRPr="00981F01">
              <w:rPr>
                <w:rFonts w:cs="Times New Roman"/>
                <w:b w:val="0"/>
                <w:sz w:val="18"/>
                <w:szCs w:val="18"/>
              </w:rPr>
              <w:t>Proteins</w:t>
            </w:r>
          </w:p>
        </w:tc>
        <w:tc>
          <w:tcPr>
            <w:tcW w:w="1262" w:type="dxa"/>
          </w:tcPr>
          <w:p w14:paraId="0718008A"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cs="Times New Roman"/>
                <w:sz w:val="18"/>
                <w:szCs w:val="18"/>
              </w:rPr>
              <w:t>45%</w:t>
            </w:r>
          </w:p>
        </w:tc>
        <w:tc>
          <w:tcPr>
            <w:tcW w:w="664" w:type="dxa"/>
          </w:tcPr>
          <w:p w14:paraId="3ED94FB3"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cs="Times New Roman"/>
                <w:sz w:val="18"/>
                <w:szCs w:val="18"/>
              </w:rPr>
              <w:t>40%</w:t>
            </w:r>
          </w:p>
        </w:tc>
        <w:tc>
          <w:tcPr>
            <w:tcW w:w="1051" w:type="dxa"/>
          </w:tcPr>
          <w:p w14:paraId="31D36E41"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
        </w:tc>
        <w:tc>
          <w:tcPr>
            <w:tcW w:w="3432" w:type="dxa"/>
          </w:tcPr>
          <w:p w14:paraId="1739807E" w14:textId="6E44DCC2" w:rsidR="006458E0" w:rsidRPr="00981F01"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981F01">
              <w:rPr>
                <w:b/>
                <w:i/>
                <w:sz w:val="18"/>
                <w:szCs w:val="18"/>
              </w:rPr>
              <w:t>Fixed</w:t>
            </w:r>
            <w:r w:rsidRPr="00981F01">
              <w:rPr>
                <w:i/>
                <w:sz w:val="18"/>
                <w:szCs w:val="18"/>
              </w:rPr>
              <w:t>: average value</w:t>
            </w:r>
            <w:r w:rsidRPr="00981F01">
              <w:rPr>
                <w:rFonts w:cs="Times New Roman"/>
                <w:i/>
                <w:sz w:val="18"/>
                <w:szCs w:val="18"/>
              </w:rPr>
              <w:fldChar w:fldCharType="begin"/>
            </w:r>
            <w:r w:rsidR="00942782">
              <w:rPr>
                <w:rFonts w:cs="Times New Roman"/>
                <w:i/>
                <w:sz w:val="18"/>
                <w:szCs w:val="18"/>
              </w:rPr>
              <w:instrText xml:space="preserve"> ADDIN ZOTERO_ITEM CSL_CITATION {"citationID":"lllWyER6","properties":{"formattedCitation":"\\super 83,88\\nosupersub{}","plainCitation":"83,88","noteIndex":0},"citationItems":[{"id":12832,"uris":["http://zotero.org/users/6423791/items/ZKFQM9Z6"],"itemData":{"id":12832,"type":"article-journal","abstract":"The aim of the study was to evaluate the use of three by-products as growing substrates for Hermetia illucens (Black Soldier Fly (BSF)) larvae: okara, maize distiller, brewer&amp;rsquo;s grains, and a control hen diet. The study focused on larval growth and bioconversion performance, production of methane by larvae and environmental burden of larvae production, using Life Cycle Assessment (LCA) on a lab scale. Chemical composition of substrates differed: okara had the highest crude protein and ether extract contents, while brewer&amp;rsquo;s grains showed the highest fiber content. Larvae fed on a hen diet and maize distiller exhibited the highest final weights (2.29 and 1.97 g, respectively). Larvae grown on okara showed the highest indexes for waste reduction and efficiency of conversion of the ingested feed. The BSF larvae did not produce any detectable traces of CH4. LCA evaluation showed that larvae production on a hen diet resulted in the most impact for most of environmental categories, for the inclusion of soybean meal in the diet (for climate change, 5.79 kg CO2 eq/kg dry larvae). Feed production activities resulted in the main contributions to environmental impact. In order to compare the larvae production obtained on all substrates, an environmental impact was attributed to okara and brewer&amp;rsquo;s grain through a substitution method, and, by this approach, the best sustainable product resulted from the larvae grown on the maize distiller.","container-title":"Animals","DOI":"10.3390/ani9060289","issue":"6","language":"en","license":"http://creativecommons.org/licenses/by/3.0/","note":"number: 6\npublisher: Multidisciplinary Digital Publishing Institute","page":"289","source":"www.mdpi.com","title":"Rearing of Hermetia Illucens on Different Organic By-Products: Influence on Growth, Waste Reduction, and Environmental Impact","title-short":"Rearing of Hermetia Illucens on Different Organic By-Products","volume":"9","author":[{"family":"Bava","given":"Luciana"},{"family":"Jucker","given":"Costanza"},{"family":"Gislon","given":"Giulia"},{"family":"Lupi","given":"Daniela"},{"family":"Savoldelli","given":"Sara"},{"family":"Zucali","given":"Maddalena"},{"family":"Colombini","given":"Stefania"}],"issued":{"date-parts":[["2019",6]]}}},{"id":11579,"uris":["http://zotero.org/users/6423791/items/8LZ274B9"],"itemData":{"id":11579,"type":"article-journal","abstract":"The Black Soldier Fly (BSF) offers the potential to address two global challenges; the environmental detriments of food waste and the rising demand for protein. Food waste digested by BSF larvae can be converted into biomass, which may then be utilized for the development of value-added products including new food sources for human and animal consumption. A systematic literature search was conducted to identify studies investigating the inﬂuence of food waste rearing substrates on BSF larvae protein composition. Of 1712 articles identiﬁed, 23 articles were selected for inclusion. Based on the results of this review, BSF larvae reared on ‘Fish waste Sardinella aurita’ for two days reported the highest total protein content at 78.8% and BSF larvae reared on various formulations of ‘Fruit and vegetable’ reported the lowest protein content at 12.9%. This review is the ﬁrst to examine the inﬂuence of food waste on the protein composition of BSF larvae. Major differences in larval rearing conditions and methods utilized to perform nutritional analyses, potentially inﬂuenced the reported protein composition of the BSF larvae. While this review has highlighted the role BSF larvae in food waste management and alternative protein development, their application in nutrition is still in its infancy.","container-title":"Insects","DOI":"10.3390/insects12070608","ISSN":"2075-4450","issue":"7","journalAbbreviation":"Insects","language":"en","page":"608","source":"DOI.org (Crossref)","title":"The Influence of Food Waste Rearing Substrates on Black Soldier Fly Larvae Protein Composition: A Systematic Review","title-short":"The Influence of Food Waste Rearing Substrates on Black Soldier Fly Larvae Protein Composition","volume":"12","author":[{"family":"Hopkins","given":"Indee"},{"family":"Newman","given":"Lisa P."},{"family":"Gill","given":"Harsharn"},{"family":"Danaher","given":"Jessica"}],"issued":{"date-parts":[["2021",7,4]]}}}],"schema":"https://github.com/citation-style-language/schema/raw/master/csl-citation.json"} </w:instrText>
            </w:r>
            <w:r w:rsidRPr="00981F01">
              <w:rPr>
                <w:rFonts w:cs="Times New Roman"/>
                <w:i/>
                <w:sz w:val="18"/>
                <w:szCs w:val="18"/>
              </w:rPr>
              <w:fldChar w:fldCharType="separate"/>
            </w:r>
            <w:r w:rsidR="00942782" w:rsidRPr="00942782">
              <w:rPr>
                <w:rFonts w:ascii="Calibri" w:hAnsi="Calibri" w:cs="Calibri"/>
                <w:sz w:val="18"/>
                <w:szCs w:val="24"/>
                <w:vertAlign w:val="superscript"/>
              </w:rPr>
              <w:t>83,88</w:t>
            </w:r>
            <w:r w:rsidRPr="00981F01">
              <w:rPr>
                <w:rFonts w:cs="Times New Roman"/>
                <w:i/>
                <w:sz w:val="18"/>
                <w:szCs w:val="18"/>
              </w:rPr>
              <w:fldChar w:fldCharType="end"/>
            </w:r>
          </w:p>
        </w:tc>
      </w:tr>
      <w:tr w:rsidR="006458E0" w:rsidRPr="00981F01" w14:paraId="18B7B83A" w14:textId="77777777" w:rsidTr="006B5342">
        <w:tc>
          <w:tcPr>
            <w:cnfStyle w:val="001000000000" w:firstRow="0" w:lastRow="0" w:firstColumn="1" w:lastColumn="0" w:oddVBand="0" w:evenVBand="0" w:oddHBand="0" w:evenHBand="0" w:firstRowFirstColumn="0" w:firstRowLastColumn="0" w:lastRowFirstColumn="0" w:lastRowLastColumn="0"/>
            <w:tcW w:w="1970" w:type="dxa"/>
          </w:tcPr>
          <w:p w14:paraId="5769B1DE" w14:textId="77777777" w:rsidR="006458E0" w:rsidRPr="00981F01" w:rsidRDefault="006458E0" w:rsidP="006458E0">
            <w:pPr>
              <w:jc w:val="right"/>
              <w:rPr>
                <w:b w:val="0"/>
                <w:sz w:val="18"/>
                <w:szCs w:val="18"/>
              </w:rPr>
            </w:pPr>
            <w:r w:rsidRPr="00981F01">
              <w:rPr>
                <w:rFonts w:cs="Times New Roman"/>
                <w:b w:val="0"/>
                <w:sz w:val="18"/>
                <w:szCs w:val="18"/>
              </w:rPr>
              <w:t>Fats</w:t>
            </w:r>
          </w:p>
        </w:tc>
        <w:tc>
          <w:tcPr>
            <w:tcW w:w="1262" w:type="dxa"/>
          </w:tcPr>
          <w:p w14:paraId="0CD96BCA"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cs="Times New Roman"/>
                <w:sz w:val="18"/>
                <w:szCs w:val="18"/>
              </w:rPr>
              <w:t>9.7%</w:t>
            </w:r>
          </w:p>
        </w:tc>
        <w:tc>
          <w:tcPr>
            <w:tcW w:w="664" w:type="dxa"/>
          </w:tcPr>
          <w:p w14:paraId="0C08EB91"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cs="Times New Roman"/>
                <w:sz w:val="18"/>
                <w:szCs w:val="18"/>
              </w:rPr>
              <w:t>34%</w:t>
            </w:r>
          </w:p>
        </w:tc>
        <w:tc>
          <w:tcPr>
            <w:tcW w:w="1051" w:type="dxa"/>
          </w:tcPr>
          <w:p w14:paraId="4D41E295"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25-43%</w:t>
            </w:r>
          </w:p>
        </w:tc>
        <w:tc>
          <w:tcPr>
            <w:tcW w:w="3432" w:type="dxa"/>
          </w:tcPr>
          <w:p w14:paraId="739E3DDA" w14:textId="77777777" w:rsidR="006458E0" w:rsidRPr="00981F01"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981F01">
              <w:rPr>
                <w:b/>
                <w:i/>
                <w:sz w:val="18"/>
                <w:szCs w:val="18"/>
              </w:rPr>
              <w:t>Technology parameter</w:t>
            </w:r>
            <w:r w:rsidRPr="00981F01">
              <w:rPr>
                <w:i/>
                <w:sz w:val="18"/>
                <w:szCs w:val="18"/>
              </w:rPr>
              <w:t>: own range review</w:t>
            </w:r>
          </w:p>
        </w:tc>
      </w:tr>
      <w:tr w:rsidR="006458E0" w:rsidRPr="00981F01" w14:paraId="038A18EF"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0" w:type="dxa"/>
          </w:tcPr>
          <w:p w14:paraId="5B234F6D" w14:textId="77777777" w:rsidR="006458E0" w:rsidRPr="00981F01" w:rsidRDefault="006458E0" w:rsidP="006458E0">
            <w:pPr>
              <w:jc w:val="right"/>
              <w:rPr>
                <w:b w:val="0"/>
                <w:sz w:val="18"/>
                <w:szCs w:val="18"/>
              </w:rPr>
            </w:pPr>
            <w:r w:rsidRPr="00981F01">
              <w:rPr>
                <w:rFonts w:cs="Times New Roman"/>
                <w:b w:val="0"/>
                <w:sz w:val="18"/>
                <w:szCs w:val="18"/>
              </w:rPr>
              <w:t>Carbs</w:t>
            </w:r>
          </w:p>
        </w:tc>
        <w:tc>
          <w:tcPr>
            <w:tcW w:w="1262" w:type="dxa"/>
          </w:tcPr>
          <w:p w14:paraId="74AAF7F0"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cs="Times New Roman"/>
                <w:sz w:val="18"/>
                <w:szCs w:val="18"/>
              </w:rPr>
              <w:t>0%</w:t>
            </w:r>
          </w:p>
        </w:tc>
        <w:tc>
          <w:tcPr>
            <w:tcW w:w="664" w:type="dxa"/>
          </w:tcPr>
          <w:p w14:paraId="5DF6AF3E"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cs="Times New Roman"/>
                <w:sz w:val="18"/>
                <w:szCs w:val="18"/>
              </w:rPr>
              <w:t>1.4%</w:t>
            </w:r>
          </w:p>
        </w:tc>
        <w:tc>
          <w:tcPr>
            <w:tcW w:w="1051" w:type="dxa"/>
          </w:tcPr>
          <w:p w14:paraId="5BADBD81"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
        </w:tc>
        <w:tc>
          <w:tcPr>
            <w:tcW w:w="3432" w:type="dxa"/>
          </w:tcPr>
          <w:p w14:paraId="334BF1DA" w14:textId="373EAED8" w:rsidR="006458E0" w:rsidRPr="00981F01"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981F01">
              <w:rPr>
                <w:rFonts w:cs="Times New Roman"/>
                <w:b/>
                <w:i/>
                <w:sz w:val="18"/>
                <w:szCs w:val="18"/>
              </w:rPr>
              <w:t>Fixed</w:t>
            </w:r>
            <w:r w:rsidRPr="00981F01">
              <w:rPr>
                <w:rFonts w:cs="Times New Roman"/>
                <w:i/>
                <w:sz w:val="18"/>
                <w:szCs w:val="18"/>
              </w:rPr>
              <w:t xml:space="preserve">: Reported by Parodi et al., 2020 </w:t>
            </w:r>
            <w:r w:rsidRPr="00981F01">
              <w:rPr>
                <w:rFonts w:cs="Times New Roman"/>
                <w:i/>
                <w:sz w:val="18"/>
                <w:szCs w:val="18"/>
              </w:rPr>
              <w:fldChar w:fldCharType="begin"/>
            </w:r>
            <w:r w:rsidR="00942782">
              <w:rPr>
                <w:rFonts w:cs="Times New Roman"/>
                <w:i/>
                <w:sz w:val="18"/>
                <w:szCs w:val="18"/>
              </w:rPr>
              <w:instrText xml:space="preserve"> ADDIN ZOTERO_ITEM CSL_CITATION {"citationID":"JqSPZRAH","properties":{"formattedCitation":"\\super 79\\nosupersub{}","plainCitation":"79","noteIndex":0},"citationItems":[{"id":2351,"uris":["http://zotero.org/users/6423791/items/GENSMZAR"],"itemData":{"id":2351,"type":"article-journal","abstract":"Black soldier fly larvae (BSFL) are acknowledged for their potential to upcycle waste biomass into animal feed, human food or biofuels. To ensure sust…","container-title":"Journal of Cleaner Production","DOI":"10.1016/j.jclepro.2020.122488","ISSN":"0959-6526","journalAbbreviation":"J. Clean. Prod.","language":"en","note":"publisher: Elsevier","page":"122488","source":"www-sciencedirect-com.gorgone.univ-toulouse.fr","title":"Bioconversion efficiencies, greenhouse gas and ammonia emissions during black soldier fly rearing – A mass balance approach","volume":"271","author":[{"family":"Parodi","given":"A."},{"family":"De Boer","given":"Imke J. M."},{"family":"Gerrits","given":"W. J. J."},{"family":"Van Loon","given":"J. J. A."},{"family":"Heetkamp","given":"M. J.W"},{"family":"Van Schelt","given":"J"},{"family":"Elizabeth Bolhuis","given":"J."},{"family":"Van Zanten","given":"H. H. E."}],"issued":{"date-parts":[["2020",10,20]]}}}],"schema":"https://github.com/citation-style-language/schema/raw/master/csl-citation.json"} </w:instrText>
            </w:r>
            <w:r w:rsidRPr="00981F01">
              <w:rPr>
                <w:rFonts w:cs="Times New Roman"/>
                <w:i/>
                <w:sz w:val="18"/>
                <w:szCs w:val="18"/>
              </w:rPr>
              <w:fldChar w:fldCharType="separate"/>
            </w:r>
            <w:r w:rsidR="00942782" w:rsidRPr="00942782">
              <w:rPr>
                <w:rFonts w:ascii="Calibri" w:hAnsi="Calibri" w:cs="Calibri"/>
                <w:sz w:val="18"/>
                <w:szCs w:val="24"/>
                <w:vertAlign w:val="superscript"/>
              </w:rPr>
              <w:t>79</w:t>
            </w:r>
            <w:r w:rsidRPr="00981F01">
              <w:rPr>
                <w:rFonts w:cs="Times New Roman"/>
                <w:i/>
                <w:sz w:val="18"/>
                <w:szCs w:val="18"/>
              </w:rPr>
              <w:fldChar w:fldCharType="end"/>
            </w:r>
          </w:p>
        </w:tc>
      </w:tr>
      <w:tr w:rsidR="006458E0" w:rsidRPr="00981F01" w14:paraId="79182955" w14:textId="77777777" w:rsidTr="006B5342">
        <w:tc>
          <w:tcPr>
            <w:cnfStyle w:val="001000000000" w:firstRow="0" w:lastRow="0" w:firstColumn="1" w:lastColumn="0" w:oddVBand="0" w:evenVBand="0" w:oddHBand="0" w:evenHBand="0" w:firstRowFirstColumn="0" w:firstRowLastColumn="0" w:lastRowFirstColumn="0" w:lastRowLastColumn="0"/>
            <w:tcW w:w="1970" w:type="dxa"/>
          </w:tcPr>
          <w:p w14:paraId="63EB290B" w14:textId="77777777" w:rsidR="006458E0" w:rsidRPr="00981F01" w:rsidRDefault="006458E0" w:rsidP="006458E0">
            <w:pPr>
              <w:jc w:val="right"/>
              <w:rPr>
                <w:b w:val="0"/>
                <w:sz w:val="18"/>
                <w:szCs w:val="18"/>
              </w:rPr>
            </w:pPr>
            <w:r w:rsidRPr="00981F01">
              <w:rPr>
                <w:rFonts w:cs="Times New Roman"/>
                <w:b w:val="0"/>
                <w:sz w:val="18"/>
                <w:szCs w:val="18"/>
              </w:rPr>
              <w:t>Ashes</w:t>
            </w:r>
          </w:p>
        </w:tc>
        <w:tc>
          <w:tcPr>
            <w:tcW w:w="1262" w:type="dxa"/>
          </w:tcPr>
          <w:p w14:paraId="4F9268E1"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cs="Times New Roman"/>
                <w:sz w:val="18"/>
                <w:szCs w:val="18"/>
              </w:rPr>
              <w:t>15.9%</w:t>
            </w:r>
          </w:p>
        </w:tc>
        <w:tc>
          <w:tcPr>
            <w:tcW w:w="664" w:type="dxa"/>
          </w:tcPr>
          <w:p w14:paraId="3ECE706E"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cs="Times New Roman"/>
                <w:sz w:val="18"/>
                <w:szCs w:val="18"/>
              </w:rPr>
              <w:t>18%</w:t>
            </w:r>
          </w:p>
        </w:tc>
        <w:tc>
          <w:tcPr>
            <w:tcW w:w="1051" w:type="dxa"/>
          </w:tcPr>
          <w:p w14:paraId="10BC0CFF"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
        </w:tc>
        <w:tc>
          <w:tcPr>
            <w:tcW w:w="3432" w:type="dxa"/>
          </w:tcPr>
          <w:p w14:paraId="194B4EBB" w14:textId="19838A0E" w:rsidR="006458E0" w:rsidRPr="00981F01"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981F01">
              <w:rPr>
                <w:rFonts w:cs="Times New Roman"/>
                <w:b/>
                <w:i/>
                <w:sz w:val="18"/>
                <w:szCs w:val="18"/>
              </w:rPr>
              <w:t>Fixed</w:t>
            </w:r>
            <w:r w:rsidRPr="00981F01">
              <w:rPr>
                <w:rFonts w:cs="Times New Roman"/>
                <w:i/>
                <w:sz w:val="18"/>
                <w:szCs w:val="18"/>
              </w:rPr>
              <w:t>: average value</w:t>
            </w:r>
            <w:r w:rsidRPr="00981F01">
              <w:rPr>
                <w:rFonts w:cs="Times New Roman"/>
                <w:i/>
                <w:sz w:val="18"/>
                <w:szCs w:val="18"/>
              </w:rPr>
              <w:fldChar w:fldCharType="begin"/>
            </w:r>
            <w:r w:rsidR="00827449">
              <w:rPr>
                <w:rFonts w:cs="Times New Roman"/>
                <w:i/>
                <w:sz w:val="18"/>
                <w:szCs w:val="18"/>
              </w:rPr>
              <w:instrText xml:space="preserve"> ADDIN ZOTERO_ITEM CSL_CITATION {"citationID":"0a2gsgG3","properties":{"formattedCitation":"\\super 77,89\\nosupersub{}","plainCitation":"77,89","noteIndex":0},"citationItems":[{"id":3227,"uris":["http://zotero.org/users/6423791/items/Y3LCJLWA"],"itemData":{"id":3227,"type":"article-journal","abstract":"This study provided a systematic analysis on material flow and environmental impacts of a food waste (FW) bioconversion plant using black soldier fly larvae (BSFL), with a daily capacity of 15 tons of FW (wet weight). Food waste feed (FWF) used for BSFL bioconversion consisted of 80% FW (collected from households, restaurants, and canteens) and 20% rice hull powder. Material flow analysis conducted on a dry weight basis showed that 6% of FWF was transformed into BSF pre-pupae, 51% was stored in matured compost, and 43% was emitted to the air. Emissions of high environmental concern such as methane, nitrous oxide and ammonia (NH3) were sampled and quantified by laboratory analysis. The life cycle assessment revealed that the overall impact was 17.36 kg CO2-eq/t FW for global warming potential, 5.54 kg SO2-eq/t FW for acidification, 24.05 mol N-eq/t FW for terrestrial eutrophication, 0.54 kg N-eq NH3/t FW for marine eutrophication, and 0.18 kg PM2.5-eq/t FW of particulate matter up to 2.5 μm diameter. Moreover, emissions from post-composting, energy consumptions of drying and chemical fertilizer substitution ratio were detected by contribution analysis as the main contributors to those impacts. Finally, sensitivity analysis indicated that the substitution ratio of mineral fertilizer and protein feed as well as energy consumption were the most influential parameters, therefore control of the post-composting process of residual material should be closely monitored because it was responsible for significant environmental load caused by N-related emissions.","container-title":"Science of The Total Environment","DOI":"10.1016/j.scitotenv.2020.141656","ISSN":"0048-9697","journalAbbreviation":"Sci. Total Environ.","language":"en","page":"141656","source":"ScienceDirect","title":"Material flow analysis and life cycle assessment of food waste bioconversion by black soldier fly larvae (Hermetia illucens L.)","volume":"750","author":[{"family":"Guo","given":"Hanwen"},{"family":"Jiang","given":"Chengliang"},{"family":"Zhang","given":"Zhijian"},{"family":"Lu","given":"Wenjing"},{"family":"Wang","given":"Hongtao"}],"issued":{"date-parts":[["2021",1,1]]}}},{"id":3236,"uris":["http://zotero.org/users/6423791/items/XZLRQKG5"],"itemData":{"id":3236,"type":"article-journal","abstract":"Each year, the food supply chain produces more than 1.3 billion tons of food and agricultural waste, which poses serious environmental problems. The loss of the massive quantity of secondary and primary metabolites retrievable from this resource is a significant concern. What if there is a global solution that caters to the numerous problems arising due to the humongous volume of waste biomass generated in every part of the world? Insects, the tiny creatures that thrive in decaying organic matter, which can concentrate the nutrients present in dilute quantities in a variety of by-products, are an economically viable option. The bioconversion and nutritional upcycling of waste biomass with insects yield high-value products such as protein, lipids, chitin and frass. Insect-derived proteins can replace conventional protein sources in feed formulations. Notably, the ability of the black soldier fly (BSF) or Hermetia illucens to grow on diverse substrates such as agri-food industry side streams and other organic waste proves advantageous. However, the data on industrial-scale extraction, fractionation techniques and biorefinery schemes for screening the nutritional potential of BSF are scarce. This review attempts to break down every facet of insect processing and analyze the processing methods of BSF, and the functional properties of nutrients obtained thereof.","container-title":"Processes","DOI":"10.3390/pr8070857","issue":"7","language":"en","license":"http://creativecommons.org/licenses/by/3.0/","page":"857","source":"www.mdpi.com","title":"Larvae Mediated Valorization of Industrial, Agriculture and Food Wastes: Biorefinery Concept through Bioconversion, Processes, Procedures, and Products","title-short":"Larvae Mediated Valorization of Industrial, Agriculture and Food Wastes","volume":"8","author":[{"family":"Ravi","given":"Harish Karthikeyan"},{"family":"Degrou","given":"Antoine"},{"family":"Costil","given":"Jérôme"},{"family":"Trespeuch","given":"Christophe"},{"family":"Chemat","given":"Farid"},{"family":"Vian","given":"Maryline Abert"}],"issued":{"date-parts":[["2020",7]]}}}],"schema":"https://github.com/citation-style-language/schema/raw/master/csl-citation.json"} </w:instrText>
            </w:r>
            <w:r w:rsidRPr="00981F01">
              <w:rPr>
                <w:rFonts w:cs="Times New Roman"/>
                <w:i/>
                <w:sz w:val="18"/>
                <w:szCs w:val="18"/>
              </w:rPr>
              <w:fldChar w:fldCharType="separate"/>
            </w:r>
            <w:r w:rsidR="00942782" w:rsidRPr="00942782">
              <w:rPr>
                <w:rFonts w:ascii="Calibri" w:hAnsi="Calibri" w:cs="Calibri"/>
                <w:sz w:val="18"/>
                <w:szCs w:val="24"/>
                <w:vertAlign w:val="superscript"/>
              </w:rPr>
              <w:t>77,89</w:t>
            </w:r>
            <w:r w:rsidRPr="00981F01">
              <w:rPr>
                <w:rFonts w:cs="Times New Roman"/>
                <w:i/>
                <w:sz w:val="18"/>
                <w:szCs w:val="18"/>
              </w:rPr>
              <w:fldChar w:fldCharType="end"/>
            </w:r>
          </w:p>
        </w:tc>
      </w:tr>
      <w:tr w:rsidR="006458E0" w:rsidRPr="00981F01" w14:paraId="134A8EF2"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0" w:type="dxa"/>
          </w:tcPr>
          <w:p w14:paraId="2EF69412" w14:textId="77777777" w:rsidR="006458E0" w:rsidRPr="00981F01" w:rsidRDefault="006458E0" w:rsidP="006458E0">
            <w:pPr>
              <w:jc w:val="right"/>
              <w:rPr>
                <w:b w:val="0"/>
                <w:sz w:val="18"/>
                <w:szCs w:val="18"/>
              </w:rPr>
            </w:pPr>
            <w:r w:rsidRPr="00981F01">
              <w:rPr>
                <w:rFonts w:cs="Times New Roman"/>
                <w:b w:val="0"/>
                <w:sz w:val="18"/>
                <w:szCs w:val="18"/>
              </w:rPr>
              <w:t>Others</w:t>
            </w:r>
          </w:p>
        </w:tc>
        <w:tc>
          <w:tcPr>
            <w:tcW w:w="1262" w:type="dxa"/>
          </w:tcPr>
          <w:p w14:paraId="449B497C"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cs="Times New Roman"/>
                <w:sz w:val="18"/>
                <w:szCs w:val="18"/>
              </w:rPr>
              <w:t>29.4%</w:t>
            </w:r>
          </w:p>
        </w:tc>
        <w:tc>
          <w:tcPr>
            <w:tcW w:w="664" w:type="dxa"/>
          </w:tcPr>
          <w:p w14:paraId="145EF6D0"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cs="Times New Roman"/>
                <w:sz w:val="18"/>
                <w:szCs w:val="18"/>
              </w:rPr>
              <w:t>6.6%</w:t>
            </w:r>
          </w:p>
        </w:tc>
        <w:tc>
          <w:tcPr>
            <w:tcW w:w="1051" w:type="dxa"/>
          </w:tcPr>
          <w:p w14:paraId="1A2F3818"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
        </w:tc>
        <w:tc>
          <w:tcPr>
            <w:tcW w:w="3432" w:type="dxa"/>
          </w:tcPr>
          <w:p w14:paraId="2087C2D8" w14:textId="77777777" w:rsidR="006458E0" w:rsidRPr="00981F01"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981F01">
              <w:rPr>
                <w:rFonts w:cs="Times New Roman"/>
                <w:i/>
                <w:sz w:val="18"/>
                <w:szCs w:val="18"/>
              </w:rPr>
              <w:t>Close mass balance (chitin, etc.)</w:t>
            </w:r>
          </w:p>
        </w:tc>
      </w:tr>
      <w:tr w:rsidR="006458E0" w:rsidRPr="00981F01" w14:paraId="67C7590E" w14:textId="77777777" w:rsidTr="006B5342">
        <w:tc>
          <w:tcPr>
            <w:cnfStyle w:val="001000000000" w:firstRow="0" w:lastRow="0" w:firstColumn="1" w:lastColumn="0" w:oddVBand="0" w:evenVBand="0" w:oddHBand="0" w:evenHBand="0" w:firstRowFirstColumn="0" w:firstRowLastColumn="0" w:lastRowFirstColumn="0" w:lastRowLastColumn="0"/>
            <w:tcW w:w="1970" w:type="dxa"/>
          </w:tcPr>
          <w:p w14:paraId="2E5A8F6A" w14:textId="77777777" w:rsidR="006458E0" w:rsidRPr="00981F01" w:rsidRDefault="006458E0" w:rsidP="006458E0">
            <w:pPr>
              <w:jc w:val="right"/>
              <w:rPr>
                <w:b w:val="0"/>
                <w:sz w:val="18"/>
                <w:szCs w:val="18"/>
              </w:rPr>
            </w:pPr>
            <w:r w:rsidRPr="00981F01">
              <w:rPr>
                <w:rFonts w:cs="Times New Roman"/>
                <w:b w:val="0"/>
                <w:sz w:val="18"/>
                <w:szCs w:val="18"/>
              </w:rPr>
              <w:t>C</w:t>
            </w:r>
          </w:p>
        </w:tc>
        <w:tc>
          <w:tcPr>
            <w:tcW w:w="1262" w:type="dxa"/>
          </w:tcPr>
          <w:p w14:paraId="633CA382"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cs="Times New Roman"/>
                <w:sz w:val="18"/>
                <w:szCs w:val="18"/>
              </w:rPr>
              <w:t>53.8%</w:t>
            </w:r>
          </w:p>
        </w:tc>
        <w:tc>
          <w:tcPr>
            <w:tcW w:w="664" w:type="dxa"/>
          </w:tcPr>
          <w:p w14:paraId="28598F70"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cs="Times New Roman"/>
                <w:sz w:val="18"/>
                <w:szCs w:val="18"/>
              </w:rPr>
              <w:t>59.5%</w:t>
            </w:r>
          </w:p>
        </w:tc>
        <w:tc>
          <w:tcPr>
            <w:tcW w:w="1051" w:type="dxa"/>
          </w:tcPr>
          <w:p w14:paraId="0EE09408"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
        </w:tc>
        <w:tc>
          <w:tcPr>
            <w:tcW w:w="3432" w:type="dxa"/>
            <w:vMerge w:val="restart"/>
          </w:tcPr>
          <w:p w14:paraId="589BB04D" w14:textId="7C63A178" w:rsidR="006458E0" w:rsidRPr="00981F01"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981F01">
              <w:rPr>
                <w:b/>
                <w:i/>
                <w:sz w:val="18"/>
                <w:szCs w:val="18"/>
              </w:rPr>
              <w:t>Fixed</w:t>
            </w:r>
            <w:r w:rsidRPr="00981F01">
              <w:rPr>
                <w:i/>
                <w:sz w:val="18"/>
                <w:szCs w:val="18"/>
              </w:rPr>
              <w:t>: based on Parodi et al., 2020</w:t>
            </w:r>
            <w:r w:rsidRPr="00981F01">
              <w:rPr>
                <w:rFonts w:cs="Times New Roman"/>
                <w:i/>
                <w:sz w:val="18"/>
                <w:szCs w:val="18"/>
              </w:rPr>
              <w:fldChar w:fldCharType="begin"/>
            </w:r>
            <w:r w:rsidR="00942782">
              <w:rPr>
                <w:rFonts w:cs="Times New Roman"/>
                <w:i/>
                <w:sz w:val="18"/>
                <w:szCs w:val="18"/>
              </w:rPr>
              <w:instrText xml:space="preserve"> ADDIN ZOTERO_ITEM CSL_CITATION {"citationID":"LIrPsx1C","properties":{"formattedCitation":"\\super 79\\nosupersub{}","plainCitation":"79","noteIndex":0},"citationItems":[{"id":2351,"uris":["http://zotero.org/users/6423791/items/GENSMZAR"],"itemData":{"id":2351,"type":"article-journal","abstract":"Black soldier fly larvae (BSFL) are acknowledged for their potential to upcycle waste biomass into animal feed, human food or biofuels. To ensure sust…","container-title":"Journal of Cleaner Production","DOI":"10.1016/j.jclepro.2020.122488","ISSN":"0959-6526","journalAbbreviation":"J. Clean. Prod.","language":"en","note":"publisher: Elsevier","page":"122488","source":"www-sciencedirect-com.gorgone.univ-toulouse.fr","title":"Bioconversion efficiencies, greenhouse gas and ammonia emissions during black soldier fly rearing – A mass balance approach","volume":"271","author":[{"family":"Parodi","given":"A."},{"family":"De Boer","given":"Imke J. M."},{"family":"Gerrits","given":"W. J. J."},{"family":"Van Loon","given":"J. J. A."},{"family":"Heetkamp","given":"M. J.W"},{"family":"Van Schelt","given":"J"},{"family":"Elizabeth Bolhuis","given":"J."},{"family":"Van Zanten","given":"H. H. E."}],"issued":{"date-parts":[["2020",10,20]]}}}],"schema":"https://github.com/citation-style-language/schema/raw/master/csl-citation.json"} </w:instrText>
            </w:r>
            <w:r w:rsidRPr="00981F01">
              <w:rPr>
                <w:rFonts w:cs="Times New Roman"/>
                <w:i/>
                <w:sz w:val="18"/>
                <w:szCs w:val="18"/>
              </w:rPr>
              <w:fldChar w:fldCharType="separate"/>
            </w:r>
            <w:r w:rsidR="00942782" w:rsidRPr="00942782">
              <w:rPr>
                <w:rFonts w:ascii="Calibri" w:hAnsi="Calibri" w:cs="Calibri"/>
                <w:sz w:val="18"/>
                <w:szCs w:val="24"/>
                <w:vertAlign w:val="superscript"/>
              </w:rPr>
              <w:t>79</w:t>
            </w:r>
            <w:r w:rsidRPr="00981F01">
              <w:rPr>
                <w:rFonts w:cs="Times New Roman"/>
                <w:i/>
                <w:sz w:val="18"/>
                <w:szCs w:val="18"/>
              </w:rPr>
              <w:fldChar w:fldCharType="end"/>
            </w:r>
            <w:r w:rsidRPr="00981F01">
              <w:rPr>
                <w:rFonts w:cs="Times New Roman"/>
                <w:i/>
                <w:sz w:val="18"/>
                <w:szCs w:val="18"/>
              </w:rPr>
              <w:t>, nitrogen-to-protein ratio used was 5.76.</w:t>
            </w:r>
          </w:p>
        </w:tc>
      </w:tr>
      <w:tr w:rsidR="006458E0" w:rsidRPr="00981F01" w14:paraId="351FC25F"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0" w:type="dxa"/>
          </w:tcPr>
          <w:p w14:paraId="65B05B2E" w14:textId="77777777" w:rsidR="006458E0" w:rsidRPr="00981F01" w:rsidRDefault="006458E0" w:rsidP="006458E0">
            <w:pPr>
              <w:jc w:val="right"/>
              <w:rPr>
                <w:b w:val="0"/>
                <w:sz w:val="18"/>
                <w:szCs w:val="18"/>
              </w:rPr>
            </w:pPr>
            <w:r w:rsidRPr="00981F01">
              <w:rPr>
                <w:rFonts w:cs="Times New Roman"/>
                <w:b w:val="0"/>
                <w:sz w:val="18"/>
                <w:szCs w:val="18"/>
              </w:rPr>
              <w:t>N</w:t>
            </w:r>
          </w:p>
        </w:tc>
        <w:tc>
          <w:tcPr>
            <w:tcW w:w="1262" w:type="dxa"/>
          </w:tcPr>
          <w:p w14:paraId="39A6DF89"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cs="Times New Roman"/>
                <w:sz w:val="18"/>
                <w:szCs w:val="18"/>
              </w:rPr>
              <w:t>9.7%</w:t>
            </w:r>
          </w:p>
        </w:tc>
        <w:tc>
          <w:tcPr>
            <w:tcW w:w="664" w:type="dxa"/>
          </w:tcPr>
          <w:p w14:paraId="51DA4CDB"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cs="Times New Roman"/>
                <w:sz w:val="18"/>
                <w:szCs w:val="18"/>
              </w:rPr>
              <w:t>6.9%</w:t>
            </w:r>
          </w:p>
        </w:tc>
        <w:tc>
          <w:tcPr>
            <w:tcW w:w="1051" w:type="dxa"/>
          </w:tcPr>
          <w:p w14:paraId="3EC34F57"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
        </w:tc>
        <w:tc>
          <w:tcPr>
            <w:tcW w:w="3432" w:type="dxa"/>
            <w:vMerge/>
          </w:tcPr>
          <w:p w14:paraId="65C79804"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i/>
                <w:sz w:val="18"/>
                <w:szCs w:val="18"/>
              </w:rPr>
            </w:pPr>
          </w:p>
        </w:tc>
      </w:tr>
      <w:tr w:rsidR="006458E0" w:rsidRPr="00981F01" w14:paraId="6E05E224" w14:textId="77777777" w:rsidTr="006B5342">
        <w:tc>
          <w:tcPr>
            <w:cnfStyle w:val="001000000000" w:firstRow="0" w:lastRow="0" w:firstColumn="1" w:lastColumn="0" w:oddVBand="0" w:evenVBand="0" w:oddHBand="0" w:evenHBand="0" w:firstRowFirstColumn="0" w:firstRowLastColumn="0" w:lastRowFirstColumn="0" w:lastRowLastColumn="0"/>
            <w:tcW w:w="1970" w:type="dxa"/>
          </w:tcPr>
          <w:p w14:paraId="1E708617" w14:textId="77777777" w:rsidR="006458E0" w:rsidRPr="00981F01" w:rsidRDefault="006458E0" w:rsidP="006458E0">
            <w:pPr>
              <w:jc w:val="right"/>
              <w:rPr>
                <w:b w:val="0"/>
                <w:sz w:val="18"/>
                <w:szCs w:val="18"/>
              </w:rPr>
            </w:pPr>
            <w:r w:rsidRPr="00981F01">
              <w:rPr>
                <w:rFonts w:cs="Times New Roman"/>
                <w:b w:val="0"/>
                <w:sz w:val="18"/>
                <w:szCs w:val="18"/>
              </w:rPr>
              <w:t>P</w:t>
            </w:r>
          </w:p>
        </w:tc>
        <w:tc>
          <w:tcPr>
            <w:tcW w:w="1262" w:type="dxa"/>
          </w:tcPr>
          <w:p w14:paraId="5DD4D015"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cs="Times New Roman"/>
                <w:sz w:val="18"/>
                <w:szCs w:val="18"/>
              </w:rPr>
              <w:t>1.8%</w:t>
            </w:r>
          </w:p>
        </w:tc>
        <w:tc>
          <w:tcPr>
            <w:tcW w:w="664" w:type="dxa"/>
          </w:tcPr>
          <w:p w14:paraId="483FAA84"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cs="Times New Roman"/>
                <w:sz w:val="18"/>
                <w:szCs w:val="18"/>
              </w:rPr>
              <w:t>0.9%</w:t>
            </w:r>
          </w:p>
        </w:tc>
        <w:tc>
          <w:tcPr>
            <w:tcW w:w="1051" w:type="dxa"/>
          </w:tcPr>
          <w:p w14:paraId="4D7D7194"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
        </w:tc>
        <w:tc>
          <w:tcPr>
            <w:tcW w:w="3432" w:type="dxa"/>
            <w:vMerge/>
          </w:tcPr>
          <w:p w14:paraId="607B1C9F"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i/>
                <w:sz w:val="18"/>
                <w:szCs w:val="18"/>
              </w:rPr>
            </w:pPr>
          </w:p>
        </w:tc>
      </w:tr>
      <w:tr w:rsidR="006458E0" w:rsidRPr="00981F01" w14:paraId="4477863E"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0" w:type="dxa"/>
          </w:tcPr>
          <w:p w14:paraId="72C16BDF" w14:textId="77777777" w:rsidR="006458E0" w:rsidRPr="00981F01" w:rsidRDefault="006458E0" w:rsidP="006458E0">
            <w:pPr>
              <w:jc w:val="right"/>
              <w:rPr>
                <w:b w:val="0"/>
                <w:sz w:val="18"/>
                <w:szCs w:val="18"/>
              </w:rPr>
            </w:pPr>
            <w:r w:rsidRPr="00981F01">
              <w:rPr>
                <w:rFonts w:cs="Times New Roman"/>
                <w:b w:val="0"/>
                <w:sz w:val="18"/>
                <w:szCs w:val="18"/>
              </w:rPr>
              <w:t>K</w:t>
            </w:r>
          </w:p>
        </w:tc>
        <w:tc>
          <w:tcPr>
            <w:tcW w:w="1262" w:type="dxa"/>
          </w:tcPr>
          <w:p w14:paraId="01544054"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cs="Times New Roman"/>
                <w:sz w:val="18"/>
                <w:szCs w:val="18"/>
              </w:rPr>
              <w:t>1.8%</w:t>
            </w:r>
          </w:p>
        </w:tc>
        <w:tc>
          <w:tcPr>
            <w:tcW w:w="664" w:type="dxa"/>
          </w:tcPr>
          <w:p w14:paraId="183482CD"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cs="Times New Roman"/>
                <w:sz w:val="18"/>
                <w:szCs w:val="18"/>
              </w:rPr>
              <w:t>1.3%</w:t>
            </w:r>
          </w:p>
        </w:tc>
        <w:tc>
          <w:tcPr>
            <w:tcW w:w="1051" w:type="dxa"/>
          </w:tcPr>
          <w:p w14:paraId="318AB35D"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
        </w:tc>
        <w:tc>
          <w:tcPr>
            <w:tcW w:w="3432" w:type="dxa"/>
            <w:vMerge/>
          </w:tcPr>
          <w:p w14:paraId="310FC14D"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i/>
                <w:sz w:val="18"/>
                <w:szCs w:val="18"/>
              </w:rPr>
            </w:pPr>
          </w:p>
        </w:tc>
      </w:tr>
      <w:tr w:rsidR="006458E0" w:rsidRPr="00981F01" w14:paraId="7EE87370" w14:textId="77777777" w:rsidTr="006B5342">
        <w:tc>
          <w:tcPr>
            <w:cnfStyle w:val="001000000000" w:firstRow="0" w:lastRow="0" w:firstColumn="1" w:lastColumn="0" w:oddVBand="0" w:evenVBand="0" w:oddHBand="0" w:evenHBand="0" w:firstRowFirstColumn="0" w:firstRowLastColumn="0" w:lastRowFirstColumn="0" w:lastRowLastColumn="0"/>
            <w:tcW w:w="1970" w:type="dxa"/>
          </w:tcPr>
          <w:p w14:paraId="3865E3DC" w14:textId="77777777" w:rsidR="006458E0" w:rsidRPr="00981F01" w:rsidRDefault="006458E0" w:rsidP="006458E0">
            <w:pPr>
              <w:jc w:val="right"/>
              <w:rPr>
                <w:b w:val="0"/>
                <w:sz w:val="18"/>
                <w:szCs w:val="18"/>
              </w:rPr>
            </w:pPr>
            <w:r w:rsidRPr="00981F01">
              <w:rPr>
                <w:rFonts w:cs="Times New Roman"/>
                <w:b w:val="0"/>
                <w:sz w:val="18"/>
                <w:szCs w:val="18"/>
              </w:rPr>
              <w:t>O, H, etc.</w:t>
            </w:r>
          </w:p>
        </w:tc>
        <w:tc>
          <w:tcPr>
            <w:tcW w:w="1262" w:type="dxa"/>
          </w:tcPr>
          <w:p w14:paraId="37E33D4C"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cs="Times New Roman"/>
                <w:sz w:val="18"/>
                <w:szCs w:val="18"/>
              </w:rPr>
              <w:t>32.9%</w:t>
            </w:r>
          </w:p>
        </w:tc>
        <w:tc>
          <w:tcPr>
            <w:tcW w:w="664" w:type="dxa"/>
          </w:tcPr>
          <w:p w14:paraId="23B3664D"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cs="Times New Roman"/>
                <w:sz w:val="18"/>
                <w:szCs w:val="18"/>
              </w:rPr>
              <w:t>31.4%</w:t>
            </w:r>
          </w:p>
        </w:tc>
        <w:tc>
          <w:tcPr>
            <w:tcW w:w="1051" w:type="dxa"/>
          </w:tcPr>
          <w:p w14:paraId="34685BB5"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
        </w:tc>
        <w:tc>
          <w:tcPr>
            <w:tcW w:w="3432" w:type="dxa"/>
            <w:vMerge/>
          </w:tcPr>
          <w:p w14:paraId="22931063"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i/>
                <w:sz w:val="18"/>
                <w:szCs w:val="18"/>
              </w:rPr>
            </w:pPr>
          </w:p>
        </w:tc>
      </w:tr>
      <w:tr w:rsidR="006458E0" w:rsidRPr="00981F01" w14:paraId="6E0BBBBB"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79" w:type="dxa"/>
            <w:gridSpan w:val="5"/>
          </w:tcPr>
          <w:p w14:paraId="36A188D9" w14:textId="77777777" w:rsidR="006458E0" w:rsidRPr="00981F01" w:rsidRDefault="006458E0" w:rsidP="006458E0">
            <w:pPr>
              <w:rPr>
                <w:sz w:val="18"/>
                <w:szCs w:val="18"/>
              </w:rPr>
            </w:pPr>
            <w:r w:rsidRPr="00981F01">
              <w:rPr>
                <w:sz w:val="18"/>
                <w:szCs w:val="18"/>
              </w:rPr>
              <w:t>BSF growth parameter</w:t>
            </w:r>
          </w:p>
        </w:tc>
      </w:tr>
      <w:tr w:rsidR="006458E0" w:rsidRPr="00981F01" w14:paraId="11EB987F" w14:textId="77777777" w:rsidTr="006B5342">
        <w:tc>
          <w:tcPr>
            <w:cnfStyle w:val="001000000000" w:firstRow="0" w:lastRow="0" w:firstColumn="1" w:lastColumn="0" w:oddVBand="0" w:evenVBand="0" w:oddHBand="0" w:evenHBand="0" w:firstRowFirstColumn="0" w:firstRowLastColumn="0" w:lastRowFirstColumn="0" w:lastRowLastColumn="0"/>
            <w:tcW w:w="1970" w:type="dxa"/>
          </w:tcPr>
          <w:p w14:paraId="532DD909" w14:textId="77777777" w:rsidR="006458E0" w:rsidRPr="00981F01" w:rsidRDefault="006458E0" w:rsidP="006458E0">
            <w:pPr>
              <w:jc w:val="right"/>
              <w:rPr>
                <w:b w:val="0"/>
                <w:sz w:val="18"/>
                <w:szCs w:val="18"/>
              </w:rPr>
            </w:pPr>
            <w:r w:rsidRPr="00981F01">
              <w:rPr>
                <w:b w:val="0"/>
                <w:sz w:val="18"/>
                <w:szCs w:val="18"/>
              </w:rPr>
              <w:t>Parameter</w:t>
            </w:r>
          </w:p>
        </w:tc>
        <w:tc>
          <w:tcPr>
            <w:tcW w:w="1262" w:type="dxa"/>
          </w:tcPr>
          <w:p w14:paraId="20EC21E3"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b/>
                <w:sz w:val="18"/>
                <w:szCs w:val="18"/>
              </w:rPr>
              <w:t>Unit</w:t>
            </w:r>
          </w:p>
        </w:tc>
        <w:tc>
          <w:tcPr>
            <w:tcW w:w="664" w:type="dxa"/>
          </w:tcPr>
          <w:p w14:paraId="1DDCBF5C"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b/>
                <w:sz w:val="18"/>
                <w:szCs w:val="18"/>
              </w:rPr>
              <w:t>Value</w:t>
            </w:r>
          </w:p>
        </w:tc>
        <w:tc>
          <w:tcPr>
            <w:tcW w:w="1051" w:type="dxa"/>
          </w:tcPr>
          <w:p w14:paraId="38A5E13F"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b/>
                <w:sz w:val="18"/>
                <w:szCs w:val="18"/>
              </w:rPr>
              <w:t>Range</w:t>
            </w:r>
          </w:p>
        </w:tc>
        <w:tc>
          <w:tcPr>
            <w:tcW w:w="3432" w:type="dxa"/>
          </w:tcPr>
          <w:p w14:paraId="4EBF09E6" w14:textId="77777777" w:rsidR="006458E0" w:rsidRPr="00981F01"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981F01">
              <w:rPr>
                <w:b/>
                <w:sz w:val="18"/>
                <w:szCs w:val="18"/>
              </w:rPr>
              <w:t>Comment</w:t>
            </w:r>
          </w:p>
        </w:tc>
      </w:tr>
      <w:tr w:rsidR="006458E0" w:rsidRPr="00981F01" w14:paraId="6AC4CC6E"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0" w:type="dxa"/>
          </w:tcPr>
          <w:p w14:paraId="1645EEBF" w14:textId="77777777" w:rsidR="006458E0" w:rsidRPr="00981F01" w:rsidRDefault="006458E0" w:rsidP="006458E0">
            <w:pPr>
              <w:jc w:val="right"/>
              <w:rPr>
                <w:b w:val="0"/>
                <w:sz w:val="18"/>
                <w:szCs w:val="18"/>
              </w:rPr>
            </w:pPr>
            <w:r w:rsidRPr="00981F01">
              <w:rPr>
                <w:rFonts w:cs="Times New Roman"/>
                <w:b w:val="0"/>
                <w:sz w:val="18"/>
                <w:szCs w:val="18"/>
              </w:rPr>
              <w:t>Protein conversion ratio (PCR)</w:t>
            </w:r>
          </w:p>
        </w:tc>
        <w:tc>
          <w:tcPr>
            <w:tcW w:w="1262" w:type="dxa"/>
          </w:tcPr>
          <w:p w14:paraId="13E4C81E"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w:t>
            </w:r>
            <w:r w:rsidRPr="00981F01">
              <w:rPr>
                <w:sz w:val="18"/>
                <w:szCs w:val="18"/>
                <w:vertAlign w:val="subscript"/>
              </w:rPr>
              <w:t>proteins</w:t>
            </w:r>
          </w:p>
        </w:tc>
        <w:tc>
          <w:tcPr>
            <w:tcW w:w="664" w:type="dxa"/>
          </w:tcPr>
          <w:p w14:paraId="4ADDD940"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cs="Times New Roman"/>
                <w:sz w:val="18"/>
                <w:szCs w:val="18"/>
              </w:rPr>
              <w:t>38%</w:t>
            </w:r>
          </w:p>
        </w:tc>
        <w:tc>
          <w:tcPr>
            <w:tcW w:w="1051" w:type="dxa"/>
          </w:tcPr>
          <w:p w14:paraId="3BE4487D"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25-60%</w:t>
            </w:r>
          </w:p>
        </w:tc>
        <w:tc>
          <w:tcPr>
            <w:tcW w:w="3432" w:type="dxa"/>
          </w:tcPr>
          <w:p w14:paraId="3FBDADE4" w14:textId="77777777" w:rsidR="006458E0" w:rsidRPr="00981F01"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981F01">
              <w:rPr>
                <w:i/>
                <w:sz w:val="18"/>
                <w:szCs w:val="18"/>
              </w:rPr>
              <w:t>Own review</w:t>
            </w:r>
          </w:p>
        </w:tc>
      </w:tr>
      <w:tr w:rsidR="006458E0" w:rsidRPr="00981F01" w14:paraId="665CDA4A" w14:textId="77777777" w:rsidTr="006B5342">
        <w:tc>
          <w:tcPr>
            <w:cnfStyle w:val="001000000000" w:firstRow="0" w:lastRow="0" w:firstColumn="1" w:lastColumn="0" w:oddVBand="0" w:evenVBand="0" w:oddHBand="0" w:evenHBand="0" w:firstRowFirstColumn="0" w:firstRowLastColumn="0" w:lastRowFirstColumn="0" w:lastRowLastColumn="0"/>
            <w:tcW w:w="1970" w:type="dxa"/>
          </w:tcPr>
          <w:p w14:paraId="1AE3988A" w14:textId="77777777" w:rsidR="006458E0" w:rsidRPr="00981F01" w:rsidRDefault="006458E0" w:rsidP="006458E0">
            <w:pPr>
              <w:jc w:val="right"/>
              <w:rPr>
                <w:b w:val="0"/>
                <w:sz w:val="18"/>
                <w:szCs w:val="18"/>
              </w:rPr>
            </w:pPr>
            <w:r w:rsidRPr="00981F01">
              <w:rPr>
                <w:rFonts w:cs="Times New Roman"/>
                <w:b w:val="0"/>
                <w:sz w:val="18"/>
                <w:szCs w:val="18"/>
              </w:rPr>
              <w:t xml:space="preserve">Survival rate </w:t>
            </w:r>
          </w:p>
        </w:tc>
        <w:tc>
          <w:tcPr>
            <w:tcW w:w="1262" w:type="dxa"/>
          </w:tcPr>
          <w:p w14:paraId="285FB449"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cs="Times New Roman"/>
                <w:sz w:val="18"/>
                <w:szCs w:val="18"/>
              </w:rPr>
              <w:t>%</w:t>
            </w:r>
            <w:r w:rsidRPr="00981F01">
              <w:rPr>
                <w:rFonts w:cs="Times New Roman"/>
                <w:sz w:val="18"/>
                <w:szCs w:val="18"/>
                <w:vertAlign w:val="subscript"/>
              </w:rPr>
              <w:t>5-DOL</w:t>
            </w:r>
          </w:p>
        </w:tc>
        <w:tc>
          <w:tcPr>
            <w:tcW w:w="664" w:type="dxa"/>
          </w:tcPr>
          <w:p w14:paraId="7A94194D"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cs="Times New Roman"/>
                <w:sz w:val="18"/>
                <w:szCs w:val="18"/>
              </w:rPr>
              <w:t>90%</w:t>
            </w:r>
          </w:p>
        </w:tc>
        <w:tc>
          <w:tcPr>
            <w:tcW w:w="1051" w:type="dxa"/>
          </w:tcPr>
          <w:p w14:paraId="1E9B9570"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78-98%</w:t>
            </w:r>
          </w:p>
        </w:tc>
        <w:tc>
          <w:tcPr>
            <w:tcW w:w="3432" w:type="dxa"/>
          </w:tcPr>
          <w:p w14:paraId="51C0A3E8" w14:textId="55E4644B" w:rsidR="006458E0" w:rsidRPr="00981F01"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981F01">
              <w:rPr>
                <w:rFonts w:cs="Times New Roman"/>
                <w:i/>
                <w:sz w:val="18"/>
                <w:szCs w:val="18"/>
              </w:rPr>
              <w:t xml:space="preserve">Own review and </w:t>
            </w:r>
            <w:r w:rsidRPr="00981F01">
              <w:rPr>
                <w:rFonts w:cs="Times New Roman"/>
                <w:i/>
                <w:sz w:val="18"/>
                <w:szCs w:val="18"/>
              </w:rPr>
              <w:fldChar w:fldCharType="begin"/>
            </w:r>
            <w:r w:rsidR="00942782">
              <w:rPr>
                <w:rFonts w:cs="Times New Roman"/>
                <w:i/>
                <w:sz w:val="18"/>
                <w:szCs w:val="18"/>
              </w:rPr>
              <w:instrText xml:space="preserve"> ADDIN ZOTERO_ITEM CSL_CITATION {"citationID":"rCtNTNPp","properties":{"formattedCitation":"\\super 83\\nosupersub{}","plainCitation":"83","noteIndex":0},"citationItems":[{"id":11579,"uris":["http://zotero.org/users/6423791/items/8LZ274B9"],"itemData":{"id":11579,"type":"article-journal","abstract":"The Black Soldier Fly (BSF) offers the potential to address two global challenges; the environmental detriments of food waste and the rising demand for protein. Food waste digested by BSF larvae can be converted into biomass, which may then be utilized for the development of value-added products including new food sources for human and animal consumption. A systematic literature search was conducted to identify studies investigating the inﬂuence of food waste rearing substrates on BSF larvae protein composition. Of 1712 articles identiﬁed, 23 articles were selected for inclusion. Based on the results of this review, BSF larvae reared on ‘Fish waste Sardinella aurita’ for two days reported the highest total protein content at 78.8% and BSF larvae reared on various formulations of ‘Fruit and vegetable’ reported the lowest protein content at 12.9%. This review is the ﬁrst to examine the inﬂuence of food waste on the protein composition of BSF larvae. Major differences in larval rearing conditions and methods utilized to perform nutritional analyses, potentially inﬂuenced the reported protein composition of the BSF larvae. While this review has highlighted the role BSF larvae in food waste management and alternative protein development, their application in nutrition is still in its infancy.","container-title":"Insects","DOI":"10.3390/insects12070608","ISSN":"2075-4450","issue":"7","journalAbbreviation":"Insects","language":"en","page":"608","source":"DOI.org (Crossref)","title":"The Influence of Food Waste Rearing Substrates on Black Soldier Fly Larvae Protein Composition: A Systematic Review","title-short":"The Influence of Food Waste Rearing Substrates on Black Soldier Fly Larvae Protein Composition","volume":"12","author":[{"family":"Hopkins","given":"Indee"},{"family":"Newman","given":"Lisa P."},{"family":"Gill","given":"Harsharn"},{"family":"Danaher","given":"Jessica"}],"issued":{"date-parts":[["2021",7,4]]}}}],"schema":"https://github.com/citation-style-language/schema/raw/master/csl-citation.json"} </w:instrText>
            </w:r>
            <w:r w:rsidRPr="00981F01">
              <w:rPr>
                <w:rFonts w:cs="Times New Roman"/>
                <w:i/>
                <w:sz w:val="18"/>
                <w:szCs w:val="18"/>
              </w:rPr>
              <w:fldChar w:fldCharType="separate"/>
            </w:r>
            <w:r w:rsidR="00942782" w:rsidRPr="00942782">
              <w:rPr>
                <w:rFonts w:ascii="Calibri" w:hAnsi="Calibri" w:cs="Calibri"/>
                <w:sz w:val="18"/>
                <w:szCs w:val="24"/>
                <w:vertAlign w:val="superscript"/>
              </w:rPr>
              <w:t>83</w:t>
            </w:r>
            <w:r w:rsidRPr="00981F01">
              <w:rPr>
                <w:rFonts w:cs="Times New Roman"/>
                <w:i/>
                <w:sz w:val="18"/>
                <w:szCs w:val="18"/>
              </w:rPr>
              <w:fldChar w:fldCharType="end"/>
            </w:r>
          </w:p>
        </w:tc>
      </w:tr>
      <w:tr w:rsidR="006458E0" w:rsidRPr="00981F01" w14:paraId="31BFD302"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0" w:type="dxa"/>
          </w:tcPr>
          <w:p w14:paraId="132F2F03" w14:textId="77777777" w:rsidR="006458E0" w:rsidRPr="00981F01" w:rsidRDefault="006458E0" w:rsidP="006458E0">
            <w:pPr>
              <w:jc w:val="right"/>
              <w:rPr>
                <w:b w:val="0"/>
                <w:sz w:val="18"/>
                <w:szCs w:val="18"/>
              </w:rPr>
            </w:pPr>
            <w:r w:rsidRPr="00981F01">
              <w:rPr>
                <w:rFonts w:cs="Times New Roman"/>
                <w:b w:val="0"/>
                <w:sz w:val="18"/>
                <w:szCs w:val="18"/>
              </w:rPr>
              <w:t>Finishing larvae weight</w:t>
            </w:r>
          </w:p>
        </w:tc>
        <w:tc>
          <w:tcPr>
            <w:tcW w:w="1262" w:type="dxa"/>
          </w:tcPr>
          <w:p w14:paraId="142B4FAC"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981F01">
              <w:rPr>
                <w:sz w:val="18"/>
                <w:szCs w:val="18"/>
              </w:rPr>
              <w:t>mg.larvae</w:t>
            </w:r>
            <w:proofErr w:type="gramEnd"/>
            <w:r w:rsidRPr="00981F01">
              <w:rPr>
                <w:sz w:val="18"/>
                <w:szCs w:val="18"/>
                <w:vertAlign w:val="superscript"/>
              </w:rPr>
              <w:t>-1</w:t>
            </w:r>
          </w:p>
        </w:tc>
        <w:tc>
          <w:tcPr>
            <w:tcW w:w="664" w:type="dxa"/>
          </w:tcPr>
          <w:p w14:paraId="5C9C3B32"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cs="Times New Roman"/>
                <w:sz w:val="18"/>
                <w:szCs w:val="18"/>
              </w:rPr>
              <w:t>150</w:t>
            </w:r>
          </w:p>
        </w:tc>
        <w:tc>
          <w:tcPr>
            <w:tcW w:w="1051" w:type="dxa"/>
          </w:tcPr>
          <w:p w14:paraId="7097D277"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100-200</w:t>
            </w:r>
          </w:p>
        </w:tc>
        <w:tc>
          <w:tcPr>
            <w:tcW w:w="3432" w:type="dxa"/>
          </w:tcPr>
          <w:p w14:paraId="0B720F40" w14:textId="77777777" w:rsidR="006458E0" w:rsidRPr="00981F01"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981F01">
              <w:rPr>
                <w:i/>
                <w:sz w:val="18"/>
                <w:szCs w:val="18"/>
              </w:rPr>
              <w:t>Own review</w:t>
            </w:r>
          </w:p>
        </w:tc>
      </w:tr>
      <w:tr w:rsidR="006458E0" w:rsidRPr="00981F01" w14:paraId="265ADB47" w14:textId="77777777" w:rsidTr="006B5342">
        <w:tc>
          <w:tcPr>
            <w:cnfStyle w:val="001000000000" w:firstRow="0" w:lastRow="0" w:firstColumn="1" w:lastColumn="0" w:oddVBand="0" w:evenVBand="0" w:oddHBand="0" w:evenHBand="0" w:firstRowFirstColumn="0" w:firstRowLastColumn="0" w:lastRowFirstColumn="0" w:lastRowLastColumn="0"/>
            <w:tcW w:w="1970" w:type="dxa"/>
          </w:tcPr>
          <w:p w14:paraId="270EB584" w14:textId="77777777" w:rsidR="006458E0" w:rsidRPr="00981F01" w:rsidRDefault="006458E0" w:rsidP="006458E0">
            <w:pPr>
              <w:jc w:val="right"/>
              <w:rPr>
                <w:b w:val="0"/>
                <w:sz w:val="18"/>
                <w:szCs w:val="18"/>
              </w:rPr>
            </w:pPr>
            <w:r w:rsidRPr="00981F01">
              <w:rPr>
                <w:rFonts w:cs="Times New Roman"/>
                <w:b w:val="0"/>
                <w:sz w:val="18"/>
                <w:szCs w:val="18"/>
              </w:rPr>
              <w:t>Growth period length</w:t>
            </w:r>
          </w:p>
        </w:tc>
        <w:tc>
          <w:tcPr>
            <w:tcW w:w="1262" w:type="dxa"/>
          </w:tcPr>
          <w:p w14:paraId="7A564EDC"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days</w:t>
            </w:r>
          </w:p>
        </w:tc>
        <w:tc>
          <w:tcPr>
            <w:tcW w:w="664" w:type="dxa"/>
          </w:tcPr>
          <w:p w14:paraId="5C1C39D1"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cs="Times New Roman"/>
                <w:sz w:val="18"/>
                <w:szCs w:val="18"/>
              </w:rPr>
              <w:t>20</w:t>
            </w:r>
          </w:p>
        </w:tc>
        <w:tc>
          <w:tcPr>
            <w:tcW w:w="1051" w:type="dxa"/>
          </w:tcPr>
          <w:p w14:paraId="41E2F658"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11-29</w:t>
            </w:r>
          </w:p>
        </w:tc>
        <w:tc>
          <w:tcPr>
            <w:tcW w:w="3432" w:type="dxa"/>
          </w:tcPr>
          <w:p w14:paraId="3B116BA1" w14:textId="77777777" w:rsidR="006458E0" w:rsidRPr="00981F01"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981F01">
              <w:rPr>
                <w:i/>
                <w:sz w:val="18"/>
                <w:szCs w:val="18"/>
              </w:rPr>
              <w:t>Own review</w:t>
            </w:r>
          </w:p>
        </w:tc>
      </w:tr>
      <w:tr w:rsidR="006458E0" w:rsidRPr="00981F01" w14:paraId="026EF4FD"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79" w:type="dxa"/>
            <w:gridSpan w:val="5"/>
          </w:tcPr>
          <w:p w14:paraId="069AF9D4" w14:textId="60F6FA70" w:rsidR="006458E0" w:rsidRPr="00981F01" w:rsidRDefault="006458E0" w:rsidP="006458E0">
            <w:pPr>
              <w:jc w:val="both"/>
              <w:rPr>
                <w:b w:val="0"/>
                <w:i/>
                <w:sz w:val="18"/>
                <w:szCs w:val="18"/>
              </w:rPr>
            </w:pPr>
            <w:r w:rsidRPr="00981F01">
              <w:rPr>
                <w:rFonts w:cs="Times New Roman"/>
                <w:b w:val="0"/>
                <w:sz w:val="18"/>
                <w:szCs w:val="18"/>
              </w:rPr>
              <w:t>Albeit diets were assumed tailored to BSF needs, these were considered mostly based on a mix of residual biomasses (framework of circular economy). Accordingly, selected parameters are slightly less performants than those usually reported for premium mass rearing diets (e.g. growth period of 10-16 days</w:t>
            </w:r>
            <w:r w:rsidRPr="00981F01">
              <w:rPr>
                <w:rFonts w:cs="Times New Roman"/>
                <w:sz w:val="18"/>
                <w:szCs w:val="18"/>
              </w:rPr>
              <w:fldChar w:fldCharType="begin"/>
            </w:r>
            <w:r w:rsidR="00827449">
              <w:rPr>
                <w:rFonts w:cs="Times New Roman"/>
                <w:b w:val="0"/>
                <w:sz w:val="18"/>
                <w:szCs w:val="18"/>
              </w:rPr>
              <w:instrText xml:space="preserve"> ADDIN ZOTERO_ITEM CSL_CITATION {"citationID":"L3pdmr4I","properties":{"formattedCitation":"\\super 77\\nosupersub{}","plainCitation":"77","noteIndex":0},"citationItems":[{"id":3227,"uris":["http://zotero.org/users/6423791/items/Y3LCJLWA"],"itemData":{"id":3227,"type":"article-journal","abstract":"This study provided a systematic analysis on material flow and environmental impacts of a food waste (FW) bioconversion plant using black soldier fly larvae (BSFL), with a daily capacity of 15 tons of FW (wet weight). Food waste feed (FWF) used for BSFL bioconversion consisted of 80% FW (collected from households, restaurants, and canteens) and 20% rice hull powder. Material flow analysis conducted on a dry weight basis showed that 6% of FWF was transformed into BSF pre-pupae, 51% was stored in matured compost, and 43% was emitted to the air. Emissions of high environmental concern such as methane, nitrous oxide and ammonia (NH3) were sampled and quantified by laboratory analysis. The life cycle assessment revealed that the overall impact was 17.36 kg CO2-eq/t FW for global warming potential, 5.54 kg SO2-eq/t FW for acidification, 24.05 mol N-eq/t FW for terrestrial eutrophication, 0.54 kg N-eq NH3/t FW for marine eutrophication, and 0.18 kg PM2.5-eq/t FW of particulate matter up to 2.5 μm diameter. Moreover, emissions from post-composting, energy consumptions of drying and chemical fertilizer substitution ratio were detected by contribution analysis as the main contributors to those impacts. Finally, sensitivity analysis indicated that the substitution ratio of mineral fertilizer and protein feed as well as energy consumption were the most influential parameters, therefore control of the post-composting process of residual material should be closely monitored because it was responsible for significant environmental load caused by N-related emissions.","container-title":"Science of The Total Environment","DOI":"10.1016/j.scitotenv.2020.141656","ISSN":"0048-9697","journalAbbreviation":"Sci. Total Environ.","language":"en","page":"141656","source":"ScienceDirect","title":"Material flow analysis and life cycle assessment of food waste bioconversion by black soldier fly larvae (Hermetia illucens L.)","volume":"750","author":[{"family":"Guo","given":"Hanwen"},{"family":"Jiang","given":"Chengliang"},{"family":"Zhang","given":"Zhijian"},{"family":"Lu","given":"Wenjing"},{"family":"Wang","given":"Hongtao"}],"issued":{"date-parts":[["2021",1,1]]}}}],"schema":"https://github.com/citation-style-language/schema/raw/master/csl-citation.json"} </w:instrText>
            </w:r>
            <w:r w:rsidRPr="00981F01">
              <w:rPr>
                <w:rFonts w:cs="Times New Roman"/>
                <w:sz w:val="18"/>
                <w:szCs w:val="18"/>
              </w:rPr>
              <w:fldChar w:fldCharType="separate"/>
            </w:r>
            <w:r w:rsidR="00942782" w:rsidRPr="00942782">
              <w:rPr>
                <w:rFonts w:ascii="Calibri" w:hAnsi="Calibri" w:cs="Calibri"/>
                <w:sz w:val="18"/>
                <w:szCs w:val="24"/>
                <w:vertAlign w:val="superscript"/>
              </w:rPr>
              <w:t>77</w:t>
            </w:r>
            <w:r w:rsidRPr="00981F01">
              <w:rPr>
                <w:rFonts w:cs="Times New Roman"/>
                <w:sz w:val="18"/>
                <w:szCs w:val="18"/>
              </w:rPr>
              <w:fldChar w:fldCharType="end"/>
            </w:r>
            <w:r w:rsidRPr="00981F01">
              <w:rPr>
                <w:rFonts w:cs="Times New Roman"/>
                <w:b w:val="0"/>
                <w:sz w:val="18"/>
                <w:szCs w:val="18"/>
              </w:rPr>
              <w:t>; final weight close to 200mg</w:t>
            </w:r>
            <w:r w:rsidRPr="00981F01">
              <w:rPr>
                <w:rFonts w:cs="Times New Roman"/>
                <w:sz w:val="18"/>
                <w:szCs w:val="18"/>
              </w:rPr>
              <w:fldChar w:fldCharType="begin"/>
            </w:r>
            <w:r w:rsidR="00942782">
              <w:rPr>
                <w:rFonts w:cs="Times New Roman"/>
                <w:b w:val="0"/>
                <w:sz w:val="18"/>
                <w:szCs w:val="18"/>
              </w:rPr>
              <w:instrText xml:space="preserve"> ADDIN ZOTERO_ITEM CSL_CITATION {"citationID":"udNbNDTE","properties":{"formattedCitation":"\\super 90\\nosupersub{}","plainCitation":"90","noteIndex":0},"citationItems":[{"id":1464,"uris":["http://zotero.org/users/6423791/items/QNCAN2WT"],"itemData":{"id":1464,"type":"article-journal","abstract":"Cities of low and middle-income countries face severe challenges in managing the increasing amount of waste produced, especially the organic fraction. Black Soldier Fly (BSF) biowaste treatment is an attractive treatment option as it offers a solution for waste management while also providing a protein source to help alleviate the rising global demand for animal feed. However, to-date very little information is available on how this technology performs with regard to direct greenhouse gas (GHG) emissions and global warming potential (GWP). This paper presents a study that uses a life cycle assessment (LCA) approach to assess the GWP of a BSF waste treatment facility in the case of Indonesia and compares it with respective values for an open windrow composting facility. Direct CH4 and N2O samples were extracted from BSF treatment units and analyzed by gas chromatography. Results show that direct CO2eq emissions are 47 times lower the emissions from composting. Regarding the overall GWP, the LCA shows that composting has double the GWP of BSF treatment facility based on the functional unit of 1 ton of biowaste (wet weight). The main GWP contribution from a BSF facility are from: (1) residue post-composting (69%) and (2) electricity needs and source (up to 55%). Fishmeal production substitution by BSF larvae meal can reduce significantly the GWP (up to 30%). Based on this study, we conclude that BSF biowaste treatment offers an environmentally relevant alternative with very low direct GHG emissions and potentially high GWP reduction. Further research should improve residue post-treatment.","container-title":"Waste Management","DOI":"10.1016/j.wasman.2018.11.040","ISSN":"0956-053X","journalAbbreviation":"Waste Management","language":"en","page":"173-181","source":"ScienceDirect","title":"Black Soldier Fly biowaste treatment – Assessment of global warming potential","volume":"84","author":[{"family":"Mertenat","given":"Adeline"},{"family":"Diener","given":"Stefan"},{"family":"Zurbrügg","given":"Christian"}],"issued":{"date-parts":[["2019",2,1]]}}}],"schema":"https://github.com/citation-style-language/schema/raw/master/csl-citation.json"} </w:instrText>
            </w:r>
            <w:r w:rsidRPr="00981F01">
              <w:rPr>
                <w:rFonts w:cs="Times New Roman"/>
                <w:sz w:val="18"/>
                <w:szCs w:val="18"/>
              </w:rPr>
              <w:fldChar w:fldCharType="separate"/>
            </w:r>
            <w:r w:rsidR="00942782" w:rsidRPr="00942782">
              <w:rPr>
                <w:rFonts w:ascii="Calibri" w:hAnsi="Calibri" w:cs="Calibri"/>
                <w:sz w:val="18"/>
                <w:szCs w:val="24"/>
                <w:vertAlign w:val="superscript"/>
              </w:rPr>
              <w:t>90</w:t>
            </w:r>
            <w:r w:rsidRPr="00981F01">
              <w:rPr>
                <w:rFonts w:cs="Times New Roman"/>
                <w:sz w:val="18"/>
                <w:szCs w:val="18"/>
              </w:rPr>
              <w:fldChar w:fldCharType="end"/>
            </w:r>
            <w:r w:rsidRPr="00981F01">
              <w:rPr>
                <w:rFonts w:cs="Times New Roman"/>
                <w:b w:val="0"/>
                <w:sz w:val="18"/>
                <w:szCs w:val="18"/>
              </w:rPr>
              <w:t>; etc.). Yet, selected parameters remain optimistic regarding usual reported performances of insect reared on individual residual or fibrous streams (see</w:t>
            </w:r>
            <w:r w:rsidR="00E819F5" w:rsidRPr="00981F01">
              <w:rPr>
                <w:rFonts w:cs="Times New Roman"/>
                <w:b w:val="0"/>
                <w:sz w:val="18"/>
                <w:szCs w:val="18"/>
              </w:rPr>
              <w:t xml:space="preserve"> </w:t>
            </w:r>
            <w:r w:rsidR="00E819F5" w:rsidRPr="00981F01">
              <w:rPr>
                <w:rFonts w:cs="Times New Roman"/>
                <w:sz w:val="18"/>
                <w:szCs w:val="18"/>
              </w:rPr>
              <w:fldChar w:fldCharType="begin"/>
            </w:r>
            <w:r w:rsidR="00E819F5" w:rsidRPr="00981F01">
              <w:rPr>
                <w:rFonts w:cs="Times New Roman"/>
                <w:b w:val="0"/>
                <w:sz w:val="18"/>
                <w:szCs w:val="18"/>
              </w:rPr>
              <w:instrText xml:space="preserve"> REF _Ref144804025 \h </w:instrText>
            </w:r>
            <w:r w:rsidR="00981F01" w:rsidRPr="00981F01">
              <w:rPr>
                <w:rFonts w:cs="Times New Roman"/>
                <w:sz w:val="18"/>
                <w:szCs w:val="18"/>
              </w:rPr>
              <w:instrText xml:space="preserve"> \* MERGEFORMAT </w:instrText>
            </w:r>
            <w:r w:rsidR="00E819F5" w:rsidRPr="00981F01">
              <w:rPr>
                <w:rFonts w:cs="Times New Roman"/>
                <w:sz w:val="18"/>
                <w:szCs w:val="18"/>
              </w:rPr>
            </w:r>
            <w:r w:rsidR="00E819F5" w:rsidRPr="00981F01">
              <w:rPr>
                <w:rFonts w:cs="Times New Roman"/>
                <w:sz w:val="18"/>
                <w:szCs w:val="18"/>
              </w:rPr>
              <w:fldChar w:fldCharType="separate"/>
            </w:r>
            <w:r w:rsidR="00F25F8C" w:rsidRPr="00981F01">
              <w:rPr>
                <w:sz w:val="18"/>
                <w:szCs w:val="18"/>
              </w:rPr>
              <w:t xml:space="preserve">Table SI. </w:t>
            </w:r>
            <w:r w:rsidR="00F25F8C" w:rsidRPr="00981F01">
              <w:rPr>
                <w:noProof/>
                <w:sz w:val="18"/>
                <w:szCs w:val="18"/>
              </w:rPr>
              <w:t>31</w:t>
            </w:r>
            <w:r w:rsidR="00E819F5" w:rsidRPr="00981F01">
              <w:rPr>
                <w:rFonts w:cs="Times New Roman"/>
                <w:sz w:val="18"/>
                <w:szCs w:val="18"/>
              </w:rPr>
              <w:fldChar w:fldCharType="end"/>
            </w:r>
            <w:r w:rsidRPr="00981F01">
              <w:rPr>
                <w:rFonts w:cs="Times New Roman"/>
                <w:b w:val="0"/>
                <w:sz w:val="18"/>
                <w:szCs w:val="18"/>
              </w:rPr>
              <w:t>).</w:t>
            </w:r>
          </w:p>
        </w:tc>
      </w:tr>
    </w:tbl>
    <w:p w14:paraId="5EC667DF" w14:textId="5858C403" w:rsidR="006458E0" w:rsidRPr="005A4BFA" w:rsidRDefault="006458E0" w:rsidP="006B5342">
      <w:pPr>
        <w:jc w:val="both"/>
        <w:rPr>
          <w:sz w:val="18"/>
        </w:rPr>
      </w:pPr>
      <w:r w:rsidRPr="005A4BFA">
        <w:rPr>
          <w:sz w:val="18"/>
        </w:rPr>
        <w:t>BSF protein content was mostly reviewed within the range (34-46%</w:t>
      </w:r>
      <w:r w:rsidRPr="005A4BFA">
        <w:rPr>
          <w:sz w:val="18"/>
          <w:vertAlign w:val="subscript"/>
        </w:rPr>
        <w:t>DM</w:t>
      </w:r>
      <w:r w:rsidRPr="005A4BFA">
        <w:rPr>
          <w:sz w:val="18"/>
        </w:rPr>
        <w:t>), while BSF fat content displayed a wider variation range (25-43%</w:t>
      </w:r>
      <w:r w:rsidRPr="005A4BFA">
        <w:rPr>
          <w:sz w:val="18"/>
          <w:vertAlign w:val="subscript"/>
        </w:rPr>
        <w:t>DM</w:t>
      </w:r>
      <w:r w:rsidRPr="005A4BFA">
        <w:rPr>
          <w:sz w:val="18"/>
        </w:rPr>
        <w:t>). This is why the former was considered as fixed, while the latter considered as a parameter. Full details on references and parameters are available in</w:t>
      </w:r>
      <w:r w:rsidR="00981F01">
        <w:rPr>
          <w:sz w:val="18"/>
        </w:rPr>
        <w:t xml:space="preserve"> </w:t>
      </w:r>
      <w:r w:rsidR="00981F01" w:rsidRPr="00981F01">
        <w:rPr>
          <w:i/>
          <w:sz w:val="18"/>
        </w:rPr>
        <w:t>B.BSF_module spreadsheet</w:t>
      </w:r>
      <w:r w:rsidRPr="005A4BFA">
        <w:rPr>
          <w:sz w:val="18"/>
        </w:rPr>
        <w:t>.</w:t>
      </w:r>
    </w:p>
    <w:p w14:paraId="2ACB8A85" w14:textId="77777777" w:rsidR="00981F01" w:rsidRDefault="00981F01" w:rsidP="00E819F5">
      <w:pPr>
        <w:jc w:val="both"/>
      </w:pPr>
    </w:p>
    <w:p w14:paraId="17787DC4" w14:textId="7DD109A7" w:rsidR="00981F01" w:rsidRDefault="006458E0" w:rsidP="00E819F5">
      <w:pPr>
        <w:jc w:val="both"/>
      </w:pPr>
      <w:r w:rsidRPr="003F5DA8">
        <w:t xml:space="preserve">To validate the model, a harmonized benchmark of studies (or reviews of studies) reporting BSF reared on agrifood co-products and food waste was </w:t>
      </w:r>
      <w:r w:rsidRPr="001E0013">
        <w:t>elaborated (</w:t>
      </w:r>
      <w:r w:rsidR="00981F01" w:rsidRPr="00981F01">
        <w:rPr>
          <w:i/>
        </w:rPr>
        <w:t>B.BSF_module</w:t>
      </w:r>
      <w:r w:rsidRPr="001E0013">
        <w:t>). It yielded</w:t>
      </w:r>
      <w:r w:rsidRPr="003F5DA8">
        <w:t xml:space="preserve"> a dataset used not only to derive generic performance parameters, but also to compare experimental data obtained for a specific stream with the proxy calculated with this mode</w:t>
      </w:r>
      <w:r w:rsidR="00655BBB">
        <w:t>l</w:t>
      </w:r>
      <w:r w:rsidRPr="003F5DA8">
        <w:t>. The results and comparison for seven representative agrifood co-products streams (</w:t>
      </w:r>
      <w:r w:rsidR="00E819F5">
        <w:t xml:space="preserve">the ones </w:t>
      </w:r>
      <w:r>
        <w:t xml:space="preserve">studied </w:t>
      </w:r>
      <w:r w:rsidR="00E819F5">
        <w:t>in Javourez et al., 2022</w:t>
      </w:r>
      <w:r w:rsidR="00E819F5" w:rsidRPr="00E819F5">
        <w:fldChar w:fldCharType="begin"/>
      </w:r>
      <w:r w:rsidR="00682E10">
        <w:instrText xml:space="preserve"> ADDIN ZOTERO_ITEM CSL_CITATION {"citationID":"a235fcq5puh","properties":{"formattedCitation":"\\super 4\\nosupersub{}","plainCitation":"4","noteIndex":0},"citationItems":[{"id":13553,"uris":["http://zotero.org/users/6423791/items/EU8KLJZY"],"itemData":{"id":13553,"type":"article-journal","abstract":"Transforming residual biomass into edible ingredients is increasingly\npromoted to alleviate the environmental impacts of food systems. Yet,\nthese approaches mostly rely on emerging technologies and constrained\nresources, and their environmental benefits remain unclear. By combining\nprocess-based consequential life cycle analysis, uncertainty assessment\nand biomass resource estimation, we quantified the impacts of deploying\nwaste-to-nutrition pathways, here applied to the upgrading of agrifood\nco-products by solid-state fermentation (SSF). The benefits of reducing the\ndemand for soybean meal by enhancing the protein concentration of feed\nthrough SSF do not compensate for the environmental burdens induced\nby the process on climate change, water depletion and land use. Besides\nunlocking feed markets to low-feed-quality streams, SSF outperforms\nenergy valorization for most environmental impacts but is less competitive\nto mitigate climate change. Yet, SSF yields overall environmental benefits\nwhen unlocking food markets rather than supplying feed and energy\nservices. Systematic methodological harmonization is required to assess the\npotential of novel ingredients, as outcomes vary according to the displaced\nfood and feed baskets, and related land use changes.","container-title":"Nature Food","DOI":"10.1038/s43016-022-00621-9","journalAbbreviation":"Nat Food","language":"en","page":"911-920","title":"Upgrading agrifood co-products via solid fermentation yields environmental benefits under specific conditions only","volume":"3","author":[{"family":"Javourez","given":"Ugo"},{"family":"Rosero Delgado","given":"Ernesto Alonso"},{"family":"Hamelin","given":"Lorie"}],"issued":{"date-parts":[["2022",10,31]]}}}],"schema":"https://github.com/citation-style-language/schema/raw/master/csl-citation.json"} </w:instrText>
      </w:r>
      <w:r w:rsidR="00E819F5" w:rsidRPr="00E819F5">
        <w:fldChar w:fldCharType="separate"/>
      </w:r>
      <w:r w:rsidR="00682E10" w:rsidRPr="00682E10">
        <w:rPr>
          <w:rFonts w:ascii="Calibri" w:hAnsi="Calibri" w:cs="Calibri"/>
          <w:szCs w:val="24"/>
          <w:vertAlign w:val="superscript"/>
        </w:rPr>
        <w:t>4</w:t>
      </w:r>
      <w:r w:rsidR="00E819F5" w:rsidRPr="00E819F5">
        <w:fldChar w:fldCharType="end"/>
      </w:r>
      <w:r w:rsidRPr="003F5DA8">
        <w:t>) are presented in</w:t>
      </w:r>
      <w:r w:rsidR="00E819F5">
        <w:t xml:space="preserve"> </w:t>
      </w:r>
      <w:r w:rsidR="00E819F5" w:rsidRPr="00E819F5">
        <w:rPr>
          <w:b/>
        </w:rPr>
        <w:fldChar w:fldCharType="begin"/>
      </w:r>
      <w:r w:rsidR="00E819F5" w:rsidRPr="00E819F5">
        <w:rPr>
          <w:b/>
        </w:rPr>
        <w:instrText xml:space="preserve"> REF _Ref144804025 \h </w:instrText>
      </w:r>
      <w:r w:rsidR="00E819F5">
        <w:rPr>
          <w:b/>
        </w:rPr>
        <w:instrText xml:space="preserve"> \* MERGEFORMAT </w:instrText>
      </w:r>
      <w:r w:rsidR="00E819F5" w:rsidRPr="00E819F5">
        <w:rPr>
          <w:b/>
        </w:rPr>
      </w:r>
      <w:r w:rsidR="00E819F5" w:rsidRPr="00E819F5">
        <w:rPr>
          <w:b/>
        </w:rPr>
        <w:fldChar w:fldCharType="separate"/>
      </w:r>
      <w:r w:rsidR="00F25F8C" w:rsidRPr="00F25F8C">
        <w:rPr>
          <w:b/>
        </w:rPr>
        <w:t xml:space="preserve">Table SI. </w:t>
      </w:r>
      <w:r w:rsidR="00F25F8C" w:rsidRPr="00F25F8C">
        <w:rPr>
          <w:b/>
          <w:noProof/>
        </w:rPr>
        <w:t>31</w:t>
      </w:r>
      <w:r w:rsidR="00E819F5" w:rsidRPr="00E819F5">
        <w:rPr>
          <w:b/>
        </w:rPr>
        <w:fldChar w:fldCharType="end"/>
      </w:r>
      <w:r w:rsidRPr="003F5DA8">
        <w:t>.</w:t>
      </w:r>
    </w:p>
    <w:p w14:paraId="5023A50E" w14:textId="77777777" w:rsidR="00981F01" w:rsidRDefault="00981F01">
      <w:r>
        <w:br w:type="page"/>
      </w:r>
    </w:p>
    <w:p w14:paraId="047D79E2" w14:textId="15B2D1D8" w:rsidR="006458E0" w:rsidRPr="001E0013" w:rsidRDefault="00874128" w:rsidP="006B5342">
      <w:pPr>
        <w:pStyle w:val="Lgende"/>
        <w:jc w:val="left"/>
        <w:rPr>
          <w:b w:val="0"/>
          <w:i/>
        </w:rPr>
      </w:pPr>
      <w:bookmarkStart w:id="151" w:name="_Ref144804025"/>
      <w:bookmarkStart w:id="152" w:name="_Toc134537671"/>
      <w:bookmarkStart w:id="153" w:name="_Toc151967915"/>
      <w:r>
        <w:lastRenderedPageBreak/>
        <w:t>Table SI.</w:t>
      </w:r>
      <w:r w:rsidR="006458E0">
        <w:t xml:space="preserve"> </w:t>
      </w:r>
      <w:r>
        <w:fldChar w:fldCharType="begin"/>
      </w:r>
      <w:r>
        <w:instrText xml:space="preserve"> SEQ Table_SI. \* ARABIC </w:instrText>
      </w:r>
      <w:r>
        <w:fldChar w:fldCharType="separate"/>
      </w:r>
      <w:r w:rsidR="00F25F8C">
        <w:rPr>
          <w:noProof/>
        </w:rPr>
        <w:t>31</w:t>
      </w:r>
      <w:r>
        <w:fldChar w:fldCharType="end"/>
      </w:r>
      <w:bookmarkEnd w:id="151"/>
      <w:r w:rsidR="006458E0" w:rsidRPr="00E40BD9">
        <w:t xml:space="preserve"> – BSF growth performance simulation for seven agrifood co-products</w:t>
      </w:r>
      <w:bookmarkEnd w:id="152"/>
      <w:bookmarkEnd w:id="153"/>
    </w:p>
    <w:tbl>
      <w:tblPr>
        <w:tblStyle w:val="Tableausimple2"/>
        <w:tblW w:w="0" w:type="auto"/>
        <w:jc w:val="center"/>
        <w:tblLook w:val="04A0" w:firstRow="1" w:lastRow="0" w:firstColumn="1" w:lastColumn="0" w:noHBand="0" w:noVBand="1"/>
      </w:tblPr>
      <w:tblGrid>
        <w:gridCol w:w="498"/>
        <w:gridCol w:w="2117"/>
        <w:gridCol w:w="1225"/>
        <w:gridCol w:w="869"/>
        <w:gridCol w:w="871"/>
        <w:gridCol w:w="871"/>
        <w:gridCol w:w="869"/>
        <w:gridCol w:w="871"/>
        <w:gridCol w:w="871"/>
      </w:tblGrid>
      <w:tr w:rsidR="006458E0" w:rsidRPr="00981F01" w14:paraId="5531DD3A" w14:textId="77777777" w:rsidTr="00981F0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15" w:type="dxa"/>
            <w:gridSpan w:val="2"/>
          </w:tcPr>
          <w:p w14:paraId="5CB996FC" w14:textId="77777777" w:rsidR="006458E0" w:rsidRPr="00981F01" w:rsidRDefault="006458E0" w:rsidP="006458E0">
            <w:pPr>
              <w:jc w:val="right"/>
              <w:rPr>
                <w:sz w:val="18"/>
                <w:szCs w:val="18"/>
              </w:rPr>
            </w:pPr>
            <w:r w:rsidRPr="00981F01">
              <w:rPr>
                <w:rFonts w:ascii="Calibri" w:hAnsi="Calibri" w:cs="Times New Roman"/>
                <w:sz w:val="18"/>
                <w:szCs w:val="18"/>
              </w:rPr>
              <w:t>Parameter/Indicator</w:t>
            </w:r>
          </w:p>
        </w:tc>
        <w:tc>
          <w:tcPr>
            <w:tcW w:w="1225" w:type="dxa"/>
          </w:tcPr>
          <w:p w14:paraId="56E2311D" w14:textId="77777777" w:rsidR="006458E0" w:rsidRPr="00981F01"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CSG</w:t>
            </w:r>
          </w:p>
        </w:tc>
        <w:tc>
          <w:tcPr>
            <w:tcW w:w="869" w:type="dxa"/>
          </w:tcPr>
          <w:p w14:paraId="3E831122" w14:textId="77777777" w:rsidR="006458E0" w:rsidRPr="00981F01"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CPC</w:t>
            </w:r>
          </w:p>
        </w:tc>
        <w:tc>
          <w:tcPr>
            <w:tcW w:w="871" w:type="dxa"/>
          </w:tcPr>
          <w:p w14:paraId="453518E6" w14:textId="77777777" w:rsidR="006458E0" w:rsidRPr="00981F01"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SBP</w:t>
            </w:r>
          </w:p>
        </w:tc>
        <w:tc>
          <w:tcPr>
            <w:tcW w:w="871" w:type="dxa"/>
          </w:tcPr>
          <w:p w14:paraId="2108F757" w14:textId="77777777" w:rsidR="006458E0" w:rsidRPr="00981F01"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AP</w:t>
            </w:r>
          </w:p>
        </w:tc>
        <w:tc>
          <w:tcPr>
            <w:tcW w:w="869" w:type="dxa"/>
          </w:tcPr>
          <w:p w14:paraId="70057887" w14:textId="77777777" w:rsidR="006458E0" w:rsidRPr="00981F01"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FM</w:t>
            </w:r>
          </w:p>
        </w:tc>
        <w:tc>
          <w:tcPr>
            <w:tcW w:w="871" w:type="dxa"/>
          </w:tcPr>
          <w:p w14:paraId="1CEDCE87" w14:textId="77777777" w:rsidR="006458E0" w:rsidRPr="00981F01"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OP</w:t>
            </w:r>
          </w:p>
        </w:tc>
        <w:tc>
          <w:tcPr>
            <w:tcW w:w="871" w:type="dxa"/>
          </w:tcPr>
          <w:p w14:paraId="6A18D1B4" w14:textId="77777777" w:rsidR="006458E0" w:rsidRPr="00981F01"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PS</w:t>
            </w:r>
          </w:p>
        </w:tc>
      </w:tr>
      <w:tr w:rsidR="006458E0" w:rsidRPr="00981F01" w14:paraId="1A2AB16A" w14:textId="77777777" w:rsidTr="00981F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8" w:type="dxa"/>
            <w:vMerge w:val="restart"/>
            <w:textDirection w:val="btLr"/>
          </w:tcPr>
          <w:p w14:paraId="7500D70E" w14:textId="77777777" w:rsidR="006458E0" w:rsidRPr="00981F01" w:rsidRDefault="006458E0" w:rsidP="006458E0">
            <w:pPr>
              <w:ind w:left="113" w:right="113"/>
              <w:rPr>
                <w:sz w:val="18"/>
                <w:szCs w:val="18"/>
              </w:rPr>
            </w:pPr>
            <w:r w:rsidRPr="00981F01">
              <w:rPr>
                <w:sz w:val="18"/>
                <w:szCs w:val="18"/>
              </w:rPr>
              <w:t>Benchmark</w:t>
            </w:r>
          </w:p>
        </w:tc>
        <w:tc>
          <w:tcPr>
            <w:tcW w:w="2117" w:type="dxa"/>
          </w:tcPr>
          <w:p w14:paraId="3C471DE3" w14:textId="77777777" w:rsidR="006458E0" w:rsidRPr="00981F01"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i/>
                <w:sz w:val="18"/>
                <w:szCs w:val="18"/>
              </w:rPr>
              <w:t>dataset</w:t>
            </w:r>
          </w:p>
        </w:tc>
        <w:tc>
          <w:tcPr>
            <w:tcW w:w="1225" w:type="dxa"/>
          </w:tcPr>
          <w:p w14:paraId="0F52533A"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i/>
                <w:sz w:val="18"/>
                <w:szCs w:val="18"/>
              </w:rPr>
              <w:t>n=10</w:t>
            </w:r>
          </w:p>
        </w:tc>
        <w:tc>
          <w:tcPr>
            <w:tcW w:w="869" w:type="dxa"/>
          </w:tcPr>
          <w:p w14:paraId="644F8FAA"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i/>
                <w:sz w:val="18"/>
                <w:szCs w:val="18"/>
              </w:rPr>
              <w:t>n=1</w:t>
            </w:r>
          </w:p>
        </w:tc>
        <w:tc>
          <w:tcPr>
            <w:tcW w:w="871" w:type="dxa"/>
          </w:tcPr>
          <w:p w14:paraId="5B47646B"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i/>
                <w:sz w:val="18"/>
                <w:szCs w:val="18"/>
              </w:rPr>
              <w:t>n=2</w:t>
            </w:r>
          </w:p>
        </w:tc>
        <w:tc>
          <w:tcPr>
            <w:tcW w:w="871" w:type="dxa"/>
          </w:tcPr>
          <w:p w14:paraId="5CE439C8"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i/>
                <w:sz w:val="18"/>
                <w:szCs w:val="18"/>
              </w:rPr>
              <w:t>n=2</w:t>
            </w:r>
          </w:p>
        </w:tc>
        <w:tc>
          <w:tcPr>
            <w:tcW w:w="869" w:type="dxa"/>
          </w:tcPr>
          <w:p w14:paraId="3A89907D"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i/>
                <w:sz w:val="18"/>
                <w:szCs w:val="18"/>
              </w:rPr>
              <w:t>n=3</w:t>
            </w:r>
          </w:p>
        </w:tc>
        <w:tc>
          <w:tcPr>
            <w:tcW w:w="871" w:type="dxa"/>
          </w:tcPr>
          <w:p w14:paraId="4A78D54A"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i/>
                <w:sz w:val="18"/>
                <w:szCs w:val="18"/>
              </w:rPr>
              <w:t>n=3</w:t>
            </w:r>
          </w:p>
        </w:tc>
        <w:tc>
          <w:tcPr>
            <w:tcW w:w="871" w:type="dxa"/>
          </w:tcPr>
          <w:p w14:paraId="189B5579"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i/>
                <w:sz w:val="18"/>
                <w:szCs w:val="18"/>
              </w:rPr>
              <w:t>n=1</w:t>
            </w:r>
          </w:p>
        </w:tc>
      </w:tr>
      <w:tr w:rsidR="006458E0" w:rsidRPr="00981F01" w14:paraId="21005960" w14:textId="77777777" w:rsidTr="00981F01">
        <w:trPr>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72E4FAA8" w14:textId="77777777" w:rsidR="006458E0" w:rsidRPr="00981F01" w:rsidRDefault="006458E0" w:rsidP="006458E0">
            <w:pPr>
              <w:rPr>
                <w:sz w:val="18"/>
                <w:szCs w:val="18"/>
              </w:rPr>
            </w:pPr>
          </w:p>
        </w:tc>
        <w:tc>
          <w:tcPr>
            <w:tcW w:w="2117" w:type="dxa"/>
          </w:tcPr>
          <w:p w14:paraId="5571065A" w14:textId="77777777" w:rsidR="006458E0" w:rsidRPr="00981F01"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FCR, ww</w:t>
            </w:r>
          </w:p>
        </w:tc>
        <w:tc>
          <w:tcPr>
            <w:tcW w:w="1225" w:type="dxa"/>
          </w:tcPr>
          <w:p w14:paraId="6C0D8655"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4.1</w:t>
            </w:r>
          </w:p>
        </w:tc>
        <w:tc>
          <w:tcPr>
            <w:tcW w:w="869" w:type="dxa"/>
          </w:tcPr>
          <w:p w14:paraId="5DE74A56"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981F01">
              <w:rPr>
                <w:rFonts w:ascii="Calibri" w:hAnsi="Calibri" w:cs="Times New Roman"/>
                <w:sz w:val="18"/>
                <w:szCs w:val="18"/>
              </w:rPr>
              <w:t>n.a</w:t>
            </w:r>
            <w:proofErr w:type="gramEnd"/>
          </w:p>
        </w:tc>
        <w:tc>
          <w:tcPr>
            <w:tcW w:w="871" w:type="dxa"/>
          </w:tcPr>
          <w:p w14:paraId="0D1BAEF8"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20.5</w:t>
            </w:r>
          </w:p>
        </w:tc>
        <w:tc>
          <w:tcPr>
            <w:tcW w:w="871" w:type="dxa"/>
          </w:tcPr>
          <w:p w14:paraId="7A141EE1"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4.6</w:t>
            </w:r>
          </w:p>
        </w:tc>
        <w:tc>
          <w:tcPr>
            <w:tcW w:w="869" w:type="dxa"/>
          </w:tcPr>
          <w:p w14:paraId="70F1A62E"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7</w:t>
            </w:r>
          </w:p>
        </w:tc>
        <w:tc>
          <w:tcPr>
            <w:tcW w:w="871" w:type="dxa"/>
          </w:tcPr>
          <w:p w14:paraId="01812A13"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4.6</w:t>
            </w:r>
          </w:p>
        </w:tc>
        <w:tc>
          <w:tcPr>
            <w:tcW w:w="871" w:type="dxa"/>
          </w:tcPr>
          <w:p w14:paraId="5337DC04"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981F01">
              <w:rPr>
                <w:rFonts w:ascii="Calibri" w:hAnsi="Calibri" w:cs="Times New Roman"/>
                <w:sz w:val="18"/>
                <w:szCs w:val="18"/>
              </w:rPr>
              <w:t>n.a</w:t>
            </w:r>
            <w:proofErr w:type="gramEnd"/>
          </w:p>
        </w:tc>
      </w:tr>
      <w:tr w:rsidR="006458E0" w:rsidRPr="00981F01" w14:paraId="474B4EDA" w14:textId="77777777" w:rsidTr="00981F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2571879A" w14:textId="77777777" w:rsidR="006458E0" w:rsidRPr="00981F01" w:rsidRDefault="006458E0" w:rsidP="006458E0">
            <w:pPr>
              <w:rPr>
                <w:sz w:val="18"/>
                <w:szCs w:val="18"/>
              </w:rPr>
            </w:pPr>
          </w:p>
        </w:tc>
        <w:tc>
          <w:tcPr>
            <w:tcW w:w="2117" w:type="dxa"/>
          </w:tcPr>
          <w:p w14:paraId="0F6BDC9D" w14:textId="77777777" w:rsidR="006458E0" w:rsidRPr="00981F01"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FCR, DM</w:t>
            </w:r>
          </w:p>
        </w:tc>
        <w:tc>
          <w:tcPr>
            <w:tcW w:w="1225" w:type="dxa"/>
          </w:tcPr>
          <w:p w14:paraId="37FB3952"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2.8</w:t>
            </w:r>
          </w:p>
        </w:tc>
        <w:tc>
          <w:tcPr>
            <w:tcW w:w="869" w:type="dxa"/>
          </w:tcPr>
          <w:p w14:paraId="3BD2C0CD"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981F01">
              <w:rPr>
                <w:rFonts w:ascii="Calibri" w:hAnsi="Calibri" w:cs="Times New Roman"/>
                <w:sz w:val="18"/>
                <w:szCs w:val="18"/>
              </w:rPr>
              <w:t>n.a</w:t>
            </w:r>
            <w:proofErr w:type="gramEnd"/>
          </w:p>
        </w:tc>
        <w:tc>
          <w:tcPr>
            <w:tcW w:w="871" w:type="dxa"/>
          </w:tcPr>
          <w:p w14:paraId="1F3B534A"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13.7</w:t>
            </w:r>
          </w:p>
        </w:tc>
        <w:tc>
          <w:tcPr>
            <w:tcW w:w="871" w:type="dxa"/>
          </w:tcPr>
          <w:p w14:paraId="41F6F70E"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3.6</w:t>
            </w:r>
          </w:p>
        </w:tc>
        <w:tc>
          <w:tcPr>
            <w:tcW w:w="869" w:type="dxa"/>
          </w:tcPr>
          <w:p w14:paraId="3A709E44"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6</w:t>
            </w:r>
          </w:p>
        </w:tc>
        <w:tc>
          <w:tcPr>
            <w:tcW w:w="871" w:type="dxa"/>
          </w:tcPr>
          <w:p w14:paraId="0D7469CD"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17.6</w:t>
            </w:r>
          </w:p>
        </w:tc>
        <w:tc>
          <w:tcPr>
            <w:tcW w:w="871" w:type="dxa"/>
          </w:tcPr>
          <w:p w14:paraId="460BA1CF"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6.28</w:t>
            </w:r>
          </w:p>
        </w:tc>
      </w:tr>
      <w:tr w:rsidR="006458E0" w:rsidRPr="00981F01" w14:paraId="050C6EA5" w14:textId="77777777" w:rsidTr="00981F01">
        <w:trPr>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2F1CD411" w14:textId="77777777" w:rsidR="006458E0" w:rsidRPr="00981F01" w:rsidRDefault="006458E0" w:rsidP="006458E0">
            <w:pPr>
              <w:rPr>
                <w:sz w:val="18"/>
                <w:szCs w:val="18"/>
              </w:rPr>
            </w:pPr>
          </w:p>
        </w:tc>
        <w:tc>
          <w:tcPr>
            <w:tcW w:w="2117" w:type="dxa"/>
          </w:tcPr>
          <w:p w14:paraId="000065F9" w14:textId="77777777" w:rsidR="006458E0" w:rsidRPr="00981F01"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Residues/substrate, ww</w:t>
            </w:r>
          </w:p>
        </w:tc>
        <w:tc>
          <w:tcPr>
            <w:tcW w:w="1225" w:type="dxa"/>
          </w:tcPr>
          <w:p w14:paraId="2A54B41C"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43%</w:t>
            </w:r>
          </w:p>
        </w:tc>
        <w:tc>
          <w:tcPr>
            <w:tcW w:w="869" w:type="dxa"/>
          </w:tcPr>
          <w:p w14:paraId="0E8E67EC"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981F01">
              <w:rPr>
                <w:rFonts w:ascii="Calibri" w:hAnsi="Calibri" w:cs="Times New Roman"/>
                <w:sz w:val="18"/>
                <w:szCs w:val="18"/>
              </w:rPr>
              <w:t>n.a</w:t>
            </w:r>
            <w:proofErr w:type="gramEnd"/>
          </w:p>
        </w:tc>
        <w:tc>
          <w:tcPr>
            <w:tcW w:w="871" w:type="dxa"/>
          </w:tcPr>
          <w:p w14:paraId="08359085"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39%</w:t>
            </w:r>
          </w:p>
        </w:tc>
        <w:tc>
          <w:tcPr>
            <w:tcW w:w="871" w:type="dxa"/>
          </w:tcPr>
          <w:p w14:paraId="09F5F23F"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39%</w:t>
            </w:r>
          </w:p>
        </w:tc>
        <w:tc>
          <w:tcPr>
            <w:tcW w:w="869" w:type="dxa"/>
          </w:tcPr>
          <w:p w14:paraId="3B5B09A5"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981F01">
              <w:rPr>
                <w:rFonts w:ascii="Calibri" w:hAnsi="Calibri" w:cs="Times New Roman"/>
                <w:sz w:val="18"/>
                <w:szCs w:val="18"/>
              </w:rPr>
              <w:t>n.a</w:t>
            </w:r>
            <w:proofErr w:type="gramEnd"/>
          </w:p>
        </w:tc>
        <w:tc>
          <w:tcPr>
            <w:tcW w:w="871" w:type="dxa"/>
          </w:tcPr>
          <w:p w14:paraId="2E8DBF9B"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95%</w:t>
            </w:r>
          </w:p>
        </w:tc>
        <w:tc>
          <w:tcPr>
            <w:tcW w:w="871" w:type="dxa"/>
          </w:tcPr>
          <w:p w14:paraId="0EFC6DC9"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11%</w:t>
            </w:r>
          </w:p>
        </w:tc>
      </w:tr>
      <w:tr w:rsidR="006458E0" w:rsidRPr="00981F01" w14:paraId="20266B5B" w14:textId="77777777" w:rsidTr="00981F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48FD7360" w14:textId="77777777" w:rsidR="006458E0" w:rsidRPr="00981F01" w:rsidRDefault="006458E0" w:rsidP="006458E0">
            <w:pPr>
              <w:rPr>
                <w:sz w:val="18"/>
                <w:szCs w:val="18"/>
              </w:rPr>
            </w:pPr>
          </w:p>
        </w:tc>
        <w:tc>
          <w:tcPr>
            <w:tcW w:w="2117" w:type="dxa"/>
          </w:tcPr>
          <w:p w14:paraId="3E4015FF" w14:textId="77777777" w:rsidR="006458E0" w:rsidRPr="00981F01"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Residues/substrate, DM</w:t>
            </w:r>
          </w:p>
        </w:tc>
        <w:tc>
          <w:tcPr>
            <w:tcW w:w="1225" w:type="dxa"/>
          </w:tcPr>
          <w:p w14:paraId="3B98B599"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37%</w:t>
            </w:r>
          </w:p>
        </w:tc>
        <w:tc>
          <w:tcPr>
            <w:tcW w:w="869" w:type="dxa"/>
          </w:tcPr>
          <w:p w14:paraId="6C7B7FE0"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981F01">
              <w:rPr>
                <w:rFonts w:ascii="Calibri" w:hAnsi="Calibri" w:cs="Times New Roman"/>
                <w:sz w:val="18"/>
                <w:szCs w:val="18"/>
              </w:rPr>
              <w:t>n.a</w:t>
            </w:r>
            <w:proofErr w:type="gramEnd"/>
          </w:p>
        </w:tc>
        <w:tc>
          <w:tcPr>
            <w:tcW w:w="871" w:type="dxa"/>
          </w:tcPr>
          <w:p w14:paraId="58E5B7A6"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40%</w:t>
            </w:r>
          </w:p>
        </w:tc>
        <w:tc>
          <w:tcPr>
            <w:tcW w:w="871" w:type="dxa"/>
          </w:tcPr>
          <w:p w14:paraId="7FC33E22"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30%</w:t>
            </w:r>
          </w:p>
        </w:tc>
        <w:tc>
          <w:tcPr>
            <w:tcW w:w="869" w:type="dxa"/>
          </w:tcPr>
          <w:p w14:paraId="00338E99"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86%</w:t>
            </w:r>
          </w:p>
        </w:tc>
        <w:tc>
          <w:tcPr>
            <w:tcW w:w="871" w:type="dxa"/>
          </w:tcPr>
          <w:p w14:paraId="54F23AF4"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80%</w:t>
            </w:r>
          </w:p>
        </w:tc>
        <w:tc>
          <w:tcPr>
            <w:tcW w:w="871" w:type="dxa"/>
          </w:tcPr>
          <w:p w14:paraId="6BCC8565"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981F01">
              <w:rPr>
                <w:rFonts w:ascii="Calibri" w:hAnsi="Calibri" w:cs="Times New Roman"/>
                <w:sz w:val="18"/>
                <w:szCs w:val="18"/>
              </w:rPr>
              <w:t>n.a</w:t>
            </w:r>
            <w:proofErr w:type="gramEnd"/>
          </w:p>
        </w:tc>
      </w:tr>
      <w:tr w:rsidR="006458E0" w:rsidRPr="00981F01" w14:paraId="3E615C8A" w14:textId="77777777" w:rsidTr="00981F01">
        <w:trPr>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7CF138AE" w14:textId="77777777" w:rsidR="006458E0" w:rsidRPr="00981F01" w:rsidRDefault="006458E0" w:rsidP="006458E0">
            <w:pPr>
              <w:rPr>
                <w:sz w:val="18"/>
                <w:szCs w:val="18"/>
              </w:rPr>
            </w:pPr>
          </w:p>
        </w:tc>
        <w:tc>
          <w:tcPr>
            <w:tcW w:w="2117" w:type="dxa"/>
          </w:tcPr>
          <w:p w14:paraId="4D185502" w14:textId="77777777" w:rsidR="006458E0" w:rsidRPr="00981F01"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Growth period length, d</w:t>
            </w:r>
          </w:p>
        </w:tc>
        <w:tc>
          <w:tcPr>
            <w:tcW w:w="1225" w:type="dxa"/>
          </w:tcPr>
          <w:p w14:paraId="398219D9"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12.5</w:t>
            </w:r>
          </w:p>
        </w:tc>
        <w:tc>
          <w:tcPr>
            <w:tcW w:w="869" w:type="dxa"/>
          </w:tcPr>
          <w:p w14:paraId="4F2677CB"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19</w:t>
            </w:r>
          </w:p>
        </w:tc>
        <w:tc>
          <w:tcPr>
            <w:tcW w:w="871" w:type="dxa"/>
          </w:tcPr>
          <w:p w14:paraId="11CE780C"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15</w:t>
            </w:r>
          </w:p>
        </w:tc>
        <w:tc>
          <w:tcPr>
            <w:tcW w:w="871" w:type="dxa"/>
          </w:tcPr>
          <w:p w14:paraId="38E01AE8"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36</w:t>
            </w:r>
          </w:p>
        </w:tc>
        <w:tc>
          <w:tcPr>
            <w:tcW w:w="869" w:type="dxa"/>
          </w:tcPr>
          <w:p w14:paraId="0875191E"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9</w:t>
            </w:r>
          </w:p>
        </w:tc>
        <w:tc>
          <w:tcPr>
            <w:tcW w:w="871" w:type="dxa"/>
          </w:tcPr>
          <w:p w14:paraId="0F51376B"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19</w:t>
            </w:r>
          </w:p>
        </w:tc>
        <w:tc>
          <w:tcPr>
            <w:tcW w:w="871" w:type="dxa"/>
          </w:tcPr>
          <w:p w14:paraId="39C7BB18"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30</w:t>
            </w:r>
          </w:p>
        </w:tc>
      </w:tr>
      <w:tr w:rsidR="006458E0" w:rsidRPr="00981F01" w14:paraId="40BB803B" w14:textId="77777777" w:rsidTr="00981F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3827E549" w14:textId="77777777" w:rsidR="006458E0" w:rsidRPr="00981F01" w:rsidRDefault="006458E0" w:rsidP="006458E0">
            <w:pPr>
              <w:rPr>
                <w:sz w:val="18"/>
                <w:szCs w:val="18"/>
              </w:rPr>
            </w:pPr>
          </w:p>
        </w:tc>
        <w:tc>
          <w:tcPr>
            <w:tcW w:w="2117" w:type="dxa"/>
          </w:tcPr>
          <w:p w14:paraId="6D940279" w14:textId="77777777" w:rsidR="006458E0" w:rsidRPr="00981F01"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Final weight, mg</w:t>
            </w:r>
          </w:p>
        </w:tc>
        <w:tc>
          <w:tcPr>
            <w:tcW w:w="1225" w:type="dxa"/>
          </w:tcPr>
          <w:p w14:paraId="622FDDCE"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160</w:t>
            </w:r>
          </w:p>
        </w:tc>
        <w:tc>
          <w:tcPr>
            <w:tcW w:w="869" w:type="dxa"/>
          </w:tcPr>
          <w:p w14:paraId="615D1FCB"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83</w:t>
            </w:r>
          </w:p>
        </w:tc>
        <w:tc>
          <w:tcPr>
            <w:tcW w:w="871" w:type="dxa"/>
          </w:tcPr>
          <w:p w14:paraId="4C99A788"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35</w:t>
            </w:r>
          </w:p>
        </w:tc>
        <w:tc>
          <w:tcPr>
            <w:tcW w:w="871" w:type="dxa"/>
          </w:tcPr>
          <w:p w14:paraId="3DBCDEC1"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120</w:t>
            </w:r>
          </w:p>
        </w:tc>
        <w:tc>
          <w:tcPr>
            <w:tcW w:w="869" w:type="dxa"/>
          </w:tcPr>
          <w:p w14:paraId="11BA5D7F"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145</w:t>
            </w:r>
          </w:p>
        </w:tc>
        <w:tc>
          <w:tcPr>
            <w:tcW w:w="871" w:type="dxa"/>
          </w:tcPr>
          <w:p w14:paraId="35A17A46"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130</w:t>
            </w:r>
          </w:p>
        </w:tc>
        <w:tc>
          <w:tcPr>
            <w:tcW w:w="871" w:type="dxa"/>
          </w:tcPr>
          <w:p w14:paraId="0EDC9E8F"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981F01">
              <w:rPr>
                <w:rFonts w:ascii="Calibri" w:hAnsi="Calibri" w:cs="Times New Roman"/>
                <w:sz w:val="18"/>
                <w:szCs w:val="18"/>
              </w:rPr>
              <w:t>n.a</w:t>
            </w:r>
            <w:proofErr w:type="gramEnd"/>
          </w:p>
        </w:tc>
      </w:tr>
      <w:tr w:rsidR="006458E0" w:rsidRPr="00981F01" w14:paraId="4CBCD635" w14:textId="77777777" w:rsidTr="00981F01">
        <w:trPr>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74333EAF" w14:textId="77777777" w:rsidR="006458E0" w:rsidRPr="00981F01" w:rsidRDefault="006458E0" w:rsidP="006458E0">
            <w:pPr>
              <w:rPr>
                <w:sz w:val="18"/>
                <w:szCs w:val="18"/>
              </w:rPr>
            </w:pPr>
          </w:p>
        </w:tc>
        <w:tc>
          <w:tcPr>
            <w:tcW w:w="2117" w:type="dxa"/>
          </w:tcPr>
          <w:p w14:paraId="6CF8A4F3" w14:textId="77777777" w:rsidR="006458E0" w:rsidRPr="00981F01"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Converted DM (1/FCR)</w:t>
            </w:r>
          </w:p>
        </w:tc>
        <w:tc>
          <w:tcPr>
            <w:tcW w:w="6447" w:type="dxa"/>
            <w:gridSpan w:val="7"/>
          </w:tcPr>
          <w:p w14:paraId="19DCF557" w14:textId="49913EFB"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 xml:space="preserve">4-28% </w:t>
            </w:r>
            <w:r w:rsidRPr="00981F01">
              <w:rPr>
                <w:rFonts w:ascii="Calibri" w:hAnsi="Calibri" w:cs="Times New Roman"/>
                <w:sz w:val="18"/>
                <w:szCs w:val="18"/>
              </w:rPr>
              <w:fldChar w:fldCharType="begin"/>
            </w:r>
            <w:r w:rsidR="00942782">
              <w:rPr>
                <w:rFonts w:ascii="Calibri" w:hAnsi="Calibri" w:cs="Times New Roman"/>
                <w:sz w:val="18"/>
                <w:szCs w:val="18"/>
              </w:rPr>
              <w:instrText xml:space="preserve"> ADDIN ZOTERO_ITEM CSL_CITATION {"citationID":"H6S19fPX","properties":{"formattedCitation":"\\super 75,79\\nosupersub{}","plainCitation":"75,79","noteIndex":0},"citationItems":[{"id":12295,"uris":["http://zotero.org/users/6423791/items/VVS73WKS"],"itemData":{"id":12295,"type":"article-journal","abstract":"Black soldier fly larvae (BSFL) treatment is promising for organic waste valorisation in the circular economy; however, waste variability impacts the process performance and quality of produced larvae. Specifically, variation in the carbohydrate profile of treated wastes has been suggested to have a significant impact on BSFL treatment performance and quality of produced larvae, with particular carbohydrates either positively or negatively influencing these variables. This study examines the hypothesis that the types of carbohydrates within the substrate can have significant influence on larval survival, waste reduction, bioconversion, and waste conversion efficiency, as well as the crude lipid content and fatty acid profiles of the produced larvae. The carbohydrates explored were D glucose, sucrose, D (−) fructose, corn and wheat starch, D (+) galactose, D (+) mannose, D (+) xylose, D (−) arabinose and xylan from beechwood. Young larvae were grown for 9 days on chicken feed-based diets containing various carbohydrate additives each at 20 dry mass %. Treatments containing hemicellulose constituents galactose and arabinose produced the most adverse effects on process performance relative to the benchmark. Xylan was significantly detrimental to bioconversion (−14.7 ± 3.8%) and waste conversion efficiencies (−19.0 ± 4.4%). There were minimal significant effects on performance from mono- and di-saccharides and starch additives. Larvae crude lipid contents were significantly increased by wheat starch (+12.6 ± 3.0%) and decreased by galactose (−15.0 ± 1.4%) and xylan additives (−27.5 ± 3.4%), however fatty acid profiles were largely unaffected and were dominated by lauric acid. These results indicate that despite an otherwise balanced and nutritious substrate, the carbohydrate profile of organic waste should be an important consideration in BSFL treatment when ensuring process performance and larval lipid contents. The consequences of these results for BSFL treatment of real wastes are discussed. Large scale treatment facilities should formulate substrates accordingly and identify methods to mitigate the anti-nutritional effects of poor carbohydrate profiles, particularly those high in hemicelluloses and their constituents.","container-title":"Waste Management","DOI":"10.1016/j.wasman.2021.10.013","ISSN":"0956-053X","journalAbbreviation":"Waste Management","language":"en","page":"9-19","source":"ScienceDirect","title":"Understanding dietary carbohydrates in black soldier fly larvae treatment of organic waste in the circular economy","volume":"137","author":[{"family":"Cohn","given":"Zachary"},{"family":"Latty","given":"Tanya"},{"family":"Abbas","given":"Ali"}],"issued":{"date-parts":[["2022",1,1]]}}},{"id":2351,"uris":["http://zotero.org/users/6423791/items/GENSMZAR"],"itemData":{"id":2351,"type":"article-journal","abstract":"Black soldier fly larvae (BSFL) are acknowledged for their potential to upcycle waste biomass into animal feed, human food or biofuels. To ensure sust…","container-title":"Journal of Cleaner Production","DOI":"10.1016/j.jclepro.2020.122488","ISSN":"0959-6526","journalAbbreviation":"J. Clean. Prod.","language":"en","note":"publisher: Elsevier","page":"122488","source":"www-sciencedirect-com.gorgone.univ-toulouse.fr","title":"Bioconversion efficiencies, greenhouse gas and ammonia emissions during black soldier fly rearing – A mass balance approach","volume":"271","author":[{"family":"Parodi","given":"A."},{"family":"De Boer","given":"Imke J. M."},{"family":"Gerrits","given":"W. J. J."},{"family":"Van Loon","given":"J. J. A."},{"family":"Heetkamp","given":"M. J.W"},{"family":"Van Schelt","given":"J"},{"family":"Elizabeth Bolhuis","given":"J."},{"family":"Van Zanten","given":"H. H. E."}],"issued":{"date-parts":[["2020",10,20]]}}}],"schema":"https://github.com/citation-style-language/schema/raw/master/csl-citation.json"} </w:instrText>
            </w:r>
            <w:r w:rsidRPr="00981F01">
              <w:rPr>
                <w:rFonts w:ascii="Calibri" w:hAnsi="Calibri" w:cs="Times New Roman"/>
                <w:sz w:val="18"/>
                <w:szCs w:val="18"/>
              </w:rPr>
              <w:fldChar w:fldCharType="separate"/>
            </w:r>
            <w:r w:rsidR="00942782" w:rsidRPr="00942782">
              <w:rPr>
                <w:rFonts w:ascii="Calibri" w:hAnsi="Calibri" w:cs="Calibri"/>
                <w:sz w:val="18"/>
                <w:szCs w:val="24"/>
                <w:vertAlign w:val="superscript"/>
              </w:rPr>
              <w:t>75,79</w:t>
            </w:r>
            <w:r w:rsidRPr="00981F01">
              <w:rPr>
                <w:rFonts w:ascii="Calibri" w:hAnsi="Calibri" w:cs="Times New Roman"/>
                <w:sz w:val="18"/>
                <w:szCs w:val="18"/>
              </w:rPr>
              <w:fldChar w:fldCharType="end"/>
            </w:r>
            <w:r w:rsidRPr="00981F01">
              <w:rPr>
                <w:rFonts w:ascii="Calibri" w:hAnsi="Calibri" w:cs="Times New Roman"/>
                <w:sz w:val="18"/>
                <w:szCs w:val="18"/>
              </w:rPr>
              <w:t>; 6-28% (own review)</w:t>
            </w:r>
          </w:p>
        </w:tc>
      </w:tr>
      <w:tr w:rsidR="006458E0" w:rsidRPr="00981F01" w14:paraId="5254D5A8" w14:textId="77777777" w:rsidTr="00981F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037293A9" w14:textId="77777777" w:rsidR="006458E0" w:rsidRPr="00981F01" w:rsidRDefault="006458E0" w:rsidP="006458E0">
            <w:pPr>
              <w:rPr>
                <w:sz w:val="18"/>
                <w:szCs w:val="18"/>
              </w:rPr>
            </w:pPr>
          </w:p>
        </w:tc>
        <w:tc>
          <w:tcPr>
            <w:tcW w:w="2117" w:type="dxa"/>
          </w:tcPr>
          <w:p w14:paraId="5D977D27" w14:textId="77777777" w:rsidR="006458E0" w:rsidRPr="00981F01"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Degraded DM</w:t>
            </w:r>
          </w:p>
        </w:tc>
        <w:tc>
          <w:tcPr>
            <w:tcW w:w="6447" w:type="dxa"/>
            <w:gridSpan w:val="7"/>
          </w:tcPr>
          <w:p w14:paraId="17A93B4E" w14:textId="0875D6E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 xml:space="preserve">18-46% </w:t>
            </w:r>
            <w:r w:rsidRPr="00981F01">
              <w:rPr>
                <w:rFonts w:ascii="Calibri" w:hAnsi="Calibri" w:cs="Times New Roman"/>
                <w:sz w:val="18"/>
                <w:szCs w:val="18"/>
              </w:rPr>
              <w:fldChar w:fldCharType="begin"/>
            </w:r>
            <w:r w:rsidR="00942782">
              <w:rPr>
                <w:rFonts w:ascii="Calibri" w:hAnsi="Calibri" w:cs="Times New Roman"/>
                <w:sz w:val="18"/>
                <w:szCs w:val="18"/>
              </w:rPr>
              <w:instrText xml:space="preserve"> ADDIN ZOTERO_ITEM CSL_CITATION {"citationID":"M9vfGi5R","properties":{"formattedCitation":"\\super 75\\nosupersub{}","plainCitation":"75","noteIndex":0},"citationItems":[{"id":12295,"uris":["http://zotero.org/users/6423791/items/VVS73WKS"],"itemData":{"id":12295,"type":"article-journal","abstract":"Black soldier fly larvae (BSFL) treatment is promising for organic waste valorisation in the circular economy; however, waste variability impacts the process performance and quality of produced larvae. Specifically, variation in the carbohydrate profile of treated wastes has been suggested to have a significant impact on BSFL treatment performance and quality of produced larvae, with particular carbohydrates either positively or negatively influencing these variables. This study examines the hypothesis that the types of carbohydrates within the substrate can have significant influence on larval survival, waste reduction, bioconversion, and waste conversion efficiency, as well as the crude lipid content and fatty acid profiles of the produced larvae. The carbohydrates explored were D glucose, sucrose, D (−) fructose, corn and wheat starch, D (+) galactose, D (+) mannose, D (+) xylose, D (−) arabinose and xylan from beechwood. Young larvae were grown for 9 days on chicken feed-based diets containing various carbohydrate additives each at 20 dry mass %. Treatments containing hemicellulose constituents galactose and arabinose produced the most adverse effects on process performance relative to the benchmark. Xylan was significantly detrimental to bioconversion (−14.7 ± 3.8%) and waste conversion efficiencies (−19.0 ± 4.4%). There were minimal significant effects on performance from mono- and di-saccharides and starch additives. Larvae crude lipid contents were significantly increased by wheat starch (+12.6 ± 3.0%) and decreased by galactose (−15.0 ± 1.4%) and xylan additives (−27.5 ± 3.4%), however fatty acid profiles were largely unaffected and were dominated by lauric acid. These results indicate that despite an otherwise balanced and nutritious substrate, the carbohydrate profile of organic waste should be an important consideration in BSFL treatment when ensuring process performance and larval lipid contents. The consequences of these results for BSFL treatment of real wastes are discussed. Large scale treatment facilities should formulate substrates accordingly and identify methods to mitigate the anti-nutritional effects of poor carbohydrate profiles, particularly those high in hemicelluloses and their constituents.","container-title":"Waste Management","DOI":"10.1016/j.wasman.2021.10.013","ISSN":"0956-053X","journalAbbreviation":"Waste Management","language":"en","page":"9-19","source":"ScienceDirect","title":"Understanding dietary carbohydrates in black soldier fly larvae treatment of organic waste in the circular economy","volume":"137","author":[{"family":"Cohn","given":"Zachary"},{"family":"Latty","given":"Tanya"},{"family":"Abbas","given":"Ali"}],"issued":{"date-parts":[["2022",1,1]]}}}],"schema":"https://github.com/citation-style-language/schema/raw/master/csl-citation.json"} </w:instrText>
            </w:r>
            <w:r w:rsidRPr="00981F01">
              <w:rPr>
                <w:rFonts w:ascii="Calibri" w:hAnsi="Calibri" w:cs="Times New Roman"/>
                <w:sz w:val="18"/>
                <w:szCs w:val="18"/>
              </w:rPr>
              <w:fldChar w:fldCharType="separate"/>
            </w:r>
            <w:r w:rsidR="00942782" w:rsidRPr="00942782">
              <w:rPr>
                <w:rFonts w:ascii="Calibri" w:hAnsi="Calibri" w:cs="Calibri"/>
                <w:sz w:val="18"/>
                <w:szCs w:val="24"/>
                <w:vertAlign w:val="superscript"/>
              </w:rPr>
              <w:t>75</w:t>
            </w:r>
            <w:r w:rsidRPr="00981F01">
              <w:rPr>
                <w:rFonts w:ascii="Calibri" w:hAnsi="Calibri" w:cs="Times New Roman"/>
                <w:sz w:val="18"/>
                <w:szCs w:val="18"/>
              </w:rPr>
              <w:fldChar w:fldCharType="end"/>
            </w:r>
            <w:r w:rsidRPr="00981F01">
              <w:rPr>
                <w:rFonts w:ascii="Calibri" w:hAnsi="Calibri" w:cs="Times New Roman"/>
                <w:sz w:val="18"/>
                <w:szCs w:val="18"/>
              </w:rPr>
              <w:t>; 26-54% (own review)</w:t>
            </w:r>
          </w:p>
        </w:tc>
      </w:tr>
      <w:tr w:rsidR="006458E0" w:rsidRPr="00981F01" w14:paraId="36461288" w14:textId="77777777" w:rsidTr="00981F01">
        <w:trPr>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1B958253" w14:textId="77777777" w:rsidR="006458E0" w:rsidRPr="00981F01" w:rsidRDefault="006458E0" w:rsidP="006458E0">
            <w:pPr>
              <w:rPr>
                <w:sz w:val="18"/>
                <w:szCs w:val="18"/>
              </w:rPr>
            </w:pPr>
          </w:p>
        </w:tc>
        <w:tc>
          <w:tcPr>
            <w:tcW w:w="2117" w:type="dxa"/>
          </w:tcPr>
          <w:p w14:paraId="51B55A08" w14:textId="77777777" w:rsidR="006458E0" w:rsidRPr="00981F01"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Water retention in BSF</w:t>
            </w:r>
          </w:p>
        </w:tc>
        <w:tc>
          <w:tcPr>
            <w:tcW w:w="6447" w:type="dxa"/>
            <w:gridSpan w:val="7"/>
          </w:tcPr>
          <w:p w14:paraId="354BC15E" w14:textId="58783A7B"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 xml:space="preserve">Only one measurement found: 10% </w:t>
            </w:r>
            <w:r w:rsidRPr="00981F01">
              <w:rPr>
                <w:rFonts w:ascii="Calibri" w:hAnsi="Calibri" w:cs="Times New Roman"/>
                <w:sz w:val="18"/>
                <w:szCs w:val="18"/>
              </w:rPr>
              <w:fldChar w:fldCharType="begin"/>
            </w:r>
            <w:r w:rsidR="00942782">
              <w:rPr>
                <w:rFonts w:ascii="Calibri" w:hAnsi="Calibri" w:cs="Times New Roman"/>
                <w:sz w:val="18"/>
                <w:szCs w:val="18"/>
              </w:rPr>
              <w:instrText xml:space="preserve"> ADDIN ZOTERO_ITEM CSL_CITATION {"citationID":"bJwXm7jk","properties":{"formattedCitation":"\\super 79\\nosupersub{}","plainCitation":"79","noteIndex":0},"citationItems":[{"id":2351,"uris":["http://zotero.org/users/6423791/items/GENSMZAR"],"itemData":{"id":2351,"type":"article-journal","abstract":"Black soldier fly larvae (BSFL) are acknowledged for their potential to upcycle waste biomass into animal feed, human food or biofuels. To ensure sust…","container-title":"Journal of Cleaner Production","DOI":"10.1016/j.jclepro.2020.122488","ISSN":"0959-6526","journalAbbreviation":"J. Clean. Prod.","language":"en","note":"publisher: Elsevier","page":"122488","source":"www-sciencedirect-com.gorgone.univ-toulouse.fr","title":"Bioconversion efficiencies, greenhouse gas and ammonia emissions during black soldier fly rearing – A mass balance approach","volume":"271","author":[{"family":"Parodi","given":"A."},{"family":"De Boer","given":"Imke J. M."},{"family":"Gerrits","given":"W. J. J."},{"family":"Van Loon","given":"J. J. A."},{"family":"Heetkamp","given":"M. J.W"},{"family":"Van Schelt","given":"J"},{"family":"Elizabeth Bolhuis","given":"J."},{"family":"Van Zanten","given":"H. H. E."}],"issued":{"date-parts":[["2020",10,20]]}}}],"schema":"https://github.com/citation-style-language/schema/raw/master/csl-citation.json"} </w:instrText>
            </w:r>
            <w:r w:rsidRPr="00981F01">
              <w:rPr>
                <w:rFonts w:ascii="Calibri" w:hAnsi="Calibri" w:cs="Times New Roman"/>
                <w:sz w:val="18"/>
                <w:szCs w:val="18"/>
              </w:rPr>
              <w:fldChar w:fldCharType="separate"/>
            </w:r>
            <w:r w:rsidR="00942782" w:rsidRPr="00942782">
              <w:rPr>
                <w:rFonts w:ascii="Calibri" w:hAnsi="Calibri" w:cs="Calibri"/>
                <w:sz w:val="18"/>
                <w:szCs w:val="24"/>
                <w:vertAlign w:val="superscript"/>
              </w:rPr>
              <w:t>79</w:t>
            </w:r>
            <w:r w:rsidRPr="00981F01">
              <w:rPr>
                <w:rFonts w:ascii="Calibri" w:hAnsi="Calibri" w:cs="Times New Roman"/>
                <w:sz w:val="18"/>
                <w:szCs w:val="18"/>
              </w:rPr>
              <w:fldChar w:fldCharType="end"/>
            </w:r>
          </w:p>
        </w:tc>
      </w:tr>
      <w:tr w:rsidR="006458E0" w:rsidRPr="00981F01" w14:paraId="5F5CF58D" w14:textId="77777777" w:rsidTr="00981F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3941CE03" w14:textId="77777777" w:rsidR="006458E0" w:rsidRPr="00981F01" w:rsidRDefault="006458E0" w:rsidP="006458E0">
            <w:pPr>
              <w:rPr>
                <w:sz w:val="18"/>
                <w:szCs w:val="18"/>
              </w:rPr>
            </w:pPr>
          </w:p>
        </w:tc>
        <w:tc>
          <w:tcPr>
            <w:tcW w:w="2117" w:type="dxa"/>
          </w:tcPr>
          <w:p w14:paraId="2C89246E" w14:textId="77777777" w:rsidR="006458E0" w:rsidRPr="00981F01"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Converted C</w:t>
            </w:r>
          </w:p>
        </w:tc>
        <w:tc>
          <w:tcPr>
            <w:tcW w:w="6447" w:type="dxa"/>
            <w:gridSpan w:val="7"/>
          </w:tcPr>
          <w:p w14:paraId="2447538C" w14:textId="652CF203"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 xml:space="preserve">8-20% </w:t>
            </w:r>
            <w:r w:rsidRPr="00981F01">
              <w:rPr>
                <w:rFonts w:ascii="Calibri" w:hAnsi="Calibri" w:cs="Times New Roman"/>
                <w:sz w:val="18"/>
                <w:szCs w:val="18"/>
              </w:rPr>
              <w:fldChar w:fldCharType="begin"/>
            </w:r>
            <w:r w:rsidR="00942782">
              <w:rPr>
                <w:rFonts w:ascii="Calibri" w:hAnsi="Calibri" w:cs="Times New Roman"/>
                <w:sz w:val="18"/>
                <w:szCs w:val="18"/>
              </w:rPr>
              <w:instrText xml:space="preserve"> ADDIN ZOTERO_ITEM CSL_CITATION {"citationID":"Qzee3bb5","properties":{"formattedCitation":"\\super 79,91,92\\nosupersub{}","plainCitation":"79,91,92","noteIndex":0},"citationItems":[{"id":13432,"uris":["http://zotero.org/users/6423791/items/8NV5W5QX"],"itemData":{"id":13432,"type":"article-journal","abstract":"Currently, sustainable utilisation, including recycling and valorisation, is becoming increasingly relevant in environmental management. The wastes bioconversion by the black soldier fly larva (BSFL) has two potential advantages: the larvae can convert the carbon and nitrogen in the biomass waste, and improve the properties of the substrate to reduce the loss of gaseous carbon and nitrogen. In the present study, the conversion rate of carbon, nitrogen and the emissions of greenhouse gases and NH3 during BSFL bio-treatment of food waste were investigated under different pH conditions. The results showed that the pH of the raw materials is a pivotal parameter affecting the process. The average wet weight of harvested BSFL was 13.26–95.28 mg/larva, with about 1.95–13.41% and 5.40–18.93% of recycled carbon and nitrogen from substrate at a pH from 3.0 to 11.0, respectively. Furthermore, pH is adversely correlated with CO2 emissions, but positively with NH3 emissions. Cumulative CO2, NH3, CH4 and N2O emissions at pH ranging from 3.0 to 11.0 were 88.15–161.11 g kg−1, 0.15–1.68 g kg−1, 0.19–2.62 mg kg−1 and 0.02–1.65 mg kg−1, respectively. Compared with the values in open composting, BSFL bio-treatment of food waste could lead greenhouse gas (especially CH4 and N2O) and NH3 emissions to decrease. Therefore, a higher pH value of the substrate can increase the larval output and help the mitigation of greenhouse gas emissions.","container-title":"Journal of Environmental Management","DOI":"10.1016/j.jenvman.2020.110066","ISSN":"0301-4797","journalAbbreviation":"Journal of Environmental Management","language":"en","page":"110066","source":"ScienceDirect","title":"Reducing greenhouse gas emissions and enhancing carbon and nitrogen conversion in food wastes by the black soldier fly","volume":"260","author":[{"family":"Pang","given":"Wancheng"},{"family":"Hou","given":"Dejia"},{"family":"Chen","given":"Jiangshan"},{"family":"Nowar","given":"Elhosseny E."},{"family":"Li","given":"Zongtian"},{"family":"Hu","given":"Ronggui"},{"family":"Tomberlin","given":"Jeffery K."},{"family":"Yu","given":"Ziniu"},{"family":"Li","given":"Qing"},{"family":"Wang","given":"Shucai"}],"issued":{"date-parts":[["2020",4,15]]}}},{"id":11077,"uris":["http://zotero.org/users/6423791/items/ZACVFESM"],"itemData":{"id":11077,"type":"article-journal","abstract":"There is an increased interest for using insects, such as the black soldier fly, to treat surplus manure and upcycle nutrients into the food system. Understanding the influence that BSFL have on nutrient flows and nutrient losses during manure bioconversion is key for sustainability assessments. Here we quantified and compared nutrient balances, nutrient levels in residual materials and emissions of greenhouse gases and ammonia between manure incubated with black soldier fly larvae (BSFL) and manure without BSFL, during a 9-day experimental period. We obtained high analytical recoveries, ranging between 95 and 103%. We found that of the pig manure supplied, 12.5% of dry matter (DM), 13% of carbon, 25% of nitrogen, 14% of energy, 8.5% of phosphorus and 9% of potassium was stored in BSFL body mass. When BSFL were present, more carbon dioxide (247 vs 148 g/kg of DM manure) and ammonia-nitrogen (7 vs 4.5 g/kg of DM manure) emitted than when larvae were absent. Methane, which was the main contributor to greenhouse gas emissions, was produced at the same levels (1.3 vs 1.1 g/kg of DM manure) in both treatments, indicating the main role that manure microbial methane emissions play. Nitrous oxide was negligible in both treatments. The uptake of nutrients by the larvae and the higher carbon dioxide and ammonia emissions modified the nutrient composition of the residual material substantially relative to the fresh manure. Our study provides a reliable basis to quantify the environmental impact of using BSFL in future life cycle assessments.","container-title":"Waste Management","DOI":"10.1016/j.wasman.2021.04.001","ISSN":"0956-053X","journalAbbreviation":"Waste Management","language":"en","page":"674-683","source":"ScienceDirect","title":"Black soldier fly reared on pig manure: Bioconversion efficiencies, nutrients in the residual material, greenhouse gas and ammonia emissions","title-short":"Black soldier fly reared on pig manure","volume":"126","author":[{"family":"Parodi","given":"Alejandro"},{"family":"Gerrits","given":"Walter J. J."},{"family":"Van Loon","given":"Joop J. A."},{"family":"De Boer","given":"Imke J. M."},{"family":"Aarnink","given":"André J. A."},{"family":"Van Zanten","given":"Hannah H. E."}],"issued":{"date-parts":[["2021",5,1]]}}},{"id":2351,"uris":["http://zotero.org/users/6423791/items/GENSMZAR"],"itemData":{"id":2351,"type":"article-journal","abstract":"Black soldier fly larvae (BSFL) are acknowledged for their potential to upcycle waste biomass into animal feed, human food or biofuels. To ensure sust…","container-title":"Journal of Cleaner Production","DOI":"10.1016/j.jclepro.2020.122488","ISSN":"0959-6526","journalAbbreviation":"J. Clean. Prod.","language":"en","note":"publisher: Elsevier","page":"122488","source":"www-sciencedirect-com.gorgone.univ-toulouse.fr","title":"Bioconversion efficiencies, greenhouse gas and ammonia emissions during black soldier fly rearing – A mass balance approach","volume":"271","author":[{"family":"Parodi","given":"A."},{"family":"De Boer","given":"Imke J. M."},{"family":"Gerrits","given":"W. J. J."},{"family":"Van Loon","given":"J. J. A."},{"family":"Heetkamp","given":"M. J.W"},{"family":"Van Schelt","given":"J"},{"family":"Elizabeth Bolhuis","given":"J."},{"family":"Van Zanten","given":"H. H. E."}],"issued":{"date-parts":[["2020",10,20]]}}}],"schema":"https://github.com/citation-style-language/schema/raw/master/csl-citation.json"} </w:instrText>
            </w:r>
            <w:r w:rsidRPr="00981F01">
              <w:rPr>
                <w:rFonts w:ascii="Calibri" w:hAnsi="Calibri" w:cs="Times New Roman"/>
                <w:sz w:val="18"/>
                <w:szCs w:val="18"/>
              </w:rPr>
              <w:fldChar w:fldCharType="separate"/>
            </w:r>
            <w:r w:rsidR="00942782" w:rsidRPr="00942782">
              <w:rPr>
                <w:rFonts w:ascii="Calibri" w:hAnsi="Calibri" w:cs="Calibri"/>
                <w:sz w:val="18"/>
                <w:szCs w:val="24"/>
                <w:vertAlign w:val="superscript"/>
              </w:rPr>
              <w:t>79,91,92</w:t>
            </w:r>
            <w:r w:rsidRPr="00981F01">
              <w:rPr>
                <w:rFonts w:ascii="Calibri" w:hAnsi="Calibri" w:cs="Times New Roman"/>
                <w:sz w:val="18"/>
                <w:szCs w:val="18"/>
              </w:rPr>
              <w:fldChar w:fldCharType="end"/>
            </w:r>
            <w:r w:rsidRPr="00981F01">
              <w:rPr>
                <w:rFonts w:ascii="Calibri" w:hAnsi="Calibri" w:cs="Times New Roman"/>
                <w:sz w:val="18"/>
                <w:szCs w:val="18"/>
              </w:rPr>
              <w:t xml:space="preserve">, 66% by </w:t>
            </w:r>
            <w:r w:rsidRPr="00981F01">
              <w:rPr>
                <w:rFonts w:ascii="Calibri" w:hAnsi="Calibri" w:cs="Times New Roman"/>
                <w:sz w:val="18"/>
                <w:szCs w:val="18"/>
              </w:rPr>
              <w:fldChar w:fldCharType="begin"/>
            </w:r>
            <w:r w:rsidR="00942782">
              <w:rPr>
                <w:rFonts w:ascii="Calibri" w:hAnsi="Calibri" w:cs="Times New Roman"/>
                <w:sz w:val="18"/>
                <w:szCs w:val="18"/>
              </w:rPr>
              <w:instrText xml:space="preserve"> ADDIN ZOTERO_ITEM CSL_CITATION {"citationID":"lRovq2X5","properties":{"formattedCitation":"\\super 93\\nosupersub{}","plainCitation":"93","noteIndex":0},"citationItems":[{"id":13409,"uris":["http://zotero.org/users/6423791/items/VZXIQSLD"],"itemData":{"id":13409,"type":"article-journal","abstract":"The increasing numbers of dairy farms cause massive manure production and its improper disposal poses threats to the environment. Larvae of the black soldier fly (BSF) have the potential to convert this animal manure into valuable biomass; however, the high fiber content of dairy manure (DM) makes conversion difficult. Therefore, the goal of this investigation was to evaluate the impact of co-digestion of DM with another ecologically problematic waste source: soybean curd residue (SCR). The waste sources were fed to BSF larvae using different mixing ratios. DM and SCR mixed in a ratio of 2:3 was found to result in the best outcome measures: development time (21 days), survival rate (98.4%), waste mass reduction (75.4% wet and 56.6% dry waste mass), bioconversion (11.6% on wet and 14.6% dry mass base), feed conversion ratio (6.4 wet and 4.0 dry), nutrient utilization (nitrogen, 62.1%; phosphorus, 52.9%; carbon, 66.4%), and fiber content reduction (cellulose, 64.9%; hemicellulose, 63.7%; lignin, 36.9%). Analysis of the structural changes of cellulose, hemicellulose, and lignin by scanning electron microscopy let us assume that black soldier fly larval activity did leads to structural modifications of the fibers. We assume that those alterations of surface and texture are in favour of associated bacteria and thus contribute to waste reduction and larval growth. Our results show that co-conversion of DM with soybean residues by Hermetia illucens could play a vital role in DM management.","container-title":"Journal of Cleaner Production","DOI":"10.1016/j.jclepro.2017.04.019","ISSN":"0959-6526","journalAbbreviation":"Journal of Cleaner Production","language":"en","page":"366-373","source":"ScienceDirect","title":"Conversion of mixtures of dairy manure and soybean curd residue by black soldier fly larvae (Hermetia illucens L.)","volume":"154","author":[{"family":"Rehman","given":"Kashif","dropping-particle":"ur"},{"family":"Rehman","given":"Abdul"},{"family":"Cai","given":"Minmin"},{"family":"Zheng","given":"Longyu"},{"family":"Xiao","given":"Xiaopeng"},{"family":"Somroo","given":"Abdul Aziz"},{"family":"Wang","given":"Hui"},{"family":"Li","given":"Wu"},{"family":"Yu","given":"Ziniu"},{"family":"Zhang","given":"Jibin"}],"issued":{"date-parts":[["2017",6,15]]}}}],"schema":"https://github.com/citation-style-language/schema/raw/master/csl-citation.json"} </w:instrText>
            </w:r>
            <w:r w:rsidRPr="00981F01">
              <w:rPr>
                <w:rFonts w:ascii="Calibri" w:hAnsi="Calibri" w:cs="Times New Roman"/>
                <w:sz w:val="18"/>
                <w:szCs w:val="18"/>
              </w:rPr>
              <w:fldChar w:fldCharType="separate"/>
            </w:r>
            <w:r w:rsidR="00942782" w:rsidRPr="00942782">
              <w:rPr>
                <w:rFonts w:ascii="Calibri" w:hAnsi="Calibri" w:cs="Calibri"/>
                <w:sz w:val="18"/>
                <w:szCs w:val="24"/>
                <w:vertAlign w:val="superscript"/>
              </w:rPr>
              <w:t>93</w:t>
            </w:r>
            <w:r w:rsidRPr="00981F01">
              <w:rPr>
                <w:rFonts w:ascii="Calibri" w:hAnsi="Calibri" w:cs="Times New Roman"/>
                <w:sz w:val="18"/>
                <w:szCs w:val="18"/>
              </w:rPr>
              <w:fldChar w:fldCharType="end"/>
            </w:r>
          </w:p>
        </w:tc>
      </w:tr>
      <w:tr w:rsidR="006458E0" w:rsidRPr="00981F01" w14:paraId="5CDDD493" w14:textId="77777777" w:rsidTr="00981F01">
        <w:trPr>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0C451E4F" w14:textId="77777777" w:rsidR="006458E0" w:rsidRPr="00981F01" w:rsidRDefault="006458E0" w:rsidP="006458E0">
            <w:pPr>
              <w:rPr>
                <w:sz w:val="18"/>
                <w:szCs w:val="18"/>
              </w:rPr>
            </w:pPr>
          </w:p>
        </w:tc>
        <w:tc>
          <w:tcPr>
            <w:tcW w:w="2117" w:type="dxa"/>
          </w:tcPr>
          <w:p w14:paraId="52A86862" w14:textId="77777777" w:rsidR="006458E0" w:rsidRPr="00981F01"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Converted P</w:t>
            </w:r>
          </w:p>
        </w:tc>
        <w:tc>
          <w:tcPr>
            <w:tcW w:w="6447" w:type="dxa"/>
            <w:gridSpan w:val="7"/>
          </w:tcPr>
          <w:p w14:paraId="21B94D79" w14:textId="76DB535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 xml:space="preserve">Only two values found: 28% </w:t>
            </w:r>
            <w:r w:rsidRPr="00981F01">
              <w:rPr>
                <w:rFonts w:ascii="Calibri" w:hAnsi="Calibri" w:cs="Times New Roman"/>
                <w:sz w:val="18"/>
                <w:szCs w:val="18"/>
              </w:rPr>
              <w:fldChar w:fldCharType="begin"/>
            </w:r>
            <w:r w:rsidR="00942782">
              <w:rPr>
                <w:rFonts w:ascii="Calibri" w:hAnsi="Calibri" w:cs="Times New Roman"/>
                <w:sz w:val="18"/>
                <w:szCs w:val="18"/>
              </w:rPr>
              <w:instrText xml:space="preserve"> ADDIN ZOTERO_ITEM CSL_CITATION {"citationID":"6RIxMVhE","properties":{"formattedCitation":"\\super 79\\nosupersub{}","plainCitation":"79","noteIndex":0},"citationItems":[{"id":2351,"uris":["http://zotero.org/users/6423791/items/GENSMZAR"],"itemData":{"id":2351,"type":"article-journal","abstract":"Black soldier fly larvae (BSFL) are acknowledged for their potential to upcycle waste biomass into animal feed, human food or biofuels. To ensure sust…","container-title":"Journal of Cleaner Production","DOI":"10.1016/j.jclepro.2020.122488","ISSN":"0959-6526","journalAbbreviation":"J. Clean. Prod.","language":"en","note":"publisher: Elsevier","page":"122488","source":"www-sciencedirect-com.gorgone.univ-toulouse.fr","title":"Bioconversion efficiencies, greenhouse gas and ammonia emissions during black soldier fly rearing – A mass balance approach","volume":"271","author":[{"family":"Parodi","given":"A."},{"family":"De Boer","given":"Imke J. M."},{"family":"Gerrits","given":"W. J. J."},{"family":"Van Loon","given":"J. J. A."},{"family":"Heetkamp","given":"M. J.W"},{"family":"Van Schelt","given":"J"},{"family":"Elizabeth Bolhuis","given":"J."},{"family":"Van Zanten","given":"H. H. E."}],"issued":{"date-parts":[["2020",10,20]]}}}],"schema":"https://github.com/citation-style-language/schema/raw/master/csl-citation.json"} </w:instrText>
            </w:r>
            <w:r w:rsidRPr="00981F01">
              <w:rPr>
                <w:rFonts w:ascii="Calibri" w:hAnsi="Calibri" w:cs="Times New Roman"/>
                <w:sz w:val="18"/>
                <w:szCs w:val="18"/>
              </w:rPr>
              <w:fldChar w:fldCharType="separate"/>
            </w:r>
            <w:r w:rsidR="00942782" w:rsidRPr="00942782">
              <w:rPr>
                <w:rFonts w:ascii="Calibri" w:hAnsi="Calibri" w:cs="Calibri"/>
                <w:sz w:val="18"/>
                <w:szCs w:val="24"/>
                <w:vertAlign w:val="superscript"/>
              </w:rPr>
              <w:t>79</w:t>
            </w:r>
            <w:r w:rsidRPr="00981F01">
              <w:rPr>
                <w:rFonts w:ascii="Calibri" w:hAnsi="Calibri" w:cs="Times New Roman"/>
                <w:sz w:val="18"/>
                <w:szCs w:val="18"/>
              </w:rPr>
              <w:fldChar w:fldCharType="end"/>
            </w:r>
            <w:r w:rsidRPr="00981F01">
              <w:rPr>
                <w:rFonts w:ascii="Calibri" w:hAnsi="Calibri" w:cs="Times New Roman"/>
                <w:sz w:val="18"/>
                <w:szCs w:val="18"/>
              </w:rPr>
              <w:t xml:space="preserve"> and 53% </w:t>
            </w:r>
            <w:r w:rsidRPr="00981F01">
              <w:rPr>
                <w:rFonts w:ascii="Calibri" w:hAnsi="Calibri" w:cs="Times New Roman"/>
                <w:sz w:val="18"/>
                <w:szCs w:val="18"/>
              </w:rPr>
              <w:fldChar w:fldCharType="begin"/>
            </w:r>
            <w:r w:rsidR="00942782">
              <w:rPr>
                <w:rFonts w:ascii="Calibri" w:hAnsi="Calibri" w:cs="Times New Roman"/>
                <w:sz w:val="18"/>
                <w:szCs w:val="18"/>
              </w:rPr>
              <w:instrText xml:space="preserve"> ADDIN ZOTERO_ITEM CSL_CITATION {"citationID":"4ptuWD7r","properties":{"formattedCitation":"\\super 93\\nosupersub{}","plainCitation":"93","noteIndex":0},"citationItems":[{"id":13409,"uris":["http://zotero.org/users/6423791/items/VZXIQSLD"],"itemData":{"id":13409,"type":"article-journal","abstract":"The increasing numbers of dairy farms cause massive manure production and its improper disposal poses threats to the environment. Larvae of the black soldier fly (BSF) have the potential to convert this animal manure into valuable biomass; however, the high fiber content of dairy manure (DM) makes conversion difficult. Therefore, the goal of this investigation was to evaluate the impact of co-digestion of DM with another ecologically problematic waste source: soybean curd residue (SCR). The waste sources were fed to BSF larvae using different mixing ratios. DM and SCR mixed in a ratio of 2:3 was found to result in the best outcome measures: development time (21 days), survival rate (98.4%), waste mass reduction (75.4% wet and 56.6% dry waste mass), bioconversion (11.6% on wet and 14.6% dry mass base), feed conversion ratio (6.4 wet and 4.0 dry), nutrient utilization (nitrogen, 62.1%; phosphorus, 52.9%; carbon, 66.4%), and fiber content reduction (cellulose, 64.9%; hemicellulose, 63.7%; lignin, 36.9%). Analysis of the structural changes of cellulose, hemicellulose, and lignin by scanning electron microscopy let us assume that black soldier fly larval activity did leads to structural modifications of the fibers. We assume that those alterations of surface and texture are in favour of associated bacteria and thus contribute to waste reduction and larval growth. Our results show that co-conversion of DM with soybean residues by Hermetia illucens could play a vital role in DM management.","container-title":"Journal of Cleaner Production","DOI":"10.1016/j.jclepro.2017.04.019","ISSN":"0959-6526","journalAbbreviation":"Journal of Cleaner Production","language":"en","page":"366-373","source":"ScienceDirect","title":"Conversion of mixtures of dairy manure and soybean curd residue by black soldier fly larvae (Hermetia illucens L.)","volume":"154","author":[{"family":"Rehman","given":"Kashif","dropping-particle":"ur"},{"family":"Rehman","given":"Abdul"},{"family":"Cai","given":"Minmin"},{"family":"Zheng","given":"Longyu"},{"family":"Xiao","given":"Xiaopeng"},{"family":"Somroo","given":"Abdul Aziz"},{"family":"Wang","given":"Hui"},{"family":"Li","given":"Wu"},{"family":"Yu","given":"Ziniu"},{"family":"Zhang","given":"Jibin"}],"issued":{"date-parts":[["2017",6,15]]}}}],"schema":"https://github.com/citation-style-language/schema/raw/master/csl-citation.json"} </w:instrText>
            </w:r>
            <w:r w:rsidRPr="00981F01">
              <w:rPr>
                <w:rFonts w:ascii="Calibri" w:hAnsi="Calibri" w:cs="Times New Roman"/>
                <w:sz w:val="18"/>
                <w:szCs w:val="18"/>
              </w:rPr>
              <w:fldChar w:fldCharType="separate"/>
            </w:r>
            <w:r w:rsidR="00942782" w:rsidRPr="00942782">
              <w:rPr>
                <w:rFonts w:ascii="Calibri" w:hAnsi="Calibri" w:cs="Calibri"/>
                <w:sz w:val="18"/>
                <w:szCs w:val="24"/>
                <w:vertAlign w:val="superscript"/>
              </w:rPr>
              <w:t>93</w:t>
            </w:r>
            <w:r w:rsidRPr="00981F01">
              <w:rPr>
                <w:rFonts w:ascii="Calibri" w:hAnsi="Calibri" w:cs="Times New Roman"/>
                <w:sz w:val="18"/>
                <w:szCs w:val="18"/>
              </w:rPr>
              <w:fldChar w:fldCharType="end"/>
            </w:r>
          </w:p>
        </w:tc>
      </w:tr>
      <w:tr w:rsidR="006458E0" w:rsidRPr="00981F01" w14:paraId="3C5D7C94" w14:textId="77777777" w:rsidTr="00981F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4530FF64" w14:textId="77777777" w:rsidR="006458E0" w:rsidRPr="00981F01" w:rsidRDefault="006458E0" w:rsidP="006458E0">
            <w:pPr>
              <w:rPr>
                <w:sz w:val="18"/>
                <w:szCs w:val="18"/>
              </w:rPr>
            </w:pPr>
          </w:p>
        </w:tc>
        <w:tc>
          <w:tcPr>
            <w:tcW w:w="2117" w:type="dxa"/>
          </w:tcPr>
          <w:p w14:paraId="03C28011" w14:textId="77777777" w:rsidR="006458E0" w:rsidRPr="00981F01"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Converted K</w:t>
            </w:r>
          </w:p>
        </w:tc>
        <w:tc>
          <w:tcPr>
            <w:tcW w:w="6447" w:type="dxa"/>
            <w:gridSpan w:val="7"/>
          </w:tcPr>
          <w:p w14:paraId="57B7AC65" w14:textId="272E809E"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 xml:space="preserve">Only two values found: 14% </w:t>
            </w:r>
            <w:r w:rsidRPr="00981F01">
              <w:rPr>
                <w:rFonts w:ascii="Calibri" w:hAnsi="Calibri" w:cs="Times New Roman"/>
                <w:sz w:val="18"/>
                <w:szCs w:val="18"/>
              </w:rPr>
              <w:fldChar w:fldCharType="begin"/>
            </w:r>
            <w:r w:rsidR="00942782">
              <w:rPr>
                <w:rFonts w:ascii="Calibri" w:hAnsi="Calibri" w:cs="Times New Roman"/>
                <w:sz w:val="18"/>
                <w:szCs w:val="18"/>
              </w:rPr>
              <w:instrText xml:space="preserve"> ADDIN ZOTERO_ITEM CSL_CITATION {"citationID":"NNhBSyQt","properties":{"formattedCitation":"\\super 79\\nosupersub{}","plainCitation":"79","noteIndex":0},"citationItems":[{"id":2351,"uris":["http://zotero.org/users/6423791/items/GENSMZAR"],"itemData":{"id":2351,"type":"article-journal","abstract":"Black soldier fly larvae (BSFL) are acknowledged for their potential to upcycle waste biomass into animal feed, human food or biofuels. To ensure sust…","container-title":"Journal of Cleaner Production","DOI":"10.1016/j.jclepro.2020.122488","ISSN":"0959-6526","journalAbbreviation":"J. Clean. Prod.","language":"en","note":"publisher: Elsevier","page":"122488","source":"www-sciencedirect-com.gorgone.univ-toulouse.fr","title":"Bioconversion efficiencies, greenhouse gas and ammonia emissions during black soldier fly rearing – A mass balance approach","volume":"271","author":[{"family":"Parodi","given":"A."},{"family":"De Boer","given":"Imke J. M."},{"family":"Gerrits","given":"W. J. J."},{"family":"Van Loon","given":"J. J. A."},{"family":"Heetkamp","given":"M. J.W"},{"family":"Van Schelt","given":"J"},{"family":"Elizabeth Bolhuis","given":"J."},{"family":"Van Zanten","given":"H. H. E."}],"issued":{"date-parts":[["2020",10,20]]}}}],"schema":"https://github.com/citation-style-language/schema/raw/master/csl-citation.json"} </w:instrText>
            </w:r>
            <w:r w:rsidRPr="00981F01">
              <w:rPr>
                <w:rFonts w:ascii="Calibri" w:hAnsi="Calibri" w:cs="Times New Roman"/>
                <w:sz w:val="18"/>
                <w:szCs w:val="18"/>
              </w:rPr>
              <w:fldChar w:fldCharType="separate"/>
            </w:r>
            <w:r w:rsidR="00942782" w:rsidRPr="00942782">
              <w:rPr>
                <w:rFonts w:ascii="Calibri" w:hAnsi="Calibri" w:cs="Calibri"/>
                <w:sz w:val="18"/>
                <w:szCs w:val="24"/>
                <w:vertAlign w:val="superscript"/>
              </w:rPr>
              <w:t>79</w:t>
            </w:r>
            <w:r w:rsidRPr="00981F01">
              <w:rPr>
                <w:rFonts w:ascii="Calibri" w:hAnsi="Calibri" w:cs="Times New Roman"/>
                <w:sz w:val="18"/>
                <w:szCs w:val="18"/>
              </w:rPr>
              <w:fldChar w:fldCharType="end"/>
            </w:r>
            <w:r w:rsidRPr="00981F01">
              <w:rPr>
                <w:rFonts w:ascii="Calibri" w:hAnsi="Calibri" w:cs="Times New Roman"/>
                <w:sz w:val="18"/>
                <w:szCs w:val="18"/>
              </w:rPr>
              <w:t xml:space="preserve"> and 9% </w:t>
            </w:r>
            <w:r w:rsidRPr="00981F01">
              <w:rPr>
                <w:rFonts w:ascii="Calibri" w:hAnsi="Calibri" w:cs="Times New Roman"/>
                <w:sz w:val="18"/>
                <w:szCs w:val="18"/>
              </w:rPr>
              <w:fldChar w:fldCharType="begin"/>
            </w:r>
            <w:r w:rsidR="00942782">
              <w:rPr>
                <w:rFonts w:ascii="Calibri" w:hAnsi="Calibri" w:cs="Times New Roman"/>
                <w:sz w:val="18"/>
                <w:szCs w:val="18"/>
              </w:rPr>
              <w:instrText xml:space="preserve"> ADDIN ZOTERO_ITEM CSL_CITATION {"citationID":"RxphGEST","properties":{"formattedCitation":"\\super 92\\nosupersub{}","plainCitation":"92","noteIndex":0},"citationItems":[{"id":11077,"uris":["http://zotero.org/users/6423791/items/ZACVFESM"],"itemData":{"id":11077,"type":"article-journal","abstract":"There is an increased interest for using insects, such as the black soldier fly, to treat surplus manure and upcycle nutrients into the food system. Understanding the influence that BSFL have on nutrient flows and nutrient losses during manure bioconversion is key for sustainability assessments. Here we quantified and compared nutrient balances, nutrient levels in residual materials and emissions of greenhouse gases and ammonia between manure incubated with black soldier fly larvae (BSFL) and manure without BSFL, during a 9-day experimental period. We obtained high analytical recoveries, ranging between 95 and 103%. We found that of the pig manure supplied, 12.5% of dry matter (DM), 13% of carbon, 25% of nitrogen, 14% of energy, 8.5% of phosphorus and 9% of potassium was stored in BSFL body mass. When BSFL were present, more carbon dioxide (247 vs 148 g/kg of DM manure) and ammonia-nitrogen (7 vs 4.5 g/kg of DM manure) emitted than when larvae were absent. Methane, which was the main contributor to greenhouse gas emissions, was produced at the same levels (1.3 vs 1.1 g/kg of DM manure) in both treatments, indicating the main role that manure microbial methane emissions play. Nitrous oxide was negligible in both treatments. The uptake of nutrients by the larvae and the higher carbon dioxide and ammonia emissions modified the nutrient composition of the residual material substantially relative to the fresh manure. Our study provides a reliable basis to quantify the environmental impact of using BSFL in future life cycle assessments.","container-title":"Waste Management","DOI":"10.1016/j.wasman.2021.04.001","ISSN":"0956-053X","journalAbbreviation":"Waste Management","language":"en","page":"674-683","source":"ScienceDirect","title":"Black soldier fly reared on pig manure: Bioconversion efficiencies, nutrients in the residual material, greenhouse gas and ammonia emissions","title-short":"Black soldier fly reared on pig manure","volume":"126","author":[{"family":"Parodi","given":"Alejandro"},{"family":"Gerrits","given":"Walter J. J."},{"family":"Van Loon","given":"Joop J. A."},{"family":"De Boer","given":"Imke J. M."},{"family":"Aarnink","given":"André J. A."},{"family":"Van Zanten","given":"Hannah H. E."}],"issued":{"date-parts":[["2021",5,1]]}}}],"schema":"https://github.com/citation-style-language/schema/raw/master/csl-citation.json"} </w:instrText>
            </w:r>
            <w:r w:rsidRPr="00981F01">
              <w:rPr>
                <w:rFonts w:ascii="Calibri" w:hAnsi="Calibri" w:cs="Times New Roman"/>
                <w:sz w:val="18"/>
                <w:szCs w:val="18"/>
              </w:rPr>
              <w:fldChar w:fldCharType="separate"/>
            </w:r>
            <w:r w:rsidR="00942782" w:rsidRPr="00942782">
              <w:rPr>
                <w:rFonts w:ascii="Calibri" w:hAnsi="Calibri" w:cs="Calibri"/>
                <w:sz w:val="18"/>
                <w:szCs w:val="24"/>
                <w:vertAlign w:val="superscript"/>
              </w:rPr>
              <w:t>92</w:t>
            </w:r>
            <w:r w:rsidRPr="00981F01">
              <w:rPr>
                <w:rFonts w:ascii="Calibri" w:hAnsi="Calibri" w:cs="Times New Roman"/>
                <w:sz w:val="18"/>
                <w:szCs w:val="18"/>
              </w:rPr>
              <w:fldChar w:fldCharType="end"/>
            </w:r>
          </w:p>
        </w:tc>
      </w:tr>
      <w:tr w:rsidR="006458E0" w:rsidRPr="00981F01" w14:paraId="7F0FDBA7" w14:textId="77777777" w:rsidTr="00981F01">
        <w:trPr>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69810418" w14:textId="77777777" w:rsidR="006458E0" w:rsidRPr="00981F01" w:rsidRDefault="006458E0" w:rsidP="006458E0">
            <w:pPr>
              <w:rPr>
                <w:sz w:val="18"/>
                <w:szCs w:val="18"/>
              </w:rPr>
            </w:pPr>
          </w:p>
        </w:tc>
        <w:tc>
          <w:tcPr>
            <w:tcW w:w="2117" w:type="dxa"/>
          </w:tcPr>
          <w:p w14:paraId="1586EDC1" w14:textId="77777777" w:rsidR="006458E0" w:rsidRPr="00981F01"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Total C emitted as CO</w:t>
            </w:r>
            <w:r w:rsidRPr="00981F01">
              <w:rPr>
                <w:rFonts w:ascii="Calibri" w:hAnsi="Calibri" w:cs="Times New Roman"/>
                <w:sz w:val="18"/>
                <w:szCs w:val="18"/>
                <w:vertAlign w:val="subscript"/>
              </w:rPr>
              <w:t>2</w:t>
            </w:r>
          </w:p>
        </w:tc>
        <w:tc>
          <w:tcPr>
            <w:tcW w:w="6447" w:type="dxa"/>
            <w:gridSpan w:val="7"/>
          </w:tcPr>
          <w:p w14:paraId="745BC134" w14:textId="08EC7D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 xml:space="preserve">9-13% </w:t>
            </w:r>
            <w:r w:rsidRPr="00981F01">
              <w:rPr>
                <w:rFonts w:ascii="Calibri" w:hAnsi="Calibri" w:cs="Times New Roman"/>
                <w:sz w:val="18"/>
                <w:szCs w:val="18"/>
              </w:rPr>
              <w:fldChar w:fldCharType="begin"/>
            </w:r>
            <w:r w:rsidR="00942782">
              <w:rPr>
                <w:rFonts w:ascii="Calibri" w:hAnsi="Calibri" w:cs="Times New Roman"/>
                <w:sz w:val="18"/>
                <w:szCs w:val="18"/>
              </w:rPr>
              <w:instrText xml:space="preserve"> ADDIN ZOTERO_ITEM CSL_CITATION {"citationID":"7t5ErfC0","properties":{"formattedCitation":"\\super 94\\nosupersub{}","plainCitation":"94","noteIndex":0},"citationItems":[{"id":13392,"uris":["http://zotero.org/users/6423791/items/DJH9KDQ4"],"itemData":{"id":13392,"type":"article-journal","abstract":"Substrate moisture content is an important but not well-understood variable in production and waste reduction processes that involves black soldier fly (BSF) larvae. The purpose of this paper is to characterise growth and metabolic performance of BSF larvae on substrate moisture contents from 45 to 85%. Larvae developed into prepupae only at 45–75% substrate moisture content. Within this interval, the maximal specific growth rate was highest (0.73 day−1), the growth period shortest (13 days), and the maximal dry weight lowest (88 mg) at 45% moisture content. Differences in cost of growth and maintenance were not observed at the different substrate moisture contents, and differences in larval performance were likely associated to differences in co-occurring microbial activities. As much as 22% of the substrate carbon was emitted as CO2 at 45% moisture content by microorganisms, measured as the difference between total respiration and larval respiration, whereas microbial CO2 production amounted to only 3% of the substrate carbon at 75% moisture content. As consequence of the high specific growth rate and short growth phase, the overall net growth efficiency was higher at 45% moisture content (0.62) than at 75% moisture content (0.52). Overall, the metabolic performance of the BSF larvae was insensitive to differences in substrate moisture content. Their performance was, however indirectly affected by the substrate moisture content due to differences in co-occurring microbial processes in the substrate.","container-title":"Waste Management","DOI":"10.1016/j.wasman.2021.04.028","ISSN":"0956-053X","journalAbbreviation":"Waste Management","language":"en","page":"73-79","source":"ScienceDirect","title":"Impact of substrate moisture content on growth and metabolic performance of black soldier fly larvae","volume":"127","author":[{"family":"Bekker","given":"Nicolai Sundgaard"},{"family":"Heidelbach","given":"Søren"},{"family":"Vestergaard","given":"Sofie Zacho"},{"family":"Nielsen","given":"Morten Eneberg"},{"family":"Riisgaard-Jensen","given":"Marie"},{"family":"Zeuner","given":"Emil Juel"},{"family":"Bahrndorff","given":"Simon"},{"family":"Eriksen","given":"Niels Thomas"}],"issued":{"date-parts":[["2021",5,15]]}}}],"schema":"https://github.com/citation-style-language/schema/raw/master/csl-citation.json"} </w:instrText>
            </w:r>
            <w:r w:rsidRPr="00981F01">
              <w:rPr>
                <w:rFonts w:ascii="Calibri" w:hAnsi="Calibri" w:cs="Times New Roman"/>
                <w:sz w:val="18"/>
                <w:szCs w:val="18"/>
              </w:rPr>
              <w:fldChar w:fldCharType="separate"/>
            </w:r>
            <w:r w:rsidR="00942782" w:rsidRPr="00942782">
              <w:rPr>
                <w:rFonts w:ascii="Calibri" w:hAnsi="Calibri" w:cs="Calibri"/>
                <w:sz w:val="18"/>
                <w:szCs w:val="24"/>
                <w:vertAlign w:val="superscript"/>
              </w:rPr>
              <w:t>94</w:t>
            </w:r>
            <w:r w:rsidRPr="00981F01">
              <w:rPr>
                <w:rFonts w:ascii="Calibri" w:hAnsi="Calibri" w:cs="Times New Roman"/>
                <w:sz w:val="18"/>
                <w:szCs w:val="18"/>
              </w:rPr>
              <w:fldChar w:fldCharType="end"/>
            </w:r>
            <w:r w:rsidRPr="00981F01">
              <w:rPr>
                <w:rFonts w:ascii="Calibri" w:hAnsi="Calibri" w:cs="Times New Roman"/>
                <w:sz w:val="18"/>
                <w:szCs w:val="18"/>
              </w:rPr>
              <w:t xml:space="preserve">; 24% </w:t>
            </w:r>
            <w:r w:rsidRPr="00981F01">
              <w:rPr>
                <w:rFonts w:ascii="Calibri" w:hAnsi="Calibri" w:cs="Times New Roman"/>
                <w:sz w:val="18"/>
                <w:szCs w:val="18"/>
              </w:rPr>
              <w:fldChar w:fldCharType="begin"/>
            </w:r>
            <w:r w:rsidR="00942782">
              <w:rPr>
                <w:rFonts w:ascii="Calibri" w:hAnsi="Calibri" w:cs="Times New Roman"/>
                <w:sz w:val="18"/>
                <w:szCs w:val="18"/>
              </w:rPr>
              <w:instrText xml:space="preserve"> ADDIN ZOTERO_ITEM CSL_CITATION {"citationID":"GH8dnHle","properties":{"formattedCitation":"\\super 79\\nosupersub{}","plainCitation":"79","noteIndex":0},"citationItems":[{"id":2351,"uris":["http://zotero.org/users/6423791/items/GENSMZAR"],"itemData":{"id":2351,"type":"article-journal","abstract":"Black soldier fly larvae (BSFL) are acknowledged for their potential to upcycle waste biomass into animal feed, human food or biofuels. To ensure sust…","container-title":"Journal of Cleaner Production","DOI":"10.1016/j.jclepro.2020.122488","ISSN":"0959-6526","journalAbbreviation":"J. Clean. Prod.","language":"en","note":"publisher: Elsevier","page":"122488","source":"www-sciencedirect-com.gorgone.univ-toulouse.fr","title":"Bioconversion efficiencies, greenhouse gas and ammonia emissions during black soldier fly rearing – A mass balance approach","volume":"271","author":[{"family":"Parodi","given":"A."},{"family":"De Boer","given":"Imke J. M."},{"family":"Gerrits","given":"W. J. J."},{"family":"Van Loon","given":"J. J. A."},{"family":"Heetkamp","given":"M. J.W"},{"family":"Van Schelt","given":"J"},{"family":"Elizabeth Bolhuis","given":"J."},{"family":"Van Zanten","given":"H. H. E."}],"issued":{"date-parts":[["2020",10,20]]}}}],"schema":"https://github.com/citation-style-language/schema/raw/master/csl-citation.json"} </w:instrText>
            </w:r>
            <w:r w:rsidRPr="00981F01">
              <w:rPr>
                <w:rFonts w:ascii="Calibri" w:hAnsi="Calibri" w:cs="Times New Roman"/>
                <w:sz w:val="18"/>
                <w:szCs w:val="18"/>
              </w:rPr>
              <w:fldChar w:fldCharType="separate"/>
            </w:r>
            <w:r w:rsidR="00942782" w:rsidRPr="00942782">
              <w:rPr>
                <w:rFonts w:ascii="Calibri" w:hAnsi="Calibri" w:cs="Calibri"/>
                <w:sz w:val="18"/>
                <w:szCs w:val="24"/>
                <w:vertAlign w:val="superscript"/>
              </w:rPr>
              <w:t>79</w:t>
            </w:r>
            <w:r w:rsidRPr="00981F01">
              <w:rPr>
                <w:rFonts w:ascii="Calibri" w:hAnsi="Calibri" w:cs="Times New Roman"/>
                <w:sz w:val="18"/>
                <w:szCs w:val="18"/>
              </w:rPr>
              <w:fldChar w:fldCharType="end"/>
            </w:r>
            <w:r w:rsidRPr="00981F01">
              <w:rPr>
                <w:rFonts w:ascii="Calibri" w:hAnsi="Calibri" w:cs="Times New Roman"/>
                <w:sz w:val="18"/>
                <w:szCs w:val="18"/>
              </w:rPr>
              <w:t xml:space="preserve">; 37-62% </w:t>
            </w:r>
            <w:r w:rsidRPr="00981F01">
              <w:rPr>
                <w:rFonts w:ascii="Calibri" w:hAnsi="Calibri" w:cs="Times New Roman"/>
                <w:sz w:val="18"/>
                <w:szCs w:val="18"/>
              </w:rPr>
              <w:fldChar w:fldCharType="begin"/>
            </w:r>
            <w:r w:rsidR="00827449">
              <w:rPr>
                <w:rFonts w:ascii="Calibri" w:hAnsi="Calibri" w:cs="Times New Roman"/>
                <w:sz w:val="18"/>
                <w:szCs w:val="18"/>
              </w:rPr>
              <w:instrText xml:space="preserve"> ADDIN ZOTERO_ITEM CSL_CITATION {"citationID":"Ni8k11hc","properties":{"formattedCitation":"\\super 77\\nosupersub{}","plainCitation":"77","noteIndex":0},"citationItems":[{"id":3227,"uris":["http://zotero.org/users/6423791/items/Y3LCJLWA"],"itemData":{"id":3227,"type":"article-journal","abstract":"This study provided a systematic analysis on material flow and environmental impacts of a food waste (FW) bioconversion plant using black soldier fly larvae (BSFL), with a daily capacity of 15 tons of FW (wet weight). Food waste feed (FWF) used for BSFL bioconversion consisted of 80% FW (collected from households, restaurants, and canteens) and 20% rice hull powder. Material flow analysis conducted on a dry weight basis showed that 6% of FWF was transformed into BSF pre-pupae, 51% was stored in matured compost, and 43% was emitted to the air. Emissions of high environmental concern such as methane, nitrous oxide and ammonia (NH3) were sampled and quantified by laboratory analysis. The life cycle assessment revealed that the overall impact was 17.36 kg CO2-eq/t FW for global warming potential, 5.54 kg SO2-eq/t FW for acidification, 24.05 mol N-eq/t FW for terrestrial eutrophication, 0.54 kg N-eq NH3/t FW for marine eutrophication, and 0.18 kg PM2.5-eq/t FW of particulate matter up to 2.5 μm diameter. Moreover, emissions from post-composting, energy consumptions of drying and chemical fertilizer substitution ratio were detected by contribution analysis as the main contributors to those impacts. Finally, sensitivity analysis indicated that the substitution ratio of mineral fertilizer and protein feed as well as energy consumption were the most influential parameters, therefore control of the post-composting process of residual material should be closely monitored because it was responsible for significant environmental load caused by N-related emissions.","container-title":"Science of The Total Environment","DOI":"10.1016/j.scitotenv.2020.141656","ISSN":"0048-9697","journalAbbreviation":"Sci. Total Environ.","language":"en","page":"141656","source":"ScienceDirect","title":"Material flow analysis and life cycle assessment of food waste bioconversion by black soldier fly larvae (Hermetia illucens L.)","volume":"750","author":[{"family":"Guo","given":"Hanwen"},{"family":"Jiang","given":"Chengliang"},{"family":"Zhang","given":"Zhijian"},{"family":"Lu","given":"Wenjing"},{"family":"Wang","given":"Hongtao"}],"issued":{"date-parts":[["2021",1,1]]}}}],"schema":"https://github.com/citation-style-language/schema/raw/master/csl-citation.json"} </w:instrText>
            </w:r>
            <w:r w:rsidRPr="00981F01">
              <w:rPr>
                <w:rFonts w:ascii="Calibri" w:hAnsi="Calibri" w:cs="Times New Roman"/>
                <w:sz w:val="18"/>
                <w:szCs w:val="18"/>
              </w:rPr>
              <w:fldChar w:fldCharType="separate"/>
            </w:r>
            <w:r w:rsidR="00942782" w:rsidRPr="00942782">
              <w:rPr>
                <w:rFonts w:ascii="Calibri" w:hAnsi="Calibri" w:cs="Calibri"/>
                <w:sz w:val="18"/>
                <w:szCs w:val="24"/>
                <w:vertAlign w:val="superscript"/>
              </w:rPr>
              <w:t>77</w:t>
            </w:r>
            <w:r w:rsidRPr="00981F01">
              <w:rPr>
                <w:rFonts w:ascii="Calibri" w:hAnsi="Calibri" w:cs="Times New Roman"/>
                <w:sz w:val="18"/>
                <w:szCs w:val="18"/>
              </w:rPr>
              <w:fldChar w:fldCharType="end"/>
            </w:r>
          </w:p>
        </w:tc>
      </w:tr>
      <w:tr w:rsidR="006458E0" w:rsidRPr="00981F01" w14:paraId="36F98522" w14:textId="77777777" w:rsidTr="00981F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1E6A87F0" w14:textId="77777777" w:rsidR="006458E0" w:rsidRPr="00981F01" w:rsidRDefault="006458E0" w:rsidP="006458E0">
            <w:pPr>
              <w:rPr>
                <w:sz w:val="18"/>
                <w:szCs w:val="18"/>
              </w:rPr>
            </w:pPr>
          </w:p>
        </w:tc>
        <w:tc>
          <w:tcPr>
            <w:tcW w:w="2117" w:type="dxa"/>
          </w:tcPr>
          <w:p w14:paraId="77EDB5CF" w14:textId="77777777" w:rsidR="006458E0" w:rsidRPr="00981F01"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Total water evaporated</w:t>
            </w:r>
          </w:p>
        </w:tc>
        <w:tc>
          <w:tcPr>
            <w:tcW w:w="6447" w:type="dxa"/>
            <w:gridSpan w:val="7"/>
          </w:tcPr>
          <w:p w14:paraId="7564CC2B" w14:textId="575D28A8"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 xml:space="preserve">Only two values: 67% </w:t>
            </w:r>
            <w:r w:rsidRPr="00981F01">
              <w:rPr>
                <w:rFonts w:ascii="Calibri" w:hAnsi="Calibri" w:cs="Times New Roman"/>
                <w:sz w:val="18"/>
                <w:szCs w:val="18"/>
              </w:rPr>
              <w:fldChar w:fldCharType="begin"/>
            </w:r>
            <w:r w:rsidR="00827449">
              <w:rPr>
                <w:rFonts w:ascii="Calibri" w:hAnsi="Calibri" w:cs="Times New Roman"/>
                <w:sz w:val="18"/>
                <w:szCs w:val="18"/>
              </w:rPr>
              <w:instrText xml:space="preserve"> ADDIN ZOTERO_ITEM CSL_CITATION {"citationID":"4MUIJbv0","properties":{"formattedCitation":"\\super 77\\nosupersub{}","plainCitation":"77","noteIndex":0},"citationItems":[{"id":3227,"uris":["http://zotero.org/users/6423791/items/Y3LCJLWA"],"itemData":{"id":3227,"type":"article-journal","abstract":"This study provided a systematic analysis on material flow and environmental impacts of a food waste (FW) bioconversion plant using black soldier fly larvae (BSFL), with a daily capacity of 15 tons of FW (wet weight). Food waste feed (FWF) used for BSFL bioconversion consisted of 80% FW (collected from households, restaurants, and canteens) and 20% rice hull powder. Material flow analysis conducted on a dry weight basis showed that 6% of FWF was transformed into BSF pre-pupae, 51% was stored in matured compost, and 43% was emitted to the air. Emissions of high environmental concern such as methane, nitrous oxide and ammonia (NH3) were sampled and quantified by laboratory analysis. The life cycle assessment revealed that the overall impact was 17.36 kg CO2-eq/t FW for global warming potential, 5.54 kg SO2-eq/t FW for acidification, 24.05 mol N-eq/t FW for terrestrial eutrophication, 0.54 kg N-eq NH3/t FW for marine eutrophication, and 0.18 kg PM2.5-eq/t FW of particulate matter up to 2.5 μm diameter. Moreover, emissions from post-composting, energy consumptions of drying and chemical fertilizer substitution ratio were detected by contribution analysis as the main contributors to those impacts. Finally, sensitivity analysis indicated that the substitution ratio of mineral fertilizer and protein feed as well as energy consumption were the most influential parameters, therefore control of the post-composting process of residual material should be closely monitored because it was responsible for significant environmental load caused by N-related emissions.","container-title":"Science of The Total Environment","DOI":"10.1016/j.scitotenv.2020.141656","ISSN":"0048-9697","journalAbbreviation":"Sci. Total Environ.","language":"en","page":"141656","source":"ScienceDirect","title":"Material flow analysis and life cycle assessment of food waste bioconversion by black soldier fly larvae (Hermetia illucens L.)","volume":"750","author":[{"family":"Guo","given":"Hanwen"},{"family":"Jiang","given":"Chengliang"},{"family":"Zhang","given":"Zhijian"},{"family":"Lu","given":"Wenjing"},{"family":"Wang","given":"Hongtao"}],"issued":{"date-parts":[["2021",1,1]]}}}],"schema":"https://github.com/citation-style-language/schema/raw/master/csl-citation.json"} </w:instrText>
            </w:r>
            <w:r w:rsidRPr="00981F01">
              <w:rPr>
                <w:rFonts w:ascii="Calibri" w:hAnsi="Calibri" w:cs="Times New Roman"/>
                <w:sz w:val="18"/>
                <w:szCs w:val="18"/>
              </w:rPr>
              <w:fldChar w:fldCharType="separate"/>
            </w:r>
            <w:r w:rsidR="00942782" w:rsidRPr="00942782">
              <w:rPr>
                <w:rFonts w:ascii="Calibri" w:hAnsi="Calibri" w:cs="Calibri"/>
                <w:sz w:val="18"/>
                <w:szCs w:val="24"/>
                <w:vertAlign w:val="superscript"/>
              </w:rPr>
              <w:t>77</w:t>
            </w:r>
            <w:r w:rsidRPr="00981F01">
              <w:rPr>
                <w:rFonts w:ascii="Calibri" w:hAnsi="Calibri" w:cs="Times New Roman"/>
                <w:sz w:val="18"/>
                <w:szCs w:val="18"/>
              </w:rPr>
              <w:fldChar w:fldCharType="end"/>
            </w:r>
            <w:r w:rsidRPr="00981F01">
              <w:rPr>
                <w:rFonts w:ascii="Calibri" w:hAnsi="Calibri" w:cs="Times New Roman"/>
                <w:sz w:val="18"/>
                <w:szCs w:val="18"/>
              </w:rPr>
              <w:t xml:space="preserve"> and 73% </w:t>
            </w:r>
            <w:r w:rsidRPr="00981F01">
              <w:rPr>
                <w:rFonts w:ascii="Calibri" w:hAnsi="Calibri" w:cs="Times New Roman"/>
                <w:sz w:val="18"/>
                <w:szCs w:val="18"/>
              </w:rPr>
              <w:fldChar w:fldCharType="begin"/>
            </w:r>
            <w:r w:rsidR="00942782">
              <w:rPr>
                <w:rFonts w:ascii="Calibri" w:hAnsi="Calibri" w:cs="Times New Roman"/>
                <w:sz w:val="18"/>
                <w:szCs w:val="18"/>
              </w:rPr>
              <w:instrText xml:space="preserve"> ADDIN ZOTERO_ITEM CSL_CITATION {"citationID":"BqTDQwx0","properties":{"formattedCitation":"\\super 95\\nosupersub{}","plainCitation":"95","noteIndex":0},"citationItems":[{"id":13435,"uris":["http://zotero.org/users/6423791/items/SBLUDBK6"],"itemData":{"id":13435,"type":"report","event-place":"Aarhus","language":"en","page":"26","publisher":"Teknologisk Institute","publisher-place":"Aarhus","source":"Zotero","title":"Bioconversion of Guldborgsund Municipality’s residual sub- strates into insect meal","author":[{"family":"Heckmann","given":"Lars-Henrik Lau"},{"family":"Gligorescu","given":"Anton"}],"issued":{"date-parts":[["2019"]]}}}],"schema":"https://github.com/citation-style-language/schema/raw/master/csl-citation.json"} </w:instrText>
            </w:r>
            <w:r w:rsidRPr="00981F01">
              <w:rPr>
                <w:rFonts w:ascii="Calibri" w:hAnsi="Calibri" w:cs="Times New Roman"/>
                <w:sz w:val="18"/>
                <w:szCs w:val="18"/>
              </w:rPr>
              <w:fldChar w:fldCharType="separate"/>
            </w:r>
            <w:r w:rsidR="00942782" w:rsidRPr="00942782">
              <w:rPr>
                <w:rFonts w:ascii="Calibri" w:hAnsi="Calibri" w:cs="Calibri"/>
                <w:sz w:val="18"/>
                <w:szCs w:val="24"/>
                <w:vertAlign w:val="superscript"/>
              </w:rPr>
              <w:t>95</w:t>
            </w:r>
            <w:r w:rsidRPr="00981F01">
              <w:rPr>
                <w:rFonts w:ascii="Calibri" w:hAnsi="Calibri" w:cs="Times New Roman"/>
                <w:sz w:val="18"/>
                <w:szCs w:val="18"/>
              </w:rPr>
              <w:fldChar w:fldCharType="end"/>
            </w:r>
          </w:p>
        </w:tc>
      </w:tr>
      <w:tr w:rsidR="006458E0" w:rsidRPr="00981F01" w14:paraId="357D3725" w14:textId="77777777" w:rsidTr="00981F01">
        <w:trPr>
          <w:jc w:val="center"/>
        </w:trPr>
        <w:tc>
          <w:tcPr>
            <w:cnfStyle w:val="001000000000" w:firstRow="0" w:lastRow="0" w:firstColumn="1" w:lastColumn="0" w:oddVBand="0" w:evenVBand="0" w:oddHBand="0" w:evenHBand="0" w:firstRowFirstColumn="0" w:firstRowLastColumn="0" w:lastRowFirstColumn="0" w:lastRowLastColumn="0"/>
            <w:tcW w:w="498" w:type="dxa"/>
            <w:vMerge w:val="restart"/>
            <w:textDirection w:val="btLr"/>
          </w:tcPr>
          <w:p w14:paraId="1D753867" w14:textId="77777777" w:rsidR="006458E0" w:rsidRPr="00981F01" w:rsidRDefault="006458E0" w:rsidP="006458E0">
            <w:pPr>
              <w:ind w:left="113" w:right="113"/>
              <w:rPr>
                <w:sz w:val="18"/>
                <w:szCs w:val="18"/>
              </w:rPr>
            </w:pPr>
            <w:r w:rsidRPr="00981F01">
              <w:rPr>
                <w:sz w:val="18"/>
                <w:szCs w:val="18"/>
              </w:rPr>
              <w:t>Estimated with the model</w:t>
            </w:r>
          </w:p>
        </w:tc>
        <w:tc>
          <w:tcPr>
            <w:tcW w:w="2117" w:type="dxa"/>
          </w:tcPr>
          <w:p w14:paraId="35019319" w14:textId="77777777" w:rsidR="006458E0" w:rsidRPr="00981F01"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FCR, ww</w:t>
            </w:r>
          </w:p>
        </w:tc>
        <w:tc>
          <w:tcPr>
            <w:tcW w:w="1225" w:type="dxa"/>
          </w:tcPr>
          <w:p w14:paraId="1874EB18"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4.4</w:t>
            </w:r>
          </w:p>
        </w:tc>
        <w:tc>
          <w:tcPr>
            <w:tcW w:w="869" w:type="dxa"/>
          </w:tcPr>
          <w:p w14:paraId="586BB65C"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3.4</w:t>
            </w:r>
          </w:p>
        </w:tc>
        <w:tc>
          <w:tcPr>
            <w:tcW w:w="871" w:type="dxa"/>
          </w:tcPr>
          <w:p w14:paraId="373FBB91"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15</w:t>
            </w:r>
          </w:p>
        </w:tc>
        <w:tc>
          <w:tcPr>
            <w:tcW w:w="871" w:type="dxa"/>
          </w:tcPr>
          <w:p w14:paraId="230B82D8"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16.3</w:t>
            </w:r>
          </w:p>
        </w:tc>
        <w:tc>
          <w:tcPr>
            <w:tcW w:w="869" w:type="dxa"/>
          </w:tcPr>
          <w:p w14:paraId="0BA751CB"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7.6</w:t>
            </w:r>
          </w:p>
        </w:tc>
        <w:tc>
          <w:tcPr>
            <w:tcW w:w="871" w:type="dxa"/>
          </w:tcPr>
          <w:p w14:paraId="2CF98A80"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11.9</w:t>
            </w:r>
          </w:p>
        </w:tc>
        <w:tc>
          <w:tcPr>
            <w:tcW w:w="871" w:type="dxa"/>
          </w:tcPr>
          <w:p w14:paraId="7C431B5A"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16.5</w:t>
            </w:r>
          </w:p>
        </w:tc>
      </w:tr>
      <w:tr w:rsidR="006458E0" w:rsidRPr="00981F01" w14:paraId="13CB086D" w14:textId="77777777" w:rsidTr="00981F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1FB94C34" w14:textId="77777777" w:rsidR="006458E0" w:rsidRPr="00981F01" w:rsidRDefault="006458E0" w:rsidP="006458E0">
            <w:pPr>
              <w:rPr>
                <w:sz w:val="18"/>
                <w:szCs w:val="18"/>
              </w:rPr>
            </w:pPr>
          </w:p>
        </w:tc>
        <w:tc>
          <w:tcPr>
            <w:tcW w:w="2117" w:type="dxa"/>
          </w:tcPr>
          <w:p w14:paraId="22AD1E7D" w14:textId="77777777" w:rsidR="006458E0" w:rsidRPr="00981F01"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FCR, DM</w:t>
            </w:r>
          </w:p>
        </w:tc>
        <w:tc>
          <w:tcPr>
            <w:tcW w:w="1225" w:type="dxa"/>
          </w:tcPr>
          <w:p w14:paraId="667772B5"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3.6</w:t>
            </w:r>
          </w:p>
        </w:tc>
        <w:tc>
          <w:tcPr>
            <w:tcW w:w="869" w:type="dxa"/>
          </w:tcPr>
          <w:p w14:paraId="0F7866AB"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2.8</w:t>
            </w:r>
          </w:p>
        </w:tc>
        <w:tc>
          <w:tcPr>
            <w:tcW w:w="871" w:type="dxa"/>
          </w:tcPr>
          <w:p w14:paraId="19076A97"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12.3</w:t>
            </w:r>
          </w:p>
        </w:tc>
        <w:tc>
          <w:tcPr>
            <w:tcW w:w="871" w:type="dxa"/>
          </w:tcPr>
          <w:p w14:paraId="4C90ECBC"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13.4</w:t>
            </w:r>
          </w:p>
        </w:tc>
        <w:tc>
          <w:tcPr>
            <w:tcW w:w="869" w:type="dxa"/>
          </w:tcPr>
          <w:p w14:paraId="6ED6C5E1"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6.2</w:t>
            </w:r>
          </w:p>
        </w:tc>
        <w:tc>
          <w:tcPr>
            <w:tcW w:w="871" w:type="dxa"/>
          </w:tcPr>
          <w:p w14:paraId="407243EC"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9.7</w:t>
            </w:r>
          </w:p>
        </w:tc>
        <w:tc>
          <w:tcPr>
            <w:tcW w:w="871" w:type="dxa"/>
          </w:tcPr>
          <w:p w14:paraId="7AA47FE2"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13.5</w:t>
            </w:r>
          </w:p>
        </w:tc>
      </w:tr>
      <w:tr w:rsidR="006458E0" w:rsidRPr="00981F01" w14:paraId="1F58D836" w14:textId="77777777" w:rsidTr="00981F01">
        <w:trPr>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6F0EF2DE" w14:textId="77777777" w:rsidR="006458E0" w:rsidRPr="00981F01" w:rsidRDefault="006458E0" w:rsidP="006458E0">
            <w:pPr>
              <w:rPr>
                <w:sz w:val="18"/>
                <w:szCs w:val="18"/>
              </w:rPr>
            </w:pPr>
          </w:p>
        </w:tc>
        <w:tc>
          <w:tcPr>
            <w:tcW w:w="2117" w:type="dxa"/>
          </w:tcPr>
          <w:p w14:paraId="2B883479" w14:textId="77777777" w:rsidR="006458E0" w:rsidRPr="00981F01"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Residues/substrate, ww</w:t>
            </w:r>
          </w:p>
        </w:tc>
        <w:tc>
          <w:tcPr>
            <w:tcW w:w="1225" w:type="dxa"/>
          </w:tcPr>
          <w:p w14:paraId="2351C952"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24%</w:t>
            </w:r>
          </w:p>
        </w:tc>
        <w:tc>
          <w:tcPr>
            <w:tcW w:w="869" w:type="dxa"/>
          </w:tcPr>
          <w:p w14:paraId="13A50D95"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17%</w:t>
            </w:r>
          </w:p>
        </w:tc>
        <w:tc>
          <w:tcPr>
            <w:tcW w:w="871" w:type="dxa"/>
          </w:tcPr>
          <w:p w14:paraId="3E06C8D9"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40%</w:t>
            </w:r>
          </w:p>
        </w:tc>
        <w:tc>
          <w:tcPr>
            <w:tcW w:w="871" w:type="dxa"/>
          </w:tcPr>
          <w:p w14:paraId="2553FDC2"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40%</w:t>
            </w:r>
          </w:p>
        </w:tc>
        <w:tc>
          <w:tcPr>
            <w:tcW w:w="869" w:type="dxa"/>
          </w:tcPr>
          <w:p w14:paraId="223AB58C"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33%</w:t>
            </w:r>
          </w:p>
        </w:tc>
        <w:tc>
          <w:tcPr>
            <w:tcW w:w="871" w:type="dxa"/>
          </w:tcPr>
          <w:p w14:paraId="41538CEF"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38%</w:t>
            </w:r>
          </w:p>
        </w:tc>
        <w:tc>
          <w:tcPr>
            <w:tcW w:w="871" w:type="dxa"/>
          </w:tcPr>
          <w:p w14:paraId="3D5274D5"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40%</w:t>
            </w:r>
          </w:p>
        </w:tc>
      </w:tr>
      <w:tr w:rsidR="006458E0" w:rsidRPr="00981F01" w14:paraId="5C332E7C" w14:textId="77777777" w:rsidTr="00981F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2E6B5860" w14:textId="77777777" w:rsidR="006458E0" w:rsidRPr="00981F01" w:rsidRDefault="006458E0" w:rsidP="006458E0">
            <w:pPr>
              <w:rPr>
                <w:sz w:val="18"/>
                <w:szCs w:val="18"/>
              </w:rPr>
            </w:pPr>
          </w:p>
        </w:tc>
        <w:tc>
          <w:tcPr>
            <w:tcW w:w="2117" w:type="dxa"/>
          </w:tcPr>
          <w:p w14:paraId="672A1CA9" w14:textId="77777777" w:rsidR="006458E0" w:rsidRPr="00981F01"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Residues/substrate, DM</w:t>
            </w:r>
          </w:p>
        </w:tc>
        <w:tc>
          <w:tcPr>
            <w:tcW w:w="1225" w:type="dxa"/>
          </w:tcPr>
          <w:p w14:paraId="559A6BAA"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51%</w:t>
            </w:r>
          </w:p>
        </w:tc>
        <w:tc>
          <w:tcPr>
            <w:tcW w:w="869" w:type="dxa"/>
          </w:tcPr>
          <w:p w14:paraId="202144A8"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37%</w:t>
            </w:r>
          </w:p>
        </w:tc>
        <w:tc>
          <w:tcPr>
            <w:tcW w:w="871" w:type="dxa"/>
          </w:tcPr>
          <w:p w14:paraId="3753AA16"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86%</w:t>
            </w:r>
          </w:p>
        </w:tc>
        <w:tc>
          <w:tcPr>
            <w:tcW w:w="871" w:type="dxa"/>
          </w:tcPr>
          <w:p w14:paraId="1FB0EBA8"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87%</w:t>
            </w:r>
          </w:p>
        </w:tc>
        <w:tc>
          <w:tcPr>
            <w:tcW w:w="869" w:type="dxa"/>
          </w:tcPr>
          <w:p w14:paraId="614D4174"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71%</w:t>
            </w:r>
          </w:p>
        </w:tc>
        <w:tc>
          <w:tcPr>
            <w:tcW w:w="871" w:type="dxa"/>
          </w:tcPr>
          <w:p w14:paraId="6BD4EC89"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82%</w:t>
            </w:r>
          </w:p>
        </w:tc>
        <w:tc>
          <w:tcPr>
            <w:tcW w:w="871" w:type="dxa"/>
          </w:tcPr>
          <w:p w14:paraId="62832519"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87%</w:t>
            </w:r>
          </w:p>
        </w:tc>
      </w:tr>
      <w:tr w:rsidR="006458E0" w:rsidRPr="00981F01" w14:paraId="6517E870" w14:textId="77777777" w:rsidTr="00981F01">
        <w:trPr>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328B354C" w14:textId="77777777" w:rsidR="006458E0" w:rsidRPr="00981F01" w:rsidRDefault="006458E0" w:rsidP="006458E0">
            <w:pPr>
              <w:rPr>
                <w:sz w:val="18"/>
                <w:szCs w:val="18"/>
              </w:rPr>
            </w:pPr>
          </w:p>
        </w:tc>
        <w:tc>
          <w:tcPr>
            <w:tcW w:w="2117" w:type="dxa"/>
          </w:tcPr>
          <w:p w14:paraId="21886DD1" w14:textId="77777777" w:rsidR="006458E0" w:rsidRPr="00981F01"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Growth period length, d</w:t>
            </w:r>
          </w:p>
        </w:tc>
        <w:tc>
          <w:tcPr>
            <w:tcW w:w="6447" w:type="dxa"/>
            <w:gridSpan w:val="7"/>
          </w:tcPr>
          <w:p w14:paraId="09E9B02A" w14:textId="75016DE8"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 xml:space="preserve">Fixed to 20 days, see </w:t>
            </w:r>
            <w:r w:rsidR="00E819F5" w:rsidRPr="00981F01">
              <w:rPr>
                <w:rFonts w:ascii="Calibri" w:hAnsi="Calibri" w:cs="Times New Roman"/>
                <w:b/>
                <w:sz w:val="18"/>
                <w:szCs w:val="18"/>
              </w:rPr>
              <w:fldChar w:fldCharType="begin"/>
            </w:r>
            <w:r w:rsidR="00E819F5" w:rsidRPr="00981F01">
              <w:rPr>
                <w:rFonts w:ascii="Calibri" w:hAnsi="Calibri" w:cs="Times New Roman"/>
                <w:b/>
                <w:sz w:val="18"/>
                <w:szCs w:val="18"/>
              </w:rPr>
              <w:instrText xml:space="preserve"> REF _Ref144803952 \h  \* MERGEFORMAT </w:instrText>
            </w:r>
            <w:r w:rsidR="00E819F5" w:rsidRPr="00981F01">
              <w:rPr>
                <w:rFonts w:ascii="Calibri" w:hAnsi="Calibri" w:cs="Times New Roman"/>
                <w:b/>
                <w:sz w:val="18"/>
                <w:szCs w:val="18"/>
              </w:rPr>
            </w:r>
            <w:r w:rsidR="00E819F5" w:rsidRPr="00981F01">
              <w:rPr>
                <w:rFonts w:ascii="Calibri" w:hAnsi="Calibri" w:cs="Times New Roman"/>
                <w:b/>
                <w:sz w:val="18"/>
                <w:szCs w:val="18"/>
              </w:rPr>
              <w:fldChar w:fldCharType="separate"/>
            </w:r>
            <w:r w:rsidR="00F25F8C" w:rsidRPr="00981F01">
              <w:rPr>
                <w:b/>
                <w:sz w:val="18"/>
                <w:szCs w:val="18"/>
              </w:rPr>
              <w:t xml:space="preserve">Table SI. </w:t>
            </w:r>
            <w:r w:rsidR="00F25F8C" w:rsidRPr="00981F01">
              <w:rPr>
                <w:b/>
                <w:noProof/>
                <w:sz w:val="18"/>
                <w:szCs w:val="18"/>
              </w:rPr>
              <w:t>30</w:t>
            </w:r>
            <w:r w:rsidR="00E819F5" w:rsidRPr="00981F01">
              <w:rPr>
                <w:rFonts w:ascii="Calibri" w:hAnsi="Calibri" w:cs="Times New Roman"/>
                <w:b/>
                <w:sz w:val="18"/>
                <w:szCs w:val="18"/>
              </w:rPr>
              <w:fldChar w:fldCharType="end"/>
            </w:r>
          </w:p>
        </w:tc>
      </w:tr>
      <w:tr w:rsidR="006458E0" w:rsidRPr="00981F01" w14:paraId="72A52F2F" w14:textId="77777777" w:rsidTr="00981F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613CFED5" w14:textId="77777777" w:rsidR="006458E0" w:rsidRPr="00981F01" w:rsidRDefault="006458E0" w:rsidP="006458E0">
            <w:pPr>
              <w:rPr>
                <w:sz w:val="18"/>
                <w:szCs w:val="18"/>
              </w:rPr>
            </w:pPr>
          </w:p>
        </w:tc>
        <w:tc>
          <w:tcPr>
            <w:tcW w:w="2117" w:type="dxa"/>
          </w:tcPr>
          <w:p w14:paraId="7C090BAA" w14:textId="77777777" w:rsidR="006458E0" w:rsidRPr="00981F01"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Final weight, mg</w:t>
            </w:r>
          </w:p>
        </w:tc>
        <w:tc>
          <w:tcPr>
            <w:tcW w:w="6447" w:type="dxa"/>
            <w:gridSpan w:val="7"/>
          </w:tcPr>
          <w:p w14:paraId="0211743E" w14:textId="78F139E6"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 xml:space="preserve">Fixed to 150mg, see </w:t>
            </w:r>
            <w:r w:rsidR="00E819F5" w:rsidRPr="00981F01">
              <w:rPr>
                <w:rFonts w:ascii="Calibri" w:hAnsi="Calibri" w:cs="Times New Roman"/>
                <w:b/>
                <w:sz w:val="18"/>
                <w:szCs w:val="18"/>
              </w:rPr>
              <w:fldChar w:fldCharType="begin"/>
            </w:r>
            <w:r w:rsidR="00E819F5" w:rsidRPr="00981F01">
              <w:rPr>
                <w:rFonts w:ascii="Calibri" w:hAnsi="Calibri" w:cs="Times New Roman"/>
                <w:b/>
                <w:sz w:val="18"/>
                <w:szCs w:val="18"/>
              </w:rPr>
              <w:instrText xml:space="preserve"> REF _Ref144803952 \h  \* MERGEFORMAT </w:instrText>
            </w:r>
            <w:r w:rsidR="00E819F5" w:rsidRPr="00981F01">
              <w:rPr>
                <w:rFonts w:ascii="Calibri" w:hAnsi="Calibri" w:cs="Times New Roman"/>
                <w:b/>
                <w:sz w:val="18"/>
                <w:szCs w:val="18"/>
              </w:rPr>
            </w:r>
            <w:r w:rsidR="00E819F5" w:rsidRPr="00981F01">
              <w:rPr>
                <w:rFonts w:ascii="Calibri" w:hAnsi="Calibri" w:cs="Times New Roman"/>
                <w:b/>
                <w:sz w:val="18"/>
                <w:szCs w:val="18"/>
              </w:rPr>
              <w:fldChar w:fldCharType="separate"/>
            </w:r>
            <w:r w:rsidR="00F25F8C" w:rsidRPr="00981F01">
              <w:rPr>
                <w:b/>
                <w:sz w:val="18"/>
                <w:szCs w:val="18"/>
              </w:rPr>
              <w:t xml:space="preserve">Table SI. </w:t>
            </w:r>
            <w:r w:rsidR="00F25F8C" w:rsidRPr="00981F01">
              <w:rPr>
                <w:b/>
                <w:noProof/>
                <w:sz w:val="18"/>
                <w:szCs w:val="18"/>
              </w:rPr>
              <w:t>30</w:t>
            </w:r>
            <w:r w:rsidR="00E819F5" w:rsidRPr="00981F01">
              <w:rPr>
                <w:rFonts w:ascii="Calibri" w:hAnsi="Calibri" w:cs="Times New Roman"/>
                <w:b/>
                <w:sz w:val="18"/>
                <w:szCs w:val="18"/>
              </w:rPr>
              <w:fldChar w:fldCharType="end"/>
            </w:r>
          </w:p>
        </w:tc>
      </w:tr>
      <w:tr w:rsidR="006458E0" w:rsidRPr="00981F01" w14:paraId="14B8C786" w14:textId="77777777" w:rsidTr="00981F01">
        <w:trPr>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461014EA" w14:textId="77777777" w:rsidR="006458E0" w:rsidRPr="00981F01" w:rsidRDefault="006458E0" w:rsidP="006458E0">
            <w:pPr>
              <w:rPr>
                <w:sz w:val="18"/>
                <w:szCs w:val="18"/>
              </w:rPr>
            </w:pPr>
          </w:p>
        </w:tc>
        <w:tc>
          <w:tcPr>
            <w:tcW w:w="2117" w:type="dxa"/>
          </w:tcPr>
          <w:p w14:paraId="71FF22B5" w14:textId="77777777" w:rsidR="006458E0" w:rsidRPr="00981F01"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Converted DM (1/FCR)</w:t>
            </w:r>
          </w:p>
        </w:tc>
        <w:tc>
          <w:tcPr>
            <w:tcW w:w="1225" w:type="dxa"/>
          </w:tcPr>
          <w:p w14:paraId="63E36174"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27%</w:t>
            </w:r>
          </w:p>
        </w:tc>
        <w:tc>
          <w:tcPr>
            <w:tcW w:w="869" w:type="dxa"/>
          </w:tcPr>
          <w:p w14:paraId="251E87F8"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35%</w:t>
            </w:r>
          </w:p>
        </w:tc>
        <w:tc>
          <w:tcPr>
            <w:tcW w:w="871" w:type="dxa"/>
          </w:tcPr>
          <w:p w14:paraId="1F52ECFE"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8%</w:t>
            </w:r>
          </w:p>
        </w:tc>
        <w:tc>
          <w:tcPr>
            <w:tcW w:w="871" w:type="dxa"/>
          </w:tcPr>
          <w:p w14:paraId="4B5A9315"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7%</w:t>
            </w:r>
          </w:p>
        </w:tc>
        <w:tc>
          <w:tcPr>
            <w:tcW w:w="869" w:type="dxa"/>
          </w:tcPr>
          <w:p w14:paraId="6CC9590E"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16%</w:t>
            </w:r>
          </w:p>
        </w:tc>
        <w:tc>
          <w:tcPr>
            <w:tcW w:w="871" w:type="dxa"/>
          </w:tcPr>
          <w:p w14:paraId="036A526B"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10%</w:t>
            </w:r>
          </w:p>
        </w:tc>
        <w:tc>
          <w:tcPr>
            <w:tcW w:w="871" w:type="dxa"/>
          </w:tcPr>
          <w:p w14:paraId="20E88EBE"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7%</w:t>
            </w:r>
          </w:p>
        </w:tc>
      </w:tr>
      <w:tr w:rsidR="006458E0" w:rsidRPr="00981F01" w14:paraId="784D28DB" w14:textId="77777777" w:rsidTr="00981F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0FCB1183" w14:textId="77777777" w:rsidR="006458E0" w:rsidRPr="00981F01" w:rsidRDefault="006458E0" w:rsidP="006458E0">
            <w:pPr>
              <w:rPr>
                <w:sz w:val="18"/>
                <w:szCs w:val="18"/>
              </w:rPr>
            </w:pPr>
          </w:p>
        </w:tc>
        <w:tc>
          <w:tcPr>
            <w:tcW w:w="2117" w:type="dxa"/>
          </w:tcPr>
          <w:p w14:paraId="7C6B7A0B" w14:textId="77777777" w:rsidR="006458E0" w:rsidRPr="00981F01"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Degraded DM</w:t>
            </w:r>
          </w:p>
        </w:tc>
        <w:tc>
          <w:tcPr>
            <w:tcW w:w="1225" w:type="dxa"/>
          </w:tcPr>
          <w:p w14:paraId="423605B0"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51%</w:t>
            </w:r>
          </w:p>
        </w:tc>
        <w:tc>
          <w:tcPr>
            <w:tcW w:w="869" w:type="dxa"/>
          </w:tcPr>
          <w:p w14:paraId="2D84F6FF"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37%</w:t>
            </w:r>
          </w:p>
        </w:tc>
        <w:tc>
          <w:tcPr>
            <w:tcW w:w="871" w:type="dxa"/>
          </w:tcPr>
          <w:p w14:paraId="6104681B"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86%</w:t>
            </w:r>
          </w:p>
        </w:tc>
        <w:tc>
          <w:tcPr>
            <w:tcW w:w="871" w:type="dxa"/>
          </w:tcPr>
          <w:p w14:paraId="011ABAFD"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87%</w:t>
            </w:r>
          </w:p>
        </w:tc>
        <w:tc>
          <w:tcPr>
            <w:tcW w:w="869" w:type="dxa"/>
          </w:tcPr>
          <w:p w14:paraId="798433F4"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71%</w:t>
            </w:r>
          </w:p>
        </w:tc>
        <w:tc>
          <w:tcPr>
            <w:tcW w:w="871" w:type="dxa"/>
          </w:tcPr>
          <w:p w14:paraId="5FCA12BF"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82%</w:t>
            </w:r>
          </w:p>
        </w:tc>
        <w:tc>
          <w:tcPr>
            <w:tcW w:w="871" w:type="dxa"/>
          </w:tcPr>
          <w:p w14:paraId="663E1F8C"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87%</w:t>
            </w:r>
          </w:p>
        </w:tc>
      </w:tr>
      <w:tr w:rsidR="006458E0" w:rsidRPr="00981F01" w14:paraId="12575055" w14:textId="77777777" w:rsidTr="00981F01">
        <w:trPr>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43254215" w14:textId="77777777" w:rsidR="006458E0" w:rsidRPr="00981F01" w:rsidRDefault="006458E0" w:rsidP="006458E0">
            <w:pPr>
              <w:rPr>
                <w:sz w:val="18"/>
                <w:szCs w:val="18"/>
              </w:rPr>
            </w:pPr>
          </w:p>
        </w:tc>
        <w:tc>
          <w:tcPr>
            <w:tcW w:w="2117" w:type="dxa"/>
          </w:tcPr>
          <w:p w14:paraId="07650875" w14:textId="77777777" w:rsidR="006458E0" w:rsidRPr="00981F01"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Water retention in BSF</w:t>
            </w:r>
          </w:p>
        </w:tc>
        <w:tc>
          <w:tcPr>
            <w:tcW w:w="1225" w:type="dxa"/>
          </w:tcPr>
          <w:p w14:paraId="4A022866"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20%</w:t>
            </w:r>
          </w:p>
        </w:tc>
        <w:tc>
          <w:tcPr>
            <w:tcW w:w="869" w:type="dxa"/>
          </w:tcPr>
          <w:p w14:paraId="4FD4BE39"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26%</w:t>
            </w:r>
          </w:p>
        </w:tc>
        <w:tc>
          <w:tcPr>
            <w:tcW w:w="871" w:type="dxa"/>
          </w:tcPr>
          <w:p w14:paraId="2F928380"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6%</w:t>
            </w:r>
          </w:p>
        </w:tc>
        <w:tc>
          <w:tcPr>
            <w:tcW w:w="871" w:type="dxa"/>
          </w:tcPr>
          <w:p w14:paraId="22CB8378"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6%</w:t>
            </w:r>
          </w:p>
        </w:tc>
        <w:tc>
          <w:tcPr>
            <w:tcW w:w="869" w:type="dxa"/>
          </w:tcPr>
          <w:p w14:paraId="747F4E62"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12%</w:t>
            </w:r>
          </w:p>
        </w:tc>
        <w:tc>
          <w:tcPr>
            <w:tcW w:w="871" w:type="dxa"/>
          </w:tcPr>
          <w:p w14:paraId="52EF03DB"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8%</w:t>
            </w:r>
          </w:p>
        </w:tc>
        <w:tc>
          <w:tcPr>
            <w:tcW w:w="871" w:type="dxa"/>
          </w:tcPr>
          <w:p w14:paraId="3673C4F2"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5%</w:t>
            </w:r>
          </w:p>
        </w:tc>
      </w:tr>
      <w:tr w:rsidR="006458E0" w:rsidRPr="00981F01" w14:paraId="6477423F" w14:textId="77777777" w:rsidTr="00981F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3AB18D3E" w14:textId="77777777" w:rsidR="006458E0" w:rsidRPr="00981F01" w:rsidRDefault="006458E0" w:rsidP="006458E0">
            <w:pPr>
              <w:rPr>
                <w:sz w:val="18"/>
                <w:szCs w:val="18"/>
              </w:rPr>
            </w:pPr>
          </w:p>
        </w:tc>
        <w:tc>
          <w:tcPr>
            <w:tcW w:w="2117" w:type="dxa"/>
          </w:tcPr>
          <w:p w14:paraId="48845E7C" w14:textId="77777777" w:rsidR="006458E0" w:rsidRPr="00981F01"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Converted C</w:t>
            </w:r>
          </w:p>
        </w:tc>
        <w:tc>
          <w:tcPr>
            <w:tcW w:w="1225" w:type="dxa"/>
          </w:tcPr>
          <w:p w14:paraId="1929A885"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32%</w:t>
            </w:r>
          </w:p>
        </w:tc>
        <w:tc>
          <w:tcPr>
            <w:tcW w:w="869" w:type="dxa"/>
          </w:tcPr>
          <w:p w14:paraId="6E32B840"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39%</w:t>
            </w:r>
          </w:p>
        </w:tc>
        <w:tc>
          <w:tcPr>
            <w:tcW w:w="871" w:type="dxa"/>
          </w:tcPr>
          <w:p w14:paraId="2AD36976"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10%</w:t>
            </w:r>
          </w:p>
        </w:tc>
        <w:tc>
          <w:tcPr>
            <w:tcW w:w="871" w:type="dxa"/>
          </w:tcPr>
          <w:p w14:paraId="0B81913D"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9%</w:t>
            </w:r>
          </w:p>
        </w:tc>
        <w:tc>
          <w:tcPr>
            <w:tcW w:w="869" w:type="dxa"/>
          </w:tcPr>
          <w:p w14:paraId="04AD7B93"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21%</w:t>
            </w:r>
          </w:p>
        </w:tc>
        <w:tc>
          <w:tcPr>
            <w:tcW w:w="871" w:type="dxa"/>
          </w:tcPr>
          <w:p w14:paraId="0E6A628A"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12%</w:t>
            </w:r>
          </w:p>
        </w:tc>
        <w:tc>
          <w:tcPr>
            <w:tcW w:w="871" w:type="dxa"/>
          </w:tcPr>
          <w:p w14:paraId="2252FB16"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10%</w:t>
            </w:r>
          </w:p>
        </w:tc>
      </w:tr>
      <w:tr w:rsidR="006458E0" w:rsidRPr="00981F01" w14:paraId="0247840D" w14:textId="77777777" w:rsidTr="00981F01">
        <w:trPr>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4E35611F" w14:textId="77777777" w:rsidR="006458E0" w:rsidRPr="00981F01" w:rsidRDefault="006458E0" w:rsidP="006458E0">
            <w:pPr>
              <w:rPr>
                <w:sz w:val="18"/>
                <w:szCs w:val="18"/>
              </w:rPr>
            </w:pPr>
          </w:p>
        </w:tc>
        <w:tc>
          <w:tcPr>
            <w:tcW w:w="2117" w:type="dxa"/>
          </w:tcPr>
          <w:p w14:paraId="70DBD43A" w14:textId="77777777" w:rsidR="006458E0" w:rsidRPr="00981F01"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Converted P</w:t>
            </w:r>
          </w:p>
        </w:tc>
        <w:tc>
          <w:tcPr>
            <w:tcW w:w="1225" w:type="dxa"/>
          </w:tcPr>
          <w:p w14:paraId="3C69997A"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30%</w:t>
            </w:r>
          </w:p>
        </w:tc>
        <w:tc>
          <w:tcPr>
            <w:tcW w:w="869" w:type="dxa"/>
          </w:tcPr>
          <w:p w14:paraId="3A31A015"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24%</w:t>
            </w:r>
          </w:p>
        </w:tc>
        <w:tc>
          <w:tcPr>
            <w:tcW w:w="871" w:type="dxa"/>
          </w:tcPr>
          <w:p w14:paraId="1CD71967"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70%</w:t>
            </w:r>
          </w:p>
        </w:tc>
        <w:tc>
          <w:tcPr>
            <w:tcW w:w="871" w:type="dxa"/>
          </w:tcPr>
          <w:p w14:paraId="02F63ABF"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59%</w:t>
            </w:r>
          </w:p>
        </w:tc>
        <w:tc>
          <w:tcPr>
            <w:tcW w:w="869" w:type="dxa"/>
          </w:tcPr>
          <w:p w14:paraId="3B3858F3"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13%</w:t>
            </w:r>
          </w:p>
        </w:tc>
        <w:tc>
          <w:tcPr>
            <w:tcW w:w="871" w:type="dxa"/>
          </w:tcPr>
          <w:p w14:paraId="7BB93885"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10%</w:t>
            </w:r>
          </w:p>
        </w:tc>
        <w:tc>
          <w:tcPr>
            <w:tcW w:w="871" w:type="dxa"/>
          </w:tcPr>
          <w:p w14:paraId="0BBA39C9"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26%</w:t>
            </w:r>
          </w:p>
        </w:tc>
      </w:tr>
      <w:tr w:rsidR="006458E0" w:rsidRPr="00981F01" w14:paraId="60C58FE4" w14:textId="77777777" w:rsidTr="00981F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0CA1AAC3" w14:textId="77777777" w:rsidR="006458E0" w:rsidRPr="00981F01" w:rsidRDefault="006458E0" w:rsidP="006458E0">
            <w:pPr>
              <w:rPr>
                <w:sz w:val="18"/>
                <w:szCs w:val="18"/>
              </w:rPr>
            </w:pPr>
          </w:p>
        </w:tc>
        <w:tc>
          <w:tcPr>
            <w:tcW w:w="2117" w:type="dxa"/>
          </w:tcPr>
          <w:p w14:paraId="3120AB9F" w14:textId="77777777" w:rsidR="006458E0" w:rsidRPr="00981F01"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Converted K</w:t>
            </w:r>
          </w:p>
        </w:tc>
        <w:tc>
          <w:tcPr>
            <w:tcW w:w="1225" w:type="dxa"/>
          </w:tcPr>
          <w:p w14:paraId="4D64C6BF"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34%</w:t>
            </w:r>
          </w:p>
        </w:tc>
        <w:tc>
          <w:tcPr>
            <w:tcW w:w="869" w:type="dxa"/>
          </w:tcPr>
          <w:p w14:paraId="2E296FBB"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32%</w:t>
            </w:r>
          </w:p>
        </w:tc>
        <w:tc>
          <w:tcPr>
            <w:tcW w:w="871" w:type="dxa"/>
          </w:tcPr>
          <w:p w14:paraId="06B02F1B"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22%</w:t>
            </w:r>
          </w:p>
        </w:tc>
        <w:tc>
          <w:tcPr>
            <w:tcW w:w="871" w:type="dxa"/>
          </w:tcPr>
          <w:p w14:paraId="300BCDF1"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14%</w:t>
            </w:r>
          </w:p>
        </w:tc>
        <w:tc>
          <w:tcPr>
            <w:tcW w:w="869" w:type="dxa"/>
          </w:tcPr>
          <w:p w14:paraId="4FE853B1"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15%</w:t>
            </w:r>
          </w:p>
        </w:tc>
        <w:tc>
          <w:tcPr>
            <w:tcW w:w="871" w:type="dxa"/>
          </w:tcPr>
          <w:p w14:paraId="1EDF8F89"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13%</w:t>
            </w:r>
          </w:p>
        </w:tc>
        <w:tc>
          <w:tcPr>
            <w:tcW w:w="871" w:type="dxa"/>
          </w:tcPr>
          <w:p w14:paraId="01923345"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8%</w:t>
            </w:r>
          </w:p>
        </w:tc>
      </w:tr>
      <w:tr w:rsidR="006458E0" w:rsidRPr="00981F01" w14:paraId="204746A4" w14:textId="77777777" w:rsidTr="00981F01">
        <w:trPr>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162E1604" w14:textId="77777777" w:rsidR="006458E0" w:rsidRPr="00981F01" w:rsidRDefault="006458E0" w:rsidP="006458E0">
            <w:pPr>
              <w:rPr>
                <w:sz w:val="18"/>
                <w:szCs w:val="18"/>
              </w:rPr>
            </w:pPr>
          </w:p>
        </w:tc>
        <w:tc>
          <w:tcPr>
            <w:tcW w:w="2117" w:type="dxa"/>
          </w:tcPr>
          <w:p w14:paraId="010F63E2" w14:textId="77777777" w:rsidR="006458E0" w:rsidRPr="00981F01"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Total C emitted as CO</w:t>
            </w:r>
            <w:r w:rsidRPr="00981F01">
              <w:rPr>
                <w:rFonts w:ascii="Calibri" w:hAnsi="Calibri" w:cs="Times New Roman"/>
                <w:sz w:val="18"/>
                <w:szCs w:val="18"/>
                <w:vertAlign w:val="subscript"/>
              </w:rPr>
              <w:t>2</w:t>
            </w:r>
          </w:p>
        </w:tc>
        <w:tc>
          <w:tcPr>
            <w:tcW w:w="1225" w:type="dxa"/>
          </w:tcPr>
          <w:p w14:paraId="46779311"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42%</w:t>
            </w:r>
          </w:p>
        </w:tc>
        <w:tc>
          <w:tcPr>
            <w:tcW w:w="869" w:type="dxa"/>
          </w:tcPr>
          <w:p w14:paraId="7451D555"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51%</w:t>
            </w:r>
          </w:p>
        </w:tc>
        <w:tc>
          <w:tcPr>
            <w:tcW w:w="871" w:type="dxa"/>
          </w:tcPr>
          <w:p w14:paraId="0272013D"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13%</w:t>
            </w:r>
          </w:p>
        </w:tc>
        <w:tc>
          <w:tcPr>
            <w:tcW w:w="871" w:type="dxa"/>
          </w:tcPr>
          <w:p w14:paraId="6AA62F3D"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11%</w:t>
            </w:r>
          </w:p>
        </w:tc>
        <w:tc>
          <w:tcPr>
            <w:tcW w:w="869" w:type="dxa"/>
          </w:tcPr>
          <w:p w14:paraId="046F2C34"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27%</w:t>
            </w:r>
          </w:p>
        </w:tc>
        <w:tc>
          <w:tcPr>
            <w:tcW w:w="871" w:type="dxa"/>
          </w:tcPr>
          <w:p w14:paraId="37FF86BB"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15%</w:t>
            </w:r>
          </w:p>
        </w:tc>
        <w:tc>
          <w:tcPr>
            <w:tcW w:w="871" w:type="dxa"/>
          </w:tcPr>
          <w:p w14:paraId="60E0847B"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ascii="Calibri" w:hAnsi="Calibri" w:cs="Times New Roman"/>
                <w:sz w:val="18"/>
                <w:szCs w:val="18"/>
              </w:rPr>
              <w:t>13%</w:t>
            </w:r>
          </w:p>
        </w:tc>
      </w:tr>
      <w:tr w:rsidR="006458E0" w:rsidRPr="00981F01" w14:paraId="1DF23FB4" w14:textId="77777777" w:rsidTr="00981F0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98" w:type="dxa"/>
            <w:vMerge/>
          </w:tcPr>
          <w:p w14:paraId="696DC0E4" w14:textId="77777777" w:rsidR="006458E0" w:rsidRPr="00981F01" w:rsidRDefault="006458E0" w:rsidP="006458E0">
            <w:pPr>
              <w:rPr>
                <w:sz w:val="18"/>
                <w:szCs w:val="18"/>
              </w:rPr>
            </w:pPr>
          </w:p>
        </w:tc>
        <w:tc>
          <w:tcPr>
            <w:tcW w:w="2117" w:type="dxa"/>
          </w:tcPr>
          <w:p w14:paraId="328DD753" w14:textId="77777777" w:rsidR="006458E0" w:rsidRPr="00981F01"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Total water evaporated</w:t>
            </w:r>
          </w:p>
        </w:tc>
        <w:tc>
          <w:tcPr>
            <w:tcW w:w="1225" w:type="dxa"/>
          </w:tcPr>
          <w:p w14:paraId="068A6598"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68%</w:t>
            </w:r>
          </w:p>
        </w:tc>
        <w:tc>
          <w:tcPr>
            <w:tcW w:w="869" w:type="dxa"/>
          </w:tcPr>
          <w:p w14:paraId="066834EA"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65%</w:t>
            </w:r>
          </w:p>
        </w:tc>
        <w:tc>
          <w:tcPr>
            <w:tcW w:w="871" w:type="dxa"/>
          </w:tcPr>
          <w:p w14:paraId="66C2AD6D"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74%</w:t>
            </w:r>
          </w:p>
        </w:tc>
        <w:tc>
          <w:tcPr>
            <w:tcW w:w="871" w:type="dxa"/>
          </w:tcPr>
          <w:p w14:paraId="5584262F"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74%</w:t>
            </w:r>
          </w:p>
        </w:tc>
        <w:tc>
          <w:tcPr>
            <w:tcW w:w="869" w:type="dxa"/>
          </w:tcPr>
          <w:p w14:paraId="49B9AF04"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72%</w:t>
            </w:r>
          </w:p>
        </w:tc>
        <w:tc>
          <w:tcPr>
            <w:tcW w:w="871" w:type="dxa"/>
          </w:tcPr>
          <w:p w14:paraId="737C1367"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73%</w:t>
            </w:r>
          </w:p>
        </w:tc>
        <w:tc>
          <w:tcPr>
            <w:tcW w:w="871" w:type="dxa"/>
          </w:tcPr>
          <w:p w14:paraId="7A014648"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ascii="Calibri" w:hAnsi="Calibri" w:cs="Times New Roman"/>
                <w:sz w:val="18"/>
                <w:szCs w:val="18"/>
              </w:rPr>
              <w:t>74%</w:t>
            </w:r>
          </w:p>
        </w:tc>
      </w:tr>
      <w:tr w:rsidR="006458E0" w:rsidRPr="00981F01" w14:paraId="3C3A2244" w14:textId="77777777" w:rsidTr="00981F01">
        <w:trPr>
          <w:jc w:val="center"/>
        </w:trPr>
        <w:tc>
          <w:tcPr>
            <w:cnfStyle w:val="001000000000" w:firstRow="0" w:lastRow="0" w:firstColumn="1" w:lastColumn="0" w:oddVBand="0" w:evenVBand="0" w:oddHBand="0" w:evenHBand="0" w:firstRowFirstColumn="0" w:firstRowLastColumn="0" w:lastRowFirstColumn="0" w:lastRowLastColumn="0"/>
            <w:tcW w:w="9062" w:type="dxa"/>
            <w:gridSpan w:val="9"/>
          </w:tcPr>
          <w:p w14:paraId="7182A67E" w14:textId="77777777" w:rsidR="006458E0" w:rsidRPr="00981F01" w:rsidRDefault="006458E0" w:rsidP="006458E0">
            <w:pPr>
              <w:jc w:val="both"/>
              <w:rPr>
                <w:b w:val="0"/>
                <w:sz w:val="18"/>
                <w:szCs w:val="18"/>
              </w:rPr>
            </w:pPr>
            <w:r w:rsidRPr="00981F01">
              <w:rPr>
                <w:rFonts w:ascii="Calibri" w:hAnsi="Calibri" w:cs="Times New Roman"/>
                <w:b w:val="0"/>
                <w:sz w:val="18"/>
                <w:szCs w:val="18"/>
              </w:rPr>
              <w:t>Comparison on a wet basis is difficult as substrate’s moisture is not always reported during experiments and are highly variable between studies. Moreover, for most case studies, relatively few data are available and these were not established in the same conditions, widening variation ranges (not displayed here). For example, intrinsic bias is induced if comparing studies whose objective was to assess a specific parameter, with studies rather aiming to simulate real rearing conditions. For example, the wide difference in terms of growth days can be explained with the fact that some studies fixed this value, while others considered it ended when 10-20-30% of the larvae entered the prepupae stage. Such different objectives also directly influence larval weight at the end of the experiment. Here, the 150mg value retained corresponds to the higher range of values reviewed for finishing BSF larvae reared on residual substrates (i.e. quality residual biomass such as CSG), which can be seen as slightly optimistic. FCR, DM is mostly coherent with or lower (hence more optimistic) than benchmarked data, except for AP and PS. In the former case, the two experiments reviewed involved AP included within a diet, and not alone, hence explaining why parameters achieved quality substrate performances. For the PS case, the only reported data was based on untraceable proxies (not own experiment). For the other streams, FCR, DM is of the same magnitude than experimentally observed, or lower (OP). The amount of remaining residue (DM basis) tends to be higher than reviewed benchmarked for some biomasses (e.g. SBP, AP), for the same reasons. Another reason lies in the ways CO</w:t>
            </w:r>
            <w:r w:rsidRPr="00981F01">
              <w:rPr>
                <w:rFonts w:ascii="Calibri" w:hAnsi="Calibri" w:cs="Times New Roman"/>
                <w:b w:val="0"/>
                <w:sz w:val="18"/>
                <w:szCs w:val="18"/>
                <w:vertAlign w:val="subscript"/>
              </w:rPr>
              <w:t>2</w:t>
            </w:r>
            <w:r w:rsidRPr="00981F01">
              <w:rPr>
                <w:rFonts w:ascii="Calibri" w:hAnsi="Calibri" w:cs="Times New Roman"/>
                <w:b w:val="0"/>
                <w:sz w:val="18"/>
                <w:szCs w:val="18"/>
              </w:rPr>
              <w:t xml:space="preserve"> emissions were modeled, proportional to insect biomass hence assuming a linear heterotrophic growth equation while emissions dynamics might vary depending on the specific substrate composition. This is further highlighted with the wide range of reported CO</w:t>
            </w:r>
            <w:r w:rsidRPr="00981F01">
              <w:rPr>
                <w:rFonts w:ascii="Calibri" w:hAnsi="Calibri" w:cs="Times New Roman"/>
                <w:b w:val="0"/>
                <w:sz w:val="18"/>
                <w:szCs w:val="18"/>
                <w:vertAlign w:val="subscript"/>
              </w:rPr>
              <w:t>2</w:t>
            </w:r>
            <w:r w:rsidRPr="00981F01">
              <w:rPr>
                <w:rFonts w:ascii="Calibri" w:hAnsi="Calibri" w:cs="Times New Roman"/>
                <w:b w:val="0"/>
                <w:sz w:val="18"/>
                <w:szCs w:val="18"/>
              </w:rPr>
              <w:t>-C emissions reviewed ranging 9-62%</w:t>
            </w:r>
            <w:r w:rsidRPr="00981F01">
              <w:rPr>
                <w:rFonts w:ascii="Calibri" w:hAnsi="Calibri" w:cs="Times New Roman"/>
                <w:b w:val="0"/>
                <w:sz w:val="18"/>
                <w:szCs w:val="18"/>
                <w:vertAlign w:val="subscript"/>
              </w:rPr>
              <w:t>C</w:t>
            </w:r>
            <w:r w:rsidRPr="00981F01">
              <w:rPr>
                <w:rFonts w:ascii="Calibri" w:hAnsi="Calibri" w:cs="Times New Roman"/>
                <w:b w:val="0"/>
                <w:sz w:val="18"/>
                <w:szCs w:val="18"/>
              </w:rPr>
              <w:t>. In the model these seems limited to &lt;50%, but directly linked with initial proteins content. Water balance is coherent with benchmarked value, with 6-26% of initial water being retained in insect biomass and 65-74% evaporated.</w:t>
            </w:r>
          </w:p>
        </w:tc>
      </w:tr>
    </w:tbl>
    <w:p w14:paraId="6E20182B" w14:textId="52BC9A53" w:rsidR="006458E0" w:rsidRPr="005A4BFA" w:rsidRDefault="006458E0" w:rsidP="003A663A">
      <w:pPr>
        <w:jc w:val="both"/>
        <w:rPr>
          <w:sz w:val="18"/>
        </w:rPr>
      </w:pPr>
      <w:r w:rsidRPr="005A4BFA">
        <w:rPr>
          <w:sz w:val="18"/>
        </w:rPr>
        <w:t>CSG, Corn Spent Grains; CPC, Canola press-cake; SBP, Sugar beet pulp; AP, Apple pomace; FM, Flour mill co-products; OP, Olive press-cake; PS: potato screenings. Converted N not displayed as fixed in this model (see</w:t>
      </w:r>
      <w:r w:rsidR="00E819F5">
        <w:rPr>
          <w:sz w:val="18"/>
        </w:rPr>
        <w:t xml:space="preserve"> </w:t>
      </w:r>
      <w:r w:rsidR="00E819F5" w:rsidRPr="00E819F5">
        <w:rPr>
          <w:b/>
          <w:sz w:val="18"/>
          <w:szCs w:val="18"/>
        </w:rPr>
        <w:fldChar w:fldCharType="begin"/>
      </w:r>
      <w:r w:rsidR="00E819F5" w:rsidRPr="00E819F5">
        <w:rPr>
          <w:b/>
          <w:sz w:val="18"/>
          <w:szCs w:val="18"/>
        </w:rPr>
        <w:instrText xml:space="preserve"> REF _Ref144803952 \h  \* MERGEFORMAT </w:instrText>
      </w:r>
      <w:r w:rsidR="00E819F5" w:rsidRPr="00E819F5">
        <w:rPr>
          <w:b/>
          <w:sz w:val="18"/>
          <w:szCs w:val="18"/>
        </w:rPr>
      </w:r>
      <w:r w:rsidR="00E819F5" w:rsidRPr="00E819F5">
        <w:rPr>
          <w:b/>
          <w:sz w:val="18"/>
          <w:szCs w:val="18"/>
        </w:rPr>
        <w:fldChar w:fldCharType="separate"/>
      </w:r>
      <w:r w:rsidR="00F25F8C" w:rsidRPr="00F25F8C">
        <w:rPr>
          <w:b/>
          <w:sz w:val="18"/>
          <w:szCs w:val="18"/>
        </w:rPr>
        <w:t xml:space="preserve">Table SI. </w:t>
      </w:r>
      <w:r w:rsidR="00F25F8C" w:rsidRPr="00F25F8C">
        <w:rPr>
          <w:b/>
          <w:noProof/>
          <w:sz w:val="18"/>
          <w:szCs w:val="18"/>
        </w:rPr>
        <w:t>30</w:t>
      </w:r>
      <w:r w:rsidR="00E819F5" w:rsidRPr="00E819F5">
        <w:rPr>
          <w:b/>
          <w:sz w:val="18"/>
          <w:szCs w:val="18"/>
        </w:rPr>
        <w:fldChar w:fldCharType="end"/>
      </w:r>
      <w:r w:rsidRPr="005A4BFA">
        <w:rPr>
          <w:sz w:val="18"/>
        </w:rPr>
        <w:t xml:space="preserve">). Background data </w:t>
      </w:r>
      <w:r w:rsidRPr="00981F01">
        <w:rPr>
          <w:sz w:val="18"/>
        </w:rPr>
        <w:t>in</w:t>
      </w:r>
      <w:r w:rsidRPr="005A4BFA">
        <w:rPr>
          <w:sz w:val="18"/>
        </w:rPr>
        <w:t xml:space="preserve"> </w:t>
      </w:r>
      <w:r w:rsidR="00981F01" w:rsidRPr="00981F01">
        <w:rPr>
          <w:i/>
          <w:sz w:val="18"/>
        </w:rPr>
        <w:t>B.BSF_module spreadsheet</w:t>
      </w:r>
      <w:r w:rsidRPr="00981F01">
        <w:rPr>
          <w:sz w:val="18"/>
        </w:rPr>
        <w:t>.</w:t>
      </w:r>
      <w:r w:rsidRPr="005A4BFA">
        <w:rPr>
          <w:sz w:val="18"/>
        </w:rPr>
        <w:t xml:space="preserve"> Model calculation established with baseline values.</w:t>
      </w:r>
    </w:p>
    <w:p w14:paraId="0F77561F" w14:textId="675FA080" w:rsidR="006458E0" w:rsidRPr="00E819F5" w:rsidRDefault="00E860C9" w:rsidP="006458E0">
      <w:pPr>
        <w:jc w:val="both"/>
        <w:rPr>
          <w:rFonts w:cs="Times New Roman"/>
        </w:rPr>
      </w:pPr>
      <w:r w:rsidRPr="008F2922">
        <w:rPr>
          <w:rStyle w:val="fontstyle01"/>
        </w:rPr>
        <w:t>The large variation range</w:t>
      </w:r>
      <w:r>
        <w:rPr>
          <w:rStyle w:val="fontstyle01"/>
        </w:rPr>
        <w:t>s</w:t>
      </w:r>
      <w:r w:rsidRPr="008F2922">
        <w:rPr>
          <w:rStyle w:val="fontstyle01"/>
        </w:rPr>
        <w:t xml:space="preserve"> of reviewed PCR and </w:t>
      </w:r>
      <w:r>
        <w:rPr>
          <w:rStyle w:val="fontstyle01"/>
        </w:rPr>
        <w:t>FCR (f</w:t>
      </w:r>
      <w:r w:rsidRPr="008F2922">
        <w:rPr>
          <w:rStyle w:val="fontstyle01"/>
        </w:rPr>
        <w:t xml:space="preserve">eed </w:t>
      </w:r>
      <w:r>
        <w:rPr>
          <w:rStyle w:val="fontstyle01"/>
        </w:rPr>
        <w:t>c</w:t>
      </w:r>
      <w:r w:rsidRPr="008F2922">
        <w:rPr>
          <w:rStyle w:val="fontstyle01"/>
        </w:rPr>
        <w:t xml:space="preserve">onversion </w:t>
      </w:r>
      <w:r>
        <w:rPr>
          <w:rStyle w:val="fontstyle01"/>
        </w:rPr>
        <w:t>r</w:t>
      </w:r>
      <w:r w:rsidRPr="008F2922">
        <w:rPr>
          <w:rStyle w:val="fontstyle01"/>
        </w:rPr>
        <w:t xml:space="preserve">atio) </w:t>
      </w:r>
      <w:r>
        <w:rPr>
          <w:rStyle w:val="fontstyle01"/>
        </w:rPr>
        <w:t>are</w:t>
      </w:r>
      <w:r w:rsidRPr="008F2922">
        <w:rPr>
          <w:rStyle w:val="fontstyle01"/>
        </w:rPr>
        <w:t xml:space="preserve"> </w:t>
      </w:r>
      <w:r>
        <w:rPr>
          <w:rStyle w:val="fontstyle01"/>
        </w:rPr>
        <w:t>a consequence of diverging approaches regarding the role of BSF rearing facilities in the literature. Some consider insects farming as a waste treatment operation, while others as optimized food or feed production processes, and both approaches are hardly reconcilable in practice. I</w:t>
      </w:r>
      <w:r w:rsidRPr="008F2922">
        <w:rPr>
          <w:rStyle w:val="fontstyle01"/>
        </w:rPr>
        <w:t xml:space="preserve">n reviewed studies, </w:t>
      </w:r>
      <w:r w:rsidRPr="008F2922">
        <w:t xml:space="preserve">high PCR were mostly achieved when BSF were reared </w:t>
      </w:r>
      <w:r>
        <w:t>on</w:t>
      </w:r>
      <w:r w:rsidRPr="008F2922">
        <w:t xml:space="preserve"> feed quality substrates, while lower PCR were achieved when </w:t>
      </w:r>
      <w:r w:rsidRPr="008F2922">
        <w:lastRenderedPageBreak/>
        <w:t xml:space="preserve">including a higher share of fibrous residues in BSF diets. From a feed production standpoint, </w:t>
      </w:r>
      <w:r w:rsidRPr="008F2922">
        <w:fldChar w:fldCharType="begin"/>
      </w:r>
      <w:r w:rsidRPr="008F2922">
        <w:instrText xml:space="preserve"> ADDIN ZOTERO_ITEM CSL_CITATION {"citationID":"XlycMJkd","properties":{"formattedCitation":"(Roffeis et al., 2020)","plainCitation":"(Roffeis et al., 2020)","dontUpdate":true,"noteIndex":0},"citationItems":[{"id":3192,"uris":["http://zotero.org/users/6423791/items/LE6TVFRZ"],"itemData":{"id":3192,"type":"article-journal","abstract":"While the idea of using insect based feeds (IBFs) offers great potential, especially in developing countries, the environmental impact of implementation remains poorly researched. This study investigates the environmental performance of IBF production in the geographical context of West Africa. Drawing on published life cycle inventory (LCIs) data, the impact of three different IBF production systems were ex-ante evaluated (ReCiPe method) and compared to conventional feed resources. The explorative life cycle study provides a basis for trade-off analysis between different insect rearing systems (Musca domestica and Hermetia illucens) and provides insights on the environmental performance of IBF in comparison with conventional animal- and plant based protein feeds (fishmeal, cottonseed and soybean meal). The impacts of IBFs were shown to be largely determined by rearing techniques and the environmental loads of rearing substrates, attesting advantages to the rearing of housefly (M. domestica) larvae on chicken manure and the use of natural oviposition, i.e., substrate inoculation through naturally occurring flies. A comparison with conventional feeds pointed out the environmental disadvantages of current IBF production designs (especially in comparison to plant based feeds) that were largely attributable to their different position in the trophic network (decomposers) and the systems’ sub-standard capacity utilisation (insufficient economy of scale effect). When larvae are reared on substrates of low economic value (i.e., waste streams), IBF impacts were comparable to fishmeal. The results of the comparative assessment also highlighted a methodological limitation in the ReCiPe method, which does not account for impacts related to the use of biotic resources. As a consequence, the utilization of naturally grown resources, such as wild anchoveta, was treated as an ecosystem service of no environmental charge, providing disproportionate advantages to the fishmeal system.","container-title":"Agricultural Systems","DOI":"10.1016/j.agsy.2019.102710","ISSN":"0308-521X","journalAbbreviation":"Agricultural Systems","language":"en","page":"102710","source":"ScienceDirect","title":"Ex-ante life cycle impact assessment of insect based feed production in West Africa","volume":"178","author":[{"family":"Roffeis","given":"Martin"},{"family":"Fitches","given":"Elaine C."},{"family":"Wakefield","given":"Maureen E."},{"family":"Almeida","given":"Joana"},{"family":"Alves Valada","given":"Tatiana R."},{"family":"Devic","given":"Emilie"},{"family":"Koné","given":"N’Golopé"},{"family":"Kenis","given":"Marc"},{"family":"Nacambo","given":"Saidou"},{"family":"Koko","given":"Gabriel K. D."},{"family":"Mathijs","given":"Erik"},{"family":"Achten","given":"Wouter M. J."},{"family":"Muys","given":"Bart"}],"issued":{"date-parts":[["2020",2,1]]}}}],"schema":"https://github.com/citation-style-language/schema/raw/master/csl-citation.json"} </w:instrText>
      </w:r>
      <w:r w:rsidRPr="008F2922">
        <w:fldChar w:fldCharType="separate"/>
      </w:r>
      <w:r w:rsidRPr="008F2922">
        <w:rPr>
          <w:rFonts w:ascii="Calibri" w:hAnsi="Calibri" w:cs="Calibri"/>
        </w:rPr>
        <w:t>Roffeis et al., (2020)</w:t>
      </w:r>
      <w:r w:rsidRPr="008F2922">
        <w:fldChar w:fldCharType="end"/>
      </w:r>
      <w:r w:rsidRPr="008F2922">
        <w:t xml:space="preserve"> already noted that the induced environmental benefits of increased PCR/FCR of BSF reared on quality raw substrates offset their higher environmental burden, which call for strategies to optimize insect rearing on residual streams </w:t>
      </w:r>
      <w:r w:rsidRPr="008F2922">
        <w:fldChar w:fldCharType="begin"/>
      </w:r>
      <w:r>
        <w:instrText xml:space="preserve"> ADDIN ZOTERO_ITEM CSL_CITATION {"citationID":"xiK3z3Gz","properties":{"formattedCitation":"\\super 97\\nosupersub{}","plainCitation":"97","noteIndex":0},"citationItems":[{"id":13898,"uris":["http://zotero.org/users/6423791/items/P85B8ECX"],"itemData":{"id":13898,"type":"article-journal","abstract":"Insect farming is a rapidly expanding agricultural sector with the potential to improve the environmental sustainability of livestock production. A holistic approach is needed to use farmed insects responsibly and effectively with broad benefits across food systems.","container-title":"Nature Food","DOI":"10.1038/s43016-022-00641-5","ISSN":"2662-1355","journalAbbreviation":"Nat Food","language":"en","license":"2022 Springer Nature Limited","note":"publisher: Nature Publishing Group","page":"1-3","source":"www.nature.com","title":"Principles for the responsible use of farmed insects as livestock feed","author":[{"family":"Parodi","given":"Alejandro"},{"family":"Ipema","given":"Allyson F."},{"family":"Van Zanten","given":"Hannah H. E."},{"family":"Bolhuis","given":"J. Elizabeth"},{"family":"Van Loon","given":"Joop J. A."},{"family":"De Boer","given":"Imke J. M."}],"issued":{"date-parts":[["2022",11,9]]}}}],"schema":"https://github.com/citation-style-language/schema/raw/master/csl-citation.json"} </w:instrText>
      </w:r>
      <w:r w:rsidRPr="008F2922">
        <w:fldChar w:fldCharType="separate"/>
      </w:r>
      <w:r w:rsidRPr="00E860C9">
        <w:rPr>
          <w:rFonts w:ascii="Calibri" w:hAnsi="Calibri" w:cs="Calibri"/>
          <w:szCs w:val="24"/>
          <w:vertAlign w:val="superscript"/>
        </w:rPr>
        <w:t>97</w:t>
      </w:r>
      <w:r w:rsidRPr="008F2922">
        <w:fldChar w:fldCharType="end"/>
      </w:r>
      <w:r w:rsidRPr="008F2922">
        <w:t xml:space="preserve">. For example, one leverage is to use insect’s short lifecycle to </w:t>
      </w:r>
      <w:r w:rsidRPr="008F2922">
        <w:rPr>
          <w:rFonts w:cs="Times New Roman"/>
        </w:rPr>
        <w:t xml:space="preserve">enhance substrate-specific BSF conversion efficiencies over many generations </w:t>
      </w:r>
      <w:r w:rsidRPr="008F2922">
        <w:rPr>
          <w:rFonts w:cs="Times New Roman"/>
        </w:rPr>
        <w:fldChar w:fldCharType="begin"/>
      </w:r>
      <w:r>
        <w:rPr>
          <w:rFonts w:cs="Times New Roman"/>
        </w:rPr>
        <w:instrText xml:space="preserve"> ADDIN ZOTERO_ITEM CSL_CITATION {"citationID":"izesWIha","properties":{"formattedCitation":"\\super 95,98\\nosupersub{}","plainCitation":"95,98","noteIndex":0},"citationItems":[{"id":13006,"uris":["http://zotero.org/users/6423791/items/RUZQIZX5"],"itemData":{"id":13006,"type":"thesis","event-place":"Davis","language":"en","number-of-pages":"172","publisher":"University of California","publisher-place":"Davis","source":"Zotero","title":"Using insects in conversion of agricultural by-products and applications of their value-added products","URL":"https://escholarship.org/content/qt4x26p0dj/qt4x26p0dj.pdf","author":[{"family":"Fowles","given":"Trevor Michael"}],"issued":{"date-parts":[["2022"]]}}},{"id":13435,"uris":["http://zotero.org/users/6423791/items/SBLUDBK6"],"itemData":{"id":13435,"type":"report","event-place":"Aarhus","language":"en","page":"26","publisher":"Teknologisk Institute","publisher-place":"Aarhus","source":"Zotero","title":"Bioconversion of Guldborgsund Municipality’s residual sub- strates into insect meal","author":[{"family":"Heckmann","given":"Lars-Henrik Lau"},{"family":"Gligorescu","given":"Anton"}],"issued":{"date-parts":[["2019"]]}}}],"schema":"https://github.com/citation-style-language/schema/raw/master/csl-citation.json"} </w:instrText>
      </w:r>
      <w:r w:rsidRPr="008F2922">
        <w:rPr>
          <w:rFonts w:cs="Times New Roman"/>
        </w:rPr>
        <w:fldChar w:fldCharType="separate"/>
      </w:r>
      <w:r w:rsidRPr="00E860C9">
        <w:rPr>
          <w:rFonts w:ascii="Calibri" w:hAnsi="Calibri" w:cs="Calibri"/>
          <w:szCs w:val="24"/>
          <w:vertAlign w:val="superscript"/>
        </w:rPr>
        <w:t>95,98</w:t>
      </w:r>
      <w:r w:rsidRPr="008F2922">
        <w:rPr>
          <w:rFonts w:cs="Times New Roman"/>
        </w:rPr>
        <w:fldChar w:fldCharType="end"/>
      </w:r>
      <w:r w:rsidRPr="008F2922">
        <w:rPr>
          <w:rFonts w:cs="Times New Roman"/>
        </w:rPr>
        <w:t>.</w:t>
      </w:r>
      <w:r>
        <w:rPr>
          <w:rFonts w:cs="Times New Roman"/>
        </w:rPr>
        <w:t xml:space="preserve"> </w:t>
      </w:r>
      <w:r w:rsidR="006458E0" w:rsidRPr="003F5DA8">
        <w:rPr>
          <w:rFonts w:cs="Times New Roman"/>
        </w:rPr>
        <w:t>The harmonization of insect rearing experiments, their systematic methodological transparency (e.g. providing unaggregated data), and the consolidation of existing databases will likely altogether allow to draw robust correlation between insect growth parameters, growth conditions and substrate’s composition</w:t>
      </w:r>
      <w:r w:rsidR="006458E0" w:rsidRPr="003F5DA8">
        <w:rPr>
          <w:rFonts w:cs="Times New Roman"/>
        </w:rPr>
        <w:fldChar w:fldCharType="begin"/>
      </w:r>
      <w:r w:rsidR="00942782">
        <w:rPr>
          <w:rFonts w:cs="Times New Roman"/>
        </w:rPr>
        <w:instrText xml:space="preserve"> ADDIN ZOTERO_ITEM CSL_CITATION {"citationID":"6GmKtNNJ","properties":{"formattedCitation":"\\super 19,78\\nosupersub{}","plainCitation":"19,78","noteIndex":0},"citationItems":[{"id":2934,"uris":["http://zotero.org/users/6423791/items/PXVMPUHZ"],"itemData":{"id":2934,"type":"article-journal","abstract":"Using larvae of the black soldier fly (Hermetia illucens; BSF) to convert low-value residual organic resources into high-value products like protein-rich animal feed ingredients and biofuel while managing organic waste has developed into a global industry. Considering the associated exponential increase in publications dealing with diet conversion efficiency by BSF larvae, it is timely to suggest procedures to arrive at an improved harmonization and reproducibility among studies. This means establishing protocols for describing the basic experiment design, fly colony origin, rearing procedures, reference and experimental feeding substrates, and sampling preparations including microbiota and chemical analyses. Such standardised protocols are instrumental to allow conversion efficiencies to be calculated. Some of these parameters are relatively easy to describe such as giving the origin and rearing conditions, while others are more challenging (e.g. description of microbe community). In this article we discuss and propose such procedures with the aim to arrive at standardisation of how future resource conversion studies with BSF larvae are conducted and how results are communicated.","container-title":"Journal of Insects as Food and Feed","DOI":"10.3920/JIFF2019.0004","ISSN":"2352-4588","issue":"2","journalAbbreviation":"Journal of Insects as Food and Feed","language":"en","page":"95-109","source":"DOI.org (Crossref)","title":"Standardisation of quantitative resource conversion studies with black soldier fly larvae","volume":"6","author":[{"family":"Bosch","given":"G."},{"family":"Oonincx","given":"D.G.A.B."},{"family":"Jordan","given":"H.R."},{"family":"Zhang","given":"J."},{"family":"Loon","given":"J.J.A.","non-dropping-particle":"van"},{"family":"Huis","given":"A.","non-dropping-particle":"van"},{"family":"Tomberlin","given":"J.K."}],"issued":{"date-parts":[["2020",4,8]]}}},{"id":13326,"uris":["http://zotero.org/users/6423791/items/G6IKZJDE"],"itemData":{"id":13326,"type":"article-journal","abstract":"Mass production of insects is calling for environmentally optimised and economically efficient insect value chains. It is a complex task considering a great variety in insect species, production scales, feed formulations, etc. Taking a challenge of environmental impact clarification, a few studies highlight on life cycle assessment (LCA) of insect production. The current study is aimed to systemise 24 selected previous studies to establish a modular framework for the determination of contribution of sustainability assessment factors of insect production chains. Reviewing published studies according to the elements of LCA, the study identified a feasible approach for the modelling of insect production chains, which can be used for the facilitation of comparability of further LCA studies. The approach is based on a modular analysis of insect production through a graphical mapping of value chains (allowed identification of precise system boundaries) supplemented with table analysis considering scale of production, reference (functional) unit, impact assessment methodology and type of LCA. Such an approach allows for consistency in LCA setting and further comparability of results.","container-title":"Journal of Insects as Food and Feed","DOI":"10.3920/JIFF2020.0116","ISSN":"2352-4588","issue":"5","journalAbbreviation":"J. Insects Food Feed","language":"en","page":"553-571","source":"DOI.org (Crossref)","title":"Environmental aspects of insect mass production","volume":"7","author":[{"family":"Smetana","given":"S."},{"family":"Spykman","given":"R."},{"family":"Heinz","given":"V."}],"issued":{"date-parts":[["2021",8,13]]}}}],"schema":"https://github.com/citation-style-language/schema/raw/master/csl-citation.json"} </w:instrText>
      </w:r>
      <w:r w:rsidR="006458E0" w:rsidRPr="003F5DA8">
        <w:rPr>
          <w:rFonts w:cs="Times New Roman"/>
        </w:rPr>
        <w:fldChar w:fldCharType="separate"/>
      </w:r>
      <w:r w:rsidR="00942782" w:rsidRPr="00942782">
        <w:rPr>
          <w:rFonts w:ascii="Calibri" w:hAnsi="Calibri" w:cs="Calibri"/>
          <w:szCs w:val="24"/>
          <w:vertAlign w:val="superscript"/>
        </w:rPr>
        <w:t>19,78</w:t>
      </w:r>
      <w:r w:rsidR="006458E0" w:rsidRPr="003F5DA8">
        <w:rPr>
          <w:rFonts w:cs="Times New Roman"/>
        </w:rPr>
        <w:fldChar w:fldCharType="end"/>
      </w:r>
      <w:r w:rsidR="006458E0" w:rsidRPr="003F5DA8">
        <w:rPr>
          <w:rFonts w:cs="Times New Roman"/>
        </w:rPr>
        <w:t>. Existing correlations e.g. lipids positively and fibers negatively influencing waste reduction rates</w:t>
      </w:r>
      <w:r w:rsidR="006458E0" w:rsidRPr="003F5DA8">
        <w:rPr>
          <w:rFonts w:cs="Times New Roman"/>
        </w:rPr>
        <w:fldChar w:fldCharType="begin"/>
      </w:r>
      <w:r>
        <w:rPr>
          <w:rFonts w:cs="Times New Roman"/>
        </w:rPr>
        <w:instrText xml:space="preserve"> ADDIN ZOTERO_ITEM CSL_CITATION {"citationID":"Y8a0dlod","properties":{"formattedCitation":"\\super 99\\nosupersub{}","plainCitation":"99","noteIndex":0},"citationItems":[{"id":2935,"uris":["http://zotero.org/users/6423791/items/H89WTABY"],"itemData":{"id":2935,"type":"article-journal","abstract":"A key challenge for black soldier fly larvae (BSFL) treatment is its variable reliability and efficiency when applied to different biowastes. Similar to other biowaste treatment technologies, co-conversion could compensate for variability in the composition of biowastes. Using detailed nutrient analyses, this study assessed whether mixing biowastes to similar protein and non-fibre carbohydrate (NFC) contents increased the performance and reduced the variability of BSFL treatment in comparison to the treatment of individual wastes. The biowastes examined were mill by-products, human faeces, poultry slaughterhouse waste, cow manure, and canteen waste. Biowaste formulations had a protein-to-NFC ratio of 1:1, a protein content of 14–19%, and a NFC content of 13–15% (dry mass). Performance parameters that were assessed included survival and bioconversion rate, waste reduction, and waste conversion and protein conversion efficiency. In comparison to poultry feed (benchmark), vegetable canteen waste showed the best performance and cow manure performed worst. Formulations showed significantly improved performance and lower variability in comparison to the individual wastes. However, variability in performance was higher than expected for the formulations. One reason for this variability could be different fibre and lipid contents, which correlated with the performance results of the formulations. Overall, this research provides baseline knowledge and guidance on how BSFL treatment facilities may systematically operate using biowastes of varying types and compositions.","container-title":"Waste Management","DOI":"10.1016/j.wasman.2019.10.036","ISSN":"0956-053X","journalAbbreviation":"Waste Manag.","language":"en","page":"319-329","source":"ScienceDirect","title":"Biowaste treatment with black soldier fly larvae: Increasing performance through the formulation of biowastes based on protein and carbohydrates","title-short":"Biowaste treatment with black soldier fly larvae","volume":"102","author":[{"family":"Gold","given":"Moritz"},{"family":"Cassar","given":"Cecille Marie"},{"family":"Zurbrügg","given":"Christian"},{"family":"Kreuzer","given":"Michael"},{"family":"Boulos","given":"Samy"},{"family":"Diener","given":"Stefan"},{"family":"Mathys","given":"Alexander"}],"issued":{"date-parts":[["2020",2,1]]}}}],"schema":"https://github.com/citation-style-language/schema/raw/master/csl-citation.json"} </w:instrText>
      </w:r>
      <w:r w:rsidR="006458E0" w:rsidRPr="003F5DA8">
        <w:rPr>
          <w:rFonts w:cs="Times New Roman"/>
        </w:rPr>
        <w:fldChar w:fldCharType="separate"/>
      </w:r>
      <w:r w:rsidRPr="00E860C9">
        <w:rPr>
          <w:rFonts w:ascii="Calibri" w:hAnsi="Calibri" w:cs="Calibri"/>
          <w:szCs w:val="24"/>
          <w:vertAlign w:val="superscript"/>
        </w:rPr>
        <w:t>99</w:t>
      </w:r>
      <w:r w:rsidR="006458E0" w:rsidRPr="003F5DA8">
        <w:rPr>
          <w:rFonts w:cs="Times New Roman"/>
        </w:rPr>
        <w:fldChar w:fldCharType="end"/>
      </w:r>
      <w:r w:rsidR="006458E0" w:rsidRPr="003F5DA8">
        <w:rPr>
          <w:rFonts w:cs="Times New Roman"/>
        </w:rPr>
        <w:t>; lignin and hemicellulose negatively correlated with larvae growth rate</w:t>
      </w:r>
      <w:r w:rsidR="006458E0" w:rsidRPr="003F5DA8">
        <w:rPr>
          <w:rFonts w:cs="Times New Roman"/>
        </w:rPr>
        <w:fldChar w:fldCharType="begin"/>
      </w:r>
      <w:r w:rsidR="00942782">
        <w:rPr>
          <w:rFonts w:cs="Times New Roman"/>
        </w:rPr>
        <w:instrText xml:space="preserve"> ADDIN ZOTERO_ITEM CSL_CITATION {"citationID":"uYa0drFN","properties":{"formattedCitation":"\\super 75\\nosupersub{}","plainCitation":"75","noteIndex":0},"citationItems":[{"id":12295,"uris":["http://zotero.org/users/6423791/items/VVS73WKS"],"itemData":{"id":12295,"type":"article-journal","abstract":"Black soldier fly larvae (BSFL) treatment is promising for organic waste valorisation in the circular economy; however, waste variability impacts the process performance and quality of produced larvae. Specifically, variation in the carbohydrate profile of treated wastes has been suggested to have a significant impact on BSFL treatment performance and quality of produced larvae, with particular carbohydrates either positively or negatively influencing these variables. This study examines the hypothesis that the types of carbohydrates within the substrate can have significant influence on larval survival, waste reduction, bioconversion, and waste conversion efficiency, as well as the crude lipid content and fatty acid profiles of the produced larvae. The carbohydrates explored were D glucose, sucrose, D (−) fructose, corn and wheat starch, D (+) galactose, D (+) mannose, D (+) xylose, D (−) arabinose and xylan from beechwood. Young larvae were grown for 9 days on chicken feed-based diets containing various carbohydrate additives each at 20 dry mass %. Treatments containing hemicellulose constituents galactose and arabinose produced the most adverse effects on process performance relative to the benchmark. Xylan was significantly detrimental to bioconversion (−14.7 ± 3.8%) and waste conversion efficiencies (−19.0 ± 4.4%). There were minimal significant effects on performance from mono- and di-saccharides and starch additives. Larvae crude lipid contents were significantly increased by wheat starch (+12.6 ± 3.0%) and decreased by galactose (−15.0 ± 1.4%) and xylan additives (−27.5 ± 3.4%), however fatty acid profiles were largely unaffected and were dominated by lauric acid. These results indicate that despite an otherwise balanced and nutritious substrate, the carbohydrate profile of organic waste should be an important consideration in BSFL treatment when ensuring process performance and larval lipid contents. The consequences of these results for BSFL treatment of real wastes are discussed. Large scale treatment facilities should formulate substrates accordingly and identify methods to mitigate the anti-nutritional effects of poor carbohydrate profiles, particularly those high in hemicelluloses and their constituents.","container-title":"Waste Management","DOI":"10.1016/j.wasman.2021.10.013","ISSN":"0956-053X","journalAbbreviation":"Waste Management","language":"en","page":"9-19","source":"ScienceDirect","title":"Understanding dietary carbohydrates in black soldier fly larvae treatment of organic waste in the circular economy","volume":"137","author":[{"family":"Cohn","given":"Zachary"},{"family":"Latty","given":"Tanya"},{"family":"Abbas","given":"Ali"}],"issued":{"date-parts":[["2022",1,1]]}}}],"schema":"https://github.com/citation-style-language/schema/raw/master/csl-citation.json"} </w:instrText>
      </w:r>
      <w:r w:rsidR="006458E0" w:rsidRPr="003F5DA8">
        <w:rPr>
          <w:rFonts w:cs="Times New Roman"/>
        </w:rPr>
        <w:fldChar w:fldCharType="separate"/>
      </w:r>
      <w:r w:rsidR="00942782" w:rsidRPr="00942782">
        <w:rPr>
          <w:rFonts w:ascii="Calibri" w:hAnsi="Calibri" w:cs="Calibri"/>
          <w:szCs w:val="24"/>
          <w:vertAlign w:val="superscript"/>
        </w:rPr>
        <w:t>75</w:t>
      </w:r>
      <w:r w:rsidR="006458E0" w:rsidRPr="003F5DA8">
        <w:rPr>
          <w:rFonts w:cs="Times New Roman"/>
        </w:rPr>
        <w:fldChar w:fldCharType="end"/>
      </w:r>
      <w:r w:rsidR="006458E0" w:rsidRPr="003F5DA8">
        <w:rPr>
          <w:rFonts w:cs="Times New Roman"/>
        </w:rPr>
        <w:t xml:space="preserve"> should be complemented to draw enhanced prediction models, but this was out of the scope of this study. Similarly, pretreatment strategies could further enhance bioconversion of residual substrates through e.g. fungal fermentation, enzymatic treatment, ammonia treatment, etc.</w:t>
      </w:r>
      <w:r w:rsidR="006458E0" w:rsidRPr="003F5DA8">
        <w:rPr>
          <w:rFonts w:cs="Times New Roman"/>
        </w:rPr>
        <w:fldChar w:fldCharType="begin"/>
      </w:r>
      <w:r>
        <w:rPr>
          <w:rFonts w:cs="Times New Roman"/>
        </w:rPr>
        <w:instrText xml:space="preserve"> ADDIN ZOTERO_ITEM CSL_CITATION {"citationID":"XYQnzAln","properties":{"formattedCitation":"\\super 100,101\\nosupersub{}","plainCitation":"100,101","noteIndex":0},"citationItems":[{"id":13168,"uris":["http://zotero.org/users/6423791/items/EAZH5I3D"],"itemData":{"id":13168,"type":"article-journal","abstract":"The increase in solid waste generation is caused primarily by the global population growth that resulted in urban sprawl, economic development, and consumerism. Poor waste management has adverse impacts on the environment and human health. The recent years have seen increasing interest in using black soldier ﬂy (BSF), Hermetia illucens, as an organic waste converter. Black soldier ﬂy larvae (BSFL) feed voraciously on various types of organic waste, including food wastes, agroindustrial by-products, and chicken and dairy manure, and reduce the initial weight of the organic waste by about 50% in a shorter period than conventional composting. The main components of the BSFL system are the larvero, where the larvae feed and grow, and the ﬂy house, where the adults BSF live and reproduce. It is essential to have a rearing facility that maintains the healthy adult and larval BSF to provide a sufﬁcient and continuous supply of offspring for organic waste treatment. The BSF organic waste processing facility consists of waste pre-processing, BSFL biowaste treatment, the separation of BSFL from the process residue, and larvae and residue reﬁnement into marketable products. BSFL digest the nutrients in the wastes and convert them into beneﬁcial proteins and fats used to produce animal feed, and BSFL residue can be used as an organic fertilizer. This review summarizes the BSFL treatment process to provide an in-depth understanding of the value of its by-products as animal feed and organic fertilizer.","container-title":"Sustainability","DOI":"10.3390/su14084565","ISSN":"2071-1050","issue":"8","journalAbbreviation":"Sustainability","language":"en","page":"4565","source":"DOI.org (Crossref)","title":"A Review of Organic Waste Treatment Using Black Soldier Fly (Hermetia illucens)","volume":"14","author":[{"family":"Amrul","given":"Nur Fardilla"},{"family":"Kabir Ahmad","given":"Irfana"},{"family":"Ahmad Basri","given":"Noor Ezlin"},{"family":"Suja","given":"Fatihah"},{"family":"Abdul Jalil","given":"Nurul Ain"},{"family":"Azman","given":"Nur Asyiqin"}],"issued":{"date-parts":[["2022",4,11]]}}},{"id":12918,"uris":["http://zotero.org/users/6423791/items/N2LIEIZI"],"itemData":{"id":12918,"type":"article-journal","abstract":"One technology that implements circular economy principles is black soldier fly larvae (BSFL) composting. To assess the environmental impact of BSFL technology, more data on emissions of greenhouse gases (GHG) and ammonia are needed. This study investigated process efficiency and GHG emissions from BSFL composting of orange peels and a mix of broccoli and cauliflower trimmings, with and without pre-treatment. Two weeks of substrate pre-treatment with ammonia or fungi (Trichoderma reesei) were investigated, and direct emissions of GHG and ammonia from the process were evaluated. Process efficiency was evaluated by waste-to-biomass conversion efficiency (BCE) and material reduction. In BSFL composting of trimmings, BCE was not significantly improved by pre-treatment, However, larval volatile solids (VS) load in the fungi pre-treated treatment was very low, likely contributing to low BCE. BCE was low (6%) in the peel control and even lower in the pre-treatments, indicating that this substrate is unsuitable for BSFL composting. Material reduction was largest for trimmings (84%) and peels (60%) pre-treated with fungi. Emissions of methane (CH4) and nitrous oxide (N2O), expressed in CO2-eq, were very low (0.04–1.57 g/kg initial wet weight (ww)) compared with direct CO2 emissions (47–147 g/kg initial ww). Fungi pre-treatment appeared to make the trimmings more available to the larvae, while also drying out the substrate and removing a large proportion of available VS. Thus fungi pre-treatment could be used to increase waste treatment capacity. Ammonia pre-treatment reduced emissions of CH4 and N2O without affecting overall BCE, but significantly increased NH3 emissions.","container-title":"Journal of Cleaner Production","DOI":"10.1016/j.jclepro.2022.130552","ISSN":"0959-6526","journalAbbreviation":"Journal of Cleaner Production","language":"en","page":"130552","source":"ScienceDirect","title":"Process efficiency and greenhouse gas emissions in black soldier fly larvae composting of fruit and vegetable waste with and without pre-treatment","author":[{"family":"Lindberg","given":"L."},{"family":"Ermolaev","given":"E."},{"family":"Vinnerås","given":"B."},{"family":"Lalander","given":"C."}],"issued":{"date-parts":[["2022",1,19]]}}}],"schema":"https://github.com/citation-style-language/schema/raw/master/csl-citation.json"} </w:instrText>
      </w:r>
      <w:r w:rsidR="006458E0" w:rsidRPr="003F5DA8">
        <w:rPr>
          <w:rFonts w:cs="Times New Roman"/>
        </w:rPr>
        <w:fldChar w:fldCharType="separate"/>
      </w:r>
      <w:r w:rsidRPr="00E860C9">
        <w:rPr>
          <w:rFonts w:ascii="Calibri" w:hAnsi="Calibri" w:cs="Calibri"/>
          <w:szCs w:val="24"/>
          <w:vertAlign w:val="superscript"/>
        </w:rPr>
        <w:t>100,101</w:t>
      </w:r>
      <w:r w:rsidR="006458E0" w:rsidRPr="003F5DA8">
        <w:rPr>
          <w:rFonts w:cs="Times New Roman"/>
        </w:rPr>
        <w:fldChar w:fldCharType="end"/>
      </w:r>
      <w:r w:rsidR="006458E0" w:rsidRPr="003F5DA8">
        <w:rPr>
          <w:rFonts w:cs="Times New Roman"/>
        </w:rPr>
        <w:t>, but consolidated data are required. Micronutrients, albeit key to ensure larvae development (e.g. calcium</w:t>
      </w:r>
      <w:r w:rsidR="006458E0" w:rsidRPr="003F5DA8">
        <w:rPr>
          <w:rFonts w:cs="Times New Roman"/>
        </w:rPr>
        <w:fldChar w:fldCharType="begin"/>
      </w:r>
      <w:r>
        <w:rPr>
          <w:rFonts w:cs="Times New Roman"/>
        </w:rPr>
        <w:instrText xml:space="preserve"> ADDIN ZOTERO_ITEM CSL_CITATION {"citationID":"MamAcn5Z","properties":{"formattedCitation":"\\super 102\\nosupersub{}","plainCitation":"102","noteIndex":0},"citationItems":[{"id":13441,"uris":["http://zotero.org/users/6423791/items/6ZK8LR7F"],"itemData":{"id":13441,"type":"article-journal","container-title":"Scientific Reports","DOI":"10.1038/s41598-019-46603-z","ISSN":"2045-2322","issue":"1","journalAbbreviation":"Sci Rep","language":"en","page":"10110","source":"DOI.org (Crossref)","title":"The nutritive value of black soldier fly larvae reared on common organic waste streams in Kenya","volume":"9","author":[{"family":"Shumo","given":"Marwa"},{"family":"Osuga","given":"Isaac M."},{"family":"Khamis","given":"Fathiya M."},{"family":"Tanga","given":"Chrysantus M."},{"family":"Fiaboe","given":"Komi K. M."},{"family":"Subramanian","given":"Sevgan"},{"family":"Ekesi","given":"Sunday"},{"family":"Huis","given":"Arnold","non-dropping-particle":"van"},{"family":"Borgemeister","given":"Christian"}],"issued":{"date-parts":[["2019",12]]}}}],"schema":"https://github.com/citation-style-language/schema/raw/master/csl-citation.json"} </w:instrText>
      </w:r>
      <w:r w:rsidR="006458E0" w:rsidRPr="003F5DA8">
        <w:rPr>
          <w:rFonts w:cs="Times New Roman"/>
        </w:rPr>
        <w:fldChar w:fldCharType="separate"/>
      </w:r>
      <w:r w:rsidRPr="00E860C9">
        <w:rPr>
          <w:rFonts w:ascii="Calibri" w:hAnsi="Calibri" w:cs="Calibri"/>
          <w:szCs w:val="24"/>
          <w:vertAlign w:val="superscript"/>
        </w:rPr>
        <w:t>102</w:t>
      </w:r>
      <w:r w:rsidR="006458E0" w:rsidRPr="003F5DA8">
        <w:rPr>
          <w:rFonts w:cs="Times New Roman"/>
        </w:rPr>
        <w:fldChar w:fldCharType="end"/>
      </w:r>
      <w:r w:rsidR="006458E0" w:rsidRPr="003F5DA8">
        <w:rPr>
          <w:rFonts w:cs="Times New Roman"/>
        </w:rPr>
        <w:t>) were not accounted in this study as assumed to stem from the rest of the diet.</w:t>
      </w:r>
    </w:p>
    <w:p w14:paraId="1861085D" w14:textId="77777777" w:rsidR="006458E0" w:rsidRPr="006458E0" w:rsidRDefault="006458E0" w:rsidP="00877BEE">
      <w:pPr>
        <w:pStyle w:val="Titre5"/>
      </w:pPr>
      <w:r w:rsidRPr="006458E0">
        <w:t>Insect direct emissions</w:t>
      </w:r>
    </w:p>
    <w:p w14:paraId="2B06ED3B" w14:textId="0B29560D" w:rsidR="006458E0" w:rsidRDefault="006458E0" w:rsidP="00E819F5">
      <w:pPr>
        <w:jc w:val="both"/>
        <w:rPr>
          <w:rFonts w:cs="Times New Roman"/>
        </w:rPr>
      </w:pPr>
      <w:r w:rsidRPr="003F5DA8">
        <w:rPr>
          <w:rFonts w:cs="Times New Roman"/>
        </w:rPr>
        <w:t>Insects rearing generates direct emissions stemming from residues, frass and insect’s own metabolism. Yet, studies documenting these emissions are limited (seven found) and displayed wide variation ranges. This is in line with the recent BSF greenhouse gas emissions review of Boakye-Yiadom et al., 2022</w:t>
      </w:r>
      <w:r w:rsidRPr="003F5DA8">
        <w:rPr>
          <w:rFonts w:cs="Times New Roman"/>
        </w:rPr>
        <w:fldChar w:fldCharType="begin"/>
      </w:r>
      <w:r w:rsidR="00E860C9">
        <w:rPr>
          <w:rFonts w:cs="Times New Roman"/>
        </w:rPr>
        <w:instrText xml:space="preserve"> ADDIN ZOTERO_ITEM CSL_CITATION {"citationID":"pqvWrwWt","properties":{"formattedCitation":"\\super 103\\nosupersub{}","plainCitation":"103","noteIndex":0},"citationItems":[{"id":14036,"uris":["http://zotero.org/users/6423791/items/2ZIRTJ2R"],"itemData":{"id":14036,"type":"article-journal","abstract":"The black soldier fly (BSF) is recognised as a valuable insect for mitigating feed and organic waste management challenges. Thus, concerted efforts are being directed toward the promotion of the BSF. Despite the numerous advantages of BSF larvae, there are several critical environmental aspects, particularly its global warming potential, that need to be considered before large-scale adoption due to the complexity of the insect’s value chain. The direct assessment of greenhouse gas (GHG) and ammonia emissions from BSF larvae biotreatment is crucial for conducting a life cycle assessment (LCA) to evaluate the insect products’ environmental performance. This article reviews the emissions of GHG from BSF larvae bioconversion activities based on different gas sensing techniques while highlighting the factors that influence these emissions. Generally, low gas emissions were reported. However, the influence of various factors influencing emissions remains unclear, especially for nitrous oxide. We also analysed LCA studies on BSFL products while emphasising the uncertainties and variabilities among the studies. The wide variation of impact scores reported in the studies suggests that standardised guidelines should be developed to streamline methodical approaches for impact assessments pertaining to system boundaries, functional units, allocation, and system expansion assumptions. We identified several aspects for future improvements to harmonise studies in order to enhance the comparative assessment of the BSFL products.","container-title":"Sustainability","DOI":"10.3390/su141610456","ISSN":"2071-1050","issue":"16","language":"en","license":"http://creativecommons.org/licenses/by/3.0/","note":"number: 16\npublisher: Multidisciplinary Digital Publishing Institute","page":"10456","source":"www.mdpi.com","title":"Greenhouse Gas Emissions and Life Cycle Assessment on the Black Soldier Fly (Hermetia illucens L.)","volume":"14","author":[{"family":"Boakye-Yiadom","given":"Kofi Armah"},{"family":"Ilari","given":"Alessio"},{"family":"Duca","given":"Daniele"}],"issued":{"date-parts":[["2022",1]]}}}],"schema":"https://github.com/citation-style-language/schema/raw/master/csl-citation.json"} </w:instrText>
      </w:r>
      <w:r w:rsidRPr="003F5DA8">
        <w:rPr>
          <w:rFonts w:cs="Times New Roman"/>
        </w:rPr>
        <w:fldChar w:fldCharType="separate"/>
      </w:r>
      <w:r w:rsidR="00E860C9" w:rsidRPr="00E860C9">
        <w:rPr>
          <w:rFonts w:ascii="Calibri" w:hAnsi="Calibri" w:cs="Calibri"/>
          <w:szCs w:val="24"/>
          <w:vertAlign w:val="superscript"/>
        </w:rPr>
        <w:t>103</w:t>
      </w:r>
      <w:r w:rsidRPr="003F5DA8">
        <w:rPr>
          <w:rFonts w:cs="Times New Roman"/>
        </w:rPr>
        <w:fldChar w:fldCharType="end"/>
      </w:r>
      <w:r w:rsidRPr="003F5DA8">
        <w:rPr>
          <w:rFonts w:cs="Times New Roman"/>
        </w:rPr>
        <w:t>. Following the suggestion of Spykman et al., 2021</w:t>
      </w:r>
      <w:r w:rsidRPr="003F5DA8">
        <w:rPr>
          <w:rFonts w:cs="Times New Roman"/>
        </w:rPr>
        <w:fldChar w:fldCharType="begin"/>
      </w:r>
      <w:r w:rsidR="008C451C">
        <w:rPr>
          <w:rFonts w:cs="Times New Roman"/>
        </w:rPr>
        <w:instrText xml:space="preserve"> ADDIN ZOTERO_ITEM CSL_CITATION {"citationID":"4zvmitOt","properties":{"formattedCitation":"\\super 67\\nosupersub{}","plainCitation":"67","noteIndex":0},"citationItems":[{"id":12260,"uris":["http://zotero.org/users/6423791/items/7WTH59GM"],"itemData":{"id":12260,"type":"article-journal","abstract":"The inclusion of insect protein into the food system has been proposed as a promising solution to ensure future food security and mitigate negative environmental impacts related to food production. However, the market volume for edible insects in Europe is still small; consequently, producers need a decision-support system to ensure the sustainable upscaling of the sector. The study analyzed environmental and economic impacts of insect production to identify the most eco-efficient production scenarios.","container-title":"The International Journal of Life Cycle Assessment","DOI":"10.1007/s11367-021-01986-y","ISSN":"1614-7502","journalAbbreviation":"Int J Life Cycle Assess","language":"en","source":"Springer Link","title":"A modular environmental and economic assessment applied to the production of Hermetia illucens larvae as a protein source for food and feed","URL":"https://doi.org/10.1007/s11367-021-01986-y","author":[{"family":"Spykman","given":"Raphaela"},{"family":"Hossaini","given":"Sayed Mahdi"},{"family":"Peguero","given":"Daniela A."},{"family":"Green","given":"Ashley"},{"family":"Heinz","given":"Volker"},{"family":"Smetana","given":"Sergiy"}],"accessed":{"date-parts":[["2021",10,14]]},"issued":{"date-parts":[["2021",10,9]]}}}],"schema":"https://github.com/citation-style-language/schema/raw/master/csl-citation.json"} </w:instrText>
      </w:r>
      <w:r w:rsidRPr="003F5DA8">
        <w:rPr>
          <w:rFonts w:cs="Times New Roman"/>
        </w:rPr>
        <w:fldChar w:fldCharType="separate"/>
      </w:r>
      <w:r w:rsidR="008C451C" w:rsidRPr="008C451C">
        <w:rPr>
          <w:rFonts w:ascii="Calibri" w:hAnsi="Calibri" w:cs="Calibri"/>
          <w:szCs w:val="24"/>
          <w:vertAlign w:val="superscript"/>
        </w:rPr>
        <w:t>67</w:t>
      </w:r>
      <w:r w:rsidRPr="003F5DA8">
        <w:rPr>
          <w:rFonts w:cs="Times New Roman"/>
        </w:rPr>
        <w:fldChar w:fldCharType="end"/>
      </w:r>
      <w:r w:rsidRPr="003F5DA8">
        <w:rPr>
          <w:rFonts w:cs="Times New Roman"/>
        </w:rPr>
        <w:t xml:space="preserve">, emissions were all modeled per dry weight of finishing larvae. </w:t>
      </w:r>
      <w:r w:rsidR="00E819F5" w:rsidRPr="00E819F5">
        <w:rPr>
          <w:rFonts w:cs="Times New Roman"/>
          <w:b/>
        </w:rPr>
        <w:fldChar w:fldCharType="begin"/>
      </w:r>
      <w:r w:rsidR="00E819F5" w:rsidRPr="00E819F5">
        <w:rPr>
          <w:rFonts w:cs="Times New Roman"/>
          <w:b/>
        </w:rPr>
        <w:instrText xml:space="preserve"> REF _Ref144804529 \h </w:instrText>
      </w:r>
      <w:r w:rsidR="00E819F5">
        <w:rPr>
          <w:rFonts w:cs="Times New Roman"/>
          <w:b/>
        </w:rPr>
        <w:instrText xml:space="preserve"> \* MERGEFORMAT </w:instrText>
      </w:r>
      <w:r w:rsidR="00E819F5" w:rsidRPr="00E819F5">
        <w:rPr>
          <w:rFonts w:cs="Times New Roman"/>
          <w:b/>
        </w:rPr>
      </w:r>
      <w:r w:rsidR="00E819F5" w:rsidRPr="00E819F5">
        <w:rPr>
          <w:rFonts w:cs="Times New Roman"/>
          <w:b/>
        </w:rPr>
        <w:fldChar w:fldCharType="separate"/>
      </w:r>
      <w:r w:rsidR="00F25F8C" w:rsidRPr="00F25F8C">
        <w:rPr>
          <w:b/>
        </w:rPr>
        <w:t xml:space="preserve">Table SI. </w:t>
      </w:r>
      <w:r w:rsidR="00F25F8C" w:rsidRPr="00F25F8C">
        <w:rPr>
          <w:b/>
          <w:noProof/>
        </w:rPr>
        <w:t>32</w:t>
      </w:r>
      <w:r w:rsidR="00E819F5" w:rsidRPr="00E819F5">
        <w:rPr>
          <w:rFonts w:cs="Times New Roman"/>
          <w:b/>
        </w:rPr>
        <w:fldChar w:fldCharType="end"/>
      </w:r>
      <w:r w:rsidR="00E819F5">
        <w:rPr>
          <w:rFonts w:cs="Times New Roman"/>
        </w:rPr>
        <w:t xml:space="preserve"> </w:t>
      </w:r>
      <w:r w:rsidRPr="003F5DA8">
        <w:rPr>
          <w:rFonts w:cs="Times New Roman"/>
        </w:rPr>
        <w:t>displays the main assumptions regarding direct emissions modeling.</w:t>
      </w:r>
    </w:p>
    <w:p w14:paraId="43C7C8C6" w14:textId="3CA8E8D7" w:rsidR="006458E0" w:rsidRPr="003F5DA8" w:rsidRDefault="00874128" w:rsidP="006B5342">
      <w:pPr>
        <w:pStyle w:val="Lgende"/>
        <w:jc w:val="left"/>
        <w:rPr>
          <w:rFonts w:cs="Times New Roman"/>
        </w:rPr>
      </w:pPr>
      <w:bookmarkStart w:id="154" w:name="_Ref144804529"/>
      <w:bookmarkStart w:id="155" w:name="_Toc134537672"/>
      <w:bookmarkStart w:id="156" w:name="_Toc151967916"/>
      <w:r>
        <w:t>Table SI.</w:t>
      </w:r>
      <w:r w:rsidR="006458E0">
        <w:t xml:space="preserve"> </w:t>
      </w:r>
      <w:r>
        <w:fldChar w:fldCharType="begin"/>
      </w:r>
      <w:r>
        <w:instrText xml:space="preserve"> SEQ Table_SI. \* ARABIC </w:instrText>
      </w:r>
      <w:r>
        <w:fldChar w:fldCharType="separate"/>
      </w:r>
      <w:r w:rsidR="00F25F8C">
        <w:rPr>
          <w:noProof/>
        </w:rPr>
        <w:t>32</w:t>
      </w:r>
      <w:r>
        <w:fldChar w:fldCharType="end"/>
      </w:r>
      <w:bookmarkEnd w:id="154"/>
      <w:r w:rsidR="006458E0">
        <w:t xml:space="preserve"> </w:t>
      </w:r>
      <w:r w:rsidR="006458E0" w:rsidRPr="003F5DA8">
        <w:rPr>
          <w:rFonts w:cs="Times New Roman"/>
        </w:rPr>
        <w:t>– BSF farming direct emissions modeling</w:t>
      </w:r>
      <w:bookmarkEnd w:id="155"/>
      <w:bookmarkEnd w:id="156"/>
    </w:p>
    <w:tbl>
      <w:tblPr>
        <w:tblStyle w:val="Tableausimple2"/>
        <w:tblW w:w="0" w:type="auto"/>
        <w:tblLayout w:type="fixed"/>
        <w:tblLook w:val="04A0" w:firstRow="1" w:lastRow="0" w:firstColumn="1" w:lastColumn="0" w:noHBand="0" w:noVBand="1"/>
      </w:tblPr>
      <w:tblGrid>
        <w:gridCol w:w="948"/>
        <w:gridCol w:w="1305"/>
        <w:gridCol w:w="846"/>
        <w:gridCol w:w="702"/>
        <w:gridCol w:w="5241"/>
      </w:tblGrid>
      <w:tr w:rsidR="006458E0" w:rsidRPr="00981F01" w14:paraId="5F7085DD" w14:textId="77777777" w:rsidTr="00981F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8" w:type="dxa"/>
          </w:tcPr>
          <w:p w14:paraId="626E33B0" w14:textId="77777777" w:rsidR="006458E0" w:rsidRPr="00981F01" w:rsidRDefault="006458E0" w:rsidP="006458E0">
            <w:pPr>
              <w:jc w:val="right"/>
              <w:rPr>
                <w:sz w:val="18"/>
                <w:szCs w:val="18"/>
              </w:rPr>
            </w:pPr>
            <w:r w:rsidRPr="00981F01">
              <w:rPr>
                <w:sz w:val="18"/>
                <w:szCs w:val="18"/>
              </w:rPr>
              <w:t>Emissions</w:t>
            </w:r>
          </w:p>
        </w:tc>
        <w:tc>
          <w:tcPr>
            <w:tcW w:w="1305" w:type="dxa"/>
          </w:tcPr>
          <w:p w14:paraId="38C1C606" w14:textId="77777777" w:rsidR="006458E0" w:rsidRPr="00981F01"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981F01">
              <w:rPr>
                <w:sz w:val="18"/>
                <w:szCs w:val="18"/>
              </w:rPr>
              <w:t>Unit</w:t>
            </w:r>
          </w:p>
        </w:tc>
        <w:tc>
          <w:tcPr>
            <w:tcW w:w="846" w:type="dxa"/>
          </w:tcPr>
          <w:p w14:paraId="7CD69AE9" w14:textId="77777777" w:rsidR="006458E0" w:rsidRPr="00981F01"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981F01">
              <w:rPr>
                <w:sz w:val="18"/>
                <w:szCs w:val="18"/>
              </w:rPr>
              <w:t>Value</w:t>
            </w:r>
          </w:p>
        </w:tc>
        <w:tc>
          <w:tcPr>
            <w:tcW w:w="702" w:type="dxa"/>
          </w:tcPr>
          <w:p w14:paraId="5001C877" w14:textId="77777777" w:rsidR="006458E0" w:rsidRPr="00981F01"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981F01">
              <w:rPr>
                <w:sz w:val="18"/>
                <w:szCs w:val="18"/>
              </w:rPr>
              <w:t>Range</w:t>
            </w:r>
          </w:p>
        </w:tc>
        <w:tc>
          <w:tcPr>
            <w:tcW w:w="5241" w:type="dxa"/>
          </w:tcPr>
          <w:p w14:paraId="6F7465C1" w14:textId="77777777" w:rsidR="006458E0" w:rsidRPr="00981F01" w:rsidRDefault="006458E0" w:rsidP="00E9442B">
            <w:pPr>
              <w:cnfStyle w:val="100000000000" w:firstRow="1" w:lastRow="0" w:firstColumn="0" w:lastColumn="0" w:oddVBand="0" w:evenVBand="0" w:oddHBand="0" w:evenHBand="0" w:firstRowFirstColumn="0" w:firstRowLastColumn="0" w:lastRowFirstColumn="0" w:lastRowLastColumn="0"/>
              <w:rPr>
                <w:i/>
                <w:sz w:val="18"/>
                <w:szCs w:val="18"/>
              </w:rPr>
            </w:pPr>
            <w:r w:rsidRPr="00981F01">
              <w:rPr>
                <w:i/>
                <w:sz w:val="18"/>
                <w:szCs w:val="18"/>
              </w:rPr>
              <w:t>Comment</w:t>
            </w:r>
          </w:p>
        </w:tc>
      </w:tr>
      <w:tr w:rsidR="006458E0" w:rsidRPr="00981F01" w14:paraId="5FC52AC5" w14:textId="77777777" w:rsidTr="00981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8" w:type="dxa"/>
          </w:tcPr>
          <w:p w14:paraId="7ACC46B9" w14:textId="77777777" w:rsidR="006458E0" w:rsidRPr="00981F01" w:rsidRDefault="006458E0" w:rsidP="006458E0">
            <w:pPr>
              <w:jc w:val="right"/>
              <w:rPr>
                <w:sz w:val="18"/>
                <w:szCs w:val="18"/>
              </w:rPr>
            </w:pPr>
            <w:r w:rsidRPr="00981F01">
              <w:rPr>
                <w:sz w:val="18"/>
                <w:szCs w:val="18"/>
              </w:rPr>
              <w:t>CO</w:t>
            </w:r>
            <w:r w:rsidRPr="00981F01">
              <w:rPr>
                <w:sz w:val="18"/>
                <w:szCs w:val="18"/>
                <w:vertAlign w:val="subscript"/>
              </w:rPr>
              <w:t>2</w:t>
            </w:r>
          </w:p>
        </w:tc>
        <w:tc>
          <w:tcPr>
            <w:tcW w:w="1305" w:type="dxa"/>
          </w:tcPr>
          <w:p w14:paraId="09C22670"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cs="Times New Roman"/>
                <w:sz w:val="18"/>
                <w:szCs w:val="18"/>
              </w:rPr>
              <w:t>kgCO</w:t>
            </w:r>
            <w:r w:rsidRPr="00981F01">
              <w:rPr>
                <w:rFonts w:cs="Times New Roman"/>
                <w:sz w:val="18"/>
                <w:szCs w:val="18"/>
                <w:vertAlign w:val="subscript"/>
              </w:rPr>
              <w:t>2</w:t>
            </w:r>
            <w:r w:rsidRPr="00981F01">
              <w:rPr>
                <w:rFonts w:cs="Times New Roman"/>
                <w:sz w:val="18"/>
                <w:szCs w:val="18"/>
              </w:rPr>
              <w:t>.kg</w:t>
            </w:r>
            <w:r w:rsidRPr="00981F01">
              <w:rPr>
                <w:rFonts w:cs="Times New Roman"/>
                <w:sz w:val="18"/>
                <w:szCs w:val="18"/>
                <w:vertAlign w:val="subscript"/>
              </w:rPr>
              <w:t>DM</w:t>
            </w:r>
            <w:r w:rsidRPr="00981F01">
              <w:rPr>
                <w:rFonts w:cs="Times New Roman"/>
                <w:sz w:val="18"/>
                <w:szCs w:val="18"/>
                <w:vertAlign w:val="superscript"/>
              </w:rPr>
              <w:t>-1</w:t>
            </w:r>
          </w:p>
        </w:tc>
        <w:tc>
          <w:tcPr>
            <w:tcW w:w="846" w:type="dxa"/>
          </w:tcPr>
          <w:p w14:paraId="78495AA5"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2.75</w:t>
            </w:r>
          </w:p>
        </w:tc>
        <w:tc>
          <w:tcPr>
            <w:tcW w:w="702" w:type="dxa"/>
          </w:tcPr>
          <w:p w14:paraId="3127627B"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1.5-4</w:t>
            </w:r>
          </w:p>
        </w:tc>
        <w:tc>
          <w:tcPr>
            <w:tcW w:w="5241" w:type="dxa"/>
          </w:tcPr>
          <w:p w14:paraId="4EF9C9F2" w14:textId="17BC94F1" w:rsidR="006458E0" w:rsidRPr="00981F01" w:rsidRDefault="006458E0" w:rsidP="006458E0">
            <w:pPr>
              <w:jc w:val="both"/>
              <w:cnfStyle w:val="000000100000" w:firstRow="0" w:lastRow="0" w:firstColumn="0" w:lastColumn="0" w:oddVBand="0" w:evenVBand="0" w:oddHBand="1" w:evenHBand="0" w:firstRowFirstColumn="0" w:firstRowLastColumn="0" w:lastRowFirstColumn="0" w:lastRowLastColumn="0"/>
              <w:rPr>
                <w:i/>
                <w:sz w:val="18"/>
                <w:szCs w:val="18"/>
              </w:rPr>
            </w:pPr>
            <w:r w:rsidRPr="00981F01">
              <w:rPr>
                <w:rFonts w:cs="Times New Roman"/>
                <w:i/>
                <w:sz w:val="18"/>
                <w:szCs w:val="18"/>
              </w:rPr>
              <w:t>benchmarked range of 3.6 (SD 2.7). However, applied to the model, this range lead to CO</w:t>
            </w:r>
            <w:r w:rsidRPr="00981F01">
              <w:rPr>
                <w:rFonts w:cs="Times New Roman"/>
                <w:i/>
                <w:sz w:val="18"/>
                <w:szCs w:val="18"/>
                <w:vertAlign w:val="subscript"/>
              </w:rPr>
              <w:t>2</w:t>
            </w:r>
            <w:r w:rsidRPr="00981F01">
              <w:rPr>
                <w:rFonts w:cs="Times New Roman"/>
                <w:i/>
                <w:sz w:val="18"/>
                <w:szCs w:val="18"/>
              </w:rPr>
              <w:t>-C emissions in the higher range of benchmark (50-70%; see</w:t>
            </w:r>
            <w:r w:rsidR="00E819F5" w:rsidRPr="00981F01">
              <w:rPr>
                <w:rFonts w:cs="Times New Roman"/>
                <w:i/>
                <w:sz w:val="18"/>
                <w:szCs w:val="18"/>
              </w:rPr>
              <w:t xml:space="preserve"> </w:t>
            </w:r>
            <w:r w:rsidR="00E819F5" w:rsidRPr="00981F01">
              <w:rPr>
                <w:rFonts w:cs="Times New Roman"/>
                <w:b/>
                <w:i/>
                <w:sz w:val="18"/>
                <w:szCs w:val="18"/>
              </w:rPr>
              <w:fldChar w:fldCharType="begin"/>
            </w:r>
            <w:r w:rsidR="00E819F5" w:rsidRPr="00981F01">
              <w:rPr>
                <w:rFonts w:cs="Times New Roman"/>
                <w:b/>
                <w:i/>
                <w:sz w:val="18"/>
                <w:szCs w:val="18"/>
              </w:rPr>
              <w:instrText xml:space="preserve"> REF _Ref144804025 \h  \* MERGEFORMAT </w:instrText>
            </w:r>
            <w:r w:rsidR="00E819F5" w:rsidRPr="00981F01">
              <w:rPr>
                <w:rFonts w:cs="Times New Roman"/>
                <w:b/>
                <w:i/>
                <w:sz w:val="18"/>
                <w:szCs w:val="18"/>
              </w:rPr>
            </w:r>
            <w:r w:rsidR="00E819F5" w:rsidRPr="00981F01">
              <w:rPr>
                <w:rFonts w:cs="Times New Roman"/>
                <w:b/>
                <w:i/>
                <w:sz w:val="18"/>
                <w:szCs w:val="18"/>
              </w:rPr>
              <w:fldChar w:fldCharType="separate"/>
            </w:r>
            <w:r w:rsidR="00F25F8C" w:rsidRPr="00981F01">
              <w:rPr>
                <w:b/>
                <w:i/>
                <w:sz w:val="18"/>
                <w:szCs w:val="18"/>
              </w:rPr>
              <w:t xml:space="preserve">Table SI. </w:t>
            </w:r>
            <w:r w:rsidR="00F25F8C" w:rsidRPr="00981F01">
              <w:rPr>
                <w:b/>
                <w:i/>
                <w:noProof/>
                <w:sz w:val="18"/>
                <w:szCs w:val="18"/>
              </w:rPr>
              <w:t>31</w:t>
            </w:r>
            <w:r w:rsidR="00E819F5" w:rsidRPr="00981F01">
              <w:rPr>
                <w:rFonts w:cs="Times New Roman"/>
                <w:b/>
                <w:i/>
                <w:sz w:val="18"/>
                <w:szCs w:val="18"/>
              </w:rPr>
              <w:fldChar w:fldCharType="end"/>
            </w:r>
            <w:r w:rsidRPr="00981F01">
              <w:rPr>
                <w:rFonts w:cs="Times New Roman"/>
                <w:i/>
                <w:sz w:val="18"/>
                <w:szCs w:val="18"/>
              </w:rPr>
              <w:t>). Accordingly, the range of 1.5-4</w:t>
            </w:r>
            <w:r w:rsidRPr="00981F01">
              <w:rPr>
                <w:rFonts w:cs="Times New Roman"/>
                <w:i/>
                <w:sz w:val="18"/>
                <w:szCs w:val="18"/>
              </w:rPr>
              <w:fldChar w:fldCharType="begin"/>
            </w:r>
            <w:r w:rsidR="00E860C9">
              <w:rPr>
                <w:rFonts w:cs="Times New Roman"/>
                <w:i/>
                <w:sz w:val="18"/>
                <w:szCs w:val="18"/>
              </w:rPr>
              <w:instrText xml:space="preserve"> ADDIN ZOTERO_ITEM CSL_CITATION {"citationID":"kMJLR24i","properties":{"formattedCitation":"\\super 79,91,101\\nosupersub{}","plainCitation":"79,91,101","noteIndex":0},"citationItems":[{"id":12918,"uris":["http://zotero.org/users/6423791/items/N2LIEIZI"],"itemData":{"id":12918,"type":"article-journal","abstract":"One technology that implements circular economy principles is black soldier fly larvae (BSFL) composting. To assess the environmental impact of BSFL technology, more data on emissions of greenhouse gases (GHG) and ammonia are needed. This study investigated process efficiency and GHG emissions from BSFL composting of orange peels and a mix of broccoli and cauliflower trimmings, with and without pre-treatment. Two weeks of substrate pre-treatment with ammonia or fungi (Trichoderma reesei) were investigated, and direct emissions of GHG and ammonia from the process were evaluated. Process efficiency was evaluated by waste-to-biomass conversion efficiency (BCE) and material reduction. In BSFL composting of trimmings, BCE was not significantly improved by pre-treatment, However, larval volatile solids (VS) load in the fungi pre-treated treatment was very low, likely contributing to low BCE. BCE was low (6%) in the peel control and even lower in the pre-treatments, indicating that this substrate is unsuitable for BSFL composting. Material reduction was largest for trimmings (84%) and peels (60%) pre-treated with fungi. Emissions of methane (CH4) and nitrous oxide (N2O), expressed in CO2-eq, were very low (0.04–1.57 g/kg initial wet weight (ww)) compared with direct CO2 emissions (47–147 g/kg initial ww). Fungi pre-treatment appeared to make the trimmings more available to the larvae, while also drying out the substrate and removing a large proportion of available VS. Thus fungi pre-treatment could be used to increase waste treatment capacity. Ammonia pre-treatment reduced emissions of CH4 and N2O without affecting overall BCE, but significantly increased NH3 emissions.","container-title":"Journal of Cleaner Production","DOI":"10.1016/j.jclepro.2022.130552","ISSN":"0959-6526","journalAbbreviation":"Journal of Cleaner Production","language":"en","page":"130552","source":"ScienceDirect","title":"Process efficiency and greenhouse gas emissions in black soldier fly larvae composting of fruit and vegetable waste with and without pre-treatment","author":[{"family":"Lindberg","given":"L."},{"family":"Ermolaev","given":"E."},{"family":"Vinnerås","given":"B."},{"family":"Lalander","given":"C."}],"issued":{"date-parts":[["2022",1,19]]}}},{"id":13432,"uris":["http://zotero.org/users/6423791/items/8NV5W5QX"],"itemData":{"id":13432,"type":"article-journal","abstract":"Currently, sustainable utilisation, including recycling and valorisation, is becoming increasingly relevant in environmental management. The wastes bioconversion by the black soldier fly larva (BSFL) has two potential advantages: the larvae can convert the carbon and nitrogen in the biomass waste, and improve the properties of the substrate to reduce the loss of gaseous carbon and nitrogen. In the present study, the conversion rate of carbon, nitrogen and the emissions of greenhouse gases and NH3 during BSFL bio-treatment of food waste were investigated under different pH conditions. The results showed that the pH of the raw materials is a pivotal parameter affecting the process. The average wet weight of harvested BSFL was 13.26–95.28 mg/larva, with about 1.95–13.41% and 5.40–18.93% of recycled carbon and nitrogen from substrate at a pH from 3.0 to 11.0, respectively. Furthermore, pH is adversely correlated with CO2 emissions, but positively with NH3 emissions. Cumulative CO2, NH3, CH4 and N2O emissions at pH ranging from 3.0 to 11.0 were 88.15–161.11 g kg−1, 0.15–1.68 g kg−1, 0.19–2.62 mg kg−1 and 0.02–1.65 mg kg−1, respectively. Compared with the values in open composting, BSFL bio-treatment of food waste could lead greenhouse gas (especially CH4 and N2O) and NH3 emissions to decrease. Therefore, a higher pH value of the substrate can increase the larval output and help the mitigation of greenhouse gas emissions.","container-title":"Journal of Environmental Management","DOI":"10.1016/j.jenvman.2020.110066","ISSN":"0301-4797","journalAbbreviation":"Journal of Environmental Management","language":"en","page":"110066","source":"ScienceDirect","title":"Reducing greenhouse gas emissions and enhancing carbon and nitrogen conversion in food wastes by the black soldier fly","volume":"260","author":[{"family":"Pang","given":"Wancheng"},{"family":"Hou","given":"Dejia"},{"family":"Chen","given":"Jiangshan"},{"family":"Nowar","given":"Elhosseny E."},{"family":"Li","given":"Zongtian"},{"family":"Hu","given":"Ronggui"},{"family":"Tomberlin","given":"Jeffery K."},{"family":"Yu","given":"Ziniu"},{"family":"Li","given":"Qing"},{"family":"Wang","given":"Shucai"}],"issued":{"date-parts":[["2020",4,15]]}}},{"id":2351,"uris":["http://zotero.org/users/6423791/items/GENSMZAR"],"itemData":{"id":2351,"type":"article-journal","abstract":"Black soldier fly larvae (BSFL) are acknowledged for their potential to upcycle waste biomass into animal feed, human food or biofuels. To ensure sust…","container-title":"Journal of Cleaner Production","DOI":"10.1016/j.jclepro.2020.122488","ISSN":"0959-6526","journalAbbreviation":"J. Clean. Prod.","language":"en","note":"publisher: Elsevier","page":"122488","source":"www-sciencedirect-com.gorgone.univ-toulouse.fr","title":"Bioconversion efficiencies, greenhouse gas and ammonia emissions during black soldier fly rearing – A mass balance approach","volume":"271","author":[{"family":"Parodi","given":"A."},{"family":"De Boer","given":"Imke J. M."},{"family":"Gerrits","given":"W. J. J."},{"family":"Van Loon","given":"J. J. A."},{"family":"Heetkamp","given":"M. J.W"},{"family":"Van Schelt","given":"J"},{"family":"Elizabeth Bolhuis","given":"J."},{"family":"Van Zanten","given":"H. H. E."}],"issued":{"date-parts":[["2020",10,20]]}}}],"schema":"https://github.com/citation-style-language/schema/raw/master/csl-citation.json"} </w:instrText>
            </w:r>
            <w:r w:rsidRPr="00981F01">
              <w:rPr>
                <w:rFonts w:cs="Times New Roman"/>
                <w:i/>
                <w:sz w:val="18"/>
                <w:szCs w:val="18"/>
              </w:rPr>
              <w:fldChar w:fldCharType="separate"/>
            </w:r>
            <w:r w:rsidR="00E860C9" w:rsidRPr="00E860C9">
              <w:rPr>
                <w:rFonts w:ascii="Calibri" w:hAnsi="Calibri" w:cs="Calibri"/>
                <w:sz w:val="18"/>
                <w:szCs w:val="24"/>
                <w:vertAlign w:val="superscript"/>
              </w:rPr>
              <w:t>79,91,101</w:t>
            </w:r>
            <w:r w:rsidRPr="00981F01">
              <w:rPr>
                <w:rFonts w:cs="Times New Roman"/>
                <w:i/>
                <w:sz w:val="18"/>
                <w:szCs w:val="18"/>
              </w:rPr>
              <w:fldChar w:fldCharType="end"/>
            </w:r>
            <w:r w:rsidRPr="00981F01">
              <w:rPr>
                <w:rFonts w:cs="Times New Roman"/>
                <w:i/>
                <w:sz w:val="18"/>
                <w:szCs w:val="18"/>
              </w:rPr>
              <w:t xml:space="preserve"> was selected as representative of cumulative CO</w:t>
            </w:r>
            <w:r w:rsidRPr="00981F01">
              <w:rPr>
                <w:rFonts w:cs="Times New Roman"/>
                <w:i/>
                <w:sz w:val="18"/>
                <w:szCs w:val="18"/>
                <w:vertAlign w:val="subscript"/>
              </w:rPr>
              <w:t>2</w:t>
            </w:r>
            <w:r w:rsidRPr="00981F01">
              <w:rPr>
                <w:rFonts w:cs="Times New Roman"/>
                <w:i/>
                <w:sz w:val="18"/>
                <w:szCs w:val="18"/>
              </w:rPr>
              <w:t xml:space="preserve"> emissions by BSF during rearing. The share of CO</w:t>
            </w:r>
            <w:r w:rsidRPr="00981F01">
              <w:rPr>
                <w:rFonts w:cs="Times New Roman"/>
                <w:i/>
                <w:sz w:val="18"/>
                <w:szCs w:val="18"/>
                <w:vertAlign w:val="subscript"/>
              </w:rPr>
              <w:t>2</w:t>
            </w:r>
            <w:r w:rsidRPr="00981F01">
              <w:rPr>
                <w:rFonts w:cs="Times New Roman"/>
                <w:i/>
                <w:sz w:val="18"/>
                <w:szCs w:val="18"/>
              </w:rPr>
              <w:t xml:space="preserve"> emitted by microbial activities on the substrate was assumed included within these values (only representing ca. 3% of total CO</w:t>
            </w:r>
            <w:r w:rsidRPr="00981F01">
              <w:rPr>
                <w:rFonts w:cs="Times New Roman"/>
                <w:i/>
                <w:sz w:val="18"/>
                <w:szCs w:val="18"/>
                <w:vertAlign w:val="subscript"/>
              </w:rPr>
              <w:t>2</w:t>
            </w:r>
            <w:r w:rsidRPr="00981F01">
              <w:rPr>
                <w:rFonts w:cs="Times New Roman"/>
                <w:i/>
                <w:sz w:val="18"/>
                <w:szCs w:val="18"/>
              </w:rPr>
              <w:t xml:space="preserve"> emissions in similar context)</w:t>
            </w:r>
            <w:r w:rsidRPr="00981F01">
              <w:rPr>
                <w:rFonts w:cs="Times New Roman"/>
                <w:i/>
                <w:sz w:val="18"/>
                <w:szCs w:val="18"/>
              </w:rPr>
              <w:fldChar w:fldCharType="begin"/>
            </w:r>
            <w:r w:rsidR="00942782">
              <w:rPr>
                <w:rFonts w:cs="Times New Roman"/>
                <w:i/>
                <w:sz w:val="18"/>
                <w:szCs w:val="18"/>
              </w:rPr>
              <w:instrText xml:space="preserve"> ADDIN ZOTERO_ITEM CSL_CITATION {"citationID":"oBa57mOH","properties":{"formattedCitation":"\\super 94\\nosupersub{}","plainCitation":"94","noteIndex":0},"citationItems":[{"id":13392,"uris":["http://zotero.org/users/6423791/items/DJH9KDQ4"],"itemData":{"id":13392,"type":"article-journal","abstract":"Substrate moisture content is an important but not well-understood variable in production and waste reduction processes that involves black soldier fly (BSF) larvae. The purpose of this paper is to characterise growth and metabolic performance of BSF larvae on substrate moisture contents from 45 to 85%. Larvae developed into prepupae only at 45–75% substrate moisture content. Within this interval, the maximal specific growth rate was highest (0.73 day−1), the growth period shortest (13 days), and the maximal dry weight lowest (88 mg) at 45% moisture content. Differences in cost of growth and maintenance were not observed at the different substrate moisture contents, and differences in larval performance were likely associated to differences in co-occurring microbial activities. As much as 22% of the substrate carbon was emitted as CO2 at 45% moisture content by microorganisms, measured as the difference between total respiration and larval respiration, whereas microbial CO2 production amounted to only 3% of the substrate carbon at 75% moisture content. As consequence of the high specific growth rate and short growth phase, the overall net growth efficiency was higher at 45% moisture content (0.62) than at 75% moisture content (0.52). Overall, the metabolic performance of the BSF larvae was insensitive to differences in substrate moisture content. Their performance was, however indirectly affected by the substrate moisture content due to differences in co-occurring microbial processes in the substrate.","container-title":"Waste Management","DOI":"10.1016/j.wasman.2021.04.028","ISSN":"0956-053X","journalAbbreviation":"Waste Management","language":"en","page":"73-79","source":"ScienceDirect","title":"Impact of substrate moisture content on growth and metabolic performance of black soldier fly larvae","volume":"127","author":[{"family":"Bekker","given":"Nicolai Sundgaard"},{"family":"Heidelbach","given":"Søren"},{"family":"Vestergaard","given":"Sofie Zacho"},{"family":"Nielsen","given":"Morten Eneberg"},{"family":"Riisgaard-Jensen","given":"Marie"},{"family":"Zeuner","given":"Emil Juel"},{"family":"Bahrndorff","given":"Simon"},{"family":"Eriksen","given":"Niels Thomas"}],"issued":{"date-parts":[["2021",5,15]]}}}],"schema":"https://github.com/citation-style-language/schema/raw/master/csl-citation.json"} </w:instrText>
            </w:r>
            <w:r w:rsidRPr="00981F01">
              <w:rPr>
                <w:rFonts w:cs="Times New Roman"/>
                <w:i/>
                <w:sz w:val="18"/>
                <w:szCs w:val="18"/>
              </w:rPr>
              <w:fldChar w:fldCharType="separate"/>
            </w:r>
            <w:r w:rsidR="00942782" w:rsidRPr="00942782">
              <w:rPr>
                <w:rFonts w:ascii="Calibri" w:hAnsi="Calibri" w:cs="Calibri"/>
                <w:sz w:val="18"/>
                <w:szCs w:val="24"/>
                <w:vertAlign w:val="superscript"/>
              </w:rPr>
              <w:t>94</w:t>
            </w:r>
            <w:r w:rsidRPr="00981F01">
              <w:rPr>
                <w:rFonts w:cs="Times New Roman"/>
                <w:i/>
                <w:sz w:val="18"/>
                <w:szCs w:val="18"/>
              </w:rPr>
              <w:fldChar w:fldCharType="end"/>
            </w:r>
            <w:r w:rsidRPr="00981F01">
              <w:rPr>
                <w:rFonts w:cs="Times New Roman"/>
                <w:i/>
                <w:sz w:val="18"/>
                <w:szCs w:val="18"/>
              </w:rPr>
              <w:t>.</w:t>
            </w:r>
          </w:p>
        </w:tc>
      </w:tr>
      <w:tr w:rsidR="006458E0" w:rsidRPr="00981F01" w14:paraId="7E418D9E" w14:textId="77777777" w:rsidTr="00981F01">
        <w:tc>
          <w:tcPr>
            <w:cnfStyle w:val="001000000000" w:firstRow="0" w:lastRow="0" w:firstColumn="1" w:lastColumn="0" w:oddVBand="0" w:evenVBand="0" w:oddHBand="0" w:evenHBand="0" w:firstRowFirstColumn="0" w:firstRowLastColumn="0" w:lastRowFirstColumn="0" w:lastRowLastColumn="0"/>
            <w:tcW w:w="948" w:type="dxa"/>
          </w:tcPr>
          <w:p w14:paraId="2A06A9F3" w14:textId="77777777" w:rsidR="006458E0" w:rsidRPr="00981F01" w:rsidRDefault="006458E0" w:rsidP="006458E0">
            <w:pPr>
              <w:jc w:val="right"/>
              <w:rPr>
                <w:sz w:val="18"/>
                <w:szCs w:val="18"/>
              </w:rPr>
            </w:pPr>
            <w:r w:rsidRPr="00981F01">
              <w:rPr>
                <w:sz w:val="18"/>
                <w:szCs w:val="18"/>
              </w:rPr>
              <w:t>CH</w:t>
            </w:r>
            <w:r w:rsidRPr="00981F01">
              <w:rPr>
                <w:sz w:val="18"/>
                <w:szCs w:val="18"/>
                <w:vertAlign w:val="subscript"/>
              </w:rPr>
              <w:t>4</w:t>
            </w:r>
          </w:p>
        </w:tc>
        <w:tc>
          <w:tcPr>
            <w:tcW w:w="1305" w:type="dxa"/>
          </w:tcPr>
          <w:p w14:paraId="5CB295B5"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cs="Times New Roman"/>
                <w:sz w:val="18"/>
                <w:szCs w:val="18"/>
              </w:rPr>
              <w:t>mgCH</w:t>
            </w:r>
            <w:r w:rsidRPr="00981F01">
              <w:rPr>
                <w:rFonts w:cs="Times New Roman"/>
                <w:sz w:val="18"/>
                <w:szCs w:val="18"/>
                <w:vertAlign w:val="subscript"/>
              </w:rPr>
              <w:t>4</w:t>
            </w:r>
            <w:r w:rsidRPr="00981F01">
              <w:rPr>
                <w:rFonts w:cs="Times New Roman"/>
                <w:sz w:val="18"/>
                <w:szCs w:val="18"/>
              </w:rPr>
              <w:t>.kg</w:t>
            </w:r>
            <w:r w:rsidRPr="00981F01">
              <w:rPr>
                <w:rFonts w:cs="Times New Roman"/>
                <w:sz w:val="18"/>
                <w:szCs w:val="18"/>
                <w:vertAlign w:val="subscript"/>
              </w:rPr>
              <w:t>DM</w:t>
            </w:r>
            <w:r w:rsidRPr="00981F01">
              <w:rPr>
                <w:rFonts w:cs="Times New Roman"/>
                <w:sz w:val="18"/>
                <w:szCs w:val="18"/>
                <w:vertAlign w:val="superscript"/>
              </w:rPr>
              <w:t>-1</w:t>
            </w:r>
          </w:p>
        </w:tc>
        <w:tc>
          <w:tcPr>
            <w:tcW w:w="846" w:type="dxa"/>
          </w:tcPr>
          <w:p w14:paraId="4A263711"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28</w:t>
            </w:r>
          </w:p>
        </w:tc>
        <w:tc>
          <w:tcPr>
            <w:tcW w:w="702" w:type="dxa"/>
          </w:tcPr>
          <w:p w14:paraId="371B59BF"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9-95</w:t>
            </w:r>
          </w:p>
        </w:tc>
        <w:tc>
          <w:tcPr>
            <w:tcW w:w="5241" w:type="dxa"/>
            <w:vMerge w:val="restart"/>
          </w:tcPr>
          <w:p w14:paraId="2F4ED4AC" w14:textId="0FE0A41F" w:rsidR="006458E0" w:rsidRPr="00981F01" w:rsidRDefault="006458E0" w:rsidP="006458E0">
            <w:pPr>
              <w:jc w:val="both"/>
              <w:cnfStyle w:val="000000000000" w:firstRow="0" w:lastRow="0" w:firstColumn="0" w:lastColumn="0" w:oddVBand="0" w:evenVBand="0" w:oddHBand="0" w:evenHBand="0" w:firstRowFirstColumn="0" w:firstRowLastColumn="0" w:lastRowFirstColumn="0" w:lastRowLastColumn="0"/>
              <w:rPr>
                <w:i/>
                <w:sz w:val="18"/>
                <w:szCs w:val="18"/>
              </w:rPr>
            </w:pPr>
            <w:r w:rsidRPr="00981F01">
              <w:rPr>
                <w:i/>
                <w:sz w:val="18"/>
                <w:szCs w:val="18"/>
              </w:rPr>
              <w:t>Base as average of reviewed values. NH</w:t>
            </w:r>
            <w:r w:rsidRPr="00981F01">
              <w:rPr>
                <w:i/>
                <w:sz w:val="18"/>
                <w:szCs w:val="18"/>
                <w:vertAlign w:val="subscript"/>
              </w:rPr>
              <w:t>3</w:t>
            </w:r>
            <w:r w:rsidRPr="00981F01">
              <w:rPr>
                <w:i/>
                <w:sz w:val="18"/>
                <w:szCs w:val="18"/>
              </w:rPr>
              <w:t xml:space="preserve"> selected to fit established </w:t>
            </w:r>
            <w:r w:rsidRPr="00981F01">
              <w:rPr>
                <w:rFonts w:cs="Times New Roman"/>
                <w:i/>
                <w:sz w:val="18"/>
                <w:szCs w:val="18"/>
              </w:rPr>
              <w:t>correlation with NH</w:t>
            </w:r>
            <w:r w:rsidRPr="00981F01">
              <w:rPr>
                <w:rFonts w:cs="Times New Roman"/>
                <w:i/>
                <w:sz w:val="18"/>
                <w:szCs w:val="18"/>
                <w:vertAlign w:val="subscript"/>
              </w:rPr>
              <w:t>3</w:t>
            </w:r>
            <w:r w:rsidRPr="00981F01">
              <w:rPr>
                <w:rFonts w:cs="Times New Roman"/>
                <w:i/>
                <w:sz w:val="18"/>
                <w:szCs w:val="18"/>
              </w:rPr>
              <w:t xml:space="preserve"> emissions</w:t>
            </w:r>
            <w:r w:rsidRPr="00981F01">
              <w:rPr>
                <w:rFonts w:cs="Times New Roman"/>
                <w:i/>
                <w:sz w:val="18"/>
                <w:szCs w:val="18"/>
              </w:rPr>
              <w:fldChar w:fldCharType="begin"/>
            </w:r>
            <w:r w:rsidR="00942782">
              <w:rPr>
                <w:rFonts w:cs="Times New Roman"/>
                <w:i/>
                <w:sz w:val="18"/>
                <w:szCs w:val="18"/>
              </w:rPr>
              <w:instrText xml:space="preserve"> ADDIN ZOTERO_ITEM CSL_CITATION {"citationID":"E6ppFoDq","properties":{"formattedCitation":"\\super 79\\nosupersub{}","plainCitation":"79","noteIndex":0},"citationItems":[{"id":2351,"uris":["http://zotero.org/users/6423791/items/GENSMZAR"],"itemData":{"id":2351,"type":"article-journal","abstract":"Black soldier fly larvae (BSFL) are acknowledged for their potential to upcycle waste biomass into animal feed, human food or biofuels. To ensure sust…","container-title":"Journal of Cleaner Production","DOI":"10.1016/j.jclepro.2020.122488","ISSN":"0959-6526","journalAbbreviation":"J. Clean. Prod.","language":"en","note":"publisher: Elsevier","page":"122488","source":"www-sciencedirect-com.gorgone.univ-toulouse.fr","title":"Bioconversion efficiencies, greenhouse gas and ammonia emissions during black soldier fly rearing – A mass balance approach","volume":"271","author":[{"family":"Parodi","given":"A."},{"family":"De Boer","given":"Imke J. M."},{"family":"Gerrits","given":"W. J. J."},{"family":"Van Loon","given":"J. J. A."},{"family":"Heetkamp","given":"M. J.W"},{"family":"Van Schelt","given":"J"},{"family":"Elizabeth Bolhuis","given":"J."},{"family":"Van Zanten","given":"H. H. E."}],"issued":{"date-parts":[["2020",10,20]]}}}],"schema":"https://github.com/citation-style-language/schema/raw/master/csl-citation.json"} </w:instrText>
            </w:r>
            <w:r w:rsidRPr="00981F01">
              <w:rPr>
                <w:rFonts w:cs="Times New Roman"/>
                <w:i/>
                <w:sz w:val="18"/>
                <w:szCs w:val="18"/>
              </w:rPr>
              <w:fldChar w:fldCharType="separate"/>
            </w:r>
            <w:r w:rsidR="00942782" w:rsidRPr="00942782">
              <w:rPr>
                <w:rFonts w:ascii="Calibri" w:hAnsi="Calibri" w:cs="Calibri"/>
                <w:sz w:val="18"/>
                <w:szCs w:val="24"/>
                <w:vertAlign w:val="superscript"/>
              </w:rPr>
              <w:t>79</w:t>
            </w:r>
            <w:r w:rsidRPr="00981F01">
              <w:rPr>
                <w:rFonts w:cs="Times New Roman"/>
                <w:i/>
                <w:sz w:val="18"/>
                <w:szCs w:val="18"/>
              </w:rPr>
              <w:fldChar w:fldCharType="end"/>
            </w:r>
            <w:r w:rsidRPr="00981F01">
              <w:rPr>
                <w:rFonts w:cs="Times New Roman"/>
                <w:i/>
                <w:sz w:val="18"/>
                <w:szCs w:val="18"/>
              </w:rPr>
              <w:t>.</w:t>
            </w:r>
          </w:p>
        </w:tc>
      </w:tr>
      <w:tr w:rsidR="006458E0" w:rsidRPr="00981F01" w14:paraId="31F003EC" w14:textId="77777777" w:rsidTr="00981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8" w:type="dxa"/>
          </w:tcPr>
          <w:p w14:paraId="33E2DD03" w14:textId="77777777" w:rsidR="006458E0" w:rsidRPr="00981F01" w:rsidRDefault="006458E0" w:rsidP="006458E0">
            <w:pPr>
              <w:jc w:val="right"/>
              <w:rPr>
                <w:sz w:val="18"/>
                <w:szCs w:val="18"/>
              </w:rPr>
            </w:pPr>
            <w:r w:rsidRPr="00981F01">
              <w:rPr>
                <w:sz w:val="18"/>
                <w:szCs w:val="18"/>
              </w:rPr>
              <w:t>N</w:t>
            </w:r>
            <w:r w:rsidRPr="00981F01">
              <w:rPr>
                <w:sz w:val="18"/>
                <w:szCs w:val="18"/>
                <w:vertAlign w:val="subscript"/>
              </w:rPr>
              <w:t>2</w:t>
            </w:r>
            <w:r w:rsidRPr="00981F01">
              <w:rPr>
                <w:sz w:val="18"/>
                <w:szCs w:val="18"/>
              </w:rPr>
              <w:t>O</w:t>
            </w:r>
          </w:p>
        </w:tc>
        <w:tc>
          <w:tcPr>
            <w:tcW w:w="1305" w:type="dxa"/>
          </w:tcPr>
          <w:p w14:paraId="2145843F"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rFonts w:cs="Times New Roman"/>
                <w:sz w:val="18"/>
                <w:szCs w:val="18"/>
              </w:rPr>
              <w:t>mgN</w:t>
            </w:r>
            <w:r w:rsidRPr="00981F01">
              <w:rPr>
                <w:rFonts w:cs="Times New Roman"/>
                <w:sz w:val="18"/>
                <w:szCs w:val="18"/>
                <w:vertAlign w:val="subscript"/>
              </w:rPr>
              <w:t>2</w:t>
            </w:r>
            <w:r w:rsidRPr="00981F01">
              <w:rPr>
                <w:rFonts w:cs="Times New Roman"/>
                <w:sz w:val="18"/>
                <w:szCs w:val="18"/>
              </w:rPr>
              <w:t>O.kg</w:t>
            </w:r>
            <w:r w:rsidRPr="00981F01">
              <w:rPr>
                <w:rFonts w:cs="Times New Roman"/>
                <w:sz w:val="18"/>
                <w:szCs w:val="18"/>
                <w:vertAlign w:val="subscript"/>
              </w:rPr>
              <w:t>DM</w:t>
            </w:r>
            <w:r w:rsidRPr="00981F01">
              <w:rPr>
                <w:rFonts w:cs="Times New Roman"/>
                <w:sz w:val="18"/>
                <w:szCs w:val="18"/>
                <w:vertAlign w:val="superscript"/>
              </w:rPr>
              <w:t>-1</w:t>
            </w:r>
          </w:p>
        </w:tc>
        <w:tc>
          <w:tcPr>
            <w:tcW w:w="846" w:type="dxa"/>
          </w:tcPr>
          <w:p w14:paraId="02EF3BA8"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106</w:t>
            </w:r>
          </w:p>
        </w:tc>
        <w:tc>
          <w:tcPr>
            <w:tcW w:w="702" w:type="dxa"/>
          </w:tcPr>
          <w:p w14:paraId="2ED05C8C"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7-215</w:t>
            </w:r>
          </w:p>
        </w:tc>
        <w:tc>
          <w:tcPr>
            <w:tcW w:w="5241" w:type="dxa"/>
            <w:vMerge/>
          </w:tcPr>
          <w:p w14:paraId="0A7B2967" w14:textId="77777777" w:rsidR="006458E0" w:rsidRPr="00981F01" w:rsidRDefault="006458E0" w:rsidP="006458E0">
            <w:pPr>
              <w:jc w:val="both"/>
              <w:cnfStyle w:val="000000100000" w:firstRow="0" w:lastRow="0" w:firstColumn="0" w:lastColumn="0" w:oddVBand="0" w:evenVBand="0" w:oddHBand="1" w:evenHBand="0" w:firstRowFirstColumn="0" w:firstRowLastColumn="0" w:lastRowFirstColumn="0" w:lastRowLastColumn="0"/>
              <w:rPr>
                <w:i/>
                <w:sz w:val="18"/>
                <w:szCs w:val="18"/>
              </w:rPr>
            </w:pPr>
          </w:p>
        </w:tc>
      </w:tr>
      <w:tr w:rsidR="006458E0" w:rsidRPr="00981F01" w14:paraId="2D5B156D" w14:textId="77777777" w:rsidTr="00981F01">
        <w:tc>
          <w:tcPr>
            <w:cnfStyle w:val="001000000000" w:firstRow="0" w:lastRow="0" w:firstColumn="1" w:lastColumn="0" w:oddVBand="0" w:evenVBand="0" w:oddHBand="0" w:evenHBand="0" w:firstRowFirstColumn="0" w:firstRowLastColumn="0" w:lastRowFirstColumn="0" w:lastRowLastColumn="0"/>
            <w:tcW w:w="948" w:type="dxa"/>
          </w:tcPr>
          <w:p w14:paraId="5FD354B7" w14:textId="77777777" w:rsidR="006458E0" w:rsidRPr="00981F01" w:rsidRDefault="006458E0" w:rsidP="006458E0">
            <w:pPr>
              <w:jc w:val="right"/>
              <w:rPr>
                <w:sz w:val="18"/>
                <w:szCs w:val="18"/>
              </w:rPr>
            </w:pPr>
            <w:r w:rsidRPr="00981F01">
              <w:rPr>
                <w:sz w:val="18"/>
                <w:szCs w:val="18"/>
              </w:rPr>
              <w:t>NH</w:t>
            </w:r>
            <w:r w:rsidRPr="00981F01">
              <w:rPr>
                <w:sz w:val="18"/>
                <w:szCs w:val="18"/>
                <w:vertAlign w:val="subscript"/>
              </w:rPr>
              <w:t>3</w:t>
            </w:r>
          </w:p>
        </w:tc>
        <w:tc>
          <w:tcPr>
            <w:tcW w:w="1305" w:type="dxa"/>
          </w:tcPr>
          <w:p w14:paraId="4965E478"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rFonts w:cs="Times New Roman"/>
                <w:sz w:val="18"/>
                <w:szCs w:val="18"/>
              </w:rPr>
              <w:t>gNH</w:t>
            </w:r>
            <w:r w:rsidRPr="00981F01">
              <w:rPr>
                <w:rFonts w:cs="Times New Roman"/>
                <w:sz w:val="18"/>
                <w:szCs w:val="18"/>
                <w:vertAlign w:val="subscript"/>
              </w:rPr>
              <w:t>3</w:t>
            </w:r>
            <w:r w:rsidRPr="00981F01">
              <w:rPr>
                <w:rFonts w:cs="Times New Roman"/>
                <w:sz w:val="18"/>
                <w:szCs w:val="18"/>
              </w:rPr>
              <w:t>.kg</w:t>
            </w:r>
            <w:r w:rsidRPr="00981F01">
              <w:rPr>
                <w:rFonts w:cs="Times New Roman"/>
                <w:sz w:val="18"/>
                <w:szCs w:val="18"/>
                <w:vertAlign w:val="subscript"/>
              </w:rPr>
              <w:t>DM</w:t>
            </w:r>
            <w:r w:rsidRPr="00981F01">
              <w:rPr>
                <w:rFonts w:cs="Times New Roman"/>
                <w:sz w:val="18"/>
                <w:szCs w:val="18"/>
                <w:vertAlign w:val="superscript"/>
              </w:rPr>
              <w:t>-1</w:t>
            </w:r>
          </w:p>
        </w:tc>
        <w:tc>
          <w:tcPr>
            <w:tcW w:w="846" w:type="dxa"/>
          </w:tcPr>
          <w:p w14:paraId="64FAB053"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3.8</w:t>
            </w:r>
          </w:p>
        </w:tc>
        <w:tc>
          <w:tcPr>
            <w:tcW w:w="702" w:type="dxa"/>
          </w:tcPr>
          <w:p w14:paraId="004B4D1A"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0.1-8.0</w:t>
            </w:r>
          </w:p>
        </w:tc>
        <w:tc>
          <w:tcPr>
            <w:tcW w:w="5241" w:type="dxa"/>
            <w:vMerge/>
          </w:tcPr>
          <w:p w14:paraId="63D995F7" w14:textId="77777777" w:rsidR="006458E0" w:rsidRPr="00981F01" w:rsidRDefault="006458E0" w:rsidP="006458E0">
            <w:pPr>
              <w:jc w:val="both"/>
              <w:cnfStyle w:val="000000000000" w:firstRow="0" w:lastRow="0" w:firstColumn="0" w:lastColumn="0" w:oddVBand="0" w:evenVBand="0" w:oddHBand="0" w:evenHBand="0" w:firstRowFirstColumn="0" w:firstRowLastColumn="0" w:lastRowFirstColumn="0" w:lastRowLastColumn="0"/>
              <w:rPr>
                <w:i/>
                <w:sz w:val="18"/>
                <w:szCs w:val="18"/>
              </w:rPr>
            </w:pPr>
          </w:p>
        </w:tc>
      </w:tr>
      <w:tr w:rsidR="006458E0" w:rsidRPr="00981F01" w14:paraId="12D1A1BA" w14:textId="77777777" w:rsidTr="00981F0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8" w:type="dxa"/>
          </w:tcPr>
          <w:p w14:paraId="1A51BFA8" w14:textId="77777777" w:rsidR="006458E0" w:rsidRPr="00981F01" w:rsidRDefault="006458E0" w:rsidP="006458E0">
            <w:pPr>
              <w:jc w:val="right"/>
              <w:rPr>
                <w:sz w:val="18"/>
                <w:szCs w:val="18"/>
              </w:rPr>
            </w:pPr>
            <w:r w:rsidRPr="00981F01">
              <w:rPr>
                <w:sz w:val="18"/>
                <w:szCs w:val="18"/>
              </w:rPr>
              <w:t>N emission (rest)</w:t>
            </w:r>
          </w:p>
        </w:tc>
        <w:tc>
          <w:tcPr>
            <w:tcW w:w="1305" w:type="dxa"/>
          </w:tcPr>
          <w:p w14:paraId="4D324754"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rFonts w:cs="Times New Roman"/>
                <w:sz w:val="18"/>
                <w:szCs w:val="18"/>
              </w:rPr>
            </w:pPr>
            <w:r w:rsidRPr="00981F01">
              <w:rPr>
                <w:sz w:val="18"/>
                <w:szCs w:val="18"/>
              </w:rPr>
              <w:t>%</w:t>
            </w:r>
            <w:r w:rsidRPr="00981F01">
              <w:rPr>
                <w:sz w:val="18"/>
                <w:szCs w:val="18"/>
                <w:vertAlign w:val="subscript"/>
              </w:rPr>
              <w:t>N</w:t>
            </w:r>
          </w:p>
        </w:tc>
        <w:tc>
          <w:tcPr>
            <w:tcW w:w="846" w:type="dxa"/>
          </w:tcPr>
          <w:p w14:paraId="1CE73D4E"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4.4%</w:t>
            </w:r>
          </w:p>
        </w:tc>
        <w:tc>
          <w:tcPr>
            <w:tcW w:w="702" w:type="dxa"/>
          </w:tcPr>
          <w:p w14:paraId="6E27A05E" w14:textId="77777777" w:rsidR="006458E0" w:rsidRPr="00981F01"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981F01">
              <w:rPr>
                <w:sz w:val="18"/>
                <w:szCs w:val="18"/>
              </w:rPr>
              <w:t>0.7-8.0%</w:t>
            </w:r>
          </w:p>
        </w:tc>
        <w:tc>
          <w:tcPr>
            <w:tcW w:w="5241" w:type="dxa"/>
          </w:tcPr>
          <w:p w14:paraId="0140177C" w14:textId="4AD076B4" w:rsidR="006458E0" w:rsidRPr="00981F01" w:rsidRDefault="006458E0" w:rsidP="006458E0">
            <w:pPr>
              <w:jc w:val="both"/>
              <w:cnfStyle w:val="000000100000" w:firstRow="0" w:lastRow="0" w:firstColumn="0" w:lastColumn="0" w:oddVBand="0" w:evenVBand="0" w:oddHBand="1" w:evenHBand="0" w:firstRowFirstColumn="0" w:firstRowLastColumn="0" w:lastRowFirstColumn="0" w:lastRowLastColumn="0"/>
              <w:rPr>
                <w:i/>
                <w:sz w:val="18"/>
                <w:szCs w:val="18"/>
              </w:rPr>
            </w:pPr>
            <w:r w:rsidRPr="00981F01">
              <w:rPr>
                <w:rFonts w:cs="Times New Roman"/>
                <w:i/>
                <w:sz w:val="18"/>
                <w:szCs w:val="18"/>
              </w:rPr>
              <w:t xml:space="preserve">Estimations of volatilized N during insects rearing on protein-bound N substrates (excluding manure) were only reported by three studies: 0.7% </w:t>
            </w:r>
            <w:r w:rsidRPr="00981F01">
              <w:rPr>
                <w:rFonts w:cs="Times New Roman"/>
                <w:i/>
                <w:sz w:val="18"/>
                <w:szCs w:val="18"/>
              </w:rPr>
              <w:fldChar w:fldCharType="begin"/>
            </w:r>
            <w:r w:rsidR="00942782">
              <w:rPr>
                <w:rFonts w:cs="Times New Roman"/>
                <w:i/>
                <w:sz w:val="18"/>
                <w:szCs w:val="18"/>
              </w:rPr>
              <w:instrText xml:space="preserve"> ADDIN ZOTERO_ITEM CSL_CITATION {"citationID":"vlfvCBIj","properties":{"formattedCitation":"\\super 79\\nosupersub{}","plainCitation":"79","noteIndex":0},"citationItems":[{"id":2351,"uris":["http://zotero.org/users/6423791/items/GENSMZAR"],"itemData":{"id":2351,"type":"article-journal","abstract":"Black soldier fly larvae (BSFL) are acknowledged for their potential to upcycle waste biomass into animal feed, human food or biofuels. To ensure sust…","container-title":"Journal of Cleaner Production","DOI":"10.1016/j.jclepro.2020.122488","ISSN":"0959-6526","journalAbbreviation":"J. Clean. Prod.","language":"en","note":"publisher: Elsevier","page":"122488","source":"www-sciencedirect-com.gorgone.univ-toulouse.fr","title":"Bioconversion efficiencies, greenhouse gas and ammonia emissions during black soldier fly rearing – A mass balance approach","volume":"271","author":[{"family":"Parodi","given":"A."},{"family":"De Boer","given":"Imke J. M."},{"family":"Gerrits","given":"W. J. J."},{"family":"Van Loon","given":"J. J. A."},{"family":"Heetkamp","given":"M. J.W"},{"family":"Van Schelt","given":"J"},{"family":"Elizabeth Bolhuis","given":"J."},{"family":"Van Zanten","given":"H. H. E."}],"issued":{"date-parts":[["2020",10,20]]}}}],"schema":"https://github.com/citation-style-language/schema/raw/master/csl-citation.json"} </w:instrText>
            </w:r>
            <w:r w:rsidRPr="00981F01">
              <w:rPr>
                <w:rFonts w:cs="Times New Roman"/>
                <w:i/>
                <w:sz w:val="18"/>
                <w:szCs w:val="18"/>
              </w:rPr>
              <w:fldChar w:fldCharType="separate"/>
            </w:r>
            <w:r w:rsidR="00942782" w:rsidRPr="00942782">
              <w:rPr>
                <w:rFonts w:ascii="Calibri" w:hAnsi="Calibri" w:cs="Calibri"/>
                <w:sz w:val="18"/>
                <w:szCs w:val="24"/>
                <w:vertAlign w:val="superscript"/>
              </w:rPr>
              <w:t>79</w:t>
            </w:r>
            <w:r w:rsidRPr="00981F01">
              <w:rPr>
                <w:rFonts w:cs="Times New Roman"/>
                <w:i/>
                <w:sz w:val="18"/>
                <w:szCs w:val="18"/>
              </w:rPr>
              <w:fldChar w:fldCharType="end"/>
            </w:r>
            <w:r w:rsidRPr="00981F01">
              <w:rPr>
                <w:rFonts w:cs="Times New Roman"/>
                <w:i/>
                <w:sz w:val="18"/>
                <w:szCs w:val="18"/>
              </w:rPr>
              <w:t xml:space="preserve">, 8% </w:t>
            </w:r>
            <w:r w:rsidRPr="00981F01">
              <w:rPr>
                <w:rFonts w:cs="Times New Roman"/>
                <w:i/>
                <w:sz w:val="18"/>
                <w:szCs w:val="18"/>
              </w:rPr>
              <w:fldChar w:fldCharType="begin"/>
            </w:r>
            <w:r w:rsidR="00942782">
              <w:rPr>
                <w:rFonts w:cs="Times New Roman"/>
                <w:i/>
                <w:sz w:val="18"/>
                <w:szCs w:val="18"/>
              </w:rPr>
              <w:instrText xml:space="preserve"> ADDIN ZOTERO_ITEM CSL_CITATION {"citationID":"4D8DTBxO","properties":{"formattedCitation":"\\super 95\\nosupersub{}","plainCitation":"95","noteIndex":0},"citationItems":[{"id":13435,"uris":["http://zotero.org/users/6423791/items/SBLUDBK6"],"itemData":{"id":13435,"type":"report","event-place":"Aarhus","language":"en","page":"26","publisher":"Teknologisk Institute","publisher-place":"Aarhus","source":"Zotero","title":"Bioconversion of Guldborgsund Municipality’s residual sub- strates into insect meal","author":[{"family":"Heckmann","given":"Lars-Henrik Lau"},{"family":"Gligorescu","given":"Anton"}],"issued":{"date-parts":[["2019"]]}}}],"schema":"https://github.com/citation-style-language/schema/raw/master/csl-citation.json"} </w:instrText>
            </w:r>
            <w:r w:rsidRPr="00981F01">
              <w:rPr>
                <w:rFonts w:cs="Times New Roman"/>
                <w:i/>
                <w:sz w:val="18"/>
                <w:szCs w:val="18"/>
              </w:rPr>
              <w:fldChar w:fldCharType="separate"/>
            </w:r>
            <w:r w:rsidR="00942782" w:rsidRPr="00942782">
              <w:rPr>
                <w:rFonts w:ascii="Calibri" w:hAnsi="Calibri" w:cs="Calibri"/>
                <w:sz w:val="18"/>
                <w:szCs w:val="24"/>
                <w:vertAlign w:val="superscript"/>
              </w:rPr>
              <w:t>95</w:t>
            </w:r>
            <w:r w:rsidRPr="00981F01">
              <w:rPr>
                <w:rFonts w:cs="Times New Roman"/>
                <w:i/>
                <w:sz w:val="18"/>
                <w:szCs w:val="18"/>
              </w:rPr>
              <w:fldChar w:fldCharType="end"/>
            </w:r>
            <w:r w:rsidRPr="00981F01">
              <w:rPr>
                <w:rFonts w:cs="Times New Roman"/>
                <w:i/>
                <w:sz w:val="18"/>
                <w:szCs w:val="18"/>
              </w:rPr>
              <w:t xml:space="preserve"> and 50.9% </w:t>
            </w:r>
            <w:r w:rsidRPr="00981F01">
              <w:rPr>
                <w:rFonts w:cs="Times New Roman"/>
                <w:i/>
                <w:sz w:val="18"/>
                <w:szCs w:val="18"/>
              </w:rPr>
              <w:fldChar w:fldCharType="begin"/>
            </w:r>
            <w:r w:rsidR="00827449">
              <w:rPr>
                <w:rFonts w:cs="Times New Roman"/>
                <w:i/>
                <w:sz w:val="18"/>
                <w:szCs w:val="18"/>
              </w:rPr>
              <w:instrText xml:space="preserve"> ADDIN ZOTERO_ITEM CSL_CITATION {"citationID":"O1degRFI","properties":{"formattedCitation":"\\super 77\\nosupersub{}","plainCitation":"77","noteIndex":0},"citationItems":[{"id":3227,"uris":["http://zotero.org/users/6423791/items/Y3LCJLWA"],"itemData":{"id":3227,"type":"article-journal","abstract":"This study provided a systematic analysis on material flow and environmental impacts of a food waste (FW) bioconversion plant using black soldier fly larvae (BSFL), with a daily capacity of 15 tons of FW (wet weight). Food waste feed (FWF) used for BSFL bioconversion consisted of 80% FW (collected from households, restaurants, and canteens) and 20% rice hull powder. Material flow analysis conducted on a dry weight basis showed that 6% of FWF was transformed into BSF pre-pupae, 51% was stored in matured compost, and 43% was emitted to the air. Emissions of high environmental concern such as methane, nitrous oxide and ammonia (NH3) were sampled and quantified by laboratory analysis. The life cycle assessment revealed that the overall impact was 17.36 kg CO2-eq/t FW for global warming potential, 5.54 kg SO2-eq/t FW for acidification, 24.05 mol N-eq/t FW for terrestrial eutrophication, 0.54 kg N-eq NH3/t FW for marine eutrophication, and 0.18 kg PM2.5-eq/t FW of particulate matter up to 2.5 μm diameter. Moreover, emissions from post-composting, energy consumptions of drying and chemical fertilizer substitution ratio were detected by contribution analysis as the main contributors to those impacts. Finally, sensitivity analysis indicated that the substitution ratio of mineral fertilizer and protein feed as well as energy consumption were the most influential parameters, therefore control of the post-composting process of residual material should be closely monitored because it was responsible for significant environmental load caused by N-related emissions.","container-title":"Science of The Total Environment","DOI":"10.1016/j.scitotenv.2020.141656","ISSN":"0048-9697","journalAbbreviation":"Sci. Total Environ.","language":"en","page":"141656","source":"ScienceDirect","title":"Material flow analysis and life cycle assessment of food waste bioconversion by black soldier fly larvae (Hermetia illucens L.)","volume":"750","author":[{"family":"Guo","given":"Hanwen"},{"family":"Jiang","given":"Chengliang"},{"family":"Zhang","given":"Zhijian"},{"family":"Lu","given":"Wenjing"},{"family":"Wang","given":"Hongtao"}],"issued":{"date-parts":[["2021",1,1]]}}}],"schema":"https://github.com/citation-style-language/schema/raw/master/csl-citation.json"} </w:instrText>
            </w:r>
            <w:r w:rsidRPr="00981F01">
              <w:rPr>
                <w:rFonts w:cs="Times New Roman"/>
                <w:i/>
                <w:sz w:val="18"/>
                <w:szCs w:val="18"/>
              </w:rPr>
              <w:fldChar w:fldCharType="separate"/>
            </w:r>
            <w:r w:rsidR="00942782" w:rsidRPr="00942782">
              <w:rPr>
                <w:rFonts w:ascii="Calibri" w:hAnsi="Calibri" w:cs="Calibri"/>
                <w:sz w:val="18"/>
                <w:szCs w:val="24"/>
                <w:vertAlign w:val="superscript"/>
              </w:rPr>
              <w:t>77</w:t>
            </w:r>
            <w:r w:rsidRPr="00981F01">
              <w:rPr>
                <w:rFonts w:cs="Times New Roman"/>
                <w:i/>
                <w:sz w:val="18"/>
                <w:szCs w:val="18"/>
              </w:rPr>
              <w:fldChar w:fldCharType="end"/>
            </w:r>
            <w:r w:rsidRPr="00981F01">
              <w:rPr>
                <w:rFonts w:cs="Times New Roman"/>
                <w:i/>
                <w:sz w:val="18"/>
                <w:szCs w:val="18"/>
              </w:rPr>
              <w:t>. It was assumed that near-future rearing strategies will strive to limit N losses: hence the lower range 0.7-8% was kept as representative of insects farming. These were fully accounted as N</w:t>
            </w:r>
            <w:r w:rsidRPr="00981F01">
              <w:rPr>
                <w:rFonts w:cs="Times New Roman"/>
                <w:i/>
                <w:sz w:val="18"/>
                <w:szCs w:val="18"/>
                <w:vertAlign w:val="subscript"/>
              </w:rPr>
              <w:t>2</w:t>
            </w:r>
            <w:r w:rsidRPr="00981F01">
              <w:rPr>
                <w:rFonts w:cs="Times New Roman"/>
                <w:i/>
                <w:sz w:val="18"/>
                <w:szCs w:val="18"/>
              </w:rPr>
              <w:t xml:space="preserve"> (by difference with N</w:t>
            </w:r>
            <w:r w:rsidRPr="00981F01">
              <w:rPr>
                <w:rFonts w:cs="Times New Roman"/>
                <w:i/>
                <w:sz w:val="18"/>
                <w:szCs w:val="18"/>
                <w:vertAlign w:val="subscript"/>
              </w:rPr>
              <w:t>2</w:t>
            </w:r>
            <w:r w:rsidRPr="00981F01">
              <w:rPr>
                <w:rFonts w:cs="Times New Roman"/>
                <w:i/>
                <w:sz w:val="18"/>
                <w:szCs w:val="18"/>
              </w:rPr>
              <w:t>O and NH</w:t>
            </w:r>
            <w:r w:rsidRPr="00981F01">
              <w:rPr>
                <w:rFonts w:cs="Times New Roman"/>
                <w:i/>
                <w:sz w:val="18"/>
                <w:szCs w:val="18"/>
                <w:vertAlign w:val="subscript"/>
              </w:rPr>
              <w:t>3</w:t>
            </w:r>
            <w:r w:rsidRPr="00981F01">
              <w:rPr>
                <w:rFonts w:cs="Times New Roman"/>
                <w:i/>
                <w:sz w:val="18"/>
                <w:szCs w:val="18"/>
              </w:rPr>
              <w:t>).</w:t>
            </w:r>
          </w:p>
        </w:tc>
      </w:tr>
      <w:tr w:rsidR="006458E0" w:rsidRPr="00981F01" w14:paraId="03476FB4" w14:textId="77777777" w:rsidTr="00981F01">
        <w:tc>
          <w:tcPr>
            <w:cnfStyle w:val="001000000000" w:firstRow="0" w:lastRow="0" w:firstColumn="1" w:lastColumn="0" w:oddVBand="0" w:evenVBand="0" w:oddHBand="0" w:evenHBand="0" w:firstRowFirstColumn="0" w:firstRowLastColumn="0" w:lastRowFirstColumn="0" w:lastRowLastColumn="0"/>
            <w:tcW w:w="948" w:type="dxa"/>
          </w:tcPr>
          <w:p w14:paraId="0F362076" w14:textId="77777777" w:rsidR="006458E0" w:rsidRPr="00981F01" w:rsidRDefault="006458E0" w:rsidP="006458E0">
            <w:pPr>
              <w:jc w:val="right"/>
              <w:rPr>
                <w:sz w:val="18"/>
                <w:szCs w:val="18"/>
              </w:rPr>
            </w:pPr>
            <w:r w:rsidRPr="00981F01">
              <w:rPr>
                <w:sz w:val="18"/>
                <w:szCs w:val="18"/>
              </w:rPr>
              <w:t>PPM</w:t>
            </w:r>
            <w:r w:rsidRPr="00981F01">
              <w:rPr>
                <w:sz w:val="18"/>
                <w:szCs w:val="18"/>
                <w:vertAlign w:val="subscript"/>
              </w:rPr>
              <w:t>10</w:t>
            </w:r>
          </w:p>
        </w:tc>
        <w:tc>
          <w:tcPr>
            <w:tcW w:w="1305" w:type="dxa"/>
          </w:tcPr>
          <w:p w14:paraId="2A87FD36"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kg.t</w:t>
            </w:r>
            <w:r w:rsidRPr="00981F01">
              <w:rPr>
                <w:sz w:val="18"/>
                <w:szCs w:val="18"/>
                <w:vertAlign w:val="subscript"/>
              </w:rPr>
              <w:t>ww</w:t>
            </w:r>
            <w:r w:rsidRPr="00981F01">
              <w:rPr>
                <w:sz w:val="18"/>
                <w:szCs w:val="18"/>
                <w:vertAlign w:val="superscript"/>
              </w:rPr>
              <w:t>-1</w:t>
            </w:r>
          </w:p>
        </w:tc>
        <w:tc>
          <w:tcPr>
            <w:tcW w:w="846" w:type="dxa"/>
          </w:tcPr>
          <w:p w14:paraId="3E09D480"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981F01">
              <w:rPr>
                <w:sz w:val="18"/>
                <w:szCs w:val="18"/>
              </w:rPr>
              <w:t>0.15</w:t>
            </w:r>
          </w:p>
        </w:tc>
        <w:tc>
          <w:tcPr>
            <w:tcW w:w="702" w:type="dxa"/>
          </w:tcPr>
          <w:p w14:paraId="1A2A0676" w14:textId="77777777" w:rsidR="006458E0" w:rsidRPr="00981F01"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
        </w:tc>
        <w:tc>
          <w:tcPr>
            <w:tcW w:w="5241" w:type="dxa"/>
          </w:tcPr>
          <w:p w14:paraId="59469177" w14:textId="7AFCA5EE" w:rsidR="006458E0" w:rsidRPr="00981F01" w:rsidRDefault="006458E0" w:rsidP="006458E0">
            <w:pPr>
              <w:jc w:val="both"/>
              <w:cnfStyle w:val="000000000000" w:firstRow="0" w:lastRow="0" w:firstColumn="0" w:lastColumn="0" w:oddVBand="0" w:evenVBand="0" w:oddHBand="0" w:evenHBand="0" w:firstRowFirstColumn="0" w:firstRowLastColumn="0" w:lastRowFirstColumn="0" w:lastRowLastColumn="0"/>
              <w:rPr>
                <w:i/>
                <w:sz w:val="18"/>
                <w:szCs w:val="18"/>
              </w:rPr>
            </w:pPr>
            <w:r w:rsidRPr="00981F01">
              <w:rPr>
                <w:i/>
                <w:sz w:val="18"/>
                <w:szCs w:val="18"/>
              </w:rPr>
              <w:t>Adapted from Roffeis et al., 2020</w:t>
            </w:r>
            <w:r w:rsidRPr="00981F01">
              <w:rPr>
                <w:i/>
                <w:sz w:val="18"/>
                <w:szCs w:val="18"/>
              </w:rPr>
              <w:fldChar w:fldCharType="begin"/>
            </w:r>
            <w:r w:rsidR="00E860C9">
              <w:rPr>
                <w:i/>
                <w:sz w:val="18"/>
                <w:szCs w:val="18"/>
              </w:rPr>
              <w:instrText xml:space="preserve"> ADDIN ZOTERO_ITEM CSL_CITATION {"citationID":"7VBfP8oh","properties":{"formattedCitation":"\\super 96\\nosupersub{}","plainCitation":"96","noteIndex":0},"citationItems":[{"id":3192,"uris":["http://zotero.org/users/6423791/items/LE6TVFRZ"],"itemData":{"id":3192,"type":"article-journal","abstract":"While the idea of using insect based feeds (IBFs) offers great potential, especially in developing countries, the environmental impact of implementation remains poorly researched. This study investigates the environmental performance of IBF production in the geographical context of West Africa. Drawing on published life cycle inventory (LCIs) data, the impact of three different IBF production systems were ex-ante evaluated (ReCiPe method) and compared to conventional feed resources. The explorative life cycle study provides a basis for trade-off analysis between different insect rearing systems (Musca domestica and Hermetia illucens) and provides insights on the environmental performance of IBF in comparison with conventional animal- and plant based protein feeds (fishmeal, cottonseed and soybean meal). The impacts of IBFs were shown to be largely determined by rearing techniques and the environmental loads of rearing substrates, attesting advantages to the rearing of housefly (M. domestica) larvae on chicken manure and the use of natural oviposition, i.e., substrate inoculation through naturally occurring flies. A comparison with conventional feeds pointed out the environmental disadvantages of current IBF production designs (especially in comparison to plant based feeds) that were largely attributable to their different position in the trophic network (decomposers) and the systems’ sub-standard capacity utilisation (insufficient economy of scale effect). When larvae are reared on substrates of low economic value (i.e., waste streams), IBF impacts were comparable to fishmeal. The results of the comparative assessment also highlighted a methodological limitation in the ReCiPe method, which does not account for impacts related to the use of biotic resources. As a consequence, the utilization of naturally grown resources, such as wild anchoveta, was treated as an ecosystem service of no environmental charge, providing disproportionate advantages to the fishmeal system.","container-title":"Agricultural Systems","DOI":"10.1016/j.agsy.2019.102710","ISSN":"0308-521X","journalAbbreviation":"Agricultural Systems","language":"en","page":"102710","source":"ScienceDirect","title":"Ex-ante life cycle impact assessment of insect based feed production in West Africa","volume":"178","author":[{"family":"Roffeis","given":"Martin"},{"family":"Fitches","given":"Elaine C."},{"family":"Wakefield","given":"Maureen E."},{"family":"Almeida","given":"Joana"},{"family":"Alves Valada","given":"Tatiana R."},{"family":"Devic","given":"Emilie"},{"family":"Koné","given":"N’Golopé"},{"family":"Kenis","given":"Marc"},{"family":"Nacambo","given":"Saidou"},{"family":"Koko","given":"Gabriel K. D."},{"family":"Mathijs","given":"Erik"},{"family":"Achten","given":"Wouter M. J."},{"family":"Muys","given":"Bart"}],"issued":{"date-parts":[["2020",2,1]]}}}],"schema":"https://github.com/citation-style-language/schema/raw/master/csl-citation.json"} </w:instrText>
            </w:r>
            <w:r w:rsidRPr="00981F01">
              <w:rPr>
                <w:i/>
                <w:sz w:val="18"/>
                <w:szCs w:val="18"/>
              </w:rPr>
              <w:fldChar w:fldCharType="separate"/>
            </w:r>
            <w:r w:rsidR="00E860C9" w:rsidRPr="00E860C9">
              <w:rPr>
                <w:rFonts w:ascii="Calibri" w:hAnsi="Calibri" w:cs="Calibri"/>
                <w:sz w:val="18"/>
                <w:szCs w:val="24"/>
                <w:vertAlign w:val="superscript"/>
              </w:rPr>
              <w:t>96</w:t>
            </w:r>
            <w:r w:rsidRPr="00981F01">
              <w:rPr>
                <w:i/>
                <w:sz w:val="18"/>
                <w:szCs w:val="18"/>
              </w:rPr>
              <w:fldChar w:fldCharType="end"/>
            </w:r>
          </w:p>
        </w:tc>
      </w:tr>
    </w:tbl>
    <w:p w14:paraId="7F53805C" w14:textId="6BB0150B" w:rsidR="006458E0" w:rsidRPr="005A4BFA" w:rsidRDefault="006458E0" w:rsidP="006458E0">
      <w:pPr>
        <w:jc w:val="both"/>
        <w:rPr>
          <w:rFonts w:cs="Times New Roman"/>
          <w:sz w:val="18"/>
        </w:rPr>
      </w:pPr>
      <w:r w:rsidRPr="005A4BFA">
        <w:rPr>
          <w:rFonts w:cs="Times New Roman"/>
          <w:sz w:val="18"/>
        </w:rPr>
        <w:t xml:space="preserve">No information on other C-emissions were found in the literature benchmarked (e.g. CO). Background data </w:t>
      </w:r>
      <w:r w:rsidR="00981F01">
        <w:rPr>
          <w:rFonts w:cs="Times New Roman"/>
          <w:sz w:val="18"/>
        </w:rPr>
        <w:t xml:space="preserve">in </w:t>
      </w:r>
      <w:r w:rsidR="00981F01" w:rsidRPr="00981F01">
        <w:rPr>
          <w:rFonts w:cs="Times New Roman"/>
          <w:i/>
          <w:sz w:val="18"/>
        </w:rPr>
        <w:t>B.BSF module spreadsheet</w:t>
      </w:r>
      <w:r w:rsidRPr="005A4BFA">
        <w:rPr>
          <w:rFonts w:cs="Times New Roman"/>
          <w:sz w:val="18"/>
        </w:rPr>
        <w:t xml:space="preserve">. </w:t>
      </w:r>
      <w:r w:rsidRPr="005A4BFA">
        <w:rPr>
          <w:rFonts w:cs="Times New Roman"/>
          <w:sz w:val="18"/>
          <w:szCs w:val="18"/>
        </w:rPr>
        <w:t>It should be noted that albeit defined per dry weight of larvae, estimated N emissions remains proportional to the N initially present in the substrate by construction, as larvae yield is linearly linked to the substrate’s protein content in this model.</w:t>
      </w:r>
    </w:p>
    <w:p w14:paraId="41704414" w14:textId="77777777" w:rsidR="006458E0" w:rsidRPr="006458E0" w:rsidRDefault="006458E0" w:rsidP="00877BEE">
      <w:pPr>
        <w:pStyle w:val="Titre5"/>
      </w:pPr>
      <w:r w:rsidRPr="006458E0">
        <w:t>Residues and frass generation</w:t>
      </w:r>
    </w:p>
    <w:p w14:paraId="0AF09A72" w14:textId="58B3880A" w:rsidR="006458E0" w:rsidRPr="003F5DA8" w:rsidRDefault="006458E0" w:rsidP="006458E0">
      <w:pPr>
        <w:jc w:val="both"/>
      </w:pPr>
      <w:r w:rsidRPr="003F5DA8">
        <w:t>In practice, it is hardly possible to differentiate insect’s frass (i.e. manure) from unused substrate. Here remaining substrate and frass was deduced by mass balance only (that is, per weight, residues = substrate + 5-DOL – larvae – emissions, for each fraction including C, N, P, water, etc.). The only fixed parameter was the final residue moisture, ranging 25-50%</w:t>
      </w:r>
      <w:r w:rsidRPr="003F5DA8">
        <w:rPr>
          <w:vertAlign w:val="subscript"/>
        </w:rPr>
        <w:t>ww</w:t>
      </w:r>
      <w:r w:rsidRPr="003F5DA8">
        <w:t xml:space="preserve"> in the literature reviewed. Of similar </w:t>
      </w:r>
      <w:r w:rsidRPr="003F5DA8">
        <w:lastRenderedPageBreak/>
        <w:t>content (i.e. organic residues, frass, etc.), residues from the breeding and nursery stages were added</w:t>
      </w:r>
      <w:r w:rsidRPr="001E0013">
        <w:t>.</w:t>
      </w:r>
      <w:r w:rsidRPr="003F5DA8">
        <w:t xml:space="preserve"> Separation of the larvae from the substrate was assumed by sieving, and larvae washed with water.</w:t>
      </w:r>
    </w:p>
    <w:p w14:paraId="4B61BF76" w14:textId="77777777" w:rsidR="006458E0" w:rsidRPr="006458E0" w:rsidRDefault="006458E0" w:rsidP="00877BEE">
      <w:pPr>
        <w:pStyle w:val="Titre5"/>
        <w:rPr>
          <w:rFonts w:cs="Times New Roman"/>
        </w:rPr>
      </w:pPr>
      <w:r w:rsidRPr="006458E0">
        <w:t>Climate control, cleaning and other utilities</w:t>
      </w:r>
    </w:p>
    <w:p w14:paraId="576DD938" w14:textId="20ABE8A8" w:rsidR="006458E0" w:rsidRDefault="006458E0" w:rsidP="00E819F5">
      <w:pPr>
        <w:jc w:val="both"/>
        <w:rPr>
          <w:rFonts w:cs="Times New Roman"/>
        </w:rPr>
      </w:pPr>
      <w:r w:rsidRPr="003F5DA8">
        <w:rPr>
          <w:rFonts w:cs="Times New Roman"/>
        </w:rPr>
        <w:t>Inventories were mainly derived from guidelines of Spykman et al., 2021</w:t>
      </w:r>
      <w:r w:rsidRPr="003F5DA8">
        <w:rPr>
          <w:rFonts w:cs="Times New Roman"/>
        </w:rPr>
        <w:fldChar w:fldCharType="begin"/>
      </w:r>
      <w:r w:rsidR="008C451C">
        <w:rPr>
          <w:rFonts w:cs="Times New Roman"/>
        </w:rPr>
        <w:instrText xml:space="preserve"> ADDIN ZOTERO_ITEM CSL_CITATION {"citationID":"0mDm5XUB","properties":{"formattedCitation":"\\super 67\\nosupersub{}","plainCitation":"67","noteIndex":0},"citationItems":[{"id":12260,"uris":["http://zotero.org/users/6423791/items/7WTH59GM"],"itemData":{"id":12260,"type":"article-journal","abstract":"The inclusion of insect protein into the food system has been proposed as a promising solution to ensure future food security and mitigate negative environmental impacts related to food production. However, the market volume for edible insects in Europe is still small; consequently, producers need a decision-support system to ensure the sustainable upscaling of the sector. The study analyzed environmental and economic impacts of insect production to identify the most eco-efficient production scenarios.","container-title":"The International Journal of Life Cycle Assessment","DOI":"10.1007/s11367-021-01986-y","ISSN":"1614-7502","journalAbbreviation":"Int J Life Cycle Assess","language":"en","source":"Springer Link","title":"A modular environmental and economic assessment applied to the production of Hermetia illucens larvae as a protein source for food and feed","URL":"https://doi.org/10.1007/s11367-021-01986-y","author":[{"family":"Spykman","given":"Raphaela"},{"family":"Hossaini","given":"Sayed Mahdi"},{"family":"Peguero","given":"Daniela A."},{"family":"Green","given":"Ashley"},{"family":"Heinz","given":"Volker"},{"family":"Smetana","given":"Sergiy"}],"accessed":{"date-parts":[["2021",10,14]]},"issued":{"date-parts":[["2021",10,9]]}}}],"schema":"https://github.com/citation-style-language/schema/raw/master/csl-citation.json"} </w:instrText>
      </w:r>
      <w:r w:rsidRPr="003F5DA8">
        <w:rPr>
          <w:rFonts w:cs="Times New Roman"/>
        </w:rPr>
        <w:fldChar w:fldCharType="separate"/>
      </w:r>
      <w:r w:rsidR="008C451C" w:rsidRPr="008C451C">
        <w:rPr>
          <w:rFonts w:ascii="Calibri" w:hAnsi="Calibri" w:cs="Calibri"/>
          <w:szCs w:val="24"/>
          <w:vertAlign w:val="superscript"/>
        </w:rPr>
        <w:t>67</w:t>
      </w:r>
      <w:r w:rsidRPr="003F5DA8">
        <w:rPr>
          <w:rFonts w:cs="Times New Roman"/>
        </w:rPr>
        <w:fldChar w:fldCharType="end"/>
      </w:r>
      <w:r w:rsidRPr="003F5DA8">
        <w:rPr>
          <w:rFonts w:cs="Times New Roman"/>
        </w:rPr>
        <w:t xml:space="preserve"> based on industrial data of Smetana et al., 2019</w:t>
      </w:r>
      <w:r w:rsidRPr="003F5DA8">
        <w:rPr>
          <w:rFonts w:cs="Times New Roman"/>
        </w:rPr>
        <w:fldChar w:fldCharType="begin"/>
      </w:r>
      <w:r w:rsidR="00942782">
        <w:rPr>
          <w:rFonts w:cs="Times New Roman"/>
        </w:rPr>
        <w:instrText xml:space="preserve"> ADDIN ZOTERO_ITEM CSL_CITATION {"citationID":"PoPRdUVz","properties":{"formattedCitation":"\\super 78\\nosupersub{}","plainCitation":"78","noteIndex":0},"citationItems":[{"id":13326,"uris":["http://zotero.org/users/6423791/items/G6IKZJDE"],"itemData":{"id":13326,"type":"article-journal","abstract":"Mass production of insects is calling for environmentally optimised and economically efficient insect value chains. It is a complex task considering a great variety in insect species, production scales, feed formulations, etc. Taking a challenge of environmental impact clarification, a few studies highlight on life cycle assessment (LCA) of insect production. The current study is aimed to systemise 24 selected previous studies to establish a modular framework for the determination of contribution of sustainability assessment factors of insect production chains. Reviewing published studies according to the elements of LCA, the study identified a feasible approach for the modelling of insect production chains, which can be used for the facilitation of comparability of further LCA studies. The approach is based on a modular analysis of insect production through a graphical mapping of value chains (allowed identification of precise system boundaries) supplemented with table analysis considering scale of production, reference (functional) unit, impact assessment methodology and type of LCA. Such an approach allows for consistency in LCA setting and further comparability of results.","container-title":"Journal of Insects as Food and Feed","DOI":"10.3920/JIFF2020.0116","ISSN":"2352-4588","issue":"5","journalAbbreviation":"J. Insects Food Feed","language":"en","page":"553-571","source":"DOI.org (Crossref)","title":"Environmental aspects of insect mass production","volume":"7","author":[{"family":"Smetana","given":"S."},{"family":"Spykman","given":"R."},{"family":"Heinz","given":"V."}],"issued":{"date-parts":[["2021",8,13]]}}}],"schema":"https://github.com/citation-style-language/schema/raw/master/csl-citation.json"} </w:instrText>
      </w:r>
      <w:r w:rsidRPr="003F5DA8">
        <w:rPr>
          <w:rFonts w:cs="Times New Roman"/>
        </w:rPr>
        <w:fldChar w:fldCharType="separate"/>
      </w:r>
      <w:r w:rsidR="00942782" w:rsidRPr="00942782">
        <w:rPr>
          <w:rFonts w:ascii="Calibri" w:hAnsi="Calibri" w:cs="Calibri"/>
          <w:szCs w:val="24"/>
          <w:vertAlign w:val="superscript"/>
        </w:rPr>
        <w:t>78</w:t>
      </w:r>
      <w:r w:rsidRPr="003F5DA8">
        <w:rPr>
          <w:rFonts w:cs="Times New Roman"/>
        </w:rPr>
        <w:fldChar w:fldCharType="end"/>
      </w:r>
      <w:r w:rsidRPr="003F5DA8">
        <w:rPr>
          <w:rFonts w:cs="Times New Roman"/>
        </w:rPr>
        <w:t xml:space="preserve">. Indeed, authors mentioned that their assessment were based on a Protix plant based in the Netherland, which was assumed to have similar pedoclimatic conditions than France (no precise data found for the French context). Dynamic modeling of seasonal climate cycles combined with insect’s metabolism could yield tailored estimation of ventilation and heat needs for insect rearing, but this was not part of the scope of the present study. The </w:t>
      </w:r>
      <w:r w:rsidR="00E819F5" w:rsidRPr="00E819F5">
        <w:rPr>
          <w:rFonts w:cs="Times New Roman"/>
          <w:b/>
        </w:rPr>
        <w:fldChar w:fldCharType="begin"/>
      </w:r>
      <w:r w:rsidR="00E819F5" w:rsidRPr="00E819F5">
        <w:rPr>
          <w:rFonts w:cs="Times New Roman"/>
          <w:b/>
        </w:rPr>
        <w:instrText xml:space="preserve"> REF _Ref144804652 \h </w:instrText>
      </w:r>
      <w:r w:rsidR="00E819F5">
        <w:rPr>
          <w:rFonts w:cs="Times New Roman"/>
          <w:b/>
        </w:rPr>
        <w:instrText xml:space="preserve"> \* MERGEFORMAT </w:instrText>
      </w:r>
      <w:r w:rsidR="00E819F5" w:rsidRPr="00E819F5">
        <w:rPr>
          <w:rFonts w:cs="Times New Roman"/>
          <w:b/>
        </w:rPr>
      </w:r>
      <w:r w:rsidR="00E819F5" w:rsidRPr="00E819F5">
        <w:rPr>
          <w:rFonts w:cs="Times New Roman"/>
          <w:b/>
        </w:rPr>
        <w:fldChar w:fldCharType="separate"/>
      </w:r>
      <w:r w:rsidR="00F25F8C" w:rsidRPr="00F25F8C">
        <w:rPr>
          <w:b/>
        </w:rPr>
        <w:t xml:space="preserve">Table SI. </w:t>
      </w:r>
      <w:r w:rsidR="00F25F8C" w:rsidRPr="00F25F8C">
        <w:rPr>
          <w:b/>
          <w:noProof/>
        </w:rPr>
        <w:t>33</w:t>
      </w:r>
      <w:r w:rsidR="00E819F5" w:rsidRPr="00E819F5">
        <w:rPr>
          <w:rFonts w:cs="Times New Roman"/>
          <w:b/>
        </w:rPr>
        <w:fldChar w:fldCharType="end"/>
      </w:r>
      <w:r w:rsidR="00E819F5">
        <w:rPr>
          <w:rFonts w:cs="Times New Roman"/>
        </w:rPr>
        <w:t xml:space="preserve"> </w:t>
      </w:r>
      <w:r w:rsidRPr="003F5DA8">
        <w:rPr>
          <w:rFonts w:cs="Times New Roman"/>
        </w:rPr>
        <w:t>displays the rest of the assumptions used to model LCI of the BSF farming stage.</w:t>
      </w:r>
    </w:p>
    <w:p w14:paraId="2C331E93" w14:textId="609BD1BC" w:rsidR="006458E0" w:rsidRPr="001E0013" w:rsidRDefault="00874128" w:rsidP="006B5342">
      <w:pPr>
        <w:pStyle w:val="Lgende"/>
        <w:jc w:val="left"/>
        <w:rPr>
          <w:rFonts w:cs="Times New Roman"/>
          <w:b w:val="0"/>
          <w:i/>
        </w:rPr>
      </w:pPr>
      <w:bookmarkStart w:id="157" w:name="_Ref144804652"/>
      <w:bookmarkStart w:id="158" w:name="_Toc134537673"/>
      <w:bookmarkStart w:id="159" w:name="_Toc151967917"/>
      <w:r>
        <w:t>Table SI.</w:t>
      </w:r>
      <w:r w:rsidR="006458E0">
        <w:t xml:space="preserve"> </w:t>
      </w:r>
      <w:r>
        <w:fldChar w:fldCharType="begin"/>
      </w:r>
      <w:r>
        <w:instrText xml:space="preserve"> SEQ Table_SI. \* ARABIC </w:instrText>
      </w:r>
      <w:r>
        <w:fldChar w:fldCharType="separate"/>
      </w:r>
      <w:r w:rsidR="00F25F8C">
        <w:rPr>
          <w:noProof/>
        </w:rPr>
        <w:t>33</w:t>
      </w:r>
      <w:r>
        <w:fldChar w:fldCharType="end"/>
      </w:r>
      <w:bookmarkEnd w:id="157"/>
      <w:r w:rsidR="006458E0">
        <w:t xml:space="preserve"> </w:t>
      </w:r>
      <w:r w:rsidR="006458E0" w:rsidRPr="00E40BD9">
        <w:rPr>
          <w:rFonts w:cs="Times New Roman"/>
        </w:rPr>
        <w:t>– BSF farming stage utilities LCI modeling</w:t>
      </w:r>
      <w:bookmarkEnd w:id="158"/>
      <w:bookmarkEnd w:id="159"/>
    </w:p>
    <w:tbl>
      <w:tblPr>
        <w:tblStyle w:val="Tableausimple2"/>
        <w:tblW w:w="0" w:type="auto"/>
        <w:tblLook w:val="04A0" w:firstRow="1" w:lastRow="0" w:firstColumn="1" w:lastColumn="0" w:noHBand="0" w:noVBand="1"/>
      </w:tblPr>
      <w:tblGrid>
        <w:gridCol w:w="2092"/>
        <w:gridCol w:w="1439"/>
        <w:gridCol w:w="643"/>
        <w:gridCol w:w="3656"/>
      </w:tblGrid>
      <w:tr w:rsidR="006458E0" w:rsidRPr="003C5C8A" w14:paraId="4064F54C"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028B017" w14:textId="77777777" w:rsidR="006458E0" w:rsidRPr="003C5C8A" w:rsidRDefault="006458E0" w:rsidP="006458E0">
            <w:pPr>
              <w:jc w:val="right"/>
              <w:rPr>
                <w:sz w:val="18"/>
              </w:rPr>
            </w:pPr>
            <w:r w:rsidRPr="003C5C8A">
              <w:rPr>
                <w:sz w:val="18"/>
              </w:rPr>
              <w:t>Emissions</w:t>
            </w:r>
          </w:p>
        </w:tc>
        <w:tc>
          <w:tcPr>
            <w:tcW w:w="0" w:type="auto"/>
          </w:tcPr>
          <w:p w14:paraId="73F82F27" w14:textId="77777777" w:rsidR="006458E0" w:rsidRPr="003C5C8A" w:rsidRDefault="006458E0" w:rsidP="006458E0">
            <w:pPr>
              <w:cnfStyle w:val="100000000000" w:firstRow="1" w:lastRow="0" w:firstColumn="0" w:lastColumn="0" w:oddVBand="0" w:evenVBand="0" w:oddHBand="0" w:evenHBand="0" w:firstRowFirstColumn="0" w:firstRowLastColumn="0" w:lastRowFirstColumn="0" w:lastRowLastColumn="0"/>
              <w:rPr>
                <w:sz w:val="18"/>
              </w:rPr>
            </w:pPr>
            <w:r w:rsidRPr="003C5C8A">
              <w:rPr>
                <w:sz w:val="18"/>
              </w:rPr>
              <w:t>Unit</w:t>
            </w:r>
          </w:p>
        </w:tc>
        <w:tc>
          <w:tcPr>
            <w:tcW w:w="0" w:type="auto"/>
          </w:tcPr>
          <w:p w14:paraId="1335F257" w14:textId="77777777" w:rsidR="006458E0" w:rsidRPr="003C5C8A" w:rsidRDefault="006458E0" w:rsidP="006458E0">
            <w:pPr>
              <w:cnfStyle w:val="100000000000" w:firstRow="1" w:lastRow="0" w:firstColumn="0" w:lastColumn="0" w:oddVBand="0" w:evenVBand="0" w:oddHBand="0" w:evenHBand="0" w:firstRowFirstColumn="0" w:firstRowLastColumn="0" w:lastRowFirstColumn="0" w:lastRowLastColumn="0"/>
              <w:rPr>
                <w:sz w:val="18"/>
              </w:rPr>
            </w:pPr>
            <w:r w:rsidRPr="003C5C8A">
              <w:rPr>
                <w:sz w:val="18"/>
              </w:rPr>
              <w:t>Value</w:t>
            </w:r>
          </w:p>
        </w:tc>
        <w:tc>
          <w:tcPr>
            <w:tcW w:w="0" w:type="auto"/>
          </w:tcPr>
          <w:p w14:paraId="179EC129" w14:textId="77777777" w:rsidR="006458E0" w:rsidRPr="003C5C8A" w:rsidRDefault="006458E0" w:rsidP="00E9442B">
            <w:pPr>
              <w:cnfStyle w:val="100000000000" w:firstRow="1" w:lastRow="0" w:firstColumn="0" w:lastColumn="0" w:oddVBand="0" w:evenVBand="0" w:oddHBand="0" w:evenHBand="0" w:firstRowFirstColumn="0" w:firstRowLastColumn="0" w:lastRowFirstColumn="0" w:lastRowLastColumn="0"/>
              <w:rPr>
                <w:i/>
                <w:sz w:val="18"/>
              </w:rPr>
            </w:pPr>
            <w:r w:rsidRPr="003C5C8A">
              <w:rPr>
                <w:i/>
                <w:sz w:val="18"/>
              </w:rPr>
              <w:t>Comment</w:t>
            </w:r>
          </w:p>
        </w:tc>
      </w:tr>
      <w:tr w:rsidR="006458E0" w:rsidRPr="003C5C8A" w14:paraId="3C337EEB"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C232F4F" w14:textId="77777777" w:rsidR="006458E0" w:rsidRPr="003C5C8A" w:rsidRDefault="006458E0" w:rsidP="006458E0">
            <w:pPr>
              <w:jc w:val="right"/>
              <w:rPr>
                <w:b w:val="0"/>
                <w:sz w:val="18"/>
              </w:rPr>
            </w:pPr>
            <w:r w:rsidRPr="003C5C8A">
              <w:rPr>
                <w:b w:val="0"/>
                <w:sz w:val="18"/>
              </w:rPr>
              <w:t>Cleaning water</w:t>
            </w:r>
          </w:p>
        </w:tc>
        <w:tc>
          <w:tcPr>
            <w:tcW w:w="0" w:type="auto"/>
          </w:tcPr>
          <w:p w14:paraId="6CDAED92"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L.t</w:t>
            </w:r>
            <w:r w:rsidRPr="003C5C8A">
              <w:rPr>
                <w:sz w:val="18"/>
                <w:szCs w:val="18"/>
                <w:vertAlign w:val="subscript"/>
              </w:rPr>
              <w:t>ww</w:t>
            </w:r>
            <w:r w:rsidRPr="003C5C8A">
              <w:rPr>
                <w:sz w:val="18"/>
                <w:szCs w:val="18"/>
                <w:vertAlign w:val="superscript"/>
              </w:rPr>
              <w:t>-1</w:t>
            </w:r>
          </w:p>
        </w:tc>
        <w:tc>
          <w:tcPr>
            <w:tcW w:w="0" w:type="auto"/>
          </w:tcPr>
          <w:p w14:paraId="25D8EE41"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340</w:t>
            </w:r>
          </w:p>
        </w:tc>
        <w:tc>
          <w:tcPr>
            <w:tcW w:w="0" w:type="auto"/>
            <w:vMerge w:val="restart"/>
          </w:tcPr>
          <w:p w14:paraId="0E3902F7" w14:textId="35FDBC1A"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rPr>
            </w:pPr>
            <w:r w:rsidRPr="003C5C8A">
              <w:rPr>
                <w:i/>
                <w:sz w:val="18"/>
              </w:rPr>
              <w:t>Aggregated values from Spykman et al., 2021</w:t>
            </w:r>
            <w:r w:rsidRPr="003C5C8A">
              <w:rPr>
                <w:i/>
                <w:sz w:val="18"/>
              </w:rPr>
              <w:fldChar w:fldCharType="begin"/>
            </w:r>
            <w:r w:rsidR="008C451C">
              <w:rPr>
                <w:i/>
                <w:sz w:val="18"/>
              </w:rPr>
              <w:instrText xml:space="preserve"> ADDIN ZOTERO_ITEM CSL_CITATION {"citationID":"gD2aFapB","properties":{"formattedCitation":"\\super 67\\nosupersub{}","plainCitation":"67","noteIndex":0},"citationItems":[{"id":12260,"uris":["http://zotero.org/users/6423791/items/7WTH59GM"],"itemData":{"id":12260,"type":"article-journal","abstract":"The inclusion of insect protein into the food system has been proposed as a promising solution to ensure future food security and mitigate negative environmental impacts related to food production. However, the market volume for edible insects in Europe is still small; consequently, producers need a decision-support system to ensure the sustainable upscaling of the sector. The study analyzed environmental and economic impacts of insect production to identify the most eco-efficient production scenarios.","container-title":"The International Journal of Life Cycle Assessment","DOI":"10.1007/s11367-021-01986-y","ISSN":"1614-7502","journalAbbreviation":"Int J Life Cycle Assess","language":"en","source":"Springer Link","title":"A modular environmental and economic assessment applied to the production of Hermetia illucens larvae as a protein source for food and feed","URL":"https://doi.org/10.1007/s11367-021-01986-y","author":[{"family":"Spykman","given":"Raphaela"},{"family":"Hossaini","given":"Sayed Mahdi"},{"family":"Peguero","given":"Daniela A."},{"family":"Green","given":"Ashley"},{"family":"Heinz","given":"Volker"},{"family":"Smetana","given":"Sergiy"}],"accessed":{"date-parts":[["2021",10,14]]},"issued":{"date-parts":[["2021",10,9]]}}}],"schema":"https://github.com/citation-style-language/schema/raw/master/csl-citation.json"} </w:instrText>
            </w:r>
            <w:r w:rsidRPr="003C5C8A">
              <w:rPr>
                <w:i/>
                <w:sz w:val="18"/>
              </w:rPr>
              <w:fldChar w:fldCharType="separate"/>
            </w:r>
            <w:r w:rsidR="008C451C" w:rsidRPr="008C451C">
              <w:rPr>
                <w:rFonts w:ascii="Calibri" w:hAnsi="Calibri" w:cs="Calibri"/>
                <w:sz w:val="18"/>
                <w:szCs w:val="24"/>
                <w:vertAlign w:val="superscript"/>
              </w:rPr>
              <w:t>67</w:t>
            </w:r>
            <w:r w:rsidRPr="003C5C8A">
              <w:rPr>
                <w:i/>
                <w:sz w:val="18"/>
              </w:rPr>
              <w:fldChar w:fldCharType="end"/>
            </w:r>
          </w:p>
        </w:tc>
      </w:tr>
      <w:tr w:rsidR="006458E0" w:rsidRPr="003C5C8A" w14:paraId="083E82F4"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1E98D843" w14:textId="77777777" w:rsidR="006458E0" w:rsidRPr="003C5C8A" w:rsidRDefault="006458E0" w:rsidP="006458E0">
            <w:pPr>
              <w:jc w:val="right"/>
              <w:rPr>
                <w:b w:val="0"/>
                <w:sz w:val="18"/>
              </w:rPr>
            </w:pPr>
            <w:r w:rsidRPr="003C5C8A">
              <w:rPr>
                <w:b w:val="0"/>
                <w:sz w:val="18"/>
              </w:rPr>
              <w:t>Cleaning detergent</w:t>
            </w:r>
          </w:p>
        </w:tc>
        <w:tc>
          <w:tcPr>
            <w:tcW w:w="0" w:type="auto"/>
          </w:tcPr>
          <w:p w14:paraId="68AD427A"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rPr>
            </w:pPr>
            <w:r w:rsidRPr="003C5C8A">
              <w:rPr>
                <w:sz w:val="18"/>
                <w:szCs w:val="18"/>
              </w:rPr>
              <w:t>kg.t</w:t>
            </w:r>
            <w:r w:rsidRPr="003C5C8A">
              <w:rPr>
                <w:sz w:val="18"/>
                <w:szCs w:val="18"/>
                <w:vertAlign w:val="subscript"/>
              </w:rPr>
              <w:t>ww</w:t>
            </w:r>
            <w:r w:rsidRPr="003C5C8A">
              <w:rPr>
                <w:sz w:val="18"/>
                <w:szCs w:val="18"/>
                <w:vertAlign w:val="superscript"/>
              </w:rPr>
              <w:t>-1</w:t>
            </w:r>
          </w:p>
        </w:tc>
        <w:tc>
          <w:tcPr>
            <w:tcW w:w="0" w:type="auto"/>
          </w:tcPr>
          <w:p w14:paraId="59DC2EBE"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rPr>
            </w:pPr>
            <w:r w:rsidRPr="003C5C8A">
              <w:rPr>
                <w:sz w:val="18"/>
                <w:szCs w:val="18"/>
              </w:rPr>
              <w:t>0.42</w:t>
            </w:r>
          </w:p>
        </w:tc>
        <w:tc>
          <w:tcPr>
            <w:tcW w:w="0" w:type="auto"/>
            <w:vMerge/>
          </w:tcPr>
          <w:p w14:paraId="6EFA027E"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i/>
                <w:sz w:val="18"/>
                <w:szCs w:val="18"/>
              </w:rPr>
            </w:pPr>
          </w:p>
        </w:tc>
      </w:tr>
      <w:tr w:rsidR="006458E0" w:rsidRPr="003C5C8A" w14:paraId="08FF8012"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13282C3" w14:textId="77777777" w:rsidR="006458E0" w:rsidRPr="003C5C8A" w:rsidRDefault="006458E0" w:rsidP="006458E0">
            <w:pPr>
              <w:jc w:val="right"/>
              <w:rPr>
                <w:b w:val="0"/>
                <w:sz w:val="18"/>
              </w:rPr>
            </w:pPr>
            <w:r w:rsidRPr="003C5C8A">
              <w:rPr>
                <w:b w:val="0"/>
                <w:sz w:val="18"/>
              </w:rPr>
              <w:t>Inner transportation</w:t>
            </w:r>
          </w:p>
        </w:tc>
        <w:tc>
          <w:tcPr>
            <w:tcW w:w="0" w:type="auto"/>
          </w:tcPr>
          <w:p w14:paraId="69CF4E8D"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rPr>
            </w:pPr>
            <w:r w:rsidRPr="003C5C8A">
              <w:rPr>
                <w:sz w:val="18"/>
                <w:szCs w:val="18"/>
              </w:rPr>
              <w:t>kWh.t</w:t>
            </w:r>
            <w:r w:rsidRPr="003C5C8A">
              <w:rPr>
                <w:sz w:val="18"/>
                <w:szCs w:val="18"/>
                <w:vertAlign w:val="subscript"/>
              </w:rPr>
              <w:t>ww</w:t>
            </w:r>
            <w:r w:rsidRPr="003C5C8A">
              <w:rPr>
                <w:sz w:val="18"/>
                <w:szCs w:val="18"/>
                <w:vertAlign w:val="superscript"/>
              </w:rPr>
              <w:t>-1</w:t>
            </w:r>
          </w:p>
        </w:tc>
        <w:tc>
          <w:tcPr>
            <w:tcW w:w="0" w:type="auto"/>
          </w:tcPr>
          <w:p w14:paraId="51055DA6"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rPr>
            </w:pPr>
            <w:r w:rsidRPr="003C5C8A">
              <w:rPr>
                <w:sz w:val="18"/>
              </w:rPr>
              <w:t>54</w:t>
            </w:r>
          </w:p>
        </w:tc>
        <w:tc>
          <w:tcPr>
            <w:tcW w:w="0" w:type="auto"/>
            <w:vMerge/>
          </w:tcPr>
          <w:p w14:paraId="55E68EC2"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i/>
                <w:sz w:val="18"/>
              </w:rPr>
            </w:pPr>
          </w:p>
        </w:tc>
      </w:tr>
      <w:tr w:rsidR="006458E0" w:rsidRPr="003C5C8A" w14:paraId="7DB2FE9D"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4CE0F2FA" w14:textId="77777777" w:rsidR="006458E0" w:rsidRPr="003C5C8A" w:rsidRDefault="006458E0" w:rsidP="006458E0">
            <w:pPr>
              <w:jc w:val="right"/>
              <w:rPr>
                <w:b w:val="0"/>
                <w:sz w:val="18"/>
              </w:rPr>
            </w:pPr>
            <w:r w:rsidRPr="003C5C8A">
              <w:rPr>
                <w:b w:val="0"/>
                <w:sz w:val="18"/>
              </w:rPr>
              <w:t>Climate system electricity</w:t>
            </w:r>
          </w:p>
        </w:tc>
        <w:tc>
          <w:tcPr>
            <w:tcW w:w="0" w:type="auto"/>
          </w:tcPr>
          <w:p w14:paraId="6CD642C0"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rPr>
            </w:pPr>
            <w:r w:rsidRPr="003C5C8A">
              <w:rPr>
                <w:sz w:val="18"/>
                <w:szCs w:val="18"/>
              </w:rPr>
              <w:t>kWh.kg</w:t>
            </w:r>
            <w:r w:rsidRPr="003C5C8A">
              <w:rPr>
                <w:sz w:val="18"/>
                <w:szCs w:val="18"/>
                <w:vertAlign w:val="subscript"/>
              </w:rPr>
              <w:t>ww</w:t>
            </w:r>
            <w:r w:rsidRPr="003C5C8A">
              <w:rPr>
                <w:sz w:val="18"/>
                <w:szCs w:val="18"/>
                <w:vertAlign w:val="superscript"/>
              </w:rPr>
              <w:t>-1</w:t>
            </w:r>
            <w:r w:rsidRPr="003C5C8A">
              <w:rPr>
                <w:sz w:val="18"/>
                <w:szCs w:val="18"/>
              </w:rPr>
              <w:t>.day</w:t>
            </w:r>
            <w:r w:rsidRPr="003C5C8A">
              <w:rPr>
                <w:sz w:val="18"/>
                <w:szCs w:val="18"/>
                <w:vertAlign w:val="superscript"/>
              </w:rPr>
              <w:t>-1</w:t>
            </w:r>
          </w:p>
        </w:tc>
        <w:tc>
          <w:tcPr>
            <w:tcW w:w="0" w:type="auto"/>
          </w:tcPr>
          <w:p w14:paraId="72CBA919"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rPr>
            </w:pPr>
            <w:r w:rsidRPr="003C5C8A">
              <w:rPr>
                <w:sz w:val="18"/>
              </w:rPr>
              <w:t>0.032</w:t>
            </w:r>
          </w:p>
        </w:tc>
        <w:tc>
          <w:tcPr>
            <w:tcW w:w="0" w:type="auto"/>
            <w:vMerge/>
          </w:tcPr>
          <w:p w14:paraId="0A230CE9"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i/>
                <w:sz w:val="18"/>
              </w:rPr>
            </w:pPr>
          </w:p>
        </w:tc>
      </w:tr>
      <w:tr w:rsidR="006458E0" w:rsidRPr="003C5C8A" w14:paraId="0A5E9693"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6DEC12C" w14:textId="77777777" w:rsidR="006458E0" w:rsidRPr="003C5C8A" w:rsidRDefault="006458E0" w:rsidP="006458E0">
            <w:pPr>
              <w:jc w:val="right"/>
              <w:rPr>
                <w:b w:val="0"/>
                <w:sz w:val="18"/>
              </w:rPr>
            </w:pPr>
            <w:r w:rsidRPr="003C5C8A">
              <w:rPr>
                <w:b w:val="0"/>
                <w:sz w:val="18"/>
              </w:rPr>
              <w:t>Climate system LT heat</w:t>
            </w:r>
          </w:p>
        </w:tc>
        <w:tc>
          <w:tcPr>
            <w:tcW w:w="0" w:type="auto"/>
          </w:tcPr>
          <w:p w14:paraId="3AA5A3CE"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rPr>
            </w:pPr>
            <w:r w:rsidRPr="003C5C8A">
              <w:rPr>
                <w:sz w:val="18"/>
                <w:szCs w:val="18"/>
              </w:rPr>
              <w:t>kWh.kg</w:t>
            </w:r>
            <w:r w:rsidRPr="003C5C8A">
              <w:rPr>
                <w:sz w:val="18"/>
                <w:szCs w:val="18"/>
                <w:vertAlign w:val="subscript"/>
              </w:rPr>
              <w:t>ww</w:t>
            </w:r>
            <w:r w:rsidRPr="003C5C8A">
              <w:rPr>
                <w:sz w:val="18"/>
                <w:szCs w:val="18"/>
                <w:vertAlign w:val="superscript"/>
              </w:rPr>
              <w:t>-</w:t>
            </w:r>
            <w:proofErr w:type="gramStart"/>
            <w:r w:rsidRPr="003C5C8A">
              <w:rPr>
                <w:sz w:val="18"/>
                <w:szCs w:val="18"/>
                <w:vertAlign w:val="superscript"/>
              </w:rPr>
              <w:t>1</w:t>
            </w:r>
            <w:r w:rsidRPr="003C5C8A">
              <w:rPr>
                <w:sz w:val="18"/>
                <w:szCs w:val="18"/>
              </w:rPr>
              <w:t>.MJ</w:t>
            </w:r>
            <w:proofErr w:type="gramEnd"/>
            <w:r w:rsidRPr="003C5C8A">
              <w:rPr>
                <w:sz w:val="18"/>
                <w:szCs w:val="18"/>
                <w:vertAlign w:val="superscript"/>
              </w:rPr>
              <w:t>-1</w:t>
            </w:r>
          </w:p>
        </w:tc>
        <w:tc>
          <w:tcPr>
            <w:tcW w:w="0" w:type="auto"/>
          </w:tcPr>
          <w:p w14:paraId="7F89E21C"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rPr>
            </w:pPr>
            <w:r w:rsidRPr="003C5C8A">
              <w:rPr>
                <w:sz w:val="18"/>
              </w:rPr>
              <w:t>0.109</w:t>
            </w:r>
          </w:p>
        </w:tc>
        <w:tc>
          <w:tcPr>
            <w:tcW w:w="0" w:type="auto"/>
            <w:vMerge/>
          </w:tcPr>
          <w:p w14:paraId="67B448ED"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i/>
                <w:sz w:val="18"/>
              </w:rPr>
            </w:pPr>
          </w:p>
        </w:tc>
      </w:tr>
    </w:tbl>
    <w:p w14:paraId="2E958633" w14:textId="77777777" w:rsidR="003C5C8A" w:rsidRDefault="003C5C8A" w:rsidP="003C5C8A">
      <w:pPr>
        <w:pStyle w:val="Contenudetableau"/>
      </w:pPr>
    </w:p>
    <w:p w14:paraId="020DBA0B" w14:textId="297CAA14" w:rsidR="006458E0" w:rsidRPr="006458E0" w:rsidRDefault="006458E0" w:rsidP="00E819F5">
      <w:pPr>
        <w:pStyle w:val="Titre4"/>
      </w:pPr>
      <w:r w:rsidRPr="006458E0">
        <w:t>Post-farming operations</w:t>
      </w:r>
    </w:p>
    <w:p w14:paraId="63A6E64D" w14:textId="7665E771" w:rsidR="006458E0" w:rsidRPr="003F5DA8" w:rsidRDefault="006458E0" w:rsidP="00E819F5">
      <w:pPr>
        <w:ind w:firstLine="360"/>
        <w:jc w:val="both"/>
        <w:rPr>
          <w:rFonts w:cs="Times New Roman"/>
        </w:rPr>
      </w:pPr>
      <w:r w:rsidRPr="003F5DA8">
        <w:rPr>
          <w:rFonts w:cs="Times New Roman"/>
        </w:rPr>
        <w:t>Post-farming operations include killing, drying and feed/food ingredients formulation. Larvae were assumed fasted to clear their digestive tracks</w:t>
      </w:r>
      <w:r w:rsidRPr="003F5DA8">
        <w:rPr>
          <w:rFonts w:cs="Times New Roman"/>
        </w:rPr>
        <w:fldChar w:fldCharType="begin"/>
      </w:r>
      <w:r w:rsidR="00E860C9">
        <w:rPr>
          <w:rFonts w:cs="Times New Roman"/>
        </w:rPr>
        <w:instrText xml:space="preserve"> ADDIN ZOTERO_ITEM CSL_CITATION {"citationID":"LKiGyZKJ","properties":{"formattedCitation":"\\super 104\\nosupersub{}","plainCitation":"104","noteIndex":0},"citationItems":[{"id":13307,"uris":["http://zotero.org/users/6423791/items/A7739JC3"],"itemData":{"id":13307,"type":"article-journal","abstract":"The integration of insect-derived extracts in feed and food products has become a ﬁeld of growing interest in recent years. In this review, we collect different studies carried out on edible insects’ transformation processes and focus on the various treatment operations, extraction technologies, and solvents used in different processing steps. We include an overview of current insights into the different steps of the transformation process: insect reception, killing methods, pretreatments, storage, delipidation, protein extraction, as well as chitin and chitosan extraction. Finally, we reﬂect on the most important future challenges of this sector.","container-title":"Processes","DOI":"10.3390/pr10050970","ISSN":"2227-9717","issue":"5","journalAbbreviation":"Processes","language":"en","page":"970","source":"DOI.org (Crossref)","title":"Edible Insects’ Transformation for Feed and Food Uses: An Overview of Current Insights and Future Developments in the Field","title-short":"Edible Insects’ Transformation for Feed and Food Uses","volume":"10","author":[{"family":"El Hajj","given":"Rachelle"},{"family":"Mhemdi","given":"Houcine"},{"family":"Besombes","given":"Colette"},{"family":"Allaf","given":"Karim"},{"family":"Lefrançois","given":"Victor"},{"family":"Vorobiev","given":"Eugène"}],"issued":{"date-parts":[["2022",5,12]]}}}],"schema":"https://github.com/citation-style-language/schema/raw/master/csl-citation.json"} </w:instrText>
      </w:r>
      <w:r w:rsidRPr="003F5DA8">
        <w:rPr>
          <w:rFonts w:cs="Times New Roman"/>
        </w:rPr>
        <w:fldChar w:fldCharType="separate"/>
      </w:r>
      <w:r w:rsidR="00E860C9" w:rsidRPr="00E860C9">
        <w:rPr>
          <w:rFonts w:ascii="Calibri" w:hAnsi="Calibri" w:cs="Calibri"/>
          <w:szCs w:val="24"/>
          <w:vertAlign w:val="superscript"/>
        </w:rPr>
        <w:t>104</w:t>
      </w:r>
      <w:r w:rsidRPr="003F5DA8">
        <w:rPr>
          <w:rFonts w:cs="Times New Roman"/>
        </w:rPr>
        <w:fldChar w:fldCharType="end"/>
      </w:r>
      <w:r w:rsidRPr="003F5DA8">
        <w:rPr>
          <w:rFonts w:cs="Times New Roman"/>
        </w:rPr>
        <w:t xml:space="preserve"> albeit not specifically modeled herein. Importantly, no fractionation of BSF larvae into its different functional compounds (i.e. protein meal and oil) was modeled. Indeed, many processes exist</w:t>
      </w:r>
      <w:r w:rsidRPr="003F5DA8">
        <w:rPr>
          <w:rFonts w:cs="Times New Roman"/>
        </w:rPr>
        <w:fldChar w:fldCharType="begin"/>
      </w:r>
      <w:r w:rsidR="00E860C9">
        <w:rPr>
          <w:rFonts w:cs="Times New Roman"/>
        </w:rPr>
        <w:instrText xml:space="preserve"> ADDIN ZOTERO_ITEM CSL_CITATION {"citationID":"4faPaGPD","properties":{"formattedCitation":"\\super 104\\nosupersub{}","plainCitation":"104","noteIndex":0},"citationItems":[{"id":13307,"uris":["http://zotero.org/users/6423791/items/A7739JC3"],"itemData":{"id":13307,"type":"article-journal","abstract":"The integration of insect-derived extracts in feed and food products has become a ﬁeld of growing interest in recent years. In this review, we collect different studies carried out on edible insects’ transformation processes and focus on the various treatment operations, extraction technologies, and solvents used in different processing steps. We include an overview of current insights into the different steps of the transformation process: insect reception, killing methods, pretreatments, storage, delipidation, protein extraction, as well as chitin and chitosan extraction. Finally, we reﬂect on the most important future challenges of this sector.","container-title":"Processes","DOI":"10.3390/pr10050970","ISSN":"2227-9717","issue":"5","journalAbbreviation":"Processes","language":"en","page":"970","source":"DOI.org (Crossref)","title":"Edible Insects’ Transformation for Feed and Food Uses: An Overview of Current Insights and Future Developments in the Field","title-short":"Edible Insects’ Transformation for Feed and Food Uses","volume":"10","author":[{"family":"El Hajj","given":"Rachelle"},{"family":"Mhemdi","given":"Houcine"},{"family":"Besombes","given":"Colette"},{"family":"Allaf","given":"Karim"},{"family":"Lefrançois","given":"Victor"},{"family":"Vorobiev","given":"Eugène"}],"issued":{"date-parts":[["2022",5,12]]}}}],"schema":"https://github.com/citation-style-language/schema/raw/master/csl-citation.json"} </w:instrText>
      </w:r>
      <w:r w:rsidRPr="003F5DA8">
        <w:rPr>
          <w:rFonts w:cs="Times New Roman"/>
        </w:rPr>
        <w:fldChar w:fldCharType="separate"/>
      </w:r>
      <w:r w:rsidR="00E860C9" w:rsidRPr="00E860C9">
        <w:rPr>
          <w:rFonts w:ascii="Calibri" w:hAnsi="Calibri" w:cs="Calibri"/>
          <w:szCs w:val="24"/>
          <w:vertAlign w:val="superscript"/>
        </w:rPr>
        <w:t>104</w:t>
      </w:r>
      <w:r w:rsidRPr="003F5DA8">
        <w:rPr>
          <w:rFonts w:cs="Times New Roman"/>
        </w:rPr>
        <w:fldChar w:fldCharType="end"/>
      </w:r>
      <w:r w:rsidRPr="003F5DA8">
        <w:rPr>
          <w:rFonts w:cs="Times New Roman"/>
        </w:rPr>
        <w:t>, but all induce additional environmental impacts while not modifying the aggregated final mix of avoided food and feed services as modeled in this study. Consideration to fractionate/refine or not obviously depend on final target markets, but also on local legislation (e.g. in EU). Here, such additional processes were not modeled (optimistic regarding environmental impacts), and food and feed formulators were assumed supplied with whole larvae.</w:t>
      </w:r>
    </w:p>
    <w:p w14:paraId="14DDFB8F" w14:textId="77777777" w:rsidR="006458E0" w:rsidRPr="006458E0" w:rsidRDefault="006458E0" w:rsidP="00877BEE">
      <w:pPr>
        <w:pStyle w:val="Titre5"/>
      </w:pPr>
      <w:r w:rsidRPr="006458E0">
        <w:t>Killing and drying</w:t>
      </w:r>
    </w:p>
    <w:p w14:paraId="2308506D" w14:textId="6058C19C" w:rsidR="006458E0" w:rsidRPr="003F5DA8" w:rsidRDefault="006458E0" w:rsidP="006458E0">
      <w:pPr>
        <w:jc w:val="both"/>
        <w:rPr>
          <w:rFonts w:cs="Times New Roman"/>
        </w:rPr>
      </w:pPr>
      <w:r w:rsidRPr="003F5DA8">
        <w:rPr>
          <w:rFonts w:cs="Times New Roman"/>
        </w:rPr>
        <w:t>Spykman et al., 2021</w:t>
      </w:r>
      <w:r w:rsidRPr="003F5DA8">
        <w:rPr>
          <w:rFonts w:cs="Times New Roman"/>
        </w:rPr>
        <w:fldChar w:fldCharType="begin"/>
      </w:r>
      <w:r w:rsidR="008C451C">
        <w:rPr>
          <w:rFonts w:cs="Times New Roman"/>
        </w:rPr>
        <w:instrText xml:space="preserve"> ADDIN ZOTERO_ITEM CSL_CITATION {"citationID":"cBJ5Sso7","properties":{"formattedCitation":"\\super 67\\nosupersub{}","plainCitation":"67","noteIndex":0},"citationItems":[{"id":12260,"uris":["http://zotero.org/users/6423791/items/7WTH59GM"],"itemData":{"id":12260,"type":"article-journal","abstract":"The inclusion of insect protein into the food system has been proposed as a promising solution to ensure future food security and mitigate negative environmental impacts related to food production. However, the market volume for edible insects in Europe is still small; consequently, producers need a decision-support system to ensure the sustainable upscaling of the sector. The study analyzed environmental and economic impacts of insect production to identify the most eco-efficient production scenarios.","container-title":"The International Journal of Life Cycle Assessment","DOI":"10.1007/s11367-021-01986-y","ISSN":"1614-7502","journalAbbreviation":"Int J Life Cycle Assess","language":"en","source":"Springer Link","title":"A modular environmental and economic assessment applied to the production of Hermetia illucens larvae as a protein source for food and feed","URL":"https://doi.org/10.1007/s11367-021-01986-y","author":[{"family":"Spykman","given":"Raphaela"},{"family":"Hossaini","given":"Sayed Mahdi"},{"family":"Peguero","given":"Daniela A."},{"family":"Green","given":"Ashley"},{"family":"Heinz","given":"Volker"},{"family":"Smetana","given":"Sergiy"}],"accessed":{"date-parts":[["2021",10,14]]},"issued":{"date-parts":[["2021",10,9]]}}}],"schema":"https://github.com/citation-style-language/schema/raw/master/csl-citation.json"} </w:instrText>
      </w:r>
      <w:r w:rsidRPr="003F5DA8">
        <w:rPr>
          <w:rFonts w:cs="Times New Roman"/>
        </w:rPr>
        <w:fldChar w:fldCharType="separate"/>
      </w:r>
      <w:r w:rsidR="008C451C" w:rsidRPr="008C451C">
        <w:rPr>
          <w:rFonts w:ascii="Calibri" w:hAnsi="Calibri" w:cs="Calibri"/>
          <w:szCs w:val="24"/>
          <w:vertAlign w:val="superscript"/>
        </w:rPr>
        <w:t>67</w:t>
      </w:r>
      <w:r w:rsidRPr="003F5DA8">
        <w:rPr>
          <w:rFonts w:cs="Times New Roman"/>
        </w:rPr>
        <w:fldChar w:fldCharType="end"/>
      </w:r>
      <w:r w:rsidRPr="003F5DA8">
        <w:rPr>
          <w:rFonts w:cs="Times New Roman"/>
        </w:rPr>
        <w:t xml:space="preserve"> reviewed existing technologies for larvae killing and drying, used here to establish ranges of energy consumption (</w:t>
      </w:r>
      <w:r w:rsidR="00E819F5" w:rsidRPr="00E819F5">
        <w:rPr>
          <w:rFonts w:cs="Times New Roman"/>
          <w:b/>
        </w:rPr>
        <w:fldChar w:fldCharType="begin"/>
      </w:r>
      <w:r w:rsidR="00E819F5" w:rsidRPr="00E819F5">
        <w:rPr>
          <w:rFonts w:cs="Times New Roman"/>
          <w:b/>
        </w:rPr>
        <w:instrText xml:space="preserve"> REF _Ref144804706 \h </w:instrText>
      </w:r>
      <w:r w:rsidR="00E819F5">
        <w:rPr>
          <w:rFonts w:cs="Times New Roman"/>
          <w:b/>
        </w:rPr>
        <w:instrText xml:space="preserve"> \* MERGEFORMAT </w:instrText>
      </w:r>
      <w:r w:rsidR="00E819F5" w:rsidRPr="00E819F5">
        <w:rPr>
          <w:rFonts w:cs="Times New Roman"/>
          <w:b/>
        </w:rPr>
      </w:r>
      <w:r w:rsidR="00E819F5" w:rsidRPr="00E819F5">
        <w:rPr>
          <w:rFonts w:cs="Times New Roman"/>
          <w:b/>
        </w:rPr>
        <w:fldChar w:fldCharType="separate"/>
      </w:r>
      <w:r w:rsidR="00F25F8C" w:rsidRPr="00F25F8C">
        <w:rPr>
          <w:b/>
        </w:rPr>
        <w:t xml:space="preserve">Table SI. </w:t>
      </w:r>
      <w:r w:rsidR="00F25F8C" w:rsidRPr="00F25F8C">
        <w:rPr>
          <w:b/>
          <w:noProof/>
        </w:rPr>
        <w:t>34</w:t>
      </w:r>
      <w:r w:rsidR="00E819F5" w:rsidRPr="00E819F5">
        <w:rPr>
          <w:rFonts w:cs="Times New Roman"/>
          <w:b/>
        </w:rPr>
        <w:fldChar w:fldCharType="end"/>
      </w:r>
      <w:r w:rsidRPr="003F5DA8">
        <w:rPr>
          <w:rFonts w:cs="Times New Roman"/>
        </w:rPr>
        <w:t xml:space="preserve">). For consistency with the rest of the </w:t>
      </w:r>
      <w:r w:rsidR="00E819F5">
        <w:rPr>
          <w:rFonts w:cs="Times New Roman"/>
        </w:rPr>
        <w:t xml:space="preserve">LCI </w:t>
      </w:r>
      <w:r w:rsidRPr="003F5DA8">
        <w:rPr>
          <w:rFonts w:cs="Times New Roman"/>
        </w:rPr>
        <w:t>model</w:t>
      </w:r>
      <w:r w:rsidR="00E819F5">
        <w:rPr>
          <w:rFonts w:cs="Times New Roman"/>
        </w:rPr>
        <w:t>s</w:t>
      </w:r>
      <w:r w:rsidRPr="003F5DA8">
        <w:rPr>
          <w:rFonts w:cs="Times New Roman"/>
        </w:rPr>
        <w:t>, BSF larvae was considered dried towards 91%</w:t>
      </w:r>
      <w:r w:rsidRPr="003F5DA8">
        <w:rPr>
          <w:rFonts w:cs="Times New Roman"/>
          <w:vertAlign w:val="subscript"/>
        </w:rPr>
        <w:t>DM</w:t>
      </w:r>
      <w:r w:rsidRPr="003F5DA8">
        <w:rPr>
          <w:rFonts w:cs="Times New Roman"/>
        </w:rPr>
        <w:t>.</w:t>
      </w:r>
    </w:p>
    <w:p w14:paraId="11023746" w14:textId="219C756C" w:rsidR="006458E0" w:rsidRPr="001E0013" w:rsidRDefault="00874128" w:rsidP="006B5342">
      <w:pPr>
        <w:pStyle w:val="Lgende"/>
        <w:jc w:val="left"/>
        <w:rPr>
          <w:rFonts w:cs="Times New Roman"/>
          <w:b w:val="0"/>
          <w:i/>
        </w:rPr>
      </w:pPr>
      <w:bookmarkStart w:id="160" w:name="_Ref144804706"/>
      <w:bookmarkStart w:id="161" w:name="_Toc134537674"/>
      <w:bookmarkStart w:id="162" w:name="_Toc151967918"/>
      <w:r>
        <w:t>Table SI.</w:t>
      </w:r>
      <w:r w:rsidR="006458E0">
        <w:t xml:space="preserve"> </w:t>
      </w:r>
      <w:r>
        <w:fldChar w:fldCharType="begin"/>
      </w:r>
      <w:r>
        <w:instrText xml:space="preserve"> SEQ Table_SI. \* ARABIC </w:instrText>
      </w:r>
      <w:r>
        <w:fldChar w:fldCharType="separate"/>
      </w:r>
      <w:r w:rsidR="00F25F8C">
        <w:rPr>
          <w:noProof/>
        </w:rPr>
        <w:t>34</w:t>
      </w:r>
      <w:r>
        <w:fldChar w:fldCharType="end"/>
      </w:r>
      <w:bookmarkEnd w:id="160"/>
      <w:r w:rsidR="006458E0">
        <w:t xml:space="preserve"> </w:t>
      </w:r>
      <w:r w:rsidR="006458E0" w:rsidRPr="00E40BD9">
        <w:rPr>
          <w:rFonts w:cs="Times New Roman"/>
        </w:rPr>
        <w:t>– BSF killing and drying modeling parameters</w:t>
      </w:r>
      <w:bookmarkEnd w:id="161"/>
      <w:bookmarkEnd w:id="162"/>
    </w:p>
    <w:tbl>
      <w:tblPr>
        <w:tblStyle w:val="Tableausimple2"/>
        <w:tblW w:w="0" w:type="auto"/>
        <w:tblLook w:val="04A0" w:firstRow="1" w:lastRow="0" w:firstColumn="1" w:lastColumn="0" w:noHBand="0" w:noVBand="1"/>
      </w:tblPr>
      <w:tblGrid>
        <w:gridCol w:w="2268"/>
        <w:gridCol w:w="1200"/>
        <w:gridCol w:w="703"/>
        <w:gridCol w:w="932"/>
        <w:gridCol w:w="3969"/>
      </w:tblGrid>
      <w:tr w:rsidR="006458E0" w:rsidRPr="003C5C8A" w14:paraId="75F06958" w14:textId="77777777" w:rsidTr="003C5C8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1D0F2B75" w14:textId="77777777" w:rsidR="006458E0" w:rsidRPr="003C5C8A" w:rsidRDefault="006458E0" w:rsidP="006458E0">
            <w:pPr>
              <w:jc w:val="right"/>
              <w:rPr>
                <w:sz w:val="18"/>
              </w:rPr>
            </w:pPr>
            <w:r w:rsidRPr="003C5C8A">
              <w:rPr>
                <w:sz w:val="18"/>
              </w:rPr>
              <w:t>Emissions</w:t>
            </w:r>
          </w:p>
        </w:tc>
        <w:tc>
          <w:tcPr>
            <w:tcW w:w="1200" w:type="dxa"/>
          </w:tcPr>
          <w:p w14:paraId="6A02F5BA" w14:textId="77777777" w:rsidR="006458E0" w:rsidRPr="003C5C8A" w:rsidRDefault="006458E0" w:rsidP="006458E0">
            <w:pPr>
              <w:cnfStyle w:val="100000000000" w:firstRow="1" w:lastRow="0" w:firstColumn="0" w:lastColumn="0" w:oddVBand="0" w:evenVBand="0" w:oddHBand="0" w:evenHBand="0" w:firstRowFirstColumn="0" w:firstRowLastColumn="0" w:lastRowFirstColumn="0" w:lastRowLastColumn="0"/>
              <w:rPr>
                <w:sz w:val="18"/>
              </w:rPr>
            </w:pPr>
            <w:r w:rsidRPr="003C5C8A">
              <w:rPr>
                <w:sz w:val="18"/>
              </w:rPr>
              <w:t>Unit</w:t>
            </w:r>
          </w:p>
        </w:tc>
        <w:tc>
          <w:tcPr>
            <w:tcW w:w="703" w:type="dxa"/>
          </w:tcPr>
          <w:p w14:paraId="0E99D2B0" w14:textId="77777777" w:rsidR="006458E0" w:rsidRPr="003C5C8A" w:rsidRDefault="006458E0" w:rsidP="006458E0">
            <w:pPr>
              <w:cnfStyle w:val="100000000000" w:firstRow="1" w:lastRow="0" w:firstColumn="0" w:lastColumn="0" w:oddVBand="0" w:evenVBand="0" w:oddHBand="0" w:evenHBand="0" w:firstRowFirstColumn="0" w:firstRowLastColumn="0" w:lastRowFirstColumn="0" w:lastRowLastColumn="0"/>
              <w:rPr>
                <w:sz w:val="18"/>
              </w:rPr>
            </w:pPr>
            <w:r w:rsidRPr="003C5C8A">
              <w:rPr>
                <w:sz w:val="18"/>
              </w:rPr>
              <w:t>Value</w:t>
            </w:r>
          </w:p>
        </w:tc>
        <w:tc>
          <w:tcPr>
            <w:tcW w:w="932" w:type="dxa"/>
          </w:tcPr>
          <w:p w14:paraId="3E3475EA" w14:textId="77777777" w:rsidR="006458E0" w:rsidRPr="003C5C8A" w:rsidRDefault="006458E0" w:rsidP="006458E0">
            <w:pPr>
              <w:cnfStyle w:val="100000000000" w:firstRow="1" w:lastRow="0" w:firstColumn="0" w:lastColumn="0" w:oddVBand="0" w:evenVBand="0" w:oddHBand="0" w:evenHBand="0" w:firstRowFirstColumn="0" w:firstRowLastColumn="0" w:lastRowFirstColumn="0" w:lastRowLastColumn="0"/>
              <w:rPr>
                <w:sz w:val="18"/>
              </w:rPr>
            </w:pPr>
            <w:r w:rsidRPr="003C5C8A">
              <w:rPr>
                <w:sz w:val="18"/>
              </w:rPr>
              <w:t>Range</w:t>
            </w:r>
          </w:p>
        </w:tc>
        <w:tc>
          <w:tcPr>
            <w:tcW w:w="3969" w:type="dxa"/>
          </w:tcPr>
          <w:p w14:paraId="7D9C72E3" w14:textId="77777777" w:rsidR="006458E0" w:rsidRPr="003C5C8A" w:rsidRDefault="006458E0" w:rsidP="00E9442B">
            <w:pPr>
              <w:cnfStyle w:val="100000000000" w:firstRow="1" w:lastRow="0" w:firstColumn="0" w:lastColumn="0" w:oddVBand="0" w:evenVBand="0" w:oddHBand="0" w:evenHBand="0" w:firstRowFirstColumn="0" w:firstRowLastColumn="0" w:lastRowFirstColumn="0" w:lastRowLastColumn="0"/>
              <w:rPr>
                <w:i/>
                <w:sz w:val="18"/>
              </w:rPr>
            </w:pPr>
            <w:r w:rsidRPr="003C5C8A">
              <w:rPr>
                <w:i/>
                <w:sz w:val="18"/>
              </w:rPr>
              <w:t>Comment</w:t>
            </w:r>
          </w:p>
        </w:tc>
      </w:tr>
      <w:tr w:rsidR="006458E0" w:rsidRPr="003C5C8A" w14:paraId="30EF5359" w14:textId="77777777" w:rsidTr="003C5C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230650FA" w14:textId="77777777" w:rsidR="006458E0" w:rsidRPr="003C5C8A" w:rsidRDefault="006458E0" w:rsidP="006458E0">
            <w:pPr>
              <w:jc w:val="right"/>
              <w:rPr>
                <w:b w:val="0"/>
                <w:sz w:val="18"/>
              </w:rPr>
            </w:pPr>
            <w:r w:rsidRPr="003C5C8A">
              <w:rPr>
                <w:b w:val="0"/>
                <w:sz w:val="18"/>
              </w:rPr>
              <w:t>Sieving and washing energy</w:t>
            </w:r>
          </w:p>
        </w:tc>
        <w:tc>
          <w:tcPr>
            <w:tcW w:w="1200" w:type="dxa"/>
          </w:tcPr>
          <w:p w14:paraId="445D51F9"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3C5C8A">
              <w:rPr>
                <w:sz w:val="18"/>
                <w:szCs w:val="18"/>
              </w:rPr>
              <w:t>Wh.kg</w:t>
            </w:r>
            <w:r w:rsidRPr="003C5C8A">
              <w:rPr>
                <w:sz w:val="18"/>
                <w:szCs w:val="18"/>
                <w:vertAlign w:val="subscript"/>
              </w:rPr>
              <w:t>ww</w:t>
            </w:r>
            <w:proofErr w:type="gramEnd"/>
            <w:r w:rsidRPr="003C5C8A">
              <w:rPr>
                <w:sz w:val="18"/>
                <w:szCs w:val="18"/>
                <w:vertAlign w:val="superscript"/>
              </w:rPr>
              <w:t>-1</w:t>
            </w:r>
          </w:p>
        </w:tc>
        <w:tc>
          <w:tcPr>
            <w:tcW w:w="703" w:type="dxa"/>
          </w:tcPr>
          <w:p w14:paraId="4B1E9E6A"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16</w:t>
            </w:r>
          </w:p>
        </w:tc>
        <w:tc>
          <w:tcPr>
            <w:tcW w:w="932" w:type="dxa"/>
          </w:tcPr>
          <w:p w14:paraId="70B023FE"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rPr>
            </w:pPr>
          </w:p>
        </w:tc>
        <w:tc>
          <w:tcPr>
            <w:tcW w:w="3969" w:type="dxa"/>
            <w:vMerge w:val="restart"/>
          </w:tcPr>
          <w:p w14:paraId="3061BF29" w14:textId="599A5849" w:rsidR="006458E0" w:rsidRPr="003C5C8A" w:rsidRDefault="006458E0" w:rsidP="006458E0">
            <w:pPr>
              <w:jc w:val="both"/>
              <w:cnfStyle w:val="000000100000" w:firstRow="0" w:lastRow="0" w:firstColumn="0" w:lastColumn="0" w:oddVBand="0" w:evenVBand="0" w:oddHBand="1" w:evenHBand="0" w:firstRowFirstColumn="0" w:firstRowLastColumn="0" w:lastRowFirstColumn="0" w:lastRowLastColumn="0"/>
              <w:rPr>
                <w:i/>
                <w:sz w:val="18"/>
              </w:rPr>
            </w:pPr>
            <w:r w:rsidRPr="003C5C8A">
              <w:rPr>
                <w:i/>
                <w:sz w:val="18"/>
              </w:rPr>
              <w:t>Aggregated values from Spykman et al., 2021</w:t>
            </w:r>
            <w:r w:rsidRPr="003C5C8A">
              <w:rPr>
                <w:i/>
                <w:sz w:val="18"/>
              </w:rPr>
              <w:fldChar w:fldCharType="begin"/>
            </w:r>
            <w:r w:rsidR="008C451C">
              <w:rPr>
                <w:i/>
                <w:sz w:val="18"/>
              </w:rPr>
              <w:instrText xml:space="preserve"> ADDIN ZOTERO_ITEM CSL_CITATION {"citationID":"GHLlEgsO","properties":{"formattedCitation":"\\super 67\\nosupersub{}","plainCitation":"67","noteIndex":0},"citationItems":[{"id":12260,"uris":["http://zotero.org/users/6423791/items/7WTH59GM"],"itemData":{"id":12260,"type":"article-journal","abstract":"The inclusion of insect protein into the food system has been proposed as a promising solution to ensure future food security and mitigate negative environmental impacts related to food production. However, the market volume for edible insects in Europe is still small; consequently, producers need a decision-support system to ensure the sustainable upscaling of the sector. The study analyzed environmental and economic impacts of insect production to identify the most eco-efficient production scenarios.","container-title":"The International Journal of Life Cycle Assessment","DOI":"10.1007/s11367-021-01986-y","ISSN":"1614-7502","journalAbbreviation":"Int J Life Cycle Assess","language":"en","source":"Springer Link","title":"A modular environmental and economic assessment applied to the production of Hermetia illucens larvae as a protein source for food and feed","URL":"https://doi.org/10.1007/s11367-021-01986-y","author":[{"family":"Spykman","given":"Raphaela"},{"family":"Hossaini","given":"Sayed Mahdi"},{"family":"Peguero","given":"Daniela A."},{"family":"Green","given":"Ashley"},{"family":"Heinz","given":"Volker"},{"family":"Smetana","given":"Sergiy"}],"accessed":{"date-parts":[["2021",10,14]]},"issued":{"date-parts":[["2021",10,9]]}}}],"schema":"https://github.com/citation-style-language/schema/raw/master/csl-citation.json"} </w:instrText>
            </w:r>
            <w:r w:rsidRPr="003C5C8A">
              <w:rPr>
                <w:i/>
                <w:sz w:val="18"/>
              </w:rPr>
              <w:fldChar w:fldCharType="separate"/>
            </w:r>
            <w:r w:rsidR="008C451C" w:rsidRPr="008C451C">
              <w:rPr>
                <w:rFonts w:ascii="Calibri" w:hAnsi="Calibri" w:cs="Calibri"/>
                <w:sz w:val="18"/>
                <w:szCs w:val="24"/>
                <w:vertAlign w:val="superscript"/>
              </w:rPr>
              <w:t>67</w:t>
            </w:r>
            <w:r w:rsidRPr="003C5C8A">
              <w:rPr>
                <w:i/>
                <w:sz w:val="18"/>
              </w:rPr>
              <w:fldChar w:fldCharType="end"/>
            </w:r>
          </w:p>
        </w:tc>
      </w:tr>
      <w:tr w:rsidR="006458E0" w:rsidRPr="003C5C8A" w14:paraId="39B835F3" w14:textId="77777777" w:rsidTr="003C5C8A">
        <w:tc>
          <w:tcPr>
            <w:cnfStyle w:val="001000000000" w:firstRow="0" w:lastRow="0" w:firstColumn="1" w:lastColumn="0" w:oddVBand="0" w:evenVBand="0" w:oddHBand="0" w:evenHBand="0" w:firstRowFirstColumn="0" w:firstRowLastColumn="0" w:lastRowFirstColumn="0" w:lastRowLastColumn="0"/>
            <w:tcW w:w="2268" w:type="dxa"/>
          </w:tcPr>
          <w:p w14:paraId="685D53CC" w14:textId="77777777" w:rsidR="006458E0" w:rsidRPr="003C5C8A" w:rsidRDefault="006458E0" w:rsidP="006458E0">
            <w:pPr>
              <w:jc w:val="right"/>
              <w:rPr>
                <w:b w:val="0"/>
                <w:sz w:val="18"/>
              </w:rPr>
            </w:pPr>
            <w:r w:rsidRPr="003C5C8A">
              <w:rPr>
                <w:b w:val="0"/>
                <w:sz w:val="18"/>
              </w:rPr>
              <w:t>Washing water</w:t>
            </w:r>
          </w:p>
        </w:tc>
        <w:tc>
          <w:tcPr>
            <w:tcW w:w="1200" w:type="dxa"/>
          </w:tcPr>
          <w:p w14:paraId="5F64AA79"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L.kg</w:t>
            </w:r>
            <w:r w:rsidRPr="003C5C8A">
              <w:rPr>
                <w:sz w:val="18"/>
                <w:szCs w:val="18"/>
                <w:vertAlign w:val="subscript"/>
              </w:rPr>
              <w:t>ww</w:t>
            </w:r>
            <w:r w:rsidRPr="003C5C8A">
              <w:rPr>
                <w:sz w:val="18"/>
                <w:szCs w:val="18"/>
                <w:vertAlign w:val="superscript"/>
              </w:rPr>
              <w:t>-1</w:t>
            </w:r>
          </w:p>
        </w:tc>
        <w:tc>
          <w:tcPr>
            <w:tcW w:w="703" w:type="dxa"/>
          </w:tcPr>
          <w:p w14:paraId="33ECDD58"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0.98</w:t>
            </w:r>
          </w:p>
        </w:tc>
        <w:tc>
          <w:tcPr>
            <w:tcW w:w="932" w:type="dxa"/>
          </w:tcPr>
          <w:p w14:paraId="20F43656"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rPr>
            </w:pPr>
          </w:p>
        </w:tc>
        <w:tc>
          <w:tcPr>
            <w:tcW w:w="3969" w:type="dxa"/>
            <w:vMerge/>
          </w:tcPr>
          <w:p w14:paraId="53D55204" w14:textId="77777777" w:rsidR="006458E0" w:rsidRPr="003C5C8A" w:rsidRDefault="006458E0" w:rsidP="006458E0">
            <w:pPr>
              <w:jc w:val="both"/>
              <w:cnfStyle w:val="000000000000" w:firstRow="0" w:lastRow="0" w:firstColumn="0" w:lastColumn="0" w:oddVBand="0" w:evenVBand="0" w:oddHBand="0" w:evenHBand="0" w:firstRowFirstColumn="0" w:firstRowLastColumn="0" w:lastRowFirstColumn="0" w:lastRowLastColumn="0"/>
              <w:rPr>
                <w:i/>
                <w:sz w:val="18"/>
              </w:rPr>
            </w:pPr>
          </w:p>
        </w:tc>
      </w:tr>
      <w:tr w:rsidR="006458E0" w:rsidRPr="003C5C8A" w14:paraId="01EFB5A4" w14:textId="77777777" w:rsidTr="003C5C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6AFA8497" w14:textId="77777777" w:rsidR="006458E0" w:rsidRPr="003C5C8A" w:rsidRDefault="006458E0" w:rsidP="006458E0">
            <w:pPr>
              <w:jc w:val="right"/>
              <w:rPr>
                <w:b w:val="0"/>
                <w:sz w:val="18"/>
              </w:rPr>
            </w:pPr>
            <w:r w:rsidRPr="003C5C8A">
              <w:rPr>
                <w:b w:val="0"/>
                <w:sz w:val="18"/>
              </w:rPr>
              <w:t>Cleaning water</w:t>
            </w:r>
          </w:p>
        </w:tc>
        <w:tc>
          <w:tcPr>
            <w:tcW w:w="1200" w:type="dxa"/>
          </w:tcPr>
          <w:p w14:paraId="27BD827A"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L.kg</w:t>
            </w:r>
            <w:r w:rsidRPr="003C5C8A">
              <w:rPr>
                <w:sz w:val="18"/>
                <w:szCs w:val="18"/>
                <w:vertAlign w:val="subscript"/>
              </w:rPr>
              <w:t>ww</w:t>
            </w:r>
            <w:r w:rsidRPr="003C5C8A">
              <w:rPr>
                <w:sz w:val="18"/>
                <w:szCs w:val="18"/>
                <w:vertAlign w:val="superscript"/>
              </w:rPr>
              <w:t>-1</w:t>
            </w:r>
          </w:p>
        </w:tc>
        <w:tc>
          <w:tcPr>
            <w:tcW w:w="703" w:type="dxa"/>
          </w:tcPr>
          <w:p w14:paraId="2C435245"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0.84</w:t>
            </w:r>
          </w:p>
        </w:tc>
        <w:tc>
          <w:tcPr>
            <w:tcW w:w="932" w:type="dxa"/>
          </w:tcPr>
          <w:p w14:paraId="2DB7F3A4"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rPr>
            </w:pPr>
          </w:p>
        </w:tc>
        <w:tc>
          <w:tcPr>
            <w:tcW w:w="3969" w:type="dxa"/>
            <w:vMerge/>
          </w:tcPr>
          <w:p w14:paraId="050A9480" w14:textId="77777777" w:rsidR="006458E0" w:rsidRPr="003C5C8A" w:rsidRDefault="006458E0" w:rsidP="006458E0">
            <w:pPr>
              <w:jc w:val="both"/>
              <w:cnfStyle w:val="000000100000" w:firstRow="0" w:lastRow="0" w:firstColumn="0" w:lastColumn="0" w:oddVBand="0" w:evenVBand="0" w:oddHBand="1" w:evenHBand="0" w:firstRowFirstColumn="0" w:firstRowLastColumn="0" w:lastRowFirstColumn="0" w:lastRowLastColumn="0"/>
              <w:rPr>
                <w:i/>
                <w:sz w:val="18"/>
              </w:rPr>
            </w:pPr>
          </w:p>
        </w:tc>
      </w:tr>
      <w:tr w:rsidR="006458E0" w:rsidRPr="003C5C8A" w14:paraId="766C6C30" w14:textId="77777777" w:rsidTr="003C5C8A">
        <w:tc>
          <w:tcPr>
            <w:cnfStyle w:val="001000000000" w:firstRow="0" w:lastRow="0" w:firstColumn="1" w:lastColumn="0" w:oddVBand="0" w:evenVBand="0" w:oddHBand="0" w:evenHBand="0" w:firstRowFirstColumn="0" w:firstRowLastColumn="0" w:lastRowFirstColumn="0" w:lastRowLastColumn="0"/>
            <w:tcW w:w="2268" w:type="dxa"/>
          </w:tcPr>
          <w:p w14:paraId="6417FE76" w14:textId="77777777" w:rsidR="006458E0" w:rsidRPr="003C5C8A" w:rsidRDefault="006458E0" w:rsidP="006458E0">
            <w:pPr>
              <w:jc w:val="right"/>
              <w:rPr>
                <w:b w:val="0"/>
                <w:sz w:val="18"/>
              </w:rPr>
            </w:pPr>
            <w:r w:rsidRPr="003C5C8A">
              <w:rPr>
                <w:b w:val="0"/>
                <w:sz w:val="18"/>
              </w:rPr>
              <w:t>Cleaning detergent</w:t>
            </w:r>
          </w:p>
        </w:tc>
        <w:tc>
          <w:tcPr>
            <w:tcW w:w="1200" w:type="dxa"/>
          </w:tcPr>
          <w:p w14:paraId="0789E351"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3C5C8A">
              <w:rPr>
                <w:sz w:val="18"/>
                <w:szCs w:val="18"/>
              </w:rPr>
              <w:t>g.kg</w:t>
            </w:r>
            <w:r w:rsidRPr="003C5C8A">
              <w:rPr>
                <w:sz w:val="18"/>
                <w:szCs w:val="18"/>
                <w:vertAlign w:val="subscript"/>
              </w:rPr>
              <w:t>ww</w:t>
            </w:r>
            <w:proofErr w:type="gramEnd"/>
            <w:r w:rsidRPr="003C5C8A">
              <w:rPr>
                <w:sz w:val="18"/>
                <w:szCs w:val="18"/>
                <w:vertAlign w:val="superscript"/>
              </w:rPr>
              <w:t>-1</w:t>
            </w:r>
          </w:p>
        </w:tc>
        <w:tc>
          <w:tcPr>
            <w:tcW w:w="703" w:type="dxa"/>
          </w:tcPr>
          <w:p w14:paraId="4FE25ADD"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1.2</w:t>
            </w:r>
          </w:p>
        </w:tc>
        <w:tc>
          <w:tcPr>
            <w:tcW w:w="932" w:type="dxa"/>
          </w:tcPr>
          <w:p w14:paraId="39C4B238"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rPr>
            </w:pPr>
          </w:p>
        </w:tc>
        <w:tc>
          <w:tcPr>
            <w:tcW w:w="3969" w:type="dxa"/>
            <w:vMerge/>
          </w:tcPr>
          <w:p w14:paraId="49F5D154" w14:textId="77777777" w:rsidR="006458E0" w:rsidRPr="003C5C8A" w:rsidRDefault="006458E0" w:rsidP="006458E0">
            <w:pPr>
              <w:jc w:val="both"/>
              <w:cnfStyle w:val="000000000000" w:firstRow="0" w:lastRow="0" w:firstColumn="0" w:lastColumn="0" w:oddVBand="0" w:evenVBand="0" w:oddHBand="0" w:evenHBand="0" w:firstRowFirstColumn="0" w:firstRowLastColumn="0" w:lastRowFirstColumn="0" w:lastRowLastColumn="0"/>
              <w:rPr>
                <w:i/>
                <w:sz w:val="18"/>
              </w:rPr>
            </w:pPr>
          </w:p>
        </w:tc>
      </w:tr>
      <w:tr w:rsidR="006458E0" w:rsidRPr="003C5C8A" w14:paraId="7E95B4B6" w14:textId="77777777" w:rsidTr="003C5C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387F6420" w14:textId="77777777" w:rsidR="006458E0" w:rsidRPr="003C5C8A" w:rsidRDefault="006458E0" w:rsidP="006458E0">
            <w:pPr>
              <w:jc w:val="right"/>
              <w:rPr>
                <w:b w:val="0"/>
                <w:sz w:val="18"/>
              </w:rPr>
            </w:pPr>
            <w:r w:rsidRPr="003C5C8A">
              <w:rPr>
                <w:b w:val="0"/>
                <w:sz w:val="18"/>
              </w:rPr>
              <w:t>Killing energy</w:t>
            </w:r>
          </w:p>
        </w:tc>
        <w:tc>
          <w:tcPr>
            <w:tcW w:w="1200" w:type="dxa"/>
          </w:tcPr>
          <w:p w14:paraId="0A30EEAE"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kWh.kg</w:t>
            </w:r>
            <w:r w:rsidRPr="003C5C8A">
              <w:rPr>
                <w:sz w:val="18"/>
                <w:szCs w:val="18"/>
                <w:vertAlign w:val="subscript"/>
              </w:rPr>
              <w:t>ww</w:t>
            </w:r>
            <w:r w:rsidRPr="003C5C8A">
              <w:rPr>
                <w:sz w:val="18"/>
                <w:szCs w:val="18"/>
                <w:vertAlign w:val="superscript"/>
              </w:rPr>
              <w:t>-1</w:t>
            </w:r>
          </w:p>
        </w:tc>
        <w:tc>
          <w:tcPr>
            <w:tcW w:w="703" w:type="dxa"/>
          </w:tcPr>
          <w:p w14:paraId="12412E87"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0.14</w:t>
            </w:r>
          </w:p>
        </w:tc>
        <w:tc>
          <w:tcPr>
            <w:tcW w:w="932" w:type="dxa"/>
          </w:tcPr>
          <w:p w14:paraId="69A2B60D"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rPr>
            </w:pPr>
            <w:r w:rsidRPr="003C5C8A">
              <w:rPr>
                <w:sz w:val="18"/>
              </w:rPr>
              <w:t>0.09-0.25</w:t>
            </w:r>
          </w:p>
        </w:tc>
        <w:tc>
          <w:tcPr>
            <w:tcW w:w="3969" w:type="dxa"/>
          </w:tcPr>
          <w:p w14:paraId="222EF5BA" w14:textId="2719A9B6" w:rsidR="006458E0" w:rsidRPr="003C5C8A" w:rsidRDefault="006458E0" w:rsidP="006458E0">
            <w:pPr>
              <w:jc w:val="both"/>
              <w:cnfStyle w:val="000000100000" w:firstRow="0" w:lastRow="0" w:firstColumn="0" w:lastColumn="0" w:oddVBand="0" w:evenVBand="0" w:oddHBand="1" w:evenHBand="0" w:firstRowFirstColumn="0" w:firstRowLastColumn="0" w:lastRowFirstColumn="0" w:lastRowLastColumn="0"/>
              <w:rPr>
                <w:i/>
                <w:sz w:val="18"/>
              </w:rPr>
            </w:pPr>
            <w:r w:rsidRPr="003C5C8A">
              <w:rPr>
                <w:i/>
                <w:sz w:val="18"/>
              </w:rPr>
              <w:t>Review by Spykman et al., 2021</w:t>
            </w:r>
            <w:r w:rsidRPr="003C5C8A">
              <w:rPr>
                <w:i/>
                <w:sz w:val="18"/>
              </w:rPr>
              <w:fldChar w:fldCharType="begin"/>
            </w:r>
            <w:r w:rsidR="008C451C">
              <w:rPr>
                <w:i/>
                <w:sz w:val="18"/>
              </w:rPr>
              <w:instrText xml:space="preserve"> ADDIN ZOTERO_ITEM CSL_CITATION {"citationID":"FyGhhbWo","properties":{"formattedCitation":"\\super 67\\nosupersub{}","plainCitation":"67","noteIndex":0},"citationItems":[{"id":12260,"uris":["http://zotero.org/users/6423791/items/7WTH59GM"],"itemData":{"id":12260,"type":"article-journal","abstract":"The inclusion of insect protein into the food system has been proposed as a promising solution to ensure future food security and mitigate negative environmental impacts related to food production. However, the market volume for edible insects in Europe is still small; consequently, producers need a decision-support system to ensure the sustainable upscaling of the sector. The study analyzed environmental and economic impacts of insect production to identify the most eco-efficient production scenarios.","container-title":"The International Journal of Life Cycle Assessment","DOI":"10.1007/s11367-021-01986-y","ISSN":"1614-7502","journalAbbreviation":"Int J Life Cycle Assess","language":"en","source":"Springer Link","title":"A modular environmental and economic assessment applied to the production of Hermetia illucens larvae as a protein source for food and feed","URL":"https://doi.org/10.1007/s11367-021-01986-y","author":[{"family":"Spykman","given":"Raphaela"},{"family":"Hossaini","given":"Sayed Mahdi"},{"family":"Peguero","given":"Daniela A."},{"family":"Green","given":"Ashley"},{"family":"Heinz","given":"Volker"},{"family":"Smetana","given":"Sergiy"}],"accessed":{"date-parts":[["2021",10,14]]},"issued":{"date-parts":[["2021",10,9]]}}}],"schema":"https://github.com/citation-style-language/schema/raw/master/csl-citation.json"} </w:instrText>
            </w:r>
            <w:r w:rsidRPr="003C5C8A">
              <w:rPr>
                <w:i/>
                <w:sz w:val="18"/>
              </w:rPr>
              <w:fldChar w:fldCharType="separate"/>
            </w:r>
            <w:r w:rsidR="008C451C" w:rsidRPr="008C451C">
              <w:rPr>
                <w:rFonts w:ascii="Calibri" w:hAnsi="Calibri" w:cs="Calibri"/>
                <w:sz w:val="18"/>
                <w:szCs w:val="24"/>
                <w:vertAlign w:val="superscript"/>
              </w:rPr>
              <w:t>67</w:t>
            </w:r>
            <w:r w:rsidRPr="003C5C8A">
              <w:rPr>
                <w:i/>
                <w:sz w:val="18"/>
              </w:rPr>
              <w:fldChar w:fldCharType="end"/>
            </w:r>
            <w:r w:rsidRPr="003C5C8A">
              <w:rPr>
                <w:i/>
                <w:sz w:val="18"/>
              </w:rPr>
              <w:t>, freeze-drying selected as intermediary.</w:t>
            </w:r>
          </w:p>
        </w:tc>
      </w:tr>
      <w:tr w:rsidR="006458E0" w:rsidRPr="003C5C8A" w14:paraId="378D2F80" w14:textId="77777777" w:rsidTr="003C5C8A">
        <w:tc>
          <w:tcPr>
            <w:cnfStyle w:val="001000000000" w:firstRow="0" w:lastRow="0" w:firstColumn="1" w:lastColumn="0" w:oddVBand="0" w:evenVBand="0" w:oddHBand="0" w:evenHBand="0" w:firstRowFirstColumn="0" w:firstRowLastColumn="0" w:lastRowFirstColumn="0" w:lastRowLastColumn="0"/>
            <w:tcW w:w="2268" w:type="dxa"/>
          </w:tcPr>
          <w:p w14:paraId="5042A9A5" w14:textId="77777777" w:rsidR="006458E0" w:rsidRPr="003C5C8A" w:rsidRDefault="006458E0" w:rsidP="006458E0">
            <w:pPr>
              <w:jc w:val="right"/>
              <w:rPr>
                <w:b w:val="0"/>
                <w:sz w:val="18"/>
              </w:rPr>
            </w:pPr>
            <w:r w:rsidRPr="003C5C8A">
              <w:rPr>
                <w:b w:val="0"/>
                <w:sz w:val="18"/>
              </w:rPr>
              <w:t>Drying electricity</w:t>
            </w:r>
          </w:p>
        </w:tc>
        <w:tc>
          <w:tcPr>
            <w:tcW w:w="1200" w:type="dxa"/>
          </w:tcPr>
          <w:p w14:paraId="2872FEC7"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rPr>
            </w:pPr>
            <w:r w:rsidRPr="003C5C8A">
              <w:rPr>
                <w:sz w:val="18"/>
                <w:szCs w:val="18"/>
              </w:rPr>
              <w:t>kWh.kg</w:t>
            </w:r>
            <w:r w:rsidRPr="003C5C8A">
              <w:rPr>
                <w:sz w:val="18"/>
                <w:szCs w:val="18"/>
                <w:vertAlign w:val="subscript"/>
              </w:rPr>
              <w:t>water</w:t>
            </w:r>
            <w:r w:rsidRPr="003C5C8A">
              <w:rPr>
                <w:sz w:val="18"/>
                <w:szCs w:val="18"/>
                <w:vertAlign w:val="superscript"/>
              </w:rPr>
              <w:t>-1</w:t>
            </w:r>
          </w:p>
        </w:tc>
        <w:tc>
          <w:tcPr>
            <w:tcW w:w="703" w:type="dxa"/>
          </w:tcPr>
          <w:p w14:paraId="5EA4D7FB"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rPr>
            </w:pPr>
            <w:r w:rsidRPr="003C5C8A">
              <w:rPr>
                <w:sz w:val="18"/>
              </w:rPr>
              <w:t>0.11</w:t>
            </w:r>
          </w:p>
        </w:tc>
        <w:tc>
          <w:tcPr>
            <w:tcW w:w="932" w:type="dxa"/>
          </w:tcPr>
          <w:p w14:paraId="74FEA128"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0.03-0.28</w:t>
            </w:r>
          </w:p>
        </w:tc>
        <w:tc>
          <w:tcPr>
            <w:tcW w:w="3969" w:type="dxa"/>
            <w:vMerge w:val="restart"/>
          </w:tcPr>
          <w:p w14:paraId="677967BA" w14:textId="2981506C" w:rsidR="006458E0" w:rsidRPr="003C5C8A" w:rsidRDefault="006458E0" w:rsidP="006458E0">
            <w:pPr>
              <w:jc w:val="both"/>
              <w:cnfStyle w:val="000000000000" w:firstRow="0" w:lastRow="0" w:firstColumn="0" w:lastColumn="0" w:oddVBand="0" w:evenVBand="0" w:oddHBand="0" w:evenHBand="0" w:firstRowFirstColumn="0" w:firstRowLastColumn="0" w:lastRowFirstColumn="0" w:lastRowLastColumn="0"/>
              <w:rPr>
                <w:i/>
                <w:sz w:val="18"/>
                <w:szCs w:val="18"/>
              </w:rPr>
            </w:pPr>
            <w:r w:rsidRPr="003C5C8A">
              <w:rPr>
                <w:i/>
                <w:sz w:val="18"/>
                <w:szCs w:val="18"/>
              </w:rPr>
              <w:t>Reviewed drying requirements</w:t>
            </w:r>
            <w:r w:rsidRPr="003C5C8A">
              <w:rPr>
                <w:i/>
                <w:sz w:val="18"/>
              </w:rPr>
              <w:t xml:space="preserve"> by Spykman et al., 2021</w:t>
            </w:r>
            <w:r w:rsidRPr="003C5C8A">
              <w:rPr>
                <w:i/>
                <w:sz w:val="18"/>
              </w:rPr>
              <w:fldChar w:fldCharType="begin"/>
            </w:r>
            <w:r w:rsidR="008C451C">
              <w:rPr>
                <w:i/>
                <w:sz w:val="18"/>
              </w:rPr>
              <w:instrText xml:space="preserve"> ADDIN ZOTERO_ITEM CSL_CITATION {"citationID":"Jol5ZkiU","properties":{"formattedCitation":"\\super 67\\nosupersub{}","plainCitation":"67","noteIndex":0},"citationItems":[{"id":12260,"uris":["http://zotero.org/users/6423791/items/7WTH59GM"],"itemData":{"id":12260,"type":"article-journal","abstract":"The inclusion of insect protein into the food system has been proposed as a promising solution to ensure future food security and mitigate negative environmental impacts related to food production. However, the market volume for edible insects in Europe is still small; consequently, producers need a decision-support system to ensure the sustainable upscaling of the sector. The study analyzed environmental and economic impacts of insect production to identify the most eco-efficient production scenarios.","container-title":"The International Journal of Life Cycle Assessment","DOI":"10.1007/s11367-021-01986-y","ISSN":"1614-7502","journalAbbreviation":"Int J Life Cycle Assess","language":"en","source":"Springer Link","title":"A modular environmental and economic assessment applied to the production of Hermetia illucens larvae as a protein source for food and feed","URL":"https://doi.org/10.1007/s11367-021-01986-y","author":[{"family":"Spykman","given":"Raphaela"},{"family":"Hossaini","given":"Sayed Mahdi"},{"family":"Peguero","given":"Daniela A."},{"family":"Green","given":"Ashley"},{"family":"Heinz","given":"Volker"},{"family":"Smetana","given":"Sergiy"}],"accessed":{"date-parts":[["2021",10,14]]},"issued":{"date-parts":[["2021",10,9]]}}}],"schema":"https://github.com/citation-style-language/schema/raw/master/csl-citation.json"} </w:instrText>
            </w:r>
            <w:r w:rsidRPr="003C5C8A">
              <w:rPr>
                <w:i/>
                <w:sz w:val="18"/>
              </w:rPr>
              <w:fldChar w:fldCharType="separate"/>
            </w:r>
            <w:r w:rsidR="008C451C" w:rsidRPr="008C451C">
              <w:rPr>
                <w:rFonts w:ascii="Calibri" w:hAnsi="Calibri" w:cs="Calibri"/>
                <w:sz w:val="18"/>
                <w:szCs w:val="24"/>
                <w:vertAlign w:val="superscript"/>
              </w:rPr>
              <w:t>67</w:t>
            </w:r>
            <w:r w:rsidRPr="003C5C8A">
              <w:rPr>
                <w:i/>
                <w:sz w:val="18"/>
              </w:rPr>
              <w:fldChar w:fldCharType="end"/>
            </w:r>
            <w:r w:rsidRPr="003C5C8A">
              <w:rPr>
                <w:i/>
                <w:sz w:val="18"/>
              </w:rPr>
              <w:t xml:space="preserve"> yield 5-6 MJ</w:t>
            </w:r>
            <w:r w:rsidRPr="003C5C8A">
              <w:rPr>
                <w:i/>
                <w:sz w:val="18"/>
                <w:szCs w:val="18"/>
              </w:rPr>
              <w:t>.kg</w:t>
            </w:r>
            <w:r w:rsidRPr="003C5C8A">
              <w:rPr>
                <w:i/>
                <w:sz w:val="18"/>
                <w:szCs w:val="18"/>
                <w:vertAlign w:val="subscript"/>
              </w:rPr>
              <w:t>water</w:t>
            </w:r>
            <w:r w:rsidRPr="003C5C8A">
              <w:rPr>
                <w:i/>
                <w:sz w:val="18"/>
                <w:szCs w:val="18"/>
                <w:vertAlign w:val="superscript"/>
              </w:rPr>
              <w:t>-1</w:t>
            </w:r>
            <w:r w:rsidRPr="003C5C8A">
              <w:rPr>
                <w:i/>
                <w:sz w:val="18"/>
                <w:szCs w:val="18"/>
              </w:rPr>
              <w:t>, higher than spray-drying techniques.</w:t>
            </w:r>
            <w:r w:rsidRPr="003C5C8A">
              <w:rPr>
                <w:sz w:val="18"/>
              </w:rPr>
              <w:t xml:space="preserve"> </w:t>
            </w:r>
            <w:r w:rsidRPr="003C5C8A">
              <w:rPr>
                <w:i/>
                <w:sz w:val="18"/>
                <w:szCs w:val="18"/>
              </w:rPr>
              <w:t>This is likely because here the larvae are dried as a whole, and not crushed into powder/meal before, hence limiting heat and water evaporation transfers. Here, parameters selected as for MP production mode</w:t>
            </w:r>
            <w:r w:rsidR="00655BBB">
              <w:rPr>
                <w:i/>
                <w:sz w:val="18"/>
                <w:szCs w:val="18"/>
              </w:rPr>
              <w:t>l</w:t>
            </w:r>
            <w:r w:rsidRPr="003C5C8A">
              <w:rPr>
                <w:i/>
                <w:sz w:val="18"/>
                <w:szCs w:val="18"/>
              </w:rPr>
              <w:t xml:space="preserve"> (spray-drying).</w:t>
            </w:r>
          </w:p>
        </w:tc>
      </w:tr>
      <w:tr w:rsidR="006458E0" w:rsidRPr="003C5C8A" w14:paraId="04BCFD5D" w14:textId="77777777" w:rsidTr="003C5C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68" w:type="dxa"/>
          </w:tcPr>
          <w:p w14:paraId="3E640EAD" w14:textId="77777777" w:rsidR="006458E0" w:rsidRPr="003C5C8A" w:rsidRDefault="006458E0" w:rsidP="006458E0">
            <w:pPr>
              <w:jc w:val="right"/>
              <w:rPr>
                <w:b w:val="0"/>
                <w:sz w:val="18"/>
              </w:rPr>
            </w:pPr>
            <w:r w:rsidRPr="003C5C8A">
              <w:rPr>
                <w:b w:val="0"/>
                <w:sz w:val="18"/>
              </w:rPr>
              <w:t>Drying heat</w:t>
            </w:r>
          </w:p>
        </w:tc>
        <w:tc>
          <w:tcPr>
            <w:tcW w:w="1200" w:type="dxa"/>
          </w:tcPr>
          <w:p w14:paraId="1F93E023"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rPr>
            </w:pPr>
            <w:proofErr w:type="gramStart"/>
            <w:r w:rsidRPr="003C5C8A">
              <w:rPr>
                <w:sz w:val="18"/>
                <w:szCs w:val="18"/>
              </w:rPr>
              <w:t>MJ.kg</w:t>
            </w:r>
            <w:r w:rsidRPr="003C5C8A">
              <w:rPr>
                <w:sz w:val="18"/>
                <w:szCs w:val="18"/>
                <w:vertAlign w:val="subscript"/>
              </w:rPr>
              <w:t>water</w:t>
            </w:r>
            <w:proofErr w:type="gramEnd"/>
            <w:r w:rsidRPr="003C5C8A">
              <w:rPr>
                <w:sz w:val="18"/>
                <w:szCs w:val="18"/>
                <w:vertAlign w:val="superscript"/>
              </w:rPr>
              <w:t>-1</w:t>
            </w:r>
          </w:p>
        </w:tc>
        <w:tc>
          <w:tcPr>
            <w:tcW w:w="703" w:type="dxa"/>
          </w:tcPr>
          <w:p w14:paraId="070A57AA"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rPr>
            </w:pPr>
            <w:r w:rsidRPr="003C5C8A">
              <w:rPr>
                <w:sz w:val="18"/>
              </w:rPr>
              <w:t>3</w:t>
            </w:r>
          </w:p>
        </w:tc>
        <w:tc>
          <w:tcPr>
            <w:tcW w:w="932" w:type="dxa"/>
          </w:tcPr>
          <w:p w14:paraId="32D1CA08"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rPr>
            </w:pPr>
            <w:r w:rsidRPr="003C5C8A">
              <w:rPr>
                <w:sz w:val="18"/>
              </w:rPr>
              <w:t>2.7-4.1</w:t>
            </w:r>
          </w:p>
        </w:tc>
        <w:tc>
          <w:tcPr>
            <w:tcW w:w="3969" w:type="dxa"/>
            <w:vMerge/>
          </w:tcPr>
          <w:p w14:paraId="3540745E"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i/>
                <w:sz w:val="18"/>
              </w:rPr>
            </w:pPr>
          </w:p>
        </w:tc>
      </w:tr>
    </w:tbl>
    <w:p w14:paraId="615089A3" w14:textId="3BAE55FA" w:rsidR="003C5C8A" w:rsidRDefault="003C5C8A" w:rsidP="006458E0">
      <w:pPr>
        <w:rPr>
          <w:highlight w:val="yellow"/>
        </w:rPr>
      </w:pPr>
    </w:p>
    <w:p w14:paraId="69BD1C89" w14:textId="77777777" w:rsidR="006458E0" w:rsidRPr="006458E0" w:rsidRDefault="006458E0" w:rsidP="00877BEE">
      <w:pPr>
        <w:pStyle w:val="Titre5"/>
      </w:pPr>
      <w:r w:rsidRPr="006458E0">
        <w:lastRenderedPageBreak/>
        <w:t>Inclusion in diets</w:t>
      </w:r>
    </w:p>
    <w:p w14:paraId="16FCAA4F" w14:textId="77777777" w:rsidR="006458E0" w:rsidRPr="003C5C8A" w:rsidRDefault="006458E0" w:rsidP="003C5C8A">
      <w:pPr>
        <w:pStyle w:val="Titre6"/>
      </w:pPr>
      <w:r w:rsidRPr="003C5C8A">
        <w:t>Targeting animal feed markets</w:t>
      </w:r>
    </w:p>
    <w:p w14:paraId="0568547C" w14:textId="79073CC3" w:rsidR="006458E0" w:rsidRDefault="006458E0" w:rsidP="006458E0">
      <w:pPr>
        <w:jc w:val="both"/>
        <w:rPr>
          <w:rFonts w:cs="Times New Roman"/>
        </w:rPr>
      </w:pPr>
      <w:bookmarkStart w:id="163" w:name="_Hlk141264206"/>
      <w:r w:rsidRPr="00C51E07">
        <w:t>BSF stakeholders target value added animal feed markets, such as aquaculture feed</w:t>
      </w:r>
      <w:r w:rsidRPr="00C51E07">
        <w:fldChar w:fldCharType="begin"/>
      </w:r>
      <w:r w:rsidR="00E860C9">
        <w:instrText xml:space="preserve"> ADDIN ZOTERO_ITEM CSL_CITATION {"citationID":"81NxrLLR","properties":{"formattedCitation":"\\super 105\\nosupersub{}","plainCitation":"105","noteIndex":0},"citationItems":[{"id":13507,"uris":["http://zotero.org/users/6423791/items/VWXR8VPQ"],"itemData":{"id":13507,"type":"article-journal","abstract":"In recent years, insect meal has received considerable attention as an alternative ingredient for aquaculture feeds. When insects are reared on underutilised biomass streams, the resulting meal can potentially offer a reduced environmental impact compared to fishmeal and soybean meal. However, due to legislative restrictions, insects are commonly reared on materials that are also suitable to feed farm animals directly, including farmed fish. This practice compromises both the environmental and economic sustainability of insects as feed. For insect rearing to realise its potential and upcycle organic waste back into the food chain, substrates should thus consist of underutilised biomass. The aim of this study was to identify and assess the feasibility of underutilised biomass streams in Scotland for producing insect-based salmon feed ingredients, specifically defatted meal and oil from black soldier fly (BSF) larvae. Key information was collected on the most important biomass streams in Scotland, including their origin, available volumes, current utilisation, composition, geographic distribution, and legal status for insect rearing. To estimate the performance and body composition of BSF larvae reared on these biomass streams, a literature review was performed. The obtained data were then used to model the feasibility of different biomass streams as substrates for larvae meal and oil production. Based on the results, two whisky by-products are identified as the most promising biomass streams for BSF larvae rearing in Scotland, namely draff and pot ale. Draff is increasingly burned for bioenergy and most pot ale remains unused. It is estimated that 8.500 tonnes of larvae meal and 3.800 tonnes of larvae oil could potentially be produced from the largest geographical concentration of these distillery by-products in Scotland. This would make a considerable contribution to the raw material supply for Scottish salmon feed, whilst generating added value and upcycling otherwise wasted nutrients. However, more studies are required to examine and optimise the actual suitability and feasibility of whisky by-products as substrate for rearing BSF larvae.","container-title":"Cleaner Engineering and Technology","DOI":"10.1016/j.clet.2022.100520","ISSN":"2666-7908","journalAbbreviation":"Clean. Eng. Technol.","language":"en","page":"100520","source":"ScienceDirect","title":"The feasibility of underutilised biomass streams for the production of insect-based feed ingredients: The case for whisky by-products and Scottish farmed salmon","title-short":"The feasibility of underutilised biomass streams for the production of insect-based feed ingredients","author":[{"family":"Wehry","given":"Georges-Jan J. E."},{"family":"Little","given":"David C."},{"family":"Newton","given":"Richard W."},{"family":"Bostock","given":"John C."}],"issued":{"date-parts":[["2022",6,18]]}}}],"schema":"https://github.com/citation-style-language/schema/raw/master/csl-citation.json"} </w:instrText>
      </w:r>
      <w:r w:rsidRPr="00C51E07">
        <w:fldChar w:fldCharType="separate"/>
      </w:r>
      <w:r w:rsidR="00E860C9" w:rsidRPr="00E860C9">
        <w:rPr>
          <w:rFonts w:ascii="Calibri" w:hAnsi="Calibri" w:cs="Calibri"/>
          <w:szCs w:val="24"/>
          <w:vertAlign w:val="superscript"/>
        </w:rPr>
        <w:t>105</w:t>
      </w:r>
      <w:r w:rsidRPr="00C51E07">
        <w:fldChar w:fldCharType="end"/>
      </w:r>
      <w:r w:rsidRPr="00C51E07">
        <w:t xml:space="preserve"> or petfood</w:t>
      </w:r>
      <w:r w:rsidRPr="00C51E07">
        <w:fldChar w:fldCharType="begin"/>
      </w:r>
      <w:r w:rsidR="00827449">
        <w:instrText xml:space="preserve"> ADDIN ZOTERO_ITEM CSL_CITATION {"citationID":"VNN1itVw","properties":{"formattedCitation":"\\super 84\\nosupersub{}","plainCitation":"84","noteIndex":0},"citationItems":[{"id":13439,"uris":["http://zotero.org/users/6423791/items/H2CECFSU"],"itemData":{"id":13439,"type":"article-journal","abstract":"Insects need a sufficient quantity of macro- and micronutrients in their diet for maximising their growth, development, and reproduction. To achieve high efficiency in the mass production of a particular insect species, the quality of the diet given must be considered, both in terms of its chemical (nutrients) and physical (hardness and form) characteristics. Black soldier fly (BSF), Hermetia illucens (L.) (Diptera: Stratiomyidae), is a beneficial insect widely reared due to its easy and cost-effective maintenance. An example of the end-product of BSF larvae (BSFL) is known as BSF oil, which can be used for animal feed, raw material in bar/liquid soap, and biodiesel. To obtain the best quality of oil produced from BSFL, finding an optimal substrate through diet mixing or manipulation is quite necessitated. Fatty acids with more than 18 carbons should be found in the substrate to be absorbed into the fat of BSFL to obtain a high-quality oil. There is a positive correlation between the fatty acid concentration in the substrate and the concentration in BSFL, that the concentration in BSFL is influenced by the concentration in the substrate. This emphasises the importance of the substrate’s fatty acid content in incorporating these fatty acids into BSF oil. Although the oils produced by the insect are especially high in medium-chain fatty acids and monounsaturated fatty acids, yet, to produce on such a large scale requiring further investigations.","container-title":"Journal of Insects as Food and Feed","DOI":"10.3920/JIFF2021.0162","journalAbbreviation":"J. Insects Food Feed","note":"publisher: Wageningen Academic Publishers","page":"1-20","source":"wageningenacademic.com (Atypon)","title":"Manipulation of the black soldier fly larvae (Hermetia illucens; Diptera: Stratiomyidae) fatty acid profile through the substrate","title-short":"Manipulation of the black soldier fly larvae (Hermetia illucens; Diptera","author":[{"family":"Siddiqui","given":"S.a."},{"family":"Snoeck","given":"E.r."},{"family":"Tello","given":"A."},{"family":"Alles","given":"M.c."},{"family":"Fernando","given":"I."},{"family":"Saraswati","given":"Y.r."},{"family":"Rahayu","given":"T."},{"family":"Grover","given":"R."},{"family":"Ullah","given":"M.i."},{"family":"Ristow","given":"B."},{"family":"Nagdalian","given":"A.a."}],"issued":{"date-parts":[["2022",3]]}}}],"schema":"https://github.com/citation-style-language/schema/raw/master/csl-citation.json"} </w:instrText>
      </w:r>
      <w:r w:rsidRPr="00C51E07">
        <w:fldChar w:fldCharType="separate"/>
      </w:r>
      <w:r w:rsidR="00942782" w:rsidRPr="00942782">
        <w:rPr>
          <w:rFonts w:ascii="Calibri" w:hAnsi="Calibri" w:cs="Calibri"/>
          <w:szCs w:val="24"/>
          <w:vertAlign w:val="superscript"/>
        </w:rPr>
        <w:t>84</w:t>
      </w:r>
      <w:r w:rsidRPr="00C51E07">
        <w:fldChar w:fldCharType="end"/>
      </w:r>
      <w:r w:rsidRPr="00C51E07">
        <w:t>.</w:t>
      </w:r>
      <w:bookmarkEnd w:id="163"/>
      <w:r w:rsidRPr="00C51E07">
        <w:t xml:space="preserve"> Here, we explain why only generic modeling of feed was considered as in the rest of the study. First, the rationale of entering aquaculture markets is to provide an alternative to fish meal and oil, which are already stagnating resources</w:t>
      </w:r>
      <w:r w:rsidRPr="00C51E07">
        <w:fldChar w:fldCharType="begin"/>
      </w:r>
      <w:r w:rsidR="00E860C9">
        <w:instrText xml:space="preserve"> ADDIN ZOTERO_ITEM CSL_CITATION {"citationID":"msr87MwB","properties":{"formattedCitation":"\\super 106\\nosupersub{}","plainCitation":"106","noteIndex":0},"citationItems":[{"id":13124,"uris":["http://zotero.org/users/6423791/items/GTWUAI25"],"itemData":{"id":13124,"type":"article-journal","abstract":"With the global supply of forage fish at a plateau, fed aquaculture must continue to reduce dependence on fishmeal and oil in feeds to ensure sustainable sector growth. The use of novel aquaculture feed ingredients is growing, but their contributions to scalable and sustainable aquafeed solutions are unclear. Here, we show that global adoption of novel aquafeeds could substantially reduce aquaculture’s forage fish demand by 2030, maintaining feed efficiencies and omega-3 fatty acid profiles. We combine production data, scenario modelling and a decade of experimental data on forage fish replacement using microalgae, macroalgae, bacteria, yeast and insects to illustrate how reducing future fish oil demand, particularly in high-value species such as salmonids, will be key for the sustainability of fed aquaculture. However, considerable uncertainties remain surrounding novel feed efficacy across different life-cycle stages and taxa, and various social, environmental, economic and regulatory challenges will dictate their widespread use. Yet, we demonstrate how even limited adoption of novel feeds could aid sustainable aquaculture growth, which will become increasingly important for food security.","container-title":"Nature Food","DOI":"10.1038/s43016-020-0078-x","ISSN":"2662-1355","issue":"5","journalAbbreviation":"Nat. Food","language":"en","license":"2020 The Author(s), under exclusive licence to Springer Nature Limited","note":"number: 5\npublisher: Nature Publishing Group","page":"301-308","source":"www.nature.com","title":"Global adoption of novel aquaculture feeds could substantially reduce forage fish demand by 2030","volume":"1","author":[{"family":"Cottrell","given":"Richard S."},{"family":"Blanchard","given":"Julia L."},{"family":"Halpern","given":"Benjamin S."},{"family":"Metian","given":"Marc"},{"family":"Froehlich","given":"Halley E."}],"issued":{"date-parts":[["2020",5]]}}}],"schema":"https://github.com/citation-style-language/schema/raw/master/csl-citation.json"} </w:instrText>
      </w:r>
      <w:r w:rsidRPr="00C51E07">
        <w:fldChar w:fldCharType="separate"/>
      </w:r>
      <w:r w:rsidR="00E860C9" w:rsidRPr="00E860C9">
        <w:rPr>
          <w:rFonts w:ascii="Calibri" w:hAnsi="Calibri" w:cs="Calibri"/>
          <w:szCs w:val="24"/>
          <w:vertAlign w:val="superscript"/>
        </w:rPr>
        <w:t>106</w:t>
      </w:r>
      <w:r w:rsidRPr="00C51E07">
        <w:fldChar w:fldCharType="end"/>
      </w:r>
      <w:r w:rsidRPr="00C51E07">
        <w:t>. Accordingly, BSF would rather compete with the other rising (unconstrained) alternatives to fish meal and oil, such as algae or soy extracts</w:t>
      </w:r>
      <w:r w:rsidRPr="00C51E07">
        <w:fldChar w:fldCharType="begin"/>
      </w:r>
      <w:r w:rsidR="00E860C9">
        <w:instrText xml:space="preserve"> ADDIN ZOTERO_ITEM CSL_CITATION {"citationID":"zlolliQY","properties":{"formattedCitation":"\\super 106\\nosupersub{}","plainCitation":"106","noteIndex":0},"citationItems":[{"id":13124,"uris":["http://zotero.org/users/6423791/items/GTWUAI25"],"itemData":{"id":13124,"type":"article-journal","abstract":"With the global supply of forage fish at a plateau, fed aquaculture must continue to reduce dependence on fishmeal and oil in feeds to ensure sustainable sector growth. The use of novel aquaculture feed ingredients is growing, but their contributions to scalable and sustainable aquafeed solutions are unclear. Here, we show that global adoption of novel aquafeeds could substantially reduce aquaculture’s forage fish demand by 2030, maintaining feed efficiencies and omega-3 fatty acid profiles. We combine production data, scenario modelling and a decade of experimental data on forage fish replacement using microalgae, macroalgae, bacteria, yeast and insects to illustrate how reducing future fish oil demand, particularly in high-value species such as salmonids, will be key for the sustainability of fed aquaculture. However, considerable uncertainties remain surrounding novel feed efficacy across different life-cycle stages and taxa, and various social, environmental, economic and regulatory challenges will dictate their widespread use. Yet, we demonstrate how even limited adoption of novel feeds could aid sustainable aquaculture growth, which will become increasingly important for food security.","container-title":"Nature Food","DOI":"10.1038/s43016-020-0078-x","ISSN":"2662-1355","issue":"5","journalAbbreviation":"Nat. Food","language":"en","license":"2020 The Author(s), under exclusive licence to Springer Nature Limited","note":"number: 5\npublisher: Nature Publishing Group","page":"301-308","source":"www.nature.com","title":"Global adoption of novel aquaculture feeds could substantially reduce forage fish demand by 2030","volume":"1","author":[{"family":"Cottrell","given":"Richard S."},{"family":"Blanchard","given":"Julia L."},{"family":"Halpern","given":"Benjamin S."},{"family":"Metian","given":"Marc"},{"family":"Froehlich","given":"Halley E."}],"issued":{"date-parts":[["2020",5]]}}}],"schema":"https://github.com/citation-style-language/schema/raw/master/csl-citation.json"} </w:instrText>
      </w:r>
      <w:r w:rsidRPr="00C51E07">
        <w:fldChar w:fldCharType="separate"/>
      </w:r>
      <w:r w:rsidR="00E860C9" w:rsidRPr="00E860C9">
        <w:rPr>
          <w:rFonts w:ascii="Calibri" w:hAnsi="Calibri" w:cs="Calibri"/>
          <w:szCs w:val="24"/>
          <w:vertAlign w:val="superscript"/>
        </w:rPr>
        <w:t>106</w:t>
      </w:r>
      <w:r w:rsidRPr="00C51E07">
        <w:fldChar w:fldCharType="end"/>
      </w:r>
      <w:r w:rsidRPr="00C51E07">
        <w:t xml:space="preserve">. In turn, this lead to avoid marginal suppliers of generic feed services such as the ones described in </w:t>
      </w:r>
      <w:r w:rsidR="00C51E07">
        <w:rPr>
          <w:b/>
        </w:rPr>
        <w:t xml:space="preserve">section </w:t>
      </w:r>
      <w:r w:rsidR="003A663A">
        <w:rPr>
          <w:b/>
        </w:rPr>
        <w:t xml:space="preserve">SI. </w:t>
      </w:r>
      <w:r w:rsidR="00C51E07">
        <w:rPr>
          <w:b/>
        </w:rPr>
        <w:fldChar w:fldCharType="begin"/>
      </w:r>
      <w:r w:rsidR="00C51E07">
        <w:rPr>
          <w:b/>
        </w:rPr>
        <w:instrText xml:space="preserve"> REF _Ref144803705 \r \h </w:instrText>
      </w:r>
      <w:r w:rsidR="00C51E07">
        <w:rPr>
          <w:b/>
        </w:rPr>
      </w:r>
      <w:r w:rsidR="00C51E07">
        <w:rPr>
          <w:b/>
        </w:rPr>
        <w:fldChar w:fldCharType="separate"/>
      </w:r>
      <w:r w:rsidR="00F25F8C">
        <w:rPr>
          <w:b/>
        </w:rPr>
        <w:t>4.1.9</w:t>
      </w:r>
      <w:r w:rsidR="00C51E07">
        <w:rPr>
          <w:b/>
        </w:rPr>
        <w:fldChar w:fldCharType="end"/>
      </w:r>
      <w:r w:rsidRPr="00C51E07">
        <w:t>.</w:t>
      </w:r>
      <w:r w:rsidR="003C5C8A">
        <w:t xml:space="preserve"> </w:t>
      </w:r>
      <w:r w:rsidRPr="003F5DA8">
        <w:rPr>
          <w:rFonts w:cs="Times New Roman"/>
        </w:rPr>
        <w:t>Second, there is no clear trends on which petfood ingredients are avoided by BSF larvae from the literature reviewed. Petfood market is mainly based on ready-to-eat formulations, either wet or dry. The main European petfood formulator syndicate mentions that they usually formulate petfood preparations with slaughterhouse by-products (as these were historically banned from livestock feed in the EU), hunted animals, fishes and seafood, vegetable proteins (e.g. soya) and finally cereals and tubers</w:t>
      </w:r>
      <w:r w:rsidRPr="003F5DA8">
        <w:rPr>
          <w:rFonts w:cs="Times New Roman"/>
        </w:rPr>
        <w:fldChar w:fldCharType="begin"/>
      </w:r>
      <w:r w:rsidR="00E860C9">
        <w:rPr>
          <w:rFonts w:cs="Times New Roman"/>
        </w:rPr>
        <w:instrText xml:space="preserve"> ADDIN ZOTERO_ITEM CSL_CITATION {"citationID":"YmayrWjQ","properties":{"formattedCitation":"\\super 107,108\\nosupersub{}","plainCitation":"107,108","noteIndex":0},"citationItems":[{"id":13452,"uris":["http://zotero.org/users/6423791/items/PJAUGJUQ"],"itemData":{"id":13452,"type":"document","title":"Animal proteins used in EU pet food","URL":"https://www.fediaf.org/component/attachments/attachments.html?task=download&amp;id=1965","author":[{"literal":"FEDIAF"}],"accessed":{"date-parts":[["2022",6,13]]},"issued":{"date-parts":[["2017"]]}}},{"id":13449,"uris":["http://zotero.org/users/6423791/items/SFVL6QJB"],"itemData":{"id":13449,"type":"article-journal","abstract":"Every clinician is asked “What should I feed my pet?” Understanding the ingredients in pet food is an important part of making the best recommendation. Pet food can be as simple as one ingredient or as complicated as containing more than 60 ingredients. Pet food and its ingredients are regulated by the Food and Drug Administration and state feed officials. Part of that regulation is the review and definition of ingredients. Existing ingredients change and new ingredients become available so the need for ingredient definitions grows. Ingredients for product formulations are chosen based on their nutrient content, digestibility, palatability, functionality, availability, and cost. As an example, a typical, nutritionally complete dry dog food with 42 ingredients is examined and the ingredients are discussed here. Safe, healthy pet food starts with safe ingredients sourced from well-monitored suppliers. The ultimate goal of both veterinarians and pet food manufacturers is the same—long healthy lives for dogs and cats.","collection-title":"Controversies in Small Animal Nutrition","container-title":"Topics in Companion Animal Medicine","DOI":"10.1053/j.tcam.2008.04.004","ISSN":"1938-9736","issue":"3","journalAbbreviation":"Topics in Companion Animal Medicine","language":"en","page":"127-132","source":"ScienceDirect","title":"Ingredients: Where Pet Food Starts","title-short":"Ingredients","volume":"23","author":[{"family":"Thompson","given":"Angele"}],"issued":{"date-parts":[["2008",8,1]]}}}],"schema":"https://github.com/citation-style-language/schema/raw/master/csl-citation.json"} </w:instrText>
      </w:r>
      <w:r w:rsidRPr="003F5DA8">
        <w:rPr>
          <w:rFonts w:cs="Times New Roman"/>
        </w:rPr>
        <w:fldChar w:fldCharType="separate"/>
      </w:r>
      <w:r w:rsidR="00E860C9" w:rsidRPr="00E860C9">
        <w:rPr>
          <w:rFonts w:ascii="Calibri" w:hAnsi="Calibri" w:cs="Calibri"/>
          <w:szCs w:val="24"/>
          <w:vertAlign w:val="superscript"/>
        </w:rPr>
        <w:t>107,108</w:t>
      </w:r>
      <w:r w:rsidRPr="003F5DA8">
        <w:rPr>
          <w:rFonts w:cs="Times New Roman"/>
        </w:rPr>
        <w:fldChar w:fldCharType="end"/>
      </w:r>
      <w:r w:rsidRPr="003F5DA8">
        <w:rPr>
          <w:rFonts w:cs="Times New Roman"/>
        </w:rPr>
        <w:t>. Many different formulations exist, from whole vegan mixes up to premium petfood including raw pieces of meat. Indeed, it is acknowledged that petfood mainly follows the same trend than human food</w:t>
      </w:r>
      <w:r w:rsidRPr="003F5DA8">
        <w:rPr>
          <w:rFonts w:cs="Times New Roman"/>
        </w:rPr>
        <w:fldChar w:fldCharType="begin"/>
      </w:r>
      <w:r w:rsidR="00E860C9">
        <w:rPr>
          <w:rFonts w:cs="Times New Roman"/>
        </w:rPr>
        <w:instrText xml:space="preserve"> ADDIN ZOTERO_ITEM CSL_CITATION {"citationID":"EGzEVrRX","properties":{"formattedCitation":"\\super 109\\nosupersub{}","plainCitation":"109","noteIndex":0},"citationItems":[{"id":13411,"uris":["http://zotero.org/users/6423791/items/TH5C7RFH"],"itemData":{"id":13411,"type":"article-journal","abstract":"The ‘buzz’ in society around insects has resulted in the appearance of insect-based pet food products on the market and more products are under development. This contribution aimed to provide background information on pet foods and the sector and to provide an overview of the current state of knowledge regarding naturalness, palatability, nutritional quality, health effects, and sustainability of insects as feed for dogs and cats. In contrast to dogs, natural diets of cats commonly contain insects but contribution to the total biomass is &lt;0.5% in most diets. Cats and dogs can have a different palate when it comes to insects and insect species and inclusion level influence the acceptance of the food. The apparent faecal N digestibility values for insect-based foods were in the range of foods containing conventional protein sources. Based on the indispensable amino acid (IAA) digestibility values reported for black soldier fly larvae (BSFL), housefly larvae (HFL), and yellow mealworms (YMW) in chickens and requirements of growing dogs and growing cats, the first limiting IAA were methionine (BSFL, dogs and cats; YMW, dogs and cats), threonine (BSFL, dogs), and leucine (HFL, dog and cats). More long-term studies are still required to evaluate adequacy and safety of insect-based pet foods in dogs and cats as well as studies that focus on the presence of health-promoting biofunctionalities of insects. Insect proteins have a lower environmental impact than livestock meat proteins, but this is not relevant in the context of pet foods that are largely based on animal co-products with a low environmental impact. Developments in insect rearing will make insect proteins more competitive with conventional sources. For advancing insect applications beyond hypoallergenic pet foods, it will be essential to assure insects as safe and quality ingredients as well as understanding pet owner views and values regarding insect rearing.","container-title":"Journal of Insects as Food and Feed","DOI":"10.3920/JIFF2020.0084","issue":"5","note":"publisher: Wageningen Academic Publishers","page":"795-805","source":"wageningenacademic.com (Atypon)","title":"Effect of using insects as feed on animals: pet dogs and cats","title-short":"Effect of using insects as feed on animals","volume":"7","author":[{"family":"Bosch","given":"G."},{"family":"Swanson","given":"K.s."}],"issued":{"date-parts":[["2021",8,13]]}}}],"schema":"https://github.com/citation-style-language/schema/raw/master/csl-citation.json"} </w:instrText>
      </w:r>
      <w:r w:rsidRPr="003F5DA8">
        <w:rPr>
          <w:rFonts w:cs="Times New Roman"/>
        </w:rPr>
        <w:fldChar w:fldCharType="separate"/>
      </w:r>
      <w:r w:rsidR="00E860C9" w:rsidRPr="00E860C9">
        <w:rPr>
          <w:rFonts w:ascii="Calibri" w:hAnsi="Calibri" w:cs="Calibri"/>
          <w:szCs w:val="24"/>
          <w:vertAlign w:val="superscript"/>
        </w:rPr>
        <w:t>109</w:t>
      </w:r>
      <w:r w:rsidRPr="003F5DA8">
        <w:rPr>
          <w:rFonts w:cs="Times New Roman"/>
        </w:rPr>
        <w:fldChar w:fldCharType="end"/>
      </w:r>
      <w:r w:rsidRPr="003F5DA8">
        <w:rPr>
          <w:rFonts w:cs="Times New Roman"/>
        </w:rPr>
        <w:t xml:space="preserve">. Therefore, considering global petfood markets, ingredients likely substituted by BSF larvae would be vegetable proteins, cereals and tubers which are the only non-constrained raw feedstocks, and therefore correspond to feed services as defined in this study. On the other hand, as a best case, BSF larvae inclusion in the premium petfood market segment could substitute meat-equivalent services, which yields the same results than considering BSF as an alternative to meat for human consumption (therefore entering BSF_food variant, see next section). </w:t>
      </w:r>
      <w:r w:rsidRPr="00C51E07">
        <w:rPr>
          <w:rFonts w:cs="Times New Roman"/>
        </w:rPr>
        <w:t>Accordingly, only generic BSF inclusion in animal diet was contemplated, modeled as the CF pathway (</w:t>
      </w:r>
      <w:r w:rsidR="00C51E07">
        <w:rPr>
          <w:rFonts w:cs="Times New Roman"/>
          <w:b/>
        </w:rPr>
        <w:t>section</w:t>
      </w:r>
      <w:r w:rsidR="003A663A">
        <w:rPr>
          <w:rFonts w:cs="Times New Roman"/>
          <w:b/>
        </w:rPr>
        <w:t xml:space="preserve"> SI.</w:t>
      </w:r>
      <w:r w:rsidR="00C51E07">
        <w:rPr>
          <w:rFonts w:cs="Times New Roman"/>
          <w:b/>
        </w:rPr>
        <w:t xml:space="preserve"> </w:t>
      </w:r>
      <w:r w:rsidR="00C51E07">
        <w:rPr>
          <w:rFonts w:cs="Times New Roman"/>
          <w:b/>
        </w:rPr>
        <w:fldChar w:fldCharType="begin"/>
      </w:r>
      <w:r w:rsidR="00C51E07">
        <w:rPr>
          <w:rFonts w:cs="Times New Roman"/>
          <w:b/>
        </w:rPr>
        <w:instrText xml:space="preserve"> REF _Ref144804882 \r \h </w:instrText>
      </w:r>
      <w:r w:rsidR="00C51E07">
        <w:rPr>
          <w:rFonts w:cs="Times New Roman"/>
          <w:b/>
        </w:rPr>
      </w:r>
      <w:r w:rsidR="00C51E07">
        <w:rPr>
          <w:rFonts w:cs="Times New Roman"/>
          <w:b/>
        </w:rPr>
        <w:fldChar w:fldCharType="separate"/>
      </w:r>
      <w:r w:rsidR="00F25F8C">
        <w:rPr>
          <w:rFonts w:cs="Times New Roman"/>
          <w:b/>
        </w:rPr>
        <w:t>4.2</w:t>
      </w:r>
      <w:r w:rsidR="00C51E07">
        <w:rPr>
          <w:rFonts w:cs="Times New Roman"/>
          <w:b/>
        </w:rPr>
        <w:fldChar w:fldCharType="end"/>
      </w:r>
      <w:r w:rsidRPr="00C51E07">
        <w:rPr>
          <w:rFonts w:cs="Times New Roman"/>
        </w:rPr>
        <w:t>).</w:t>
      </w:r>
      <w:r w:rsidRPr="00DC332F">
        <w:rPr>
          <w:rFonts w:cs="Times New Roman"/>
        </w:rPr>
        <w:t xml:space="preserve"> Already performed here, the drying stage of CF pathway was not included. </w:t>
      </w:r>
      <w:r w:rsidR="00C51E07">
        <w:rPr>
          <w:rFonts w:cs="Times New Roman"/>
        </w:rPr>
        <w:t>Final larvae c</w:t>
      </w:r>
      <w:r w:rsidRPr="00DC332F">
        <w:rPr>
          <w:rFonts w:cs="Times New Roman"/>
        </w:rPr>
        <w:t>omposition was provided in</w:t>
      </w:r>
      <w:r w:rsidR="00C51E07">
        <w:rPr>
          <w:rFonts w:cs="Times New Roman"/>
        </w:rPr>
        <w:t xml:space="preserve"> </w:t>
      </w:r>
      <w:r w:rsidR="00C51E07" w:rsidRPr="00C51E07">
        <w:rPr>
          <w:rFonts w:cs="Times New Roman"/>
          <w:b/>
        </w:rPr>
        <w:fldChar w:fldCharType="begin"/>
      </w:r>
      <w:r w:rsidR="00C51E07" w:rsidRPr="00C51E07">
        <w:rPr>
          <w:rFonts w:cs="Times New Roman"/>
          <w:b/>
        </w:rPr>
        <w:instrText xml:space="preserve"> REF _Ref144803952 \h </w:instrText>
      </w:r>
      <w:r w:rsidR="00C51E07">
        <w:rPr>
          <w:rFonts w:cs="Times New Roman"/>
          <w:b/>
        </w:rPr>
        <w:instrText xml:space="preserve"> \* MERGEFORMAT </w:instrText>
      </w:r>
      <w:r w:rsidR="00C51E07" w:rsidRPr="00C51E07">
        <w:rPr>
          <w:rFonts w:cs="Times New Roman"/>
          <w:b/>
        </w:rPr>
      </w:r>
      <w:r w:rsidR="00C51E07" w:rsidRPr="00C51E07">
        <w:rPr>
          <w:rFonts w:cs="Times New Roman"/>
          <w:b/>
        </w:rPr>
        <w:fldChar w:fldCharType="separate"/>
      </w:r>
      <w:r w:rsidR="00F25F8C" w:rsidRPr="00F25F8C">
        <w:rPr>
          <w:b/>
        </w:rPr>
        <w:t xml:space="preserve">Table SI. </w:t>
      </w:r>
      <w:r w:rsidR="00F25F8C" w:rsidRPr="00F25F8C">
        <w:rPr>
          <w:b/>
          <w:noProof/>
        </w:rPr>
        <w:t>30</w:t>
      </w:r>
      <w:r w:rsidR="00C51E07" w:rsidRPr="00C51E07">
        <w:rPr>
          <w:rFonts w:cs="Times New Roman"/>
          <w:b/>
        </w:rPr>
        <w:fldChar w:fldCharType="end"/>
      </w:r>
      <w:r w:rsidRPr="00DC332F">
        <w:rPr>
          <w:rFonts w:cs="Times New Roman"/>
        </w:rPr>
        <w:t>.</w:t>
      </w:r>
    </w:p>
    <w:p w14:paraId="1A6745B4" w14:textId="45FF9FE7" w:rsidR="00C51E07" w:rsidRPr="003F5DA8" w:rsidRDefault="00C51E07" w:rsidP="003C5C8A">
      <w:pPr>
        <w:pStyle w:val="Titre6"/>
      </w:pPr>
      <w:r w:rsidRPr="003F5DA8">
        <w:t xml:space="preserve">Targeting </w:t>
      </w:r>
      <w:r>
        <w:t>human food</w:t>
      </w:r>
      <w:r w:rsidRPr="003F5DA8">
        <w:t xml:space="preserve"> markets</w:t>
      </w:r>
    </w:p>
    <w:p w14:paraId="20027C4C" w14:textId="302AEC68" w:rsidR="00C51E07" w:rsidRDefault="0057680A" w:rsidP="006458E0">
      <w:pPr>
        <w:jc w:val="both"/>
      </w:pPr>
      <w:r>
        <w:t>T</w:t>
      </w:r>
      <w:r w:rsidRPr="0057680A">
        <w:t>o enter food markets despite the absence of insects in the European culinary traditions, stakeholders developed a wide panel of strategies mostly targeting the inclusion of BSF in common food products (such as snacks, meat or milk analogues, to fortify bakery products, etc.), (Borges et al., 2022; Gravel and Doyen, 2020; Poortvliet et al., 2019; Tello et al., 2021). The formulation of meat-analogue products appears in prime position (Tan, 2017). Indeed, insects not only host meat-like nutritional profile (such as proteins and fatty acids profiles and contents), but also are considered as “animal proteins”, which position them as key ingredients to formulate meat-analogues. Insects were also found to present favorable organoleptic properties over plant-based alternatives (for example to formulate meat paddies analogues; Smetana et al., 2021).</w:t>
      </w:r>
      <w:r>
        <w:t xml:space="preserve"> See</w:t>
      </w:r>
      <w:r w:rsidR="008C7712">
        <w:t xml:space="preserve"> </w:t>
      </w:r>
      <w:r w:rsidR="008C7712" w:rsidRPr="008C7712">
        <w:rPr>
          <w:b/>
        </w:rPr>
        <w:t xml:space="preserve">section </w:t>
      </w:r>
      <w:r w:rsidR="00C913E1">
        <w:rPr>
          <w:b/>
        </w:rPr>
        <w:t xml:space="preserve">SI. </w:t>
      </w:r>
      <w:r w:rsidR="008C7712" w:rsidRPr="008C7712">
        <w:rPr>
          <w:b/>
        </w:rPr>
        <w:fldChar w:fldCharType="begin"/>
      </w:r>
      <w:r w:rsidR="008C7712" w:rsidRPr="008C7712">
        <w:rPr>
          <w:b/>
        </w:rPr>
        <w:instrText xml:space="preserve"> REF _Ref144803705 \r \h </w:instrText>
      </w:r>
      <w:r w:rsidR="008C7712">
        <w:rPr>
          <w:b/>
        </w:rPr>
        <w:instrText xml:space="preserve"> \* MERGEFORMAT </w:instrText>
      </w:r>
      <w:r w:rsidR="008C7712" w:rsidRPr="008C7712">
        <w:rPr>
          <w:b/>
        </w:rPr>
      </w:r>
      <w:r w:rsidR="008C7712" w:rsidRPr="008C7712">
        <w:rPr>
          <w:b/>
        </w:rPr>
        <w:fldChar w:fldCharType="separate"/>
      </w:r>
      <w:r w:rsidR="00F25F8C">
        <w:rPr>
          <w:b/>
        </w:rPr>
        <w:t>4.1.9</w:t>
      </w:r>
      <w:r w:rsidR="008C7712" w:rsidRPr="008C7712">
        <w:rPr>
          <w:b/>
        </w:rPr>
        <w:fldChar w:fldCharType="end"/>
      </w:r>
      <w:r>
        <w:rPr>
          <w:b/>
        </w:rPr>
        <w:t xml:space="preserve"> </w:t>
      </w:r>
      <w:r w:rsidRPr="0057680A">
        <w:t>for further details on the modeling</w:t>
      </w:r>
      <w:r w:rsidR="008C7712" w:rsidRPr="0057680A">
        <w:t>.</w:t>
      </w:r>
    </w:p>
    <w:p w14:paraId="79BC216D" w14:textId="77777777" w:rsidR="00852D80" w:rsidRPr="0057680A" w:rsidRDefault="00852D80" w:rsidP="006458E0">
      <w:pPr>
        <w:jc w:val="both"/>
      </w:pPr>
    </w:p>
    <w:p w14:paraId="58080B49" w14:textId="4335C05D" w:rsidR="008C7712" w:rsidRDefault="008C7712" w:rsidP="008C7712">
      <w:pPr>
        <w:pStyle w:val="Titre4"/>
      </w:pPr>
      <w:r>
        <w:t>Frass management</w:t>
      </w:r>
    </w:p>
    <w:p w14:paraId="00217972" w14:textId="783B0A85" w:rsidR="0057680A" w:rsidRPr="00297685" w:rsidRDefault="0057680A" w:rsidP="0057680A">
      <w:pPr>
        <w:jc w:val="both"/>
        <w:rPr>
          <w:lang w:val="fr-FR"/>
        </w:rPr>
      </w:pPr>
      <w:r w:rsidRPr="00852D80">
        <w:rPr>
          <w:rFonts w:eastAsia="BatangChe" w:cstheme="minorHAnsi"/>
          <w:kern w:val="2"/>
          <w:lang w:eastAsia="ko-KR"/>
        </w:rPr>
        <w:t xml:space="preserve">Frass residues stemming from BSF rearing and breeding stages were considered mixed prior composted. These residues are acknowledged </w:t>
      </w:r>
      <w:r w:rsidR="00852D80" w:rsidRPr="00852D80">
        <w:rPr>
          <w:rFonts w:eastAsia="BatangChe" w:cstheme="minorHAnsi"/>
          <w:kern w:val="2"/>
          <w:lang w:eastAsia="ko-KR"/>
        </w:rPr>
        <w:t xml:space="preserve">for their </w:t>
      </w:r>
      <w:r w:rsidRPr="00852D80">
        <w:rPr>
          <w:rFonts w:eastAsia="BatangChe" w:cstheme="minorHAnsi"/>
          <w:kern w:val="2"/>
          <w:lang w:eastAsia="ko-KR"/>
        </w:rPr>
        <w:t xml:space="preserve">potential as organic fertilized materials </w:t>
      </w:r>
      <w:r w:rsidRPr="00852D80">
        <w:rPr>
          <w:rFonts w:eastAsia="BatangChe" w:cstheme="minorHAnsi"/>
          <w:kern w:val="2"/>
          <w:lang w:eastAsia="ko-KR"/>
        </w:rPr>
        <w:fldChar w:fldCharType="begin"/>
      </w:r>
      <w:r w:rsidR="00E860C9" w:rsidRPr="00852D80">
        <w:rPr>
          <w:rFonts w:eastAsia="BatangChe" w:cstheme="minorHAnsi"/>
          <w:kern w:val="2"/>
          <w:lang w:eastAsia="ko-KR"/>
        </w:rPr>
        <w:instrText xml:space="preserve"> ADDIN ZOTERO_ITEM CSL_CITATION {"citationID":"8EwBbX3M","properties":{"formattedCitation":"\\super 110\\nosupersub{}","plainCitation":"110","noteIndex":0},"citationItems":[{"id":13618,"uris":["http://zotero.org/users/6423791/items/V39827CL"],"itemData":{"id":13618,"type":"article-journal","abstract":"In recent years, the larval stage of Hermetia illucens, commonly known as the black soldier ﬂy (BSFL), has been used to promote the circularity of the agri-food sector by bioconverting organic waste into larval biomass which has been used as a livestock feed. A secondary byproduct of this process is frass that can be used as an organic fertilizer. This study compared two different plant-based diets on frass characteristics as well as larval performance, nutritional composition, and waste reduction efﬁciency. A fruit/vegetable/bakery waste-based diet supplemented with brewery waste (FVBB) was compared to a control Gainesville (GV) reference diet and fed to BSFL under standard conditions. The results demonstrated that NPK and some of the macro and micronutrients in both frasses are comparable to commercially available organic fertilizers. It was shown that microorganisms present in frass from the two diets inhibit the mycelial growth of several plant pathogens through the production of antifungal and/or anti-oomycetes compound(s) (antibiosis). This diet also had a positive effect on individual larval mass (162.11 mg), bioconversion rate (13.32%), and larval crude lipid (35.99% of dry matter) content. The BSFL reared on this diet reduced feedstock dry matter by 67.76% in a very short time (10 days), which is a promising solution for food waste management.","container-title":"Agronomy","DOI":"10.3390/agronomy12081765","ISSN":"2073-4395","issue":"8","journalAbbreviation":"Agronomy","language":"en","page":"1765","source":"DOI.org (Crossref)","title":"Diet Composition Influences Growth Performance, Bioconversion of Black Soldier Fly Larvae: Agronomic Value and In Vitro Biofungicidal Activity of Derived Frass","title-short":"Diet Composition Influences Growth Performance, Bioconversion of Black Soldier Fly Larvae","volume":"12","author":[{"family":"Arabzadeh","given":"Ghazaleh"},{"family":"Delisle-Houde","given":"Maxime"},{"family":"Tweddell","given":"Russell J."},{"family":"Deschamps","given":"Marie-Hélène"},{"family":"Dorais","given":"Martine"},{"family":"Lebeuf","given":"Yolaine"},{"family":"Derome","given":"Nicolas"},{"family":"Vandenberg","given":"Grant"}],"issued":{"date-parts":[["2022",7,27]]}}}],"schema":"https://github.com/citation-style-language/schema/raw/master/csl-citation.json"} </w:instrText>
      </w:r>
      <w:r w:rsidRPr="00852D80">
        <w:rPr>
          <w:rFonts w:eastAsia="BatangChe" w:cstheme="minorHAnsi"/>
          <w:kern w:val="2"/>
          <w:lang w:eastAsia="ko-KR"/>
        </w:rPr>
        <w:fldChar w:fldCharType="separate"/>
      </w:r>
      <w:r w:rsidR="00E860C9" w:rsidRPr="00852D80">
        <w:rPr>
          <w:rFonts w:ascii="Calibri" w:hAnsi="Calibri" w:cs="Calibri"/>
          <w:szCs w:val="24"/>
          <w:vertAlign w:val="superscript"/>
        </w:rPr>
        <w:t>110</w:t>
      </w:r>
      <w:r w:rsidRPr="00852D80">
        <w:rPr>
          <w:rFonts w:eastAsia="BatangChe" w:cstheme="minorHAnsi"/>
          <w:kern w:val="2"/>
          <w:lang w:eastAsia="ko-KR"/>
        </w:rPr>
        <w:fldChar w:fldCharType="end"/>
      </w:r>
      <w:r w:rsidRPr="00852D80">
        <w:rPr>
          <w:rFonts w:eastAsia="BatangChe" w:cstheme="minorHAnsi"/>
          <w:kern w:val="2"/>
          <w:lang w:eastAsia="ko-KR"/>
        </w:rPr>
        <w:t xml:space="preserve">, but usually require stabilization beforehand for presenting features comparable to immature compost </w:t>
      </w:r>
      <w:r w:rsidRPr="00852D80">
        <w:rPr>
          <w:rFonts w:eastAsia="BatangChe" w:cstheme="minorHAnsi"/>
          <w:kern w:val="2"/>
          <w:lang w:eastAsia="ko-KR"/>
        </w:rPr>
        <w:fldChar w:fldCharType="begin"/>
      </w:r>
      <w:r w:rsidR="00E860C9" w:rsidRPr="00852D80">
        <w:rPr>
          <w:rFonts w:eastAsia="BatangChe" w:cstheme="minorHAnsi"/>
          <w:kern w:val="2"/>
          <w:lang w:eastAsia="ko-KR"/>
        </w:rPr>
        <w:instrText xml:space="preserve"> ADDIN ZOTERO_ITEM CSL_CITATION {"citationID":"RxcqHcIp","properties":{"formattedCitation":"\\super 77\\nosupersub{}","plainCitation":"77","noteIndex":0},"citationItems":[{"id":3227,"uris":["http://zotero.org/users/6423791/items/Y3LCJLWA"],"itemData":{"id":3227,"type":"article-journal","abstract":"This study provided a systematic analysis on material flow and environmental impacts of a food waste (FW) bioconversion plant using black soldier fly larvae (BSFL), with a daily capacity of 15 tons of FW (wet weight). Food waste feed (FWF) used for BSFL bioconversion consisted of 80% FW (collected from households, restaurants, and canteens) and 20% rice hull powder. Material flow analysis conducted on a dry weight basis showed that 6% of FWF was transformed into BSF pre-pupae, 51% was stored in matured compost, and 43% was emitted to the air. Emissions of high environmental concern such as methane, nitrous oxide and ammonia (NH3) were sampled and quantified by laboratory analysis. The life cycle assessment revealed that the overall impact was 17.36 kg CO2-eq/t </w:instrText>
      </w:r>
      <w:r w:rsidR="00E860C9" w:rsidRPr="00297685">
        <w:rPr>
          <w:rFonts w:eastAsia="BatangChe" w:cstheme="minorHAnsi"/>
          <w:kern w:val="2"/>
          <w:lang w:val="fr-FR" w:eastAsia="ko-KR"/>
        </w:rPr>
        <w:instrText>FW for global warming potential, 5.54 kg SO2-eq/t FW for acidification, 24.05 mol N-eq/t FW for terrestrial eutrophication, 0.54 kg N-eq NH3/t FW for marine eutrophication, and 0.18 kg PM2.5-eq/t FW of particulate matter up to 2.5 </w:instrText>
      </w:r>
      <w:r w:rsidR="00E860C9" w:rsidRPr="00852D80">
        <w:rPr>
          <w:rFonts w:eastAsia="BatangChe" w:cstheme="minorHAnsi"/>
          <w:kern w:val="2"/>
          <w:lang w:eastAsia="ko-KR"/>
        </w:rPr>
        <w:instrText>μ</w:instrText>
      </w:r>
      <w:r w:rsidR="00E860C9" w:rsidRPr="00297685">
        <w:rPr>
          <w:rFonts w:eastAsia="BatangChe" w:cstheme="minorHAnsi"/>
          <w:kern w:val="2"/>
          <w:lang w:val="fr-FR" w:eastAsia="ko-KR"/>
        </w:rPr>
        <w:instrText xml:space="preserve">m diameter. Moreover, emissions from post-composting, energy consumptions of drying and chemical fertilizer substitution ratio were detected by contribution analysis as the main contributors to those impacts. Finally, sensitivity analysis indicated that the substitution ratio of mineral fertilizer and protein feed as well as energy consumption were the most influential parameters, therefore control of the post-composting process of residual material should be closely monitored because it was responsible for significant environmental load caused by N-related emissions.","container-title":"Science of The Total Environment","DOI":"10.1016/j.scitotenv.2020.141656","ISSN":"0048-9697","journalAbbreviation":"Sci. Total Environ.","language":"en","page":"141656","source":"ScienceDirect","title":"Material flow analysis and life cycle assessment of food waste bioconversion by black soldier fly larvae (Hermetia illucens L.)","volume":"750","author":[{"family":"Guo","given":"Hanwen"},{"family":"Jiang","given":"Chengliang"},{"family":"Zhang","given":"Zhijian"},{"family":"Lu","given":"Wenjing"},{"family":"Wang","given":"Hongtao"}],"issued":{"date-parts":[["2021",1,1]]}}}],"schema":"https://github.com/citation-style-language/schema/raw/master/csl-citation.json"} </w:instrText>
      </w:r>
      <w:r w:rsidRPr="00852D80">
        <w:rPr>
          <w:rFonts w:eastAsia="BatangChe" w:cstheme="minorHAnsi"/>
          <w:kern w:val="2"/>
          <w:lang w:eastAsia="ko-KR"/>
        </w:rPr>
        <w:fldChar w:fldCharType="separate"/>
      </w:r>
      <w:r w:rsidR="00E860C9" w:rsidRPr="00297685">
        <w:rPr>
          <w:rFonts w:ascii="Calibri" w:hAnsi="Calibri" w:cs="Calibri"/>
          <w:szCs w:val="24"/>
          <w:vertAlign w:val="superscript"/>
          <w:lang w:val="fr-FR"/>
        </w:rPr>
        <w:t>77</w:t>
      </w:r>
      <w:r w:rsidRPr="00852D80">
        <w:rPr>
          <w:rFonts w:eastAsia="BatangChe" w:cstheme="minorHAnsi"/>
          <w:kern w:val="2"/>
          <w:lang w:eastAsia="ko-KR"/>
        </w:rPr>
        <w:fldChar w:fldCharType="end"/>
      </w:r>
      <w:r w:rsidRPr="00297685">
        <w:rPr>
          <w:rFonts w:eastAsia="BatangChe" w:cstheme="minorHAnsi"/>
          <w:kern w:val="2"/>
          <w:lang w:val="fr-FR" w:eastAsia="ko-KR"/>
        </w:rPr>
        <w:t>.</w:t>
      </w:r>
    </w:p>
    <w:p w14:paraId="497310D8" w14:textId="77777777" w:rsidR="006458E0" w:rsidRPr="00297685" w:rsidRDefault="006458E0" w:rsidP="00877BEE">
      <w:pPr>
        <w:pStyle w:val="Titre5"/>
        <w:rPr>
          <w:rFonts w:eastAsia="BatangChe"/>
          <w:lang w:val="fr-FR" w:eastAsia="ko-KR"/>
        </w:rPr>
      </w:pPr>
      <w:r w:rsidRPr="00297685">
        <w:rPr>
          <w:rFonts w:eastAsia="BatangChe"/>
          <w:lang w:val="fr-FR" w:eastAsia="ko-KR"/>
        </w:rPr>
        <w:t>Frass composting</w:t>
      </w:r>
    </w:p>
    <w:p w14:paraId="03373D33" w14:textId="7BDAEFC8" w:rsidR="006458E0" w:rsidRPr="00852D80" w:rsidRDefault="006458E0" w:rsidP="008C7712">
      <w:pPr>
        <w:widowControl w:val="0"/>
        <w:wordWrap w:val="0"/>
        <w:spacing w:after="0" w:line="240" w:lineRule="auto"/>
        <w:jc w:val="both"/>
        <w:rPr>
          <w:rFonts w:eastAsia="BatangChe" w:cstheme="minorHAnsi"/>
          <w:kern w:val="2"/>
          <w:lang w:eastAsia="ko-KR"/>
        </w:rPr>
      </w:pPr>
      <w:r w:rsidRPr="00297685">
        <w:rPr>
          <w:rFonts w:eastAsia="BatangChe" w:cstheme="minorHAnsi"/>
          <w:kern w:val="2"/>
          <w:lang w:val="fr-FR" w:eastAsia="ko-KR"/>
        </w:rPr>
        <w:t>Guo et al., 2021</w:t>
      </w:r>
      <w:r w:rsidRPr="00852D80">
        <w:rPr>
          <w:rFonts w:eastAsia="BatangChe" w:cstheme="minorHAnsi"/>
          <w:kern w:val="2"/>
          <w:lang w:eastAsia="ko-KR"/>
        </w:rPr>
        <w:fldChar w:fldCharType="begin"/>
      </w:r>
      <w:r w:rsidR="00827449" w:rsidRPr="00297685">
        <w:rPr>
          <w:rFonts w:eastAsia="BatangChe" w:cstheme="minorHAnsi"/>
          <w:kern w:val="2"/>
          <w:lang w:val="fr-FR" w:eastAsia="ko-KR"/>
        </w:rPr>
        <w:instrText xml:space="preserve"> ADDIN ZOTERO_ITEM CSL_CITATION {"citationID":"PyAR6Awf","properties":{"formattedCitation":"\\super 77\\nosupersub{}","plainCitation":"77","noteIndex":0},"citationItems":[{"id":3227,"uris":["http://zotero.org/users/6423791/items/Y3LCJLWA"],"itemData":{"id":3227,"type":"article-journal","abstract":"This study provided a systematic analysis on material flow and environmental impacts of a food waste (FW) bioconversion plant using black soldier fly larvae (BSFL), with a daily capacity of 15 tons of FW (wet weight). Food waste feed (FWF) used for BSFL bioconversion consisted of 80% FW (collected from households, restaurants, and canteens) and 20% rice hull powder. Material flow analysis conducted on a dry weight basis showed that 6% of FWF was transformed into BSF pre-pupae, 51% was stored in matured compost, and 43% was emitted to the air. Emissions of high environmental concern such as methane, nitrous oxide and ammonia (NH3) were sampled and quantified by laboratory analysis. The life cycle assessment revealed that the overall impact was 17.36 kg CO2-eq/t FW for global warming potential, 5.54 kg SO2-eq/t FW for acidification, 24.05 mol N-eq/t FW for terrestrial eutrophication, 0.54 kg N-eq NH3/t FW for marine eutrophication, and 0.18 kg PM2.5-eq/t FW of particulate matter up to 2.5 </w:instrText>
      </w:r>
      <w:r w:rsidR="00827449" w:rsidRPr="00852D80">
        <w:rPr>
          <w:rFonts w:eastAsia="BatangChe" w:cstheme="minorHAnsi"/>
          <w:kern w:val="2"/>
          <w:lang w:eastAsia="ko-KR"/>
        </w:rPr>
        <w:instrText>μ</w:instrText>
      </w:r>
      <w:r w:rsidR="00827449" w:rsidRPr="00297685">
        <w:rPr>
          <w:rFonts w:eastAsia="BatangChe" w:cstheme="minorHAnsi"/>
          <w:kern w:val="2"/>
          <w:lang w:val="fr-FR" w:eastAsia="ko-KR"/>
        </w:rPr>
        <w:instrText xml:space="preserve">m diameter. Moreover, emissions from post-composting, energy consumptions of drying and chemical fertilizer substitution ratio were detected by contribution analysis as the main contributors to those impacts. Finally, sensitivity analysis indicated that the substitution ratio of mineral fertilizer and protein feed as well as energy consumption were the most influential parameters, therefore control of the post-composting process of residual material should be closely monitored because it was responsible for significant environmental load caused by N-related emissions.","container-title":"Science of The Total Environment","DOI":"10.1016/j.scitotenv.2020.141656","ISSN":"0048-9697","journalAbbreviation":"Sci. Total Environ.","language":"en","page":"141656","source":"ScienceDirect","title":"Material flow analysis and life cycle assessment of food waste bioconversion by black soldier fly larvae (Hermetia illucens L.)","volume":"750","author":[{"family":"Guo","given":"Hanwen"},{"family":"Jiang","given":"Chengliang"},{"family":"Zhang","given":"Zhijian"},{"family":"Lu","given":"Wenjing"},{"family":"Wang","given":"Hongtao"}],"issued":{"date-parts":[["2021",1,1]]}}}],"schema":"https://github.com/citation-style-language/schema/raw/master/csl-citation.json"} </w:instrText>
      </w:r>
      <w:r w:rsidRPr="00852D80">
        <w:rPr>
          <w:rFonts w:eastAsia="BatangChe" w:cstheme="minorHAnsi"/>
          <w:kern w:val="2"/>
          <w:lang w:eastAsia="ko-KR"/>
        </w:rPr>
        <w:fldChar w:fldCharType="separate"/>
      </w:r>
      <w:r w:rsidR="00942782" w:rsidRPr="00297685">
        <w:rPr>
          <w:rFonts w:ascii="Calibri" w:hAnsi="Calibri" w:cs="Calibri"/>
          <w:szCs w:val="24"/>
          <w:vertAlign w:val="superscript"/>
          <w:lang w:val="fr-FR"/>
        </w:rPr>
        <w:t>77</w:t>
      </w:r>
      <w:r w:rsidRPr="00852D80">
        <w:rPr>
          <w:rFonts w:eastAsia="BatangChe" w:cstheme="minorHAnsi"/>
          <w:kern w:val="2"/>
          <w:lang w:eastAsia="ko-KR"/>
        </w:rPr>
        <w:fldChar w:fldCharType="end"/>
      </w:r>
      <w:r w:rsidRPr="00297685">
        <w:rPr>
          <w:rFonts w:eastAsia="BatangChe" w:cstheme="minorHAnsi"/>
          <w:kern w:val="2"/>
          <w:lang w:val="fr-FR" w:eastAsia="ko-KR"/>
        </w:rPr>
        <w:t xml:space="preserve"> proposes a 2 months composting stage and provided the corresponding utilities and emissions inventory, considering N</w:t>
      </w:r>
      <w:r w:rsidRPr="00297685">
        <w:rPr>
          <w:rFonts w:eastAsia="BatangChe" w:cstheme="minorHAnsi"/>
          <w:kern w:val="2"/>
          <w:vertAlign w:val="subscript"/>
          <w:lang w:val="fr-FR" w:eastAsia="ko-KR"/>
        </w:rPr>
        <w:t>2</w:t>
      </w:r>
      <w:r w:rsidRPr="00297685">
        <w:rPr>
          <w:rFonts w:eastAsia="BatangChe" w:cstheme="minorHAnsi"/>
          <w:kern w:val="2"/>
          <w:lang w:val="fr-FR" w:eastAsia="ko-KR"/>
        </w:rPr>
        <w:t>O and NH</w:t>
      </w:r>
      <w:r w:rsidRPr="00297685">
        <w:rPr>
          <w:rFonts w:eastAsia="BatangChe" w:cstheme="minorHAnsi"/>
          <w:kern w:val="2"/>
          <w:vertAlign w:val="subscript"/>
          <w:lang w:val="fr-FR" w:eastAsia="ko-KR"/>
        </w:rPr>
        <w:t>3</w:t>
      </w:r>
      <w:r w:rsidRPr="00297685">
        <w:rPr>
          <w:rFonts w:eastAsia="BatangChe" w:cstheme="minorHAnsi"/>
          <w:kern w:val="2"/>
          <w:lang w:val="fr-FR" w:eastAsia="ko-KR"/>
        </w:rPr>
        <w:t xml:space="preserve"> emissions proportional to the amount of input N. This inventory was refined with data of existing industrial composting facilities shared by Albizzati et al., 2021</w:t>
      </w:r>
      <w:r w:rsidRPr="00852D80">
        <w:rPr>
          <w:rFonts w:eastAsia="BatangChe" w:cstheme="minorHAnsi"/>
          <w:kern w:val="2"/>
          <w:lang w:eastAsia="ko-KR"/>
        </w:rPr>
        <w:fldChar w:fldCharType="begin"/>
      </w:r>
      <w:r w:rsidR="008C451C" w:rsidRPr="00297685">
        <w:rPr>
          <w:rFonts w:eastAsia="BatangChe" w:cstheme="minorHAnsi"/>
          <w:kern w:val="2"/>
          <w:lang w:val="fr-FR" w:eastAsia="ko-KR"/>
        </w:rPr>
        <w:instrText xml:space="preserve"> ADDIN ZOTERO_ITEM CSL_CITATION {"citationID":"2RnDvxz2","properties":{"formattedCitation":"\\super 65\\nosupersub{}",</w:instrText>
      </w:r>
      <w:r w:rsidR="008C451C" w:rsidRPr="00852D80">
        <w:rPr>
          <w:rFonts w:eastAsia="BatangChe" w:cstheme="minorHAnsi"/>
          <w:kern w:val="2"/>
          <w:lang w:eastAsia="ko-KR"/>
        </w:rPr>
        <w:instrText xml:space="preserve">"plainCitation":"65","noteIndex":0},"citationItems":[{"id":12392,"uris":["http://zotero.org/users/6423791/items/PS7WU774"],"itemData":{"id":12392,"type":"article-journal","abstract":"In an endeavor to make Europe carbon-neutral, and to foster a circular economy, improving food waste management has been identified by the European Union (EU) as a key factor. In this study, we consider 21 pathways, covering: (i) prevention; (ii) reuse for both human consumption and animal feed; (iii) material recycling as an input into the food and chemical industries; (iv) nutrient recycling; and (v) energy/fuel recovery. To include all types of impact, a sustainability assessment, encompassing environmental, economic, and social pillars, is performed and complemented with societal life cycle costing. The results indicate that after prevention, reuse for human consumption and animal feed is the most preferred option, and, in most cases, nutrient recycling and energy recovery are favored over material recycling for chemical production. While highlighting that the food waste management hierarchy should be supported with quantitative sustainability analyses, the findings also illustrate that biochemical pathways should be improved to be competitive despite the fact that food waste valorization has the potential to satisfy the EU demand for the chemicals investigated. Yet, the results clearly show that the potential benefits of improving emerging technologies would still not eclipse the benefits related to food waste prevention and its redistribution.","container-title":"Environmental Science &amp; Technology","journalAbbreviation":"Environ. Sci. Technol.","note":"publisher: American Chemical Society","source":"ACS Publications","title":"A Quantitative Sustainability Assessment of Food Waste Management in the European Union","URL":"https://doi.org/10.1021/acs.est.1c03940","author":[{"family":"Albizzati","given":"Paola Federica"},{"family":"Tonini","given":"Davide"},{"family":"Astrup","given":"Thomas F."}],"accessed":{"date-parts":[["2021",11,18]]},"issued":{"date-parts":[["2021",11,16]]}}}],"schema":"https://github.com/citation-style-language/schema/raw/master/csl-citation.json"} </w:instrText>
      </w:r>
      <w:r w:rsidRPr="00852D80">
        <w:rPr>
          <w:rFonts w:eastAsia="BatangChe" w:cstheme="minorHAnsi"/>
          <w:kern w:val="2"/>
          <w:lang w:eastAsia="ko-KR"/>
        </w:rPr>
        <w:fldChar w:fldCharType="separate"/>
      </w:r>
      <w:r w:rsidR="008C451C" w:rsidRPr="00852D80">
        <w:rPr>
          <w:rFonts w:ascii="Calibri" w:hAnsi="Calibri" w:cs="Calibri"/>
          <w:szCs w:val="24"/>
          <w:vertAlign w:val="superscript"/>
        </w:rPr>
        <w:t>65</w:t>
      </w:r>
      <w:r w:rsidRPr="00852D80">
        <w:rPr>
          <w:rFonts w:eastAsia="BatangChe" w:cstheme="minorHAnsi"/>
          <w:kern w:val="2"/>
          <w:lang w:eastAsia="ko-KR"/>
        </w:rPr>
        <w:fldChar w:fldCharType="end"/>
      </w:r>
      <w:r w:rsidRPr="00852D80">
        <w:rPr>
          <w:rFonts w:eastAsia="BatangChe" w:cstheme="minorHAnsi"/>
          <w:kern w:val="2"/>
          <w:lang w:eastAsia="ko-KR"/>
        </w:rPr>
        <w:t>. This was done because frass composting emissions were mentioned as an important source of environmental impacts in previously published assessments</w:t>
      </w:r>
      <w:r w:rsidRPr="00852D80">
        <w:rPr>
          <w:rFonts w:eastAsia="BatangChe" w:cstheme="minorHAnsi"/>
          <w:kern w:val="2"/>
          <w:lang w:eastAsia="ko-KR"/>
        </w:rPr>
        <w:fldChar w:fldCharType="begin"/>
      </w:r>
      <w:r w:rsidR="00827449" w:rsidRPr="00852D80">
        <w:rPr>
          <w:rFonts w:eastAsia="BatangChe" w:cstheme="minorHAnsi"/>
          <w:kern w:val="2"/>
          <w:lang w:eastAsia="ko-KR"/>
        </w:rPr>
        <w:instrText xml:space="preserve"> ADDIN ZOTERO_ITEM CSL_CITATION {"citationID":"03cpnzNM","properties":{"formattedCitation":"\\super 77,90\\nosupersub{}","plainCitation":"77,90","noteIndex":0},"citationItems":[{"id":3227,"uris":["http://zotero.org/users/6423791/items/Y3LCJLWA"],"itemData":{"id":3227,"type":"article-journal","abstract":"This study provided a systematic analysis on material flow and environmental impacts of a food waste (FW) bioconversion plant using black soldier fly larvae (BSFL), with a daily capacity of 15 tons of FW (wet weight). Food waste feed (FWF) used for BSFL bioconversion consisted of 80% FW (collected from households, restaurants, and canteens) and 20% rice hull powder. Material flow analysis conducted on a dry weight basis showed that 6% of FWF was transformed into BSF pre-pupae, 51% was stored in matured compost, and 43% was emitted to the air. Emissions of high environmental concern such as methane, nitrous oxide and ammonia (NH3) were sampled and quantified by laboratory analysis. The life cycle assessment revealed that the overall impact was 17.36 kg CO2-eq/t FW for global warming potential, 5.54 kg SO2-eq/t FW for acidification, 24.05 mol N-eq/t FW for terrestrial eutrophication, 0.54 kg N-eq NH3/t FW for marine eutrophication, and 0.18 kg PM2.5-eq/t FW of particulate matter up to 2.5 μm diameter. Moreover, emissions from post-composting, energy consumptions of drying and chemical fertilizer substitution ratio were detected by contribution analysis as the main contributors to those impacts. Finally, sensitivity analysis indicated that the substitution ratio of mineral fertilizer and protein feed as well as energy consumption were the most influential parameters, therefore control of the post-composting process of residual material should be closely monitored because it was responsible for significant environmental load caused by N-related emissions.","container-title":"Science of The Total Environment","DOI":"10.1016/j.scitotenv.2020.141656","ISSN":"0048-9697","journalAbbreviation":"Sci. Total Environ.","language":"en","page":"141656","source":"ScienceDirect","title":"Material flow analysis and life cycle assessment of food waste bioconversion by black soldier fly larvae (Hermetia illucens L.)","volume":"750","author":[{"family":"Guo","given":"Hanwen"},{"family":"Jiang","given":"Chengliang"},{"family":"Zhang","given":"Zhijian"},{"family":"Lu","given":"Wenjing"},{"family":"Wang","given":"Hongtao"}],"issued":{"date-parts":[["2021",1,1]]}}},{"id":1464,"uris":["http://zotero.org/users/6423791/items/QNCAN2WT"],"itemData":{"id":1464,"type":"article-journal","abstract":"Cities of low and middle-income countries face severe challenges in managing the increasing amount of waste produced, especially the organic fraction. Black Soldier Fly (BSF) biowaste treatment is an attractive treatment option as it offers a solution for waste management while also providing a protein source to help alleviate the rising global demand for animal feed. However, to-date very little information is available on how this technology performs with regard to direct greenhouse gas (GHG) emissions and global warming potential (GWP). This paper presents a study that uses a life cycle assessment (LCA) approach to assess the GWP of a BSF waste treatment facility in the case of Indonesia and compares it with respective values for an open windrow composting facility. Direct CH4 and N2O samples were extracted from BSF treatment units and analyzed by gas chromatography. Results show that direct CO2eq emissions are 47 times lower the emissions from composting. Regarding the overall GWP, the LCA shows that composting has double the GWP of BSF treatment facility based on the functional unit of 1 ton of biowaste (wet weight). The main GWP contribution from a BSF facility are from: (1) residue post-composting (69%) and (2) electricity needs and source (up to 55%). Fishmeal production substitution by BSF larvae meal can reduce significantly the GWP (up to 30%). Based on this study, we conclude that BSF biowaste treatment offers an environmentally relevant alternative with very low direct GHG emissions and potentially high GWP reduction. Further research should improve residue post-treatment.","container-title":"Waste Management","DOI":"10.1016/j.wasman.2018.11.040","ISSN":"0956-053X","journalAbbreviation":"Waste Management","language":"en","page":"173-181","source":"ScienceDirect","title":"Black Soldier Fly biowaste treatment – Assessment of global warming potential","volume":"84","author":[{"family":"Mertenat","given":"Adeline"},{"family":"Diener","given":"Stefan"},{"family":"Zurbrügg","given":"Christian"}],"issued":{"date-parts":[["2019",2,1]]}}}],"schema":"https://github.com/citation-style-language/schema/raw/master/csl-citation.json"} </w:instrText>
      </w:r>
      <w:r w:rsidRPr="00852D80">
        <w:rPr>
          <w:rFonts w:eastAsia="BatangChe" w:cstheme="minorHAnsi"/>
          <w:kern w:val="2"/>
          <w:lang w:eastAsia="ko-KR"/>
        </w:rPr>
        <w:fldChar w:fldCharType="separate"/>
      </w:r>
      <w:r w:rsidR="00942782" w:rsidRPr="00852D80">
        <w:rPr>
          <w:rFonts w:ascii="Calibri" w:hAnsi="Calibri" w:cs="Calibri"/>
          <w:szCs w:val="24"/>
          <w:vertAlign w:val="superscript"/>
        </w:rPr>
        <w:t>77,90</w:t>
      </w:r>
      <w:r w:rsidRPr="00852D80">
        <w:rPr>
          <w:rFonts w:eastAsia="BatangChe" w:cstheme="minorHAnsi"/>
          <w:kern w:val="2"/>
          <w:lang w:eastAsia="ko-KR"/>
        </w:rPr>
        <w:fldChar w:fldCharType="end"/>
      </w:r>
      <w:r w:rsidRPr="00852D80">
        <w:rPr>
          <w:rFonts w:eastAsia="BatangChe" w:cstheme="minorHAnsi"/>
          <w:kern w:val="2"/>
          <w:lang w:eastAsia="ko-KR"/>
        </w:rPr>
        <w:t xml:space="preserve">. While being mostly based on the </w:t>
      </w:r>
      <w:r w:rsidRPr="00852D80">
        <w:rPr>
          <w:rFonts w:eastAsia="BatangChe" w:cstheme="minorHAnsi"/>
          <w:kern w:val="2"/>
          <w:lang w:eastAsia="ko-KR"/>
        </w:rPr>
        <w:lastRenderedPageBreak/>
        <w:t>composting pathway</w:t>
      </w:r>
      <w:r w:rsidR="008C7712" w:rsidRPr="00852D80">
        <w:rPr>
          <w:rFonts w:eastAsia="BatangChe" w:cstheme="minorHAnsi"/>
          <w:kern w:val="2"/>
          <w:lang w:eastAsia="ko-KR"/>
        </w:rPr>
        <w:t xml:space="preserve"> proposed in </w:t>
      </w:r>
      <w:r w:rsidR="002D3BB7" w:rsidRPr="00852D80">
        <w:t>Javourez et al., 202</w:t>
      </w:r>
      <w:r w:rsidR="003A663A" w:rsidRPr="00852D80">
        <w:t>4</w:t>
      </w:r>
      <w:r w:rsidR="002D3BB7" w:rsidRPr="00852D80">
        <w:fldChar w:fldCharType="begin"/>
      </w:r>
      <w:r w:rsidR="00827449" w:rsidRPr="00852D80">
        <w:instrText xml:space="preserve"> ADDIN ZOTERO_ITEM CSL_CITATION {"citationID":"5juWYF1G","properties":{"formattedCitation":"\\super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2D3BB7" w:rsidRPr="00852D80">
        <w:fldChar w:fldCharType="separate"/>
      </w:r>
      <w:r w:rsidR="008C451C" w:rsidRPr="00852D80">
        <w:rPr>
          <w:rFonts w:ascii="Calibri" w:hAnsi="Calibri" w:cs="Calibri"/>
          <w:szCs w:val="24"/>
          <w:vertAlign w:val="superscript"/>
        </w:rPr>
        <w:t>1</w:t>
      </w:r>
      <w:r w:rsidR="002D3BB7" w:rsidRPr="00852D80">
        <w:fldChar w:fldCharType="end"/>
      </w:r>
      <w:r w:rsidRPr="00852D80">
        <w:rPr>
          <w:rFonts w:eastAsia="BatangChe" w:cstheme="minorHAnsi"/>
          <w:kern w:val="2"/>
          <w:lang w:eastAsia="ko-KR"/>
        </w:rPr>
        <w:t>, the parameters were adapted to reflect the specificity of frass (shorter period required, etc.; see</w:t>
      </w:r>
      <w:r w:rsidR="008C7712" w:rsidRPr="00852D80">
        <w:rPr>
          <w:rFonts w:eastAsia="BatangChe" w:cstheme="minorHAnsi"/>
          <w:kern w:val="2"/>
          <w:lang w:eastAsia="ko-KR"/>
        </w:rPr>
        <w:t xml:space="preserve"> </w:t>
      </w:r>
      <w:r w:rsidR="008C7712" w:rsidRPr="00852D80">
        <w:rPr>
          <w:rFonts w:eastAsia="BatangChe" w:cstheme="minorHAnsi"/>
          <w:b/>
          <w:kern w:val="2"/>
          <w:lang w:eastAsia="ko-KR"/>
        </w:rPr>
        <w:fldChar w:fldCharType="begin"/>
      </w:r>
      <w:r w:rsidR="008C7712" w:rsidRPr="00852D80">
        <w:rPr>
          <w:rFonts w:eastAsia="BatangChe" w:cstheme="minorHAnsi"/>
          <w:b/>
          <w:kern w:val="2"/>
          <w:lang w:eastAsia="ko-KR"/>
        </w:rPr>
        <w:instrText xml:space="preserve"> REF _Ref144805172 \h  \* MERGEFORMAT </w:instrText>
      </w:r>
      <w:r w:rsidR="008C7712" w:rsidRPr="00852D80">
        <w:rPr>
          <w:rFonts w:eastAsia="BatangChe" w:cstheme="minorHAnsi"/>
          <w:b/>
          <w:kern w:val="2"/>
          <w:lang w:eastAsia="ko-KR"/>
        </w:rPr>
      </w:r>
      <w:r w:rsidR="008C7712" w:rsidRPr="00852D80">
        <w:rPr>
          <w:rFonts w:eastAsia="BatangChe" w:cstheme="minorHAnsi"/>
          <w:b/>
          <w:kern w:val="2"/>
          <w:lang w:eastAsia="ko-KR"/>
        </w:rPr>
        <w:fldChar w:fldCharType="separate"/>
      </w:r>
      <w:r w:rsidR="00F25F8C" w:rsidRPr="00852D80">
        <w:rPr>
          <w:b/>
        </w:rPr>
        <w:t xml:space="preserve">Table SI. </w:t>
      </w:r>
      <w:r w:rsidR="00F25F8C" w:rsidRPr="00852D80">
        <w:rPr>
          <w:b/>
          <w:noProof/>
        </w:rPr>
        <w:t>35</w:t>
      </w:r>
      <w:r w:rsidR="008C7712" w:rsidRPr="00852D80">
        <w:rPr>
          <w:rFonts w:eastAsia="BatangChe" w:cstheme="minorHAnsi"/>
          <w:b/>
          <w:kern w:val="2"/>
          <w:lang w:eastAsia="ko-KR"/>
        </w:rPr>
        <w:fldChar w:fldCharType="end"/>
      </w:r>
      <w:r w:rsidRPr="00852D80">
        <w:rPr>
          <w:rFonts w:eastAsia="BatangChe" w:cstheme="minorHAnsi"/>
          <w:kern w:val="2"/>
          <w:lang w:eastAsia="ko-KR"/>
        </w:rPr>
        <w:t>).</w:t>
      </w:r>
    </w:p>
    <w:p w14:paraId="79337BE8" w14:textId="1F42D2FE" w:rsidR="006458E0" w:rsidRPr="00DC332F" w:rsidRDefault="00874128" w:rsidP="006B5342">
      <w:pPr>
        <w:pStyle w:val="Lgende"/>
        <w:jc w:val="left"/>
        <w:rPr>
          <w:rFonts w:cs="Times New Roman"/>
          <w:b w:val="0"/>
          <w:i/>
        </w:rPr>
      </w:pPr>
      <w:bookmarkStart w:id="164" w:name="_Ref144805172"/>
      <w:bookmarkStart w:id="165" w:name="_Toc134537675"/>
      <w:bookmarkStart w:id="166" w:name="_Toc151967919"/>
      <w:r>
        <w:t>Table SI.</w:t>
      </w:r>
      <w:r w:rsidR="006458E0">
        <w:t xml:space="preserve"> </w:t>
      </w:r>
      <w:r>
        <w:fldChar w:fldCharType="begin"/>
      </w:r>
      <w:r>
        <w:instrText xml:space="preserve"> SEQ Table_SI. \* ARABIC </w:instrText>
      </w:r>
      <w:r>
        <w:fldChar w:fldCharType="separate"/>
      </w:r>
      <w:r w:rsidR="00F25F8C">
        <w:rPr>
          <w:noProof/>
        </w:rPr>
        <w:t>35</w:t>
      </w:r>
      <w:r>
        <w:fldChar w:fldCharType="end"/>
      </w:r>
      <w:bookmarkEnd w:id="164"/>
      <w:r w:rsidR="006458E0">
        <w:t xml:space="preserve"> </w:t>
      </w:r>
      <w:r w:rsidR="006458E0" w:rsidRPr="00E40BD9">
        <w:rPr>
          <w:rFonts w:cs="Times New Roman"/>
        </w:rPr>
        <w:t>– BSF frass composting modeling parameters</w:t>
      </w:r>
      <w:bookmarkEnd w:id="165"/>
      <w:bookmarkEnd w:id="166"/>
    </w:p>
    <w:tbl>
      <w:tblPr>
        <w:tblStyle w:val="Tableausimple2"/>
        <w:tblW w:w="0" w:type="auto"/>
        <w:tblLayout w:type="fixed"/>
        <w:tblLook w:val="04A0" w:firstRow="1" w:lastRow="0" w:firstColumn="1" w:lastColumn="0" w:noHBand="0" w:noVBand="1"/>
      </w:tblPr>
      <w:tblGrid>
        <w:gridCol w:w="2813"/>
        <w:gridCol w:w="1000"/>
        <w:gridCol w:w="708"/>
        <w:gridCol w:w="859"/>
        <w:gridCol w:w="3662"/>
      </w:tblGrid>
      <w:tr w:rsidR="006458E0" w:rsidRPr="003C5C8A" w14:paraId="7433646F" w14:textId="77777777" w:rsidTr="003C5C8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13" w:type="dxa"/>
          </w:tcPr>
          <w:p w14:paraId="47255DD5" w14:textId="77777777" w:rsidR="006458E0" w:rsidRPr="003C5C8A" w:rsidRDefault="006458E0" w:rsidP="006458E0">
            <w:pPr>
              <w:jc w:val="right"/>
              <w:rPr>
                <w:sz w:val="18"/>
                <w:szCs w:val="18"/>
              </w:rPr>
            </w:pPr>
            <w:r w:rsidRPr="003C5C8A">
              <w:rPr>
                <w:sz w:val="18"/>
                <w:szCs w:val="18"/>
              </w:rPr>
              <w:t>Parameters</w:t>
            </w:r>
          </w:p>
        </w:tc>
        <w:tc>
          <w:tcPr>
            <w:tcW w:w="1000" w:type="dxa"/>
          </w:tcPr>
          <w:p w14:paraId="7F8D8A2B" w14:textId="77777777" w:rsidR="006458E0" w:rsidRPr="003C5C8A"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3C5C8A">
              <w:rPr>
                <w:sz w:val="18"/>
                <w:szCs w:val="18"/>
              </w:rPr>
              <w:t>Unit</w:t>
            </w:r>
          </w:p>
        </w:tc>
        <w:tc>
          <w:tcPr>
            <w:tcW w:w="708" w:type="dxa"/>
          </w:tcPr>
          <w:p w14:paraId="73FA92FF" w14:textId="77777777" w:rsidR="006458E0" w:rsidRPr="003C5C8A"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3C5C8A">
              <w:rPr>
                <w:sz w:val="18"/>
                <w:szCs w:val="18"/>
              </w:rPr>
              <w:t>Value</w:t>
            </w:r>
          </w:p>
        </w:tc>
        <w:tc>
          <w:tcPr>
            <w:tcW w:w="859" w:type="dxa"/>
          </w:tcPr>
          <w:p w14:paraId="6EE638BF" w14:textId="77777777" w:rsidR="006458E0" w:rsidRPr="003C5C8A"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3C5C8A">
              <w:rPr>
                <w:sz w:val="18"/>
                <w:szCs w:val="18"/>
              </w:rPr>
              <w:t>Range</w:t>
            </w:r>
          </w:p>
        </w:tc>
        <w:tc>
          <w:tcPr>
            <w:tcW w:w="3662" w:type="dxa"/>
          </w:tcPr>
          <w:p w14:paraId="111BD7D3" w14:textId="77777777" w:rsidR="006458E0" w:rsidRPr="003C5C8A" w:rsidRDefault="006458E0" w:rsidP="00E9442B">
            <w:pPr>
              <w:cnfStyle w:val="100000000000" w:firstRow="1" w:lastRow="0" w:firstColumn="0" w:lastColumn="0" w:oddVBand="0" w:evenVBand="0" w:oddHBand="0" w:evenHBand="0" w:firstRowFirstColumn="0" w:firstRowLastColumn="0" w:lastRowFirstColumn="0" w:lastRowLastColumn="0"/>
              <w:rPr>
                <w:i/>
                <w:sz w:val="18"/>
                <w:szCs w:val="18"/>
              </w:rPr>
            </w:pPr>
            <w:r w:rsidRPr="003C5C8A">
              <w:rPr>
                <w:i/>
                <w:sz w:val="18"/>
                <w:szCs w:val="18"/>
              </w:rPr>
              <w:t>Comment</w:t>
            </w:r>
          </w:p>
        </w:tc>
      </w:tr>
      <w:tr w:rsidR="006458E0" w:rsidRPr="003C5C8A" w14:paraId="16CF6D7F" w14:textId="77777777" w:rsidTr="003C5C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13" w:type="dxa"/>
          </w:tcPr>
          <w:p w14:paraId="72A0EBA9" w14:textId="77777777" w:rsidR="006458E0" w:rsidRPr="003C5C8A" w:rsidRDefault="006458E0" w:rsidP="006458E0">
            <w:pPr>
              <w:jc w:val="right"/>
              <w:rPr>
                <w:b w:val="0"/>
                <w:sz w:val="18"/>
                <w:szCs w:val="18"/>
              </w:rPr>
            </w:pPr>
            <w:r w:rsidRPr="003C5C8A">
              <w:rPr>
                <w:b w:val="0"/>
                <w:sz w:val="18"/>
                <w:szCs w:val="18"/>
              </w:rPr>
              <w:t>Frass composting electricity</w:t>
            </w:r>
          </w:p>
        </w:tc>
        <w:tc>
          <w:tcPr>
            <w:tcW w:w="1000" w:type="dxa"/>
          </w:tcPr>
          <w:p w14:paraId="227D9D9E"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kWh.t</w:t>
            </w:r>
            <w:r w:rsidRPr="003C5C8A">
              <w:rPr>
                <w:sz w:val="18"/>
                <w:szCs w:val="18"/>
                <w:vertAlign w:val="subscript"/>
              </w:rPr>
              <w:t>ww</w:t>
            </w:r>
            <w:r w:rsidRPr="003C5C8A">
              <w:rPr>
                <w:sz w:val="18"/>
                <w:szCs w:val="18"/>
                <w:vertAlign w:val="superscript"/>
              </w:rPr>
              <w:t>-1</w:t>
            </w:r>
          </w:p>
        </w:tc>
        <w:tc>
          <w:tcPr>
            <w:tcW w:w="708" w:type="dxa"/>
          </w:tcPr>
          <w:p w14:paraId="48148D8A"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26</w:t>
            </w:r>
          </w:p>
        </w:tc>
        <w:tc>
          <w:tcPr>
            <w:tcW w:w="859" w:type="dxa"/>
          </w:tcPr>
          <w:p w14:paraId="5786CA7D"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0.9-50</w:t>
            </w:r>
          </w:p>
        </w:tc>
        <w:tc>
          <w:tcPr>
            <w:tcW w:w="3662" w:type="dxa"/>
            <w:vMerge w:val="restart"/>
          </w:tcPr>
          <w:p w14:paraId="6912F1B4" w14:textId="179DD2EB"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3C5C8A">
              <w:rPr>
                <w:i/>
                <w:sz w:val="18"/>
                <w:szCs w:val="18"/>
              </w:rPr>
              <w:t>In between reported for frass composting</w:t>
            </w:r>
            <w:r w:rsidRPr="003C5C8A">
              <w:rPr>
                <w:i/>
                <w:sz w:val="18"/>
                <w:szCs w:val="18"/>
              </w:rPr>
              <w:fldChar w:fldCharType="begin"/>
            </w:r>
            <w:r w:rsidR="00827449">
              <w:rPr>
                <w:i/>
                <w:sz w:val="18"/>
                <w:szCs w:val="18"/>
              </w:rPr>
              <w:instrText xml:space="preserve"> ADDIN ZOTERO_ITEM CSL_CITATION {"citationID":"qdciMwwq","properties":{"formattedCitation":"\\super 77\\nosupersub{}","plainCitation":"77","noteIndex":0},"citationItems":[{"id":3227,"uris":["http://zotero.org/users/6423791/items/Y3LCJLWA"],"itemData":{"id":3227,"type":"article-journal","abstract":"This study provided a systematic analysis on material flow and environmental impacts of a food waste (FW) bioconversion plant using black soldier fly larvae (BSFL), with a daily capacity of 15 tons of FW (wet weight). Food waste feed (FWF) used for BSFL bioconversion consisted of 80% FW (collected from households, restaurants, and canteens) and 20% rice hull powder. Material flow analysis conducted on a dry weight basis showed that 6% of FWF was transformed into BSF pre-pupae, 51% was stored in matured compost, and 43% was emitted to the air. Emissions of high environmental concern such as methane, nitrous oxide and ammonia (NH3) were sampled and quantified by laboratory analysis. The life cycle assessment revealed that the overall impact was 17.36 kg CO2-eq/t FW for global warming potential, 5.54 kg SO2-eq/t FW for acidification, 24.05 mol N-eq/t FW for terrestrial eutrophication, 0.54 kg N-eq NH3/t FW for marine eutrophication, and 0.18 kg PM2.5-eq/t FW of particulate matter up to 2.5 μm diameter. Moreover, emissions from post-composting, energy consumptions of drying and chemical fertilizer substitution ratio were detected by contribution analysis as the main contributors to those impacts. Finally, sensitivity analysis indicated that the substitution ratio of mineral fertilizer and protein feed as well as energy consumption were the most influential parameters, therefore control of the post-composting process of residual material should be closely monitored because it was responsible for significant environmental load caused by N-related emissions.","container-title":"Science of The Total Environment","DOI":"10.1016/j.scitotenv.2020.141656","ISSN":"0048-9697","journalAbbreviation":"Sci. Total Environ.","language":"en","page":"141656","source":"ScienceDirect","title":"Material flow analysis and life cycle assessment of food waste bioconversion by black soldier fly larvae (Hermetia illucens L.)","volume":"750","author":[{"family":"Guo","given":"Hanwen"},{"family":"Jiang","given":"Chengliang"},{"family":"Zhang","given":"Zhijian"},{"family":"Lu","given":"Wenjing"},{"family":"Wang","given":"Hongtao"}],"issued":{"date-parts":[["2021",1,1]]}}}],"schema":"https://github.com/citation-style-language/schema/raw/master/csl-citation.json"} </w:instrText>
            </w:r>
            <w:r w:rsidRPr="003C5C8A">
              <w:rPr>
                <w:i/>
                <w:sz w:val="18"/>
                <w:szCs w:val="18"/>
              </w:rPr>
              <w:fldChar w:fldCharType="separate"/>
            </w:r>
            <w:r w:rsidR="00942782" w:rsidRPr="00942782">
              <w:rPr>
                <w:rFonts w:ascii="Calibri" w:hAnsi="Calibri" w:cs="Calibri"/>
                <w:sz w:val="18"/>
                <w:szCs w:val="24"/>
                <w:vertAlign w:val="superscript"/>
              </w:rPr>
              <w:t>77</w:t>
            </w:r>
            <w:r w:rsidRPr="003C5C8A">
              <w:rPr>
                <w:i/>
                <w:sz w:val="18"/>
                <w:szCs w:val="18"/>
              </w:rPr>
              <w:fldChar w:fldCharType="end"/>
            </w:r>
            <w:r w:rsidRPr="003C5C8A">
              <w:rPr>
                <w:i/>
                <w:sz w:val="18"/>
                <w:szCs w:val="18"/>
              </w:rPr>
              <w:t xml:space="preserve"> and real composting plant</w:t>
            </w:r>
            <w:r w:rsidRPr="003C5C8A">
              <w:rPr>
                <w:i/>
                <w:sz w:val="18"/>
                <w:szCs w:val="18"/>
              </w:rPr>
              <w:fldChar w:fldCharType="begin"/>
            </w:r>
            <w:r w:rsidR="00E860C9">
              <w:rPr>
                <w:i/>
                <w:sz w:val="18"/>
                <w:szCs w:val="18"/>
              </w:rPr>
              <w:instrText xml:space="preserve"> ADDIN ZOTERO_ITEM CSL_CITATION {"citationID":"gGILLFut","properties":{"formattedCitation":"\\super 65,111\\nosupersub{}","plainCitation":"65,111","noteIndex":0},"citationItems":[{"id":12392,"uris":["http://zotero.org/users/6423791/items/PS7WU774"],"itemData":{"id":12392,"type":"article-journal","abstract":"In an endeavor to make Europe carbon-neutral, and to foster a circular economy, improving food waste management has been identified by the European Union (EU) as a key factor. In this study, we consider 21 pathways, covering: (i) prevention; (ii) reuse for both human consumption and animal feed; (iii) material recycling as an input into the food and chemical industries; (iv) nutrient recycling; and (v) energy/fuel recovery. To include all types of impact, a sustainability assessment, encompassing environmental, economic, and social pillars, is performed and complemented with societal life cycle costing. The results indicate that after prevention, reuse for human consumption and animal feed is the most preferred option, and, in most cases, nutrient recycling and energy recovery are favored over material recycling for chemical production. While highlighting that the food waste management hierarchy should be supported with quantitative sustainability analyses, the findings also illustrate that biochemical pathways should be improved to be competitive despite the fact that food waste valorization has the potential to satisfy the EU demand for the chemicals investigated. Yet, the results clearly show that the potential benefits of improving emerging technologies would still not eclipse the benefits related to food waste prevention and its redistribution.","container-title":"Environmental Science &amp; Technology","journalAbbreviation":"Environ. Sci. Technol.","note":"publisher: American Chemical Society","source":"ACS Publications","title":"A Quantitative Sustainability Assessment of Food Waste Management in the European Union","URL":"https://doi.org/10.1021/acs.est.1c03940","author":[{"family":"Albizzati","given":"Paola Federica"},{"family":"Tonini","given":"Davide"},{"family":"Astrup","given":"Thomas F."}],"accessed":{"date-parts":[["2021",11,18]]},"issued":{"date-parts":[["2021",11,16]]}}},{"id":13706,"uris":["http://zotero.org/users/6423791/items/TDQ9XXIL"],"itemData":{"id":13706,"type":"report","language":"fr","page":"126","source":"Zotero","title":"Impacts Environnementaux De Filieres De Traitements Biologiques Des Dechets De Cuisine Et De Table: Compostages Et Methanisations","author":[{"literal":"ADEME"},{"literal":"EVEA Evaluation et Accompagnement"},{"literal":"S3D Ingénierie"},{"family":"Cornelus","given":"Mélissa"},{"family":"Rousseau El Habti","given":"Audrey"}],"issued":{"date-parts":[["2019"]]}}}],"schema":"https://github.com/citation-style-language/schema/raw/master/csl-citation.json"} </w:instrText>
            </w:r>
            <w:r w:rsidRPr="003C5C8A">
              <w:rPr>
                <w:i/>
                <w:sz w:val="18"/>
                <w:szCs w:val="18"/>
              </w:rPr>
              <w:fldChar w:fldCharType="separate"/>
            </w:r>
            <w:r w:rsidR="00E860C9" w:rsidRPr="00E860C9">
              <w:rPr>
                <w:rFonts w:ascii="Calibri" w:hAnsi="Calibri" w:cs="Calibri"/>
                <w:sz w:val="18"/>
                <w:szCs w:val="24"/>
                <w:vertAlign w:val="superscript"/>
              </w:rPr>
              <w:t>65,111</w:t>
            </w:r>
            <w:r w:rsidRPr="003C5C8A">
              <w:rPr>
                <w:i/>
                <w:sz w:val="18"/>
                <w:szCs w:val="18"/>
              </w:rPr>
              <w:fldChar w:fldCharType="end"/>
            </w:r>
          </w:p>
        </w:tc>
      </w:tr>
      <w:tr w:rsidR="006458E0" w:rsidRPr="003C5C8A" w14:paraId="0043396D" w14:textId="77777777" w:rsidTr="003C5C8A">
        <w:tc>
          <w:tcPr>
            <w:cnfStyle w:val="001000000000" w:firstRow="0" w:lastRow="0" w:firstColumn="1" w:lastColumn="0" w:oddVBand="0" w:evenVBand="0" w:oddHBand="0" w:evenHBand="0" w:firstRowFirstColumn="0" w:firstRowLastColumn="0" w:lastRowFirstColumn="0" w:lastRowLastColumn="0"/>
            <w:tcW w:w="2813" w:type="dxa"/>
          </w:tcPr>
          <w:p w14:paraId="2EA85237" w14:textId="77777777" w:rsidR="006458E0" w:rsidRPr="003C5C8A" w:rsidRDefault="006458E0" w:rsidP="006458E0">
            <w:pPr>
              <w:jc w:val="right"/>
              <w:rPr>
                <w:b w:val="0"/>
                <w:sz w:val="18"/>
                <w:szCs w:val="18"/>
              </w:rPr>
            </w:pPr>
            <w:r w:rsidRPr="003C5C8A">
              <w:rPr>
                <w:b w:val="0"/>
                <w:sz w:val="18"/>
                <w:szCs w:val="18"/>
              </w:rPr>
              <w:t>Frass composting C-emissions</w:t>
            </w:r>
          </w:p>
        </w:tc>
        <w:tc>
          <w:tcPr>
            <w:tcW w:w="1000" w:type="dxa"/>
          </w:tcPr>
          <w:p w14:paraId="0A66E0D9"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w:t>
            </w:r>
            <w:r w:rsidRPr="003C5C8A">
              <w:rPr>
                <w:sz w:val="18"/>
                <w:szCs w:val="18"/>
                <w:vertAlign w:val="subscript"/>
              </w:rPr>
              <w:t>C</w:t>
            </w:r>
          </w:p>
        </w:tc>
        <w:tc>
          <w:tcPr>
            <w:tcW w:w="708" w:type="dxa"/>
          </w:tcPr>
          <w:p w14:paraId="27CCA8A5"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20%</w:t>
            </w:r>
          </w:p>
        </w:tc>
        <w:tc>
          <w:tcPr>
            <w:tcW w:w="859" w:type="dxa"/>
          </w:tcPr>
          <w:p w14:paraId="716E842D"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10-35%</w:t>
            </w:r>
          </w:p>
        </w:tc>
        <w:tc>
          <w:tcPr>
            <w:tcW w:w="3662" w:type="dxa"/>
            <w:vMerge/>
          </w:tcPr>
          <w:p w14:paraId="37D1A211" w14:textId="77777777" w:rsidR="006458E0" w:rsidRPr="003C5C8A"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p>
        </w:tc>
      </w:tr>
      <w:tr w:rsidR="006458E0" w:rsidRPr="003C5C8A" w14:paraId="7295A1F9" w14:textId="77777777" w:rsidTr="003C5C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13" w:type="dxa"/>
          </w:tcPr>
          <w:p w14:paraId="2DFEB682" w14:textId="77777777" w:rsidR="006458E0" w:rsidRPr="003C5C8A" w:rsidRDefault="006458E0" w:rsidP="006458E0">
            <w:pPr>
              <w:jc w:val="right"/>
              <w:rPr>
                <w:b w:val="0"/>
                <w:sz w:val="18"/>
                <w:szCs w:val="18"/>
              </w:rPr>
            </w:pPr>
            <w:r w:rsidRPr="003C5C8A">
              <w:rPr>
                <w:b w:val="0"/>
                <w:sz w:val="18"/>
                <w:szCs w:val="18"/>
              </w:rPr>
              <w:t>Frass composting CH</w:t>
            </w:r>
            <w:r w:rsidRPr="003C5C8A">
              <w:rPr>
                <w:b w:val="0"/>
                <w:sz w:val="18"/>
                <w:szCs w:val="18"/>
                <w:vertAlign w:val="subscript"/>
              </w:rPr>
              <w:t>4</w:t>
            </w:r>
            <w:r w:rsidRPr="003C5C8A">
              <w:rPr>
                <w:b w:val="0"/>
                <w:sz w:val="18"/>
                <w:szCs w:val="18"/>
              </w:rPr>
              <w:t xml:space="preserve"> emissions</w:t>
            </w:r>
          </w:p>
        </w:tc>
        <w:tc>
          <w:tcPr>
            <w:tcW w:w="1000" w:type="dxa"/>
          </w:tcPr>
          <w:p w14:paraId="1FAC5DA4"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w:t>
            </w:r>
            <w:r w:rsidRPr="003C5C8A">
              <w:rPr>
                <w:sz w:val="18"/>
                <w:szCs w:val="18"/>
                <w:vertAlign w:val="subscript"/>
              </w:rPr>
              <w:t>C_emit</w:t>
            </w:r>
          </w:p>
        </w:tc>
        <w:tc>
          <w:tcPr>
            <w:tcW w:w="708" w:type="dxa"/>
          </w:tcPr>
          <w:p w14:paraId="32911839"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1%</w:t>
            </w:r>
          </w:p>
        </w:tc>
        <w:tc>
          <w:tcPr>
            <w:tcW w:w="859" w:type="dxa"/>
          </w:tcPr>
          <w:p w14:paraId="035B0CAA"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0.2-1.7%</w:t>
            </w:r>
          </w:p>
        </w:tc>
        <w:tc>
          <w:tcPr>
            <w:tcW w:w="3662" w:type="dxa"/>
            <w:vMerge/>
          </w:tcPr>
          <w:p w14:paraId="570193F2" w14:textId="77777777"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6458E0" w:rsidRPr="003C5C8A" w14:paraId="232FA7E6" w14:textId="77777777" w:rsidTr="003C5C8A">
        <w:tc>
          <w:tcPr>
            <w:cnfStyle w:val="001000000000" w:firstRow="0" w:lastRow="0" w:firstColumn="1" w:lastColumn="0" w:oddVBand="0" w:evenVBand="0" w:oddHBand="0" w:evenHBand="0" w:firstRowFirstColumn="0" w:firstRowLastColumn="0" w:lastRowFirstColumn="0" w:lastRowLastColumn="0"/>
            <w:tcW w:w="2813" w:type="dxa"/>
          </w:tcPr>
          <w:p w14:paraId="7173BF58" w14:textId="77777777" w:rsidR="006458E0" w:rsidRPr="003C5C8A" w:rsidRDefault="006458E0" w:rsidP="006458E0">
            <w:pPr>
              <w:jc w:val="right"/>
              <w:rPr>
                <w:b w:val="0"/>
                <w:sz w:val="18"/>
                <w:szCs w:val="18"/>
              </w:rPr>
            </w:pPr>
            <w:r w:rsidRPr="003C5C8A">
              <w:rPr>
                <w:b w:val="0"/>
                <w:sz w:val="18"/>
                <w:szCs w:val="18"/>
              </w:rPr>
              <w:t>Frass composting N</w:t>
            </w:r>
            <w:r w:rsidRPr="003C5C8A">
              <w:rPr>
                <w:b w:val="0"/>
                <w:sz w:val="18"/>
                <w:szCs w:val="18"/>
                <w:vertAlign w:val="subscript"/>
              </w:rPr>
              <w:t>2</w:t>
            </w:r>
            <w:r w:rsidRPr="003C5C8A">
              <w:rPr>
                <w:b w:val="0"/>
                <w:sz w:val="18"/>
                <w:szCs w:val="18"/>
              </w:rPr>
              <w:t>O emissions</w:t>
            </w:r>
          </w:p>
        </w:tc>
        <w:tc>
          <w:tcPr>
            <w:tcW w:w="1000" w:type="dxa"/>
          </w:tcPr>
          <w:p w14:paraId="008096C6"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w:t>
            </w:r>
            <w:r w:rsidRPr="003C5C8A">
              <w:rPr>
                <w:sz w:val="18"/>
                <w:szCs w:val="18"/>
                <w:vertAlign w:val="subscript"/>
              </w:rPr>
              <w:t>N_emit</w:t>
            </w:r>
          </w:p>
        </w:tc>
        <w:tc>
          <w:tcPr>
            <w:tcW w:w="708" w:type="dxa"/>
          </w:tcPr>
          <w:p w14:paraId="6024CA86"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1.2%</w:t>
            </w:r>
          </w:p>
        </w:tc>
        <w:tc>
          <w:tcPr>
            <w:tcW w:w="859" w:type="dxa"/>
          </w:tcPr>
          <w:p w14:paraId="7E7A510A"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0.5-1.9%</w:t>
            </w:r>
          </w:p>
        </w:tc>
        <w:tc>
          <w:tcPr>
            <w:tcW w:w="3662" w:type="dxa"/>
            <w:vMerge/>
          </w:tcPr>
          <w:p w14:paraId="3583FA8C" w14:textId="77777777" w:rsidR="006458E0" w:rsidRPr="003C5C8A"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p>
        </w:tc>
      </w:tr>
      <w:tr w:rsidR="006458E0" w:rsidRPr="003C5C8A" w14:paraId="46831266" w14:textId="77777777" w:rsidTr="003C5C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13" w:type="dxa"/>
          </w:tcPr>
          <w:p w14:paraId="7648F0A1" w14:textId="77777777" w:rsidR="006458E0" w:rsidRPr="003C5C8A" w:rsidRDefault="006458E0" w:rsidP="006458E0">
            <w:pPr>
              <w:jc w:val="right"/>
              <w:rPr>
                <w:b w:val="0"/>
                <w:sz w:val="18"/>
                <w:szCs w:val="18"/>
              </w:rPr>
            </w:pPr>
            <w:r w:rsidRPr="003C5C8A">
              <w:rPr>
                <w:b w:val="0"/>
                <w:sz w:val="18"/>
                <w:szCs w:val="18"/>
              </w:rPr>
              <w:t>Frass composting N emissions</w:t>
            </w:r>
          </w:p>
        </w:tc>
        <w:tc>
          <w:tcPr>
            <w:tcW w:w="1000" w:type="dxa"/>
          </w:tcPr>
          <w:p w14:paraId="674434AA"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w:t>
            </w:r>
            <w:r w:rsidRPr="003C5C8A">
              <w:rPr>
                <w:sz w:val="18"/>
                <w:szCs w:val="18"/>
                <w:vertAlign w:val="subscript"/>
              </w:rPr>
              <w:t>N</w:t>
            </w:r>
          </w:p>
        </w:tc>
        <w:tc>
          <w:tcPr>
            <w:tcW w:w="708" w:type="dxa"/>
          </w:tcPr>
          <w:p w14:paraId="3EA5586A"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22%</w:t>
            </w:r>
          </w:p>
        </w:tc>
        <w:tc>
          <w:tcPr>
            <w:tcW w:w="859" w:type="dxa"/>
          </w:tcPr>
          <w:p w14:paraId="683DC19B"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
        </w:tc>
        <w:tc>
          <w:tcPr>
            <w:tcW w:w="3662" w:type="dxa"/>
            <w:vMerge w:val="restart"/>
          </w:tcPr>
          <w:p w14:paraId="2439551D" w14:textId="79254842"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3C5C8A">
              <w:rPr>
                <w:i/>
                <w:sz w:val="18"/>
                <w:szCs w:val="18"/>
              </w:rPr>
              <w:t>Plant studied by Guo et al., 2021</w:t>
            </w:r>
            <w:r w:rsidRPr="003C5C8A">
              <w:rPr>
                <w:i/>
                <w:sz w:val="18"/>
                <w:szCs w:val="18"/>
              </w:rPr>
              <w:fldChar w:fldCharType="begin"/>
            </w:r>
            <w:r w:rsidR="00827449">
              <w:rPr>
                <w:i/>
                <w:sz w:val="18"/>
                <w:szCs w:val="18"/>
              </w:rPr>
              <w:instrText xml:space="preserve"> ADDIN ZOTERO_ITEM CSL_CITATION {"citationID":"TArCWJTC","properties":{"formattedCitation":"\\super 77\\nosupersub{}","plainCitation":"77","noteIndex":0},"citationItems":[{"id":3227,"uris":["http://zotero.org/users/6423791/items/Y3LCJLWA"],"itemData":{"id":3227,"type":"article-journal","abstract":"This study provided a systematic analysis on material flow and environmental impacts of a food waste (FW) bioconversion plant using black soldier fly larvae (BSFL), with a daily capacity of 15 tons of FW (wet weight). Food waste feed (FWF) used for BSFL bioconversion consisted of 80% FW (collected from households, restaurants, and canteens) and 20% rice hull powder. Material flow analysis conducted on a dry weight basis showed that 6% of FWF was transformed into BSF pre-pupae, 51% was stored in matured compost, and 43% was emitted to the air. Emissions of high environmental concern such as methane, nitrous oxide and ammonia (NH3) were sampled and quantified by laboratory analysis. The life cycle assessment revealed that the overall impact was 17.36 kg CO2-eq/t FW for global warming potential, 5.54 kg SO2-eq/t FW for acidification, 24.05 mol N-eq/t FW for terrestrial eutrophication, 0.54 kg N-eq NH3/t FW for marine eutrophication, and 0.18 kg PM2.5-eq/t FW of particulate matter up to 2.5 μm diameter. Moreover, emissions from post-composting, energy consumptions of drying and chemical fertilizer substitution ratio were detected by contribution analysis as the main contributors to those impacts. Finally, sensitivity analysis indicated that the substitution ratio of mineral fertilizer and protein feed as well as energy consumption were the most influential parameters, therefore control of the post-composting process of residual material should be closely monitored because it was responsible for significant environmental load caused by N-related emissions.","container-title":"Science of The Total Environment","DOI":"10.1016/j.scitotenv.2020.141656","ISSN":"0048-9697","journalAbbreviation":"Sci. Total Environ.","language":"en","page":"141656","source":"ScienceDirect","title":"Material flow analysis and life cycle assessment of food waste bioconversion by black soldier fly larvae (Hermetia illucens L.)","volume":"750","author":[{"family":"Guo","given":"Hanwen"},{"family":"Jiang","given":"Chengliang"},{"family":"Zhang","given":"Zhijian"},{"family":"Lu","given":"Wenjing"},{"family":"Wang","given":"Hongtao"}],"issued":{"date-parts":[["2021",1,1]]}}}],"schema":"https://github.com/citation-style-language/schema/raw/master/csl-citation.json"} </w:instrText>
            </w:r>
            <w:r w:rsidRPr="003C5C8A">
              <w:rPr>
                <w:i/>
                <w:sz w:val="18"/>
                <w:szCs w:val="18"/>
              </w:rPr>
              <w:fldChar w:fldCharType="separate"/>
            </w:r>
            <w:r w:rsidR="00942782" w:rsidRPr="00942782">
              <w:rPr>
                <w:rFonts w:ascii="Calibri" w:hAnsi="Calibri" w:cs="Calibri"/>
                <w:sz w:val="18"/>
                <w:szCs w:val="24"/>
                <w:vertAlign w:val="superscript"/>
              </w:rPr>
              <w:t>77</w:t>
            </w:r>
            <w:r w:rsidRPr="003C5C8A">
              <w:rPr>
                <w:i/>
                <w:sz w:val="18"/>
                <w:szCs w:val="18"/>
              </w:rPr>
              <w:fldChar w:fldCharType="end"/>
            </w:r>
          </w:p>
        </w:tc>
      </w:tr>
      <w:tr w:rsidR="006458E0" w:rsidRPr="003C5C8A" w14:paraId="5F35EA5A" w14:textId="77777777" w:rsidTr="003C5C8A">
        <w:tc>
          <w:tcPr>
            <w:cnfStyle w:val="001000000000" w:firstRow="0" w:lastRow="0" w:firstColumn="1" w:lastColumn="0" w:oddVBand="0" w:evenVBand="0" w:oddHBand="0" w:evenHBand="0" w:firstRowFirstColumn="0" w:firstRowLastColumn="0" w:lastRowFirstColumn="0" w:lastRowLastColumn="0"/>
            <w:tcW w:w="2813" w:type="dxa"/>
          </w:tcPr>
          <w:p w14:paraId="2D65BD3B" w14:textId="77777777" w:rsidR="006458E0" w:rsidRPr="003C5C8A" w:rsidRDefault="006458E0" w:rsidP="006458E0">
            <w:pPr>
              <w:jc w:val="right"/>
              <w:rPr>
                <w:b w:val="0"/>
                <w:sz w:val="18"/>
                <w:szCs w:val="18"/>
              </w:rPr>
            </w:pPr>
            <w:r w:rsidRPr="003C5C8A">
              <w:rPr>
                <w:b w:val="0"/>
                <w:sz w:val="18"/>
                <w:szCs w:val="18"/>
              </w:rPr>
              <w:t>Frass composting water emissions</w:t>
            </w:r>
          </w:p>
        </w:tc>
        <w:tc>
          <w:tcPr>
            <w:tcW w:w="1000" w:type="dxa"/>
          </w:tcPr>
          <w:p w14:paraId="331942AC"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w:t>
            </w:r>
            <w:r w:rsidRPr="003C5C8A">
              <w:rPr>
                <w:sz w:val="18"/>
                <w:szCs w:val="18"/>
                <w:vertAlign w:val="subscript"/>
              </w:rPr>
              <w:t>water</w:t>
            </w:r>
          </w:p>
        </w:tc>
        <w:tc>
          <w:tcPr>
            <w:tcW w:w="708" w:type="dxa"/>
          </w:tcPr>
          <w:p w14:paraId="6B1F89D6"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69%</w:t>
            </w:r>
          </w:p>
        </w:tc>
        <w:tc>
          <w:tcPr>
            <w:tcW w:w="859" w:type="dxa"/>
          </w:tcPr>
          <w:p w14:paraId="33F7D047"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
        </w:tc>
        <w:tc>
          <w:tcPr>
            <w:tcW w:w="3662" w:type="dxa"/>
            <w:vMerge/>
          </w:tcPr>
          <w:p w14:paraId="44FDFF3F" w14:textId="77777777" w:rsidR="006458E0" w:rsidRPr="003C5C8A"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p>
        </w:tc>
      </w:tr>
      <w:tr w:rsidR="006458E0" w:rsidRPr="00655BBB" w14:paraId="603A9875" w14:textId="77777777" w:rsidTr="003C5C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13" w:type="dxa"/>
          </w:tcPr>
          <w:p w14:paraId="326C7010" w14:textId="77777777" w:rsidR="006458E0" w:rsidRPr="003C5C8A" w:rsidRDefault="006458E0" w:rsidP="006458E0">
            <w:pPr>
              <w:jc w:val="right"/>
              <w:rPr>
                <w:b w:val="0"/>
                <w:sz w:val="18"/>
                <w:szCs w:val="18"/>
              </w:rPr>
            </w:pPr>
            <w:r w:rsidRPr="003C5C8A">
              <w:rPr>
                <w:b w:val="0"/>
                <w:sz w:val="18"/>
                <w:szCs w:val="18"/>
              </w:rPr>
              <w:t>NH</w:t>
            </w:r>
            <w:r w:rsidRPr="003C5C8A">
              <w:rPr>
                <w:b w:val="0"/>
                <w:sz w:val="18"/>
                <w:szCs w:val="18"/>
                <w:vertAlign w:val="subscript"/>
              </w:rPr>
              <w:t>3</w:t>
            </w:r>
            <w:r w:rsidRPr="003C5C8A">
              <w:rPr>
                <w:b w:val="0"/>
                <w:sz w:val="18"/>
                <w:szCs w:val="18"/>
              </w:rPr>
              <w:t xml:space="preserve"> reduction</w:t>
            </w:r>
          </w:p>
        </w:tc>
        <w:tc>
          <w:tcPr>
            <w:tcW w:w="1000" w:type="dxa"/>
          </w:tcPr>
          <w:p w14:paraId="0513E8D6"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w:t>
            </w:r>
            <w:r w:rsidRPr="003C5C8A">
              <w:rPr>
                <w:sz w:val="18"/>
                <w:szCs w:val="18"/>
                <w:vertAlign w:val="subscript"/>
              </w:rPr>
              <w:t>NH3</w:t>
            </w:r>
          </w:p>
        </w:tc>
        <w:tc>
          <w:tcPr>
            <w:tcW w:w="708" w:type="dxa"/>
          </w:tcPr>
          <w:p w14:paraId="67D8171B"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95%</w:t>
            </w:r>
          </w:p>
        </w:tc>
        <w:tc>
          <w:tcPr>
            <w:tcW w:w="859" w:type="dxa"/>
          </w:tcPr>
          <w:p w14:paraId="67FB5DF1"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
        </w:tc>
        <w:tc>
          <w:tcPr>
            <w:tcW w:w="3662" w:type="dxa"/>
          </w:tcPr>
          <w:p w14:paraId="314FDF69" w14:textId="3BB1D813" w:rsidR="006458E0" w:rsidRPr="00655BBB"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lang w:val="fr-FR"/>
              </w:rPr>
            </w:pPr>
            <w:r w:rsidRPr="00655BBB">
              <w:rPr>
                <w:i/>
                <w:sz w:val="18"/>
                <w:szCs w:val="18"/>
                <w:lang w:val="fr-FR"/>
              </w:rPr>
              <w:t>As composting mode</w:t>
            </w:r>
            <w:r w:rsidR="00655BBB">
              <w:rPr>
                <w:i/>
                <w:sz w:val="18"/>
                <w:szCs w:val="18"/>
                <w:lang w:val="fr-FR"/>
              </w:rPr>
              <w:t>l</w:t>
            </w:r>
            <w:r w:rsidR="008C7712" w:rsidRPr="00655BBB">
              <w:rPr>
                <w:i/>
                <w:sz w:val="18"/>
                <w:szCs w:val="18"/>
                <w:lang w:val="fr-FR"/>
              </w:rPr>
              <w:t xml:space="preserve"> in </w:t>
            </w:r>
            <w:r w:rsidR="002D3BB7" w:rsidRPr="00655BBB">
              <w:rPr>
                <w:i/>
                <w:sz w:val="18"/>
                <w:szCs w:val="18"/>
                <w:lang w:val="fr-FR"/>
              </w:rPr>
              <w:t>Javourez et al., 202</w:t>
            </w:r>
            <w:r w:rsidR="003A663A" w:rsidRPr="00655BBB">
              <w:rPr>
                <w:i/>
                <w:sz w:val="18"/>
                <w:szCs w:val="18"/>
                <w:lang w:val="fr-FR"/>
              </w:rPr>
              <w:t>4</w:t>
            </w:r>
            <w:r w:rsidR="002D3BB7" w:rsidRPr="003A663A">
              <w:rPr>
                <w:i/>
                <w:sz w:val="18"/>
                <w:szCs w:val="18"/>
              </w:rPr>
              <w:fldChar w:fldCharType="begin"/>
            </w:r>
            <w:r w:rsidR="00827449">
              <w:rPr>
                <w:i/>
                <w:sz w:val="18"/>
                <w:szCs w:val="18"/>
                <w:lang w:val="fr-FR"/>
              </w:rPr>
              <w:instrText xml:space="preserve"> ADDIN ZOTERO_ITEM CSL_CITATION {"citationID":"NN9QGvZb","properties":{"formattedCitation":"\\super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2D3BB7" w:rsidRPr="003A663A">
              <w:rPr>
                <w:i/>
                <w:sz w:val="18"/>
                <w:szCs w:val="18"/>
              </w:rPr>
              <w:fldChar w:fldCharType="separate"/>
            </w:r>
            <w:r w:rsidR="008C451C" w:rsidRPr="00655BBB">
              <w:rPr>
                <w:rFonts w:ascii="Calibri" w:hAnsi="Calibri" w:cs="Calibri"/>
                <w:sz w:val="18"/>
                <w:szCs w:val="24"/>
                <w:vertAlign w:val="superscript"/>
                <w:lang w:val="fr-FR"/>
              </w:rPr>
              <w:t>1</w:t>
            </w:r>
            <w:r w:rsidR="002D3BB7" w:rsidRPr="003A663A">
              <w:rPr>
                <w:i/>
                <w:sz w:val="18"/>
                <w:szCs w:val="18"/>
              </w:rPr>
              <w:fldChar w:fldCharType="end"/>
            </w:r>
          </w:p>
        </w:tc>
      </w:tr>
      <w:tr w:rsidR="006458E0" w:rsidRPr="003C5C8A" w14:paraId="1B3377C7" w14:textId="77777777" w:rsidTr="003C5C8A">
        <w:tc>
          <w:tcPr>
            <w:cnfStyle w:val="001000000000" w:firstRow="0" w:lastRow="0" w:firstColumn="1" w:lastColumn="0" w:oddVBand="0" w:evenVBand="0" w:oddHBand="0" w:evenHBand="0" w:firstRowFirstColumn="0" w:firstRowLastColumn="0" w:lastRowFirstColumn="0" w:lastRowLastColumn="0"/>
            <w:tcW w:w="2813" w:type="dxa"/>
          </w:tcPr>
          <w:p w14:paraId="42F7AE20" w14:textId="77777777" w:rsidR="006458E0" w:rsidRPr="003C5C8A" w:rsidRDefault="006458E0" w:rsidP="006458E0">
            <w:pPr>
              <w:jc w:val="right"/>
              <w:rPr>
                <w:b w:val="0"/>
                <w:sz w:val="18"/>
                <w:szCs w:val="18"/>
              </w:rPr>
            </w:pPr>
            <w:r w:rsidRPr="003C5C8A">
              <w:rPr>
                <w:b w:val="0"/>
                <w:sz w:val="18"/>
                <w:szCs w:val="18"/>
              </w:rPr>
              <w:t>Composted frass TAN</w:t>
            </w:r>
          </w:p>
        </w:tc>
        <w:tc>
          <w:tcPr>
            <w:tcW w:w="1000" w:type="dxa"/>
          </w:tcPr>
          <w:p w14:paraId="32DFD180"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w:t>
            </w:r>
            <w:r w:rsidRPr="003C5C8A">
              <w:rPr>
                <w:sz w:val="18"/>
                <w:szCs w:val="18"/>
                <w:vertAlign w:val="subscript"/>
              </w:rPr>
              <w:t>N</w:t>
            </w:r>
          </w:p>
        </w:tc>
        <w:tc>
          <w:tcPr>
            <w:tcW w:w="708" w:type="dxa"/>
          </w:tcPr>
          <w:p w14:paraId="4F74E71A"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19%</w:t>
            </w:r>
          </w:p>
        </w:tc>
        <w:tc>
          <w:tcPr>
            <w:tcW w:w="859" w:type="dxa"/>
          </w:tcPr>
          <w:p w14:paraId="52D2B4D9"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11-37%</w:t>
            </w:r>
          </w:p>
        </w:tc>
        <w:tc>
          <w:tcPr>
            <w:tcW w:w="3662" w:type="dxa"/>
          </w:tcPr>
          <w:p w14:paraId="7870D1F4" w14:textId="17C307E6" w:rsidR="006458E0" w:rsidRPr="003C5C8A"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3C5C8A">
              <w:rPr>
                <w:i/>
                <w:sz w:val="18"/>
                <w:szCs w:val="18"/>
              </w:rPr>
              <w:t>Reviewed range as wide as 1%</w:t>
            </w:r>
            <w:r w:rsidRPr="003C5C8A">
              <w:rPr>
                <w:i/>
                <w:sz w:val="18"/>
                <w:szCs w:val="18"/>
              </w:rPr>
              <w:fldChar w:fldCharType="begin"/>
            </w:r>
            <w:r w:rsidR="00827449">
              <w:rPr>
                <w:i/>
                <w:sz w:val="18"/>
                <w:szCs w:val="18"/>
              </w:rPr>
              <w:instrText xml:space="preserve"> ADDIN ZOTERO_ITEM CSL_CITATION {"citationID":"OBxH9hCk","properties":{"formattedCitation":"\\super 77\\nosupersub{}","plainCitation":"77","noteIndex":0},"citationItems":[{"id":3227,"uris":["http://zotero.org/users/6423791/items/Y3LCJLWA"],"itemData":{"id":3227,"type":"article-journal","abstract":"This study provided a systematic analysis on material flow and environmental impacts of a food waste (FW) bioconversion plant using black soldier fly larvae (BSFL), with a daily capacity of 15 tons of FW (wet weight). Food waste feed (FWF) used for BSFL bioconversion consisted of 80% FW (collected from households, restaurants, and canteens) and 20% rice hull powder. Material flow analysis conducted on a dry weight basis showed that 6% of FWF was transformed into BSF pre-pupae, 51% was stored in matured compost, and 43% was emitted to the air. Emissions of high environmental concern such as methane, nitrous oxide and ammonia (NH3) were sampled and quantified by laboratory analysis. The life cycle assessment revealed that the overall impact was 17.36 kg CO2-eq/t FW for global warming potential, 5.54 kg SO2-eq/t FW for acidification, 24.05 mol N-eq/t FW for terrestrial eutrophication, 0.54 kg N-eq NH3/t FW for marine eutrophication, and 0.18 kg PM2.5-eq/t FW of particulate matter up to 2.5 μm diameter. Moreover, emissions from post-composting, energy consumptions of drying and chemical fertilizer substitution ratio were detected by contribution analysis as the main contributors to those impacts. Finally, sensitivity analysis indicated that the substitution ratio of mineral fertilizer and protein feed as well as energy consumption were the most influential parameters, therefore control of the post-composting process of residual material should be closely monitored because it was responsible for significant environmental load caused by N-related emissions.","container-title":"Science of The Total Environment","DOI":"10.1016/j.scitotenv.2020.141656","ISSN":"0048-9697","journalAbbreviation":"Sci. Total Environ.","language":"en","page":"141656","source":"ScienceDirect","title":"Material flow analysis and life cycle assessment of food waste bioconversion by black soldier fly larvae (Hermetia illucens L.)","volume":"750","author":[{"family":"Guo","given":"Hanwen"},{"family":"Jiang","given":"Chengliang"},{"family":"Zhang","given":"Zhijian"},{"family":"Lu","given":"Wenjing"},{"family":"Wang","given":"Hongtao"}],"issued":{"date-parts":[["2021",1,1]]}}}],"schema":"https://github.com/citation-style-language/schema/raw/master/csl-citation.json"} </w:instrText>
            </w:r>
            <w:r w:rsidRPr="003C5C8A">
              <w:rPr>
                <w:i/>
                <w:sz w:val="18"/>
                <w:szCs w:val="18"/>
              </w:rPr>
              <w:fldChar w:fldCharType="separate"/>
            </w:r>
            <w:r w:rsidR="00942782" w:rsidRPr="00942782">
              <w:rPr>
                <w:rFonts w:ascii="Calibri" w:hAnsi="Calibri" w:cs="Calibri"/>
                <w:sz w:val="18"/>
                <w:szCs w:val="24"/>
                <w:vertAlign w:val="superscript"/>
              </w:rPr>
              <w:t>77</w:t>
            </w:r>
            <w:r w:rsidRPr="003C5C8A">
              <w:rPr>
                <w:i/>
                <w:sz w:val="18"/>
                <w:szCs w:val="18"/>
              </w:rPr>
              <w:fldChar w:fldCharType="end"/>
            </w:r>
            <w:r w:rsidRPr="003C5C8A">
              <w:rPr>
                <w:i/>
                <w:sz w:val="18"/>
                <w:szCs w:val="18"/>
              </w:rPr>
              <w:t xml:space="preserve"> to 88%</w:t>
            </w:r>
            <w:r w:rsidRPr="003C5C8A">
              <w:rPr>
                <w:i/>
                <w:sz w:val="18"/>
                <w:szCs w:val="18"/>
              </w:rPr>
              <w:fldChar w:fldCharType="begin"/>
            </w:r>
            <w:r w:rsidR="00E860C9">
              <w:rPr>
                <w:i/>
                <w:sz w:val="18"/>
                <w:szCs w:val="18"/>
              </w:rPr>
              <w:instrText xml:space="preserve"> ADDIN ZOTERO_ITEM CSL_CITATION {"citationID":"5U3FdxGQ","properties":{"formattedCitation":"\\super 112\\nosupersub{}","plainCitation":"112","noteIndex":0},"citationItems":[{"id":13341,"uris":["http://zotero.org/users/6423791/items/S5IE4X67"],"itemData":{"id":13341,"type":"article-journal","abstract":"The residue generated by the black soldier fly (Hermetia illucens, BSF) during the processing of organic waste is considered a suitable crop fertilizer. However, no detailed studies have investigated the fertilizer value of the residue obtained from processing household organic waste. In this study, experimental household organic waste (EHOW) was processed by BSF at 200 mg of EHOW per head for 15 days at 27 °C. To evaluate the fertilizer value of the obtained BSF larvae production residue (BSFR), the chemical composition and microbiota were analyzed, and Komatsuna (Brassica rapa var. perviridis) cultivation tests were conducted. BSFR results demonstrated higher ammonium nitrogen and lower nitrate nitrogen, and the highest above-ground dry matter weight of Komatsuna. Although the relative abundance of Escherichia was low, the relative abundance of Xanthomonadaceae, which contains a genus that causes disease in plants, was high. Therefore, the presence of plant pathogens in the BSFR microbiota should be considered. Finally, the effects of BSFR on the external environment requires more detailed investigation.","container-title":"Sustainability","DOI":"10.3390/su12124920","ISSN":"2071-1050","issue":"12","language":"en","license":"http://creativecommons.org/licenses/by/3.0/","note":"number: 12\npublisher: Multidisciplinary Digital Publishing Institute","page":"4920","source":"www.mdpi.com","title":"Evaluation of Fertilizer Value of Residues Obtained after Processing Household Organic Waste with Black Soldier Fly Larvae (Hermetia illucens)","volume":"12","author":[{"family":"Kawasaki","given":"Kiyonori"},{"family":"Kawasaki","given":"Toshiya"},{"family":"Hirayasu","given":"Hirofumi"},{"family":"Matsumoto","given":"Yoshiki"},{"family":"Fujitani","given":"Yasuhiro"}],"issued":{"date-parts":[["2020",1]]}}}],"schema":"https://github.com/citation-style-language/schema/raw/master/csl-citation.json"} </w:instrText>
            </w:r>
            <w:r w:rsidRPr="003C5C8A">
              <w:rPr>
                <w:i/>
                <w:sz w:val="18"/>
                <w:szCs w:val="18"/>
              </w:rPr>
              <w:fldChar w:fldCharType="separate"/>
            </w:r>
            <w:r w:rsidR="00E860C9" w:rsidRPr="00E860C9">
              <w:rPr>
                <w:rFonts w:ascii="Calibri" w:hAnsi="Calibri" w:cs="Calibri"/>
                <w:sz w:val="18"/>
                <w:szCs w:val="24"/>
                <w:vertAlign w:val="superscript"/>
              </w:rPr>
              <w:t>112</w:t>
            </w:r>
            <w:r w:rsidRPr="003C5C8A">
              <w:rPr>
                <w:i/>
                <w:sz w:val="18"/>
                <w:szCs w:val="18"/>
              </w:rPr>
              <w:fldChar w:fldCharType="end"/>
            </w:r>
            <w:r w:rsidRPr="003C5C8A">
              <w:rPr>
                <w:i/>
                <w:sz w:val="18"/>
                <w:szCs w:val="18"/>
              </w:rPr>
              <w:t>. Selected range without outliers</w:t>
            </w:r>
            <w:r w:rsidRPr="003C5C8A">
              <w:rPr>
                <w:i/>
                <w:sz w:val="18"/>
                <w:szCs w:val="18"/>
              </w:rPr>
              <w:fldChar w:fldCharType="begin"/>
            </w:r>
            <w:r w:rsidR="00E860C9">
              <w:rPr>
                <w:i/>
                <w:sz w:val="18"/>
                <w:szCs w:val="18"/>
              </w:rPr>
              <w:instrText xml:space="preserve"> ADDIN ZOTERO_ITEM CSL_CITATION {"citationID":"MfTbODi4","properties":{"formattedCitation":"\\super 113,114\\nosupersub{}","plainCitation":"113,114","noteIndex":0},"citationItems":[{"id":2166,"uris":["http://zotero.org/users/6423791/items/63JF3AAW"],"itemData":{"id":2166,"type":"article-journal","abstract":"Rearing insects is expected to dramatically increase during the next few years, and this will be associated with generating high quantities of frass (insect excreta). It is necessary to find solutions allowing the efficient valorization of these by-products before a major upscaling of the industry takes place. Therefore, this study aims at investigating the fertilizer potential of frass. A pot experiment was established and soil was amended either with mealworm (Tenebrio molitor L.) frass (10 Mg ha−1), with mineral fertilizer (NPK) at equivalent nutrient level to frass or with a mixture of 50% NPK and 50% frass. Changes of soil properties and growth and nutrient uptake by barley (Hordeum vulgare L.) were then analyzed. Due to its rapid mineralization and the presence of nutrient in a readily-available form, we found that frass is as efficient as mineral NPK fertilizer to improve biomass and N, P and K uptake by barley. Compared to mineral fertilizer, water soluble P concentration is five times lower in the presence of frass, which prevents P from loss and sorption onto soil constituents. More importantly, BIOLOG EcoPlate reveals that addition of frass stimulates soil microbial activity, especially when it is mixed with mineral fertilizer, suggesting a synergistic effect between both amendments. Taken together, our results indicate that frass has a great potential to be used as a partial or a complete substitute for mineral NPK fertilizer. This is especially relevant in the context of a reduced availability of mineral fertilizers while being consistent with circular economy’s principles.","container-title":"Scientific Reports","DOI":"10.1038/s41598-020-61765-x","ISSN":"2045-2322","issue":"1","journalAbbreviation":"Sci Rep","language":"en","license":"2020 The Author(s)","note":"number: 1\npublisher: Nature Publishing Group","page":"4659","source":"www-nature-com.gorgone.univ-toulouse.fr","title":"Potential use of mealworm frass as a fertilizer: Impact on crop growth and soil properties","title-short":"Potential use of mealworm frass as a fertilizer","volume":"10","author":[{"family":"Houben","given":"David"},{"family":"Daoulas","given":"Guillaume"},{"family":"Faucon","given":"Michel-Pierre"},{"family":"Dulaurent","given":"Anne-Maïmiti"}],"issued":{"date-parts":[["2020",3,13]]}}},{"id":13442,"uris":["http://zotero.org/users/6423791/items/7EQDW3PW"],"itemData":{"id":13442,"type":"article-journal","abstract":"The recycling of organic waste worldwide is not effective, which leads to water pollution and loss of potential crop fertilizers. Available resources have to be used more efficiently as the world population increases. An innovative solution is to use insects for the management of organic waste. Here, we used black soldier fly to convert organic waste into animal feed protein, as fly larvae, and plant fertilizer, as compost residue. A continuous fly reactor was monitored for 9 weeks. We analyzed physicochemical and microbial parameters, and we evaluated the sanitary risk. Results show 55.1 % of material degradation and 11.8 % of biomass conversion based upon total solids. We observed higher levels of N and P in the treatment residue than in the inflow material. Results also show a lower concentration of Salmonella spp. and viruses. Compost treatment with black soldier fly is therefore an efficient system for nutrient recycling.","container-title":"Agronomy for Sustainable Development","DOI":"10.1007/s13593-014-0235-4","ISSN":"1773-0155","issue":"1","journalAbbreviation":"Agron. Sustain. Dev.","language":"en","page":"261-271","source":"Springer Link","title":"High waste-to-biomass conversion and efficient Salmonella spp. reduction using black soldier fly for waste recycling","volume":"35","author":[{"family":"Lalander","given":"Cecilia H."},{"family":"Fidjeland","given":"Jørgen"},{"family":"Diener","given":"Stefan"},{"family":"Eriksson","given":"Sara"},{"family":"Vinnerås","given":"Björn"}],"issued":{"date-parts":[["2015",1,1]]}}}],"schema":"https://github.com/citation-style-language/schema/raw/master/csl-citation.json"} </w:instrText>
            </w:r>
            <w:r w:rsidRPr="003C5C8A">
              <w:rPr>
                <w:i/>
                <w:sz w:val="18"/>
                <w:szCs w:val="18"/>
              </w:rPr>
              <w:fldChar w:fldCharType="separate"/>
            </w:r>
            <w:r w:rsidR="00E860C9" w:rsidRPr="00E860C9">
              <w:rPr>
                <w:rFonts w:ascii="Calibri" w:hAnsi="Calibri" w:cs="Calibri"/>
                <w:sz w:val="18"/>
                <w:szCs w:val="24"/>
                <w:vertAlign w:val="superscript"/>
              </w:rPr>
              <w:t>113,114</w:t>
            </w:r>
            <w:r w:rsidRPr="003C5C8A">
              <w:rPr>
                <w:i/>
                <w:sz w:val="18"/>
                <w:szCs w:val="18"/>
              </w:rPr>
              <w:fldChar w:fldCharType="end"/>
            </w:r>
            <w:r w:rsidRPr="003C5C8A">
              <w:rPr>
                <w:i/>
                <w:sz w:val="18"/>
                <w:szCs w:val="18"/>
              </w:rPr>
              <w:t xml:space="preserve"> (here, stream-independent)</w:t>
            </w:r>
          </w:p>
        </w:tc>
      </w:tr>
      <w:tr w:rsidR="006458E0" w:rsidRPr="003C5C8A" w14:paraId="38D3F588" w14:textId="77777777" w:rsidTr="003C5C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13" w:type="dxa"/>
          </w:tcPr>
          <w:p w14:paraId="2086C3C5" w14:textId="77777777" w:rsidR="006458E0" w:rsidRPr="003C5C8A" w:rsidRDefault="006458E0" w:rsidP="006458E0">
            <w:pPr>
              <w:jc w:val="right"/>
              <w:rPr>
                <w:b w:val="0"/>
                <w:sz w:val="18"/>
                <w:szCs w:val="18"/>
              </w:rPr>
            </w:pPr>
            <w:r w:rsidRPr="003C5C8A">
              <w:rPr>
                <w:b w:val="0"/>
                <w:sz w:val="18"/>
                <w:szCs w:val="18"/>
              </w:rPr>
              <w:t>Frass composting diesel</w:t>
            </w:r>
          </w:p>
        </w:tc>
        <w:tc>
          <w:tcPr>
            <w:tcW w:w="1000" w:type="dxa"/>
          </w:tcPr>
          <w:p w14:paraId="6D111210"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L.t</w:t>
            </w:r>
            <w:r w:rsidRPr="003C5C8A">
              <w:rPr>
                <w:sz w:val="18"/>
                <w:szCs w:val="18"/>
                <w:vertAlign w:val="subscript"/>
              </w:rPr>
              <w:t>ww</w:t>
            </w:r>
            <w:r w:rsidRPr="003C5C8A">
              <w:rPr>
                <w:sz w:val="18"/>
                <w:szCs w:val="18"/>
                <w:vertAlign w:val="superscript"/>
              </w:rPr>
              <w:t>-1</w:t>
            </w:r>
          </w:p>
        </w:tc>
        <w:tc>
          <w:tcPr>
            <w:tcW w:w="708" w:type="dxa"/>
          </w:tcPr>
          <w:p w14:paraId="42EEE42D"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0.65</w:t>
            </w:r>
          </w:p>
        </w:tc>
        <w:tc>
          <w:tcPr>
            <w:tcW w:w="859" w:type="dxa"/>
          </w:tcPr>
          <w:p w14:paraId="61B46FA2"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0.3-2.8</w:t>
            </w:r>
          </w:p>
        </w:tc>
        <w:tc>
          <w:tcPr>
            <w:tcW w:w="3662" w:type="dxa"/>
          </w:tcPr>
          <w:p w14:paraId="622B7929" w14:textId="6E9E8954"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3C5C8A">
              <w:rPr>
                <w:i/>
                <w:sz w:val="18"/>
                <w:szCs w:val="18"/>
              </w:rPr>
              <w:t>Range representing industrial installations</w:t>
            </w:r>
            <w:r w:rsidRPr="003C5C8A">
              <w:rPr>
                <w:i/>
                <w:sz w:val="18"/>
                <w:szCs w:val="18"/>
              </w:rPr>
              <w:fldChar w:fldCharType="begin"/>
            </w:r>
            <w:r w:rsidR="00E860C9">
              <w:rPr>
                <w:i/>
                <w:sz w:val="18"/>
                <w:szCs w:val="18"/>
              </w:rPr>
              <w:instrText xml:space="preserve"> ADDIN ZOTERO_ITEM CSL_CITATION {"citationID":"clusw8Fv","properties":{"formattedCitation":"\\super 65,111\\nosupersub{}","plainCitation":"65,111","noteIndex":0},"citationItems":[{"id":12392,"uris":["http://zotero.org/users/6423791/items/PS7WU774"],"itemData":{"id":12392,"type":"article-journal","abstract":"In an endeavor to make Europe carbon-neutral, and to foster a circular economy, improving food waste management has been identified by the European Union (EU) as a key factor. In this study, we consider 21 pathways, covering: (i) prevention; (ii) reuse for both human consumption and animal feed; (iii) material recycling as an input into the food and chemical industries; (iv) nutrient recycling; and (v) energy/fuel recovery. To include all types of impact, a sustainability assessment, encompassing environmental, economic, and social pillars, is performed and complemented with societal life cycle costing. The results indicate that after prevention, reuse for human consumption and animal feed is the most preferred option, and, in most cases, nutrient recycling and energy recovery are favored over material recycling for chemical production. While highlighting that the food waste management hierarchy should be supported with quantitative sustainability analyses, the findings also illustrate that biochemical pathways should be improved to be competitive despite the fact that food waste valorization has the potential to satisfy the EU demand for the chemicals investigated. Yet, the results clearly show that the potential benefits of improving emerging technologies would still not eclipse the benefits related to food waste prevention and its redistribution.","container-title":"Environmental Science &amp; Technology","journalAbbreviation":"Environ. Sci. Technol.","note":"publisher: American Chemical Society","source":"ACS Publications","title":"A Quantitative Sustainability Assessment of Food Waste Management in the European Union","URL":"https://doi.org/10.1021/acs.est.1c03940","author":[{"family":"Albizzati","given":"Paola Federica"},{"family":"Tonini","given":"Davide"},{"family":"Astrup","given":"Thomas F."}],"accessed":{"date-parts":[["2021",11,18]]},"issued":{"date-parts":[["2021",11,16]]}}},{"id":13706,"uris":["http://zotero.org/users/6423791/items/TDQ9XXIL"],"itemData":{"id":13706,"type":"report","language":"fr","page":"126","source":"Zotero","title":"Impacts Environnementaux De Filieres De Traitements Biologiques Des Dechets De Cuisine Et De Table: Compostages Et Methanisations","author":[{"literal":"ADEME"},{"literal":"EVEA Evaluation et Accompagnement"},{"literal":"S3D Ingénierie"},{"family":"Cornelus","given":"Mélissa"},{"family":"Rousseau El Habti","given":"Audrey"}],"issued":{"date-parts":[["2019"]]}}}],"schema":"https://github.com/citation-style-language/schema/raw/master/csl-citation.json"} </w:instrText>
            </w:r>
            <w:r w:rsidRPr="003C5C8A">
              <w:rPr>
                <w:i/>
                <w:sz w:val="18"/>
                <w:szCs w:val="18"/>
              </w:rPr>
              <w:fldChar w:fldCharType="separate"/>
            </w:r>
            <w:r w:rsidR="00E860C9" w:rsidRPr="00E860C9">
              <w:rPr>
                <w:rFonts w:ascii="Calibri" w:hAnsi="Calibri" w:cs="Calibri"/>
                <w:sz w:val="18"/>
                <w:szCs w:val="24"/>
                <w:vertAlign w:val="superscript"/>
              </w:rPr>
              <w:t>65,111</w:t>
            </w:r>
            <w:r w:rsidRPr="003C5C8A">
              <w:rPr>
                <w:i/>
                <w:sz w:val="18"/>
                <w:szCs w:val="18"/>
              </w:rPr>
              <w:fldChar w:fldCharType="end"/>
            </w:r>
          </w:p>
        </w:tc>
      </w:tr>
    </w:tbl>
    <w:p w14:paraId="606AED93" w14:textId="77777777" w:rsidR="00852D80" w:rsidRDefault="00852D80" w:rsidP="00852D80">
      <w:pPr>
        <w:pStyle w:val="Contenudetableau"/>
        <w:rPr>
          <w:lang w:eastAsia="ko-KR"/>
        </w:rPr>
      </w:pPr>
    </w:p>
    <w:p w14:paraId="0BD76324" w14:textId="46D7D09D" w:rsidR="006458E0" w:rsidRPr="006458E0" w:rsidRDefault="006458E0" w:rsidP="00877BEE">
      <w:pPr>
        <w:pStyle w:val="Titre5"/>
        <w:rPr>
          <w:rFonts w:eastAsia="BatangChe"/>
          <w:lang w:eastAsia="ko-KR"/>
        </w:rPr>
      </w:pPr>
      <w:r w:rsidRPr="006458E0">
        <w:rPr>
          <w:rFonts w:eastAsia="BatangChe"/>
          <w:lang w:eastAsia="ko-KR"/>
        </w:rPr>
        <w:t>Land spreading</w:t>
      </w:r>
    </w:p>
    <w:p w14:paraId="4FF0EFCE" w14:textId="23827857" w:rsidR="006458E0" w:rsidRDefault="006458E0" w:rsidP="006458E0">
      <w:pPr>
        <w:widowControl w:val="0"/>
        <w:wordWrap w:val="0"/>
        <w:spacing w:after="0" w:line="240" w:lineRule="auto"/>
        <w:jc w:val="both"/>
        <w:rPr>
          <w:rFonts w:eastAsia="BatangChe" w:cstheme="minorHAnsi"/>
          <w:kern w:val="2"/>
          <w:lang w:eastAsia="ko-KR"/>
        </w:rPr>
      </w:pPr>
      <w:r w:rsidRPr="003F5DA8">
        <w:rPr>
          <w:rFonts w:eastAsia="BatangChe" w:cstheme="minorHAnsi"/>
          <w:kern w:val="2"/>
          <w:lang w:eastAsia="ko-KR"/>
        </w:rPr>
        <w:t>Matured frass was further considered as compost, hence the inventory linked to its land spreading was modeled as in the composting pathway</w:t>
      </w:r>
      <w:r w:rsidR="008C7712">
        <w:rPr>
          <w:rFonts w:eastAsia="BatangChe" w:cstheme="minorHAnsi"/>
          <w:kern w:val="2"/>
          <w:lang w:eastAsia="ko-KR"/>
        </w:rPr>
        <w:t xml:space="preserve"> (</w:t>
      </w:r>
      <w:r w:rsidR="002D3BB7">
        <w:t>Javourez et al</w:t>
      </w:r>
      <w:r w:rsidR="002D3BB7" w:rsidRPr="003A663A">
        <w:t>., 202</w:t>
      </w:r>
      <w:r w:rsidR="003A663A" w:rsidRPr="003A663A">
        <w:t>4</w:t>
      </w:r>
      <w:r w:rsidR="002D3BB7" w:rsidRPr="003A663A">
        <w:fldChar w:fldCharType="begin"/>
      </w:r>
      <w:r w:rsidR="00827449">
        <w:instrText xml:space="preserve"> ADDIN ZOTERO_ITEM CSL_CITATION {"citationID":"rebCjI8F","properties":{"formattedCitation":"\\super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2D3BB7" w:rsidRPr="003A663A">
        <w:fldChar w:fldCharType="separate"/>
      </w:r>
      <w:r w:rsidR="008C451C" w:rsidRPr="003A663A">
        <w:rPr>
          <w:rFonts w:ascii="Calibri" w:hAnsi="Calibri" w:cs="Calibri"/>
          <w:szCs w:val="24"/>
          <w:vertAlign w:val="superscript"/>
        </w:rPr>
        <w:t>1</w:t>
      </w:r>
      <w:r w:rsidR="002D3BB7" w:rsidRPr="003A663A">
        <w:fldChar w:fldCharType="end"/>
      </w:r>
      <w:r w:rsidR="008C7712">
        <w:rPr>
          <w:rFonts w:eastAsia="BatangChe" w:cstheme="minorHAnsi"/>
          <w:kern w:val="2"/>
          <w:lang w:eastAsia="ko-KR"/>
        </w:rPr>
        <w:t>)</w:t>
      </w:r>
      <w:r w:rsidRPr="003F5DA8">
        <w:rPr>
          <w:rFonts w:eastAsia="BatangChe" w:cstheme="minorHAnsi"/>
          <w:kern w:val="2"/>
          <w:lang w:eastAsia="ko-KR"/>
        </w:rPr>
        <w:t>. Albeit selected with the same characteristics than for regular compost, frass MFE-P and -K were assumed as an independent technology parameter. Frass-specific N mineralization rate was assumed also independently defined</w:t>
      </w:r>
      <w:proofErr w:type="gramStart"/>
      <w:r w:rsidR="003C5C8A">
        <w:rPr>
          <w:rFonts w:eastAsia="BatangChe" w:cstheme="minorHAnsi"/>
          <w:kern w:val="2"/>
          <w:lang w:eastAsia="ko-KR"/>
        </w:rPr>
        <w:t xml:space="preserve">   (</w:t>
      </w:r>
      <w:proofErr w:type="gramEnd"/>
      <w:r w:rsidR="003C5C8A" w:rsidRPr="003C5C8A">
        <w:rPr>
          <w:rFonts w:eastAsia="BatangChe" w:cstheme="minorHAnsi"/>
          <w:b/>
          <w:kern w:val="2"/>
          <w:lang w:eastAsia="ko-KR"/>
        </w:rPr>
        <w:fldChar w:fldCharType="begin"/>
      </w:r>
      <w:r w:rsidR="003C5C8A" w:rsidRPr="003C5C8A">
        <w:rPr>
          <w:rFonts w:eastAsia="BatangChe" w:cstheme="minorHAnsi"/>
          <w:b/>
          <w:kern w:val="2"/>
          <w:lang w:eastAsia="ko-KR"/>
        </w:rPr>
        <w:instrText xml:space="preserve"> REF _Ref144805251 \h </w:instrText>
      </w:r>
      <w:r w:rsidR="003C5C8A">
        <w:rPr>
          <w:rFonts w:eastAsia="BatangChe" w:cstheme="minorHAnsi"/>
          <w:b/>
          <w:kern w:val="2"/>
          <w:lang w:eastAsia="ko-KR"/>
        </w:rPr>
        <w:instrText xml:space="preserve"> \* MERGEFORMAT </w:instrText>
      </w:r>
      <w:r w:rsidR="003C5C8A" w:rsidRPr="003C5C8A">
        <w:rPr>
          <w:rFonts w:eastAsia="BatangChe" w:cstheme="minorHAnsi"/>
          <w:b/>
          <w:kern w:val="2"/>
          <w:lang w:eastAsia="ko-KR"/>
        </w:rPr>
      </w:r>
      <w:r w:rsidR="003C5C8A" w:rsidRPr="003C5C8A">
        <w:rPr>
          <w:rFonts w:eastAsia="BatangChe" w:cstheme="minorHAnsi"/>
          <w:b/>
          <w:kern w:val="2"/>
          <w:lang w:eastAsia="ko-KR"/>
        </w:rPr>
        <w:fldChar w:fldCharType="separate"/>
      </w:r>
      <w:r w:rsidR="003C5C8A" w:rsidRPr="003C5C8A">
        <w:rPr>
          <w:b/>
        </w:rPr>
        <w:t xml:space="preserve">Table SI. </w:t>
      </w:r>
      <w:r w:rsidR="003C5C8A" w:rsidRPr="003C5C8A">
        <w:rPr>
          <w:b/>
          <w:noProof/>
        </w:rPr>
        <w:t>37</w:t>
      </w:r>
      <w:r w:rsidR="003C5C8A" w:rsidRPr="003C5C8A">
        <w:rPr>
          <w:rFonts w:eastAsia="BatangChe" w:cstheme="minorHAnsi"/>
          <w:b/>
          <w:kern w:val="2"/>
          <w:lang w:eastAsia="ko-KR"/>
        </w:rPr>
        <w:fldChar w:fldCharType="end"/>
      </w:r>
      <w:r w:rsidRPr="003F5DA8">
        <w:rPr>
          <w:rFonts w:eastAsia="BatangChe" w:cstheme="minorHAnsi"/>
          <w:kern w:val="2"/>
          <w:lang w:eastAsia="ko-KR"/>
        </w:rPr>
        <w:t>).</w:t>
      </w:r>
    </w:p>
    <w:p w14:paraId="3027C789" w14:textId="77777777" w:rsidR="008C7712" w:rsidRPr="003F5DA8" w:rsidRDefault="008C7712" w:rsidP="006458E0">
      <w:pPr>
        <w:widowControl w:val="0"/>
        <w:wordWrap w:val="0"/>
        <w:spacing w:after="0" w:line="240" w:lineRule="auto"/>
        <w:jc w:val="both"/>
        <w:rPr>
          <w:rFonts w:eastAsia="BatangChe" w:cstheme="minorHAnsi"/>
          <w:kern w:val="2"/>
          <w:lang w:eastAsia="ko-KR"/>
        </w:rPr>
      </w:pPr>
    </w:p>
    <w:p w14:paraId="6F0265FB" w14:textId="77777777" w:rsidR="006458E0" w:rsidRPr="006458E0" w:rsidRDefault="006458E0" w:rsidP="008C7712">
      <w:pPr>
        <w:pStyle w:val="Titre4"/>
      </w:pPr>
      <w:r w:rsidRPr="006458E0">
        <w:t>Equipment and infrastructure</w:t>
      </w:r>
    </w:p>
    <w:p w14:paraId="4A0F38CE" w14:textId="277B9A28" w:rsidR="006458E0" w:rsidRPr="003F5DA8" w:rsidRDefault="006458E0" w:rsidP="008C7712">
      <w:pPr>
        <w:ind w:firstLine="360"/>
        <w:jc w:val="both"/>
        <w:rPr>
          <w:rFonts w:cs="Times New Roman"/>
        </w:rPr>
      </w:pPr>
      <w:r w:rsidRPr="003F5DA8">
        <w:rPr>
          <w:rFonts w:cs="Times New Roman"/>
        </w:rPr>
        <w:t>Both infrastructure and equipment aim to be representative of a medium- small-scale facility semi-automatized (e.g. presence of some conveyor belts). The infrastructure required was modeled as building halls using the area proxy proposed by Dortmans et al., 2017</w:t>
      </w:r>
      <w:r w:rsidRPr="003F5DA8">
        <w:rPr>
          <w:rFonts w:cs="Times New Roman"/>
        </w:rPr>
        <w:fldChar w:fldCharType="begin"/>
      </w:r>
      <w:r w:rsidR="00942782">
        <w:rPr>
          <w:rFonts w:cs="Times New Roman"/>
        </w:rPr>
        <w:instrText xml:space="preserve"> ADDIN ZOTERO_ITEM CSL_CITATION {"citationID":"mq31pQjI","properties":{"formattedCitation":"\\super 76\\nosupersub{}","plainCitation":"76","noteIndex":0},"citationItems":[{"id":3213,"uris":["http://zotero.org/users/6423791/items/WS8LUFQN"],"itemData":{"id":3213,"type":"report","event-place":"Dübendorf, Switzerland","language":"en","publisher":"Eawag: Swiss Federal Institute of Aquatic Science and Technology","publisher-place":"Dübendorf, Switzerland","source":"Zotero","title":"Black Soldier Fly Biowaste Processing - A Step-by-Step Guide","author":[{"family":"Dortmans","given":"B.M.A."},{"family":"Diener","given":"Stefan"},{"family":"Verstappen","given":"B.M."},{"family":"Zurbrügg","given":"Christian"}],"issued":{"date-parts":[["2017"]]}}}],"schema":"https://github.com/citation-style-language/schema/raw/master/csl-citation.json"} </w:instrText>
      </w:r>
      <w:r w:rsidRPr="003F5DA8">
        <w:rPr>
          <w:rFonts w:cs="Times New Roman"/>
        </w:rPr>
        <w:fldChar w:fldCharType="separate"/>
      </w:r>
      <w:r w:rsidR="00942782" w:rsidRPr="00942782">
        <w:rPr>
          <w:rFonts w:ascii="Calibri" w:hAnsi="Calibri" w:cs="Calibri"/>
          <w:szCs w:val="24"/>
          <w:vertAlign w:val="superscript"/>
        </w:rPr>
        <w:t>76</w:t>
      </w:r>
      <w:r w:rsidRPr="003F5DA8">
        <w:rPr>
          <w:rFonts w:cs="Times New Roman"/>
        </w:rPr>
        <w:fldChar w:fldCharType="end"/>
      </w:r>
      <w:r w:rsidRPr="003F5DA8">
        <w:rPr>
          <w:rFonts w:cs="Times New Roman"/>
        </w:rPr>
        <w:t xml:space="preserve"> for each unit operations, as no other sources were found</w:t>
      </w:r>
      <w:r>
        <w:rPr>
          <w:rFonts w:cs="Times New Roman"/>
        </w:rPr>
        <w:t xml:space="preserve"> (</w:t>
      </w:r>
      <w:r w:rsidR="008C7712" w:rsidRPr="008C7712">
        <w:rPr>
          <w:rFonts w:cs="Times New Roman"/>
          <w:b/>
        </w:rPr>
        <w:fldChar w:fldCharType="begin"/>
      </w:r>
      <w:r w:rsidR="008C7712" w:rsidRPr="008C7712">
        <w:rPr>
          <w:rFonts w:cs="Times New Roman"/>
          <w:b/>
        </w:rPr>
        <w:instrText xml:space="preserve"> REF _Ref144805681 \h </w:instrText>
      </w:r>
      <w:r w:rsidR="008C7712">
        <w:rPr>
          <w:rFonts w:cs="Times New Roman"/>
          <w:b/>
        </w:rPr>
        <w:instrText xml:space="preserve"> \* MERGEFORMAT </w:instrText>
      </w:r>
      <w:r w:rsidR="008C7712" w:rsidRPr="008C7712">
        <w:rPr>
          <w:rFonts w:cs="Times New Roman"/>
          <w:b/>
        </w:rPr>
      </w:r>
      <w:r w:rsidR="008C7712" w:rsidRPr="008C7712">
        <w:rPr>
          <w:rFonts w:cs="Times New Roman"/>
          <w:b/>
        </w:rPr>
        <w:fldChar w:fldCharType="separate"/>
      </w:r>
      <w:r w:rsidR="00F25F8C" w:rsidRPr="00F25F8C">
        <w:rPr>
          <w:b/>
        </w:rPr>
        <w:t xml:space="preserve">Table SI. </w:t>
      </w:r>
      <w:r w:rsidR="00F25F8C" w:rsidRPr="00F25F8C">
        <w:rPr>
          <w:b/>
          <w:noProof/>
        </w:rPr>
        <w:t>36</w:t>
      </w:r>
      <w:r w:rsidR="008C7712" w:rsidRPr="008C7712">
        <w:rPr>
          <w:rFonts w:cs="Times New Roman"/>
          <w:b/>
        </w:rPr>
        <w:fldChar w:fldCharType="end"/>
      </w:r>
      <w:r>
        <w:rPr>
          <w:rFonts w:cs="Times New Roman"/>
        </w:rPr>
        <w:t>)</w:t>
      </w:r>
      <w:r w:rsidRPr="003F5DA8">
        <w:rPr>
          <w:rFonts w:cs="Times New Roman"/>
        </w:rPr>
        <w:t>. The equipment list was derived from the detailed inventory provided by Roffeis et al., 2020</w:t>
      </w:r>
      <w:r w:rsidRPr="003F5DA8">
        <w:rPr>
          <w:rFonts w:cs="Times New Roman"/>
        </w:rPr>
        <w:fldChar w:fldCharType="begin"/>
      </w:r>
      <w:r w:rsidR="00E860C9">
        <w:rPr>
          <w:rFonts w:cs="Times New Roman"/>
        </w:rPr>
        <w:instrText xml:space="preserve"> ADDIN ZOTERO_ITEM CSL_CITATION {"citationID":"EE2NuQPb","properties":{"formattedCitation":"\\super 96\\nosupersub{}","plainCitation":"96","noteIndex":0},"citationItems":[{"id":3192,"uris":["http://zotero.org/users/6423791/items/LE6TVFRZ"],"itemData":{"id":3192,"type":"article-journal","abstract":"While the idea of using insect based feeds (IBFs) offers great potential, especially in developing countries, the environmental impact of implementation remains poorly researched. This study investigates the environmental performance of IBF production in the geographical context of West Africa. Drawing on published life cycle inventory (LCIs) data, the impact of three different IBF production systems were ex-ante evaluated (ReCiPe method) and compared to conventional feed resources. The explorative life cycle study provides a basis for trade-off analysis between different insect rearing systems (Musca domestica and Hermetia illucens) and provides insights on the environmental performance of IBF in comparison with conventional animal- and plant based protein feeds (fishmeal, cottonseed and soybean meal). The impacts of IBFs were shown to be largely determined by rearing techniques and the environmental loads of rearing substrates, attesting advantages to the rearing of housefly (M. domestica) larvae on chicken manure and the use of natural oviposition, i.e., substrate inoculation through naturally occurring flies. A comparison with conventional feeds pointed out the environmental disadvantages of current IBF production designs (especially in comparison to plant based feeds) that were largely attributable to their different position in the trophic network (decomposers) and the systems’ sub-standard capacity utilisation (insufficient economy of scale effect). When larvae are reared on substrates of low economic value (i.e., waste streams), IBF impacts were comparable to fishmeal. The results of the comparative assessment also highlighted a methodological limitation in the ReCiPe method, which does not account for impacts related to the use of biotic resources. As a consequence, the utilization of naturally grown resources, such as wild anchoveta, was treated as an ecosystem service of no environmental charge, providing disproportionate advantages to the fishmeal system.","container-title":"Agricultural Systems","DOI":"10.1016/j.agsy.2019.102710","ISSN":"0308-521X","journalAbbreviation":"Agricultural Systems","language":"en","page":"102710","source":"ScienceDirect","title":"Ex-ante life cycle impact assessment of insect based feed production in West Africa","volume":"178","author":[{"family":"Roffeis","given":"Martin"},{"family":"Fitches","given":"Elaine C."},{"family":"Wakefield","given":"Maureen E."},{"family":"Almeida","given":"Joana"},{"family":"Alves Valada","given":"Tatiana R."},{"family":"Devic","given":"Emilie"},{"family":"Koné","given":"N’Golopé"},{"family":"Kenis","given":"Marc"},{"family":"Nacambo","given":"Saidou"},{"family":"Koko","given":"Gabriel K. D."},{"family":"Mathijs","given":"Erik"},{"family":"Achten","given":"Wouter M. J."},{"family":"Muys","given":"Bart"}],"issued":{"date-parts":[["2020",2,1]]}}}],"schema":"https://github.com/citation-style-language/schema/raw/master/csl-citation.json"} </w:instrText>
      </w:r>
      <w:r w:rsidRPr="003F5DA8">
        <w:rPr>
          <w:rFonts w:cs="Times New Roman"/>
        </w:rPr>
        <w:fldChar w:fldCharType="separate"/>
      </w:r>
      <w:r w:rsidR="00E860C9" w:rsidRPr="00E860C9">
        <w:rPr>
          <w:rFonts w:ascii="Calibri" w:hAnsi="Calibri" w:cs="Calibri"/>
          <w:szCs w:val="24"/>
          <w:vertAlign w:val="superscript"/>
        </w:rPr>
        <w:t>96</w:t>
      </w:r>
      <w:r w:rsidRPr="003F5DA8">
        <w:rPr>
          <w:rFonts w:cs="Times New Roman"/>
        </w:rPr>
        <w:fldChar w:fldCharType="end"/>
      </w:r>
      <w:r w:rsidRPr="003F5DA8">
        <w:rPr>
          <w:rFonts w:cs="Times New Roman"/>
        </w:rPr>
        <w:t>. Only the processes with non-neglectable impacts were accounted (e.g. discarding plastic glasses). Disposable equipment was assumed incinerated, but infrastructure’s and other equipment’s end of life management were neglected.</w:t>
      </w:r>
    </w:p>
    <w:p w14:paraId="450322F5" w14:textId="6A37A001" w:rsidR="006458E0" w:rsidRPr="00874128" w:rsidRDefault="00874128" w:rsidP="006B5342">
      <w:pPr>
        <w:pStyle w:val="Lgende"/>
        <w:jc w:val="left"/>
        <w:rPr>
          <w:rFonts w:cs="Times New Roman"/>
          <w:b w:val="0"/>
          <w:i/>
          <w:lang w:val="fr-FR"/>
        </w:rPr>
      </w:pPr>
      <w:bookmarkStart w:id="167" w:name="_Ref144805681"/>
      <w:bookmarkStart w:id="168" w:name="_Toc134537676"/>
      <w:bookmarkStart w:id="169" w:name="_Toc151967920"/>
      <w:r w:rsidRPr="00874128">
        <w:rPr>
          <w:lang w:val="fr-FR"/>
        </w:rPr>
        <w:t>Table SI.</w:t>
      </w:r>
      <w:r w:rsidR="006458E0" w:rsidRPr="00874128">
        <w:rPr>
          <w:lang w:val="fr-FR"/>
        </w:rPr>
        <w:t xml:space="preserve"> </w:t>
      </w:r>
      <w:r>
        <w:fldChar w:fldCharType="begin"/>
      </w:r>
      <w:r w:rsidRPr="00874128">
        <w:rPr>
          <w:lang w:val="fr-FR"/>
        </w:rPr>
        <w:instrText xml:space="preserve"> SEQ Table_SI. \* ARABIC </w:instrText>
      </w:r>
      <w:r>
        <w:fldChar w:fldCharType="separate"/>
      </w:r>
      <w:r w:rsidR="00F25F8C">
        <w:rPr>
          <w:noProof/>
          <w:lang w:val="fr-FR"/>
        </w:rPr>
        <w:t>36</w:t>
      </w:r>
      <w:r>
        <w:fldChar w:fldCharType="end"/>
      </w:r>
      <w:bookmarkEnd w:id="167"/>
      <w:r w:rsidR="006458E0" w:rsidRPr="00874128">
        <w:rPr>
          <w:lang w:val="fr-FR"/>
        </w:rPr>
        <w:t xml:space="preserve"> </w:t>
      </w:r>
      <w:r w:rsidR="006458E0" w:rsidRPr="00874128">
        <w:rPr>
          <w:rFonts w:cs="Times New Roman"/>
          <w:lang w:val="fr-FR"/>
        </w:rPr>
        <w:t>– BSF infrastructure proxy used</w:t>
      </w:r>
      <w:bookmarkEnd w:id="168"/>
      <w:bookmarkEnd w:id="169"/>
    </w:p>
    <w:tbl>
      <w:tblPr>
        <w:tblStyle w:val="Tableausimple2"/>
        <w:tblW w:w="0" w:type="auto"/>
        <w:tblLayout w:type="fixed"/>
        <w:tblLook w:val="04A0" w:firstRow="1" w:lastRow="0" w:firstColumn="1" w:lastColumn="0" w:noHBand="0" w:noVBand="1"/>
      </w:tblPr>
      <w:tblGrid>
        <w:gridCol w:w="2820"/>
        <w:gridCol w:w="708"/>
        <w:gridCol w:w="3662"/>
      </w:tblGrid>
      <w:tr w:rsidR="006458E0" w:rsidRPr="003C5C8A" w14:paraId="28F7CCF9"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20" w:type="dxa"/>
          </w:tcPr>
          <w:p w14:paraId="2460EEF7" w14:textId="77777777" w:rsidR="006458E0" w:rsidRPr="003C5C8A" w:rsidRDefault="006458E0" w:rsidP="006458E0">
            <w:pPr>
              <w:jc w:val="right"/>
              <w:rPr>
                <w:sz w:val="18"/>
              </w:rPr>
            </w:pPr>
            <w:r w:rsidRPr="003C5C8A">
              <w:rPr>
                <w:sz w:val="18"/>
              </w:rPr>
              <w:t>Unit operation (</w:t>
            </w:r>
            <w:r w:rsidRPr="003C5C8A">
              <w:rPr>
                <w:sz w:val="18"/>
                <w:szCs w:val="18"/>
              </w:rPr>
              <w:t>m</w:t>
            </w:r>
            <w:proofErr w:type="gramStart"/>
            <w:r w:rsidRPr="003C5C8A">
              <w:rPr>
                <w:sz w:val="18"/>
                <w:szCs w:val="18"/>
                <w:vertAlign w:val="superscript"/>
              </w:rPr>
              <w:t>2</w:t>
            </w:r>
            <w:r w:rsidRPr="003C5C8A">
              <w:rPr>
                <w:sz w:val="18"/>
                <w:szCs w:val="18"/>
              </w:rPr>
              <w:t>.kt</w:t>
            </w:r>
            <w:r w:rsidRPr="003C5C8A">
              <w:rPr>
                <w:sz w:val="18"/>
                <w:szCs w:val="18"/>
                <w:vertAlign w:val="subscript"/>
              </w:rPr>
              <w:t>ww</w:t>
            </w:r>
            <w:proofErr w:type="gramEnd"/>
            <w:r w:rsidRPr="003C5C8A">
              <w:rPr>
                <w:sz w:val="18"/>
                <w:szCs w:val="18"/>
                <w:vertAlign w:val="superscript"/>
              </w:rPr>
              <w:t>-1</w:t>
            </w:r>
            <w:r w:rsidRPr="003C5C8A">
              <w:rPr>
                <w:sz w:val="18"/>
                <w:szCs w:val="18"/>
              </w:rPr>
              <w:t xml:space="preserve"> input)</w:t>
            </w:r>
          </w:p>
        </w:tc>
        <w:tc>
          <w:tcPr>
            <w:tcW w:w="708" w:type="dxa"/>
          </w:tcPr>
          <w:p w14:paraId="35BC4B07" w14:textId="77777777" w:rsidR="006458E0" w:rsidRPr="003C5C8A" w:rsidRDefault="006458E0" w:rsidP="006458E0">
            <w:pPr>
              <w:cnfStyle w:val="100000000000" w:firstRow="1" w:lastRow="0" w:firstColumn="0" w:lastColumn="0" w:oddVBand="0" w:evenVBand="0" w:oddHBand="0" w:evenHBand="0" w:firstRowFirstColumn="0" w:firstRowLastColumn="0" w:lastRowFirstColumn="0" w:lastRowLastColumn="0"/>
              <w:rPr>
                <w:sz w:val="18"/>
              </w:rPr>
            </w:pPr>
            <w:r w:rsidRPr="003C5C8A">
              <w:rPr>
                <w:sz w:val="18"/>
              </w:rPr>
              <w:t>Value</w:t>
            </w:r>
          </w:p>
        </w:tc>
        <w:tc>
          <w:tcPr>
            <w:tcW w:w="3662" w:type="dxa"/>
          </w:tcPr>
          <w:p w14:paraId="13972875" w14:textId="77777777" w:rsidR="006458E0" w:rsidRPr="003C5C8A" w:rsidRDefault="006458E0" w:rsidP="006458E0">
            <w:pPr>
              <w:cnfStyle w:val="100000000000" w:firstRow="1" w:lastRow="0" w:firstColumn="0" w:lastColumn="0" w:oddVBand="0" w:evenVBand="0" w:oddHBand="0" w:evenHBand="0" w:firstRowFirstColumn="0" w:firstRowLastColumn="0" w:lastRowFirstColumn="0" w:lastRowLastColumn="0"/>
              <w:rPr>
                <w:i/>
                <w:sz w:val="18"/>
              </w:rPr>
            </w:pPr>
            <w:r w:rsidRPr="003C5C8A">
              <w:rPr>
                <w:i/>
                <w:sz w:val="18"/>
              </w:rPr>
              <w:t>Comment</w:t>
            </w:r>
          </w:p>
        </w:tc>
      </w:tr>
      <w:tr w:rsidR="006458E0" w:rsidRPr="003C5C8A" w14:paraId="62BA3FE5"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20" w:type="dxa"/>
          </w:tcPr>
          <w:p w14:paraId="457F3656" w14:textId="77777777" w:rsidR="006458E0" w:rsidRPr="003C5C8A" w:rsidRDefault="006458E0" w:rsidP="006458E0">
            <w:pPr>
              <w:jc w:val="right"/>
              <w:rPr>
                <w:b w:val="0"/>
                <w:sz w:val="18"/>
              </w:rPr>
            </w:pPr>
            <w:r w:rsidRPr="003C5C8A">
              <w:rPr>
                <w:b w:val="0"/>
                <w:sz w:val="18"/>
              </w:rPr>
              <w:t>Storage</w:t>
            </w:r>
          </w:p>
        </w:tc>
        <w:tc>
          <w:tcPr>
            <w:tcW w:w="708" w:type="dxa"/>
          </w:tcPr>
          <w:p w14:paraId="3C545ED4"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3.6</w:t>
            </w:r>
          </w:p>
        </w:tc>
        <w:tc>
          <w:tcPr>
            <w:tcW w:w="3662" w:type="dxa"/>
            <w:vMerge w:val="restart"/>
          </w:tcPr>
          <w:p w14:paraId="0BC6BFD7" w14:textId="27D14E5D" w:rsidR="006458E0" w:rsidRPr="003C5C8A" w:rsidRDefault="006458E0" w:rsidP="006458E0">
            <w:pPr>
              <w:jc w:val="both"/>
              <w:cnfStyle w:val="000000100000" w:firstRow="0" w:lastRow="0" w:firstColumn="0" w:lastColumn="0" w:oddVBand="0" w:evenVBand="0" w:oddHBand="1" w:evenHBand="0" w:firstRowFirstColumn="0" w:firstRowLastColumn="0" w:lastRowFirstColumn="0" w:lastRowLastColumn="0"/>
              <w:rPr>
                <w:i/>
                <w:sz w:val="18"/>
                <w:szCs w:val="18"/>
              </w:rPr>
            </w:pPr>
            <w:r w:rsidRPr="003C5C8A">
              <w:rPr>
                <w:i/>
                <w:sz w:val="18"/>
                <w:szCs w:val="18"/>
              </w:rPr>
              <w:t>Adapted from layout proposed by Dortmans et al., 2017</w:t>
            </w:r>
            <w:r w:rsidRPr="003C5C8A">
              <w:rPr>
                <w:rFonts w:cs="Times New Roman"/>
                <w:i/>
                <w:sz w:val="18"/>
                <w:szCs w:val="18"/>
              </w:rPr>
              <w:fldChar w:fldCharType="begin"/>
            </w:r>
            <w:r w:rsidR="00942782">
              <w:rPr>
                <w:rFonts w:cs="Times New Roman"/>
                <w:i/>
                <w:sz w:val="18"/>
                <w:szCs w:val="18"/>
              </w:rPr>
              <w:instrText xml:space="preserve"> ADDIN ZOTERO_ITEM CSL_CITATION {"citationID":"QgaGJTX4","properties":{"formattedCitation":"\\super 76\\nosupersub{}","plainCitation":"76","noteIndex":0},"citationItems":[{"id":3213,"uris":["http://zotero.org/users/6423791/items/WS8LUFQN"],"itemData":{"id":3213,"type":"report","event-place":"Dübendorf, Switzerland","language":"en","publisher":"Eawag: Swiss Federal Institute of Aquatic Science and Technology","publisher-place":"Dübendorf, Switzerland","source":"Zotero","title":"Black Soldier Fly Biowaste Processing - A Step-by-Step Guide","author":[{"family":"Dortmans","given":"B.M.A."},{"family":"Diener","given":"Stefan"},{"family":"Verstappen","given":"B.M."},{"family":"Zurbrügg","given":"Christian"}],"issued":{"date-parts":[["2017"]]}}}],"schema":"https://github.com/citation-style-language/schema/raw/master/csl-citation.json"} </w:instrText>
            </w:r>
            <w:r w:rsidRPr="003C5C8A">
              <w:rPr>
                <w:rFonts w:cs="Times New Roman"/>
                <w:i/>
                <w:sz w:val="18"/>
                <w:szCs w:val="18"/>
              </w:rPr>
              <w:fldChar w:fldCharType="separate"/>
            </w:r>
            <w:r w:rsidR="00942782" w:rsidRPr="00942782">
              <w:rPr>
                <w:rFonts w:ascii="Calibri" w:hAnsi="Calibri" w:cs="Calibri"/>
                <w:sz w:val="18"/>
                <w:szCs w:val="24"/>
                <w:vertAlign w:val="superscript"/>
              </w:rPr>
              <w:t>76</w:t>
            </w:r>
            <w:r w:rsidRPr="003C5C8A">
              <w:rPr>
                <w:rFonts w:cs="Times New Roman"/>
                <w:i/>
                <w:sz w:val="18"/>
                <w:szCs w:val="18"/>
              </w:rPr>
              <w:fldChar w:fldCharType="end"/>
            </w:r>
            <w:r w:rsidRPr="003C5C8A">
              <w:rPr>
                <w:rFonts w:cs="Times New Roman"/>
                <w:i/>
                <w:sz w:val="18"/>
                <w:szCs w:val="18"/>
              </w:rPr>
              <w:t>. Depend on parameter (see</w:t>
            </w:r>
            <w:r w:rsidR="008C7712" w:rsidRPr="003C5C8A">
              <w:rPr>
                <w:rFonts w:cs="Times New Roman"/>
                <w:i/>
                <w:sz w:val="18"/>
                <w:szCs w:val="18"/>
              </w:rPr>
              <w:t xml:space="preserve"> </w:t>
            </w:r>
            <w:r w:rsidR="008C7712" w:rsidRPr="003C5C8A">
              <w:rPr>
                <w:rFonts w:cs="Times New Roman"/>
                <w:b/>
                <w:i/>
                <w:sz w:val="18"/>
                <w:szCs w:val="18"/>
              </w:rPr>
              <w:fldChar w:fldCharType="begin"/>
            </w:r>
            <w:r w:rsidR="008C7712" w:rsidRPr="003C5C8A">
              <w:rPr>
                <w:rFonts w:cs="Times New Roman"/>
                <w:b/>
                <w:i/>
                <w:sz w:val="18"/>
                <w:szCs w:val="18"/>
              </w:rPr>
              <w:instrText xml:space="preserve"> REF _Ref144805251 \h  \* MERGEFORMAT </w:instrText>
            </w:r>
            <w:r w:rsidR="008C7712" w:rsidRPr="003C5C8A">
              <w:rPr>
                <w:rFonts w:cs="Times New Roman"/>
                <w:b/>
                <w:i/>
                <w:sz w:val="18"/>
                <w:szCs w:val="18"/>
              </w:rPr>
            </w:r>
            <w:r w:rsidR="008C7712" w:rsidRPr="003C5C8A">
              <w:rPr>
                <w:rFonts w:cs="Times New Roman"/>
                <w:b/>
                <w:i/>
                <w:sz w:val="18"/>
                <w:szCs w:val="18"/>
              </w:rPr>
              <w:fldChar w:fldCharType="separate"/>
            </w:r>
            <w:r w:rsidR="00F25F8C" w:rsidRPr="003C5C8A">
              <w:rPr>
                <w:b/>
                <w:i/>
                <w:sz w:val="18"/>
              </w:rPr>
              <w:t xml:space="preserve">Table SI. </w:t>
            </w:r>
            <w:r w:rsidR="00F25F8C" w:rsidRPr="003C5C8A">
              <w:rPr>
                <w:b/>
                <w:i/>
                <w:noProof/>
                <w:sz w:val="18"/>
              </w:rPr>
              <w:t>37</w:t>
            </w:r>
            <w:r w:rsidR="008C7712" w:rsidRPr="003C5C8A">
              <w:rPr>
                <w:rFonts w:cs="Times New Roman"/>
                <w:b/>
                <w:i/>
                <w:sz w:val="18"/>
                <w:szCs w:val="18"/>
              </w:rPr>
              <w:fldChar w:fldCharType="end"/>
            </w:r>
            <w:r w:rsidRPr="003C5C8A">
              <w:rPr>
                <w:rFonts w:cs="Times New Roman"/>
                <w:i/>
                <w:sz w:val="18"/>
                <w:szCs w:val="18"/>
              </w:rPr>
              <w:t xml:space="preserve">), here calculation for a </w:t>
            </w:r>
            <w:r w:rsidRPr="003C5C8A">
              <w:rPr>
                <w:i/>
                <w:sz w:val="18"/>
                <w:szCs w:val="18"/>
              </w:rPr>
              <w:t>25 years lifetime and 420 t</w:t>
            </w:r>
            <w:r w:rsidRPr="003C5C8A">
              <w:rPr>
                <w:i/>
                <w:sz w:val="18"/>
                <w:szCs w:val="18"/>
                <w:vertAlign w:val="subscript"/>
              </w:rPr>
              <w:t>BSF</w:t>
            </w:r>
            <w:r w:rsidRPr="003C5C8A">
              <w:rPr>
                <w:i/>
                <w:sz w:val="18"/>
                <w:szCs w:val="18"/>
              </w:rPr>
              <w:t>.y</w:t>
            </w:r>
            <w:r w:rsidRPr="003C5C8A">
              <w:rPr>
                <w:i/>
                <w:sz w:val="18"/>
                <w:szCs w:val="18"/>
                <w:vertAlign w:val="superscript"/>
              </w:rPr>
              <w:t>-1</w:t>
            </w:r>
            <w:r w:rsidRPr="003C5C8A">
              <w:rPr>
                <w:i/>
                <w:sz w:val="18"/>
                <w:szCs w:val="18"/>
              </w:rPr>
              <w:t xml:space="preserve"> production capacity</w:t>
            </w:r>
            <w:r w:rsidR="008C7712" w:rsidRPr="003C5C8A">
              <w:rPr>
                <w:i/>
                <w:sz w:val="18"/>
                <w:szCs w:val="18"/>
              </w:rPr>
              <w:t>.</w:t>
            </w:r>
          </w:p>
        </w:tc>
      </w:tr>
      <w:tr w:rsidR="006458E0" w:rsidRPr="003C5C8A" w14:paraId="32078506" w14:textId="77777777" w:rsidTr="006B5342">
        <w:tc>
          <w:tcPr>
            <w:cnfStyle w:val="001000000000" w:firstRow="0" w:lastRow="0" w:firstColumn="1" w:lastColumn="0" w:oddVBand="0" w:evenVBand="0" w:oddHBand="0" w:evenHBand="0" w:firstRowFirstColumn="0" w:firstRowLastColumn="0" w:lastRowFirstColumn="0" w:lastRowLastColumn="0"/>
            <w:tcW w:w="2820" w:type="dxa"/>
          </w:tcPr>
          <w:p w14:paraId="1E321527" w14:textId="77777777" w:rsidR="006458E0" w:rsidRPr="003C5C8A" w:rsidRDefault="006458E0" w:rsidP="006458E0">
            <w:pPr>
              <w:jc w:val="right"/>
              <w:rPr>
                <w:b w:val="0"/>
                <w:sz w:val="18"/>
              </w:rPr>
            </w:pPr>
            <w:r w:rsidRPr="003C5C8A">
              <w:rPr>
                <w:b w:val="0"/>
                <w:sz w:val="18"/>
              </w:rPr>
              <w:t>Breeding/Nursery</w:t>
            </w:r>
          </w:p>
        </w:tc>
        <w:tc>
          <w:tcPr>
            <w:tcW w:w="708" w:type="dxa"/>
          </w:tcPr>
          <w:p w14:paraId="02622E4C"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9</w:t>
            </w:r>
          </w:p>
        </w:tc>
        <w:tc>
          <w:tcPr>
            <w:tcW w:w="3662" w:type="dxa"/>
            <w:vMerge/>
          </w:tcPr>
          <w:p w14:paraId="0B96C4C6"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i/>
                <w:sz w:val="18"/>
              </w:rPr>
            </w:pPr>
          </w:p>
        </w:tc>
      </w:tr>
      <w:tr w:rsidR="006458E0" w:rsidRPr="003C5C8A" w14:paraId="1F15D928"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20" w:type="dxa"/>
          </w:tcPr>
          <w:p w14:paraId="6586FE46" w14:textId="77777777" w:rsidR="006458E0" w:rsidRPr="003C5C8A" w:rsidRDefault="006458E0" w:rsidP="006458E0">
            <w:pPr>
              <w:jc w:val="right"/>
              <w:rPr>
                <w:b w:val="0"/>
                <w:sz w:val="18"/>
              </w:rPr>
            </w:pPr>
            <w:r w:rsidRPr="003C5C8A">
              <w:rPr>
                <w:b w:val="0"/>
                <w:sz w:val="18"/>
              </w:rPr>
              <w:t>BSF farming</w:t>
            </w:r>
          </w:p>
        </w:tc>
        <w:tc>
          <w:tcPr>
            <w:tcW w:w="708" w:type="dxa"/>
          </w:tcPr>
          <w:p w14:paraId="06D5C2D9"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26.5</w:t>
            </w:r>
          </w:p>
        </w:tc>
        <w:tc>
          <w:tcPr>
            <w:tcW w:w="3662" w:type="dxa"/>
            <w:vMerge/>
          </w:tcPr>
          <w:p w14:paraId="51A0C0EB"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i/>
                <w:sz w:val="18"/>
              </w:rPr>
            </w:pPr>
          </w:p>
        </w:tc>
      </w:tr>
      <w:tr w:rsidR="006458E0" w:rsidRPr="003C5C8A" w14:paraId="58AA02E5" w14:textId="77777777" w:rsidTr="006B5342">
        <w:tc>
          <w:tcPr>
            <w:cnfStyle w:val="001000000000" w:firstRow="0" w:lastRow="0" w:firstColumn="1" w:lastColumn="0" w:oddVBand="0" w:evenVBand="0" w:oddHBand="0" w:evenHBand="0" w:firstRowFirstColumn="0" w:firstRowLastColumn="0" w:lastRowFirstColumn="0" w:lastRowLastColumn="0"/>
            <w:tcW w:w="2820" w:type="dxa"/>
          </w:tcPr>
          <w:p w14:paraId="24388895" w14:textId="77777777" w:rsidR="006458E0" w:rsidRPr="003C5C8A" w:rsidRDefault="006458E0" w:rsidP="006458E0">
            <w:pPr>
              <w:jc w:val="right"/>
              <w:rPr>
                <w:b w:val="0"/>
                <w:sz w:val="18"/>
              </w:rPr>
            </w:pPr>
            <w:r w:rsidRPr="003C5C8A">
              <w:rPr>
                <w:b w:val="0"/>
                <w:sz w:val="18"/>
              </w:rPr>
              <w:t>Post-treatments</w:t>
            </w:r>
          </w:p>
        </w:tc>
        <w:tc>
          <w:tcPr>
            <w:tcW w:w="708" w:type="dxa"/>
          </w:tcPr>
          <w:p w14:paraId="27DC86AF"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5</w:t>
            </w:r>
          </w:p>
        </w:tc>
        <w:tc>
          <w:tcPr>
            <w:tcW w:w="3662" w:type="dxa"/>
            <w:vMerge/>
          </w:tcPr>
          <w:p w14:paraId="5227B726"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i/>
                <w:sz w:val="18"/>
              </w:rPr>
            </w:pPr>
          </w:p>
        </w:tc>
      </w:tr>
      <w:tr w:rsidR="006458E0" w:rsidRPr="003C5C8A" w14:paraId="3F860DF5"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20" w:type="dxa"/>
          </w:tcPr>
          <w:p w14:paraId="0D3E0015" w14:textId="77777777" w:rsidR="006458E0" w:rsidRPr="003C5C8A" w:rsidRDefault="006458E0" w:rsidP="006458E0">
            <w:pPr>
              <w:jc w:val="right"/>
              <w:rPr>
                <w:b w:val="0"/>
                <w:sz w:val="18"/>
              </w:rPr>
            </w:pPr>
            <w:r w:rsidRPr="003C5C8A">
              <w:rPr>
                <w:b w:val="0"/>
                <w:sz w:val="18"/>
              </w:rPr>
              <w:t>Other</w:t>
            </w:r>
          </w:p>
        </w:tc>
        <w:tc>
          <w:tcPr>
            <w:tcW w:w="708" w:type="dxa"/>
          </w:tcPr>
          <w:p w14:paraId="1E95E6E5"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13</w:t>
            </w:r>
          </w:p>
        </w:tc>
        <w:tc>
          <w:tcPr>
            <w:tcW w:w="3662" w:type="dxa"/>
            <w:vMerge/>
          </w:tcPr>
          <w:p w14:paraId="77C79AAE"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i/>
                <w:sz w:val="18"/>
              </w:rPr>
            </w:pPr>
          </w:p>
        </w:tc>
      </w:tr>
      <w:tr w:rsidR="006458E0" w:rsidRPr="003C5C8A" w14:paraId="32189882" w14:textId="77777777" w:rsidTr="006B5342">
        <w:tc>
          <w:tcPr>
            <w:cnfStyle w:val="001000000000" w:firstRow="0" w:lastRow="0" w:firstColumn="1" w:lastColumn="0" w:oddVBand="0" w:evenVBand="0" w:oddHBand="0" w:evenHBand="0" w:firstRowFirstColumn="0" w:firstRowLastColumn="0" w:lastRowFirstColumn="0" w:lastRowLastColumn="0"/>
            <w:tcW w:w="2820" w:type="dxa"/>
          </w:tcPr>
          <w:p w14:paraId="14D23684" w14:textId="77777777" w:rsidR="006458E0" w:rsidRPr="003C5C8A" w:rsidRDefault="006458E0" w:rsidP="006458E0">
            <w:pPr>
              <w:jc w:val="right"/>
              <w:rPr>
                <w:b w:val="0"/>
                <w:sz w:val="18"/>
              </w:rPr>
            </w:pPr>
            <w:r w:rsidRPr="003C5C8A">
              <w:rPr>
                <w:b w:val="0"/>
                <w:sz w:val="18"/>
              </w:rPr>
              <w:t>Composting</w:t>
            </w:r>
          </w:p>
        </w:tc>
        <w:tc>
          <w:tcPr>
            <w:tcW w:w="708" w:type="dxa"/>
          </w:tcPr>
          <w:p w14:paraId="5F821681"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7.2</w:t>
            </w:r>
          </w:p>
        </w:tc>
        <w:tc>
          <w:tcPr>
            <w:tcW w:w="3662" w:type="dxa"/>
            <w:vMerge/>
          </w:tcPr>
          <w:p w14:paraId="1CA647AE"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i/>
                <w:sz w:val="18"/>
              </w:rPr>
            </w:pPr>
          </w:p>
        </w:tc>
      </w:tr>
    </w:tbl>
    <w:p w14:paraId="2405841D" w14:textId="7FE7C7A2" w:rsidR="006458E0" w:rsidRPr="003F5DA8" w:rsidRDefault="00852D80" w:rsidP="006458E0">
      <w:pPr>
        <w:jc w:val="both"/>
        <w:rPr>
          <w:rFonts w:cs="Times New Roman"/>
        </w:rPr>
      </w:pPr>
      <w:r>
        <w:rPr>
          <w:rFonts w:cs="Times New Roman"/>
        </w:rPr>
        <w:br/>
      </w:r>
      <w:r w:rsidR="006458E0" w:rsidRPr="003F5DA8">
        <w:rPr>
          <w:rFonts w:cs="Times New Roman"/>
        </w:rPr>
        <w:t>Infrastructure, equipment and area required are tightly related to the development strategy, as low-tech facilities e.g. in Zurbrugg et al., 2018</w:t>
      </w:r>
      <w:r w:rsidR="006458E0" w:rsidRPr="003F5DA8">
        <w:rPr>
          <w:rFonts w:cs="Times New Roman"/>
        </w:rPr>
        <w:fldChar w:fldCharType="begin"/>
      </w:r>
      <w:r w:rsidR="00E860C9">
        <w:rPr>
          <w:rFonts w:cs="Times New Roman"/>
        </w:rPr>
        <w:instrText xml:space="preserve"> ADDIN ZOTERO_ITEM CSL_CITATION {"citationID":"HXCkCB1o","properties":{"formattedCitation":"\\super 115\\nosupersub{}","plainCitation":"115","noteIndex":0},"citationItems":[{"id":883,"uris":["http://zotero.org/users/6423791/items/YLTCCCTJ"],"itemData":{"id":883,"type":"article-journal","abstract":"Recycling of municipal organic waste material (biowaste) still remains fairly limited especially in low and middle-income settings although this is by far the largest fraction of the municipal waste generated. A fairly novel approach is rapidly establishing itself and concerns biowaste conversion by larvae of the Black Soldier Fly (BSF), Hermetia illucens. The popularity of this approach links to the promising opportunities of using the harvested insect larvae as a protein source for animal feed thus providing a valuable alternative to conventional animal feed that requires a large amount of increasingly scarce resources (water and land for soya meal, and fish catch for fish-meal). The research project presented here has developed relevant and easily applicable guidance for practitioners who aim to establish a commercial facility, learning from pilot scale activities in Indonesia and then using modelling and up-scaling assumptions to highlight challenges and opportunities of larger scale implementation.","container-title":"Detritus","DOI":"10.26403/detritus/2018.22","ISSN":"2611-4127","journalAbbreviation":"Detritus","language":"English","note":"publisher-place: VIA BEATO PELLEGRINO, 23, PADOVA, 35137, ITALY\npublisher: CISA PUBLISHER\ntype: Article","page":"18-22","title":"From Pilot to Full Scale Operation of a Waste-to-Protein Treatment Facility","volume":"1","author":[{"family":"Zurbrugg","given":"Christian"},{"family":"Dortmans","given":"Bram"},{"family":"Fadhila","given":"Audinisa"},{"family":"Vertsappen","given":"Bart"},{"family":"Diener","given":"Stefan"}],"issued":{"date-parts":[["2018",3]]}}}],"schema":"https://github.com/citation-style-language/schema/raw/master/csl-citation.json"} </w:instrText>
      </w:r>
      <w:r w:rsidR="006458E0" w:rsidRPr="003F5DA8">
        <w:rPr>
          <w:rFonts w:cs="Times New Roman"/>
        </w:rPr>
        <w:fldChar w:fldCharType="separate"/>
      </w:r>
      <w:r w:rsidR="00E860C9" w:rsidRPr="00E860C9">
        <w:rPr>
          <w:rFonts w:ascii="Calibri" w:hAnsi="Calibri" w:cs="Calibri"/>
          <w:szCs w:val="24"/>
          <w:vertAlign w:val="superscript"/>
        </w:rPr>
        <w:t>115</w:t>
      </w:r>
      <w:r w:rsidR="006458E0" w:rsidRPr="003F5DA8">
        <w:rPr>
          <w:rFonts w:cs="Times New Roman"/>
        </w:rPr>
        <w:fldChar w:fldCharType="end"/>
      </w:r>
      <w:r w:rsidR="006458E0" w:rsidRPr="003F5DA8">
        <w:rPr>
          <w:rFonts w:cs="Times New Roman"/>
        </w:rPr>
        <w:t xml:space="preserve"> likely require more building area but less equipment compared to full automatized and optimized facilities e.g. Kröncke et al., 2020</w:t>
      </w:r>
      <w:r w:rsidR="006458E0" w:rsidRPr="003F5DA8">
        <w:rPr>
          <w:rFonts w:cs="Times New Roman"/>
        </w:rPr>
        <w:fldChar w:fldCharType="begin"/>
      </w:r>
      <w:r w:rsidR="00E860C9">
        <w:rPr>
          <w:rFonts w:cs="Times New Roman"/>
        </w:rPr>
        <w:instrText xml:space="preserve"> ADDIN ZOTERO_ITEM CSL_CITATION {"citationID":"FreKAjs0","properties":{"formattedCitation":"\\super 116\\nosupersub{}","plainCitation":"116","noteIndex":0},"citationItems":[{"id":1853,"uris":["http://zotero.org/users/6423791/items/JZQGNIHN"],"itemData":{"id":1853,"type":"chapter","abstract":"Automating the production of insects for rearing, harvesting and processing is an important step in making insect mass production more attractive, cost effective and competitive. In this study, we present a functional model for the automated separation and monitoring of the breeding process of mealworms. Data have shown that it is possible to separate mealworm larvae from the substrate and faeces effectively with a zig-zag air separator and make handling and separating processes easier by automation. In addition, an integrated camera system with a neural network can assist in assessing the constitution of mealworms by using the segments of the larvae for evaluation. Regarding the processing of mealworm larvae, it has been shown that duration of drying and temperature have a significant influence on the nutritional value and quality of the larvae. In addition, the oil of the dried larvae was extracted with a screw press and the protein-rich press cake was processed with a rolling mill to insect meal, which is comparable to fishmeal and suitable for use in pet food and livestock feed.","container-title":"African Edible Insects As Alternative Source of Food, Oil, Protein and Bioactive Components","event-place":"Cham","ISBN":"978-3-030-32952-5","language":"en","note":"DOI: 10.1007/978-3-030-32952-5_8","page":"123-139","publisher":"Springer International Publishing","publisher-place":"Cham","source":"Springer Link","title":"Automation of Insect Mass Rearing and Processing Technologies of Mealworms (Tenebrio molitor)","URL":"https://doi.org/10.1007/978-3-030-32952-5_8","author":[{"family":"Kröncke","given":"Nina"},{"family":"Baur","given":"Andreas"},{"family":"Böschen","given":"Verena"},{"family":"Demtröder","given":"Sebastian"},{"family":"Benning","given":"Rainer"},{"family":"Delgado","given":"Antonio"}],"editor":[{"family":"Adam Mariod","given":"Abdalbasit"}],"accessed":{"date-parts":[["2020",6,18]]},"issued":{"date-parts":[["2020"]]}}}],"schema":"https://github.com/citation-style-language/schema/raw/master/csl-citation.json"} </w:instrText>
      </w:r>
      <w:r w:rsidR="006458E0" w:rsidRPr="003F5DA8">
        <w:rPr>
          <w:rFonts w:cs="Times New Roman"/>
        </w:rPr>
        <w:fldChar w:fldCharType="separate"/>
      </w:r>
      <w:r w:rsidR="00E860C9" w:rsidRPr="00E860C9">
        <w:rPr>
          <w:rFonts w:ascii="Calibri" w:hAnsi="Calibri" w:cs="Calibri"/>
          <w:szCs w:val="24"/>
          <w:vertAlign w:val="superscript"/>
        </w:rPr>
        <w:t>116</w:t>
      </w:r>
      <w:r w:rsidR="006458E0" w:rsidRPr="003F5DA8">
        <w:rPr>
          <w:rFonts w:cs="Times New Roman"/>
        </w:rPr>
        <w:fldChar w:fldCharType="end"/>
      </w:r>
      <w:r w:rsidR="006458E0" w:rsidRPr="003F5DA8">
        <w:rPr>
          <w:rFonts w:cs="Times New Roman"/>
        </w:rPr>
        <w:t>. Identified as important contributors to environmental impacts in assessment by Roffeis et al., 2017</w:t>
      </w:r>
      <w:r w:rsidR="006458E0" w:rsidRPr="003F5DA8">
        <w:rPr>
          <w:rFonts w:cs="Times New Roman"/>
        </w:rPr>
        <w:fldChar w:fldCharType="begin"/>
      </w:r>
      <w:r w:rsidR="00E860C9">
        <w:rPr>
          <w:rFonts w:cs="Times New Roman"/>
        </w:rPr>
        <w:instrText xml:space="preserve"> ADDIN ZOTERO_ITEM CSL_CITATION {"citationID":"Z879kzrC","properties":{"formattedCitation":"\\super 117\\nosupersub{}","plainCitation":"117","noteIndex":0},"citationItems":[{"id":3198,"uris":["http://zotero.org/users/6423791/items/GY72TIZQ"],"itemData":{"id":3198,"type":"article-journal","abstract":"While the concept of insect based feeds (IBFs) promises great potential, especially in developing countries, the sustainability performance of IBF production remains widely underexplored. Drawing on experimental data from rearing trials in West Africa, three different insect production systems were modelled ex-ante. The generic models served as a basis to analyse and compare the process performances of different IBF production systems using Musca domestica and Hermetia illucens reared on different substrates. The results show that the input efficiency in the production of IBF is largely determined by the quality of rearing substrates, the larval development time and the employed inoculation practises, i.e., the method by which eggs or larvae are added to rearing substrates. The H. illucens system ranked highest for conversion efficiency (substrate input per IBF output), but showed substantially higher inputs in labour, fossil energy and output of wastewater. M. domestica systems operated at lower conversion efficiencies, which resulted in higher outputs of residue substrates, together with higher emissions, land requirements, built infrastructure and water. By offering full disclosure of generic inventory data, this study provides data and inspiration for prospect research and development activities and offers a reference to future life cycle assessments (LCAs) on IBF.","container-title":"Sustainability","DOI":"10.3390/su9101697","issue":"10","language":"en","license":"http://creativecommons.org/licenses/by/3.0/","page":"1697","source":"www.mdpi.com","title":"Life Cycle Inventory Analysis of Prospective Insect Based Feed Production in West Africa","volume":"9","author":[{"family":"Roffeis","given":"Martin"},{"family":"Almeida","given":"Joana"},{"family":"Wakefield","given":"Maureen Elizabeth"},{"family":"Valada","given":"Tatiana Raquel Alves"},{"family":"Devic","given":"Emilie"},{"family":"Koné","given":"N’Golopé"},{"family":"Kenis","given":"Marc"},{"family":"Nacambo","given":"Saidou"},{"family":"Fitches","given":"Elaine Charlotte"},{"family":"Koko","given":"Gabriel K. D."},{"family":"Mathijs","given":"Erik"},{"family":"Achten","given":"Wouter M. J."},{"family":"Muys","given":"Bart"}],"issued":{"date-parts":[["2017",10]]}}}],"schema":"https://github.com/citation-style-language/schema/raw/master/csl-citation.json"} </w:instrText>
      </w:r>
      <w:r w:rsidR="006458E0" w:rsidRPr="003F5DA8">
        <w:rPr>
          <w:rFonts w:cs="Times New Roman"/>
        </w:rPr>
        <w:fldChar w:fldCharType="separate"/>
      </w:r>
      <w:r w:rsidR="00E860C9" w:rsidRPr="00E860C9">
        <w:rPr>
          <w:rFonts w:ascii="Calibri" w:hAnsi="Calibri" w:cs="Calibri"/>
          <w:szCs w:val="24"/>
          <w:vertAlign w:val="superscript"/>
        </w:rPr>
        <w:t>117</w:t>
      </w:r>
      <w:r w:rsidR="006458E0" w:rsidRPr="003F5DA8">
        <w:rPr>
          <w:rFonts w:cs="Times New Roman"/>
        </w:rPr>
        <w:fldChar w:fldCharType="end"/>
      </w:r>
      <w:r w:rsidR="006458E0" w:rsidRPr="003F5DA8">
        <w:rPr>
          <w:rFonts w:cs="Times New Roman"/>
        </w:rPr>
        <w:t>, a variation range for both infrastructure and equipment requirements was developed by assuming a longer lifespan and treatment capacity potential than reported. Therefore, it was assumed that the maximum gain on infrastructure and equipment use efficiency was of 50% compared to the plant proxies of Dortmans et al., 2017</w:t>
      </w:r>
      <w:r w:rsidR="006458E0" w:rsidRPr="003F5DA8">
        <w:rPr>
          <w:rFonts w:cs="Times New Roman"/>
        </w:rPr>
        <w:fldChar w:fldCharType="begin"/>
      </w:r>
      <w:r w:rsidR="00942782">
        <w:rPr>
          <w:rFonts w:cs="Times New Roman"/>
        </w:rPr>
        <w:instrText xml:space="preserve"> ADDIN ZOTERO_ITEM CSL_CITATION {"citationID":"QLfkjZkp","properties":{"formattedCitation":"\\super 76\\nosupersub{}","plainCitation":"76","noteIndex":0},"citationItems":[{"id":3213,"uris":["http://zotero.org/users/6423791/items/WS8LUFQN"],"itemData":{"id":3213,"type":"report","event-place":"Dübendorf, Switzerland","language":"en","publisher":"Eawag: Swiss Federal Institute of Aquatic Science and Technology","publisher-place":"Dübendorf, Switzerland","source":"Zotero","title":"Black Soldier Fly Biowaste Processing - A Step-by-Step Guide","author":[{"family":"Dortmans","given":"B.M.A."},{"family":"Diener","given":"Stefan"},{"family":"Verstappen","given":"B.M."},{"family":"Zurbrügg","given":"Christian"}],"issued":{"date-parts":[["2017"]]}}}],"schema":"https://github.com/citation-style-language/schema/raw/master/csl-citation.json"} </w:instrText>
      </w:r>
      <w:r w:rsidR="006458E0" w:rsidRPr="003F5DA8">
        <w:rPr>
          <w:rFonts w:cs="Times New Roman"/>
        </w:rPr>
        <w:fldChar w:fldCharType="separate"/>
      </w:r>
      <w:r w:rsidR="00942782" w:rsidRPr="00942782">
        <w:rPr>
          <w:rFonts w:ascii="Calibri" w:hAnsi="Calibri" w:cs="Calibri"/>
          <w:szCs w:val="24"/>
          <w:vertAlign w:val="superscript"/>
        </w:rPr>
        <w:t>76</w:t>
      </w:r>
      <w:r w:rsidR="006458E0" w:rsidRPr="003F5DA8">
        <w:rPr>
          <w:rFonts w:cs="Times New Roman"/>
        </w:rPr>
        <w:fldChar w:fldCharType="end"/>
      </w:r>
      <w:r w:rsidR="006458E0" w:rsidRPr="003F5DA8">
        <w:rPr>
          <w:rFonts w:cs="Times New Roman"/>
        </w:rPr>
        <w:t xml:space="preserve"> for infrastructure and Roffeis et al., 2020</w:t>
      </w:r>
      <w:r w:rsidR="006458E0" w:rsidRPr="003F5DA8">
        <w:rPr>
          <w:rFonts w:cs="Times New Roman"/>
        </w:rPr>
        <w:fldChar w:fldCharType="begin"/>
      </w:r>
      <w:r w:rsidR="00E860C9">
        <w:rPr>
          <w:rFonts w:cs="Times New Roman"/>
        </w:rPr>
        <w:instrText xml:space="preserve"> ADDIN ZOTERO_ITEM CSL_CITATION {"citationID":"mXLwQnOx","properties":{"formattedCitation":"\\super 96\\nosupersub{}","plainCitation":"96","noteIndex":0},"citationItems":[{"id":3192,"uris":["http://zotero.org/users/6423791/items/LE6TVFRZ"],"itemData":{"id":3192,"type":"article-journal","abstract":"While the idea of using insect based feeds (IBFs) offers great potential, especially in developing countries, the environmental impact of implementation remains poorly researched. This study investigates the environmental performance of IBF production in the geographical context of West Africa. Drawing on published life cycle inventory (LCIs) data, the impact of three different IBF production systems were ex-ante evaluated (ReCiPe method) and compared to conventional feed resources. The explorative life cycle study provides a basis for trade-off analysis between different insect rearing systems (Musca domestica and Hermetia illucens) and provides insights on the environmental performance of IBF in comparison with conventional animal- and plant based protein feeds (fishmeal, cottonseed and soybean meal). The impacts of IBFs were shown to be largely determined by rearing techniques and the environmental loads of rearing substrates, attesting advantages to the rearing of housefly (M. domestica) larvae on chicken manure and the use of natural oviposition, i.e., substrate inoculation through naturally occurring flies. A comparison with conventional feeds pointed out the environmental disadvantages of current IBF production designs (especially in comparison to plant based feeds) that were largely attributable to their different position in the trophic network (decomposers) and the systems’ sub-standard capacity utilisation (insufficient economy of scale effect). When larvae are reared on substrates of low economic value (i.e., waste streams), IBF impacts were comparable to fishmeal. The results of the comparative assessment also highlighted a methodological limitation in the ReCiPe method, which does not account for impacts related to the use of biotic resources. As a consequence, the utilization of naturally grown resources, such as wild anchoveta, was treated as an ecosystem service of no environmental charge, providing disproportionate advantages to the fishmeal system.","container-title":"Agricultural Systems","DOI":"10.1016/j.agsy.2019.102710","ISSN":"0308-521X","journalAbbreviation":"Agricultural Systems","language":"en","page":"102710","source":"ScienceDirect","title":"Ex-ante life cycle impact assessment of insect based feed production in West Africa","volume":"178","author":[{"family":"Roffeis","given":"Martin"},{"family":"Fitches","given":"Elaine C."},{"family":"Wakefield","given":"Maureen E."},{"family":"Almeida","given":"Joana"},{"family":"Alves Valada","given":"Tatiana R."},{"family":"Devic","given":"Emilie"},{"family":"Koné","given":"N’Golopé"},{"family":"Kenis","given":"Marc"},{"family":"Nacambo","given":"Saidou"},{"family":"Koko","given":"Gabriel K. D."},{"family":"Mathijs","given":"Erik"},{"family":"Achten","given":"Wouter M. J."},{"family":"Muys","given":"Bart"}],"issued":{"date-parts":[["2020",2,1]]}}}],"schema":"https://github.com/citation-style-language/schema/raw/master/csl-citation.json"} </w:instrText>
      </w:r>
      <w:r w:rsidR="006458E0" w:rsidRPr="003F5DA8">
        <w:rPr>
          <w:rFonts w:cs="Times New Roman"/>
        </w:rPr>
        <w:fldChar w:fldCharType="separate"/>
      </w:r>
      <w:r w:rsidR="00E860C9" w:rsidRPr="00E860C9">
        <w:rPr>
          <w:rFonts w:ascii="Calibri" w:hAnsi="Calibri" w:cs="Calibri"/>
          <w:szCs w:val="24"/>
          <w:vertAlign w:val="superscript"/>
        </w:rPr>
        <w:t>96</w:t>
      </w:r>
      <w:r w:rsidR="006458E0" w:rsidRPr="003F5DA8">
        <w:rPr>
          <w:rFonts w:cs="Times New Roman"/>
        </w:rPr>
        <w:fldChar w:fldCharType="end"/>
      </w:r>
      <w:r w:rsidR="006458E0" w:rsidRPr="003F5DA8">
        <w:rPr>
          <w:rFonts w:cs="Times New Roman"/>
        </w:rPr>
        <w:t xml:space="preserve"> for equipment. The baseline value </w:t>
      </w:r>
      <w:r w:rsidR="006458E0" w:rsidRPr="003F5DA8">
        <w:rPr>
          <w:rFonts w:cs="Times New Roman"/>
        </w:rPr>
        <w:lastRenderedPageBreak/>
        <w:t>was set in-between, representing semi-automatized facilities (</w:t>
      </w:r>
      <w:r w:rsidR="008C7712" w:rsidRPr="008C7712">
        <w:rPr>
          <w:rFonts w:cs="Times New Roman"/>
          <w:b/>
        </w:rPr>
        <w:fldChar w:fldCharType="begin"/>
      </w:r>
      <w:r w:rsidR="008C7712" w:rsidRPr="008C7712">
        <w:rPr>
          <w:rFonts w:cs="Times New Roman"/>
          <w:b/>
        </w:rPr>
        <w:instrText xml:space="preserve"> REF _Ref144805251 \h </w:instrText>
      </w:r>
      <w:r w:rsidR="008C7712">
        <w:rPr>
          <w:rFonts w:cs="Times New Roman"/>
          <w:b/>
        </w:rPr>
        <w:instrText xml:space="preserve"> \* MERGEFORMAT </w:instrText>
      </w:r>
      <w:r w:rsidR="008C7712" w:rsidRPr="008C7712">
        <w:rPr>
          <w:rFonts w:cs="Times New Roman"/>
          <w:b/>
        </w:rPr>
      </w:r>
      <w:r w:rsidR="008C7712" w:rsidRPr="008C7712">
        <w:rPr>
          <w:rFonts w:cs="Times New Roman"/>
          <w:b/>
        </w:rPr>
        <w:fldChar w:fldCharType="separate"/>
      </w:r>
      <w:r w:rsidR="00F25F8C" w:rsidRPr="00F25F8C">
        <w:rPr>
          <w:b/>
        </w:rPr>
        <w:t xml:space="preserve">Table SI. </w:t>
      </w:r>
      <w:r w:rsidR="00F25F8C" w:rsidRPr="00F25F8C">
        <w:rPr>
          <w:b/>
          <w:noProof/>
        </w:rPr>
        <w:t>37</w:t>
      </w:r>
      <w:r w:rsidR="008C7712" w:rsidRPr="008C7712">
        <w:rPr>
          <w:rFonts w:cs="Times New Roman"/>
          <w:b/>
        </w:rPr>
        <w:fldChar w:fldCharType="end"/>
      </w:r>
      <w:r w:rsidR="006458E0" w:rsidRPr="003F5DA8">
        <w:rPr>
          <w:rFonts w:cs="Times New Roman"/>
        </w:rPr>
        <w:t>). The full equipment list and ecoinvent background inventory is detailed in corresponding study and not repeated here.</w:t>
      </w:r>
    </w:p>
    <w:p w14:paraId="02AA167E" w14:textId="77777777" w:rsidR="006458E0" w:rsidRPr="006458E0" w:rsidRDefault="006458E0" w:rsidP="008C7712">
      <w:pPr>
        <w:pStyle w:val="Titre3"/>
      </w:pPr>
      <w:bookmarkStart w:id="170" w:name="_Toc145069116"/>
      <w:r w:rsidRPr="006458E0">
        <w:t>Technology parameters and background processes</w:t>
      </w:r>
      <w:bookmarkEnd w:id="170"/>
    </w:p>
    <w:p w14:paraId="51C91F6E" w14:textId="28035AEC" w:rsidR="003C5C8A" w:rsidRDefault="006458E0" w:rsidP="00852D80">
      <w:pPr>
        <w:jc w:val="both"/>
      </w:pPr>
      <w:r w:rsidRPr="003F5DA8">
        <w:t xml:space="preserve">The technology parameters retained for </w:t>
      </w:r>
      <w:r>
        <w:t xml:space="preserve">BSF </w:t>
      </w:r>
      <w:r w:rsidRPr="003F5DA8">
        <w:t>pathways modeling are displayed in the</w:t>
      </w:r>
      <w:r w:rsidR="008C7712">
        <w:t xml:space="preserve"> </w:t>
      </w:r>
      <w:r w:rsidR="008C7712" w:rsidRPr="008C7712">
        <w:rPr>
          <w:b/>
        </w:rPr>
        <w:fldChar w:fldCharType="begin"/>
      </w:r>
      <w:r w:rsidR="008C7712" w:rsidRPr="008C7712">
        <w:rPr>
          <w:b/>
        </w:rPr>
        <w:instrText xml:space="preserve"> REF _Ref144805251 \h </w:instrText>
      </w:r>
      <w:r w:rsidR="008C7712">
        <w:rPr>
          <w:b/>
        </w:rPr>
        <w:instrText xml:space="preserve"> \* MERGEFORMAT </w:instrText>
      </w:r>
      <w:r w:rsidR="008C7712" w:rsidRPr="008C7712">
        <w:rPr>
          <w:b/>
        </w:rPr>
      </w:r>
      <w:r w:rsidR="008C7712" w:rsidRPr="008C7712">
        <w:rPr>
          <w:b/>
        </w:rPr>
        <w:fldChar w:fldCharType="separate"/>
      </w:r>
      <w:r w:rsidR="00F25F8C" w:rsidRPr="00F25F8C">
        <w:rPr>
          <w:b/>
        </w:rPr>
        <w:t xml:space="preserve">Table SI. </w:t>
      </w:r>
      <w:r w:rsidR="00F25F8C" w:rsidRPr="00F25F8C">
        <w:rPr>
          <w:b/>
          <w:noProof/>
        </w:rPr>
        <w:t>37</w:t>
      </w:r>
      <w:r w:rsidR="008C7712" w:rsidRPr="008C7712">
        <w:rPr>
          <w:b/>
        </w:rPr>
        <w:fldChar w:fldCharType="end"/>
      </w:r>
      <w:r w:rsidRPr="003F5DA8">
        <w:t>.</w:t>
      </w:r>
      <w:r w:rsidR="00852D80">
        <w:t xml:space="preserve"> </w:t>
      </w:r>
      <w:r w:rsidR="00101264" w:rsidRPr="003F5DA8">
        <w:t>Background processes and technology parameters associated with transversal unit operations between many mod</w:t>
      </w:r>
      <w:r w:rsidR="00655BBB">
        <w:t>el</w:t>
      </w:r>
      <w:r w:rsidR="00101264" w:rsidRPr="003F5DA8">
        <w:t xml:space="preserve">s (e.g. pretreatments, transportation, etc.) are displayed in the </w:t>
      </w:r>
      <w:r w:rsidR="00101264" w:rsidRPr="00B825DA">
        <w:t>common</w:t>
      </w:r>
      <w:r w:rsidR="00101264">
        <w:rPr>
          <w:b/>
        </w:rPr>
        <w:t xml:space="preserve"> section </w:t>
      </w:r>
      <w:r w:rsidR="003A663A">
        <w:rPr>
          <w:b/>
        </w:rPr>
        <w:t xml:space="preserve">SI. </w:t>
      </w:r>
      <w:r w:rsidR="00101264">
        <w:rPr>
          <w:b/>
        </w:rPr>
        <w:fldChar w:fldCharType="begin"/>
      </w:r>
      <w:r w:rsidR="00101264">
        <w:rPr>
          <w:b/>
        </w:rPr>
        <w:instrText xml:space="preserve"> REF _Ref144802667 \r \h </w:instrText>
      </w:r>
      <w:r w:rsidR="00101264">
        <w:rPr>
          <w:b/>
        </w:rPr>
      </w:r>
      <w:r w:rsidR="00101264">
        <w:rPr>
          <w:b/>
        </w:rPr>
        <w:fldChar w:fldCharType="separate"/>
      </w:r>
      <w:r w:rsidR="00101264">
        <w:rPr>
          <w:b/>
        </w:rPr>
        <w:t>4.1</w:t>
      </w:r>
      <w:r w:rsidR="00101264">
        <w:rPr>
          <w:b/>
        </w:rPr>
        <w:fldChar w:fldCharType="end"/>
      </w:r>
      <w:r w:rsidR="00101264" w:rsidRPr="00B825DA">
        <w:t>.</w:t>
      </w:r>
      <w:r w:rsidR="00101264" w:rsidRPr="002002AA">
        <w:t xml:space="preserve"> </w:t>
      </w:r>
      <w:r w:rsidR="00101264" w:rsidRPr="003F5DA8">
        <w:t>Rest of modeling details (e.g. all biosphere flows) are available directly within corresponding excel mo</w:t>
      </w:r>
      <w:r w:rsidR="003A663A">
        <w:t>del</w:t>
      </w:r>
      <w:r w:rsidR="00101264">
        <w:t>.</w:t>
      </w:r>
    </w:p>
    <w:p w14:paraId="3B11DD6E" w14:textId="4776D56E" w:rsidR="006458E0" w:rsidRPr="00DC332F" w:rsidRDefault="00874128" w:rsidP="006B5342">
      <w:pPr>
        <w:pStyle w:val="Lgende"/>
        <w:jc w:val="left"/>
        <w:rPr>
          <w:b w:val="0"/>
          <w:i/>
        </w:rPr>
      </w:pPr>
      <w:bookmarkStart w:id="171" w:name="_Ref144805251"/>
      <w:bookmarkStart w:id="172" w:name="_Toc134537677"/>
      <w:bookmarkStart w:id="173" w:name="_Toc151967921"/>
      <w:r>
        <w:t>Table SI.</w:t>
      </w:r>
      <w:r w:rsidR="006458E0">
        <w:t xml:space="preserve"> </w:t>
      </w:r>
      <w:r>
        <w:fldChar w:fldCharType="begin"/>
      </w:r>
      <w:r>
        <w:instrText xml:space="preserve"> SEQ Table_SI. \* ARABIC </w:instrText>
      </w:r>
      <w:r>
        <w:fldChar w:fldCharType="separate"/>
      </w:r>
      <w:r w:rsidR="00F25F8C">
        <w:rPr>
          <w:noProof/>
        </w:rPr>
        <w:t>37</w:t>
      </w:r>
      <w:r>
        <w:fldChar w:fldCharType="end"/>
      </w:r>
      <w:bookmarkEnd w:id="171"/>
      <w:r w:rsidR="006458E0">
        <w:t xml:space="preserve"> </w:t>
      </w:r>
      <w:r w:rsidR="006458E0" w:rsidRPr="00E40BD9">
        <w:t>– Parameters specific to BSF pathways</w:t>
      </w:r>
      <w:bookmarkEnd w:id="172"/>
      <w:bookmarkEnd w:id="173"/>
    </w:p>
    <w:tbl>
      <w:tblPr>
        <w:tblStyle w:val="Tableausimple2"/>
        <w:tblW w:w="0" w:type="auto"/>
        <w:tblLook w:val="04A0" w:firstRow="1" w:lastRow="0" w:firstColumn="1" w:lastColumn="0" w:noHBand="0" w:noVBand="1"/>
      </w:tblPr>
      <w:tblGrid>
        <w:gridCol w:w="399"/>
        <w:gridCol w:w="2447"/>
        <w:gridCol w:w="1317"/>
        <w:gridCol w:w="850"/>
        <w:gridCol w:w="993"/>
        <w:gridCol w:w="2961"/>
      </w:tblGrid>
      <w:tr w:rsidR="006458E0" w:rsidRPr="003C5C8A" w14:paraId="37F92C55"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768A77E" w14:textId="77777777" w:rsidR="006458E0" w:rsidRPr="003C5C8A" w:rsidRDefault="006458E0" w:rsidP="006458E0">
            <w:pPr>
              <w:rPr>
                <w:sz w:val="18"/>
                <w:szCs w:val="18"/>
              </w:rPr>
            </w:pPr>
            <w:r w:rsidRPr="003C5C8A">
              <w:rPr>
                <w:sz w:val="18"/>
                <w:szCs w:val="18"/>
              </w:rPr>
              <w:t>n°</w:t>
            </w:r>
          </w:p>
        </w:tc>
        <w:tc>
          <w:tcPr>
            <w:tcW w:w="2447" w:type="dxa"/>
          </w:tcPr>
          <w:p w14:paraId="44EE6125" w14:textId="77777777" w:rsidR="006458E0" w:rsidRPr="003C5C8A" w:rsidRDefault="006458E0" w:rsidP="006458E0">
            <w:pPr>
              <w:jc w:val="right"/>
              <w:cnfStyle w:val="100000000000" w:firstRow="1" w:lastRow="0" w:firstColumn="0" w:lastColumn="0" w:oddVBand="0" w:evenVBand="0" w:oddHBand="0" w:evenHBand="0" w:firstRowFirstColumn="0" w:firstRowLastColumn="0" w:lastRowFirstColumn="0" w:lastRowLastColumn="0"/>
              <w:rPr>
                <w:sz w:val="18"/>
                <w:szCs w:val="18"/>
              </w:rPr>
            </w:pPr>
            <w:r w:rsidRPr="003C5C8A">
              <w:rPr>
                <w:sz w:val="18"/>
                <w:szCs w:val="18"/>
              </w:rPr>
              <w:t>Parameter</w:t>
            </w:r>
          </w:p>
        </w:tc>
        <w:tc>
          <w:tcPr>
            <w:tcW w:w="1317" w:type="dxa"/>
          </w:tcPr>
          <w:p w14:paraId="08119027" w14:textId="77777777" w:rsidR="006458E0" w:rsidRPr="003C5C8A"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3C5C8A">
              <w:rPr>
                <w:sz w:val="18"/>
                <w:szCs w:val="18"/>
              </w:rPr>
              <w:t>Unit</w:t>
            </w:r>
          </w:p>
        </w:tc>
        <w:tc>
          <w:tcPr>
            <w:tcW w:w="850" w:type="dxa"/>
          </w:tcPr>
          <w:p w14:paraId="24D3D520" w14:textId="77777777" w:rsidR="006458E0" w:rsidRPr="003C5C8A"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3C5C8A">
              <w:rPr>
                <w:sz w:val="18"/>
                <w:szCs w:val="18"/>
              </w:rPr>
              <w:t>Baseline value</w:t>
            </w:r>
          </w:p>
        </w:tc>
        <w:tc>
          <w:tcPr>
            <w:tcW w:w="993" w:type="dxa"/>
          </w:tcPr>
          <w:p w14:paraId="6DA405DD" w14:textId="77777777" w:rsidR="006458E0" w:rsidRPr="003C5C8A" w:rsidRDefault="006458E0" w:rsidP="006458E0">
            <w:pPr>
              <w:cnfStyle w:val="100000000000" w:firstRow="1" w:lastRow="0" w:firstColumn="0" w:lastColumn="0" w:oddVBand="0" w:evenVBand="0" w:oddHBand="0" w:evenHBand="0" w:firstRowFirstColumn="0" w:firstRowLastColumn="0" w:lastRowFirstColumn="0" w:lastRowLastColumn="0"/>
              <w:rPr>
                <w:sz w:val="18"/>
                <w:szCs w:val="18"/>
              </w:rPr>
            </w:pPr>
            <w:r w:rsidRPr="003C5C8A">
              <w:rPr>
                <w:sz w:val="18"/>
                <w:szCs w:val="18"/>
              </w:rPr>
              <w:t>Variation range</w:t>
            </w:r>
          </w:p>
        </w:tc>
        <w:tc>
          <w:tcPr>
            <w:tcW w:w="2961" w:type="dxa"/>
          </w:tcPr>
          <w:p w14:paraId="4881D5F0" w14:textId="77777777" w:rsidR="006458E0" w:rsidRPr="003C5C8A" w:rsidRDefault="006458E0" w:rsidP="00E9442B">
            <w:pPr>
              <w:cnfStyle w:val="100000000000" w:firstRow="1" w:lastRow="0" w:firstColumn="0" w:lastColumn="0" w:oddVBand="0" w:evenVBand="0" w:oddHBand="0" w:evenHBand="0" w:firstRowFirstColumn="0" w:firstRowLastColumn="0" w:lastRowFirstColumn="0" w:lastRowLastColumn="0"/>
              <w:rPr>
                <w:i/>
                <w:sz w:val="18"/>
                <w:szCs w:val="18"/>
              </w:rPr>
            </w:pPr>
            <w:r w:rsidRPr="003C5C8A">
              <w:rPr>
                <w:i/>
                <w:sz w:val="18"/>
                <w:szCs w:val="18"/>
              </w:rPr>
              <w:t>Comment</w:t>
            </w:r>
          </w:p>
        </w:tc>
      </w:tr>
      <w:tr w:rsidR="006458E0" w:rsidRPr="003C5C8A" w14:paraId="3B974266"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D26920B" w14:textId="77777777" w:rsidR="006458E0" w:rsidRPr="003C5C8A" w:rsidRDefault="006458E0" w:rsidP="006458E0">
            <w:pPr>
              <w:rPr>
                <w:sz w:val="18"/>
                <w:szCs w:val="18"/>
              </w:rPr>
            </w:pPr>
            <w:r w:rsidRPr="003C5C8A">
              <w:rPr>
                <w:sz w:val="18"/>
                <w:szCs w:val="18"/>
              </w:rPr>
              <w:t>65</w:t>
            </w:r>
          </w:p>
        </w:tc>
        <w:tc>
          <w:tcPr>
            <w:tcW w:w="2447" w:type="dxa"/>
          </w:tcPr>
          <w:p w14:paraId="7BBD8FAD" w14:textId="77777777" w:rsidR="006458E0" w:rsidRPr="003C5C8A"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BSF substrate CH</w:t>
            </w:r>
            <w:r w:rsidRPr="003C5C8A">
              <w:rPr>
                <w:sz w:val="18"/>
                <w:szCs w:val="18"/>
                <w:vertAlign w:val="subscript"/>
              </w:rPr>
              <w:t>4</w:t>
            </w:r>
            <w:r w:rsidRPr="003C5C8A">
              <w:rPr>
                <w:sz w:val="18"/>
                <w:szCs w:val="18"/>
              </w:rPr>
              <w:t>-C storage emissions</w:t>
            </w:r>
          </w:p>
        </w:tc>
        <w:tc>
          <w:tcPr>
            <w:tcW w:w="1317" w:type="dxa"/>
          </w:tcPr>
          <w:p w14:paraId="323DDE67"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g</w:t>
            </w:r>
            <w:r w:rsidRPr="003C5C8A">
              <w:rPr>
                <w:sz w:val="18"/>
                <w:szCs w:val="18"/>
                <w:vertAlign w:val="subscript"/>
              </w:rPr>
              <w:t>CH4</w:t>
            </w:r>
            <w:r w:rsidRPr="003C5C8A">
              <w:rPr>
                <w:sz w:val="18"/>
                <w:szCs w:val="18"/>
              </w:rPr>
              <w:t>.kg</w:t>
            </w:r>
            <w:r w:rsidRPr="003C5C8A">
              <w:rPr>
                <w:sz w:val="18"/>
                <w:szCs w:val="18"/>
                <w:vertAlign w:val="subscript"/>
              </w:rPr>
              <w:t>VS</w:t>
            </w:r>
            <w:r w:rsidRPr="003C5C8A">
              <w:rPr>
                <w:sz w:val="18"/>
                <w:szCs w:val="18"/>
                <w:vertAlign w:val="superscript"/>
              </w:rPr>
              <w:t>-1</w:t>
            </w:r>
          </w:p>
        </w:tc>
        <w:tc>
          <w:tcPr>
            <w:tcW w:w="850" w:type="dxa"/>
          </w:tcPr>
          <w:p w14:paraId="0A89E751"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1</w:t>
            </w:r>
          </w:p>
        </w:tc>
        <w:tc>
          <w:tcPr>
            <w:tcW w:w="993" w:type="dxa"/>
          </w:tcPr>
          <w:p w14:paraId="677BD65B"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0.85-1.15</w:t>
            </w:r>
          </w:p>
        </w:tc>
        <w:tc>
          <w:tcPr>
            <w:tcW w:w="2961" w:type="dxa"/>
            <w:vMerge w:val="restart"/>
          </w:tcPr>
          <w:p w14:paraId="14DB4949" w14:textId="472F54DD"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3C5C8A">
              <w:rPr>
                <w:i/>
                <w:sz w:val="18"/>
                <w:szCs w:val="18"/>
              </w:rPr>
              <w:t xml:space="preserve">See </w:t>
            </w:r>
            <w:r w:rsidR="008C7712" w:rsidRPr="003C5C8A">
              <w:rPr>
                <w:b/>
                <w:i/>
                <w:sz w:val="18"/>
                <w:szCs w:val="18"/>
              </w:rPr>
              <w:fldChar w:fldCharType="begin"/>
            </w:r>
            <w:r w:rsidR="008C7712" w:rsidRPr="003C5C8A">
              <w:rPr>
                <w:b/>
                <w:i/>
                <w:sz w:val="18"/>
                <w:szCs w:val="18"/>
              </w:rPr>
              <w:instrText xml:space="preserve"> REF _Ref144803461 \h  \* MERGEFORMAT </w:instrText>
            </w:r>
            <w:r w:rsidR="008C7712" w:rsidRPr="003C5C8A">
              <w:rPr>
                <w:b/>
                <w:i/>
                <w:sz w:val="18"/>
                <w:szCs w:val="18"/>
              </w:rPr>
            </w:r>
            <w:r w:rsidR="008C7712" w:rsidRPr="003C5C8A">
              <w:rPr>
                <w:b/>
                <w:i/>
                <w:sz w:val="18"/>
                <w:szCs w:val="18"/>
              </w:rPr>
              <w:fldChar w:fldCharType="separate"/>
            </w:r>
            <w:r w:rsidR="00F25F8C" w:rsidRPr="003C5C8A">
              <w:rPr>
                <w:b/>
                <w:i/>
                <w:sz w:val="18"/>
                <w:szCs w:val="18"/>
              </w:rPr>
              <w:t xml:space="preserve">Table SI. </w:t>
            </w:r>
            <w:r w:rsidR="00F25F8C" w:rsidRPr="003C5C8A">
              <w:rPr>
                <w:b/>
                <w:i/>
                <w:noProof/>
                <w:sz w:val="18"/>
                <w:szCs w:val="18"/>
              </w:rPr>
              <w:t>28</w:t>
            </w:r>
            <w:r w:rsidR="008C7712" w:rsidRPr="003C5C8A">
              <w:rPr>
                <w:b/>
                <w:i/>
                <w:sz w:val="18"/>
                <w:szCs w:val="18"/>
              </w:rPr>
              <w:fldChar w:fldCharType="end"/>
            </w:r>
          </w:p>
        </w:tc>
      </w:tr>
      <w:tr w:rsidR="006458E0" w:rsidRPr="003C5C8A" w14:paraId="1F3F3842"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34DB0478" w14:textId="77777777" w:rsidR="006458E0" w:rsidRPr="003C5C8A" w:rsidRDefault="006458E0" w:rsidP="006458E0">
            <w:pPr>
              <w:rPr>
                <w:sz w:val="18"/>
                <w:szCs w:val="18"/>
              </w:rPr>
            </w:pPr>
            <w:r w:rsidRPr="003C5C8A">
              <w:rPr>
                <w:sz w:val="18"/>
                <w:szCs w:val="18"/>
              </w:rPr>
              <w:t>66</w:t>
            </w:r>
          </w:p>
        </w:tc>
        <w:tc>
          <w:tcPr>
            <w:tcW w:w="2447" w:type="dxa"/>
          </w:tcPr>
          <w:p w14:paraId="51473906" w14:textId="77777777" w:rsidR="006458E0" w:rsidRPr="003C5C8A"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Decontamination energy</w:t>
            </w:r>
          </w:p>
        </w:tc>
        <w:tc>
          <w:tcPr>
            <w:tcW w:w="1317" w:type="dxa"/>
          </w:tcPr>
          <w:p w14:paraId="34637552"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kWh.t</w:t>
            </w:r>
            <w:r w:rsidRPr="003C5C8A">
              <w:rPr>
                <w:sz w:val="18"/>
                <w:szCs w:val="18"/>
                <w:vertAlign w:val="subscript"/>
              </w:rPr>
              <w:t>ww</w:t>
            </w:r>
            <w:r w:rsidRPr="003C5C8A">
              <w:rPr>
                <w:sz w:val="18"/>
                <w:szCs w:val="18"/>
                <w:vertAlign w:val="superscript"/>
              </w:rPr>
              <w:t>-1</w:t>
            </w:r>
          </w:p>
        </w:tc>
        <w:tc>
          <w:tcPr>
            <w:tcW w:w="850" w:type="dxa"/>
          </w:tcPr>
          <w:p w14:paraId="669891F8"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26.5</w:t>
            </w:r>
          </w:p>
        </w:tc>
        <w:tc>
          <w:tcPr>
            <w:tcW w:w="993" w:type="dxa"/>
          </w:tcPr>
          <w:p w14:paraId="0624C65E"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3-50</w:t>
            </w:r>
          </w:p>
        </w:tc>
        <w:tc>
          <w:tcPr>
            <w:tcW w:w="2961" w:type="dxa"/>
            <w:vMerge/>
          </w:tcPr>
          <w:p w14:paraId="4BDAAD82" w14:textId="77777777" w:rsidR="006458E0" w:rsidRPr="003C5C8A"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p>
        </w:tc>
      </w:tr>
      <w:tr w:rsidR="006458E0" w:rsidRPr="003C5C8A" w14:paraId="0B2FD116"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75E0242" w14:textId="77777777" w:rsidR="006458E0" w:rsidRPr="003C5C8A" w:rsidRDefault="006458E0" w:rsidP="006458E0">
            <w:pPr>
              <w:rPr>
                <w:sz w:val="18"/>
                <w:szCs w:val="18"/>
              </w:rPr>
            </w:pPr>
            <w:r w:rsidRPr="003C5C8A">
              <w:rPr>
                <w:sz w:val="18"/>
                <w:szCs w:val="18"/>
              </w:rPr>
              <w:t>67</w:t>
            </w:r>
          </w:p>
        </w:tc>
        <w:tc>
          <w:tcPr>
            <w:tcW w:w="2447" w:type="dxa"/>
          </w:tcPr>
          <w:p w14:paraId="4C89865A" w14:textId="77777777" w:rsidR="006458E0" w:rsidRPr="003C5C8A"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Target BSF substrate DM</w:t>
            </w:r>
          </w:p>
        </w:tc>
        <w:tc>
          <w:tcPr>
            <w:tcW w:w="1317" w:type="dxa"/>
          </w:tcPr>
          <w:p w14:paraId="52F40582"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w:t>
            </w:r>
            <w:r w:rsidRPr="003C5C8A">
              <w:rPr>
                <w:sz w:val="18"/>
                <w:szCs w:val="18"/>
                <w:vertAlign w:val="subscript"/>
              </w:rPr>
              <w:t>DM</w:t>
            </w:r>
          </w:p>
        </w:tc>
        <w:tc>
          <w:tcPr>
            <w:tcW w:w="850" w:type="dxa"/>
          </w:tcPr>
          <w:p w14:paraId="76842BC2"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30%</w:t>
            </w:r>
          </w:p>
        </w:tc>
        <w:tc>
          <w:tcPr>
            <w:tcW w:w="993" w:type="dxa"/>
          </w:tcPr>
          <w:p w14:paraId="478FA205"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20-38%</w:t>
            </w:r>
          </w:p>
        </w:tc>
        <w:tc>
          <w:tcPr>
            <w:tcW w:w="2961" w:type="dxa"/>
            <w:vMerge/>
          </w:tcPr>
          <w:p w14:paraId="6C476D0F" w14:textId="77777777"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6458E0" w:rsidRPr="003C5C8A" w14:paraId="7435A30D"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4474FD8D" w14:textId="77777777" w:rsidR="006458E0" w:rsidRPr="003C5C8A" w:rsidRDefault="006458E0" w:rsidP="006458E0">
            <w:pPr>
              <w:rPr>
                <w:sz w:val="18"/>
                <w:szCs w:val="18"/>
              </w:rPr>
            </w:pPr>
            <w:r w:rsidRPr="003C5C8A">
              <w:rPr>
                <w:sz w:val="18"/>
                <w:szCs w:val="18"/>
              </w:rPr>
              <w:t>68</w:t>
            </w:r>
          </w:p>
        </w:tc>
        <w:tc>
          <w:tcPr>
            <w:tcW w:w="2447" w:type="dxa"/>
          </w:tcPr>
          <w:p w14:paraId="572FEBC7" w14:textId="77777777" w:rsidR="006458E0" w:rsidRPr="003C5C8A"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Starter feed mix</w:t>
            </w:r>
          </w:p>
        </w:tc>
        <w:tc>
          <w:tcPr>
            <w:tcW w:w="1317" w:type="dxa"/>
          </w:tcPr>
          <w:p w14:paraId="64751E29"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mg</w:t>
            </w:r>
            <w:r w:rsidRPr="003C5C8A">
              <w:rPr>
                <w:sz w:val="18"/>
                <w:szCs w:val="18"/>
                <w:vertAlign w:val="subscript"/>
              </w:rPr>
              <w:t>ww</w:t>
            </w:r>
            <w:r w:rsidRPr="003C5C8A">
              <w:rPr>
                <w:sz w:val="18"/>
                <w:szCs w:val="18"/>
              </w:rPr>
              <w:t>.5-DOL</w:t>
            </w:r>
            <w:r w:rsidRPr="003C5C8A">
              <w:rPr>
                <w:sz w:val="18"/>
                <w:szCs w:val="18"/>
                <w:vertAlign w:val="superscript"/>
              </w:rPr>
              <w:t>-1</w:t>
            </w:r>
          </w:p>
        </w:tc>
        <w:tc>
          <w:tcPr>
            <w:tcW w:w="850" w:type="dxa"/>
          </w:tcPr>
          <w:p w14:paraId="7C13082C"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12</w:t>
            </w:r>
          </w:p>
        </w:tc>
        <w:tc>
          <w:tcPr>
            <w:tcW w:w="993" w:type="dxa"/>
          </w:tcPr>
          <w:p w14:paraId="012D74CD"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10-15</w:t>
            </w:r>
          </w:p>
        </w:tc>
        <w:tc>
          <w:tcPr>
            <w:tcW w:w="2961" w:type="dxa"/>
            <w:vMerge w:val="restart"/>
          </w:tcPr>
          <w:p w14:paraId="47E696D7" w14:textId="67A7FE91" w:rsidR="006458E0" w:rsidRPr="003C5C8A"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3C5C8A">
              <w:rPr>
                <w:i/>
                <w:sz w:val="18"/>
                <w:szCs w:val="18"/>
              </w:rPr>
              <w:t xml:space="preserve">See </w:t>
            </w:r>
            <w:r w:rsidR="008C7712" w:rsidRPr="003C5C8A">
              <w:rPr>
                <w:b/>
                <w:i/>
                <w:sz w:val="18"/>
                <w:szCs w:val="18"/>
              </w:rPr>
              <w:fldChar w:fldCharType="begin"/>
            </w:r>
            <w:r w:rsidR="008C7712" w:rsidRPr="003C5C8A">
              <w:rPr>
                <w:b/>
                <w:i/>
                <w:sz w:val="18"/>
                <w:szCs w:val="18"/>
              </w:rPr>
              <w:instrText xml:space="preserve"> REF _Ref144803728 \h  \* MERGEFORMAT </w:instrText>
            </w:r>
            <w:r w:rsidR="008C7712" w:rsidRPr="003C5C8A">
              <w:rPr>
                <w:b/>
                <w:i/>
                <w:sz w:val="18"/>
                <w:szCs w:val="18"/>
              </w:rPr>
            </w:r>
            <w:r w:rsidR="008C7712" w:rsidRPr="003C5C8A">
              <w:rPr>
                <w:b/>
                <w:i/>
                <w:sz w:val="18"/>
                <w:szCs w:val="18"/>
              </w:rPr>
              <w:fldChar w:fldCharType="separate"/>
            </w:r>
            <w:r w:rsidR="00F25F8C" w:rsidRPr="003C5C8A">
              <w:rPr>
                <w:b/>
                <w:i/>
                <w:sz w:val="18"/>
                <w:szCs w:val="18"/>
              </w:rPr>
              <w:t xml:space="preserve">Table SI. </w:t>
            </w:r>
            <w:r w:rsidR="00F25F8C" w:rsidRPr="003C5C8A">
              <w:rPr>
                <w:b/>
                <w:i/>
                <w:noProof/>
                <w:sz w:val="18"/>
                <w:szCs w:val="18"/>
              </w:rPr>
              <w:t>29</w:t>
            </w:r>
            <w:r w:rsidR="008C7712" w:rsidRPr="003C5C8A">
              <w:rPr>
                <w:b/>
                <w:i/>
                <w:sz w:val="18"/>
                <w:szCs w:val="18"/>
              </w:rPr>
              <w:fldChar w:fldCharType="end"/>
            </w:r>
          </w:p>
        </w:tc>
      </w:tr>
      <w:tr w:rsidR="006458E0" w:rsidRPr="003C5C8A" w14:paraId="09914719"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8BD1312" w14:textId="77777777" w:rsidR="006458E0" w:rsidRPr="003C5C8A" w:rsidRDefault="006458E0" w:rsidP="006458E0">
            <w:pPr>
              <w:rPr>
                <w:sz w:val="18"/>
                <w:szCs w:val="18"/>
              </w:rPr>
            </w:pPr>
            <w:r w:rsidRPr="003C5C8A">
              <w:rPr>
                <w:sz w:val="18"/>
                <w:szCs w:val="18"/>
              </w:rPr>
              <w:t>69</w:t>
            </w:r>
          </w:p>
        </w:tc>
        <w:tc>
          <w:tcPr>
            <w:tcW w:w="2447" w:type="dxa"/>
          </w:tcPr>
          <w:p w14:paraId="1891825E" w14:textId="77777777" w:rsidR="006458E0" w:rsidRPr="003C5C8A"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5-DOL weight</w:t>
            </w:r>
          </w:p>
        </w:tc>
        <w:tc>
          <w:tcPr>
            <w:tcW w:w="1317" w:type="dxa"/>
          </w:tcPr>
          <w:p w14:paraId="2143080C"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mg</w:t>
            </w:r>
            <w:r w:rsidRPr="003C5C8A">
              <w:rPr>
                <w:sz w:val="18"/>
                <w:szCs w:val="18"/>
                <w:vertAlign w:val="subscript"/>
              </w:rPr>
              <w:t>ww</w:t>
            </w:r>
            <w:r w:rsidRPr="003C5C8A">
              <w:rPr>
                <w:sz w:val="18"/>
                <w:szCs w:val="18"/>
              </w:rPr>
              <w:t>.5-DOL</w:t>
            </w:r>
            <w:r w:rsidRPr="003C5C8A">
              <w:rPr>
                <w:sz w:val="18"/>
                <w:szCs w:val="18"/>
                <w:vertAlign w:val="superscript"/>
              </w:rPr>
              <w:t>-1</w:t>
            </w:r>
          </w:p>
        </w:tc>
        <w:tc>
          <w:tcPr>
            <w:tcW w:w="850" w:type="dxa"/>
          </w:tcPr>
          <w:p w14:paraId="23987B2B"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6</w:t>
            </w:r>
          </w:p>
        </w:tc>
        <w:tc>
          <w:tcPr>
            <w:tcW w:w="993" w:type="dxa"/>
          </w:tcPr>
          <w:p w14:paraId="2BB9ED0D"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2-10</w:t>
            </w:r>
          </w:p>
        </w:tc>
        <w:tc>
          <w:tcPr>
            <w:tcW w:w="2961" w:type="dxa"/>
            <w:vMerge/>
          </w:tcPr>
          <w:p w14:paraId="16C7C9B1" w14:textId="77777777"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6458E0" w:rsidRPr="003C5C8A" w14:paraId="20128B21"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25613B9D" w14:textId="77777777" w:rsidR="006458E0" w:rsidRPr="003C5C8A" w:rsidRDefault="006458E0" w:rsidP="006458E0">
            <w:pPr>
              <w:rPr>
                <w:sz w:val="18"/>
                <w:szCs w:val="18"/>
              </w:rPr>
            </w:pPr>
            <w:r w:rsidRPr="003C5C8A">
              <w:rPr>
                <w:sz w:val="18"/>
                <w:szCs w:val="18"/>
              </w:rPr>
              <w:t>70</w:t>
            </w:r>
          </w:p>
        </w:tc>
        <w:tc>
          <w:tcPr>
            <w:tcW w:w="2447" w:type="dxa"/>
          </w:tcPr>
          <w:p w14:paraId="1E38ABFC" w14:textId="77777777" w:rsidR="006458E0" w:rsidRPr="003C5C8A"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Moisture content BSF larvae</w:t>
            </w:r>
          </w:p>
        </w:tc>
        <w:tc>
          <w:tcPr>
            <w:tcW w:w="1317" w:type="dxa"/>
          </w:tcPr>
          <w:p w14:paraId="7F2AB3FE"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w:t>
            </w:r>
            <w:r w:rsidRPr="003C5C8A">
              <w:rPr>
                <w:sz w:val="18"/>
                <w:szCs w:val="18"/>
                <w:vertAlign w:val="subscript"/>
              </w:rPr>
              <w:t>ww</w:t>
            </w:r>
          </w:p>
        </w:tc>
        <w:tc>
          <w:tcPr>
            <w:tcW w:w="850" w:type="dxa"/>
          </w:tcPr>
          <w:p w14:paraId="24480220"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64%</w:t>
            </w:r>
          </w:p>
        </w:tc>
        <w:tc>
          <w:tcPr>
            <w:tcW w:w="993" w:type="dxa"/>
          </w:tcPr>
          <w:p w14:paraId="798639FF"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60-70%</w:t>
            </w:r>
          </w:p>
        </w:tc>
        <w:tc>
          <w:tcPr>
            <w:tcW w:w="2961" w:type="dxa"/>
            <w:vMerge w:val="restart"/>
          </w:tcPr>
          <w:p w14:paraId="2D6BEA91" w14:textId="645FA4C4" w:rsidR="006458E0" w:rsidRPr="003C5C8A"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3C5C8A">
              <w:rPr>
                <w:i/>
                <w:sz w:val="18"/>
                <w:szCs w:val="18"/>
              </w:rPr>
              <w:t xml:space="preserve">See </w:t>
            </w:r>
            <w:r w:rsidR="008C7712" w:rsidRPr="003C5C8A">
              <w:rPr>
                <w:b/>
                <w:i/>
                <w:sz w:val="18"/>
                <w:szCs w:val="18"/>
              </w:rPr>
              <w:fldChar w:fldCharType="begin"/>
            </w:r>
            <w:r w:rsidR="008C7712" w:rsidRPr="003C5C8A">
              <w:rPr>
                <w:b/>
                <w:i/>
                <w:sz w:val="18"/>
                <w:szCs w:val="18"/>
              </w:rPr>
              <w:instrText xml:space="preserve"> REF _Ref144803952 \h  \* MERGEFORMAT </w:instrText>
            </w:r>
            <w:r w:rsidR="008C7712" w:rsidRPr="003C5C8A">
              <w:rPr>
                <w:b/>
                <w:i/>
                <w:sz w:val="18"/>
                <w:szCs w:val="18"/>
              </w:rPr>
            </w:r>
            <w:r w:rsidR="008C7712" w:rsidRPr="003C5C8A">
              <w:rPr>
                <w:b/>
                <w:i/>
                <w:sz w:val="18"/>
                <w:szCs w:val="18"/>
              </w:rPr>
              <w:fldChar w:fldCharType="separate"/>
            </w:r>
            <w:r w:rsidR="00F25F8C" w:rsidRPr="003C5C8A">
              <w:rPr>
                <w:b/>
                <w:i/>
                <w:sz w:val="18"/>
                <w:szCs w:val="18"/>
              </w:rPr>
              <w:t xml:space="preserve">Table SI. </w:t>
            </w:r>
            <w:r w:rsidR="00F25F8C" w:rsidRPr="003C5C8A">
              <w:rPr>
                <w:b/>
                <w:i/>
                <w:noProof/>
                <w:sz w:val="18"/>
                <w:szCs w:val="18"/>
              </w:rPr>
              <w:t>30</w:t>
            </w:r>
            <w:r w:rsidR="008C7712" w:rsidRPr="003C5C8A">
              <w:rPr>
                <w:b/>
                <w:i/>
                <w:sz w:val="18"/>
                <w:szCs w:val="18"/>
              </w:rPr>
              <w:fldChar w:fldCharType="end"/>
            </w:r>
          </w:p>
        </w:tc>
      </w:tr>
      <w:tr w:rsidR="006458E0" w:rsidRPr="003C5C8A" w14:paraId="011EC42D"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2702B49" w14:textId="77777777" w:rsidR="006458E0" w:rsidRPr="003C5C8A" w:rsidRDefault="006458E0" w:rsidP="006458E0">
            <w:pPr>
              <w:rPr>
                <w:sz w:val="18"/>
                <w:szCs w:val="18"/>
              </w:rPr>
            </w:pPr>
            <w:r w:rsidRPr="003C5C8A">
              <w:rPr>
                <w:sz w:val="18"/>
                <w:szCs w:val="18"/>
              </w:rPr>
              <w:t>71</w:t>
            </w:r>
          </w:p>
        </w:tc>
        <w:tc>
          <w:tcPr>
            <w:tcW w:w="2447" w:type="dxa"/>
          </w:tcPr>
          <w:p w14:paraId="24394F23" w14:textId="77777777" w:rsidR="006458E0" w:rsidRPr="003C5C8A"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Fat content BSF larvae</w:t>
            </w:r>
          </w:p>
        </w:tc>
        <w:tc>
          <w:tcPr>
            <w:tcW w:w="1317" w:type="dxa"/>
          </w:tcPr>
          <w:p w14:paraId="459DAD5C"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w:t>
            </w:r>
            <w:r w:rsidRPr="003C5C8A">
              <w:rPr>
                <w:sz w:val="18"/>
                <w:szCs w:val="18"/>
                <w:vertAlign w:val="subscript"/>
              </w:rPr>
              <w:t>DM</w:t>
            </w:r>
          </w:p>
        </w:tc>
        <w:tc>
          <w:tcPr>
            <w:tcW w:w="850" w:type="dxa"/>
          </w:tcPr>
          <w:p w14:paraId="4D108361"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34%</w:t>
            </w:r>
          </w:p>
        </w:tc>
        <w:tc>
          <w:tcPr>
            <w:tcW w:w="993" w:type="dxa"/>
          </w:tcPr>
          <w:p w14:paraId="0D8CFBBB"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25-43%</w:t>
            </w:r>
          </w:p>
        </w:tc>
        <w:tc>
          <w:tcPr>
            <w:tcW w:w="2961" w:type="dxa"/>
            <w:vMerge/>
          </w:tcPr>
          <w:p w14:paraId="74A1E017" w14:textId="77777777"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6458E0" w:rsidRPr="003C5C8A" w14:paraId="4BBA1600"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1458A288" w14:textId="77777777" w:rsidR="006458E0" w:rsidRPr="003C5C8A" w:rsidRDefault="006458E0" w:rsidP="006458E0">
            <w:pPr>
              <w:rPr>
                <w:sz w:val="18"/>
                <w:szCs w:val="18"/>
              </w:rPr>
            </w:pPr>
            <w:r w:rsidRPr="003C5C8A">
              <w:rPr>
                <w:sz w:val="18"/>
                <w:szCs w:val="18"/>
              </w:rPr>
              <w:t>72</w:t>
            </w:r>
          </w:p>
        </w:tc>
        <w:tc>
          <w:tcPr>
            <w:tcW w:w="2447" w:type="dxa"/>
          </w:tcPr>
          <w:p w14:paraId="275FE704" w14:textId="77777777" w:rsidR="006458E0" w:rsidRPr="003C5C8A"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3C5C8A">
              <w:rPr>
                <w:rFonts w:cs="Times New Roman"/>
                <w:sz w:val="18"/>
                <w:szCs w:val="18"/>
              </w:rPr>
              <w:t>Protein conversion ratio (PCR)</w:t>
            </w:r>
          </w:p>
        </w:tc>
        <w:tc>
          <w:tcPr>
            <w:tcW w:w="1317" w:type="dxa"/>
          </w:tcPr>
          <w:p w14:paraId="252E5EDB"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w:t>
            </w:r>
            <w:r w:rsidRPr="003C5C8A">
              <w:rPr>
                <w:sz w:val="18"/>
                <w:szCs w:val="18"/>
                <w:vertAlign w:val="subscript"/>
              </w:rPr>
              <w:t>proteins</w:t>
            </w:r>
          </w:p>
        </w:tc>
        <w:tc>
          <w:tcPr>
            <w:tcW w:w="850" w:type="dxa"/>
          </w:tcPr>
          <w:p w14:paraId="7EF9C3F2"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rFonts w:cs="Times New Roman"/>
                <w:sz w:val="18"/>
                <w:szCs w:val="18"/>
              </w:rPr>
              <w:t>38%</w:t>
            </w:r>
          </w:p>
        </w:tc>
        <w:tc>
          <w:tcPr>
            <w:tcW w:w="993" w:type="dxa"/>
          </w:tcPr>
          <w:p w14:paraId="4EDF0EF1"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25-60%</w:t>
            </w:r>
          </w:p>
        </w:tc>
        <w:tc>
          <w:tcPr>
            <w:tcW w:w="2961" w:type="dxa"/>
            <w:vMerge/>
          </w:tcPr>
          <w:p w14:paraId="5E4D04B2" w14:textId="77777777" w:rsidR="006458E0" w:rsidRPr="003C5C8A"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p>
        </w:tc>
      </w:tr>
      <w:tr w:rsidR="006458E0" w:rsidRPr="003C5C8A" w14:paraId="797B4FA2"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CEAE913" w14:textId="77777777" w:rsidR="006458E0" w:rsidRPr="003C5C8A" w:rsidRDefault="006458E0" w:rsidP="006458E0">
            <w:pPr>
              <w:rPr>
                <w:sz w:val="18"/>
                <w:szCs w:val="18"/>
              </w:rPr>
            </w:pPr>
            <w:r w:rsidRPr="003C5C8A">
              <w:rPr>
                <w:sz w:val="18"/>
                <w:szCs w:val="18"/>
              </w:rPr>
              <w:t>73</w:t>
            </w:r>
          </w:p>
        </w:tc>
        <w:tc>
          <w:tcPr>
            <w:tcW w:w="2447" w:type="dxa"/>
          </w:tcPr>
          <w:p w14:paraId="1AFC4709" w14:textId="77777777" w:rsidR="006458E0" w:rsidRPr="003C5C8A"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3C5C8A">
              <w:rPr>
                <w:rFonts w:cs="Times New Roman"/>
                <w:sz w:val="18"/>
                <w:szCs w:val="18"/>
              </w:rPr>
              <w:t xml:space="preserve">BSF larvae survival rate </w:t>
            </w:r>
          </w:p>
        </w:tc>
        <w:tc>
          <w:tcPr>
            <w:tcW w:w="1317" w:type="dxa"/>
          </w:tcPr>
          <w:p w14:paraId="5B3DE289"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rFonts w:cs="Times New Roman"/>
                <w:sz w:val="18"/>
                <w:szCs w:val="18"/>
              </w:rPr>
              <w:t>%</w:t>
            </w:r>
            <w:r w:rsidRPr="003C5C8A">
              <w:rPr>
                <w:rFonts w:cs="Times New Roman"/>
                <w:sz w:val="18"/>
                <w:szCs w:val="18"/>
                <w:vertAlign w:val="subscript"/>
              </w:rPr>
              <w:t>5-DOL</w:t>
            </w:r>
          </w:p>
        </w:tc>
        <w:tc>
          <w:tcPr>
            <w:tcW w:w="850" w:type="dxa"/>
          </w:tcPr>
          <w:p w14:paraId="7028796F"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rFonts w:cs="Times New Roman"/>
                <w:sz w:val="18"/>
                <w:szCs w:val="18"/>
              </w:rPr>
              <w:t>90%</w:t>
            </w:r>
          </w:p>
        </w:tc>
        <w:tc>
          <w:tcPr>
            <w:tcW w:w="993" w:type="dxa"/>
          </w:tcPr>
          <w:p w14:paraId="5BC78518"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78-98%</w:t>
            </w:r>
          </w:p>
        </w:tc>
        <w:tc>
          <w:tcPr>
            <w:tcW w:w="2961" w:type="dxa"/>
            <w:vMerge/>
          </w:tcPr>
          <w:p w14:paraId="1049C79B" w14:textId="77777777"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6458E0" w:rsidRPr="003C5C8A" w14:paraId="23252559"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0AAB0140" w14:textId="77777777" w:rsidR="006458E0" w:rsidRPr="003C5C8A" w:rsidRDefault="006458E0" w:rsidP="006458E0">
            <w:pPr>
              <w:rPr>
                <w:sz w:val="18"/>
                <w:szCs w:val="18"/>
              </w:rPr>
            </w:pPr>
            <w:r w:rsidRPr="003C5C8A">
              <w:rPr>
                <w:sz w:val="18"/>
                <w:szCs w:val="18"/>
              </w:rPr>
              <w:t>74</w:t>
            </w:r>
          </w:p>
        </w:tc>
        <w:tc>
          <w:tcPr>
            <w:tcW w:w="2447" w:type="dxa"/>
          </w:tcPr>
          <w:p w14:paraId="5D5BB06A" w14:textId="77777777" w:rsidR="006458E0" w:rsidRPr="003C5C8A"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3C5C8A">
              <w:rPr>
                <w:rFonts w:cs="Times New Roman"/>
                <w:sz w:val="18"/>
                <w:szCs w:val="18"/>
              </w:rPr>
              <w:t>Finishing BSF larvae weight</w:t>
            </w:r>
          </w:p>
        </w:tc>
        <w:tc>
          <w:tcPr>
            <w:tcW w:w="1317" w:type="dxa"/>
          </w:tcPr>
          <w:p w14:paraId="218BCD3E"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3C5C8A">
              <w:rPr>
                <w:sz w:val="18"/>
                <w:szCs w:val="18"/>
              </w:rPr>
              <w:t>mg.larvae</w:t>
            </w:r>
            <w:proofErr w:type="gramEnd"/>
            <w:r w:rsidRPr="003C5C8A">
              <w:rPr>
                <w:sz w:val="18"/>
                <w:szCs w:val="18"/>
                <w:vertAlign w:val="superscript"/>
              </w:rPr>
              <w:t>-1</w:t>
            </w:r>
          </w:p>
        </w:tc>
        <w:tc>
          <w:tcPr>
            <w:tcW w:w="850" w:type="dxa"/>
          </w:tcPr>
          <w:p w14:paraId="0B4D8B3C"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rFonts w:cs="Times New Roman"/>
                <w:sz w:val="18"/>
                <w:szCs w:val="18"/>
              </w:rPr>
              <w:t>150</w:t>
            </w:r>
          </w:p>
        </w:tc>
        <w:tc>
          <w:tcPr>
            <w:tcW w:w="993" w:type="dxa"/>
          </w:tcPr>
          <w:p w14:paraId="38E329C1"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100-200</w:t>
            </w:r>
          </w:p>
        </w:tc>
        <w:tc>
          <w:tcPr>
            <w:tcW w:w="2961" w:type="dxa"/>
            <w:vMerge/>
          </w:tcPr>
          <w:p w14:paraId="7DC5AA59" w14:textId="77777777" w:rsidR="006458E0" w:rsidRPr="003C5C8A"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p>
        </w:tc>
      </w:tr>
      <w:tr w:rsidR="006458E0" w:rsidRPr="003C5C8A" w14:paraId="00FBCA03"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3169B7A" w14:textId="77777777" w:rsidR="006458E0" w:rsidRPr="003C5C8A" w:rsidRDefault="006458E0" w:rsidP="006458E0">
            <w:pPr>
              <w:rPr>
                <w:sz w:val="18"/>
                <w:szCs w:val="18"/>
              </w:rPr>
            </w:pPr>
            <w:r w:rsidRPr="003C5C8A">
              <w:rPr>
                <w:sz w:val="18"/>
                <w:szCs w:val="18"/>
              </w:rPr>
              <w:t>75</w:t>
            </w:r>
          </w:p>
        </w:tc>
        <w:tc>
          <w:tcPr>
            <w:tcW w:w="2447" w:type="dxa"/>
          </w:tcPr>
          <w:p w14:paraId="7557707B" w14:textId="77777777" w:rsidR="006458E0" w:rsidRPr="003C5C8A"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3C5C8A">
              <w:rPr>
                <w:rFonts w:cs="Times New Roman"/>
                <w:sz w:val="18"/>
                <w:szCs w:val="18"/>
              </w:rPr>
              <w:t>BSF growth period length</w:t>
            </w:r>
          </w:p>
        </w:tc>
        <w:tc>
          <w:tcPr>
            <w:tcW w:w="1317" w:type="dxa"/>
          </w:tcPr>
          <w:p w14:paraId="368324BB"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days</w:t>
            </w:r>
          </w:p>
        </w:tc>
        <w:tc>
          <w:tcPr>
            <w:tcW w:w="850" w:type="dxa"/>
          </w:tcPr>
          <w:p w14:paraId="6024F21F"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rFonts w:cs="Times New Roman"/>
                <w:sz w:val="18"/>
                <w:szCs w:val="18"/>
              </w:rPr>
              <w:t>20</w:t>
            </w:r>
          </w:p>
        </w:tc>
        <w:tc>
          <w:tcPr>
            <w:tcW w:w="993" w:type="dxa"/>
          </w:tcPr>
          <w:p w14:paraId="04698773"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11-29</w:t>
            </w:r>
          </w:p>
        </w:tc>
        <w:tc>
          <w:tcPr>
            <w:tcW w:w="2961" w:type="dxa"/>
            <w:vMerge/>
          </w:tcPr>
          <w:p w14:paraId="5F7E07BD" w14:textId="77777777"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6458E0" w:rsidRPr="003C5C8A" w14:paraId="2CBDB443"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56817B3A" w14:textId="77777777" w:rsidR="006458E0" w:rsidRPr="003C5C8A" w:rsidRDefault="006458E0" w:rsidP="006458E0">
            <w:pPr>
              <w:rPr>
                <w:sz w:val="18"/>
                <w:szCs w:val="18"/>
              </w:rPr>
            </w:pPr>
            <w:r w:rsidRPr="003C5C8A">
              <w:rPr>
                <w:sz w:val="18"/>
                <w:szCs w:val="18"/>
              </w:rPr>
              <w:t>76</w:t>
            </w:r>
          </w:p>
        </w:tc>
        <w:tc>
          <w:tcPr>
            <w:tcW w:w="2447" w:type="dxa"/>
          </w:tcPr>
          <w:p w14:paraId="40614B5E" w14:textId="77777777" w:rsidR="006458E0" w:rsidRPr="003C5C8A"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BSF larvae CO</w:t>
            </w:r>
            <w:r w:rsidRPr="003C5C8A">
              <w:rPr>
                <w:sz w:val="18"/>
                <w:szCs w:val="18"/>
                <w:vertAlign w:val="subscript"/>
              </w:rPr>
              <w:t>2</w:t>
            </w:r>
            <w:r w:rsidRPr="003C5C8A">
              <w:rPr>
                <w:sz w:val="18"/>
                <w:szCs w:val="18"/>
              </w:rPr>
              <w:t xml:space="preserve"> emissions</w:t>
            </w:r>
          </w:p>
        </w:tc>
        <w:tc>
          <w:tcPr>
            <w:tcW w:w="1317" w:type="dxa"/>
          </w:tcPr>
          <w:p w14:paraId="6F953EA5"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rFonts w:cs="Times New Roman"/>
                <w:sz w:val="18"/>
                <w:szCs w:val="18"/>
              </w:rPr>
              <w:t>kgCO</w:t>
            </w:r>
            <w:r w:rsidRPr="003C5C8A">
              <w:rPr>
                <w:rFonts w:cs="Times New Roman"/>
                <w:sz w:val="18"/>
                <w:szCs w:val="18"/>
                <w:vertAlign w:val="subscript"/>
              </w:rPr>
              <w:t>2</w:t>
            </w:r>
            <w:r w:rsidRPr="003C5C8A">
              <w:rPr>
                <w:rFonts w:cs="Times New Roman"/>
                <w:sz w:val="18"/>
                <w:szCs w:val="18"/>
              </w:rPr>
              <w:t>.kg</w:t>
            </w:r>
            <w:r w:rsidRPr="003C5C8A">
              <w:rPr>
                <w:rFonts w:cs="Times New Roman"/>
                <w:sz w:val="18"/>
                <w:szCs w:val="18"/>
                <w:vertAlign w:val="subscript"/>
              </w:rPr>
              <w:t>DM</w:t>
            </w:r>
            <w:r w:rsidRPr="003C5C8A">
              <w:rPr>
                <w:rFonts w:cs="Times New Roman"/>
                <w:sz w:val="18"/>
                <w:szCs w:val="18"/>
                <w:vertAlign w:val="superscript"/>
              </w:rPr>
              <w:t>-1</w:t>
            </w:r>
          </w:p>
        </w:tc>
        <w:tc>
          <w:tcPr>
            <w:tcW w:w="850" w:type="dxa"/>
          </w:tcPr>
          <w:p w14:paraId="4B91368D"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2.75</w:t>
            </w:r>
          </w:p>
        </w:tc>
        <w:tc>
          <w:tcPr>
            <w:tcW w:w="993" w:type="dxa"/>
          </w:tcPr>
          <w:p w14:paraId="1CE6ADBF"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1.5-4</w:t>
            </w:r>
          </w:p>
        </w:tc>
        <w:tc>
          <w:tcPr>
            <w:tcW w:w="2961" w:type="dxa"/>
            <w:vMerge w:val="restart"/>
          </w:tcPr>
          <w:p w14:paraId="58A428CA" w14:textId="420544B2" w:rsidR="006458E0" w:rsidRPr="003C5C8A"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3C5C8A">
              <w:rPr>
                <w:i/>
                <w:sz w:val="18"/>
                <w:szCs w:val="18"/>
              </w:rPr>
              <w:t xml:space="preserve">See </w:t>
            </w:r>
            <w:r w:rsidR="008C7712" w:rsidRPr="003C5C8A">
              <w:rPr>
                <w:b/>
                <w:i/>
                <w:sz w:val="18"/>
                <w:szCs w:val="18"/>
              </w:rPr>
              <w:fldChar w:fldCharType="begin"/>
            </w:r>
            <w:r w:rsidR="008C7712" w:rsidRPr="003C5C8A">
              <w:rPr>
                <w:b/>
                <w:i/>
                <w:sz w:val="18"/>
                <w:szCs w:val="18"/>
              </w:rPr>
              <w:instrText xml:space="preserve"> REF _Ref144804529 \h  \* MERGEFORMAT </w:instrText>
            </w:r>
            <w:r w:rsidR="008C7712" w:rsidRPr="003C5C8A">
              <w:rPr>
                <w:b/>
                <w:i/>
                <w:sz w:val="18"/>
                <w:szCs w:val="18"/>
              </w:rPr>
            </w:r>
            <w:r w:rsidR="008C7712" w:rsidRPr="003C5C8A">
              <w:rPr>
                <w:b/>
                <w:i/>
                <w:sz w:val="18"/>
                <w:szCs w:val="18"/>
              </w:rPr>
              <w:fldChar w:fldCharType="separate"/>
            </w:r>
            <w:r w:rsidR="00F25F8C" w:rsidRPr="003C5C8A">
              <w:rPr>
                <w:b/>
                <w:i/>
                <w:sz w:val="18"/>
                <w:szCs w:val="18"/>
              </w:rPr>
              <w:t xml:space="preserve">Table SI. </w:t>
            </w:r>
            <w:r w:rsidR="00F25F8C" w:rsidRPr="003C5C8A">
              <w:rPr>
                <w:b/>
                <w:i/>
                <w:noProof/>
                <w:sz w:val="18"/>
                <w:szCs w:val="18"/>
              </w:rPr>
              <w:t>32</w:t>
            </w:r>
            <w:r w:rsidR="008C7712" w:rsidRPr="003C5C8A">
              <w:rPr>
                <w:b/>
                <w:i/>
                <w:sz w:val="18"/>
                <w:szCs w:val="18"/>
              </w:rPr>
              <w:fldChar w:fldCharType="end"/>
            </w:r>
          </w:p>
        </w:tc>
      </w:tr>
      <w:tr w:rsidR="006458E0" w:rsidRPr="003C5C8A" w14:paraId="4E4104B3"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4B930E1" w14:textId="77777777" w:rsidR="006458E0" w:rsidRPr="003C5C8A" w:rsidRDefault="006458E0" w:rsidP="006458E0">
            <w:pPr>
              <w:rPr>
                <w:sz w:val="18"/>
                <w:szCs w:val="18"/>
              </w:rPr>
            </w:pPr>
            <w:r w:rsidRPr="003C5C8A">
              <w:rPr>
                <w:sz w:val="18"/>
                <w:szCs w:val="18"/>
              </w:rPr>
              <w:t>77</w:t>
            </w:r>
          </w:p>
        </w:tc>
        <w:tc>
          <w:tcPr>
            <w:tcW w:w="2447" w:type="dxa"/>
          </w:tcPr>
          <w:p w14:paraId="4F94E69A" w14:textId="77777777" w:rsidR="006458E0" w:rsidRPr="003C5C8A"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BSF larvae CH</w:t>
            </w:r>
            <w:r w:rsidRPr="003C5C8A">
              <w:rPr>
                <w:sz w:val="18"/>
                <w:szCs w:val="18"/>
                <w:vertAlign w:val="subscript"/>
              </w:rPr>
              <w:t>4</w:t>
            </w:r>
            <w:r w:rsidRPr="003C5C8A">
              <w:rPr>
                <w:sz w:val="18"/>
                <w:szCs w:val="18"/>
              </w:rPr>
              <w:t xml:space="preserve"> emissions</w:t>
            </w:r>
          </w:p>
        </w:tc>
        <w:tc>
          <w:tcPr>
            <w:tcW w:w="1317" w:type="dxa"/>
          </w:tcPr>
          <w:p w14:paraId="1E5F8AFF"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rFonts w:cs="Times New Roman"/>
                <w:sz w:val="18"/>
                <w:szCs w:val="18"/>
              </w:rPr>
              <w:t>mgCH</w:t>
            </w:r>
            <w:r w:rsidRPr="003C5C8A">
              <w:rPr>
                <w:rFonts w:cs="Times New Roman"/>
                <w:sz w:val="18"/>
                <w:szCs w:val="18"/>
                <w:vertAlign w:val="subscript"/>
              </w:rPr>
              <w:t>4</w:t>
            </w:r>
            <w:r w:rsidRPr="003C5C8A">
              <w:rPr>
                <w:rFonts w:cs="Times New Roman"/>
                <w:sz w:val="18"/>
                <w:szCs w:val="18"/>
              </w:rPr>
              <w:t>.kg</w:t>
            </w:r>
            <w:r w:rsidRPr="003C5C8A">
              <w:rPr>
                <w:rFonts w:cs="Times New Roman"/>
                <w:sz w:val="18"/>
                <w:szCs w:val="18"/>
                <w:vertAlign w:val="subscript"/>
              </w:rPr>
              <w:t>DM</w:t>
            </w:r>
            <w:r w:rsidRPr="003C5C8A">
              <w:rPr>
                <w:rFonts w:cs="Times New Roman"/>
                <w:sz w:val="18"/>
                <w:szCs w:val="18"/>
                <w:vertAlign w:val="superscript"/>
              </w:rPr>
              <w:t>-1</w:t>
            </w:r>
          </w:p>
        </w:tc>
        <w:tc>
          <w:tcPr>
            <w:tcW w:w="850" w:type="dxa"/>
          </w:tcPr>
          <w:p w14:paraId="52642570"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28</w:t>
            </w:r>
          </w:p>
        </w:tc>
        <w:tc>
          <w:tcPr>
            <w:tcW w:w="993" w:type="dxa"/>
          </w:tcPr>
          <w:p w14:paraId="66FD1A7E"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9-95</w:t>
            </w:r>
          </w:p>
        </w:tc>
        <w:tc>
          <w:tcPr>
            <w:tcW w:w="2961" w:type="dxa"/>
            <w:vMerge/>
          </w:tcPr>
          <w:p w14:paraId="16EE47B1" w14:textId="77777777"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6458E0" w:rsidRPr="003C5C8A" w14:paraId="4D2F4DCE"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2F5E3818" w14:textId="77777777" w:rsidR="006458E0" w:rsidRPr="003C5C8A" w:rsidRDefault="006458E0" w:rsidP="006458E0">
            <w:pPr>
              <w:rPr>
                <w:sz w:val="18"/>
                <w:szCs w:val="18"/>
              </w:rPr>
            </w:pPr>
            <w:r w:rsidRPr="003C5C8A">
              <w:rPr>
                <w:sz w:val="18"/>
                <w:szCs w:val="18"/>
              </w:rPr>
              <w:t>78</w:t>
            </w:r>
          </w:p>
        </w:tc>
        <w:tc>
          <w:tcPr>
            <w:tcW w:w="2447" w:type="dxa"/>
          </w:tcPr>
          <w:p w14:paraId="4C9ACE3B" w14:textId="77777777" w:rsidR="006458E0" w:rsidRPr="003C5C8A"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BSF larvae N emissions</w:t>
            </w:r>
          </w:p>
        </w:tc>
        <w:tc>
          <w:tcPr>
            <w:tcW w:w="1317" w:type="dxa"/>
          </w:tcPr>
          <w:p w14:paraId="69E67B48"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rFonts w:cs="Times New Roman"/>
                <w:sz w:val="18"/>
                <w:szCs w:val="18"/>
              </w:rPr>
            </w:pPr>
            <w:r w:rsidRPr="003C5C8A">
              <w:rPr>
                <w:sz w:val="18"/>
                <w:szCs w:val="18"/>
              </w:rPr>
              <w:t>%</w:t>
            </w:r>
            <w:r w:rsidRPr="003C5C8A">
              <w:rPr>
                <w:sz w:val="18"/>
                <w:szCs w:val="18"/>
                <w:vertAlign w:val="subscript"/>
              </w:rPr>
              <w:t>N</w:t>
            </w:r>
          </w:p>
        </w:tc>
        <w:tc>
          <w:tcPr>
            <w:tcW w:w="850" w:type="dxa"/>
          </w:tcPr>
          <w:p w14:paraId="4A146ECB"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4.4%</w:t>
            </w:r>
          </w:p>
        </w:tc>
        <w:tc>
          <w:tcPr>
            <w:tcW w:w="993" w:type="dxa"/>
          </w:tcPr>
          <w:p w14:paraId="0CEB4255"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0.7-8.0%</w:t>
            </w:r>
          </w:p>
        </w:tc>
        <w:tc>
          <w:tcPr>
            <w:tcW w:w="2961" w:type="dxa"/>
            <w:vMerge/>
          </w:tcPr>
          <w:p w14:paraId="385C6F87" w14:textId="77777777" w:rsidR="006458E0" w:rsidRPr="003C5C8A"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p>
        </w:tc>
      </w:tr>
      <w:tr w:rsidR="006458E0" w:rsidRPr="003C5C8A" w14:paraId="69935FB4"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AC8C7C8" w14:textId="77777777" w:rsidR="006458E0" w:rsidRPr="003C5C8A" w:rsidRDefault="006458E0" w:rsidP="006458E0">
            <w:pPr>
              <w:rPr>
                <w:sz w:val="18"/>
                <w:szCs w:val="18"/>
              </w:rPr>
            </w:pPr>
            <w:r w:rsidRPr="003C5C8A">
              <w:rPr>
                <w:sz w:val="18"/>
                <w:szCs w:val="18"/>
              </w:rPr>
              <w:t>79</w:t>
            </w:r>
          </w:p>
        </w:tc>
        <w:tc>
          <w:tcPr>
            <w:tcW w:w="2447" w:type="dxa"/>
          </w:tcPr>
          <w:p w14:paraId="73A5055E" w14:textId="77777777" w:rsidR="006458E0" w:rsidRPr="003C5C8A"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BSF larvae N</w:t>
            </w:r>
            <w:r w:rsidRPr="003C5C8A">
              <w:rPr>
                <w:sz w:val="18"/>
                <w:szCs w:val="18"/>
                <w:vertAlign w:val="subscript"/>
              </w:rPr>
              <w:t>2</w:t>
            </w:r>
            <w:r w:rsidRPr="003C5C8A">
              <w:rPr>
                <w:sz w:val="18"/>
                <w:szCs w:val="18"/>
              </w:rPr>
              <w:t>O emissions</w:t>
            </w:r>
          </w:p>
        </w:tc>
        <w:tc>
          <w:tcPr>
            <w:tcW w:w="1317" w:type="dxa"/>
          </w:tcPr>
          <w:p w14:paraId="1CCBCC74"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rFonts w:cs="Times New Roman"/>
                <w:sz w:val="18"/>
                <w:szCs w:val="18"/>
              </w:rPr>
              <w:t>mgN</w:t>
            </w:r>
            <w:r w:rsidRPr="003C5C8A">
              <w:rPr>
                <w:rFonts w:cs="Times New Roman"/>
                <w:sz w:val="18"/>
                <w:szCs w:val="18"/>
                <w:vertAlign w:val="subscript"/>
              </w:rPr>
              <w:t>2</w:t>
            </w:r>
            <w:r w:rsidRPr="003C5C8A">
              <w:rPr>
                <w:rFonts w:cs="Times New Roman"/>
                <w:sz w:val="18"/>
                <w:szCs w:val="18"/>
              </w:rPr>
              <w:t>O.kg</w:t>
            </w:r>
            <w:r w:rsidRPr="003C5C8A">
              <w:rPr>
                <w:rFonts w:cs="Times New Roman"/>
                <w:sz w:val="18"/>
                <w:szCs w:val="18"/>
                <w:vertAlign w:val="subscript"/>
              </w:rPr>
              <w:t>DM</w:t>
            </w:r>
            <w:r w:rsidRPr="003C5C8A">
              <w:rPr>
                <w:rFonts w:cs="Times New Roman"/>
                <w:sz w:val="18"/>
                <w:szCs w:val="18"/>
                <w:vertAlign w:val="superscript"/>
              </w:rPr>
              <w:t>-1</w:t>
            </w:r>
          </w:p>
        </w:tc>
        <w:tc>
          <w:tcPr>
            <w:tcW w:w="850" w:type="dxa"/>
          </w:tcPr>
          <w:p w14:paraId="516F47CB"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106</w:t>
            </w:r>
          </w:p>
        </w:tc>
        <w:tc>
          <w:tcPr>
            <w:tcW w:w="993" w:type="dxa"/>
          </w:tcPr>
          <w:p w14:paraId="352225CA"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7-215</w:t>
            </w:r>
          </w:p>
        </w:tc>
        <w:tc>
          <w:tcPr>
            <w:tcW w:w="2961" w:type="dxa"/>
            <w:vMerge/>
          </w:tcPr>
          <w:p w14:paraId="7A109790" w14:textId="77777777"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6458E0" w:rsidRPr="003C5C8A" w14:paraId="7C19428D"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55CB67E9" w14:textId="77777777" w:rsidR="006458E0" w:rsidRPr="003C5C8A" w:rsidRDefault="006458E0" w:rsidP="006458E0">
            <w:pPr>
              <w:rPr>
                <w:sz w:val="18"/>
                <w:szCs w:val="18"/>
              </w:rPr>
            </w:pPr>
            <w:r w:rsidRPr="003C5C8A">
              <w:rPr>
                <w:sz w:val="18"/>
                <w:szCs w:val="18"/>
              </w:rPr>
              <w:t>80</w:t>
            </w:r>
          </w:p>
        </w:tc>
        <w:tc>
          <w:tcPr>
            <w:tcW w:w="2447" w:type="dxa"/>
          </w:tcPr>
          <w:p w14:paraId="775E4895" w14:textId="77777777" w:rsidR="006458E0" w:rsidRPr="003C5C8A"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BSF larvae NH</w:t>
            </w:r>
            <w:r w:rsidRPr="003C5C8A">
              <w:rPr>
                <w:sz w:val="18"/>
                <w:szCs w:val="18"/>
                <w:vertAlign w:val="subscript"/>
              </w:rPr>
              <w:t>3</w:t>
            </w:r>
            <w:r w:rsidRPr="003C5C8A">
              <w:rPr>
                <w:sz w:val="18"/>
                <w:szCs w:val="18"/>
              </w:rPr>
              <w:t xml:space="preserve"> emissions</w:t>
            </w:r>
          </w:p>
        </w:tc>
        <w:tc>
          <w:tcPr>
            <w:tcW w:w="1317" w:type="dxa"/>
          </w:tcPr>
          <w:p w14:paraId="77136E64"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rFonts w:cs="Times New Roman"/>
                <w:sz w:val="18"/>
                <w:szCs w:val="18"/>
              </w:rPr>
              <w:t>gNH</w:t>
            </w:r>
            <w:r w:rsidRPr="003C5C8A">
              <w:rPr>
                <w:rFonts w:cs="Times New Roman"/>
                <w:sz w:val="18"/>
                <w:szCs w:val="18"/>
                <w:vertAlign w:val="subscript"/>
              </w:rPr>
              <w:t>3</w:t>
            </w:r>
            <w:r w:rsidRPr="003C5C8A">
              <w:rPr>
                <w:rFonts w:cs="Times New Roman"/>
                <w:sz w:val="18"/>
                <w:szCs w:val="18"/>
              </w:rPr>
              <w:t>.kg</w:t>
            </w:r>
            <w:r w:rsidRPr="003C5C8A">
              <w:rPr>
                <w:rFonts w:cs="Times New Roman"/>
                <w:sz w:val="18"/>
                <w:szCs w:val="18"/>
                <w:vertAlign w:val="subscript"/>
              </w:rPr>
              <w:t>DM</w:t>
            </w:r>
            <w:r w:rsidRPr="003C5C8A">
              <w:rPr>
                <w:rFonts w:cs="Times New Roman"/>
                <w:sz w:val="18"/>
                <w:szCs w:val="18"/>
                <w:vertAlign w:val="superscript"/>
              </w:rPr>
              <w:t>-1</w:t>
            </w:r>
          </w:p>
        </w:tc>
        <w:tc>
          <w:tcPr>
            <w:tcW w:w="850" w:type="dxa"/>
          </w:tcPr>
          <w:p w14:paraId="3F7EF2AE"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3.8</w:t>
            </w:r>
          </w:p>
        </w:tc>
        <w:tc>
          <w:tcPr>
            <w:tcW w:w="993" w:type="dxa"/>
          </w:tcPr>
          <w:p w14:paraId="0430DCE6"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0.1-8.0</w:t>
            </w:r>
          </w:p>
        </w:tc>
        <w:tc>
          <w:tcPr>
            <w:tcW w:w="2961" w:type="dxa"/>
            <w:vMerge/>
          </w:tcPr>
          <w:p w14:paraId="6197154E" w14:textId="77777777" w:rsidR="006458E0" w:rsidRPr="003C5C8A"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p>
        </w:tc>
      </w:tr>
      <w:tr w:rsidR="006458E0" w:rsidRPr="003C5C8A" w14:paraId="2A5BB84A"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01B06AB" w14:textId="77777777" w:rsidR="006458E0" w:rsidRPr="003C5C8A" w:rsidRDefault="006458E0" w:rsidP="006458E0">
            <w:pPr>
              <w:rPr>
                <w:sz w:val="18"/>
                <w:szCs w:val="18"/>
              </w:rPr>
            </w:pPr>
            <w:r w:rsidRPr="003C5C8A">
              <w:rPr>
                <w:sz w:val="18"/>
                <w:szCs w:val="18"/>
              </w:rPr>
              <w:t>81</w:t>
            </w:r>
          </w:p>
        </w:tc>
        <w:tc>
          <w:tcPr>
            <w:tcW w:w="2447" w:type="dxa"/>
          </w:tcPr>
          <w:p w14:paraId="57DBBA3E" w14:textId="77777777" w:rsidR="006458E0" w:rsidRPr="003C5C8A"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BSF frass moisture content</w:t>
            </w:r>
          </w:p>
        </w:tc>
        <w:tc>
          <w:tcPr>
            <w:tcW w:w="1317" w:type="dxa"/>
          </w:tcPr>
          <w:p w14:paraId="2384BA8F"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w:t>
            </w:r>
            <w:r w:rsidRPr="003C5C8A">
              <w:rPr>
                <w:sz w:val="18"/>
                <w:szCs w:val="18"/>
                <w:vertAlign w:val="subscript"/>
              </w:rPr>
              <w:t>ww</w:t>
            </w:r>
          </w:p>
        </w:tc>
        <w:tc>
          <w:tcPr>
            <w:tcW w:w="850" w:type="dxa"/>
          </w:tcPr>
          <w:p w14:paraId="35F5D837"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65%</w:t>
            </w:r>
          </w:p>
        </w:tc>
        <w:tc>
          <w:tcPr>
            <w:tcW w:w="993" w:type="dxa"/>
          </w:tcPr>
          <w:p w14:paraId="33748EC6"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50-75%</w:t>
            </w:r>
          </w:p>
        </w:tc>
        <w:tc>
          <w:tcPr>
            <w:tcW w:w="2961" w:type="dxa"/>
          </w:tcPr>
          <w:p w14:paraId="1995FEC6" w14:textId="31745DB7"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3C5C8A">
              <w:rPr>
                <w:i/>
                <w:sz w:val="18"/>
                <w:szCs w:val="18"/>
              </w:rPr>
              <w:t>Reviewed range</w:t>
            </w:r>
            <w:r w:rsidRPr="003C5C8A">
              <w:rPr>
                <w:i/>
                <w:sz w:val="18"/>
                <w:szCs w:val="18"/>
              </w:rPr>
              <w:fldChar w:fldCharType="begin"/>
            </w:r>
            <w:r w:rsidR="00942782">
              <w:rPr>
                <w:i/>
                <w:sz w:val="18"/>
                <w:szCs w:val="18"/>
              </w:rPr>
              <w:instrText xml:space="preserve"> ADDIN ZOTERO_ITEM CSL_CITATION {"citationID":"3NpxOsWr","properties":{"formattedCitation":"\\super 67,75,79\\nosupersub{}","plainCitation":"67,75,79","noteIndex":0},"citationItems":[{"id":12260,"uris":["http://zotero.org/users/6423791/items/7WTH59GM"],"itemData":{"id":12260,"type":"article-journal","abstract":"The inclusion of insect protein into the food system has been proposed as a promising solution to ensure future food security and mitigate negative environmental impacts related to food production. However, the market volume for edible insects in Europe is still small; consequently, producers need a decision-support system to ensure the sustainable upscaling of the sector. The study analyzed environmental and economic impacts of insect production to identify the most eco-efficient production scenarios.","container-title":"The International Journal of Life Cycle Assessment","DOI":"10.1007/s11367-021-01986-y","ISSN":"1614-7502","journalAbbreviation":"Int J Life Cycle Assess","language":"en","source":"Springer Link","title":"A modular environmental and economic assessment applied to the production of Hermetia illucens larvae as a protein source for food and feed","URL":"https://doi.org/10.1007/s11367-021-01986-y","author":[{"family":"Spykman","given":"Raphaela"},{"family":"Hossaini","given":"Sayed Mahdi"},{"family":"Peguero","given":"Daniela A."},{"family":"Green","given":"Ashley"},{"family":"Heinz","given":"Volker"},{"family":"Smetana","given":"Sergiy"}],"accessed":{"date-parts":[["2021",10,14]]},"issued":{"date-parts":[["2021",10,9]]}}},{"id":12295,"uris":["http://zotero.org/users/6423791/items/VVS73WKS"],"itemData":{"id":12295,"type":"article-journal","abstract":"Black soldier fly larvae (BSFL) treatment is promising for organic waste valorisation in the circular economy; however, waste variability impacts the process performance and quality of produced larvae. Specifically, variation in the carbohydrate profile of treated wastes has been suggested to have a significant impact on BSFL treatment performance and quality of produced larvae, with particular carbohydrates either positively or negatively influencing these variables. This study examines the hypothesis that the types of carbohydrates within the substrate can have significant influence on larval survival, waste reduction, bioconversion, and waste conversion efficiency, as well as the crude lipid content and fatty acid profiles of the produced larvae. The carbohydrates explored were D glucose, sucrose, D (−) fructose, corn and wheat starch, D (+) galactose, D (+) mannose, D (+) xylose, D (−) arabinose and xylan from beechwood. Young larvae were grown for 9 days on chicken feed-based diets containing various carbohydrate additives each at 20 dry mass %. Treatments containing hemicellulose constituents galactose and arabinose produced the most adverse effects on process performance relative to the benchmark. Xylan was significantly detrimental to bioconversion (−14.7 ± 3.8%) and waste conversion efficiencies (−19.0 ± 4.4%). There were minimal significant effects on performance from mono- and di-saccharides and starch additives. Larvae crude lipid contents were significantly increased by wheat starch (+12.6 ± 3.0%) and decreased by galactose (−15.0 ± 1.4%) and xylan additives (−27.5 ± 3.4%), however fatty acid profiles were largely unaffected and were dominated by lauric acid. These results indicate that despite an otherwise balanced and nutritious substrate, the carbohydrate profile of organic waste should be an important consideration in BSFL treatment when ensuring process performance and larval lipid contents. The consequences of these results for BSFL treatment of real wastes are discussed. Large scale treatment facilities should formulate substrates accordingly and identify methods to mitigate the anti-nutritional effects of poor carbohydrate profiles, particularly those high in hemicelluloses and their constituents.","container-title":"Waste Management","DOI":"10.1016/j.wasman.2021.10.013","ISSN":"0956-053X","journalAbbreviation":"Waste Management","language":"en","page":"9-19","source":"ScienceDirect","title":"Understanding dietary carbohydrates in black soldier fly larvae treatment of organic waste in the circular economy","volume":"137","author":[{"family":"Cohn","given":"Zachary"},{"family":"Latty","given":"Tanya"},{"family":"Abbas","given":"Ali"}],"issued":{"date-parts":[["2022",1,1]]}}},{"id":2351,"uris":["http://zotero.org/users/6423791/items/GENSMZAR"],"itemData":{"id":2351,"type":"article-journal","abstract":"Black soldier fly larvae (BSFL) are acknowledged for their potential to upcycle waste biomass into animal feed, human food or biofuels. To ensure sust…","container-title":"Journal of Cleaner Production","DOI":"10.1016/j.jclepro.2020.122488","ISSN":"0959-6526","journalAbbreviation":"J. Clean. Prod.","language":"en","note":"publisher: Elsevier","page":"122488","source":"www-sciencedirect-com.gorgone.univ-toulouse.fr","title":"Bioconversion efficiencies, greenhouse gas and ammonia emissions during black soldier fly rearing – A mass balance approach","volume":"271","author":[{"family":"Parodi","given":"A."},{"family":"De Boer","given":"Imke J. M."},{"family":"Gerrits","given":"W. J. J."},{"family":"Van Loon","given":"J. J. A."},{"family":"Heetkamp","given":"M. J.W"},{"family":"Van Schelt","given":"J"},{"family":"Elizabeth Bolhuis","given":"J."},{"family":"Van Zanten","given":"H. H. E."}],"issued":{"date-parts":[["2020",10,20]]}}}],"schema":"https://github.com/citation-style-language/schema/raw/master/csl-citation.json"} </w:instrText>
            </w:r>
            <w:r w:rsidRPr="003C5C8A">
              <w:rPr>
                <w:i/>
                <w:sz w:val="18"/>
                <w:szCs w:val="18"/>
              </w:rPr>
              <w:fldChar w:fldCharType="separate"/>
            </w:r>
            <w:r w:rsidR="00942782" w:rsidRPr="00942782">
              <w:rPr>
                <w:rFonts w:ascii="Calibri" w:hAnsi="Calibri" w:cs="Calibri"/>
                <w:sz w:val="18"/>
                <w:szCs w:val="24"/>
                <w:vertAlign w:val="superscript"/>
              </w:rPr>
              <w:t>67,75,79</w:t>
            </w:r>
            <w:r w:rsidRPr="003C5C8A">
              <w:rPr>
                <w:i/>
                <w:sz w:val="18"/>
                <w:szCs w:val="18"/>
              </w:rPr>
              <w:fldChar w:fldCharType="end"/>
            </w:r>
          </w:p>
        </w:tc>
      </w:tr>
      <w:tr w:rsidR="006458E0" w:rsidRPr="003C5C8A" w14:paraId="5AEE0FA2"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1BB9B7DE" w14:textId="77777777" w:rsidR="006458E0" w:rsidRPr="003C5C8A" w:rsidRDefault="006458E0" w:rsidP="006458E0">
            <w:pPr>
              <w:rPr>
                <w:sz w:val="18"/>
                <w:szCs w:val="18"/>
              </w:rPr>
            </w:pPr>
            <w:r w:rsidRPr="003C5C8A">
              <w:rPr>
                <w:sz w:val="18"/>
                <w:szCs w:val="18"/>
              </w:rPr>
              <w:t>82</w:t>
            </w:r>
          </w:p>
        </w:tc>
        <w:tc>
          <w:tcPr>
            <w:tcW w:w="2447" w:type="dxa"/>
          </w:tcPr>
          <w:p w14:paraId="3ECF6FFA" w14:textId="77777777" w:rsidR="006458E0" w:rsidRPr="003C5C8A"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Facilities use efficiency enhancement</w:t>
            </w:r>
          </w:p>
        </w:tc>
        <w:tc>
          <w:tcPr>
            <w:tcW w:w="1317" w:type="dxa"/>
          </w:tcPr>
          <w:p w14:paraId="3707A9BB"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w:t>
            </w:r>
            <w:r w:rsidRPr="003C5C8A">
              <w:rPr>
                <w:sz w:val="18"/>
                <w:szCs w:val="18"/>
                <w:vertAlign w:val="subscript"/>
              </w:rPr>
              <w:t>current</w:t>
            </w:r>
          </w:p>
        </w:tc>
        <w:tc>
          <w:tcPr>
            <w:tcW w:w="850" w:type="dxa"/>
          </w:tcPr>
          <w:p w14:paraId="3C073197"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28%</w:t>
            </w:r>
          </w:p>
        </w:tc>
        <w:tc>
          <w:tcPr>
            <w:tcW w:w="993" w:type="dxa"/>
          </w:tcPr>
          <w:p w14:paraId="7B0652B5"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0-50%</w:t>
            </w:r>
          </w:p>
        </w:tc>
        <w:tc>
          <w:tcPr>
            <w:tcW w:w="2961" w:type="dxa"/>
          </w:tcPr>
          <w:p w14:paraId="3C9FD653" w14:textId="72BA51CF" w:rsidR="006458E0" w:rsidRPr="003C5C8A"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3C5C8A">
              <w:rPr>
                <w:i/>
                <w:sz w:val="18"/>
                <w:szCs w:val="18"/>
              </w:rPr>
              <w:t>0% for low-tech set-ups</w:t>
            </w:r>
            <w:r w:rsidRPr="003C5C8A">
              <w:rPr>
                <w:i/>
                <w:sz w:val="18"/>
                <w:szCs w:val="18"/>
              </w:rPr>
              <w:fldChar w:fldCharType="begin"/>
            </w:r>
            <w:r w:rsidR="00E860C9">
              <w:rPr>
                <w:i/>
                <w:sz w:val="18"/>
                <w:szCs w:val="18"/>
              </w:rPr>
              <w:instrText xml:space="preserve"> ADDIN ZOTERO_ITEM CSL_CITATION {"citationID":"eDTDrl1i","properties":{"formattedCitation":"\\super 76,117\\nosupersub{}","plainCitation":"76,117","noteIndex":0},"citationItems":[{"id":3213,"uris":["http://zotero.org/users/6423791/items/WS8LUFQN"],"itemData":{"id":3213,"type":"report","event-place":"Dübendorf, Switzerland","language":"en","publisher":"Eawag: Swiss Federal Institute of Aquatic Science and Technology","publisher-place":"Dübendorf, Switzerland","source":"Zotero","title":"Black Soldier Fly Biowaste Processing - A Step-by-Step Guide","author":[{"family":"Dortmans","given":"B.M.A."},{"family":"Diener","given":"Stefan"},{"family":"Verstappen","given":"B.M."},{"family":"Zurbrügg","given":"Christian"}],"issued":{"date-parts":[["2017"]]}}},{"id":3198,"uris":["http://zotero.org/users/6423791/items/GY72TIZQ"],"itemData":{"id":3198,"type":"article-journal","abstract":"While the concept of insect based feeds (IBFs) promises great potential, especially in developing countries, the sustainability performance of IBF production remains widely underexplored. Drawing on experimental data from rearing trials in West Africa, three different insect production systems were modelled ex-ante. The generic models served as a basis to analyse and compare the process performances of different IBF production systems using Musca domestica and Hermetia illucens reared on different substrates. The results show that the input efficiency in the production of IBF is largely determined by the quality of rearing substrates, the larval development time and the employed inoculation practises, i.e., the method by which eggs or larvae are added to rearing substrates. The H. illucens system ranked highest for conversion efficiency (substrate input per IBF output), but showed substantially higher inputs in labour, fossil energy and output of wastewater. M. domestica systems operated at lower conversion efficiencies, which resulted in higher outputs of residue substrates, together with higher emissions, land requirements, built infrastructure and water. By offering full disclosure of generic inventory data, this study provides data and inspiration for prospect research and development activities and offers a reference to future life cycle assessments (LCAs) on IBF.","container-title":"Sustainability","DOI":"10.3390/su9101697","issue":"10","language":"en","license":"http://creativecommons.org/licenses/by/3.0/","page":"1697","source":"www.mdpi.com","title":"Life Cycle Inventory Analysis of Prospective Insect Based Feed Production in West Africa","volume":"9","author":[{"family":"Roffeis","given":"Martin"},{"family":"Almeida","given":"Joana"},{"family":"Wakefield","given":"Maureen Elizabeth"},{"family":"Valada","given":"Tatiana Raquel Alves"},{"family":"Devic","given":"Emilie"},{"family":"Koné","given":"N’Golopé"},{"family":"Kenis","given":"Marc"},{"family":"Nacambo","given":"Saidou"},{"family":"Fitches","given":"Elaine Charlotte"},{"family":"Koko","given":"Gabriel K. D."},{"family":"Mathijs","given":"Erik"},{"family":"Achten","given":"Wouter M. J."},{"family":"Muys","given":"Bart"}],"issued":{"date-parts":[["2017",10]]}}}],"schema":"https://github.com/citation-style-language/schema/raw/master/csl-citation.json"} </w:instrText>
            </w:r>
            <w:r w:rsidRPr="003C5C8A">
              <w:rPr>
                <w:i/>
                <w:sz w:val="18"/>
                <w:szCs w:val="18"/>
              </w:rPr>
              <w:fldChar w:fldCharType="separate"/>
            </w:r>
            <w:r w:rsidR="00E860C9" w:rsidRPr="00E860C9">
              <w:rPr>
                <w:rFonts w:ascii="Calibri" w:hAnsi="Calibri" w:cs="Calibri"/>
                <w:sz w:val="18"/>
                <w:szCs w:val="24"/>
                <w:vertAlign w:val="superscript"/>
              </w:rPr>
              <w:t>76,117</w:t>
            </w:r>
            <w:r w:rsidRPr="003C5C8A">
              <w:rPr>
                <w:i/>
                <w:sz w:val="18"/>
                <w:szCs w:val="18"/>
              </w:rPr>
              <w:fldChar w:fldCharType="end"/>
            </w:r>
            <w:r w:rsidRPr="003C5C8A">
              <w:rPr>
                <w:i/>
                <w:sz w:val="18"/>
                <w:szCs w:val="18"/>
              </w:rPr>
              <w:t>, considering up to 50% enhancement (i.e. more production per facility unit)</w:t>
            </w:r>
          </w:p>
        </w:tc>
      </w:tr>
      <w:tr w:rsidR="006458E0" w:rsidRPr="003C5C8A" w14:paraId="5FCDF4C4"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9DA9FC0" w14:textId="77777777" w:rsidR="006458E0" w:rsidRPr="003C5C8A" w:rsidRDefault="006458E0" w:rsidP="006458E0">
            <w:pPr>
              <w:rPr>
                <w:sz w:val="18"/>
                <w:szCs w:val="18"/>
              </w:rPr>
            </w:pPr>
            <w:r w:rsidRPr="003C5C8A">
              <w:rPr>
                <w:sz w:val="18"/>
                <w:szCs w:val="18"/>
              </w:rPr>
              <w:t>83</w:t>
            </w:r>
          </w:p>
        </w:tc>
        <w:tc>
          <w:tcPr>
            <w:tcW w:w="2447" w:type="dxa"/>
          </w:tcPr>
          <w:p w14:paraId="532F8A26" w14:textId="77777777" w:rsidR="006458E0" w:rsidRPr="003C5C8A"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BSF killing energy</w:t>
            </w:r>
          </w:p>
        </w:tc>
        <w:tc>
          <w:tcPr>
            <w:tcW w:w="1317" w:type="dxa"/>
          </w:tcPr>
          <w:p w14:paraId="61D3C851"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kWh.kg</w:t>
            </w:r>
            <w:r w:rsidRPr="003C5C8A">
              <w:rPr>
                <w:sz w:val="18"/>
                <w:szCs w:val="18"/>
                <w:vertAlign w:val="subscript"/>
              </w:rPr>
              <w:t>ww</w:t>
            </w:r>
            <w:r w:rsidRPr="003C5C8A">
              <w:rPr>
                <w:sz w:val="18"/>
                <w:szCs w:val="18"/>
                <w:vertAlign w:val="superscript"/>
              </w:rPr>
              <w:t>-1</w:t>
            </w:r>
          </w:p>
        </w:tc>
        <w:tc>
          <w:tcPr>
            <w:tcW w:w="850" w:type="dxa"/>
          </w:tcPr>
          <w:p w14:paraId="14B8B694"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0.14</w:t>
            </w:r>
          </w:p>
        </w:tc>
        <w:tc>
          <w:tcPr>
            <w:tcW w:w="993" w:type="dxa"/>
          </w:tcPr>
          <w:p w14:paraId="0D40F581"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0.09-0.25</w:t>
            </w:r>
          </w:p>
        </w:tc>
        <w:tc>
          <w:tcPr>
            <w:tcW w:w="2961" w:type="dxa"/>
          </w:tcPr>
          <w:p w14:paraId="10171003" w14:textId="009DE64B"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3C5C8A">
              <w:rPr>
                <w:i/>
                <w:sz w:val="18"/>
                <w:szCs w:val="18"/>
              </w:rPr>
              <w:t xml:space="preserve">See </w:t>
            </w:r>
            <w:r w:rsidR="008C7712" w:rsidRPr="003C5C8A">
              <w:rPr>
                <w:b/>
                <w:i/>
                <w:sz w:val="18"/>
                <w:szCs w:val="18"/>
              </w:rPr>
              <w:fldChar w:fldCharType="begin"/>
            </w:r>
            <w:r w:rsidR="008C7712" w:rsidRPr="003C5C8A">
              <w:rPr>
                <w:b/>
                <w:i/>
                <w:sz w:val="18"/>
                <w:szCs w:val="18"/>
              </w:rPr>
              <w:instrText xml:space="preserve"> REF _Ref144804706 \h  \* MERGEFORMAT </w:instrText>
            </w:r>
            <w:r w:rsidR="008C7712" w:rsidRPr="003C5C8A">
              <w:rPr>
                <w:b/>
                <w:i/>
                <w:sz w:val="18"/>
                <w:szCs w:val="18"/>
              </w:rPr>
            </w:r>
            <w:r w:rsidR="008C7712" w:rsidRPr="003C5C8A">
              <w:rPr>
                <w:b/>
                <w:i/>
                <w:sz w:val="18"/>
                <w:szCs w:val="18"/>
              </w:rPr>
              <w:fldChar w:fldCharType="separate"/>
            </w:r>
            <w:r w:rsidR="00F25F8C" w:rsidRPr="003C5C8A">
              <w:rPr>
                <w:b/>
                <w:i/>
                <w:sz w:val="18"/>
                <w:szCs w:val="18"/>
              </w:rPr>
              <w:t xml:space="preserve">Table SI. </w:t>
            </w:r>
            <w:r w:rsidR="00F25F8C" w:rsidRPr="003C5C8A">
              <w:rPr>
                <w:b/>
                <w:i/>
                <w:noProof/>
                <w:sz w:val="18"/>
                <w:szCs w:val="18"/>
              </w:rPr>
              <w:t>34</w:t>
            </w:r>
            <w:r w:rsidR="008C7712" w:rsidRPr="003C5C8A">
              <w:rPr>
                <w:b/>
                <w:i/>
                <w:sz w:val="18"/>
                <w:szCs w:val="18"/>
              </w:rPr>
              <w:fldChar w:fldCharType="end"/>
            </w:r>
          </w:p>
        </w:tc>
      </w:tr>
      <w:tr w:rsidR="006458E0" w:rsidRPr="003C5C8A" w14:paraId="4394C784"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7B33ED73" w14:textId="77777777" w:rsidR="006458E0" w:rsidRPr="003C5C8A" w:rsidRDefault="006458E0" w:rsidP="006458E0">
            <w:pPr>
              <w:rPr>
                <w:sz w:val="18"/>
                <w:szCs w:val="18"/>
              </w:rPr>
            </w:pPr>
            <w:r w:rsidRPr="003C5C8A">
              <w:rPr>
                <w:sz w:val="18"/>
                <w:szCs w:val="18"/>
              </w:rPr>
              <w:t>15</w:t>
            </w:r>
          </w:p>
        </w:tc>
        <w:tc>
          <w:tcPr>
            <w:tcW w:w="2447" w:type="dxa"/>
          </w:tcPr>
          <w:p w14:paraId="12294459" w14:textId="77777777" w:rsidR="006458E0" w:rsidRPr="003C5C8A"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Drying electricity</w:t>
            </w:r>
          </w:p>
        </w:tc>
        <w:tc>
          <w:tcPr>
            <w:tcW w:w="1317" w:type="dxa"/>
          </w:tcPr>
          <w:p w14:paraId="542FCFA4"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kWh.kg</w:t>
            </w:r>
            <w:r w:rsidRPr="003C5C8A">
              <w:rPr>
                <w:sz w:val="18"/>
                <w:szCs w:val="18"/>
                <w:vertAlign w:val="subscript"/>
              </w:rPr>
              <w:t>water</w:t>
            </w:r>
            <w:r w:rsidRPr="003C5C8A">
              <w:rPr>
                <w:sz w:val="18"/>
                <w:szCs w:val="18"/>
                <w:vertAlign w:val="superscript"/>
              </w:rPr>
              <w:t>-1</w:t>
            </w:r>
          </w:p>
        </w:tc>
        <w:tc>
          <w:tcPr>
            <w:tcW w:w="850" w:type="dxa"/>
          </w:tcPr>
          <w:p w14:paraId="493DA117"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0.11</w:t>
            </w:r>
          </w:p>
        </w:tc>
        <w:tc>
          <w:tcPr>
            <w:tcW w:w="993" w:type="dxa"/>
          </w:tcPr>
          <w:p w14:paraId="5C59D961"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0.03-0.28</w:t>
            </w:r>
          </w:p>
        </w:tc>
        <w:tc>
          <w:tcPr>
            <w:tcW w:w="2961" w:type="dxa"/>
            <w:vMerge w:val="restart"/>
          </w:tcPr>
          <w:p w14:paraId="7DF538E6" w14:textId="51183694" w:rsidR="006458E0" w:rsidRPr="003C5C8A"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3C5C8A">
              <w:rPr>
                <w:i/>
                <w:sz w:val="18"/>
                <w:szCs w:val="18"/>
              </w:rPr>
              <w:t>As for MP production</w:t>
            </w:r>
            <w:r w:rsidR="008C7712" w:rsidRPr="003C5C8A">
              <w:rPr>
                <w:i/>
                <w:sz w:val="18"/>
                <w:szCs w:val="18"/>
              </w:rPr>
              <w:t xml:space="preserve"> (</w:t>
            </w:r>
            <w:r w:rsidR="008C7712" w:rsidRPr="003C5C8A">
              <w:rPr>
                <w:b/>
                <w:i/>
                <w:sz w:val="18"/>
                <w:szCs w:val="18"/>
              </w:rPr>
              <w:t>section</w:t>
            </w:r>
            <w:r w:rsidR="003A663A">
              <w:rPr>
                <w:b/>
                <w:i/>
                <w:sz w:val="18"/>
                <w:szCs w:val="18"/>
              </w:rPr>
              <w:t xml:space="preserve"> SI.</w:t>
            </w:r>
            <w:r w:rsidR="008C7712" w:rsidRPr="003C5C8A">
              <w:rPr>
                <w:b/>
                <w:i/>
                <w:sz w:val="18"/>
                <w:szCs w:val="18"/>
              </w:rPr>
              <w:t xml:space="preserve"> </w:t>
            </w:r>
            <w:r w:rsidR="003C5C8A" w:rsidRPr="003C5C8A">
              <w:rPr>
                <w:b/>
                <w:i/>
                <w:sz w:val="18"/>
                <w:szCs w:val="18"/>
              </w:rPr>
              <w:t>4.6.4</w:t>
            </w:r>
            <w:r w:rsidR="008C7712" w:rsidRPr="003C5C8A">
              <w:rPr>
                <w:i/>
                <w:sz w:val="18"/>
                <w:szCs w:val="18"/>
              </w:rPr>
              <w:t>)</w:t>
            </w:r>
          </w:p>
        </w:tc>
      </w:tr>
      <w:tr w:rsidR="006458E0" w:rsidRPr="003C5C8A" w14:paraId="7E9A88EE"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DB6E573" w14:textId="77777777" w:rsidR="006458E0" w:rsidRPr="003C5C8A" w:rsidRDefault="006458E0" w:rsidP="006458E0">
            <w:pPr>
              <w:rPr>
                <w:sz w:val="18"/>
                <w:szCs w:val="18"/>
              </w:rPr>
            </w:pPr>
            <w:r w:rsidRPr="003C5C8A">
              <w:rPr>
                <w:sz w:val="18"/>
                <w:szCs w:val="18"/>
              </w:rPr>
              <w:t>16</w:t>
            </w:r>
          </w:p>
        </w:tc>
        <w:tc>
          <w:tcPr>
            <w:tcW w:w="2447" w:type="dxa"/>
          </w:tcPr>
          <w:p w14:paraId="2C8D4618" w14:textId="77777777" w:rsidR="006458E0" w:rsidRPr="003C5C8A"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Drying heat</w:t>
            </w:r>
          </w:p>
        </w:tc>
        <w:tc>
          <w:tcPr>
            <w:tcW w:w="1317" w:type="dxa"/>
          </w:tcPr>
          <w:p w14:paraId="42C6CDFA"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3C5C8A">
              <w:rPr>
                <w:sz w:val="18"/>
                <w:szCs w:val="18"/>
              </w:rPr>
              <w:t>MJ.kg</w:t>
            </w:r>
            <w:r w:rsidRPr="003C5C8A">
              <w:rPr>
                <w:sz w:val="18"/>
                <w:szCs w:val="18"/>
                <w:vertAlign w:val="subscript"/>
              </w:rPr>
              <w:t>water</w:t>
            </w:r>
            <w:proofErr w:type="gramEnd"/>
            <w:r w:rsidRPr="003C5C8A">
              <w:rPr>
                <w:sz w:val="18"/>
                <w:szCs w:val="18"/>
                <w:vertAlign w:val="superscript"/>
              </w:rPr>
              <w:t>-1</w:t>
            </w:r>
          </w:p>
        </w:tc>
        <w:tc>
          <w:tcPr>
            <w:tcW w:w="850" w:type="dxa"/>
          </w:tcPr>
          <w:p w14:paraId="5FD8BFB1"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3</w:t>
            </w:r>
          </w:p>
        </w:tc>
        <w:tc>
          <w:tcPr>
            <w:tcW w:w="993" w:type="dxa"/>
          </w:tcPr>
          <w:p w14:paraId="193EDB45"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2.7-4.1</w:t>
            </w:r>
          </w:p>
        </w:tc>
        <w:tc>
          <w:tcPr>
            <w:tcW w:w="2961" w:type="dxa"/>
            <w:vMerge/>
          </w:tcPr>
          <w:p w14:paraId="1B6EA41C" w14:textId="77777777"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6458E0" w:rsidRPr="003C5C8A" w14:paraId="3270B426"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09840C99" w14:textId="77777777" w:rsidR="006458E0" w:rsidRPr="003C5C8A" w:rsidRDefault="006458E0" w:rsidP="006458E0">
            <w:pPr>
              <w:rPr>
                <w:sz w:val="18"/>
                <w:szCs w:val="18"/>
              </w:rPr>
            </w:pPr>
            <w:r w:rsidRPr="003C5C8A">
              <w:rPr>
                <w:sz w:val="18"/>
                <w:szCs w:val="18"/>
              </w:rPr>
              <w:t>84</w:t>
            </w:r>
          </w:p>
        </w:tc>
        <w:tc>
          <w:tcPr>
            <w:tcW w:w="2447" w:type="dxa"/>
          </w:tcPr>
          <w:p w14:paraId="29E4000E" w14:textId="77777777" w:rsidR="006458E0" w:rsidRPr="003C5C8A"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Frass composting electricity</w:t>
            </w:r>
          </w:p>
        </w:tc>
        <w:tc>
          <w:tcPr>
            <w:tcW w:w="1317" w:type="dxa"/>
          </w:tcPr>
          <w:p w14:paraId="2AE2F4F3"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kWh.t</w:t>
            </w:r>
            <w:r w:rsidRPr="003C5C8A">
              <w:rPr>
                <w:sz w:val="18"/>
                <w:szCs w:val="18"/>
                <w:vertAlign w:val="subscript"/>
              </w:rPr>
              <w:t>ww</w:t>
            </w:r>
            <w:r w:rsidRPr="003C5C8A">
              <w:rPr>
                <w:sz w:val="18"/>
                <w:szCs w:val="18"/>
                <w:vertAlign w:val="superscript"/>
              </w:rPr>
              <w:t>-1</w:t>
            </w:r>
          </w:p>
        </w:tc>
        <w:tc>
          <w:tcPr>
            <w:tcW w:w="850" w:type="dxa"/>
          </w:tcPr>
          <w:p w14:paraId="5FDBDC47"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26</w:t>
            </w:r>
          </w:p>
        </w:tc>
        <w:tc>
          <w:tcPr>
            <w:tcW w:w="993" w:type="dxa"/>
          </w:tcPr>
          <w:p w14:paraId="109E6D02"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0.9-50</w:t>
            </w:r>
          </w:p>
        </w:tc>
        <w:tc>
          <w:tcPr>
            <w:tcW w:w="2961" w:type="dxa"/>
            <w:vMerge w:val="restart"/>
          </w:tcPr>
          <w:p w14:paraId="28C897B5" w14:textId="4FBA0B84" w:rsidR="006458E0" w:rsidRPr="003C5C8A"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3C5C8A">
              <w:rPr>
                <w:i/>
                <w:sz w:val="18"/>
                <w:szCs w:val="18"/>
              </w:rPr>
              <w:t xml:space="preserve">See </w:t>
            </w:r>
            <w:r w:rsidR="008C7712" w:rsidRPr="003C5C8A">
              <w:rPr>
                <w:b/>
                <w:i/>
                <w:sz w:val="18"/>
                <w:szCs w:val="18"/>
              </w:rPr>
              <w:fldChar w:fldCharType="begin"/>
            </w:r>
            <w:r w:rsidR="008C7712" w:rsidRPr="003C5C8A">
              <w:rPr>
                <w:b/>
                <w:i/>
                <w:sz w:val="18"/>
                <w:szCs w:val="18"/>
              </w:rPr>
              <w:instrText xml:space="preserve"> REF _Ref144805172 \h  \* MERGEFORMAT </w:instrText>
            </w:r>
            <w:r w:rsidR="008C7712" w:rsidRPr="003C5C8A">
              <w:rPr>
                <w:b/>
                <w:i/>
                <w:sz w:val="18"/>
                <w:szCs w:val="18"/>
              </w:rPr>
            </w:r>
            <w:r w:rsidR="008C7712" w:rsidRPr="003C5C8A">
              <w:rPr>
                <w:b/>
                <w:i/>
                <w:sz w:val="18"/>
                <w:szCs w:val="18"/>
              </w:rPr>
              <w:fldChar w:fldCharType="separate"/>
            </w:r>
            <w:r w:rsidR="00F25F8C" w:rsidRPr="003C5C8A">
              <w:rPr>
                <w:b/>
                <w:i/>
                <w:sz w:val="18"/>
                <w:szCs w:val="18"/>
              </w:rPr>
              <w:t xml:space="preserve">Table SI. </w:t>
            </w:r>
            <w:r w:rsidR="00F25F8C" w:rsidRPr="003C5C8A">
              <w:rPr>
                <w:b/>
                <w:i/>
                <w:noProof/>
                <w:sz w:val="18"/>
                <w:szCs w:val="18"/>
              </w:rPr>
              <w:t>35</w:t>
            </w:r>
            <w:r w:rsidR="008C7712" w:rsidRPr="003C5C8A">
              <w:rPr>
                <w:b/>
                <w:i/>
                <w:sz w:val="18"/>
                <w:szCs w:val="18"/>
              </w:rPr>
              <w:fldChar w:fldCharType="end"/>
            </w:r>
          </w:p>
        </w:tc>
      </w:tr>
      <w:tr w:rsidR="006458E0" w:rsidRPr="003C5C8A" w14:paraId="7D490A2B"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8BBF4E4" w14:textId="77777777" w:rsidR="006458E0" w:rsidRPr="003C5C8A" w:rsidRDefault="006458E0" w:rsidP="006458E0">
            <w:pPr>
              <w:rPr>
                <w:sz w:val="18"/>
                <w:szCs w:val="18"/>
              </w:rPr>
            </w:pPr>
            <w:r w:rsidRPr="003C5C8A">
              <w:rPr>
                <w:sz w:val="18"/>
                <w:szCs w:val="18"/>
              </w:rPr>
              <w:t>85</w:t>
            </w:r>
          </w:p>
        </w:tc>
        <w:tc>
          <w:tcPr>
            <w:tcW w:w="2447" w:type="dxa"/>
          </w:tcPr>
          <w:p w14:paraId="4DAE958F" w14:textId="77777777" w:rsidR="006458E0" w:rsidRPr="003C5C8A"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Frass composting C-emissions</w:t>
            </w:r>
          </w:p>
        </w:tc>
        <w:tc>
          <w:tcPr>
            <w:tcW w:w="1317" w:type="dxa"/>
          </w:tcPr>
          <w:p w14:paraId="3DAC7AC6"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w:t>
            </w:r>
            <w:r w:rsidRPr="003C5C8A">
              <w:rPr>
                <w:sz w:val="18"/>
                <w:szCs w:val="18"/>
                <w:vertAlign w:val="subscript"/>
              </w:rPr>
              <w:t>C</w:t>
            </w:r>
          </w:p>
        </w:tc>
        <w:tc>
          <w:tcPr>
            <w:tcW w:w="850" w:type="dxa"/>
          </w:tcPr>
          <w:p w14:paraId="1CEEC005"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20%</w:t>
            </w:r>
          </w:p>
        </w:tc>
        <w:tc>
          <w:tcPr>
            <w:tcW w:w="993" w:type="dxa"/>
          </w:tcPr>
          <w:p w14:paraId="0E493B3D"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10-35%</w:t>
            </w:r>
          </w:p>
        </w:tc>
        <w:tc>
          <w:tcPr>
            <w:tcW w:w="2961" w:type="dxa"/>
            <w:vMerge/>
          </w:tcPr>
          <w:p w14:paraId="2A724836" w14:textId="77777777"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6458E0" w:rsidRPr="003C5C8A" w14:paraId="6E39EFDF"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7618098E" w14:textId="77777777" w:rsidR="006458E0" w:rsidRPr="003C5C8A" w:rsidRDefault="006458E0" w:rsidP="006458E0">
            <w:pPr>
              <w:rPr>
                <w:sz w:val="18"/>
                <w:szCs w:val="18"/>
              </w:rPr>
            </w:pPr>
            <w:r w:rsidRPr="003C5C8A">
              <w:rPr>
                <w:sz w:val="18"/>
                <w:szCs w:val="18"/>
              </w:rPr>
              <w:t>86</w:t>
            </w:r>
          </w:p>
        </w:tc>
        <w:tc>
          <w:tcPr>
            <w:tcW w:w="2447" w:type="dxa"/>
          </w:tcPr>
          <w:p w14:paraId="13338932" w14:textId="77777777" w:rsidR="006458E0" w:rsidRPr="003C5C8A"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Frass composting CH</w:t>
            </w:r>
            <w:r w:rsidRPr="003C5C8A">
              <w:rPr>
                <w:sz w:val="18"/>
                <w:szCs w:val="18"/>
                <w:vertAlign w:val="subscript"/>
              </w:rPr>
              <w:t>4</w:t>
            </w:r>
            <w:r w:rsidRPr="003C5C8A">
              <w:rPr>
                <w:sz w:val="18"/>
                <w:szCs w:val="18"/>
              </w:rPr>
              <w:t xml:space="preserve"> emissions</w:t>
            </w:r>
          </w:p>
        </w:tc>
        <w:tc>
          <w:tcPr>
            <w:tcW w:w="1317" w:type="dxa"/>
          </w:tcPr>
          <w:p w14:paraId="3B22F956"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w:t>
            </w:r>
            <w:r w:rsidRPr="003C5C8A">
              <w:rPr>
                <w:sz w:val="18"/>
                <w:szCs w:val="18"/>
                <w:vertAlign w:val="subscript"/>
              </w:rPr>
              <w:t>C_emit</w:t>
            </w:r>
          </w:p>
        </w:tc>
        <w:tc>
          <w:tcPr>
            <w:tcW w:w="850" w:type="dxa"/>
          </w:tcPr>
          <w:p w14:paraId="47C43E98"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1%</w:t>
            </w:r>
          </w:p>
        </w:tc>
        <w:tc>
          <w:tcPr>
            <w:tcW w:w="993" w:type="dxa"/>
          </w:tcPr>
          <w:p w14:paraId="4EA22BB4"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0.2-1.7%</w:t>
            </w:r>
          </w:p>
        </w:tc>
        <w:tc>
          <w:tcPr>
            <w:tcW w:w="2961" w:type="dxa"/>
            <w:vMerge/>
          </w:tcPr>
          <w:p w14:paraId="3E73741A" w14:textId="77777777" w:rsidR="006458E0" w:rsidRPr="003C5C8A"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p>
        </w:tc>
      </w:tr>
      <w:tr w:rsidR="006458E0" w:rsidRPr="003C5C8A" w14:paraId="7101FAC4"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FB42377" w14:textId="77777777" w:rsidR="006458E0" w:rsidRPr="003C5C8A" w:rsidRDefault="006458E0" w:rsidP="006458E0">
            <w:pPr>
              <w:rPr>
                <w:sz w:val="18"/>
                <w:szCs w:val="18"/>
              </w:rPr>
            </w:pPr>
            <w:r w:rsidRPr="003C5C8A">
              <w:rPr>
                <w:sz w:val="18"/>
                <w:szCs w:val="18"/>
              </w:rPr>
              <w:t>87</w:t>
            </w:r>
          </w:p>
        </w:tc>
        <w:tc>
          <w:tcPr>
            <w:tcW w:w="2447" w:type="dxa"/>
          </w:tcPr>
          <w:p w14:paraId="7CC163F8" w14:textId="77777777" w:rsidR="006458E0" w:rsidRPr="003C5C8A"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Frass composting N</w:t>
            </w:r>
            <w:r w:rsidRPr="003C5C8A">
              <w:rPr>
                <w:sz w:val="18"/>
                <w:szCs w:val="18"/>
                <w:vertAlign w:val="subscript"/>
              </w:rPr>
              <w:t>2</w:t>
            </w:r>
            <w:r w:rsidRPr="003C5C8A">
              <w:rPr>
                <w:sz w:val="18"/>
                <w:szCs w:val="18"/>
              </w:rPr>
              <w:t>O emissions</w:t>
            </w:r>
          </w:p>
        </w:tc>
        <w:tc>
          <w:tcPr>
            <w:tcW w:w="1317" w:type="dxa"/>
          </w:tcPr>
          <w:p w14:paraId="222515D6"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w:t>
            </w:r>
            <w:r w:rsidRPr="003C5C8A">
              <w:rPr>
                <w:sz w:val="18"/>
                <w:szCs w:val="18"/>
                <w:vertAlign w:val="subscript"/>
              </w:rPr>
              <w:t>N_emit</w:t>
            </w:r>
          </w:p>
        </w:tc>
        <w:tc>
          <w:tcPr>
            <w:tcW w:w="850" w:type="dxa"/>
          </w:tcPr>
          <w:p w14:paraId="03C36639"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1.2%</w:t>
            </w:r>
          </w:p>
        </w:tc>
        <w:tc>
          <w:tcPr>
            <w:tcW w:w="993" w:type="dxa"/>
          </w:tcPr>
          <w:p w14:paraId="7A354403"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0.5-1.9%</w:t>
            </w:r>
          </w:p>
        </w:tc>
        <w:tc>
          <w:tcPr>
            <w:tcW w:w="2961" w:type="dxa"/>
            <w:vMerge/>
          </w:tcPr>
          <w:p w14:paraId="687F26D7" w14:textId="77777777"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6458E0" w:rsidRPr="003C5C8A" w14:paraId="700C344C"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73FE2A49" w14:textId="77777777" w:rsidR="006458E0" w:rsidRPr="003C5C8A" w:rsidRDefault="006458E0" w:rsidP="006458E0">
            <w:pPr>
              <w:rPr>
                <w:sz w:val="18"/>
                <w:szCs w:val="18"/>
              </w:rPr>
            </w:pPr>
            <w:r w:rsidRPr="003C5C8A">
              <w:rPr>
                <w:sz w:val="18"/>
                <w:szCs w:val="18"/>
              </w:rPr>
              <w:t>88</w:t>
            </w:r>
          </w:p>
        </w:tc>
        <w:tc>
          <w:tcPr>
            <w:tcW w:w="2447" w:type="dxa"/>
          </w:tcPr>
          <w:p w14:paraId="78A920BC" w14:textId="77777777" w:rsidR="006458E0" w:rsidRPr="003C5C8A"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Composted frass TAN</w:t>
            </w:r>
          </w:p>
        </w:tc>
        <w:tc>
          <w:tcPr>
            <w:tcW w:w="1317" w:type="dxa"/>
          </w:tcPr>
          <w:p w14:paraId="0B59D3FF"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w:t>
            </w:r>
            <w:r w:rsidRPr="003C5C8A">
              <w:rPr>
                <w:sz w:val="18"/>
                <w:szCs w:val="18"/>
                <w:vertAlign w:val="subscript"/>
              </w:rPr>
              <w:t>N</w:t>
            </w:r>
          </w:p>
        </w:tc>
        <w:tc>
          <w:tcPr>
            <w:tcW w:w="850" w:type="dxa"/>
          </w:tcPr>
          <w:p w14:paraId="10268F51"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19%</w:t>
            </w:r>
          </w:p>
        </w:tc>
        <w:tc>
          <w:tcPr>
            <w:tcW w:w="993" w:type="dxa"/>
          </w:tcPr>
          <w:p w14:paraId="3254DA50"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11-37%</w:t>
            </w:r>
          </w:p>
        </w:tc>
        <w:tc>
          <w:tcPr>
            <w:tcW w:w="2961" w:type="dxa"/>
            <w:vMerge/>
          </w:tcPr>
          <w:p w14:paraId="7C47F844" w14:textId="77777777" w:rsidR="006458E0" w:rsidRPr="003C5C8A"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p>
        </w:tc>
      </w:tr>
      <w:tr w:rsidR="006458E0" w:rsidRPr="003C5C8A" w14:paraId="1801417E"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F3F4185" w14:textId="77777777" w:rsidR="006458E0" w:rsidRPr="003C5C8A" w:rsidRDefault="006458E0" w:rsidP="006458E0">
            <w:pPr>
              <w:rPr>
                <w:sz w:val="18"/>
                <w:szCs w:val="18"/>
              </w:rPr>
            </w:pPr>
            <w:r w:rsidRPr="003C5C8A">
              <w:rPr>
                <w:sz w:val="18"/>
                <w:szCs w:val="18"/>
              </w:rPr>
              <w:t>89</w:t>
            </w:r>
          </w:p>
        </w:tc>
        <w:tc>
          <w:tcPr>
            <w:tcW w:w="2447" w:type="dxa"/>
          </w:tcPr>
          <w:p w14:paraId="58C1532C" w14:textId="77777777" w:rsidR="006458E0" w:rsidRPr="003C5C8A"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Frass composting diesel</w:t>
            </w:r>
          </w:p>
        </w:tc>
        <w:tc>
          <w:tcPr>
            <w:tcW w:w="1317" w:type="dxa"/>
          </w:tcPr>
          <w:p w14:paraId="0BA0A03F"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L.t</w:t>
            </w:r>
            <w:r w:rsidRPr="003C5C8A">
              <w:rPr>
                <w:sz w:val="18"/>
                <w:szCs w:val="18"/>
                <w:vertAlign w:val="subscript"/>
              </w:rPr>
              <w:t>ww</w:t>
            </w:r>
            <w:r w:rsidRPr="003C5C8A">
              <w:rPr>
                <w:sz w:val="18"/>
                <w:szCs w:val="18"/>
                <w:vertAlign w:val="superscript"/>
              </w:rPr>
              <w:t>-1</w:t>
            </w:r>
          </w:p>
        </w:tc>
        <w:tc>
          <w:tcPr>
            <w:tcW w:w="850" w:type="dxa"/>
          </w:tcPr>
          <w:p w14:paraId="2C303B86"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0.65</w:t>
            </w:r>
          </w:p>
        </w:tc>
        <w:tc>
          <w:tcPr>
            <w:tcW w:w="993" w:type="dxa"/>
          </w:tcPr>
          <w:p w14:paraId="516844B7"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0.3-2.8</w:t>
            </w:r>
          </w:p>
        </w:tc>
        <w:tc>
          <w:tcPr>
            <w:tcW w:w="2961" w:type="dxa"/>
            <w:vMerge/>
          </w:tcPr>
          <w:p w14:paraId="282113CC" w14:textId="77777777"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6458E0" w:rsidRPr="003C5C8A" w14:paraId="4264C381"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033A4416" w14:textId="77777777" w:rsidR="006458E0" w:rsidRPr="003C5C8A" w:rsidRDefault="006458E0" w:rsidP="006458E0">
            <w:pPr>
              <w:rPr>
                <w:sz w:val="18"/>
                <w:szCs w:val="18"/>
              </w:rPr>
            </w:pPr>
            <w:r w:rsidRPr="003C5C8A">
              <w:rPr>
                <w:sz w:val="18"/>
                <w:szCs w:val="18"/>
              </w:rPr>
              <w:t>64</w:t>
            </w:r>
          </w:p>
        </w:tc>
        <w:tc>
          <w:tcPr>
            <w:tcW w:w="2447" w:type="dxa"/>
          </w:tcPr>
          <w:p w14:paraId="6D52B424" w14:textId="77777777" w:rsidR="006458E0" w:rsidRPr="003C5C8A"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Frass k</w:t>
            </w:r>
            <w:r w:rsidRPr="003C5C8A">
              <w:rPr>
                <w:sz w:val="18"/>
                <w:szCs w:val="18"/>
                <w:vertAlign w:val="subscript"/>
              </w:rPr>
              <w:t>min</w:t>
            </w:r>
          </w:p>
        </w:tc>
        <w:tc>
          <w:tcPr>
            <w:tcW w:w="1317" w:type="dxa"/>
          </w:tcPr>
          <w:p w14:paraId="18D5B31B"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w:t>
            </w:r>
            <w:r w:rsidRPr="003C5C8A">
              <w:rPr>
                <w:sz w:val="18"/>
                <w:szCs w:val="18"/>
                <w:vertAlign w:val="subscript"/>
              </w:rPr>
              <w:t>N</w:t>
            </w:r>
          </w:p>
        </w:tc>
        <w:tc>
          <w:tcPr>
            <w:tcW w:w="850" w:type="dxa"/>
          </w:tcPr>
          <w:p w14:paraId="5944DE1C"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55%</w:t>
            </w:r>
          </w:p>
        </w:tc>
        <w:tc>
          <w:tcPr>
            <w:tcW w:w="993" w:type="dxa"/>
          </w:tcPr>
          <w:p w14:paraId="4209C711"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35-75%</w:t>
            </w:r>
          </w:p>
        </w:tc>
        <w:tc>
          <w:tcPr>
            <w:tcW w:w="2961" w:type="dxa"/>
          </w:tcPr>
          <w:p w14:paraId="0C26AA6D" w14:textId="2A9CD2D6" w:rsidR="006458E0" w:rsidRPr="003C5C8A"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3C5C8A">
              <w:rPr>
                <w:i/>
                <w:sz w:val="18"/>
                <w:szCs w:val="18"/>
              </w:rPr>
              <w:t>Between compost and biosolids</w:t>
            </w:r>
            <w:r w:rsidRPr="003C5C8A">
              <w:rPr>
                <w:i/>
                <w:sz w:val="18"/>
                <w:szCs w:val="18"/>
              </w:rPr>
              <w:fldChar w:fldCharType="begin"/>
            </w:r>
            <w:r w:rsidR="00E860C9">
              <w:rPr>
                <w:i/>
                <w:sz w:val="18"/>
                <w:szCs w:val="18"/>
              </w:rPr>
              <w:instrText xml:space="preserve"> ADDIN ZOTERO_ITEM CSL_CITATION {"citationID":"HpAklcBE","properties":{"formattedCitation":"\\super 118\\nosupersub{}","plainCitation":"118","noteIndex":0},"citationItems":[{"id":11644,"uris":["http://zotero.org/users/6423791/items/R4GEWKLY"],"itemData":{"id":11644,"type":"article-journal","abstract":"Agricultural utilization of organic residues is often included in Life cycle assessment (LCA) studies on livestock and crop production as well as waste and wastewater treatment. A review on the current state-of-the-art practices in agricultural use of organic residues in LCA studies is presented. This reveals that agricultural use of organic residues in LCA studies can be represented in several ways and at different levels of detail. About 100 published references were thoroughly analyzed showing that agricultural use of organic residues usually replaces the use of a mineral fertilizer (substitution of avoided mineral fertilizer). The mineral fertilizer equivalents (MFE) applied are rarely documented, although LCA results can be significantly affected by the way avoided impacts are modeled. Accounting of field emissions from organic residue application varies with the topic of the LCA study. To facilitate nitrogen MFE and field emission calculations, an Excel-tool is proposed for determining the nitrogen MFE of organic residues, direct nitrogen field emissions from organic residue applications, as well as avoided emissions (avoided mineral fertilizers). Computation of the nitrogen MFE of organic residues is based on their nitrogen content and composition, and on nitrogen emissions from field applications of the organic residues. Nitrogen field emissions were estimated using simple models and average climate and soil conditions. A global sensitivity analysis revealed that the choice of the application method, which determines the extent of incorporation into the soil, is the main cause of uncertainty in calculated nitrogen MFE values.","container-title":"Resources, Conservation and Recycling","DOI":"10.1016/j.resconrec.2018.01.034","ISSN":"0921-3449","journalAbbreviation":"Resourc. Conserv. Recy.","language":"en","page":"50-62","source":"ScienceDirect","title":"Agricultural use of organic residues in life cycle assessment: Current practices and proposal for the computation of field emissions and of the nitrogen mineral fertilizer equivalent","title-short":"Agricultural use of organic residues in life cycle assessment","volume":"133","author":[{"family":"Brockmann","given":"D."},{"family":"Pradel","given":"M."},{"family":"Hélias","given":"A."}],"issued":{"date-parts":[["2018",6,1]]}}}],"schema":"https://github.com/citation-style-language/schema/raw/master/csl-citation.json"} </w:instrText>
            </w:r>
            <w:r w:rsidRPr="003C5C8A">
              <w:rPr>
                <w:i/>
                <w:sz w:val="18"/>
                <w:szCs w:val="18"/>
              </w:rPr>
              <w:fldChar w:fldCharType="separate"/>
            </w:r>
            <w:r w:rsidR="00E860C9" w:rsidRPr="00E860C9">
              <w:rPr>
                <w:rFonts w:ascii="Calibri" w:hAnsi="Calibri" w:cs="Calibri"/>
                <w:sz w:val="18"/>
                <w:szCs w:val="24"/>
                <w:vertAlign w:val="superscript"/>
              </w:rPr>
              <w:t>118</w:t>
            </w:r>
            <w:r w:rsidRPr="003C5C8A">
              <w:rPr>
                <w:i/>
                <w:sz w:val="18"/>
                <w:szCs w:val="18"/>
              </w:rPr>
              <w:fldChar w:fldCharType="end"/>
            </w:r>
          </w:p>
        </w:tc>
      </w:tr>
      <w:tr w:rsidR="006458E0" w:rsidRPr="003C5C8A" w14:paraId="5E33599A"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EAD16A3" w14:textId="77777777" w:rsidR="006458E0" w:rsidRPr="003C5C8A" w:rsidRDefault="006458E0" w:rsidP="006458E0">
            <w:pPr>
              <w:rPr>
                <w:sz w:val="18"/>
                <w:szCs w:val="18"/>
              </w:rPr>
            </w:pPr>
            <w:r w:rsidRPr="003C5C8A">
              <w:rPr>
                <w:sz w:val="18"/>
                <w:szCs w:val="18"/>
              </w:rPr>
              <w:t>90</w:t>
            </w:r>
          </w:p>
        </w:tc>
        <w:tc>
          <w:tcPr>
            <w:tcW w:w="2447" w:type="dxa"/>
          </w:tcPr>
          <w:p w14:paraId="414A3ED6" w14:textId="77777777" w:rsidR="006458E0" w:rsidRPr="003C5C8A"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Frass MFE-P</w:t>
            </w:r>
          </w:p>
        </w:tc>
        <w:tc>
          <w:tcPr>
            <w:tcW w:w="1317" w:type="dxa"/>
          </w:tcPr>
          <w:p w14:paraId="5859667E"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w:t>
            </w:r>
            <w:r w:rsidRPr="003C5C8A">
              <w:rPr>
                <w:sz w:val="18"/>
                <w:szCs w:val="18"/>
                <w:vertAlign w:val="subscript"/>
              </w:rPr>
              <w:t>P</w:t>
            </w:r>
          </w:p>
        </w:tc>
        <w:tc>
          <w:tcPr>
            <w:tcW w:w="850" w:type="dxa"/>
          </w:tcPr>
          <w:p w14:paraId="78BDC5F0"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90%</w:t>
            </w:r>
          </w:p>
        </w:tc>
        <w:tc>
          <w:tcPr>
            <w:tcW w:w="993" w:type="dxa"/>
          </w:tcPr>
          <w:p w14:paraId="235F840C"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80-100%</w:t>
            </w:r>
          </w:p>
        </w:tc>
        <w:tc>
          <w:tcPr>
            <w:tcW w:w="2961" w:type="dxa"/>
          </w:tcPr>
          <w:p w14:paraId="22597D94" w14:textId="77777777"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3C5C8A">
              <w:rPr>
                <w:i/>
                <w:sz w:val="18"/>
                <w:szCs w:val="18"/>
              </w:rPr>
              <w:t>As for compost, paired with MFE-K</w:t>
            </w:r>
          </w:p>
        </w:tc>
      </w:tr>
      <w:tr w:rsidR="006458E0" w:rsidRPr="003C5C8A" w14:paraId="7A6A623E"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730143AE" w14:textId="77777777" w:rsidR="006458E0" w:rsidRPr="003C5C8A" w:rsidRDefault="006458E0" w:rsidP="006458E0">
            <w:pPr>
              <w:rPr>
                <w:sz w:val="18"/>
                <w:szCs w:val="18"/>
              </w:rPr>
            </w:pPr>
            <w:r w:rsidRPr="003C5C8A">
              <w:rPr>
                <w:sz w:val="18"/>
                <w:szCs w:val="18"/>
              </w:rPr>
              <w:t>91</w:t>
            </w:r>
          </w:p>
        </w:tc>
        <w:tc>
          <w:tcPr>
            <w:tcW w:w="2447" w:type="dxa"/>
          </w:tcPr>
          <w:p w14:paraId="128E6924" w14:textId="77777777" w:rsidR="006458E0" w:rsidRPr="003C5C8A" w:rsidRDefault="006458E0" w:rsidP="006458E0">
            <w:pPr>
              <w:jc w:val="right"/>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BSF larvae digestibility</w:t>
            </w:r>
          </w:p>
        </w:tc>
        <w:tc>
          <w:tcPr>
            <w:tcW w:w="1317" w:type="dxa"/>
          </w:tcPr>
          <w:p w14:paraId="7C645886"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w:t>
            </w:r>
            <w:r w:rsidRPr="003C5C8A">
              <w:rPr>
                <w:sz w:val="18"/>
                <w:szCs w:val="18"/>
                <w:vertAlign w:val="subscript"/>
              </w:rPr>
              <w:t>OM</w:t>
            </w:r>
          </w:p>
        </w:tc>
        <w:tc>
          <w:tcPr>
            <w:tcW w:w="850" w:type="dxa"/>
          </w:tcPr>
          <w:p w14:paraId="30A513B4"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88%</w:t>
            </w:r>
          </w:p>
        </w:tc>
        <w:tc>
          <w:tcPr>
            <w:tcW w:w="993" w:type="dxa"/>
          </w:tcPr>
          <w:p w14:paraId="47F1A028"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szCs w:val="18"/>
              </w:rPr>
            </w:pPr>
            <w:r w:rsidRPr="003C5C8A">
              <w:rPr>
                <w:sz w:val="18"/>
                <w:szCs w:val="18"/>
              </w:rPr>
              <w:t>85-90%</w:t>
            </w:r>
          </w:p>
        </w:tc>
        <w:tc>
          <w:tcPr>
            <w:tcW w:w="2961" w:type="dxa"/>
          </w:tcPr>
          <w:p w14:paraId="1B99E81D" w14:textId="5BE95E88" w:rsidR="006458E0" w:rsidRPr="003C5C8A" w:rsidRDefault="006458E0"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3C5C8A">
              <w:rPr>
                <w:i/>
                <w:sz w:val="18"/>
                <w:szCs w:val="18"/>
              </w:rPr>
              <w:t>Reviewed range monogastrics</w:t>
            </w:r>
            <w:r w:rsidRPr="003C5C8A">
              <w:rPr>
                <w:i/>
                <w:sz w:val="18"/>
                <w:szCs w:val="18"/>
              </w:rPr>
              <w:fldChar w:fldCharType="begin"/>
            </w:r>
            <w:r w:rsidR="00E860C9">
              <w:rPr>
                <w:i/>
                <w:sz w:val="18"/>
                <w:szCs w:val="18"/>
              </w:rPr>
              <w:instrText xml:space="preserve"> ADDIN ZOTERO_ITEM CSL_CITATION {"citationID":"KctoFeCz","properties":{"formattedCitation":"\\super 119,120\\nosupersub{}","plainCitation":"119,120","noteIndex":0},"citationItems":[{"id":695,"uris":["http://zotero.org/users/6423791/items/VRJJGIQD"],"itemData":{"id":695,"type":"article-journal","container-title":"Global Change Biology","DOI":"10.1111/gcb.14321","ISSN":"13541013","issue":"9","journalAbbreviation":"Glob. Change Biol.","language":"en","page":"4185-4194","source":"DOI.org (Crossref)","title":"Defining a land boundary for sustainable livestock consumption","volume":"24","author":[{"family":"Van Zanten","given":"Hannah H. E."},{"family":"Herrero","given":"Mario"},{"family":"Van Hal","given":"Ollie"},{"family":"Röös","given":"Elin"},{"family":"Muller","given":"Adrian"},{"family":"Garnett","given":"Tara"},{"family":"Gerber","given":"Pierre J."},{"family":"Schader","given":"Christian"},{"family":"De Boer","given":"Imke J. M."}],"issued":{"date-parts":[["2018",9]]}}},{"id":14038,"uris":["http://zotero.org/users/6423791/items/9T585P84"],"itemData":{"id":14038,"type":"article-journal","abstract":"Black soldier fly (Hermetia illucens) has gained attention as a sustainable novel protein source in fish feed due to its high nutritional value and low environmental impacts. In the past decade, effects of the use of black soldier fly in aquafeeds have widely been studied in salmonids. A meta-analysis was conducted to compile and systematically quantify the effect of black soldier fly in diets for salmonids on growth performance and nutrient utilization. The main meta-analysis showed that dietary inclusion of black soldier fly did not compromise the specific growth rate, feed conversion ratio, feed intake, protein digestibility and protein efficiency ratio in salmonids. A meta-regression was conducted to explore the possible causes of variation in growth rate, feed conversion ratio and feed intake between the studies. Fish species, protein source(s) replaced and black soldier fly inclusion level were partially responsible for the variation in growth rate between the studies. The protein source(s) replaced and black soldier fly inclusion level partially explained the variation in feed conversion ratio and feed intake respectively. The sub-data sets sorted according to the replaced protein source(s) showed that replacing fishmeal by black soldier fly decreased growth rate and feed intake in salmonids, but replacing non-fishmeal sources improved growth rate and feed conversion. This strengthened the importance of the type of replaced protein source(s) when evaluating nutritional values of black soldier fly for salmonids. In conclusion, the present meta-analysis showed that black soldier fly is a promising protein source for salmonid feeds.","container-title":"Reviews in Aquaculture","DOI":"10.1111/raq.12635","ISSN":"1753-5131","issue":"2","language":"en","note":"_eprint: https://onlinelibrary.wiley.com/doi/pdf/10.1111/raq.12635","page":"938-956","source":"Wiley Online Library","title":"A systematic meta-analysis based review on black soldier fly (Hermetia illucens) as a novel protein source for salmonids","volume":"14","author":[{"family":"Weththasinghe","given":"Pabodha"},{"family":"Hansen","given":"Jon Øvrum"},{"family":"Mydland","given":"Liv Torunn"},{"family":"Øverland","given":"Margareth"}],"issued":{"date-parts":[["2022"]]}}}],"schema":"https://github.com/citation-style-language/schema/raw/master/csl-citation.json"} </w:instrText>
            </w:r>
            <w:r w:rsidRPr="003C5C8A">
              <w:rPr>
                <w:i/>
                <w:sz w:val="18"/>
                <w:szCs w:val="18"/>
              </w:rPr>
              <w:fldChar w:fldCharType="separate"/>
            </w:r>
            <w:r w:rsidR="00E860C9" w:rsidRPr="00E860C9">
              <w:rPr>
                <w:rFonts w:ascii="Calibri" w:hAnsi="Calibri" w:cs="Calibri"/>
                <w:sz w:val="18"/>
                <w:szCs w:val="24"/>
                <w:vertAlign w:val="superscript"/>
              </w:rPr>
              <w:t>119,120</w:t>
            </w:r>
            <w:r w:rsidRPr="003C5C8A">
              <w:rPr>
                <w:i/>
                <w:sz w:val="18"/>
                <w:szCs w:val="18"/>
              </w:rPr>
              <w:fldChar w:fldCharType="end"/>
            </w:r>
          </w:p>
        </w:tc>
      </w:tr>
      <w:tr w:rsidR="006458E0" w:rsidRPr="003C5C8A" w14:paraId="66B8560A"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E47F030" w14:textId="77777777" w:rsidR="006458E0" w:rsidRPr="003C5C8A" w:rsidRDefault="006458E0" w:rsidP="006458E0">
            <w:pPr>
              <w:rPr>
                <w:sz w:val="18"/>
                <w:szCs w:val="18"/>
              </w:rPr>
            </w:pPr>
            <w:r w:rsidRPr="003C5C8A">
              <w:rPr>
                <w:sz w:val="18"/>
                <w:szCs w:val="18"/>
              </w:rPr>
              <w:t>92</w:t>
            </w:r>
          </w:p>
        </w:tc>
        <w:tc>
          <w:tcPr>
            <w:tcW w:w="2447" w:type="dxa"/>
          </w:tcPr>
          <w:p w14:paraId="08D65176" w14:textId="77777777" w:rsidR="006458E0" w:rsidRPr="003C5C8A" w:rsidRDefault="006458E0" w:rsidP="006458E0">
            <w:pPr>
              <w:jc w:val="right"/>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BSF larvae crude fibers</w:t>
            </w:r>
          </w:p>
        </w:tc>
        <w:tc>
          <w:tcPr>
            <w:tcW w:w="1317" w:type="dxa"/>
          </w:tcPr>
          <w:p w14:paraId="20FFBE30"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w:t>
            </w:r>
            <w:r w:rsidRPr="003C5C8A">
              <w:rPr>
                <w:sz w:val="18"/>
                <w:szCs w:val="18"/>
                <w:vertAlign w:val="subscript"/>
              </w:rPr>
              <w:t>DM</w:t>
            </w:r>
          </w:p>
        </w:tc>
        <w:tc>
          <w:tcPr>
            <w:tcW w:w="850" w:type="dxa"/>
          </w:tcPr>
          <w:p w14:paraId="0E2FF242"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7%</w:t>
            </w:r>
          </w:p>
        </w:tc>
        <w:tc>
          <w:tcPr>
            <w:tcW w:w="993" w:type="dxa"/>
          </w:tcPr>
          <w:p w14:paraId="606D9801"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szCs w:val="18"/>
              </w:rPr>
            </w:pPr>
            <w:r w:rsidRPr="003C5C8A">
              <w:rPr>
                <w:sz w:val="18"/>
                <w:szCs w:val="18"/>
              </w:rPr>
              <w:t>6-8%</w:t>
            </w:r>
          </w:p>
        </w:tc>
        <w:tc>
          <w:tcPr>
            <w:tcW w:w="2961" w:type="dxa"/>
          </w:tcPr>
          <w:p w14:paraId="676D49E2" w14:textId="35E8D71F"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3C5C8A">
              <w:rPr>
                <w:i/>
                <w:sz w:val="18"/>
                <w:szCs w:val="18"/>
              </w:rPr>
              <w:t>Feedipedia</w:t>
            </w:r>
            <w:r w:rsidRPr="003C5C8A">
              <w:rPr>
                <w:i/>
                <w:sz w:val="18"/>
                <w:szCs w:val="18"/>
              </w:rPr>
              <w:fldChar w:fldCharType="begin"/>
            </w:r>
            <w:r w:rsidR="00682E10" w:rsidRPr="003C5C8A">
              <w:rPr>
                <w:i/>
                <w:sz w:val="18"/>
                <w:szCs w:val="18"/>
              </w:rPr>
              <w:instrText xml:space="preserve"> ADDIN ZOTERO_ITEM CSL_CITATION {"citationID":"DdQaHQd4","properties":{"formattedCitation":"\\super 8\\nosupersub{}","plainCitation":"8","noteIndex":0},"citationItems":[{"id":2859,"uris":["http://zotero.org/users/6423791/items/8SCS4TFP"],"itemData":{"id":2859,"type":"webpage","title":"List of feeds","URL":"https://feedipedia.org/content/feeds?category=All","author":[{"literal":"Feedipedia"}],"accessed":{"date-parts":[["2020",11,30]]},"issued":{"date-parts":[["2020"]]}}}],"schema":"https://github.com/citation-style-language/schema/raw/master/csl-citation.json"} </w:instrText>
            </w:r>
            <w:r w:rsidRPr="003C5C8A">
              <w:rPr>
                <w:i/>
                <w:sz w:val="18"/>
                <w:szCs w:val="18"/>
              </w:rPr>
              <w:fldChar w:fldCharType="separate"/>
            </w:r>
            <w:r w:rsidR="00682E10" w:rsidRPr="003C5C8A">
              <w:rPr>
                <w:rFonts w:ascii="Calibri" w:hAnsi="Calibri" w:cs="Calibri"/>
                <w:sz w:val="18"/>
                <w:szCs w:val="18"/>
                <w:vertAlign w:val="superscript"/>
              </w:rPr>
              <w:t>8</w:t>
            </w:r>
            <w:r w:rsidRPr="003C5C8A">
              <w:rPr>
                <w:i/>
                <w:sz w:val="18"/>
                <w:szCs w:val="18"/>
              </w:rPr>
              <w:fldChar w:fldCharType="end"/>
            </w:r>
            <w:r w:rsidRPr="003C5C8A">
              <w:rPr>
                <w:i/>
                <w:sz w:val="18"/>
                <w:szCs w:val="18"/>
              </w:rPr>
              <w:t xml:space="preserve"> </w:t>
            </w:r>
            <w:r w:rsidRPr="003C5C8A">
              <w:rPr>
                <w:rFonts w:cstheme="minorHAnsi"/>
                <w:i/>
                <w:sz w:val="18"/>
                <w:szCs w:val="18"/>
              </w:rPr>
              <w:t>± 10%</w:t>
            </w:r>
          </w:p>
        </w:tc>
      </w:tr>
      <w:tr w:rsidR="006458E0" w:rsidRPr="003C5C8A" w14:paraId="7C6DE477" w14:textId="77777777" w:rsidTr="006B5342">
        <w:tc>
          <w:tcPr>
            <w:cnfStyle w:val="001000000000" w:firstRow="0" w:lastRow="0" w:firstColumn="1" w:lastColumn="0" w:oddVBand="0" w:evenVBand="0" w:oddHBand="0" w:evenHBand="0" w:firstRowFirstColumn="0" w:firstRowLastColumn="0" w:lastRowFirstColumn="0" w:lastRowLastColumn="0"/>
            <w:tcW w:w="8967" w:type="dxa"/>
            <w:gridSpan w:val="6"/>
          </w:tcPr>
          <w:p w14:paraId="48C9AFE6" w14:textId="7E1CC4CE" w:rsidR="006458E0" w:rsidRPr="003C5C8A" w:rsidRDefault="006458E0" w:rsidP="006458E0">
            <w:pPr>
              <w:rPr>
                <w:b w:val="0"/>
                <w:i/>
                <w:sz w:val="18"/>
                <w:szCs w:val="18"/>
              </w:rPr>
            </w:pPr>
            <w:r w:rsidRPr="003C5C8A">
              <w:rPr>
                <w:b w:val="0"/>
                <w:i/>
                <w:sz w:val="18"/>
                <w:szCs w:val="18"/>
              </w:rPr>
              <w:t xml:space="preserve">Other parameters linked with compost land spreading are detailed in </w:t>
            </w:r>
            <w:r w:rsidR="002D3BB7" w:rsidRPr="003C5C8A">
              <w:rPr>
                <w:i/>
                <w:sz w:val="18"/>
                <w:szCs w:val="18"/>
              </w:rPr>
              <w:t>Javourez et al</w:t>
            </w:r>
            <w:r w:rsidR="002D3BB7" w:rsidRPr="003A663A">
              <w:rPr>
                <w:i/>
                <w:sz w:val="18"/>
                <w:szCs w:val="18"/>
              </w:rPr>
              <w:t>., 202</w:t>
            </w:r>
            <w:r w:rsidR="003A663A" w:rsidRPr="003A663A">
              <w:rPr>
                <w:i/>
                <w:sz w:val="18"/>
                <w:szCs w:val="18"/>
              </w:rPr>
              <w:t>4</w:t>
            </w:r>
            <w:r w:rsidR="002D3BB7" w:rsidRPr="003A663A">
              <w:rPr>
                <w:i/>
                <w:sz w:val="18"/>
                <w:szCs w:val="18"/>
              </w:rPr>
              <w:fldChar w:fldCharType="begin"/>
            </w:r>
            <w:r w:rsidR="00827449">
              <w:rPr>
                <w:i/>
                <w:sz w:val="18"/>
                <w:szCs w:val="18"/>
              </w:rPr>
              <w:instrText xml:space="preserve"> ADDIN ZOTERO_ITEM CSL_CITATION {"citationID":"fgUHMf3F","properties":{"formattedCitation":"\\super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2D3BB7" w:rsidRPr="003A663A">
              <w:rPr>
                <w:i/>
                <w:sz w:val="18"/>
                <w:szCs w:val="18"/>
              </w:rPr>
              <w:fldChar w:fldCharType="separate"/>
            </w:r>
            <w:r w:rsidR="008C451C" w:rsidRPr="003A663A">
              <w:rPr>
                <w:rFonts w:ascii="Calibri" w:hAnsi="Calibri" w:cs="Calibri"/>
                <w:sz w:val="18"/>
                <w:szCs w:val="24"/>
                <w:vertAlign w:val="superscript"/>
              </w:rPr>
              <w:t>1</w:t>
            </w:r>
            <w:r w:rsidR="002D3BB7" w:rsidRPr="003A663A">
              <w:rPr>
                <w:i/>
                <w:sz w:val="18"/>
                <w:szCs w:val="18"/>
              </w:rPr>
              <w:fldChar w:fldCharType="end"/>
            </w:r>
            <w:r w:rsidRPr="003C5C8A">
              <w:rPr>
                <w:b w:val="0"/>
                <w:i/>
                <w:sz w:val="18"/>
                <w:szCs w:val="18"/>
              </w:rPr>
              <w:t>.</w:t>
            </w:r>
          </w:p>
        </w:tc>
      </w:tr>
      <w:tr w:rsidR="006458E0" w:rsidRPr="003C5C8A" w14:paraId="785CDB23"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67" w:type="dxa"/>
            <w:gridSpan w:val="6"/>
          </w:tcPr>
          <w:p w14:paraId="1EE2A83C" w14:textId="24FCDE51" w:rsidR="006458E0" w:rsidRPr="003C5C8A" w:rsidRDefault="006458E0" w:rsidP="006458E0">
            <w:pPr>
              <w:rPr>
                <w:b w:val="0"/>
                <w:i/>
                <w:sz w:val="18"/>
                <w:szCs w:val="18"/>
              </w:rPr>
            </w:pPr>
            <w:r w:rsidRPr="003C5C8A">
              <w:rPr>
                <w:b w:val="0"/>
                <w:i/>
                <w:sz w:val="18"/>
                <w:szCs w:val="18"/>
              </w:rPr>
              <w:t xml:space="preserve">Other common parameters in </w:t>
            </w:r>
            <w:r w:rsidRPr="003C5C8A">
              <w:rPr>
                <w:i/>
                <w:sz w:val="18"/>
                <w:szCs w:val="18"/>
              </w:rPr>
              <w:t xml:space="preserve">section </w:t>
            </w:r>
            <w:r w:rsidR="003A663A">
              <w:rPr>
                <w:i/>
                <w:sz w:val="18"/>
                <w:szCs w:val="18"/>
              </w:rPr>
              <w:t xml:space="preserve">SI. </w:t>
            </w:r>
            <w:r w:rsidR="008C7712" w:rsidRPr="003C5C8A">
              <w:rPr>
                <w:i/>
                <w:sz w:val="18"/>
                <w:szCs w:val="18"/>
              </w:rPr>
              <w:fldChar w:fldCharType="begin"/>
            </w:r>
            <w:r w:rsidR="008C7712" w:rsidRPr="003C5C8A">
              <w:rPr>
                <w:i/>
                <w:sz w:val="18"/>
                <w:szCs w:val="18"/>
              </w:rPr>
              <w:instrText xml:space="preserve"> REF _Ref144802667 \r \h </w:instrText>
            </w:r>
            <w:r w:rsidR="003C5C8A" w:rsidRPr="003C5C8A">
              <w:rPr>
                <w:i/>
                <w:sz w:val="18"/>
                <w:szCs w:val="18"/>
              </w:rPr>
              <w:instrText xml:space="preserve"> \* MERGEFORMAT </w:instrText>
            </w:r>
            <w:r w:rsidR="008C7712" w:rsidRPr="003C5C8A">
              <w:rPr>
                <w:i/>
                <w:sz w:val="18"/>
                <w:szCs w:val="18"/>
              </w:rPr>
            </w:r>
            <w:r w:rsidR="008C7712" w:rsidRPr="003C5C8A">
              <w:rPr>
                <w:i/>
                <w:sz w:val="18"/>
                <w:szCs w:val="18"/>
              </w:rPr>
              <w:fldChar w:fldCharType="separate"/>
            </w:r>
            <w:r w:rsidR="00F25F8C" w:rsidRPr="003C5C8A">
              <w:rPr>
                <w:i/>
                <w:sz w:val="18"/>
                <w:szCs w:val="18"/>
              </w:rPr>
              <w:t>4.1</w:t>
            </w:r>
            <w:r w:rsidR="008C7712" w:rsidRPr="003C5C8A">
              <w:rPr>
                <w:i/>
                <w:sz w:val="18"/>
                <w:szCs w:val="18"/>
              </w:rPr>
              <w:fldChar w:fldCharType="end"/>
            </w:r>
            <w:r w:rsidR="008C7712" w:rsidRPr="003C5C8A">
              <w:rPr>
                <w:i/>
                <w:sz w:val="18"/>
                <w:szCs w:val="18"/>
              </w:rPr>
              <w:t>.</w:t>
            </w:r>
          </w:p>
        </w:tc>
      </w:tr>
    </w:tbl>
    <w:p w14:paraId="1D4FC9A6" w14:textId="26AA6612" w:rsidR="006458E0" w:rsidRPr="003F5DA8" w:rsidRDefault="006458E0" w:rsidP="006B5342">
      <w:pPr>
        <w:jc w:val="both"/>
        <w:rPr>
          <w:sz w:val="18"/>
        </w:rPr>
      </w:pPr>
      <w:r w:rsidRPr="003F5DA8">
        <w:rPr>
          <w:sz w:val="18"/>
        </w:rPr>
        <w:t xml:space="preserve">Numbering of parameters corresponds to the one </w:t>
      </w:r>
      <w:r>
        <w:rPr>
          <w:sz w:val="18"/>
        </w:rPr>
        <w:t xml:space="preserve">of </w:t>
      </w:r>
      <w:r w:rsidR="003C5C8A" w:rsidRPr="00FE231F">
        <w:rPr>
          <w:b/>
          <w:sz w:val="18"/>
          <w:szCs w:val="18"/>
        </w:rPr>
        <w:fldChar w:fldCharType="begin"/>
      </w:r>
      <w:r w:rsidR="003C5C8A" w:rsidRPr="00FE231F">
        <w:rPr>
          <w:b/>
          <w:sz w:val="18"/>
          <w:szCs w:val="18"/>
        </w:rPr>
        <w:instrText xml:space="preserve"> REF _Ref144914839 \h  \* MERGEFORMAT </w:instrText>
      </w:r>
      <w:r w:rsidR="003C5C8A" w:rsidRPr="00FE231F">
        <w:rPr>
          <w:b/>
          <w:sz w:val="18"/>
          <w:szCs w:val="18"/>
        </w:rPr>
      </w:r>
      <w:r w:rsidR="003C5C8A" w:rsidRPr="00FE231F">
        <w:rPr>
          <w:b/>
          <w:sz w:val="18"/>
          <w:szCs w:val="18"/>
        </w:rPr>
        <w:fldChar w:fldCharType="separate"/>
      </w:r>
      <w:r w:rsidR="003C5C8A" w:rsidRPr="00FE231F">
        <w:rPr>
          <w:b/>
          <w:sz w:val="18"/>
          <w:szCs w:val="18"/>
        </w:rPr>
        <w:t xml:space="preserve">Table SI. </w:t>
      </w:r>
      <w:r w:rsidR="003C5C8A" w:rsidRPr="00FE231F">
        <w:rPr>
          <w:b/>
          <w:noProof/>
          <w:sz w:val="18"/>
          <w:szCs w:val="18"/>
        </w:rPr>
        <w:t>103</w:t>
      </w:r>
      <w:r w:rsidR="003C5C8A" w:rsidRPr="00FE231F">
        <w:rPr>
          <w:b/>
          <w:sz w:val="18"/>
          <w:szCs w:val="18"/>
        </w:rPr>
        <w:fldChar w:fldCharType="end"/>
      </w:r>
      <w:r w:rsidRPr="003F5DA8">
        <w:rPr>
          <w:sz w:val="18"/>
        </w:rPr>
        <w:t>. Parameters specific to mycoproteins production stage but not mentioned in this table were assumed as constants. Transportation requirements in</w:t>
      </w:r>
      <w:r w:rsidR="008C7712">
        <w:rPr>
          <w:sz w:val="18"/>
        </w:rPr>
        <w:t xml:space="preserve"> </w:t>
      </w:r>
      <w:r w:rsidR="008C7712" w:rsidRPr="008C7712">
        <w:rPr>
          <w:b/>
          <w:sz w:val="18"/>
          <w:szCs w:val="18"/>
        </w:rPr>
        <w:fldChar w:fldCharType="begin"/>
      </w:r>
      <w:r w:rsidR="008C7712" w:rsidRPr="008C7712">
        <w:rPr>
          <w:b/>
          <w:sz w:val="18"/>
          <w:szCs w:val="18"/>
        </w:rPr>
        <w:instrText xml:space="preserve"> REF _Ref144738047 \h  \* MERGEFORMAT </w:instrText>
      </w:r>
      <w:r w:rsidR="008C7712" w:rsidRPr="008C7712">
        <w:rPr>
          <w:b/>
          <w:sz w:val="18"/>
          <w:szCs w:val="18"/>
        </w:rPr>
      </w:r>
      <w:r w:rsidR="008C7712" w:rsidRPr="008C7712">
        <w:rPr>
          <w:b/>
          <w:sz w:val="18"/>
          <w:szCs w:val="18"/>
        </w:rPr>
        <w:fldChar w:fldCharType="separate"/>
      </w:r>
      <w:r w:rsidR="00F25F8C" w:rsidRPr="00F25F8C">
        <w:rPr>
          <w:b/>
          <w:sz w:val="18"/>
          <w:szCs w:val="18"/>
        </w:rPr>
        <w:t xml:space="preserve">Table SI. </w:t>
      </w:r>
      <w:r w:rsidR="00F25F8C" w:rsidRPr="00F25F8C">
        <w:rPr>
          <w:b/>
          <w:noProof/>
          <w:sz w:val="18"/>
          <w:szCs w:val="18"/>
        </w:rPr>
        <w:t>15</w:t>
      </w:r>
      <w:r w:rsidR="008C7712" w:rsidRPr="008C7712">
        <w:rPr>
          <w:b/>
          <w:sz w:val="18"/>
          <w:szCs w:val="18"/>
        </w:rPr>
        <w:fldChar w:fldCharType="end"/>
      </w:r>
      <w:r w:rsidRPr="003F5DA8">
        <w:rPr>
          <w:sz w:val="18"/>
        </w:rPr>
        <w:t>.</w:t>
      </w:r>
    </w:p>
    <w:p w14:paraId="1EDBD16A" w14:textId="098AF90D" w:rsidR="00852D80" w:rsidRDefault="006458E0" w:rsidP="006458E0">
      <w:pPr>
        <w:jc w:val="both"/>
      </w:pPr>
      <w:r w:rsidRPr="003F5DA8">
        <w:t>The background processes used specific</w:t>
      </w:r>
      <w:r w:rsidR="003C5C8A">
        <w:t>ally</w:t>
      </w:r>
      <w:r w:rsidRPr="003F5DA8">
        <w:t xml:space="preserve"> </w:t>
      </w:r>
      <w:r w:rsidR="003C5C8A">
        <w:t>for</w:t>
      </w:r>
      <w:r w:rsidRPr="003F5DA8">
        <w:t xml:space="preserve"> this </w:t>
      </w:r>
      <w:r w:rsidR="003C5C8A">
        <w:t xml:space="preserve">LCI </w:t>
      </w:r>
      <w:r w:rsidRPr="003F5DA8">
        <w:t xml:space="preserve">model are gathered in </w:t>
      </w:r>
      <w:r w:rsidR="008C7712" w:rsidRPr="008C7712">
        <w:rPr>
          <w:b/>
        </w:rPr>
        <w:fldChar w:fldCharType="begin"/>
      </w:r>
      <w:r w:rsidR="008C7712" w:rsidRPr="008C7712">
        <w:rPr>
          <w:b/>
        </w:rPr>
        <w:instrText xml:space="preserve"> REF _Ref144806032 \h </w:instrText>
      </w:r>
      <w:r w:rsidR="008C7712">
        <w:rPr>
          <w:b/>
        </w:rPr>
        <w:instrText xml:space="preserve"> \* MERGEFORMAT </w:instrText>
      </w:r>
      <w:r w:rsidR="008C7712" w:rsidRPr="008C7712">
        <w:rPr>
          <w:b/>
        </w:rPr>
      </w:r>
      <w:r w:rsidR="008C7712" w:rsidRPr="008C7712">
        <w:rPr>
          <w:b/>
        </w:rPr>
        <w:fldChar w:fldCharType="separate"/>
      </w:r>
      <w:r w:rsidR="00F25F8C" w:rsidRPr="00F25F8C">
        <w:rPr>
          <w:b/>
        </w:rPr>
        <w:t xml:space="preserve">Table SI. </w:t>
      </w:r>
      <w:r w:rsidR="00F25F8C" w:rsidRPr="00F25F8C">
        <w:rPr>
          <w:b/>
          <w:noProof/>
        </w:rPr>
        <w:t>38</w:t>
      </w:r>
      <w:r w:rsidR="008C7712" w:rsidRPr="008C7712">
        <w:rPr>
          <w:b/>
        </w:rPr>
        <w:fldChar w:fldCharType="end"/>
      </w:r>
      <w:r w:rsidRPr="003F5DA8">
        <w:t>.</w:t>
      </w:r>
    </w:p>
    <w:p w14:paraId="338129E3" w14:textId="77777777" w:rsidR="00852D80" w:rsidRDefault="00852D80">
      <w:r>
        <w:br w:type="page"/>
      </w:r>
    </w:p>
    <w:p w14:paraId="71FDA500" w14:textId="15CEEA43" w:rsidR="006458E0" w:rsidRPr="00547FED" w:rsidRDefault="00874128" w:rsidP="006B5342">
      <w:pPr>
        <w:pStyle w:val="Lgende"/>
        <w:jc w:val="left"/>
        <w:rPr>
          <w:b w:val="0"/>
          <w:i/>
        </w:rPr>
      </w:pPr>
      <w:bookmarkStart w:id="174" w:name="_Ref144806032"/>
      <w:bookmarkStart w:id="175" w:name="_Toc134537678"/>
      <w:bookmarkStart w:id="176" w:name="_Toc151967922"/>
      <w:r>
        <w:lastRenderedPageBreak/>
        <w:t>Table SI.</w:t>
      </w:r>
      <w:r w:rsidR="006458E0">
        <w:t xml:space="preserve"> </w:t>
      </w:r>
      <w:r>
        <w:fldChar w:fldCharType="begin"/>
      </w:r>
      <w:r>
        <w:instrText xml:space="preserve"> SEQ Table_SI. \* ARABIC </w:instrText>
      </w:r>
      <w:r>
        <w:fldChar w:fldCharType="separate"/>
      </w:r>
      <w:r w:rsidR="00F25F8C">
        <w:rPr>
          <w:noProof/>
        </w:rPr>
        <w:t>38</w:t>
      </w:r>
      <w:r>
        <w:fldChar w:fldCharType="end"/>
      </w:r>
      <w:bookmarkEnd w:id="174"/>
      <w:r w:rsidR="006458E0" w:rsidRPr="00E40BD9">
        <w:t xml:space="preserve"> – Background processes used specifically for BSF pathways</w:t>
      </w:r>
      <w:bookmarkEnd w:id="175"/>
      <w:bookmarkEnd w:id="176"/>
    </w:p>
    <w:tbl>
      <w:tblPr>
        <w:tblStyle w:val="Tableausimple2"/>
        <w:tblW w:w="0" w:type="auto"/>
        <w:tblLook w:val="04A0" w:firstRow="1" w:lastRow="0" w:firstColumn="1" w:lastColumn="0" w:noHBand="0" w:noVBand="1"/>
      </w:tblPr>
      <w:tblGrid>
        <w:gridCol w:w="3402"/>
        <w:gridCol w:w="1733"/>
        <w:gridCol w:w="3907"/>
      </w:tblGrid>
      <w:tr w:rsidR="006458E0" w:rsidRPr="003C5C8A" w14:paraId="6EBD93F4"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Pr>
          <w:p w14:paraId="2AAFD482" w14:textId="77777777" w:rsidR="006458E0" w:rsidRPr="003C5C8A" w:rsidRDefault="006458E0" w:rsidP="006458E0">
            <w:pPr>
              <w:jc w:val="right"/>
              <w:rPr>
                <w:sz w:val="18"/>
              </w:rPr>
            </w:pPr>
            <w:r w:rsidRPr="003C5C8A">
              <w:rPr>
                <w:sz w:val="18"/>
              </w:rPr>
              <w:t>Background process</w:t>
            </w:r>
          </w:p>
        </w:tc>
        <w:tc>
          <w:tcPr>
            <w:tcW w:w="1733" w:type="dxa"/>
          </w:tcPr>
          <w:p w14:paraId="36783B18" w14:textId="77777777" w:rsidR="006458E0" w:rsidRPr="003C5C8A" w:rsidRDefault="006458E0" w:rsidP="006458E0">
            <w:pPr>
              <w:cnfStyle w:val="100000000000" w:firstRow="1" w:lastRow="0" w:firstColumn="0" w:lastColumn="0" w:oddVBand="0" w:evenVBand="0" w:oddHBand="0" w:evenHBand="0" w:firstRowFirstColumn="0" w:firstRowLastColumn="0" w:lastRowFirstColumn="0" w:lastRowLastColumn="0"/>
              <w:rPr>
                <w:sz w:val="18"/>
              </w:rPr>
            </w:pPr>
            <w:r w:rsidRPr="003C5C8A">
              <w:rPr>
                <w:sz w:val="18"/>
              </w:rPr>
              <w:t>Unit operation</w:t>
            </w:r>
          </w:p>
        </w:tc>
        <w:tc>
          <w:tcPr>
            <w:tcW w:w="3907" w:type="dxa"/>
          </w:tcPr>
          <w:p w14:paraId="3D7FE694" w14:textId="77777777" w:rsidR="006458E0" w:rsidRPr="003C5C8A" w:rsidRDefault="006458E0" w:rsidP="00E9442B">
            <w:pPr>
              <w:cnfStyle w:val="100000000000" w:firstRow="1" w:lastRow="0" w:firstColumn="0" w:lastColumn="0" w:oddVBand="0" w:evenVBand="0" w:oddHBand="0" w:evenHBand="0" w:firstRowFirstColumn="0" w:firstRowLastColumn="0" w:lastRowFirstColumn="0" w:lastRowLastColumn="0"/>
              <w:rPr>
                <w:i/>
                <w:sz w:val="18"/>
              </w:rPr>
            </w:pPr>
            <w:r w:rsidRPr="003C5C8A">
              <w:rPr>
                <w:i/>
                <w:sz w:val="18"/>
              </w:rPr>
              <w:t>Comment</w:t>
            </w:r>
          </w:p>
        </w:tc>
      </w:tr>
      <w:tr w:rsidR="006458E0" w:rsidRPr="003C5C8A" w14:paraId="475D2D12"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Pr>
          <w:p w14:paraId="79E1EFD3" w14:textId="77777777" w:rsidR="006458E0" w:rsidRPr="003C5C8A" w:rsidRDefault="006458E0" w:rsidP="006458E0">
            <w:pPr>
              <w:jc w:val="right"/>
              <w:rPr>
                <w:b w:val="0"/>
                <w:sz w:val="18"/>
              </w:rPr>
            </w:pPr>
            <w:r w:rsidRPr="003C5C8A">
              <w:rPr>
                <w:b w:val="0"/>
                <w:sz w:val="18"/>
              </w:rPr>
              <w:t>Market for water, deionized, RoW</w:t>
            </w:r>
          </w:p>
        </w:tc>
        <w:tc>
          <w:tcPr>
            <w:tcW w:w="1733" w:type="dxa"/>
            <w:vMerge w:val="restart"/>
          </w:tcPr>
          <w:p w14:paraId="6BBA58FA"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rPr>
            </w:pPr>
            <w:r w:rsidRPr="003C5C8A">
              <w:rPr>
                <w:sz w:val="18"/>
              </w:rPr>
              <w:t>All where cleaning is involved</w:t>
            </w:r>
          </w:p>
        </w:tc>
        <w:tc>
          <w:tcPr>
            <w:tcW w:w="3907" w:type="dxa"/>
            <w:vMerge w:val="restart"/>
          </w:tcPr>
          <w:p w14:paraId="66F45B3D" w14:textId="3159D89C"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rPr>
            </w:pPr>
            <w:r w:rsidRPr="003C5C8A">
              <w:rPr>
                <w:i/>
                <w:sz w:val="18"/>
              </w:rPr>
              <w:t>Proxy of cleaning utilities inventory. Wastewater was calculated as sum of cleaning water and detergent, assumed with a 2000 ppm of COD</w:t>
            </w:r>
            <w:r w:rsidRPr="003C5C8A">
              <w:rPr>
                <w:i/>
                <w:sz w:val="18"/>
              </w:rPr>
              <w:fldChar w:fldCharType="begin"/>
            </w:r>
            <w:r w:rsidR="00E860C9">
              <w:rPr>
                <w:i/>
                <w:sz w:val="18"/>
              </w:rPr>
              <w:instrText xml:space="preserve"> ADDIN ZOTERO_ITEM CSL_CITATION {"citationID":"TkWTbkRj","properties":{"formattedCitation":"\\super 96\\nosupersub{}","plainCitation":"96","noteIndex":0},"citationItems":[{"id":3192,"uris":["http://zotero.org/users/6423791/items/LE6TVFRZ"],"itemData":{"id":3192,"type":"article-journal","abstract":"While the idea of using insect based feeds (IBFs) offers great potential, especially in developing countries, the environmental impact of implementation remains poorly researched. This study investigates the environmental performance of IBF production in the geographical context of West Africa. Drawing on published life cycle inventory (LCIs) data, the impact of three different IBF production systems were ex-ante evaluated (ReCiPe method) and compared to conventional feed resources. The explorative life cycle study provides a basis for trade-off analysis between different insect rearing systems (Musca domestica and Hermetia illucens) and provides insights on the environmental performance of IBF in comparison with conventional animal- and plant based protein feeds (fishmeal, cottonseed and soybean meal). The impacts of IBFs were shown to be largely determined by rearing techniques and the environmental loads of rearing substrates, attesting advantages to the rearing of housefly (M. domestica) larvae on chicken manure and the use of natural oviposition, i.e., substrate inoculation through naturally occurring flies. A comparison with conventional feeds pointed out the environmental disadvantages of current IBF production designs (especially in comparison to plant based feeds) that were largely attributable to their different position in the trophic network (decomposers) and the systems’ sub-standard capacity utilisation (insufficient economy of scale effect). When larvae are reared on substrates of low economic value (i.e., waste streams), IBF impacts were comparable to fishmeal. The results of the comparative assessment also highlighted a methodological limitation in the ReCiPe method, which does not account for impacts related to the use of biotic resources. As a consequence, the utilization of naturally grown resources, such as wild anchoveta, was treated as an ecosystem service of no environmental charge, providing disproportionate advantages to the fishmeal system.","container-title":"Agricultural Systems","DOI":"10.1016/j.agsy.2019.102710","ISSN":"0308-521X","journalAbbreviation":"Agricultural Systems","language":"en","page":"102710","source":"ScienceDirect","title":"Ex-ante life cycle impact assessment of insect based feed production in West Africa","volume":"178","author":[{"family":"Roffeis","given":"Martin"},{"family":"Fitches","given":"Elaine C."},{"family":"Wakefield","given":"Maureen E."},{"family":"Almeida","given":"Joana"},{"family":"Alves Valada","given":"Tatiana R."},{"family":"Devic","given":"Emilie"},{"family":"Koné","given":"N’Golopé"},{"family":"Kenis","given":"Marc"},{"family":"Nacambo","given":"Saidou"},{"family":"Koko","given":"Gabriel K. D."},{"family":"Mathijs","given":"Erik"},{"family":"Achten","given":"Wouter M. J."},{"family":"Muys","given":"Bart"}],"issued":{"date-parts":[["2020",2,1]]}}}],"schema":"https://github.com/citation-style-language/schema/raw/master/csl-citation.json"} </w:instrText>
            </w:r>
            <w:r w:rsidRPr="003C5C8A">
              <w:rPr>
                <w:i/>
                <w:sz w:val="18"/>
              </w:rPr>
              <w:fldChar w:fldCharType="separate"/>
            </w:r>
            <w:r w:rsidR="00E860C9" w:rsidRPr="00E860C9">
              <w:rPr>
                <w:rFonts w:ascii="Calibri" w:hAnsi="Calibri" w:cs="Calibri"/>
                <w:sz w:val="18"/>
                <w:szCs w:val="24"/>
                <w:vertAlign w:val="superscript"/>
              </w:rPr>
              <w:t>96</w:t>
            </w:r>
            <w:r w:rsidRPr="003C5C8A">
              <w:rPr>
                <w:i/>
                <w:sz w:val="18"/>
              </w:rPr>
              <w:fldChar w:fldCharType="end"/>
            </w:r>
            <w:r w:rsidRPr="003C5C8A">
              <w:rPr>
                <w:i/>
                <w:sz w:val="18"/>
              </w:rPr>
              <w:t>.</w:t>
            </w:r>
          </w:p>
        </w:tc>
      </w:tr>
      <w:tr w:rsidR="006458E0" w:rsidRPr="003C5C8A" w14:paraId="086EFDA2" w14:textId="77777777" w:rsidTr="006B5342">
        <w:tc>
          <w:tcPr>
            <w:cnfStyle w:val="001000000000" w:firstRow="0" w:lastRow="0" w:firstColumn="1" w:lastColumn="0" w:oddVBand="0" w:evenVBand="0" w:oddHBand="0" w:evenHBand="0" w:firstRowFirstColumn="0" w:firstRowLastColumn="0" w:lastRowFirstColumn="0" w:lastRowLastColumn="0"/>
            <w:tcW w:w="3402" w:type="dxa"/>
          </w:tcPr>
          <w:p w14:paraId="5C96D352" w14:textId="77777777" w:rsidR="006458E0" w:rsidRPr="003C5C8A" w:rsidRDefault="006458E0" w:rsidP="006458E0">
            <w:pPr>
              <w:jc w:val="right"/>
              <w:rPr>
                <w:b w:val="0"/>
                <w:sz w:val="18"/>
              </w:rPr>
            </w:pPr>
            <w:r w:rsidRPr="003C5C8A">
              <w:rPr>
                <w:b w:val="0"/>
                <w:sz w:val="18"/>
              </w:rPr>
              <w:t>Market for detergent, GLO</w:t>
            </w:r>
          </w:p>
        </w:tc>
        <w:tc>
          <w:tcPr>
            <w:tcW w:w="1733" w:type="dxa"/>
            <w:vMerge/>
          </w:tcPr>
          <w:p w14:paraId="2135CB14"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rPr>
            </w:pPr>
          </w:p>
        </w:tc>
        <w:tc>
          <w:tcPr>
            <w:tcW w:w="3907" w:type="dxa"/>
            <w:vMerge/>
          </w:tcPr>
          <w:p w14:paraId="27BC9363" w14:textId="77777777" w:rsidR="006458E0" w:rsidRPr="003C5C8A" w:rsidRDefault="006458E0" w:rsidP="00E9442B">
            <w:pPr>
              <w:cnfStyle w:val="000000000000" w:firstRow="0" w:lastRow="0" w:firstColumn="0" w:lastColumn="0" w:oddVBand="0" w:evenVBand="0" w:oddHBand="0" w:evenHBand="0" w:firstRowFirstColumn="0" w:firstRowLastColumn="0" w:lastRowFirstColumn="0" w:lastRowLastColumn="0"/>
              <w:rPr>
                <w:i/>
                <w:sz w:val="18"/>
              </w:rPr>
            </w:pPr>
          </w:p>
        </w:tc>
      </w:tr>
      <w:tr w:rsidR="006458E0" w:rsidRPr="003C5C8A" w14:paraId="12D822E6"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Pr>
          <w:p w14:paraId="2504D9F7" w14:textId="77777777" w:rsidR="006458E0" w:rsidRPr="003C5C8A" w:rsidRDefault="006458E0" w:rsidP="006458E0">
            <w:pPr>
              <w:jc w:val="right"/>
              <w:rPr>
                <w:b w:val="0"/>
                <w:sz w:val="18"/>
              </w:rPr>
            </w:pPr>
            <w:r w:rsidRPr="003C5C8A">
              <w:rPr>
                <w:b w:val="0"/>
                <w:sz w:val="18"/>
              </w:rPr>
              <w:t>Market for wastewater, from residence, CH</w:t>
            </w:r>
          </w:p>
        </w:tc>
        <w:tc>
          <w:tcPr>
            <w:tcW w:w="1733" w:type="dxa"/>
            <w:vMerge/>
          </w:tcPr>
          <w:p w14:paraId="462A8F5A"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rPr>
            </w:pPr>
          </w:p>
        </w:tc>
        <w:tc>
          <w:tcPr>
            <w:tcW w:w="3907" w:type="dxa"/>
            <w:vMerge/>
          </w:tcPr>
          <w:p w14:paraId="69CA597E" w14:textId="77777777"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rPr>
            </w:pPr>
          </w:p>
        </w:tc>
      </w:tr>
      <w:tr w:rsidR="006458E0" w:rsidRPr="003C5C8A" w14:paraId="5CD64FE8" w14:textId="77777777" w:rsidTr="006B5342">
        <w:tc>
          <w:tcPr>
            <w:cnfStyle w:val="001000000000" w:firstRow="0" w:lastRow="0" w:firstColumn="1" w:lastColumn="0" w:oddVBand="0" w:evenVBand="0" w:oddHBand="0" w:evenHBand="0" w:firstRowFirstColumn="0" w:firstRowLastColumn="0" w:lastRowFirstColumn="0" w:lastRowLastColumn="0"/>
            <w:tcW w:w="3402" w:type="dxa"/>
          </w:tcPr>
          <w:p w14:paraId="08BF8928" w14:textId="77777777" w:rsidR="006458E0" w:rsidRPr="003C5C8A" w:rsidRDefault="006458E0" w:rsidP="006458E0">
            <w:pPr>
              <w:jc w:val="right"/>
              <w:rPr>
                <w:b w:val="0"/>
                <w:sz w:val="18"/>
              </w:rPr>
            </w:pPr>
            <w:r w:rsidRPr="003C5C8A">
              <w:rPr>
                <w:b w:val="0"/>
                <w:sz w:val="18"/>
              </w:rPr>
              <w:t>Building construction, hall, CH</w:t>
            </w:r>
          </w:p>
        </w:tc>
        <w:tc>
          <w:tcPr>
            <w:tcW w:w="1733" w:type="dxa"/>
          </w:tcPr>
          <w:p w14:paraId="36FD6E77" w14:textId="77777777" w:rsidR="006458E0" w:rsidRPr="003C5C8A" w:rsidRDefault="006458E0" w:rsidP="006458E0">
            <w:pPr>
              <w:cnfStyle w:val="000000000000" w:firstRow="0" w:lastRow="0" w:firstColumn="0" w:lastColumn="0" w:oddVBand="0" w:evenVBand="0" w:oddHBand="0" w:evenHBand="0" w:firstRowFirstColumn="0" w:firstRowLastColumn="0" w:lastRowFirstColumn="0" w:lastRowLastColumn="0"/>
              <w:rPr>
                <w:sz w:val="18"/>
              </w:rPr>
            </w:pPr>
            <w:r w:rsidRPr="003C5C8A">
              <w:rPr>
                <w:sz w:val="18"/>
              </w:rPr>
              <w:t>Infrastructure</w:t>
            </w:r>
          </w:p>
        </w:tc>
        <w:tc>
          <w:tcPr>
            <w:tcW w:w="3907" w:type="dxa"/>
          </w:tcPr>
          <w:p w14:paraId="3383A825" w14:textId="5F5F397C" w:rsidR="006458E0" w:rsidRPr="003C5C8A" w:rsidRDefault="006458E0" w:rsidP="00E9442B">
            <w:pPr>
              <w:cnfStyle w:val="000000000000" w:firstRow="0" w:lastRow="0" w:firstColumn="0" w:lastColumn="0" w:oddVBand="0" w:evenVBand="0" w:oddHBand="0" w:evenHBand="0" w:firstRowFirstColumn="0" w:firstRowLastColumn="0" w:lastRowFirstColumn="0" w:lastRowLastColumn="0"/>
              <w:rPr>
                <w:i/>
                <w:sz w:val="18"/>
              </w:rPr>
            </w:pPr>
            <w:r w:rsidRPr="003C5C8A">
              <w:rPr>
                <w:i/>
                <w:sz w:val="18"/>
              </w:rPr>
              <w:t>Amount were calculated with</w:t>
            </w:r>
            <w:r w:rsidR="008C7712" w:rsidRPr="003C5C8A">
              <w:rPr>
                <w:i/>
                <w:sz w:val="18"/>
              </w:rPr>
              <w:t xml:space="preserve"> </w:t>
            </w:r>
            <w:r w:rsidR="008C7712" w:rsidRPr="003C5C8A">
              <w:rPr>
                <w:b/>
                <w:i/>
                <w:sz w:val="18"/>
              </w:rPr>
              <w:fldChar w:fldCharType="begin"/>
            </w:r>
            <w:r w:rsidR="008C7712" w:rsidRPr="003C5C8A">
              <w:rPr>
                <w:b/>
                <w:i/>
                <w:sz w:val="18"/>
              </w:rPr>
              <w:instrText xml:space="preserve"> REF _Ref144805681 \h  \* MERGEFORMAT </w:instrText>
            </w:r>
            <w:r w:rsidR="008C7712" w:rsidRPr="003C5C8A">
              <w:rPr>
                <w:b/>
                <w:i/>
                <w:sz w:val="18"/>
              </w:rPr>
            </w:r>
            <w:r w:rsidR="008C7712" w:rsidRPr="003C5C8A">
              <w:rPr>
                <w:b/>
                <w:i/>
                <w:sz w:val="18"/>
              </w:rPr>
              <w:fldChar w:fldCharType="separate"/>
            </w:r>
            <w:r w:rsidR="00F25F8C" w:rsidRPr="003C5C8A">
              <w:rPr>
                <w:b/>
                <w:i/>
                <w:sz w:val="18"/>
              </w:rPr>
              <w:t xml:space="preserve">Table SI. </w:t>
            </w:r>
            <w:r w:rsidR="00F25F8C" w:rsidRPr="003C5C8A">
              <w:rPr>
                <w:b/>
                <w:i/>
                <w:noProof/>
                <w:sz w:val="18"/>
              </w:rPr>
              <w:t>36</w:t>
            </w:r>
            <w:r w:rsidR="008C7712" w:rsidRPr="003C5C8A">
              <w:rPr>
                <w:b/>
                <w:i/>
                <w:sz w:val="18"/>
              </w:rPr>
              <w:fldChar w:fldCharType="end"/>
            </w:r>
            <w:r w:rsidRPr="003C5C8A">
              <w:rPr>
                <w:i/>
                <w:sz w:val="18"/>
              </w:rPr>
              <w:t>.</w:t>
            </w:r>
          </w:p>
        </w:tc>
      </w:tr>
      <w:tr w:rsidR="006458E0" w:rsidRPr="003C5C8A" w14:paraId="1811B5D6"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02" w:type="dxa"/>
          </w:tcPr>
          <w:p w14:paraId="24C46787" w14:textId="77777777" w:rsidR="006458E0" w:rsidRPr="003C5C8A" w:rsidRDefault="006458E0" w:rsidP="006458E0">
            <w:pPr>
              <w:jc w:val="right"/>
              <w:rPr>
                <w:b w:val="0"/>
                <w:sz w:val="18"/>
              </w:rPr>
            </w:pPr>
            <w:r w:rsidRPr="003C5C8A">
              <w:rPr>
                <w:b w:val="0"/>
                <w:sz w:val="18"/>
              </w:rPr>
              <w:t>Forwarding, forwarder, RER</w:t>
            </w:r>
          </w:p>
        </w:tc>
        <w:tc>
          <w:tcPr>
            <w:tcW w:w="1733" w:type="dxa"/>
          </w:tcPr>
          <w:p w14:paraId="1DC45D44" w14:textId="77777777" w:rsidR="006458E0" w:rsidRPr="003C5C8A" w:rsidRDefault="006458E0" w:rsidP="006458E0">
            <w:pPr>
              <w:cnfStyle w:val="000000100000" w:firstRow="0" w:lastRow="0" w:firstColumn="0" w:lastColumn="0" w:oddVBand="0" w:evenVBand="0" w:oddHBand="1" w:evenHBand="0" w:firstRowFirstColumn="0" w:firstRowLastColumn="0" w:lastRowFirstColumn="0" w:lastRowLastColumn="0"/>
              <w:rPr>
                <w:sz w:val="18"/>
              </w:rPr>
            </w:pPr>
            <w:r w:rsidRPr="003C5C8A">
              <w:rPr>
                <w:sz w:val="18"/>
              </w:rPr>
              <w:t>Composting</w:t>
            </w:r>
          </w:p>
        </w:tc>
        <w:tc>
          <w:tcPr>
            <w:tcW w:w="3907" w:type="dxa"/>
          </w:tcPr>
          <w:p w14:paraId="113ACE86" w14:textId="53F781E9" w:rsidR="006458E0" w:rsidRPr="003C5C8A" w:rsidRDefault="006458E0" w:rsidP="00E9442B">
            <w:pPr>
              <w:cnfStyle w:val="000000100000" w:firstRow="0" w:lastRow="0" w:firstColumn="0" w:lastColumn="0" w:oddVBand="0" w:evenVBand="0" w:oddHBand="1" w:evenHBand="0" w:firstRowFirstColumn="0" w:firstRowLastColumn="0" w:lastRowFirstColumn="0" w:lastRowLastColumn="0"/>
              <w:rPr>
                <w:i/>
                <w:sz w:val="18"/>
              </w:rPr>
            </w:pPr>
            <w:r w:rsidRPr="003C5C8A">
              <w:rPr>
                <w:i/>
                <w:sz w:val="18"/>
              </w:rPr>
              <w:t>Linked with diesel requirements (0.83 kg</w:t>
            </w:r>
            <w:r w:rsidRPr="003C5C8A">
              <w:rPr>
                <w:i/>
                <w:sz w:val="18"/>
                <w:vertAlign w:val="subscript"/>
              </w:rPr>
              <w:t>diesel</w:t>
            </w:r>
            <w:r w:rsidRPr="003C5C8A">
              <w:rPr>
                <w:i/>
                <w:sz w:val="18"/>
              </w:rPr>
              <w:t>.L-1 and 9.24 kg</w:t>
            </w:r>
            <w:r w:rsidRPr="003C5C8A">
              <w:rPr>
                <w:i/>
                <w:sz w:val="18"/>
                <w:vertAlign w:val="subscript"/>
              </w:rPr>
              <w:t>diesel</w:t>
            </w:r>
            <w:r w:rsidRPr="003C5C8A">
              <w:rPr>
                <w:i/>
                <w:sz w:val="18"/>
              </w:rPr>
              <w:t>.h</w:t>
            </w:r>
            <w:r w:rsidRPr="003C5C8A">
              <w:rPr>
                <w:i/>
                <w:sz w:val="18"/>
                <w:vertAlign w:val="superscript"/>
              </w:rPr>
              <w:t>-1</w:t>
            </w:r>
            <w:r w:rsidRPr="003C5C8A">
              <w:rPr>
                <w:i/>
                <w:sz w:val="18"/>
              </w:rPr>
              <w:t>)</w:t>
            </w:r>
            <w:r w:rsidRPr="003C5C8A">
              <w:rPr>
                <w:i/>
                <w:sz w:val="18"/>
              </w:rPr>
              <w:fldChar w:fldCharType="begin"/>
            </w:r>
            <w:r w:rsidR="008C451C">
              <w:rPr>
                <w:i/>
                <w:sz w:val="18"/>
              </w:rPr>
              <w:instrText xml:space="preserve"> ADDIN ZOTERO_ITEM CSL_CITATION {"citationID":"jHF6XIM9","properties":{"formattedCitation":"\\super 48\\nosupersub{}","plainCitation":"48","noteIndex":0},"citationItems":[{"id":13212,"uris":["http://zotero.org/users/6423791/items/ANAMP6NH"],"itemData":{"id":13212,"type":"webpage","language":"en-US","title":"ecoinvent databases","URL":"https://ecoinvent.org/","author":[{"literal":"ecoinvent"}],"accessed":{"date-parts":[["2022",5,1]]},"issued":{"date-parts":[["2022"]]}}}],"schema":"https://github.com/citation-style-language/schema/raw/master/csl-citation.json"} </w:instrText>
            </w:r>
            <w:r w:rsidRPr="003C5C8A">
              <w:rPr>
                <w:i/>
                <w:sz w:val="18"/>
              </w:rPr>
              <w:fldChar w:fldCharType="separate"/>
            </w:r>
            <w:r w:rsidR="008C451C" w:rsidRPr="008C451C">
              <w:rPr>
                <w:rFonts w:ascii="Calibri" w:hAnsi="Calibri" w:cs="Calibri"/>
                <w:sz w:val="18"/>
                <w:szCs w:val="24"/>
                <w:vertAlign w:val="superscript"/>
              </w:rPr>
              <w:t>48</w:t>
            </w:r>
            <w:r w:rsidRPr="003C5C8A">
              <w:rPr>
                <w:i/>
                <w:sz w:val="18"/>
              </w:rPr>
              <w:fldChar w:fldCharType="end"/>
            </w:r>
          </w:p>
        </w:tc>
      </w:tr>
      <w:tr w:rsidR="006458E0" w:rsidRPr="003C5C8A" w14:paraId="242FF7BB" w14:textId="77777777" w:rsidTr="006B5342">
        <w:tc>
          <w:tcPr>
            <w:cnfStyle w:val="001000000000" w:firstRow="0" w:lastRow="0" w:firstColumn="1" w:lastColumn="0" w:oddVBand="0" w:evenVBand="0" w:oddHBand="0" w:evenHBand="0" w:firstRowFirstColumn="0" w:firstRowLastColumn="0" w:lastRowFirstColumn="0" w:lastRowLastColumn="0"/>
            <w:tcW w:w="9042" w:type="dxa"/>
            <w:gridSpan w:val="3"/>
          </w:tcPr>
          <w:p w14:paraId="7A798D55" w14:textId="3A324533" w:rsidR="006458E0" w:rsidRPr="003C5C8A" w:rsidRDefault="006458E0" w:rsidP="006458E0">
            <w:pPr>
              <w:rPr>
                <w:b w:val="0"/>
                <w:i/>
                <w:sz w:val="18"/>
              </w:rPr>
            </w:pPr>
            <w:r w:rsidRPr="003C5C8A">
              <w:rPr>
                <w:b w:val="0"/>
                <w:i/>
                <w:sz w:val="18"/>
              </w:rPr>
              <w:t>List of equipment as in Roffeis et al., 2020</w:t>
            </w:r>
            <w:r w:rsidRPr="003C5C8A">
              <w:rPr>
                <w:i/>
                <w:sz w:val="18"/>
              </w:rPr>
              <w:fldChar w:fldCharType="begin"/>
            </w:r>
            <w:r w:rsidR="00E860C9">
              <w:rPr>
                <w:b w:val="0"/>
                <w:i/>
                <w:sz w:val="18"/>
              </w:rPr>
              <w:instrText xml:space="preserve"> ADDIN ZOTERO_ITEM CSL_CITATION {"citationID":"495LRShc","properties":{"formattedCitation":"\\super 96\\nosupersub{}","plainCitation":"96","noteIndex":0},"citationItems":[{"id":3192,"uris":["http://zotero.org/users/6423791/items/LE6TVFRZ"],"itemData":{"id":3192,"type":"article-journal","abstract":"While the idea of using insect based feeds (IBFs) offers great potential, especially in developing countries, the environmental impact of implementation remains poorly researched. This study investigates the environmental performance of IBF production in the geographical context of West Africa. Drawing on published life cycle inventory (LCIs) data, the impact of three different IBF production systems were ex-ante evaluated (ReCiPe method) and compared to conventional feed resources. The explorative life cycle study provides a basis for trade-off analysis between different insect rearing systems (Musca domestica and Hermetia illucens) and provides insights on the environmental performance of IBF in comparison with conventional animal- and plant based protein feeds (fishmeal, cottonseed and soybean meal). The impacts of IBFs were shown to be largely determined by rearing techniques and the environmental loads of rearing substrates, attesting advantages to the rearing of housefly (M. domestica) larvae on chicken manure and the use of natural oviposition, i.e., substrate inoculation through naturally occurring flies. A comparison with conventional feeds pointed out the environmental disadvantages of current IBF production designs (especially in comparison to plant based feeds) that were largely attributable to their different position in the trophic network (decomposers) and the systems’ sub-standard capacity utilisation (insufficient economy of scale effect). When larvae are reared on substrates of low economic value (i.e., waste streams), IBF impacts were comparable to fishmeal. The results of the comparative assessment also highlighted a methodological limitation in the ReCiPe method, which does not account for impacts related to the use of biotic resources. As a consequence, the utilization of naturally grown resources, such as wild anchoveta, was treated as an ecosystem service of no environmental charge, providing disproportionate advantages to the fishmeal system.","container-title":"Agricultural Systems","DOI":"10.1016/j.agsy.2019.102710","ISSN":"0308-521X","journalAbbreviation":"Agricultural Systems","language":"en","page":"102710","source":"ScienceDirect","title":"Ex-ante life cycle impact assessment of insect based feed production in West Africa","volume":"178","author":[{"family":"Roffeis","given":"Martin"},{"family":"Fitches","given":"Elaine C."},{"family":"Wakefield","given":"Maureen E."},{"family":"Almeida","given":"Joana"},{"family":"Alves Valada","given":"Tatiana R."},{"family":"Devic","given":"Emilie"},{"family":"Koné","given":"N’Golopé"},{"family":"Kenis","given":"Marc"},{"family":"Nacambo","given":"Saidou"},{"family":"Koko","given":"Gabriel K. D."},{"family":"Mathijs","given":"Erik"},{"family":"Achten","given":"Wouter M. J."},{"family":"Muys","given":"Bart"}],"issued":{"date-parts":[["2020",2,1]]}}}],"schema":"https://github.com/citation-style-language/schema/raw/master/csl-citation.json"} </w:instrText>
            </w:r>
            <w:r w:rsidRPr="003C5C8A">
              <w:rPr>
                <w:i/>
                <w:sz w:val="18"/>
              </w:rPr>
              <w:fldChar w:fldCharType="separate"/>
            </w:r>
            <w:r w:rsidR="00E860C9" w:rsidRPr="00E860C9">
              <w:rPr>
                <w:rFonts w:ascii="Calibri" w:hAnsi="Calibri" w:cs="Calibri"/>
                <w:sz w:val="18"/>
                <w:szCs w:val="24"/>
                <w:vertAlign w:val="superscript"/>
              </w:rPr>
              <w:t>96</w:t>
            </w:r>
            <w:r w:rsidRPr="003C5C8A">
              <w:rPr>
                <w:i/>
                <w:sz w:val="18"/>
              </w:rPr>
              <w:fldChar w:fldCharType="end"/>
            </w:r>
            <w:r w:rsidRPr="003C5C8A">
              <w:rPr>
                <w:b w:val="0"/>
                <w:i/>
                <w:sz w:val="18"/>
              </w:rPr>
              <w:t xml:space="preserve"> (also available in</w:t>
            </w:r>
            <w:r w:rsidR="003C5C8A">
              <w:rPr>
                <w:b w:val="0"/>
                <w:i/>
                <w:sz w:val="18"/>
              </w:rPr>
              <w:t xml:space="preserve"> B.BSF_module spreadsheet</w:t>
            </w:r>
            <w:r w:rsidRPr="003C5C8A">
              <w:rPr>
                <w:b w:val="0"/>
                <w:i/>
                <w:sz w:val="18"/>
              </w:rPr>
              <w:t>)</w:t>
            </w:r>
          </w:p>
        </w:tc>
      </w:tr>
      <w:tr w:rsidR="006458E0" w:rsidRPr="003C5C8A" w14:paraId="24E53DD4"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42" w:type="dxa"/>
            <w:gridSpan w:val="3"/>
          </w:tcPr>
          <w:p w14:paraId="5F3F9287" w14:textId="68F8480C" w:rsidR="006458E0" w:rsidRPr="003C5C8A" w:rsidRDefault="006458E0" w:rsidP="006458E0">
            <w:pPr>
              <w:rPr>
                <w:b w:val="0"/>
                <w:i/>
                <w:sz w:val="18"/>
              </w:rPr>
            </w:pPr>
            <w:r w:rsidRPr="003C5C8A">
              <w:rPr>
                <w:b w:val="0"/>
                <w:i/>
                <w:sz w:val="18"/>
              </w:rPr>
              <w:t xml:space="preserve">Background processes for frass composting available in </w:t>
            </w:r>
            <w:r w:rsidR="002D3BB7" w:rsidRPr="003C5C8A">
              <w:rPr>
                <w:i/>
                <w:sz w:val="18"/>
              </w:rPr>
              <w:t xml:space="preserve">Javourez et al., </w:t>
            </w:r>
            <w:r w:rsidR="002D3BB7" w:rsidRPr="003A663A">
              <w:rPr>
                <w:i/>
                <w:sz w:val="18"/>
              </w:rPr>
              <w:t>202</w:t>
            </w:r>
            <w:r w:rsidR="003A663A" w:rsidRPr="003A663A">
              <w:rPr>
                <w:i/>
                <w:sz w:val="18"/>
              </w:rPr>
              <w:t>4</w:t>
            </w:r>
            <w:r w:rsidR="002D3BB7" w:rsidRPr="003A663A">
              <w:rPr>
                <w:i/>
                <w:sz w:val="18"/>
              </w:rPr>
              <w:fldChar w:fldCharType="begin"/>
            </w:r>
            <w:r w:rsidR="00827449">
              <w:rPr>
                <w:i/>
                <w:sz w:val="18"/>
              </w:rPr>
              <w:instrText xml:space="preserve"> ADDIN ZOTERO_ITEM CSL_CITATION {"citationID":"tUvS9b1i","properties":{"formattedCitation":"\\super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2D3BB7" w:rsidRPr="003A663A">
              <w:rPr>
                <w:i/>
                <w:sz w:val="18"/>
              </w:rPr>
              <w:fldChar w:fldCharType="separate"/>
            </w:r>
            <w:r w:rsidR="008C451C" w:rsidRPr="003A663A">
              <w:rPr>
                <w:rFonts w:ascii="Calibri" w:hAnsi="Calibri" w:cs="Calibri"/>
                <w:sz w:val="18"/>
                <w:szCs w:val="24"/>
                <w:vertAlign w:val="superscript"/>
              </w:rPr>
              <w:t>1</w:t>
            </w:r>
            <w:r w:rsidR="002D3BB7" w:rsidRPr="003A663A">
              <w:rPr>
                <w:i/>
                <w:sz w:val="18"/>
              </w:rPr>
              <w:fldChar w:fldCharType="end"/>
            </w:r>
          </w:p>
        </w:tc>
      </w:tr>
      <w:tr w:rsidR="006458E0" w:rsidRPr="003C5C8A" w14:paraId="51BD7B2A" w14:textId="77777777" w:rsidTr="006B5342">
        <w:tc>
          <w:tcPr>
            <w:cnfStyle w:val="001000000000" w:firstRow="0" w:lastRow="0" w:firstColumn="1" w:lastColumn="0" w:oddVBand="0" w:evenVBand="0" w:oddHBand="0" w:evenHBand="0" w:firstRowFirstColumn="0" w:firstRowLastColumn="0" w:lastRowFirstColumn="0" w:lastRowLastColumn="0"/>
            <w:tcW w:w="9042" w:type="dxa"/>
            <w:gridSpan w:val="3"/>
          </w:tcPr>
          <w:p w14:paraId="0981C05E" w14:textId="16E9F4EA" w:rsidR="006458E0" w:rsidRPr="003C5C8A" w:rsidRDefault="006458E0" w:rsidP="006458E0">
            <w:pPr>
              <w:rPr>
                <w:b w:val="0"/>
                <w:i/>
                <w:sz w:val="18"/>
              </w:rPr>
            </w:pPr>
            <w:r w:rsidRPr="003C5C8A">
              <w:rPr>
                <w:b w:val="0"/>
                <w:i/>
                <w:sz w:val="18"/>
              </w:rPr>
              <w:t xml:space="preserve">Background processes for compost spreading available in </w:t>
            </w:r>
            <w:r w:rsidR="002D3BB7" w:rsidRPr="003C5C8A">
              <w:rPr>
                <w:i/>
                <w:sz w:val="18"/>
              </w:rPr>
              <w:t xml:space="preserve">Javourez </w:t>
            </w:r>
            <w:r w:rsidR="002D3BB7" w:rsidRPr="003A663A">
              <w:rPr>
                <w:i/>
                <w:sz w:val="18"/>
              </w:rPr>
              <w:t>et al., 202</w:t>
            </w:r>
            <w:r w:rsidR="003A663A" w:rsidRPr="003A663A">
              <w:rPr>
                <w:i/>
                <w:sz w:val="18"/>
              </w:rPr>
              <w:t>4</w:t>
            </w:r>
            <w:r w:rsidR="002D3BB7" w:rsidRPr="003A663A">
              <w:rPr>
                <w:i/>
                <w:sz w:val="18"/>
              </w:rPr>
              <w:fldChar w:fldCharType="begin"/>
            </w:r>
            <w:r w:rsidR="00827449">
              <w:rPr>
                <w:i/>
                <w:sz w:val="18"/>
              </w:rPr>
              <w:instrText xml:space="preserve"> ADDIN ZOTERO_ITEM CSL_CITATION {"citationID":"h4aL5y9t","properties":{"formattedCitation":"\\super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2D3BB7" w:rsidRPr="003A663A">
              <w:rPr>
                <w:i/>
                <w:sz w:val="18"/>
              </w:rPr>
              <w:fldChar w:fldCharType="separate"/>
            </w:r>
            <w:r w:rsidR="008C451C" w:rsidRPr="003A663A">
              <w:rPr>
                <w:rFonts w:ascii="Calibri" w:hAnsi="Calibri" w:cs="Calibri"/>
                <w:sz w:val="18"/>
                <w:szCs w:val="24"/>
                <w:vertAlign w:val="superscript"/>
              </w:rPr>
              <w:t>1</w:t>
            </w:r>
            <w:r w:rsidR="002D3BB7" w:rsidRPr="003A663A">
              <w:rPr>
                <w:i/>
                <w:sz w:val="18"/>
              </w:rPr>
              <w:fldChar w:fldCharType="end"/>
            </w:r>
          </w:p>
        </w:tc>
      </w:tr>
    </w:tbl>
    <w:p w14:paraId="6D2AC9C1" w14:textId="5D1FEF65" w:rsidR="00852D80" w:rsidRDefault="006458E0" w:rsidP="006458E0">
      <w:pPr>
        <w:jc w:val="center"/>
        <w:rPr>
          <w:sz w:val="18"/>
        </w:rPr>
      </w:pPr>
      <w:r w:rsidRPr="003F5DA8">
        <w:rPr>
          <w:sz w:val="18"/>
        </w:rPr>
        <w:t xml:space="preserve">All processes are from the ecoinvent 3.8 consequential database. Direct flows to biosphere are displayed in </w:t>
      </w:r>
      <w:r w:rsidR="003C5C8A" w:rsidRPr="003C5C8A">
        <w:rPr>
          <w:i/>
          <w:sz w:val="18"/>
        </w:rPr>
        <w:t>B.BSF_module</w:t>
      </w:r>
      <w:r w:rsidRPr="003C5C8A">
        <w:rPr>
          <w:sz w:val="18"/>
        </w:rPr>
        <w:t>.</w:t>
      </w:r>
    </w:p>
    <w:p w14:paraId="2D2FE09E" w14:textId="77777777" w:rsidR="00852D80" w:rsidRDefault="00852D80">
      <w:pPr>
        <w:rPr>
          <w:sz w:val="18"/>
        </w:rPr>
      </w:pPr>
      <w:r>
        <w:rPr>
          <w:sz w:val="18"/>
        </w:rPr>
        <w:br w:type="page"/>
      </w:r>
    </w:p>
    <w:p w14:paraId="0740578D" w14:textId="75752627" w:rsidR="00454A0E" w:rsidRDefault="00E87DC4" w:rsidP="000254E1">
      <w:pPr>
        <w:pStyle w:val="Titre2"/>
      </w:pPr>
      <w:bookmarkStart w:id="177" w:name="_Ref144911195"/>
      <w:bookmarkStart w:id="178" w:name="_Toc145069117"/>
      <w:r>
        <w:lastRenderedPageBreak/>
        <w:t>Mycoproteins</w:t>
      </w:r>
      <w:r w:rsidR="000254E1">
        <w:t xml:space="preserve"> production from residual-based sugars LCI mode</w:t>
      </w:r>
      <w:bookmarkEnd w:id="177"/>
      <w:bookmarkEnd w:id="178"/>
      <w:r w:rsidR="00655BBB">
        <w:t>l</w:t>
      </w:r>
    </w:p>
    <w:p w14:paraId="3B641237" w14:textId="4C415CB4" w:rsidR="00A10D8D" w:rsidRDefault="00A10D8D" w:rsidP="00A10D8D">
      <w:pPr>
        <w:ind w:firstLine="360"/>
        <w:jc w:val="both"/>
      </w:pPr>
      <w:r w:rsidRPr="003F5DA8">
        <w:t xml:space="preserve">This </w:t>
      </w:r>
      <w:r w:rsidR="000254E1">
        <w:t>section</w:t>
      </w:r>
      <w:r w:rsidRPr="003F5DA8">
        <w:t xml:space="preserve"> presents the details (including assumptions, choice rationales, calculations and data sources) of the mycoproteins (myco) production life cycle inventory (LCI) model, </w:t>
      </w:r>
      <w:r w:rsidR="000254E1">
        <w:t>with the objective to</w:t>
      </w:r>
      <w:r w:rsidR="000254E1" w:rsidRPr="003F5DA8">
        <w:t xml:space="preserve"> </w:t>
      </w:r>
      <w:r w:rsidR="000254E1">
        <w:t>perform</w:t>
      </w:r>
      <w:r w:rsidR="000254E1" w:rsidRPr="003F5DA8">
        <w:t xml:space="preserve"> the LCA of transforming </w:t>
      </w:r>
      <w:r w:rsidRPr="003F5DA8">
        <w:t>fibrous</w:t>
      </w:r>
      <w:r w:rsidR="000254E1">
        <w:t>/starchy</w:t>
      </w:r>
      <w:r w:rsidRPr="003F5DA8">
        <w:t xml:space="preserve"> biomass streams into edible microorganisms </w:t>
      </w:r>
      <w:r w:rsidR="000254E1">
        <w:t xml:space="preserve">(e.g. the </w:t>
      </w:r>
      <w:r w:rsidRPr="003F5DA8">
        <w:t>“wood-to-proteins”</w:t>
      </w:r>
      <w:r w:rsidR="000254E1">
        <w:t xml:space="preserve"> route)</w:t>
      </w:r>
      <w:r w:rsidRPr="003F5DA8">
        <w:t xml:space="preserve">. The mycoprotein production </w:t>
      </w:r>
      <w:r w:rsidR="003C5C8A">
        <w:t xml:space="preserve">LCI </w:t>
      </w:r>
      <w:r w:rsidRPr="003F5DA8">
        <w:t xml:space="preserve">model supporting both variants myco_feed and myco_food pathways is available </w:t>
      </w:r>
      <w:r w:rsidRPr="003C5C8A">
        <w:t>in</w:t>
      </w:r>
      <w:r w:rsidR="003C5C8A" w:rsidRPr="003C5C8A">
        <w:rPr>
          <w:b/>
        </w:rPr>
        <w:t xml:space="preserve"> </w:t>
      </w:r>
      <w:proofErr w:type="gramStart"/>
      <w:r w:rsidR="003C5C8A" w:rsidRPr="003C5C8A">
        <w:rPr>
          <w:i/>
        </w:rPr>
        <w:t>B.Myco</w:t>
      </w:r>
      <w:proofErr w:type="gramEnd"/>
      <w:r w:rsidR="003C5C8A" w:rsidRPr="003C5C8A">
        <w:rPr>
          <w:i/>
        </w:rPr>
        <w:t>_module spreadsheet</w:t>
      </w:r>
      <w:r w:rsidRPr="003F5DA8">
        <w:t>.</w:t>
      </w:r>
    </w:p>
    <w:p w14:paraId="23FA8337" w14:textId="0145EFDF" w:rsidR="000254E1" w:rsidRPr="000254E1" w:rsidRDefault="000254E1" w:rsidP="000254E1">
      <w:pPr>
        <w:pStyle w:val="Titre3"/>
      </w:pPr>
      <w:bookmarkStart w:id="179" w:name="_Toc145069118"/>
      <w:r w:rsidRPr="00DC3727">
        <w:t>Set-up selection</w:t>
      </w:r>
      <w:bookmarkEnd w:id="179"/>
    </w:p>
    <w:p w14:paraId="13954830" w14:textId="426453F0" w:rsidR="000254E1" w:rsidRDefault="00B425D7" w:rsidP="000254E1">
      <w:pPr>
        <w:ind w:firstLine="360"/>
        <w:jc w:val="both"/>
      </w:pPr>
      <w:r w:rsidRPr="00B425D7">
        <w:t>The objective of this model is to build on already established worked, summarizing the recent advances and expanding possibilities offered by the conversion of secondary sugars into mycoproteins. These pathways initially emerged in the context of wartime, to provide edible ingredients in a context of food insecurity (either biomass-based molasses directly or protein-rich edible microorganisms cultured on these</w:t>
      </w:r>
      <w:r w:rsidRPr="00B425D7">
        <w:fldChar w:fldCharType="begin"/>
      </w:r>
      <w:r w:rsidR="00E860C9">
        <w:instrText xml:space="preserve"> ADDIN ZOTERO_ITEM CSL_CITATION {"citationID":"pPqVmuUx","properties":{"formattedCitation":"\\super 121\\nosupersub{}","plainCitation":"121","noteIndex":0},"citationItems":[{"id":1655,"uris":["http://zotero.org/users/6423791/items/MX4QZ7EB"],"itemData":{"id":1655,"type":"article-journal","journalAbbreviation":"US Dept. Agr. Yearbook","language":"en","page":"887-890","source":"Zotero","title":"Molasses and Yeast From Wood","author":[{"family":"Harris","given":"Elwin E"}],"issued":{"date-parts":[["1951"]]}}}],"schema":"https://github.com/citation-style-language/schema/raw/master/csl-citation.json"} </w:instrText>
      </w:r>
      <w:r w:rsidRPr="00B425D7">
        <w:fldChar w:fldCharType="separate"/>
      </w:r>
      <w:r w:rsidR="00E860C9" w:rsidRPr="00E860C9">
        <w:rPr>
          <w:rFonts w:ascii="Calibri" w:hAnsi="Calibri" w:cs="Calibri"/>
          <w:szCs w:val="24"/>
          <w:vertAlign w:val="superscript"/>
        </w:rPr>
        <w:t>121</w:t>
      </w:r>
      <w:r w:rsidRPr="00B425D7">
        <w:fldChar w:fldCharType="end"/>
      </w:r>
      <w:r w:rsidRPr="00B425D7">
        <w:t>).  ). Yet, current approaches rather build on the potential environmental benefits of sourcing alternative carbohydrates sources (compared to the common land-dependent ones such as sugar beet, maize, potato)</w:t>
      </w:r>
      <w:r w:rsidRPr="00B425D7">
        <w:fldChar w:fldCharType="begin"/>
      </w:r>
      <w:r w:rsidR="00E860C9">
        <w:instrText xml:space="preserve"> ADDIN ZOTERO_ITEM CSL_CITATION {"citationID":"2wELrJQ4","properties":{"formattedCitation":"\\super 122\\nosupersub{}","plainCitation":"122","noteIndex":0},"citationItems":[{"id":14027,"uris":["http://zotero.org/users/6423791/items/KW93Y2UN"],"itemData":{"id":14027,"type":"article-journal","abstract":"Plant- and animal-sourced proteins are carbon-intensive and vulnerable to extreme events. This combined with increasing protein demands highlight the challenge on providing sustainable protein derived from alternative sources. Microbial protein derived from microorganisms offers potential solutions. Notably, some microbial strains e.g. Fusarium venenatum could efficiently convert carbon sources from food-safe agricultural lignocellulosic ‘waste’ (e.g. food crop residues such as wheat straw) to microbial protein. Our study is underpinned by data-driven approach and presents a modelling framework and analyses to predict spatially-explicit yields of staple crop lignocellulosic residues in response to spatial variation and climate change and highlight their potential for microbial protein production. Five food crops residues have been modelled including barley, wheat, maize, sorghum and rice straws worldwide (around 227 countries) to show future potential for microbial protein production. This study predicts crop residue yields using the data set collection and data pre-processing of crop residues and other environmental factors like temperature. Then, global autocorrelation is used to identify crop residues’ worldwide distribution patterns, and local autocorrelation is used to identify hot and cold spots. Feature selection and four models including ordinary least squares (OLS), multilayer perceptron (MLP), lasso regression and spatial error model are applied in prediction. With the updated independent factor ‘future temperature’ obtained from the autoregressive integrated moving average (ARIMA) model, the selected model is used to predict crop residues in 2030, 2040 and visualizations are created to show the projection outcomes. Our quantitative projection suggests that the future lignocellulosic microbial protein supply in different scenarios would sufficiently satisfy the global protein demands considering the average adult daily protein recommendation (50 g protein per capita 70 kg per day).","container-title":"Current Research in Biotechnology","DOI":"10.1016/j.crbiot.2022.10.008","ISSN":"2590-2628","journalAbbreviation":"Curr. Res. Biotechnol.","language":"en","page":"544-563","source":"ScienceDirect","title":"Spatially-explicit projection of future microbial protein from lignocellulosic waste","volume":"4","author":[{"family":"Chen","given":"Liwei"},{"family":"Upcraft","given":"Thomas"},{"family":"Piercy","given":"Ellen"},{"family":"Guo","given":"Miao"}],"issued":{"date-parts":[["2022",1,1]]}}}],"schema":"https://github.com/citation-style-language/schema/raw/master/csl-citation.json"} </w:instrText>
      </w:r>
      <w:r w:rsidRPr="00B425D7">
        <w:fldChar w:fldCharType="separate"/>
      </w:r>
      <w:r w:rsidR="00E860C9" w:rsidRPr="00E860C9">
        <w:rPr>
          <w:rFonts w:ascii="Calibri" w:hAnsi="Calibri" w:cs="Calibri"/>
          <w:szCs w:val="24"/>
          <w:vertAlign w:val="superscript"/>
        </w:rPr>
        <w:t>122</w:t>
      </w:r>
      <w:r w:rsidRPr="00B425D7">
        <w:fldChar w:fldCharType="end"/>
      </w:r>
      <w:r w:rsidRPr="00B425D7">
        <w:t>. Referred to as mycoproteins, the inclusion of fungal biomass in human diets was reported to yield overall health benefits when substituting meat products (e.g. reduced cholesterol levels, increased bioavailability of amino acids, etc.</w:t>
      </w:r>
      <w:r w:rsidRPr="00B425D7">
        <w:fldChar w:fldCharType="begin"/>
      </w:r>
      <w:r w:rsidR="00631821">
        <w:instrText xml:space="preserve"> ADDIN ZOTERO_ITEM CSL_CITATION {"citationID":"uoTAP0mM","properties":{"formattedCitation":"(Derbyshire and Delange, 2021; Souza Filho et al., 2019)","plainCitation":"(Derbyshire and Delange, 2021; Souza Filho et al., 2019)","dontUpdate":true,"noteIndex":0},"citationItems":[{"id":13462,"uris":["http://zotero.org/users/6423791/items/IEEPN6J5"],"itemData":{"id":13462,"type":"article-journal","abstract":"Mycoprotein is a protein-rich fungal-derived sustainable food source that was first discovered in the early 1960's. Since then, a sizeable body of research has investigated the health benefits of mycelium protein. Given this, the present publication aims to systematically review the effects of mycoprotein on human health. A literature search of human studies was conducted using PubMed Central, ClinicalTrials.Gov, Google Scholar and a manual search. Sixteen controlled trials, totaling 432 participants were included – of these 5 studies reported total cholesterol, 5 reported on energy intake, 7 on insulin levels, 8 on glucose levels and 4 studied protein response. Risk of bias showed that 7 studies were good quality although heterogeneity was apparent between studies. Results showed that acute mycoprotein ingestion was associated with reduced total cholesterol levels, particularly amongst those with hyperlipidemia. Evidence was less conclusive for effects on blood glucose and insulin levels. Mycoprotein also appears to be a promising bioavailable source of essential amino acids that could induce muscle protein synthesis. Overall, given growing interest in sustainable proteins and accruing health evidence for mycoprotein, firmer embedment with food-based dietary guidelines is now worthy of consideration.","container-title":"Frontiers in Sustainable Food Systems","ISSN":"2571-581X","source":"Frontiers","title":"Fungal Protein – What Is It and What Is the Health Evidence? A Systematic Review Focusing on Mycoprotein","title-short":"Fungal Protein – What Is It and What Is the Health Evidence?","URL":"https://www.frontiersin.org/article/10.3389/fsufs.2021.581682","volume":"5","author":[{"family":"Derbyshire","given":"Emma J."},{"family":"Delange","given":"Joanne"}],"accessed":{"date-parts":[["2022",6,16]]},"issued":{"date-parts":[["2021"]]}}},{"id":2260,"uris":["http://zotero.org/users/6423791/items/DBPMR4S5"],"itemData":{"id":2260,"type":"article-journal","abstract":"The term mycoprotein refers to the protein-rich food made of filamentous fungal biomass that can be consumed as an alternative to meat. In this paper, the impact caused by the substitution of animal-origin meat in the human diet for mycoprotein on the health and the environment is reviewed. Presently, mycoprotein can be found in the supermarkets of developed countries in several forms (e.g. sausages and patties). Expansion to other markets depends on the reduction of the costs. Although scarce, the results of life cycle analyses of mycoprotein agree that this meat substitute causes an environmental impact similar to chicken and pork. In this context, the use of inexpensive agro-industrial residues as substrate for mycoprotein production has been investigated. This strategy is believed to reduce the costs involved in the fungal cultivation and lower the environmental impact of both the mycoprotein and the food industry. Moreover, several positive effects in health have been associated with the substitution of meat for mycoprotein, including improvements in blood cholesterol concentration and glycemic response. Mycoprotein has found a place in the market, but questions regarding the consumer’s experience on the sensory and health aspects are still being investigated.","container-title":"World Journal of Microbiology and Biotechnology","DOI":"10.1007/s11274-019-2723-9","ISSN":"1573-0972","issue":"10","journalAbbreviation":"World J Microbiol Biotechnol","language":"en","page":"147","source":"Springer Link","title":"Mycoprotein: environmental impact and health aspects","title-short":"Mycoprotein","volume":"35","author":[{"family":"Souza Filho","given":"Pedro F."},{"family":"Andersson","given":"Dan"},{"family":"Ferreira","given":"Jorge A."},{"family":"Taherzadeh","given":"Mohammad J."}],"issued":{"date-parts":[["2019",9,23]]}}}],"schema":"https://github.com/citation-style-language/schema/raw/master/csl-citation.json"} </w:instrText>
      </w:r>
      <w:r w:rsidRPr="00B425D7">
        <w:fldChar w:fldCharType="separate"/>
      </w:r>
      <w:r w:rsidRPr="00B425D7">
        <w:rPr>
          <w:rFonts w:ascii="Calibri" w:hAnsi="Calibri" w:cs="Calibri"/>
        </w:rPr>
        <w:t>; Derbyshire and Delange, 2021; Souza Filho et al., 2019)</w:t>
      </w:r>
      <w:r w:rsidRPr="00B425D7">
        <w:fldChar w:fldCharType="end"/>
      </w:r>
      <w:r w:rsidRPr="00B425D7">
        <w:t>.</w:t>
      </w:r>
      <w:r w:rsidR="00DC3727">
        <w:t xml:space="preserve"> </w:t>
      </w:r>
      <w:r w:rsidR="00DC3727" w:rsidRPr="000254E1">
        <w:t>Yet, fungi are mostly aerobic heterotrophs,</w:t>
      </w:r>
      <w:r w:rsidR="00DC3727" w:rsidRPr="003F5DA8">
        <w:t xml:space="preserve"> which in the case of submerged fermentation, require a growth media supplied with organic soluble (C</w:t>
      </w:r>
      <w:r w:rsidR="00DC3727" w:rsidRPr="003F5DA8">
        <w:rPr>
          <w:vertAlign w:val="subscript"/>
        </w:rPr>
        <w:t>1</w:t>
      </w:r>
      <w:r w:rsidR="00DC3727" w:rsidRPr="003F5DA8">
        <w:t>-C</w:t>
      </w:r>
      <w:r w:rsidR="00DC3727" w:rsidRPr="003F5DA8">
        <w:rPr>
          <w:vertAlign w:val="subscript"/>
        </w:rPr>
        <w:t>6</w:t>
      </w:r>
      <w:r w:rsidR="00DC3727" w:rsidRPr="003F5DA8">
        <w:t xml:space="preserve"> compounds).</w:t>
      </w:r>
      <w:r w:rsidR="00DC3727">
        <w:t xml:space="preserve"> </w:t>
      </w:r>
      <w:r w:rsidR="00DC3727" w:rsidRPr="003F5DA8">
        <w:t>Indeed, current myco</w:t>
      </w:r>
      <w:r w:rsidR="00DC3727">
        <w:t>proteins</w:t>
      </w:r>
      <w:r w:rsidR="00DC3727" w:rsidRPr="003F5DA8">
        <w:t xml:space="preserve"> production set-ups based on raw or starch-based glucose do not provide clear enhanced environmental benefits compared to chicken and pork meat</w:t>
      </w:r>
      <w:r w:rsidR="00DC3727" w:rsidRPr="003F5DA8">
        <w:fldChar w:fldCharType="begin"/>
      </w:r>
      <w:r w:rsidR="00E860C9">
        <w:instrText xml:space="preserve"> ADDIN ZOTERO_ITEM CSL_CITATION {"citationID":"PXUvQVsC","properties":{"formattedCitation":"\\super 124\\nosupersub{}","plainCitation":"124","noteIndex":0},"citationItems":[{"id":2260,"uris":["http://zotero.org/users/6423791/items/DBPMR4S5"],"itemData":{"id":2260,"type":"article-journal","abstract":"The term mycoprotein refers to the protein-rich food made of filamentous fungal biomass that can be consumed as an alternative to meat. In this paper, the impact caused by the substitution of animal-origin meat in the human diet for mycoprotein on the health and the environment is reviewed. Presently, mycoprotein can be found in the supermarkets of developed countries in several forms (e.g. sausages and patties). Expansion to other markets depends on the reduction of the costs. Although scarce, the results of life cycle analyses of mycoprotein agree that this meat substitute causes an environmental impact similar to chicken and pork. In this context, the use of inexpensive agro-industrial residues as substrate for mycoprotein production has been investigated. This strategy is believed to reduce the costs involved in the fungal cultivation and lower the environmental impact of both the mycoprotein and the food industry. Moreover, several positive effects in health have been associated with the substitution of meat for mycoprotein, including improvements in blood cholesterol concentration and glycemic response. Mycoprotein has found a place in the market, but questions regarding the consumer’s experience on the sensory and health aspects are still being investigated.","container-title":"World Journal of Microbiology and Biotechnology","DOI":"10.1007/s11274-019-2723-9","ISSN":"1573-0972","issue":"10","journalAbbreviation":"World J Microbiol Biotechnol","language":"en","page":"147","source":"Springer Link","title":"Mycoprotein: environmental impact and health aspects","title-short":"Mycoprotein","volume":"35","author":[{"family":"Souza Filho","given":"Pedro F."},{"family":"Andersson","given":"Dan"},{"family":"Ferreira","given":"Jorge A."},{"family":"Taherzadeh","given":"Mohammad J."}],"issued":{"date-parts":[["2019",9,23]]}}}],"schema":"https://github.com/citation-style-language/schema/raw/master/csl-citation.json"} </w:instrText>
      </w:r>
      <w:r w:rsidR="00DC3727" w:rsidRPr="003F5DA8">
        <w:fldChar w:fldCharType="separate"/>
      </w:r>
      <w:r w:rsidR="00E860C9" w:rsidRPr="00E860C9">
        <w:rPr>
          <w:rFonts w:ascii="Calibri" w:hAnsi="Calibri" w:cs="Calibri"/>
          <w:szCs w:val="24"/>
          <w:vertAlign w:val="superscript"/>
        </w:rPr>
        <w:t>124</w:t>
      </w:r>
      <w:r w:rsidR="00DC3727" w:rsidRPr="003F5DA8">
        <w:fldChar w:fldCharType="end"/>
      </w:r>
      <w:r w:rsidR="00DC3727" w:rsidRPr="003F5DA8">
        <w:t>.</w:t>
      </w:r>
    </w:p>
    <w:p w14:paraId="60FF1095" w14:textId="448E2E30" w:rsidR="008F4A58" w:rsidRDefault="001B2C2E" w:rsidP="000254E1">
      <w:pPr>
        <w:jc w:val="both"/>
      </w:pPr>
      <w:r>
        <w:t xml:space="preserve">When these residual streams are compliant with safety standards and host nutrients under readily-available forms, mycoproteins production has already been successfully reported, for example using </w:t>
      </w:r>
      <w:r w:rsidRPr="008F2922">
        <w:t>molasses, potato processing wastewater, bred leftovers or seaweeds</w:t>
      </w:r>
      <w:r>
        <w:t xml:space="preserve"> </w:t>
      </w:r>
      <w:r w:rsidRPr="008F2922">
        <w:fldChar w:fldCharType="begin"/>
      </w:r>
      <w:r w:rsidR="005413B4">
        <w:instrText xml:space="preserve"> ADDIN ZOTERO_ITEM CSL_CITATION {"citationID":"HHeAVOyi","properties":{"formattedCitation":"\\super 125\\uc0\\u8211{}127\\nosupersub{}","plainCitation":"125–127","noteIndex":0},"citationItems":[{"id":13574,"uris":["http://zotero.org/users/6423791/items/UP9PNGW7"],"itemData":{"id":13574,"type":"article-journal","abstract":"Food-processing wastewater (FPWW), as opposed to solid residues, occurs extensively throughout the world, and has considerable potential for resource recovery (RR), however, at present, it is severely underutilized. This paper serves as a suggested ‘plan forward’ to optimize integrated RR from FPWW. In order to optimize this potential and ‘close the loop’, there needs to be further development in in-depth analytical methods of the FPWW; axenic/mixed cultures or microbial communities capable of growing on FPWW and hence producing single-cell protein for animal feed and food additives; cost-effective methods for separating high-value-added solutes such as vitamins K2, B12, and B2; isoflavones and flavanones; integrated energy- and water-recovery flowsheets; and optimization methods to integrate RR and energy harvesting with minimal impact on the environment. Each of these areas is examined and future research directions are laid out.","container-title":"Current Opinion in Biotechnology","DOI":"10.1016/j.copbio.2022.102735","ISSN":"0958-1669","journalAbbreviation":"Curr. Opin. Biotechnol.","language":"en","page":"102735","source":"ScienceDirect","title":"Resource recovery from food-processing wastewaters in a circular economy: a methodology for the future","title-short":"Resource recovery from food-processing wastewaters in a circular economy","volume":"76","author":[{"family":"Durkin","given":"Alex"},{"family":"Guo","given":"Miao"},{"family":"Wuertz","given":"Stefan"},{"family":"Stuckey","given":"David C"}],"issued":{"date-parts":[["2022",8,1]]}}},{"id":3304,"uris":["http://zotero.org/users/6423791/items/N95H3WGJ"],"itemData":{"id":3304,"type":"article-journal","abstract":"In this work, we have valued and increased the nutritional value of Macrocystis pyrifera and seaweed waste from brown macroalgae through a submerged fermentation process with the marine fungus Paradendryphiella salina. The product resulting after fermentation, the mycelium of P. salina together with the hydrolyzed algal, is called mycoprotein. We analyze the nutritional composition (carbohydrates, protein, amino acids, total fibre, caloric energy, fat), phenolic compounds and antioxidant activity in vitro of the mycoprotein obtained and of the algal biomass before fermentation. The content of total protein increased ~141% in fermented M. pyrifera and the total amino acids increased 73,5%. While that in fermented seaweed waste the protein increased ~131%. Furthermore, the fermentation on M. pyrifera and seaweed wastes had a positive effect on total carbohydrate reduction of this biomass algal ~38% and 35%, respectively. The concentration of the main complex polysaccharide presents in M. pyrifera, the alginate, was decreased significantly (up to 1.5-fold). In contrast, the cellulose concentration in fermented seaweed waste was significantly lower than the unfermented seaweed (up to 2.9-fold). According to these results, fermentation seems to enhance the nutritional value of seaweed biomass, and its potential is compared with Quorn, the mycoprotein used in food. Additionally, the total compounds phenolic and the antioxidant activity of fermented seaweed biomass exhibited an increase significantly face the unfermented seaweed biomass. Fermented seaweed waste resulted in the highest value of total phenolics and higher antioxidant activity, with an increase of 180.9 and 86.3%, respectively. Finally, this work shows that P. salina can assimilate brown macroalgae and even wastes of this biomass and produce mycoprotein like a promising strategy, and that may be useful food or functional food and feed.","container-title":"Algal Research","DOI":"10.1016/j.algal.2020.102135","ISSN":"2211-9264","journalAbbreviation":"Algal Res.","language":"en","page":"102135","source":"ScienceDirect","title":"Valorization and upgrading of the nutritional value of seaweed and seaweed waste using the marine fungi Paradendryphiella salina to produce mycoprotein","volume":"53","author":[{"family":"Landeta Salgado","given":"Catalina"},{"family":"Muñoz","given":"Rosa"},{"family":"Blanco","given":"Adriana"},{"family":"Lienqueo","given":"María Elena"}],"issued":{"date-parts":[["2021",3,1]]}}},{"id":11818,"uris":["http://zotero.org/users/6423791/items/QLGCI4D5"],"itemData":{"id":11818,"type":"article-journal","abstract":"Potato liquor, a byproduct of potato starch production, is steam-treated to produce protein isolate. The heat treated potato liquor (HTPL), containing significant amounts of organic compounds, still needs to be further treated before it is discarded. Presently, the most common strategy for HTPL management is concentrating it via evaporation before using it as a fertilizer. In this study, this scenario was compared with two biotreatments: (1) fermentation using filamentous fungus R. oryzae to produce a protein-rich biomass, and (2) anaerobic digestion of the HTPL to produce biogas. Technical, economic and environmental analyses were performed via computational simulation to determine potential benefits of the proposed scenarios to a plant discarding 19.64 ton/h of HTPL. Fungal cultivation was found to be the preferred scenario with respect to the economic aspects. This scenario needed only 46% of the investment needed for the evaporation scenario. In terms of the environmental impacts, fungal cultivation yielded the lowest impacts in the acidification, terrestrial eutrophication, freshwater eutrophication, marine eutrophication and freshwater ecotoxicity impact categories. The lowest impact in the climate change category was obtained when using the HTPL for anaerobic digestion.","container-title":"Fermentation","DOI":"10.3390/fermentation3040056","issue":"4","language":"en","license":"http://creativecommons.org/licenses/by/3.0/","note":"number: 4\npublisher: Multidisciplinary Digital Publishing Institute","page":"56","source":"www.mdpi.com","title":"Techno-Economic and Life Cycle Assessment of Wastewater Management from Potato Starch Production: Present Status and Alternative Biotreatments","title-short":"Techno-Economic and Life Cycle Assessment of Wastewater Management from Potato Starch Production","volume":"3","author":[{"family":"Souza Filho","given":"Pedro F."},{"family":"Brancoli","given":"Pedro"},{"family":"Bolton","given":"Kim"},{"family":"Zamani","given":"Akram"},{"family":"Taherzadeh","given":"Mohammad J."}],"issued":{"date-parts":[["2017",12]]}}}],"schema":"https://github.com/citation-style-language/schema/raw/master/csl-citation.json"} </w:instrText>
      </w:r>
      <w:r w:rsidRPr="008F2922">
        <w:fldChar w:fldCharType="separate"/>
      </w:r>
      <w:r w:rsidR="005413B4" w:rsidRPr="005413B4">
        <w:rPr>
          <w:rFonts w:ascii="Calibri" w:hAnsi="Calibri" w:cs="Calibri"/>
          <w:szCs w:val="24"/>
          <w:vertAlign w:val="superscript"/>
        </w:rPr>
        <w:t>125–127</w:t>
      </w:r>
      <w:r w:rsidRPr="008F2922">
        <w:fldChar w:fldCharType="end"/>
      </w:r>
      <w:r w:rsidRPr="008F2922">
        <w:t>.</w:t>
      </w:r>
      <w:r>
        <w:t xml:space="preserve"> Yet, when these nutrients remain </w:t>
      </w:r>
      <w:r w:rsidRPr="008F2922">
        <w:t>untangled within strong polymer networks (</w:t>
      </w:r>
      <w:r>
        <w:t>for example, the</w:t>
      </w:r>
      <w:r w:rsidRPr="008F2922">
        <w:t xml:space="preserve"> </w:t>
      </w:r>
      <w:r>
        <w:t>lignocelluloses matrix</w:t>
      </w:r>
      <w:r w:rsidRPr="008F2922">
        <w:t xml:space="preserve"> of primary crop residues), a cracking </w:t>
      </w:r>
      <w:r>
        <w:t>pretreatment</w:t>
      </w:r>
      <w:r w:rsidRPr="008F2922">
        <w:t xml:space="preserve"> </w:t>
      </w:r>
      <w:r>
        <w:t xml:space="preserve">should </w:t>
      </w:r>
      <w:r w:rsidRPr="008F2922">
        <w:t xml:space="preserve">be </w:t>
      </w:r>
      <w:r>
        <w:t>performed</w:t>
      </w:r>
      <w:r w:rsidRPr="008F2922">
        <w:t xml:space="preserve"> </w:t>
      </w:r>
      <w:r w:rsidRPr="008F2922">
        <w:fldChar w:fldCharType="begin"/>
      </w:r>
      <w:r w:rsidR="005413B4">
        <w:instrText xml:space="preserve"> ADDIN ZOTERO_ITEM CSL_CITATION {"citationID":"INwowBUW","properties":{"formattedCitation":"\\super 128,129\\nosupersub{}","plainCitation":"128,129","noteIndex":0},"citationItems":[{"id":13545,"uris":["http://zotero.org/users/6423791/items/GLD93236"],"itemData":{"id":13545,"type":"article-journal","abstract":"•\n              Integrated valorization of grape stalks generated lignin, fermentable sugars and nanocellulose.\n            \n            \n              •\n              For the first time, xylose was recover from grape stalk.\n            \n            \n              •\n              First cellulose nanocrystals recovered from grape stalk.\n            \n            \n              •\n              First proof of concept of use of a generated stream from an integrated valorization process.\n            \n            \n              •\n              Grape stalks fermentable sugars are consumed to produce bioethanol.\n            \n            \n              •\n              Biorefinery is a sustainable way for the processing of grape stalk.\n            \n          \n        , White and red grape stalks biomass were fractioned to maximize its economic value by the production of fermentable sugars, as other value streams. High yields of extractives and lignin were first obtained, originating a biomass rich in cellulose and hemicellulose, which was subject to acid and enzymatic hydrolysis for production of fermentable sugars. Higher concentrations of sugars were obtained by enzymatic than by dilute acid hydrolysis. These biosugars were used for fermentation processes with Pichia stipitis and Saccharomyces cerevisiae. The presence of higher quantities of xylose favoured P. stipitis to produce higher ethanol yields than S. cerevisiae which is glucose lover. Cellulose nanocrystals were produced from the resulting biomass without monosaccharides. For the first time an integrated valorization of grape stalks followed by an application of one of the valorized streams is presented.","container-title":"Food Chemistry: Molecular Sciences","DOI":"10.1016/j.fochms.2021.100067","ISSN":"2666-5662","journalAbbreviation":"Food Chem (Oxf)","note":"PMID: 35415689\nPMCID: PMC8991497","page":"100067","source":"PubMed Central","title":"Grape stalk valorization for fermentation purposes","volume":"4","author":[{"family":"Atatoprak","given":"Tuğba"},{"family":"Amorim","given":"Maria Manuela"},{"family":"Ribeiro","given":"Tânia"},{"family":"Pintado","given":"Manuela"},{"family":"Madureira","given":"Ana Raquel"}],"issued":{"date-parts":[["2021",12,22]]}}},{"id":13560,"uris":["http://zotero.org/users/6423791/items/BP864L3Y"],"itemData":{"id":13560,"type":"article-journal","abstract":"Empty and partially filled paddy grain (EPFG) is a type of biomass removed from grain processing line in rice milling factory due to its damaged features and lower quality. In this study, two conditions of EPFG (unground and ground) were pre-treated using a mild hydrothermal process at 120°C at 30–120 minutes. This allows the disruption of lignocellulose and starch structure for glucose production enhancement prior to enzymatic hydrolysis treatment. A detailed structural change of the biomass was studied after pre-treatment to ensure that EPFG could be utilised as a novel feedstock in glucose production. The pre-treatment condition which shows potential structural changes for sugar conversion (gelatinization of starch, reduction of hemicellulose to 11.8% and increased in cellulose to 43.3%) was by combination of dry grinding and hydrothermal pre-treatment at 60 min. At this condition, the starch and sugars released in the liquid fraction is high at 127 mg/g and 37.1 mg/g, respectively, which can easily be converted into glucose without the need of enzyme usage. The effectiveness of the pre-treatment on EPFG structural changes was further confirmed through SEM and XRD, showing disruption of structures leading to amorphous biomass. Glucose production of pre-treated G-EPFG shows higher value at 30.13 g/L for 10% solid loading than the untreated samples. Overall, the results suggested that EPFG produced as waste in paddy milling factories can be a potential feedstock for a biorefinery based on the findings and processes derived from this study. This article is protected by copyright. All rights reserved","container-title":"Starch - Stärke","DOI":"10.1002/star.202100299","ISSN":"1521-379X","language":"en","note":"_eprint: https://onlinelibrary.wiley.com/doi/pdf/10.1002/star.202100299","page":"2100299","source":"Wiley Online Library","title":"Structural modification of empty and partially filled paddy grain through hydrothermal pre-treatment as a novel substrate for fermentable glucose production","author":[{"family":"Bakar","given":"Nurul Ain Abu"},{"family":"Roslan","given":"Ahmad Muhaimin"},{"family":"Hassan","given":"Mohd Ali"},{"family":"Rahman","given":"Muhammad Daaniyall Abdul"},{"family":"Mohamad","given":"Rozyanti"},{"family":"Ibrahim","given":"Khairul Nadiah"}],"issued":{"date-parts":[["2022"]]}}}],"schema":"https://github.com/citation-style-language/schema/raw/master/csl-citation.json"} </w:instrText>
      </w:r>
      <w:r w:rsidRPr="008F2922">
        <w:fldChar w:fldCharType="separate"/>
      </w:r>
      <w:r w:rsidR="005413B4" w:rsidRPr="005413B4">
        <w:rPr>
          <w:rFonts w:ascii="Calibri" w:hAnsi="Calibri" w:cs="Calibri"/>
          <w:szCs w:val="24"/>
          <w:vertAlign w:val="superscript"/>
        </w:rPr>
        <w:t>128,129</w:t>
      </w:r>
      <w:r w:rsidRPr="008F2922">
        <w:fldChar w:fldCharType="end"/>
      </w:r>
      <w:r w:rsidRPr="008F2922">
        <w:t>.</w:t>
      </w:r>
      <w:bookmarkStart w:id="180" w:name="_Hlk141352377"/>
      <w:r>
        <w:t xml:space="preserve"> </w:t>
      </w:r>
      <w:r w:rsidR="000254E1">
        <w:t>Importantly</w:t>
      </w:r>
      <w:r w:rsidR="000254E1" w:rsidRPr="000254E1">
        <w:t xml:space="preserve">, there is a TRL difference between the myco production stage </w:t>
      </w:r>
      <w:r w:rsidR="000254E1">
        <w:t>(</w:t>
      </w:r>
      <w:r w:rsidR="000254E1" w:rsidRPr="000254E1">
        <w:t>already commercialized</w:t>
      </w:r>
      <w:r w:rsidR="000254E1">
        <w:t>)</w:t>
      </w:r>
      <w:r w:rsidR="000254E1" w:rsidRPr="000254E1">
        <w:t xml:space="preserve">, and the food-grade lignocellulosic sugar production stage (TRL &lt; 4-5, albeit production plants existed during WWII, likely with different safety and sanitary standards). Accordingly, the precise technical design and forecasted environmental performances remain mostly unknown as most of the scaling initiatives (e.g. Arbiom; CometBio; BALI sugar process; etc.) are under patent with low to no data publicly available. </w:t>
      </w:r>
      <w:bookmarkEnd w:id="180"/>
      <w:r w:rsidR="000254E1" w:rsidRPr="000254E1">
        <w:t>Therefore, only two LCA targeting the full wood-to-proteins route were identified in the literature (see</w:t>
      </w:r>
      <w:r w:rsidR="000254E1">
        <w:t xml:space="preserve"> </w:t>
      </w:r>
      <w:r w:rsidR="000254E1" w:rsidRPr="000254E1">
        <w:rPr>
          <w:b/>
        </w:rPr>
        <w:fldChar w:fldCharType="begin"/>
      </w:r>
      <w:r w:rsidR="000254E1" w:rsidRPr="000254E1">
        <w:rPr>
          <w:b/>
        </w:rPr>
        <w:instrText xml:space="preserve"> REF _Ref144806598 \h </w:instrText>
      </w:r>
      <w:r w:rsidR="000254E1">
        <w:rPr>
          <w:b/>
        </w:rPr>
        <w:instrText xml:space="preserve"> \* MERGEFORMAT </w:instrText>
      </w:r>
      <w:r w:rsidR="000254E1" w:rsidRPr="000254E1">
        <w:rPr>
          <w:b/>
        </w:rPr>
      </w:r>
      <w:r w:rsidR="000254E1" w:rsidRPr="000254E1">
        <w:rPr>
          <w:b/>
        </w:rPr>
        <w:fldChar w:fldCharType="separate"/>
      </w:r>
      <w:r w:rsidR="00F25F8C" w:rsidRPr="00F25F8C">
        <w:rPr>
          <w:b/>
        </w:rPr>
        <w:t xml:space="preserve">Table SI. </w:t>
      </w:r>
      <w:r w:rsidR="00F25F8C" w:rsidRPr="00F25F8C">
        <w:rPr>
          <w:b/>
          <w:noProof/>
        </w:rPr>
        <w:t>39</w:t>
      </w:r>
      <w:r w:rsidR="000254E1" w:rsidRPr="000254E1">
        <w:rPr>
          <w:b/>
        </w:rPr>
        <w:fldChar w:fldCharType="end"/>
      </w:r>
      <w:r w:rsidR="000254E1" w:rsidRPr="000254E1">
        <w:t>). On top of hosting a different LCA goal and scope (gate-to-mycoproteins accounting for carbon sequestration, attributional LCA), they display the</w:t>
      </w:r>
      <w:r w:rsidR="000254E1">
        <w:t>ir</w:t>
      </w:r>
      <w:r w:rsidR="000254E1" w:rsidRPr="000254E1">
        <w:t xml:space="preserve"> results for one residual stream</w:t>
      </w:r>
      <w:r w:rsidR="000254E1">
        <w:t xml:space="preserve"> only</w:t>
      </w:r>
      <w:r w:rsidR="000254E1" w:rsidRPr="000254E1">
        <w:t>, and one of them do</w:t>
      </w:r>
      <w:r w:rsidR="000254E1">
        <w:t>es</w:t>
      </w:r>
      <w:r w:rsidR="000254E1" w:rsidRPr="000254E1">
        <w:t xml:space="preserve"> not transparently display its modeling and performance assumptions. Therefore, while the present mycoproteins production mo</w:t>
      </w:r>
      <w:r w:rsidR="00655BBB">
        <w:t>d</w:t>
      </w:r>
      <w:r w:rsidR="000254E1" w:rsidRPr="000254E1">
        <w:t>e</w:t>
      </w:r>
      <w:r w:rsidR="00655BBB">
        <w:t>l</w:t>
      </w:r>
      <w:r w:rsidR="000254E1" w:rsidRPr="000254E1">
        <w:t xml:space="preserve"> serves the objective of this study, it also </w:t>
      </w:r>
      <w:r w:rsidR="000254E1">
        <w:t>provides</w:t>
      </w:r>
      <w:r w:rsidR="000254E1" w:rsidRPr="000254E1">
        <w:t xml:space="preserve"> an additional </w:t>
      </w:r>
      <w:r w:rsidR="000254E1">
        <w:t>tool to assess</w:t>
      </w:r>
      <w:r w:rsidR="000254E1" w:rsidRPr="000254E1">
        <w:t xml:space="preserve"> the environmental consequences of implementing </w:t>
      </w:r>
      <w:r w:rsidR="000254E1">
        <w:t>the “</w:t>
      </w:r>
      <w:r w:rsidR="000254E1" w:rsidRPr="000254E1">
        <w:t>wood-to-proteins</w:t>
      </w:r>
      <w:r w:rsidR="000254E1">
        <w:t>”</w:t>
      </w:r>
      <w:r w:rsidR="000254E1" w:rsidRPr="000254E1">
        <w:t xml:space="preserve"> </w:t>
      </w:r>
      <w:r w:rsidR="000254E1">
        <w:t>route</w:t>
      </w:r>
      <w:r w:rsidR="000254E1" w:rsidRPr="000254E1">
        <w:t>.</w:t>
      </w:r>
    </w:p>
    <w:p w14:paraId="413CC124" w14:textId="77777777" w:rsidR="008F4A58" w:rsidRDefault="008F4A58">
      <w:r>
        <w:br w:type="page"/>
      </w:r>
    </w:p>
    <w:p w14:paraId="264ABDDC" w14:textId="35B98D77" w:rsidR="00DC3727" w:rsidRPr="000576D6" w:rsidRDefault="00874128" w:rsidP="006B5342">
      <w:pPr>
        <w:pStyle w:val="Lgende"/>
        <w:jc w:val="left"/>
        <w:rPr>
          <w:b w:val="0"/>
          <w:i/>
        </w:rPr>
      </w:pPr>
      <w:bookmarkStart w:id="181" w:name="_Ref144806598"/>
      <w:bookmarkStart w:id="182" w:name="_Toc134537650"/>
      <w:bookmarkStart w:id="183" w:name="_Toc151967923"/>
      <w:r>
        <w:lastRenderedPageBreak/>
        <w:t>Table SI.</w:t>
      </w:r>
      <w:r w:rsidR="00DC3727">
        <w:t xml:space="preserve"> </w:t>
      </w:r>
      <w:r>
        <w:fldChar w:fldCharType="begin"/>
      </w:r>
      <w:r>
        <w:instrText xml:space="preserve"> SEQ Table_SI. \* ARABIC </w:instrText>
      </w:r>
      <w:r>
        <w:fldChar w:fldCharType="separate"/>
      </w:r>
      <w:r w:rsidR="00F25F8C">
        <w:rPr>
          <w:noProof/>
        </w:rPr>
        <w:t>39</w:t>
      </w:r>
      <w:r>
        <w:fldChar w:fldCharType="end"/>
      </w:r>
      <w:bookmarkEnd w:id="181"/>
      <w:r w:rsidR="00DC3727">
        <w:t xml:space="preserve"> </w:t>
      </w:r>
      <w:r w:rsidR="00DC3727" w:rsidRPr="006F2B7A">
        <w:t>– Mycoproteins production assessment review, to date</w:t>
      </w:r>
      <w:bookmarkEnd w:id="182"/>
      <w:bookmarkEnd w:id="183"/>
    </w:p>
    <w:tbl>
      <w:tblPr>
        <w:tblStyle w:val="Tableausimple2"/>
        <w:tblW w:w="0" w:type="auto"/>
        <w:tblLook w:val="04A0" w:firstRow="1" w:lastRow="0" w:firstColumn="1" w:lastColumn="0" w:noHBand="0" w:noVBand="1"/>
      </w:tblPr>
      <w:tblGrid>
        <w:gridCol w:w="2410"/>
        <w:gridCol w:w="1559"/>
        <w:gridCol w:w="1276"/>
        <w:gridCol w:w="1134"/>
        <w:gridCol w:w="2663"/>
      </w:tblGrid>
      <w:tr w:rsidR="00DC3727" w:rsidRPr="008F4A58" w14:paraId="5E58B30D"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1C626988" w14:textId="77777777" w:rsidR="00DC3727" w:rsidRPr="008F4A58" w:rsidRDefault="00DC3727" w:rsidP="006D537D">
            <w:pPr>
              <w:jc w:val="right"/>
              <w:rPr>
                <w:sz w:val="18"/>
                <w:szCs w:val="18"/>
              </w:rPr>
            </w:pPr>
            <w:r w:rsidRPr="008F4A58">
              <w:rPr>
                <w:sz w:val="18"/>
                <w:szCs w:val="18"/>
              </w:rPr>
              <w:t>Study and scope</w:t>
            </w:r>
          </w:p>
        </w:tc>
        <w:tc>
          <w:tcPr>
            <w:tcW w:w="1559" w:type="dxa"/>
          </w:tcPr>
          <w:p w14:paraId="06773A43" w14:textId="77777777" w:rsidR="00DC3727" w:rsidRPr="008F4A58" w:rsidRDefault="00DC3727"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Second-generation sugars</w:t>
            </w:r>
          </w:p>
        </w:tc>
        <w:tc>
          <w:tcPr>
            <w:tcW w:w="1276" w:type="dxa"/>
          </w:tcPr>
          <w:p w14:paraId="2702C421" w14:textId="77777777" w:rsidR="00DC3727" w:rsidRPr="008F4A58" w:rsidRDefault="00DC3727"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Mycoproteins production</w:t>
            </w:r>
          </w:p>
        </w:tc>
        <w:tc>
          <w:tcPr>
            <w:tcW w:w="1134" w:type="dxa"/>
          </w:tcPr>
          <w:p w14:paraId="302AEAC6" w14:textId="77777777" w:rsidR="00DC3727" w:rsidRPr="008F4A58" w:rsidRDefault="00DC3727"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Type</w:t>
            </w:r>
          </w:p>
        </w:tc>
        <w:tc>
          <w:tcPr>
            <w:tcW w:w="2663" w:type="dxa"/>
          </w:tcPr>
          <w:p w14:paraId="797D7E06" w14:textId="77777777" w:rsidR="00DC3727" w:rsidRPr="008F4A58" w:rsidRDefault="00DC3727" w:rsidP="00E9442B">
            <w:pPr>
              <w:cnfStyle w:val="100000000000" w:firstRow="1" w:lastRow="0" w:firstColumn="0" w:lastColumn="0" w:oddVBand="0" w:evenVBand="0" w:oddHBand="0" w:evenHBand="0" w:firstRowFirstColumn="0" w:firstRowLastColumn="0" w:lastRowFirstColumn="0" w:lastRowLastColumn="0"/>
              <w:rPr>
                <w:i/>
                <w:sz w:val="18"/>
                <w:szCs w:val="18"/>
              </w:rPr>
            </w:pPr>
            <w:r w:rsidRPr="008F4A58">
              <w:rPr>
                <w:i/>
                <w:sz w:val="18"/>
                <w:szCs w:val="18"/>
              </w:rPr>
              <w:t>Comment</w:t>
            </w:r>
          </w:p>
        </w:tc>
      </w:tr>
      <w:tr w:rsidR="00DC3727" w:rsidRPr="008F4A58" w14:paraId="5FAC4B90"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0BD9D1C4" w14:textId="51120733" w:rsidR="00DC3727" w:rsidRPr="008F4A58" w:rsidRDefault="00DC3727" w:rsidP="006D537D">
            <w:pPr>
              <w:jc w:val="right"/>
              <w:rPr>
                <w:b w:val="0"/>
                <w:sz w:val="18"/>
                <w:szCs w:val="18"/>
              </w:rPr>
            </w:pPr>
            <w:r w:rsidRPr="008F4A58">
              <w:rPr>
                <w:b w:val="0"/>
                <w:sz w:val="18"/>
                <w:szCs w:val="18"/>
              </w:rPr>
              <w:t>Pihlajaniemi et al., 2020</w:t>
            </w:r>
            <w:r w:rsidRPr="008F4A58">
              <w:rPr>
                <w:sz w:val="18"/>
                <w:szCs w:val="18"/>
              </w:rPr>
              <w:fldChar w:fldCharType="begin"/>
            </w:r>
            <w:r w:rsidR="005413B4">
              <w:rPr>
                <w:b w:val="0"/>
                <w:sz w:val="18"/>
                <w:szCs w:val="18"/>
              </w:rPr>
              <w:instrText xml:space="preserve"> ADDIN ZOTERO_ITEM CSL_CITATION {"citationID":"uVaE099o","properties":{"formattedCitation":"\\super 130\\nosupersub{}","plainCitation":"130","noteIndex":0},"citationItems":[{"id":1867,"uris":["http://zotero.org/users/6423791/items/XNDB54TE"],"itemData":{"id":1867,"type":"article-journal","abstract":"Grass silage is a promising biorefinery feedstock with surplus production potential, providing a source of readily soluble protein and lignocellulosic fibre. This study presents a concept combining protein extraction with production of single cell protein from enzymatically saccharified grass silage fibre by fermentation of the filamentous fungus Paecilomyces variotii. Steam explosion and ammonia soaking were compared as pretreatments, leading to 81.2% and 88.1% carbohydrate hydrolysability, respectively. Microbial biomass yields of 51% from hydrolysate sugars were reached with a protein content of 51% of cell dry weight. A single-reactor ammonia pretreatment and hydrolysis process was demonstrated, including ammonia recovery of up to 66%, while the residual ammonia was synergistically utilized as a nitrogen source for protein production. The effect of cellulase dosage, hydrolysis time and solids concentration was empirically modelled and the model was applied for cost optimization of enzymatic hydrolysis as a part of a techno-economic assessment of the process.","container-title":"Bioresource Technology Reports","DOI":"10.1016/j.biteb.2019.100357","ISSN":"2589-014X","journalAbbreviation":"Bioresour. Technol. Rep.","language":"en","page":"100357","source":"ScienceDirect","title":"Comparison of pretreatments and cost-optimization of enzymatic hydrolysis for production of single cell protein from grass silage fibre","volume":"9","author":[{"family":"Pihlajaniemi","given":"Ville"},{"family":"Ellilä","given":"Simo"},{"family":"Poikkimäki","given":"Sakari"},{"family":"Nappa","given":"Marja"},{"family":"Rinne","given":"Marketta"},{"family":"Lantto","given":"Raija"},{"family":"Siika-aho","given":"Matti"}],"issued":{"date-parts":[["2020",2,1]]}}}],"schema":"https://github.com/citation-style-language/schema/raw/master/csl-citation.json"} </w:instrText>
            </w:r>
            <w:r w:rsidRPr="008F4A58">
              <w:rPr>
                <w:sz w:val="18"/>
                <w:szCs w:val="18"/>
              </w:rPr>
              <w:fldChar w:fldCharType="separate"/>
            </w:r>
            <w:r w:rsidR="005413B4" w:rsidRPr="005413B4">
              <w:rPr>
                <w:rFonts w:ascii="Calibri" w:hAnsi="Calibri" w:cs="Calibri"/>
                <w:sz w:val="18"/>
                <w:szCs w:val="24"/>
                <w:vertAlign w:val="superscript"/>
              </w:rPr>
              <w:t>130</w:t>
            </w:r>
            <w:r w:rsidRPr="008F4A58">
              <w:rPr>
                <w:sz w:val="18"/>
                <w:szCs w:val="18"/>
              </w:rPr>
              <w:fldChar w:fldCharType="end"/>
            </w:r>
          </w:p>
        </w:tc>
        <w:tc>
          <w:tcPr>
            <w:tcW w:w="1559" w:type="dxa"/>
          </w:tcPr>
          <w:p w14:paraId="3E511017"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x</w:t>
            </w:r>
          </w:p>
        </w:tc>
        <w:tc>
          <w:tcPr>
            <w:tcW w:w="1276" w:type="dxa"/>
          </w:tcPr>
          <w:p w14:paraId="46E30B8F"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x</w:t>
            </w:r>
          </w:p>
        </w:tc>
        <w:tc>
          <w:tcPr>
            <w:tcW w:w="1134" w:type="dxa"/>
          </w:tcPr>
          <w:p w14:paraId="0F3F588D"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TEA</w:t>
            </w:r>
          </w:p>
        </w:tc>
        <w:tc>
          <w:tcPr>
            <w:tcW w:w="2663" w:type="dxa"/>
          </w:tcPr>
          <w:p w14:paraId="0C34C668" w14:textId="77777777" w:rsidR="00DC3727" w:rsidRPr="008F4A58" w:rsidRDefault="00DC3727"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8F4A58">
              <w:rPr>
                <w:i/>
                <w:sz w:val="18"/>
                <w:szCs w:val="18"/>
              </w:rPr>
              <w:t>Focus pretreatment</w:t>
            </w:r>
          </w:p>
        </w:tc>
      </w:tr>
      <w:tr w:rsidR="00DC3727" w:rsidRPr="008F4A58" w14:paraId="08CB778D" w14:textId="77777777" w:rsidTr="006B5342">
        <w:tc>
          <w:tcPr>
            <w:cnfStyle w:val="001000000000" w:firstRow="0" w:lastRow="0" w:firstColumn="1" w:lastColumn="0" w:oddVBand="0" w:evenVBand="0" w:oddHBand="0" w:evenHBand="0" w:firstRowFirstColumn="0" w:firstRowLastColumn="0" w:lastRowFirstColumn="0" w:lastRowLastColumn="0"/>
            <w:tcW w:w="2410" w:type="dxa"/>
          </w:tcPr>
          <w:p w14:paraId="6FDBAD99" w14:textId="2D386E23" w:rsidR="00DC3727" w:rsidRPr="008F4A58" w:rsidRDefault="00DC3727" w:rsidP="006D537D">
            <w:pPr>
              <w:jc w:val="right"/>
              <w:rPr>
                <w:b w:val="0"/>
                <w:sz w:val="18"/>
                <w:szCs w:val="18"/>
              </w:rPr>
            </w:pPr>
            <w:r w:rsidRPr="008F4A58">
              <w:rPr>
                <w:b w:val="0"/>
                <w:sz w:val="18"/>
                <w:szCs w:val="18"/>
              </w:rPr>
              <w:t>Upcraft et al., 2021</w:t>
            </w:r>
            <w:r w:rsidRPr="008F4A58">
              <w:rPr>
                <w:sz w:val="18"/>
                <w:szCs w:val="18"/>
              </w:rPr>
              <w:fldChar w:fldCharType="begin"/>
            </w:r>
            <w:r w:rsidR="005413B4">
              <w:rPr>
                <w:b w:val="0"/>
                <w:sz w:val="18"/>
                <w:szCs w:val="18"/>
              </w:rPr>
              <w:instrText xml:space="preserve"> ADDIN ZOTERO_ITEM CSL_CITATION {"citationID":"uinqP6Ri","properties":{"formattedCitation":"\\super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8F4A58">
              <w:rPr>
                <w:sz w:val="18"/>
                <w:szCs w:val="18"/>
              </w:rPr>
              <w:fldChar w:fldCharType="separate"/>
            </w:r>
            <w:r w:rsidR="005413B4" w:rsidRPr="005413B4">
              <w:rPr>
                <w:rFonts w:ascii="Calibri" w:hAnsi="Calibri" w:cs="Calibri"/>
                <w:sz w:val="18"/>
                <w:szCs w:val="24"/>
                <w:vertAlign w:val="superscript"/>
              </w:rPr>
              <w:t>131</w:t>
            </w:r>
            <w:r w:rsidRPr="008F4A58">
              <w:rPr>
                <w:sz w:val="18"/>
                <w:szCs w:val="18"/>
              </w:rPr>
              <w:fldChar w:fldCharType="end"/>
            </w:r>
          </w:p>
        </w:tc>
        <w:tc>
          <w:tcPr>
            <w:tcW w:w="1559" w:type="dxa"/>
          </w:tcPr>
          <w:p w14:paraId="599FC210"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x</w:t>
            </w:r>
          </w:p>
        </w:tc>
        <w:tc>
          <w:tcPr>
            <w:tcW w:w="1276" w:type="dxa"/>
          </w:tcPr>
          <w:p w14:paraId="60E4C6D6"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x</w:t>
            </w:r>
          </w:p>
        </w:tc>
        <w:tc>
          <w:tcPr>
            <w:tcW w:w="1134" w:type="dxa"/>
          </w:tcPr>
          <w:p w14:paraId="43ACF694" w14:textId="14F8CF9A"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TEA &amp; aLCA</w:t>
            </w:r>
          </w:p>
        </w:tc>
        <w:tc>
          <w:tcPr>
            <w:tcW w:w="2663" w:type="dxa"/>
          </w:tcPr>
          <w:p w14:paraId="5D7C68C0" w14:textId="77777777" w:rsidR="00DC3727" w:rsidRPr="008F4A58" w:rsidRDefault="00DC3727"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8F4A58">
              <w:rPr>
                <w:i/>
                <w:sz w:val="18"/>
                <w:szCs w:val="18"/>
              </w:rPr>
              <w:t>Adaptation of Quorn process (food applications)</w:t>
            </w:r>
          </w:p>
        </w:tc>
      </w:tr>
      <w:tr w:rsidR="00DC3727" w:rsidRPr="008F4A58" w14:paraId="41A7002A"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00B621FC" w14:textId="0806B9A6" w:rsidR="00DC3727" w:rsidRPr="008F4A58" w:rsidRDefault="00DC3727" w:rsidP="006D537D">
            <w:pPr>
              <w:jc w:val="right"/>
              <w:rPr>
                <w:b w:val="0"/>
                <w:sz w:val="18"/>
                <w:szCs w:val="18"/>
              </w:rPr>
            </w:pPr>
            <w:r w:rsidRPr="008F4A58">
              <w:rPr>
                <w:b w:val="0"/>
                <w:sz w:val="18"/>
                <w:szCs w:val="18"/>
              </w:rPr>
              <w:t>Voutilainen et al., 2021</w:t>
            </w:r>
            <w:r w:rsidRPr="008F4A58">
              <w:rPr>
                <w:sz w:val="18"/>
                <w:szCs w:val="18"/>
              </w:rPr>
              <w:fldChar w:fldCharType="begin"/>
            </w:r>
            <w:r w:rsidR="005413B4">
              <w:rPr>
                <w:b w:val="0"/>
                <w:sz w:val="18"/>
                <w:szCs w:val="18"/>
              </w:rPr>
              <w:instrText xml:space="preserve"> ADDIN ZOTERO_ITEM CSL_CITATION {"citationID":"lIguDG95","properties":{"formattedCitation":"\\super 132\\nosupersub{}","plainCitation":"132","noteIndex":0},"citationItems":[{"id":9392,"uris":["http://zotero.org/users/6423791/items/5M6ND2Q5"],"itemData":{"id":9392,"type":"article-journal","abstract":"In recent years, the cellular agriculture concept has been proposed as an option to replace livestock proteins. This study presents a conceptual level techno-economic analysis of four concepts where food is produced by microorganisms based on wheat straw. Three single-cell proteins and one recombinant protein process were conceptualized. The process included steam explosion pretreatment, enzymatic hydrolysis, fermentation, and downstream processing. The enzymatic hydrolysis was optimized to minimize the production costs. The minimum protein selling price was determined by net present value using the discounted cash-flow method, which was compared to respective animal and plant proteins. The minimum protein selling prices were 5160–9007 €/ton proposing the processes to be in the feasible range, but the processes still require further development. The sensitivity of the parameters was estimated by sensitivity analysis, which revealed the most critical components in the production to be capacity, investment, interest, and enzyme and raw material costs.","container-title":"Bioresource Technology Reports","DOI":"10.1016/j.biteb.2021.100683","ISSN":"2589-014X","journalAbbreviation":"Bioresour. Technol. Rep.","language":"en","page":"100683","source":"ScienceDirect","title":"Economic comparison of food protein production with single-cell organisms from lignocellulose side-streams","volume":"14","author":[{"family":"Voutilainen","given":"Eveliina"},{"family":"Pihlajaniemi","given":"Ville"},{"family":"Parviainen","given":"Tuure"}],"issued":{"date-parts":[["2021",3,18]]}}}],"schema":"https://github.com/citation-style-language/schema/raw/master/csl-citation.json"} </w:instrText>
            </w:r>
            <w:r w:rsidRPr="008F4A58">
              <w:rPr>
                <w:sz w:val="18"/>
                <w:szCs w:val="18"/>
              </w:rPr>
              <w:fldChar w:fldCharType="separate"/>
            </w:r>
            <w:r w:rsidR="005413B4" w:rsidRPr="005413B4">
              <w:rPr>
                <w:rFonts w:ascii="Calibri" w:hAnsi="Calibri" w:cs="Calibri"/>
                <w:sz w:val="18"/>
                <w:szCs w:val="24"/>
                <w:vertAlign w:val="superscript"/>
              </w:rPr>
              <w:t>132</w:t>
            </w:r>
            <w:r w:rsidRPr="008F4A58">
              <w:rPr>
                <w:sz w:val="18"/>
                <w:szCs w:val="18"/>
              </w:rPr>
              <w:fldChar w:fldCharType="end"/>
            </w:r>
          </w:p>
        </w:tc>
        <w:tc>
          <w:tcPr>
            <w:tcW w:w="1559" w:type="dxa"/>
          </w:tcPr>
          <w:p w14:paraId="66427824"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x</w:t>
            </w:r>
          </w:p>
        </w:tc>
        <w:tc>
          <w:tcPr>
            <w:tcW w:w="1276" w:type="dxa"/>
          </w:tcPr>
          <w:p w14:paraId="1F07F4BE"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x</w:t>
            </w:r>
          </w:p>
        </w:tc>
        <w:tc>
          <w:tcPr>
            <w:tcW w:w="1134" w:type="dxa"/>
          </w:tcPr>
          <w:p w14:paraId="0F44DF0A"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TEA</w:t>
            </w:r>
          </w:p>
        </w:tc>
        <w:tc>
          <w:tcPr>
            <w:tcW w:w="2663" w:type="dxa"/>
          </w:tcPr>
          <w:p w14:paraId="602D3715" w14:textId="77777777" w:rsidR="00DC3727" w:rsidRPr="008F4A58" w:rsidRDefault="00DC3727"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8F4A58">
              <w:rPr>
                <w:i/>
                <w:sz w:val="18"/>
                <w:szCs w:val="18"/>
              </w:rPr>
              <w:t>For food applications</w:t>
            </w:r>
          </w:p>
        </w:tc>
      </w:tr>
      <w:tr w:rsidR="00DC3727" w:rsidRPr="008F4A58" w14:paraId="0B2409B5" w14:textId="77777777" w:rsidTr="006B5342">
        <w:tc>
          <w:tcPr>
            <w:cnfStyle w:val="001000000000" w:firstRow="0" w:lastRow="0" w:firstColumn="1" w:lastColumn="0" w:oddVBand="0" w:evenVBand="0" w:oddHBand="0" w:evenHBand="0" w:firstRowFirstColumn="0" w:firstRowLastColumn="0" w:lastRowFirstColumn="0" w:lastRowLastColumn="0"/>
            <w:tcW w:w="2410" w:type="dxa"/>
          </w:tcPr>
          <w:p w14:paraId="3EBE1570" w14:textId="0C706DF6" w:rsidR="00DC3727" w:rsidRPr="008F4A58" w:rsidRDefault="00DC3727" w:rsidP="006D537D">
            <w:pPr>
              <w:jc w:val="right"/>
              <w:rPr>
                <w:b w:val="0"/>
                <w:sz w:val="18"/>
                <w:szCs w:val="18"/>
              </w:rPr>
            </w:pPr>
            <w:r w:rsidRPr="008F4A58">
              <w:rPr>
                <w:b w:val="0"/>
                <w:sz w:val="18"/>
                <w:szCs w:val="18"/>
              </w:rPr>
              <w:t>Møller et al., 2022</w:t>
            </w:r>
            <w:r w:rsidRPr="008F4A58">
              <w:rPr>
                <w:sz w:val="18"/>
                <w:szCs w:val="18"/>
              </w:rPr>
              <w:fldChar w:fldCharType="begin"/>
            </w:r>
            <w:r w:rsidR="005413B4">
              <w:rPr>
                <w:b w:val="0"/>
                <w:sz w:val="18"/>
                <w:szCs w:val="18"/>
              </w:rPr>
              <w:instrText xml:space="preserve"> ADDIN ZOTERO_ITEM CSL_CITATION {"citationID":"DDCaLJ3K","properties":{"formattedCitation":"\\super 133\\nosupersub{}","plainCitation":"133","noteIndex":0},"citationItems":[{"id":13146,"uris":["http://zotero.org/users/6423791/items/ZY3SRR3R"],"itemData":{"id":13146,"type":"article-journal","abstract":"The aim of this study was to analyse the sustainability of pig production based on a diet containing yeast as a protein source. The yeast is produced from sugar, and the sugar can be produced from hydrolysed wood through a biorefinery process. This study included yeast from two different biorefinery processes: 1) a domestic demo plant in connection with a complex biorefinery, and 2) a small-scale wood refinery process largely based on wood residues. In the yeast diets, the yeast replaced soybean meal as a protein source and the two yeast diets were compared with a standard diet. The environmental impacts from the pig production systems were assessed by using life cycle assessment (LCA), and the functional unit was 1 kg carcass weight of pork at the farm gate. The results from the study show that yeast replacing imported feed protein sources used in pig production gives a lower impact for biodiversity loss, climate change (including LUC) and eutrophication. The lower impact was created by the replacement of soybean meal with yeast from wood sugar in the feed recipe. Also, the scenarios with yeast diets gave a land use ratio below 1, indicating an improved land use efficiency regarding producing human digestible protein. Even though the forest land used for deriving wood sugar constitutes a greater area than the corresponding area for soybean meal production, the forest land does not occupy areas suitable for food production. The reference case, representing current pig production and feeding system, had a land use ratio of 1.24, meaning that the feed production was directly competing for the area suitable for food production. The overall conclusion was that the utilisation of yeast from wood sugar appears to avoid feed-food competition and at the same time to be an environmentally sustainable solution for future feed protein employed in pig production.","container-title":"Livestock Science","DOI":"10.1016/j.livsci.2022.104925","ISSN":"1871-1413","journalAbbreviation":"Livest. Sci.","language":"en","page":"104925","source":"ScienceDirect","title":"Local non-food yeast protein in pig production - environmental impacts and land use efficiency","author":[{"family":"Møller","given":"Hanne"},{"family":"Samsonstuen","given":"Stine"},{"family":"Øverland","given":"Margareth"},{"family":"Modahl","given":"Ingunn Saur"},{"family":"Olsen","given":"Hanne Fjerdingby"}],"issued":{"date-parts":[["2022",4,4]]}}}],"schema":"https://github.com/citation-style-language/schema/raw/master/csl-citation.json"} </w:instrText>
            </w:r>
            <w:r w:rsidRPr="008F4A58">
              <w:rPr>
                <w:sz w:val="18"/>
                <w:szCs w:val="18"/>
              </w:rPr>
              <w:fldChar w:fldCharType="separate"/>
            </w:r>
            <w:r w:rsidR="005413B4" w:rsidRPr="005413B4">
              <w:rPr>
                <w:rFonts w:ascii="Calibri" w:hAnsi="Calibri" w:cs="Calibri"/>
                <w:sz w:val="18"/>
                <w:szCs w:val="24"/>
                <w:vertAlign w:val="superscript"/>
              </w:rPr>
              <w:t>133</w:t>
            </w:r>
            <w:r w:rsidRPr="008F4A58">
              <w:rPr>
                <w:sz w:val="18"/>
                <w:szCs w:val="18"/>
              </w:rPr>
              <w:fldChar w:fldCharType="end"/>
            </w:r>
          </w:p>
        </w:tc>
        <w:tc>
          <w:tcPr>
            <w:tcW w:w="1559" w:type="dxa"/>
          </w:tcPr>
          <w:p w14:paraId="1D493CC9"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x</w:t>
            </w:r>
          </w:p>
        </w:tc>
        <w:tc>
          <w:tcPr>
            <w:tcW w:w="1276" w:type="dxa"/>
          </w:tcPr>
          <w:p w14:paraId="1DADAF5B"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x</w:t>
            </w:r>
          </w:p>
        </w:tc>
        <w:tc>
          <w:tcPr>
            <w:tcW w:w="1134" w:type="dxa"/>
          </w:tcPr>
          <w:p w14:paraId="2B2D02B6"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aLCA</w:t>
            </w:r>
          </w:p>
        </w:tc>
        <w:tc>
          <w:tcPr>
            <w:tcW w:w="2663" w:type="dxa"/>
          </w:tcPr>
          <w:p w14:paraId="78CDD2FC" w14:textId="77777777" w:rsidR="00DC3727" w:rsidRPr="008F4A58" w:rsidRDefault="00DC3727"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8F4A58">
              <w:rPr>
                <w:i/>
                <w:sz w:val="18"/>
                <w:szCs w:val="18"/>
              </w:rPr>
              <w:t>For feed applications</w:t>
            </w:r>
          </w:p>
        </w:tc>
      </w:tr>
      <w:tr w:rsidR="00DC3727" w:rsidRPr="008F4A58" w14:paraId="48EC379D"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0095177C" w14:textId="23EA22FA" w:rsidR="00DC3727" w:rsidRPr="008F4A58" w:rsidRDefault="00DC3727" w:rsidP="006D537D">
            <w:pPr>
              <w:jc w:val="right"/>
              <w:rPr>
                <w:b w:val="0"/>
                <w:sz w:val="18"/>
                <w:szCs w:val="18"/>
              </w:rPr>
            </w:pPr>
            <w:r w:rsidRPr="008F4A58">
              <w:rPr>
                <w:b w:val="0"/>
                <w:sz w:val="18"/>
                <w:szCs w:val="18"/>
              </w:rPr>
              <w:t>Throup et al., 2022</w:t>
            </w:r>
            <w:r w:rsidRPr="008F4A58">
              <w:rPr>
                <w:sz w:val="18"/>
                <w:szCs w:val="18"/>
              </w:rPr>
              <w:fldChar w:fldCharType="begin"/>
            </w:r>
            <w:r w:rsidR="005413B4">
              <w:rPr>
                <w:b w:val="0"/>
                <w:sz w:val="18"/>
                <w:szCs w:val="18"/>
              </w:rPr>
              <w:instrText xml:space="preserve"> ADDIN ZOTERO_ITEM CSL_CITATION {"citationID":"gfiNTEgc","properties":{"formattedCitation":"\\super 134\\nosupersub{}","plainCitation":"134","noteIndex":0},"citationItems":[{"id":13502,"uris":["http://zotero.org/users/6423791/items/MF6KWMRJ"],"itemData":{"id":13502,"type":"article-journal","abstract":"Producing sugar from lignocellulosic biomass is a promising resilient food solution to counter the near-total global failure of food production due to the agricultural collapse that would likely follow an abrupt sunlight reduction catastrophe such as a nuclear winter, a supervolcanic eruption, or a large asteroid or comet impact. This study examines how quickly edible sugar production could be ramped up globally by repurposing pulp and paper mills, sugarcane biorefineries, corn biorefineries, and breweries for lignocellulosic sugar production. A sub-unit component comparison to the NREL 2017 Biochemical Sugar Model indicates that 84%, 65%, 37%, and 39% of ISBL unit components are present, respectively. Fast construction methods were studied to analyze how this and other industrial foods could be rapidly leveraged in a catastrophe. Results suggest that the world’s current sugar demand could quickly be fulfilled by repurposing pulp and paper mills for lignocellulosic sugar production, given 5 months of production ramp-up and 24/7 construction. This method could reduce construction time to an estimated 32% of the original at an increased labor cost of 1.47 times, resulting in sugar production beginning 5 months after the catastrophe at a retail cost of $0.82 USD/kg. This could not only contribute a significant share of the food requirement after the catastrophe (</w:instrText>
            </w:r>
            <w:r w:rsidR="005413B4">
              <w:rPr>
                <w:rFonts w:ascii="Cambria Math" w:hAnsi="Cambria Math" w:cs="Cambria Math"/>
                <w:b w:val="0"/>
                <w:sz w:val="18"/>
                <w:szCs w:val="18"/>
              </w:rPr>
              <w:instrText>∼</w:instrText>
            </w:r>
            <w:r w:rsidR="005413B4">
              <w:rPr>
                <w:b w:val="0"/>
                <w:sz w:val="18"/>
                <w:szCs w:val="18"/>
              </w:rPr>
              <w:instrText xml:space="preserve">28% within the first year), but also be key to preventing global starvation between the time at which global food storages run dry and other resilient food solutions can scale up significantly. This study aims to serve as the basis for more comprehensive scenario analyses. More research is needed to characterize material and labor constraints to fast response in more depth; repurposing and fast construction pilot studies and food safety studies are recommended.","container-title":"Food and Bioproducts Processing","DOI":"10.1016/j.fbp.2021.10.012","ISSN":"0960-3085","journalAbbreviation":"Food and Bioproducts Processing","language":"en","page":"22-39","source":"ScienceDirect","title":"Rapid repurposing of pulp and paper mills, biorefineries, and breweries for lignocellulosic sugar production in global food catastrophes","volume":"131","author":[{"family":"Throup","given":"James"},{"family":"García Martínez","given":"Juan B."},{"family":"Bals","given":"Bryan"},{"family":"Cates","given":"Jacob"},{"family":"Pearce","given":"Joshua M."},{"family":"Denkenberger","given":"David C."}],"issued":{"date-parts":[["2022",1,1]]}}}],"schema":"https://github.com/citation-style-language/schema/raw/master/csl-citation.json"} </w:instrText>
            </w:r>
            <w:r w:rsidRPr="008F4A58">
              <w:rPr>
                <w:sz w:val="18"/>
                <w:szCs w:val="18"/>
              </w:rPr>
              <w:fldChar w:fldCharType="separate"/>
            </w:r>
            <w:r w:rsidR="005413B4" w:rsidRPr="005413B4">
              <w:rPr>
                <w:rFonts w:ascii="Calibri" w:hAnsi="Calibri" w:cs="Calibri"/>
                <w:sz w:val="18"/>
                <w:szCs w:val="24"/>
                <w:vertAlign w:val="superscript"/>
              </w:rPr>
              <w:t>134</w:t>
            </w:r>
            <w:r w:rsidRPr="008F4A58">
              <w:rPr>
                <w:sz w:val="18"/>
                <w:szCs w:val="18"/>
              </w:rPr>
              <w:fldChar w:fldCharType="end"/>
            </w:r>
          </w:p>
        </w:tc>
        <w:tc>
          <w:tcPr>
            <w:tcW w:w="1559" w:type="dxa"/>
          </w:tcPr>
          <w:p w14:paraId="72B2A265"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x</w:t>
            </w:r>
          </w:p>
        </w:tc>
        <w:tc>
          <w:tcPr>
            <w:tcW w:w="1276" w:type="dxa"/>
          </w:tcPr>
          <w:p w14:paraId="4A0CFF4B"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p>
        </w:tc>
        <w:tc>
          <w:tcPr>
            <w:tcW w:w="1134" w:type="dxa"/>
          </w:tcPr>
          <w:p w14:paraId="6FAAB656"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TEA</w:t>
            </w:r>
          </w:p>
        </w:tc>
        <w:tc>
          <w:tcPr>
            <w:tcW w:w="2663" w:type="dxa"/>
          </w:tcPr>
          <w:p w14:paraId="0321F622" w14:textId="264ECB6B" w:rsidR="00DC3727" w:rsidRPr="008F4A58" w:rsidRDefault="00DC3727"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8F4A58">
              <w:rPr>
                <w:i/>
                <w:sz w:val="18"/>
                <w:szCs w:val="18"/>
              </w:rPr>
              <w:t>Based on David et al., 2018</w:t>
            </w:r>
            <w:r w:rsidRPr="008F4A58">
              <w:rPr>
                <w:i/>
                <w:sz w:val="18"/>
                <w:szCs w:val="18"/>
              </w:rPr>
              <w:fldChar w:fldCharType="begin"/>
            </w:r>
            <w:r w:rsidR="005413B4">
              <w:rPr>
                <w:i/>
                <w:sz w:val="18"/>
                <w:szCs w:val="18"/>
              </w:rPr>
              <w:instrText xml:space="preserve"> ADDIN ZOTERO_ITEM CSL_CITATION {"citationID":"how1A99F","properties":{"formattedCitation":"\\super 135\\nosupersub{}","plainCitation":"135","noteIndex":0},"citationItems":[{"id":3367,"uris":["http://zotero.org/users/6423791/items/9SUGPF3U"],"itemData":{"id":3367,"type":"report","language":"en","note":"DOI: 10.2172/1483234","number":"NREL/TP--5100-71949, 1483234","page":"NREL/TP--5100-71949, 1483234","source":"DOI.org (Crossref)","title":"Process Design and Economics for the Conversion of Lignocellulosic Biomass to Hydrocarbon Fuels and Coproducts: 2018 Biochemical Design Case Update; Biochemical Deconstruction and Conversion of Biomass to Fuels and Products via Integrated Biorefinery Pathways","title-short":"Process Design and Economics for the Conversion of Lignocellulosic Biomass to Hydrocarbon Fuels and Coproducts","URL":"http://www.osti.gov/servlets/purl/1483234/","author":[{"family":"Davis","given":"Ryan E."},{"family":"Grundl","given":"Nicholas J."},{"family":"Tao","given":"Ling"},{"family":"Biddy","given":"Mary J."},{"family":"Tan","given":"Eric C."},{"family":"Beckham","given":"Gregg T."},{"family":"Humbird","given":"David"},{"family":"Thompson","given":"David N."},{"family":"Roni","given":"Mohammad S."}],"accessed":{"date-parts":[["2021",1,27]]},"issued":{"date-parts":[["2018",11,19]]}}}],"schema":"https://github.com/citation-style-language/schema/raw/master/csl-citation.json"}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135</w:t>
            </w:r>
            <w:r w:rsidRPr="008F4A58">
              <w:rPr>
                <w:i/>
                <w:sz w:val="18"/>
                <w:szCs w:val="18"/>
              </w:rPr>
              <w:fldChar w:fldCharType="end"/>
            </w:r>
          </w:p>
        </w:tc>
      </w:tr>
      <w:tr w:rsidR="00DC3727" w:rsidRPr="008F4A58" w14:paraId="41CFC0A7" w14:textId="77777777" w:rsidTr="006B5342">
        <w:tc>
          <w:tcPr>
            <w:cnfStyle w:val="001000000000" w:firstRow="0" w:lastRow="0" w:firstColumn="1" w:lastColumn="0" w:oddVBand="0" w:evenVBand="0" w:oddHBand="0" w:evenHBand="0" w:firstRowFirstColumn="0" w:firstRowLastColumn="0" w:lastRowFirstColumn="0" w:lastRowLastColumn="0"/>
            <w:tcW w:w="2410" w:type="dxa"/>
          </w:tcPr>
          <w:p w14:paraId="291E63E5" w14:textId="054FC7A7" w:rsidR="00DC3727" w:rsidRPr="008F4A58" w:rsidRDefault="00DC3727" w:rsidP="006D537D">
            <w:pPr>
              <w:jc w:val="right"/>
              <w:rPr>
                <w:b w:val="0"/>
                <w:sz w:val="18"/>
                <w:szCs w:val="18"/>
              </w:rPr>
            </w:pPr>
            <w:r w:rsidRPr="008F4A58">
              <w:rPr>
                <w:b w:val="0"/>
                <w:sz w:val="18"/>
                <w:szCs w:val="18"/>
              </w:rPr>
              <w:t>Blanco et al., 2020</w:t>
            </w:r>
            <w:r w:rsidRPr="008F4A58">
              <w:rPr>
                <w:sz w:val="18"/>
                <w:szCs w:val="18"/>
              </w:rPr>
              <w:fldChar w:fldCharType="begin"/>
            </w:r>
            <w:r w:rsidR="005413B4">
              <w:rPr>
                <w:b w:val="0"/>
                <w:sz w:val="18"/>
                <w:szCs w:val="18"/>
              </w:rPr>
              <w:instrText xml:space="preserve"> ADDIN ZOTERO_ITEM CSL_CITATION {"citationID":"9oWslQpK","properties":{"formattedCitation":"\\super 136\\nosupersub{}","plainCitation":"136","noteIndex":0},"citationItems":[{"id":13548,"uris":["http://zotero.org/users/6423791/items/EUQ2EF2X"],"itemData":{"id":13548,"type":"article-journal","abstract":"The sustainability of glucose production from two different feedstocks, maize starch (MS) and woody biomass residues (WBR), was evaluated by means of life cycle assessment (LCA) methodology. The aim of this work was to compare the environmental performance of conventional technology (glucose from MS by enzymatic hydrolysis) with a novel alternative (glucose from WBR by a three-step process: pretreatment -crushing, deacetylation, and diluted-acid treatment-; conditioning -acid-alkali-acid treatment-; and enzymatic hydrolysis), which is specifically oriented towards the circular economy context. Life cycle inventory was completed by simulation of the different processes, followed by integration of the mass and energy inputs and outputs in an LCA software (GaBi 7.3). LCA results evidenced benefits in all the evaluated environmental impacts when using WBR as a glucose source alternative. Environmental damages associated with the starch production process, which involves more than 60% of the impacts calculated for glucose production from maize starch, has been detected as the key step in which focusing the improvement efforts for this process. On the other hand, pretreating of the biomass residues was the most contributing stage in the WBR process, principally due to the large heat and electricity requirements associated with this stage. Finally, we concluded that the WBR process proposed here might be considered as a valuable alternative in sustainability terms for the production of glucose within the biorefinery concept. Likewise, we have identified the critical points that should be considered to further improve this technology.","container-title":"Applied Sciences","DOI":"10.3390/app10082946","ISSN":"2076-3417","issue":"8","language":"en","license":"http://creativecommons.org/licenses/by/3.0/","note":"number: 8\npublisher: Multidisciplinary Digital Publishing Institute","page":"2946","source":"www.mdpi.com","title":"Comparative Life Cycle Assessment of Glucose Production from Maize Starch and Woody Biomass Residues as a Feedstock","volume":"10","author":[{"family":"Blanco","given":"Jorge"},{"family":"Iglesias","given":"Jose"},{"family":"Morales","given":"Gabriel"},{"family":"Melero","given":"Juan A."},{"family":"Moreno","given":"Jovita"}],"issued":{"date-parts":[["2020",1]]}}}],"schema":"https://github.com/citation-style-language/schema/raw/master/csl-citation.json"} </w:instrText>
            </w:r>
            <w:r w:rsidRPr="008F4A58">
              <w:rPr>
                <w:sz w:val="18"/>
                <w:szCs w:val="18"/>
              </w:rPr>
              <w:fldChar w:fldCharType="separate"/>
            </w:r>
            <w:r w:rsidR="005413B4" w:rsidRPr="005413B4">
              <w:rPr>
                <w:rFonts w:ascii="Calibri" w:hAnsi="Calibri" w:cs="Calibri"/>
                <w:sz w:val="18"/>
                <w:szCs w:val="24"/>
                <w:vertAlign w:val="superscript"/>
              </w:rPr>
              <w:t>136</w:t>
            </w:r>
            <w:r w:rsidRPr="008F4A58">
              <w:rPr>
                <w:sz w:val="18"/>
                <w:szCs w:val="18"/>
              </w:rPr>
              <w:fldChar w:fldCharType="end"/>
            </w:r>
          </w:p>
        </w:tc>
        <w:tc>
          <w:tcPr>
            <w:tcW w:w="1559" w:type="dxa"/>
          </w:tcPr>
          <w:p w14:paraId="0DEB1B37"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x</w:t>
            </w:r>
          </w:p>
        </w:tc>
        <w:tc>
          <w:tcPr>
            <w:tcW w:w="1276" w:type="dxa"/>
          </w:tcPr>
          <w:p w14:paraId="0F7FCA5A"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p>
        </w:tc>
        <w:tc>
          <w:tcPr>
            <w:tcW w:w="1134" w:type="dxa"/>
          </w:tcPr>
          <w:p w14:paraId="3482891B"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aLCA</w:t>
            </w:r>
          </w:p>
        </w:tc>
        <w:tc>
          <w:tcPr>
            <w:tcW w:w="2663" w:type="dxa"/>
          </w:tcPr>
          <w:p w14:paraId="0ED2A34F" w14:textId="77777777" w:rsidR="00DC3727" w:rsidRPr="008F4A58" w:rsidRDefault="00DC3727" w:rsidP="00E9442B">
            <w:pPr>
              <w:cnfStyle w:val="000000000000" w:firstRow="0" w:lastRow="0" w:firstColumn="0" w:lastColumn="0" w:oddVBand="0" w:evenVBand="0" w:oddHBand="0" w:evenHBand="0" w:firstRowFirstColumn="0" w:firstRowLastColumn="0" w:lastRowFirstColumn="0" w:lastRowLastColumn="0"/>
              <w:rPr>
                <w:i/>
                <w:sz w:val="18"/>
                <w:szCs w:val="18"/>
              </w:rPr>
            </w:pPr>
          </w:p>
        </w:tc>
      </w:tr>
      <w:tr w:rsidR="00DC3727" w:rsidRPr="008F4A58" w14:paraId="40E1348F"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5A1E8DEC" w14:textId="527D3A13" w:rsidR="00DC3727" w:rsidRPr="008F4A58" w:rsidRDefault="00DC3727" w:rsidP="006D537D">
            <w:pPr>
              <w:jc w:val="right"/>
              <w:rPr>
                <w:b w:val="0"/>
                <w:sz w:val="18"/>
                <w:szCs w:val="18"/>
              </w:rPr>
            </w:pPr>
            <w:r w:rsidRPr="008F4A58">
              <w:rPr>
                <w:b w:val="0"/>
                <w:sz w:val="18"/>
                <w:szCs w:val="18"/>
              </w:rPr>
              <w:t>Bello et al., 2021</w:t>
            </w:r>
            <w:r w:rsidRPr="008F4A58">
              <w:rPr>
                <w:sz w:val="18"/>
                <w:szCs w:val="18"/>
              </w:rPr>
              <w:fldChar w:fldCharType="begin"/>
            </w:r>
            <w:r w:rsidR="005413B4">
              <w:rPr>
                <w:b w:val="0"/>
                <w:sz w:val="18"/>
                <w:szCs w:val="18"/>
              </w:rPr>
              <w:instrText xml:space="preserve"> ADDIN ZOTERO_ITEM CSL_CITATION {"citationID":"2icrf1gZ","properties":{"formattedCitation":"\\super 137\\nosupersub{}","plainCitation":"137","noteIndex":0},"citationItems":[{"id":3384,"uris":["http://zotero.org/users/6423791/items/YCE9AGZ2"],"itemData":{"id":3384,"type":"article-journal","abstract":"In recent years, there has been a great movement towards the generation of knowledge related to the biorefinery concept. First-generation biorefineries bear the stigma of using arable land and edible crops for fuel instead of as sources of food and feed. However, second-generation biorefineries have not reached the level of full technical feasibility. Bearing in mind the objective of sugar production from sugar, starch, or lignocellulosic raw materials, the purpose of this study is to assess the environmental impact of first- and second-generation biorefineries, considering as an example for the comparative evaluation, the production of sugar fractions from crops (starch and sugar crops), and lignocellulosic biomass (hardwood and softwood). The characterization results were obtained using the ReCiPe 1.1 model, implemented through the SimaPro 9.0 software. Both production systems are inherently different and have strengths and weaknesses that must be carefully analyzed. The resulting environmental profile shows that the silviculture of wood contributes less to the environmental impact than cropping activities in most impact categories. In general, this study suggests that first-generation systems are burdened environmentally by the use of fertilizers, which have a significant impact on categories such as marine and freshwater eutrophication and terrestrial acidification, while second-generation systems are limited by the intensive processing steps needed for delignification, typically involving the use of chemicals and/or energy. LCA in early stages of the production of bio-based building blocks, rather than on the manufacture of biofuels or bioplastics, allows the precise identification of the environmental burdens that may be influencing the overall environmental profile of a biorefinery.","container-title":"Environmental Science and Pollution Research","DOI":"10.1007/s11356-021-12405-y","ISSN":"1614-7499","journalAbbreviation":"Environ. Sci. Pollut. Res.","language":"en","page":"27345–27361","source":"Springer Link","title":"Inventory review and environmental evaluation of first- and second-generation sugars through life cycle assessment","volume":"28","author":[{"family":"Bello","given":"Sara"},{"family":"Salim","given":"Iana"},{"family":"Feijoo","given":"Gumersindo"},{"family":"Moreira","given":"Maria Teresa"}],"issued":{"date-parts":[["2021",1,28]]}}}],"schema":"https://github.com/citation-style-language/schema/raw/master/csl-citation.json"} </w:instrText>
            </w:r>
            <w:r w:rsidRPr="008F4A58">
              <w:rPr>
                <w:sz w:val="18"/>
                <w:szCs w:val="18"/>
              </w:rPr>
              <w:fldChar w:fldCharType="separate"/>
            </w:r>
            <w:r w:rsidR="005413B4" w:rsidRPr="005413B4">
              <w:rPr>
                <w:rFonts w:ascii="Calibri" w:hAnsi="Calibri" w:cs="Calibri"/>
                <w:sz w:val="18"/>
                <w:szCs w:val="24"/>
                <w:vertAlign w:val="superscript"/>
              </w:rPr>
              <w:t>137</w:t>
            </w:r>
            <w:r w:rsidRPr="008F4A58">
              <w:rPr>
                <w:sz w:val="18"/>
                <w:szCs w:val="18"/>
              </w:rPr>
              <w:fldChar w:fldCharType="end"/>
            </w:r>
          </w:p>
        </w:tc>
        <w:tc>
          <w:tcPr>
            <w:tcW w:w="1559" w:type="dxa"/>
          </w:tcPr>
          <w:p w14:paraId="61378CF8"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x</w:t>
            </w:r>
          </w:p>
        </w:tc>
        <w:tc>
          <w:tcPr>
            <w:tcW w:w="1276" w:type="dxa"/>
          </w:tcPr>
          <w:p w14:paraId="2B27F810"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p>
        </w:tc>
        <w:tc>
          <w:tcPr>
            <w:tcW w:w="1134" w:type="dxa"/>
          </w:tcPr>
          <w:p w14:paraId="37643BDB"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aLCA</w:t>
            </w:r>
          </w:p>
        </w:tc>
        <w:tc>
          <w:tcPr>
            <w:tcW w:w="2663" w:type="dxa"/>
          </w:tcPr>
          <w:p w14:paraId="1B590353" w14:textId="77777777" w:rsidR="00DC3727" w:rsidRPr="008F4A58" w:rsidRDefault="00DC3727"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DC3727" w:rsidRPr="008F4A58" w14:paraId="5188C575" w14:textId="77777777" w:rsidTr="006B5342">
        <w:tc>
          <w:tcPr>
            <w:cnfStyle w:val="001000000000" w:firstRow="0" w:lastRow="0" w:firstColumn="1" w:lastColumn="0" w:oddVBand="0" w:evenVBand="0" w:oddHBand="0" w:evenHBand="0" w:firstRowFirstColumn="0" w:firstRowLastColumn="0" w:lastRowFirstColumn="0" w:lastRowLastColumn="0"/>
            <w:tcW w:w="2410" w:type="dxa"/>
          </w:tcPr>
          <w:p w14:paraId="1AAA2EA3" w14:textId="2567CA3B" w:rsidR="00DC3727" w:rsidRPr="008F4A58" w:rsidRDefault="00DC3727" w:rsidP="006D537D">
            <w:pPr>
              <w:jc w:val="right"/>
              <w:rPr>
                <w:b w:val="0"/>
                <w:sz w:val="18"/>
                <w:szCs w:val="18"/>
              </w:rPr>
            </w:pPr>
            <w:r w:rsidRPr="008F4A58">
              <w:rPr>
                <w:b w:val="0"/>
                <w:sz w:val="18"/>
                <w:szCs w:val="18"/>
              </w:rPr>
              <w:t>Fabbri et al., 2022</w:t>
            </w:r>
            <w:r w:rsidRPr="008F4A58">
              <w:rPr>
                <w:sz w:val="18"/>
                <w:szCs w:val="18"/>
              </w:rPr>
              <w:fldChar w:fldCharType="begin"/>
            </w:r>
            <w:r w:rsidR="005413B4">
              <w:rPr>
                <w:b w:val="0"/>
                <w:sz w:val="18"/>
                <w:szCs w:val="18"/>
              </w:rPr>
              <w:instrText xml:space="preserve"> ADDIN ZOTERO_ITEM CSL_CITATION {"citationID":"r2JNYXub","properties":{"formattedCitation":"\\super 138\\nosupersub{}","plainCitation":"138","noteIndex":0},"citationItems":[{"id":13845,"uris":["http://zotero.org/users/6423791/items/SP78557C"],"itemData":{"id":13845,"type":"article-journal","abstract":"Fermentable sugars are an attractive feedstock for production of bio-based chemicals. However, little is known about the environmental performance of sugar feedstocks when demand for sugars increases, and when local conditions and sensitivities of receiving ecosystems are taken into account. Production of monosaccharides from various first- and second-generation feedstocks (sugar beet, sugar cane, wheat, maize, wood, residual woodchips and sawdust) in different geographic locations was assessed and compared as feedstock for monoethylene glycol (MEG) using consequential, regionalized life cycle assessment. Sugar cane grown in Thailand performed best in all three areas of protection, that is, for life cycle impacts on human health, ecosystem quality and resources (respectively equal to -7.6×10-5 disability adjusted life years, -1.2×10-8 species-years and -0.046 U.S. dollars per amount of feedstock needed to produce 1 kg of MEG). This was mainly due to benefits from by-products – incineration of sugar cane bagasse generating electricity, and use of sugar cane molasses for production of bioethanol. The wood-based feedstocks and maize performed worse than sugar cane and sugar beet, but their evaluation did not consider that sugar extraction technology from lignocellulose is immature, while identification of marginal suppliers of the marginal crop is particularly uncertain for maize. Wheat grown in Russia performed the worst mainly due to low agricultural yields (with impacts equal to 8.9×10-5 disability adjusted life years, 6.9×10-7 species-years and 1.8 U.S. dollars per amount of feedstock required to produce 1 kg of bio-based MEG). Our results suggest that selection of sugar feedstocks for bio-based chemicals should focus on (i) intended use of by-products and functions they replace, and (ii) consideration of geographic differences in parameters that influence life cycle inventories, while spatial differentiation in the life cycle impact assessment was less influential.","container-title":"GCB Bioenergy","DOI":"10.1111/gcbb.13009","ISSN":"1757-1707","issue":"1","language":"en","note":"_eprint: https://onlinelibrary.wiley.com/doi/pdf/10.1111/gcbb.13009","page":"72-87","source":"Wiley Online Library","title":"Evaluation of sugar feedstocks for bio-based chemicals: A consequential, regionalized life cycle assessment","title-short":"Evaluation of sugar feedstocks for bio-based chemicals","volume":"15","author":[{"family":"Fabbri","given":"Serena"},{"family":"Owsianiak","given":"Mikołaj"},{"family":"Hauschild","given":"Michael Z."}],"issued":{"date-parts":[["2023"]]}}}],"schema":"https://github.com/citation-style-language/schema/raw/master/csl-citation.json"} </w:instrText>
            </w:r>
            <w:r w:rsidRPr="008F4A58">
              <w:rPr>
                <w:sz w:val="18"/>
                <w:szCs w:val="18"/>
              </w:rPr>
              <w:fldChar w:fldCharType="separate"/>
            </w:r>
            <w:r w:rsidR="005413B4" w:rsidRPr="005413B4">
              <w:rPr>
                <w:rFonts w:ascii="Calibri" w:hAnsi="Calibri" w:cs="Calibri"/>
                <w:sz w:val="18"/>
                <w:szCs w:val="24"/>
                <w:vertAlign w:val="superscript"/>
              </w:rPr>
              <w:t>138</w:t>
            </w:r>
            <w:r w:rsidRPr="008F4A58">
              <w:rPr>
                <w:sz w:val="18"/>
                <w:szCs w:val="18"/>
              </w:rPr>
              <w:fldChar w:fldCharType="end"/>
            </w:r>
          </w:p>
        </w:tc>
        <w:tc>
          <w:tcPr>
            <w:tcW w:w="1559" w:type="dxa"/>
          </w:tcPr>
          <w:p w14:paraId="0DCBF125"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x</w:t>
            </w:r>
          </w:p>
        </w:tc>
        <w:tc>
          <w:tcPr>
            <w:tcW w:w="1276" w:type="dxa"/>
          </w:tcPr>
          <w:p w14:paraId="63EEC852"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p>
        </w:tc>
        <w:tc>
          <w:tcPr>
            <w:tcW w:w="1134" w:type="dxa"/>
          </w:tcPr>
          <w:p w14:paraId="5A87CE40"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cLCA</w:t>
            </w:r>
          </w:p>
        </w:tc>
        <w:tc>
          <w:tcPr>
            <w:tcW w:w="2663" w:type="dxa"/>
          </w:tcPr>
          <w:p w14:paraId="27004CA3" w14:textId="77777777" w:rsidR="00DC3727" w:rsidRPr="008F4A58" w:rsidRDefault="00DC3727" w:rsidP="00E9442B">
            <w:pPr>
              <w:cnfStyle w:val="000000000000" w:firstRow="0" w:lastRow="0" w:firstColumn="0" w:lastColumn="0" w:oddVBand="0" w:evenVBand="0" w:oddHBand="0" w:evenHBand="0" w:firstRowFirstColumn="0" w:firstRowLastColumn="0" w:lastRowFirstColumn="0" w:lastRowLastColumn="0"/>
              <w:rPr>
                <w:i/>
                <w:sz w:val="18"/>
                <w:szCs w:val="18"/>
              </w:rPr>
            </w:pPr>
          </w:p>
        </w:tc>
      </w:tr>
      <w:tr w:rsidR="00DC3727" w:rsidRPr="008F4A58" w14:paraId="7E34817D"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070BF4D8" w14:textId="49C124D8" w:rsidR="00DC3727" w:rsidRPr="008F4A58" w:rsidRDefault="00DC3727" w:rsidP="006D537D">
            <w:pPr>
              <w:jc w:val="right"/>
              <w:rPr>
                <w:b w:val="0"/>
                <w:sz w:val="18"/>
                <w:szCs w:val="18"/>
              </w:rPr>
            </w:pPr>
            <w:r w:rsidRPr="008F4A58">
              <w:rPr>
                <w:b w:val="0"/>
                <w:sz w:val="18"/>
                <w:szCs w:val="18"/>
              </w:rPr>
              <w:t>Smetana et al., 2015</w:t>
            </w:r>
            <w:r w:rsidRPr="008F4A58">
              <w:rPr>
                <w:sz w:val="18"/>
                <w:szCs w:val="18"/>
              </w:rPr>
              <w:fldChar w:fldCharType="begin"/>
            </w:r>
            <w:r w:rsidR="005413B4">
              <w:rPr>
                <w:b w:val="0"/>
                <w:sz w:val="18"/>
                <w:szCs w:val="18"/>
              </w:rPr>
              <w:instrText xml:space="preserve"> ADDIN ZOTERO_ITEM CSL_CITATION {"citationID":"XhvOkN2i","properties":{"formattedCitation":"\\super 139\\nosupersub{}","plainCitation":"139","noteIndex":0},"citationItems":[{"id":3191,"uris":["http://zotero.org/users/6423791/items/STAXR4DH"],"itemData":{"id":3191,"type":"article-journal","abstract":"Food production system is facing a challenge of increased production in 70% during the next 30 years. The challenge is not about the biomass quantity increase, but rather about efficient supply of high quality protein products for the middle class population (projected increase to 5 billion people worldwide). The situation indicates the need to increase the amount of high quality protein sources such as products of animal origin. Meanwhile, meat products are known to be the least environmentally friendly comparing to other foods. Meat association with negative environmental impacts together with the increased trends towards more healthy and fit products triggered the development of meat substitutes, based on soya, wheat, milk, algae, insects, mycoproteins, etc. While health benefits of such products are well-known, potential environmental impacts of their production are highly arguable. This study complements this discussion, presenting the results of life cycle assessment (LCA) on industrially produced and emerging meat substitutes. Depending on the comparison basis (functional unit) of the LCA, results indicated that soymealbased alternatives are the best option among industrially produced meat substitutes. However, emerging meat substitutes based on insect protein biomass (technology readiness level TRL 4-5) indicated promising beneficial results if the mass-based and protein supply functions are considered. The study indicated the high importance of energy and water consumption for the environmental impact for complex technologies of mycoprotein-based meat substitute and chicken meat. Separate cases of novel technologies use for production of lab-grown meat (TRL 2-3) and algae meat substitute (TRL 3-4), which rely on enormous amount of resources consumption, could be improved with technological processes tuning reaching the decrease of environmental impacts up to 27 000 times. Such an advance of technologies would make the meat substitutes the most environmentally beneficial protein sources among the compared ones. .","language":"en","page":"7","source":"Zotero","title":"Sustainability of meat substitutes: a path to future foods?","author":[{"family":"Smetana","given":"Sergiy"},{"family":"Mathys","given":"Alexander"},{"family":"Knoch","given":"Achim"},{"family":"Heinz","given":"Volker"}],"issued":{"date-parts":[["2015"]]}}}],"schema":"https://github.com/citation-style-language/schema/raw/master/csl-citation.json"} </w:instrText>
            </w:r>
            <w:r w:rsidRPr="008F4A58">
              <w:rPr>
                <w:sz w:val="18"/>
                <w:szCs w:val="18"/>
              </w:rPr>
              <w:fldChar w:fldCharType="separate"/>
            </w:r>
            <w:r w:rsidR="005413B4" w:rsidRPr="005413B4">
              <w:rPr>
                <w:rFonts w:ascii="Calibri" w:hAnsi="Calibri" w:cs="Calibri"/>
                <w:sz w:val="18"/>
                <w:szCs w:val="24"/>
                <w:vertAlign w:val="superscript"/>
              </w:rPr>
              <w:t>139</w:t>
            </w:r>
            <w:r w:rsidRPr="008F4A58">
              <w:rPr>
                <w:sz w:val="18"/>
                <w:szCs w:val="18"/>
              </w:rPr>
              <w:fldChar w:fldCharType="end"/>
            </w:r>
          </w:p>
        </w:tc>
        <w:tc>
          <w:tcPr>
            <w:tcW w:w="1559" w:type="dxa"/>
          </w:tcPr>
          <w:p w14:paraId="70BCC60D"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p>
        </w:tc>
        <w:tc>
          <w:tcPr>
            <w:tcW w:w="1276" w:type="dxa"/>
          </w:tcPr>
          <w:p w14:paraId="1506DAC9"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x</w:t>
            </w:r>
          </w:p>
        </w:tc>
        <w:tc>
          <w:tcPr>
            <w:tcW w:w="1134" w:type="dxa"/>
          </w:tcPr>
          <w:p w14:paraId="43040073"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aLCA</w:t>
            </w:r>
          </w:p>
        </w:tc>
        <w:tc>
          <w:tcPr>
            <w:tcW w:w="2663" w:type="dxa"/>
            <w:vMerge w:val="restart"/>
          </w:tcPr>
          <w:p w14:paraId="0B9214CC" w14:textId="77777777" w:rsidR="00DC3727" w:rsidRPr="008F4A58" w:rsidRDefault="00DC3727"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8F4A58">
              <w:rPr>
                <w:i/>
                <w:sz w:val="18"/>
                <w:szCs w:val="18"/>
              </w:rPr>
              <w:t>Based on Quorn secondary data</w:t>
            </w:r>
          </w:p>
        </w:tc>
      </w:tr>
      <w:tr w:rsidR="00DC3727" w:rsidRPr="008F4A58" w14:paraId="522CF5F3" w14:textId="77777777" w:rsidTr="006B5342">
        <w:tc>
          <w:tcPr>
            <w:cnfStyle w:val="001000000000" w:firstRow="0" w:lastRow="0" w:firstColumn="1" w:lastColumn="0" w:oddVBand="0" w:evenVBand="0" w:oddHBand="0" w:evenHBand="0" w:firstRowFirstColumn="0" w:firstRowLastColumn="0" w:lastRowFirstColumn="0" w:lastRowLastColumn="0"/>
            <w:tcW w:w="2410" w:type="dxa"/>
          </w:tcPr>
          <w:p w14:paraId="3F589F22" w14:textId="281B1AAA" w:rsidR="00DC3727" w:rsidRPr="008F4A58" w:rsidRDefault="00DC3727" w:rsidP="006D537D">
            <w:pPr>
              <w:jc w:val="right"/>
              <w:rPr>
                <w:b w:val="0"/>
                <w:sz w:val="18"/>
                <w:szCs w:val="18"/>
              </w:rPr>
            </w:pPr>
            <w:r w:rsidRPr="008F4A58">
              <w:rPr>
                <w:b w:val="0"/>
                <w:sz w:val="18"/>
                <w:szCs w:val="18"/>
              </w:rPr>
              <w:t>Nonhebel and Raats, 2007</w:t>
            </w:r>
            <w:r w:rsidRPr="008F4A58">
              <w:rPr>
                <w:sz w:val="18"/>
                <w:szCs w:val="18"/>
              </w:rPr>
              <w:fldChar w:fldCharType="begin"/>
            </w:r>
            <w:r w:rsidR="005413B4">
              <w:rPr>
                <w:b w:val="0"/>
                <w:sz w:val="18"/>
                <w:szCs w:val="18"/>
              </w:rPr>
              <w:instrText xml:space="preserve"> ADDIN ZOTERO_ITEM CSL_CITATION {"citationID":"sufrzhZr","properties":{"formattedCitation":"\\super 140\\nosupersub{}","plainCitation":"140","noteIndex":0},"citationItems":[{"id":3297,"uris":["http://zotero.org/users/6423791/items/HLSVLTEU"],"itemData":{"id":3297,"type":"paper-conference","event-title":"Proceedings 5th International Conference LCA in Foods","page":"73-75","title":"Environmental impacts of meat substitutes: comparison between Quorn and pork","URL":"https://www6.inrae.fr/lcafoodconferencearchives/content/download/3486/33687/version/1/file/ProceedingsLCAinFoods2007.pdf","author":[{"family":"Nonhebel","given":"S"},{"family":"Raats","given":"J"}],"accessed":{"date-parts":[["2021",1,19]]},"issued":{"date-parts":[["2007",4,26]]}}}],"schema":"https://github.com/citation-style-language/schema/raw/master/csl-citation.json"} </w:instrText>
            </w:r>
            <w:r w:rsidRPr="008F4A58">
              <w:rPr>
                <w:sz w:val="18"/>
                <w:szCs w:val="18"/>
              </w:rPr>
              <w:fldChar w:fldCharType="separate"/>
            </w:r>
            <w:r w:rsidR="005413B4" w:rsidRPr="005413B4">
              <w:rPr>
                <w:rFonts w:ascii="Calibri" w:hAnsi="Calibri" w:cs="Calibri"/>
                <w:sz w:val="18"/>
                <w:szCs w:val="24"/>
                <w:vertAlign w:val="superscript"/>
              </w:rPr>
              <w:t>140</w:t>
            </w:r>
            <w:r w:rsidRPr="008F4A58">
              <w:rPr>
                <w:sz w:val="18"/>
                <w:szCs w:val="18"/>
              </w:rPr>
              <w:fldChar w:fldCharType="end"/>
            </w:r>
          </w:p>
        </w:tc>
        <w:tc>
          <w:tcPr>
            <w:tcW w:w="1559" w:type="dxa"/>
          </w:tcPr>
          <w:p w14:paraId="45DDA59B"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p>
        </w:tc>
        <w:tc>
          <w:tcPr>
            <w:tcW w:w="1276" w:type="dxa"/>
          </w:tcPr>
          <w:p w14:paraId="6327055F"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x</w:t>
            </w:r>
          </w:p>
        </w:tc>
        <w:tc>
          <w:tcPr>
            <w:tcW w:w="1134" w:type="dxa"/>
          </w:tcPr>
          <w:p w14:paraId="6B05F416"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aLCA</w:t>
            </w:r>
          </w:p>
        </w:tc>
        <w:tc>
          <w:tcPr>
            <w:tcW w:w="2663" w:type="dxa"/>
            <w:vMerge/>
          </w:tcPr>
          <w:p w14:paraId="5E71E361"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i/>
                <w:sz w:val="18"/>
                <w:szCs w:val="18"/>
              </w:rPr>
            </w:pPr>
          </w:p>
        </w:tc>
      </w:tr>
      <w:tr w:rsidR="00DC3727" w:rsidRPr="008F4A58" w14:paraId="39F2AD87"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21E452D5" w14:textId="62D8B948" w:rsidR="00DC3727" w:rsidRPr="008F4A58" w:rsidRDefault="00DC3727" w:rsidP="006D537D">
            <w:pPr>
              <w:jc w:val="right"/>
              <w:rPr>
                <w:b w:val="0"/>
                <w:sz w:val="18"/>
                <w:szCs w:val="18"/>
              </w:rPr>
            </w:pPr>
            <w:r w:rsidRPr="008F4A58">
              <w:rPr>
                <w:b w:val="0"/>
                <w:sz w:val="18"/>
                <w:szCs w:val="18"/>
              </w:rPr>
              <w:t>Potter et al., 2020</w:t>
            </w:r>
            <w:r w:rsidRPr="008F4A58">
              <w:rPr>
                <w:sz w:val="18"/>
                <w:szCs w:val="18"/>
              </w:rPr>
              <w:fldChar w:fldCharType="begin"/>
            </w:r>
            <w:r w:rsidR="005413B4">
              <w:rPr>
                <w:b w:val="0"/>
                <w:sz w:val="18"/>
                <w:szCs w:val="18"/>
              </w:rPr>
              <w:instrText xml:space="preserve"> ADDIN ZOTERO_ITEM CSL_CITATION {"citationID":"r9eWIfWp","properties":{"formattedCitation":"\\super 141\\nosupersub{}","plainCitation":"141","noteIndex":0},"citationItems":[{"id":13482,"uris":["http://zotero.org/users/6423791/items/SWNSDUR7"],"itemData":{"id":13482,"type":"report","event-place":"Uppsala, Sweden","language":"en","number":"112","page":"170","publisher":"Swedish University of Agricultural Science","publisher-place":"Uppsala, Sweden","source":"Zotero","title":"Environmental impact of plant-based foods","author":[{"family":"Potter","given":"Hanna Karlsson"},{"family":"Lundmark","given":"Lina"},{"family":"Röös","given":"Elin"}],"issued":{"date-parts":[["2020"]]}}}],"schema":"https://github.com/citation-style-language/schema/raw/master/csl-citation.json"} </w:instrText>
            </w:r>
            <w:r w:rsidRPr="008F4A58">
              <w:rPr>
                <w:sz w:val="18"/>
                <w:szCs w:val="18"/>
              </w:rPr>
              <w:fldChar w:fldCharType="separate"/>
            </w:r>
            <w:r w:rsidR="005413B4" w:rsidRPr="005413B4">
              <w:rPr>
                <w:rFonts w:ascii="Calibri" w:hAnsi="Calibri" w:cs="Calibri"/>
                <w:sz w:val="18"/>
                <w:szCs w:val="24"/>
                <w:vertAlign w:val="superscript"/>
              </w:rPr>
              <w:t>141</w:t>
            </w:r>
            <w:r w:rsidRPr="008F4A58">
              <w:rPr>
                <w:sz w:val="18"/>
                <w:szCs w:val="18"/>
              </w:rPr>
              <w:fldChar w:fldCharType="end"/>
            </w:r>
          </w:p>
        </w:tc>
        <w:tc>
          <w:tcPr>
            <w:tcW w:w="1559" w:type="dxa"/>
          </w:tcPr>
          <w:p w14:paraId="4F4A69E7"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p>
        </w:tc>
        <w:tc>
          <w:tcPr>
            <w:tcW w:w="1276" w:type="dxa"/>
          </w:tcPr>
          <w:p w14:paraId="74CDA96B"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x</w:t>
            </w:r>
          </w:p>
        </w:tc>
        <w:tc>
          <w:tcPr>
            <w:tcW w:w="1134" w:type="dxa"/>
          </w:tcPr>
          <w:p w14:paraId="10E95A4C"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aLCA</w:t>
            </w:r>
          </w:p>
        </w:tc>
        <w:tc>
          <w:tcPr>
            <w:tcW w:w="2663" w:type="dxa"/>
            <w:vMerge/>
          </w:tcPr>
          <w:p w14:paraId="6339C2CA"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i/>
                <w:sz w:val="18"/>
                <w:szCs w:val="18"/>
              </w:rPr>
            </w:pPr>
          </w:p>
        </w:tc>
      </w:tr>
      <w:tr w:rsidR="00DC3727" w:rsidRPr="008F4A58" w14:paraId="429C7869" w14:textId="77777777" w:rsidTr="006B5342">
        <w:tc>
          <w:tcPr>
            <w:cnfStyle w:val="001000000000" w:firstRow="0" w:lastRow="0" w:firstColumn="1" w:lastColumn="0" w:oddVBand="0" w:evenVBand="0" w:oddHBand="0" w:evenHBand="0" w:firstRowFirstColumn="0" w:firstRowLastColumn="0" w:lastRowFirstColumn="0" w:lastRowLastColumn="0"/>
            <w:tcW w:w="2410" w:type="dxa"/>
          </w:tcPr>
          <w:p w14:paraId="2DF7EE55" w14:textId="6D386519" w:rsidR="00DC3727" w:rsidRPr="008F4A58" w:rsidRDefault="00DC3727" w:rsidP="006D537D">
            <w:pPr>
              <w:jc w:val="right"/>
              <w:rPr>
                <w:b w:val="0"/>
                <w:sz w:val="18"/>
                <w:szCs w:val="18"/>
              </w:rPr>
            </w:pPr>
            <w:r w:rsidRPr="008F4A58">
              <w:rPr>
                <w:b w:val="0"/>
                <w:sz w:val="18"/>
                <w:szCs w:val="18"/>
              </w:rPr>
              <w:t>Risner et al., 2023</w:t>
            </w:r>
            <w:r w:rsidRPr="008F4A58">
              <w:rPr>
                <w:sz w:val="18"/>
                <w:szCs w:val="18"/>
              </w:rPr>
              <w:fldChar w:fldCharType="begin"/>
            </w:r>
            <w:r w:rsidR="005413B4">
              <w:rPr>
                <w:b w:val="0"/>
                <w:sz w:val="18"/>
                <w:szCs w:val="18"/>
              </w:rPr>
              <w:instrText xml:space="preserve"> ADDIN ZOTERO_ITEM CSL_CITATION {"citationID":"ypGuQbIi","properties":{"formattedCitation":"\\super 142\\nosupersub{}","plainCitation":"142","noteIndex":0},"citationItems":[{"id":14220,"uris":["http://zotero.org/users/6423791/items/EQXQCB5P"],"itemData":{"id":14220,"type":"article-journal","abstract":"Predicted famines due to population increase created an interest in the development of protein alternatives during the 1950s. Currently, a renewed interest in protein alternatives has developed as a potential strategy to decrease the environmental impact of protein production and meet the global demand for protein as the population increases. Fusarium venenatum A3/5/3, the organism used for mycoprotein production has been commercially available since the 1980s, however new fungal protein companies are currently interested in scaling up production. To aid guide efforts in this domain, we created an economic model with over 340 inputs that examines the continuous production of mycoprotein utilizing airlift bioreactors. Utilizing a sensitivity analysis, we identified critical processing inputs and then developed a user-friendly Excel model that allows for the exploration of customized production scenarios for interested stakeholders. Our findings indicate that mycoprotein can be cost competitive with beef on a price per protein basis. The findings also indicate that mycoprotein may not be an economically competitive alternative for other types of commodity meats (chicken) or for inexpensive meat-derived products (pet food) that utilize offal or meat byproducts not traditionally consumed in the modern western diet.","container-title":"Frontiers in Sustainable Food Systems","ISSN":"2571-581X","journalAbbreviation":"Front. Sustain. Food Syst.","source":"Frontiers","title":"A techno-economic model of mycoprotein production: achieving price parity with beef protein","title-short":"A techno-economic model of mycoprotein production","URL":"https://www.frontiersin.org/articles/10.3389/fsufs.2023.1204307","volume":"7","author":[{"family":"Risner","given":"Derrick"},{"family":"McDonald","given":"Karen A."},{"family":"Jones","given":"Carl"},{"family":"Spang","given":"Edward S."}],"accessed":{"date-parts":[["2023",7,27]]},"issued":{"date-parts":[["2023"]]}}}],"schema":"https://github.com/citation-style-language/schema/raw/master/csl-citation.json"} </w:instrText>
            </w:r>
            <w:r w:rsidRPr="008F4A58">
              <w:rPr>
                <w:sz w:val="18"/>
                <w:szCs w:val="18"/>
              </w:rPr>
              <w:fldChar w:fldCharType="separate"/>
            </w:r>
            <w:r w:rsidR="005413B4" w:rsidRPr="005413B4">
              <w:rPr>
                <w:rFonts w:ascii="Calibri" w:hAnsi="Calibri" w:cs="Calibri"/>
                <w:sz w:val="18"/>
                <w:szCs w:val="24"/>
                <w:vertAlign w:val="superscript"/>
              </w:rPr>
              <w:t>142</w:t>
            </w:r>
            <w:r w:rsidRPr="008F4A58">
              <w:rPr>
                <w:sz w:val="18"/>
                <w:szCs w:val="18"/>
              </w:rPr>
              <w:fldChar w:fldCharType="end"/>
            </w:r>
          </w:p>
        </w:tc>
        <w:tc>
          <w:tcPr>
            <w:tcW w:w="1559" w:type="dxa"/>
          </w:tcPr>
          <w:p w14:paraId="1B7F0800"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p>
        </w:tc>
        <w:tc>
          <w:tcPr>
            <w:tcW w:w="1276" w:type="dxa"/>
          </w:tcPr>
          <w:p w14:paraId="7362A8A9"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x</w:t>
            </w:r>
          </w:p>
        </w:tc>
        <w:tc>
          <w:tcPr>
            <w:tcW w:w="1134" w:type="dxa"/>
          </w:tcPr>
          <w:p w14:paraId="2AED523C"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TEA</w:t>
            </w:r>
          </w:p>
        </w:tc>
        <w:tc>
          <w:tcPr>
            <w:tcW w:w="2663" w:type="dxa"/>
            <w:vMerge/>
          </w:tcPr>
          <w:p w14:paraId="6D787E91"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i/>
                <w:sz w:val="18"/>
                <w:szCs w:val="18"/>
              </w:rPr>
            </w:pPr>
          </w:p>
        </w:tc>
      </w:tr>
    </w:tbl>
    <w:p w14:paraId="07C4382D" w14:textId="77777777" w:rsidR="00DC3727" w:rsidRPr="003F5DA8" w:rsidRDefault="00DC3727" w:rsidP="006B5342">
      <w:pPr>
        <w:rPr>
          <w:sz w:val="18"/>
        </w:rPr>
      </w:pPr>
      <w:r w:rsidRPr="003F5DA8">
        <w:rPr>
          <w:sz w:val="18"/>
        </w:rPr>
        <w:t>cLCA, consequential LCA; aLCA, attributional LCA; TEA, techno-economic analysis. Conference proceedings not included.</w:t>
      </w:r>
    </w:p>
    <w:p w14:paraId="382D9D19" w14:textId="10685C09" w:rsidR="00DC3727" w:rsidRPr="003F5DA8" w:rsidRDefault="00DC3727" w:rsidP="000254E1">
      <w:pPr>
        <w:jc w:val="both"/>
      </w:pPr>
      <w:r w:rsidRPr="003F5DA8">
        <w:t xml:space="preserve">The panel of set-ups for second-generation mycoproteins production was reviewed in </w:t>
      </w:r>
      <w:r w:rsidR="000254E1" w:rsidRPr="005D2A26">
        <w:t>Javourez et al., (2021)</w:t>
      </w:r>
      <w:r w:rsidR="000254E1" w:rsidRPr="005D2A26">
        <w:fldChar w:fldCharType="begin"/>
      </w:r>
      <w:r w:rsidR="00682E10">
        <w:instrText xml:space="preserve"> ADDIN ZOTERO_ITEM CSL_CITATION {"citationID":"a2i4p08bs8s","properties":{"formattedCitation":"\\super 2\\nosupersub{}","plainCitation":"2","noteIndex":0},"citationItems":[{"id":12313,"uris":["http://zotero.org/users/6423791/items/U9PTD6XB"],"itemData":{"id":12313,"type":"article-journal","abstract":"Residual biomass is acknowledged as a key sustainable feedstock for the transition towards circular and low fossil carbon economies to supply whether energy, chemical, material and food products or services. The latter is receiving increasing attention, in particular in the perspective of decoupling nutrition from arable land demand. In order to provide a comprehensive overview of the technical possibilities to convert residual biomasses into edible ingredients, we reviewed over 950 scientific and industrial records documenting existing and emerging waste-to-nutrition pathways, involving over 150 different feedstocks here grouped under 10 umbrella categories: (i) wood-related residual biomass, (ii) primary crop residues, (iii) manure, (iv) food waste, (v) sludge and wastewater, (vi) green residual biomass, (vii) slaughterhouse by-products, (viii) agrifood co-products, (ix) C1 gases and (x) others. The review includes a detailed description of these pathways, as well as the processes they involve. As a result, we proposed four generic building blocks to systematize waste-to-nutrition conversion sequence patterns, namely enhancement, cracking, extraction and bioconversion. We further introduce a multidimensional representation of the biomasses suitability as potential as nutritional sources according to (i) their content in anti-nutritional compounds, (ii) their degree of structural complexity and (iii) their concentration of macro- and micronutrients. Finally, we suggest that the different pathways can be grouped into eight large families of approaches: (i) insect biorefinery, (ii) green biorefinery, (iii) lignocellulosic biorefinery, (iv) non-soluble protein recovery, (v) gas-intermediate biorefinery, (vi) liquid substrate alternative, (vii) solid-substrate fermentation and (viii) more-out-of-slaughterhouse by-products. The proposed framework aims to support future research in waste recovery and valorization within food systems, along with stimulating reflections on the improvement of resources’ cascading use.","container-title":"Biotechnology Advances","DOI":"10.1016/j.biotechadv.2021.107857","ISSN":"0734-9750","journalAbbreviation":"Biotechnol. Adv.","language":"en","page":"107857","source":"ScienceDirect","title":"Waste-to-nutrition: a review of current and emerging conversion pathways","title-short":"Waste-to-nutrition","volume":"53","author":[{"family":"Javourez","given":"U."},{"family":"O’Donohue","given":"M."},{"family":"Hamelin","given":"L."}],"issued":{"date-parts":[["2021",12,1]]}}}],"schema":"https://github.com/citation-style-language/schema/raw/master/csl-citation.json"} </w:instrText>
      </w:r>
      <w:r w:rsidR="000254E1" w:rsidRPr="005D2A26">
        <w:fldChar w:fldCharType="separate"/>
      </w:r>
      <w:r w:rsidR="00682E10" w:rsidRPr="00682E10">
        <w:rPr>
          <w:rFonts w:ascii="Calibri" w:hAnsi="Calibri" w:cs="Calibri"/>
          <w:szCs w:val="24"/>
          <w:vertAlign w:val="superscript"/>
        </w:rPr>
        <w:t>2</w:t>
      </w:r>
      <w:r w:rsidR="000254E1" w:rsidRPr="005D2A26">
        <w:fldChar w:fldCharType="end"/>
      </w:r>
      <w:r w:rsidRPr="005D2A26">
        <w:t xml:space="preserve">, </w:t>
      </w:r>
      <w:r w:rsidRPr="003F5DA8">
        <w:t xml:space="preserve">some examples extracted from the database are summarized </w:t>
      </w:r>
      <w:r w:rsidRPr="00C12117">
        <w:t>in</w:t>
      </w:r>
      <w:r w:rsidR="005D2A26">
        <w:t xml:space="preserve"> </w:t>
      </w:r>
      <w:r w:rsidR="005D2A26" w:rsidRPr="005D2A26">
        <w:rPr>
          <w:b/>
        </w:rPr>
        <w:fldChar w:fldCharType="begin"/>
      </w:r>
      <w:r w:rsidR="005D2A26" w:rsidRPr="005D2A26">
        <w:rPr>
          <w:b/>
        </w:rPr>
        <w:instrText xml:space="preserve"> REF _Ref144806732 \h </w:instrText>
      </w:r>
      <w:r w:rsidR="005D2A26">
        <w:rPr>
          <w:b/>
        </w:rPr>
        <w:instrText xml:space="preserve"> \* MERGEFORMAT </w:instrText>
      </w:r>
      <w:r w:rsidR="005D2A26" w:rsidRPr="005D2A26">
        <w:rPr>
          <w:b/>
        </w:rPr>
      </w:r>
      <w:r w:rsidR="005D2A26" w:rsidRPr="005D2A26">
        <w:rPr>
          <w:b/>
        </w:rPr>
        <w:fldChar w:fldCharType="separate"/>
      </w:r>
      <w:r w:rsidR="00F25F8C" w:rsidRPr="00F25F8C">
        <w:rPr>
          <w:b/>
        </w:rPr>
        <w:t xml:space="preserve">Table SI. </w:t>
      </w:r>
      <w:r w:rsidR="00F25F8C" w:rsidRPr="00F25F8C">
        <w:rPr>
          <w:b/>
          <w:noProof/>
        </w:rPr>
        <w:t>40</w:t>
      </w:r>
      <w:r w:rsidR="005D2A26" w:rsidRPr="005D2A26">
        <w:rPr>
          <w:b/>
        </w:rPr>
        <w:fldChar w:fldCharType="end"/>
      </w:r>
      <w:r w:rsidRPr="00C12117">
        <w:t>.</w:t>
      </w:r>
    </w:p>
    <w:p w14:paraId="48F0A79E" w14:textId="48237AAE" w:rsidR="00DC3727" w:rsidRPr="00C12117" w:rsidRDefault="00874128" w:rsidP="006B5342">
      <w:pPr>
        <w:pStyle w:val="Lgende"/>
        <w:jc w:val="left"/>
        <w:rPr>
          <w:b w:val="0"/>
          <w:i/>
        </w:rPr>
      </w:pPr>
      <w:bookmarkStart w:id="184" w:name="_Ref144806732"/>
      <w:bookmarkStart w:id="185" w:name="_Toc134537651"/>
      <w:bookmarkStart w:id="186" w:name="_Toc151967924"/>
      <w:r>
        <w:t>Table SI.</w:t>
      </w:r>
      <w:r w:rsidR="00DC3727">
        <w:t xml:space="preserve"> </w:t>
      </w:r>
      <w:r>
        <w:fldChar w:fldCharType="begin"/>
      </w:r>
      <w:r>
        <w:instrText xml:space="preserve"> SEQ Table_SI. \* ARABIC </w:instrText>
      </w:r>
      <w:r>
        <w:fldChar w:fldCharType="separate"/>
      </w:r>
      <w:r w:rsidR="00F25F8C">
        <w:rPr>
          <w:noProof/>
        </w:rPr>
        <w:t>40</w:t>
      </w:r>
      <w:r>
        <w:fldChar w:fldCharType="end"/>
      </w:r>
      <w:bookmarkEnd w:id="184"/>
      <w:r w:rsidR="00DC3727">
        <w:t xml:space="preserve"> </w:t>
      </w:r>
      <w:r w:rsidR="00DC3727" w:rsidRPr="006F2B7A">
        <w:t>– Illustration of the panel of mycoproteins production set-ups</w:t>
      </w:r>
      <w:bookmarkEnd w:id="185"/>
      <w:bookmarkEnd w:id="186"/>
    </w:p>
    <w:tbl>
      <w:tblPr>
        <w:tblStyle w:val="Tableausimple2"/>
        <w:tblW w:w="0" w:type="auto"/>
        <w:tblLook w:val="04A0" w:firstRow="1" w:lastRow="0" w:firstColumn="1" w:lastColumn="0" w:noHBand="0" w:noVBand="1"/>
      </w:tblPr>
      <w:tblGrid>
        <w:gridCol w:w="1284"/>
        <w:gridCol w:w="2645"/>
        <w:gridCol w:w="2372"/>
        <w:gridCol w:w="2771"/>
      </w:tblGrid>
      <w:tr w:rsidR="00DC3727" w:rsidRPr="008F4A58" w14:paraId="13CF0962"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35B2294" w14:textId="77777777" w:rsidR="00DC3727" w:rsidRPr="008F4A58" w:rsidRDefault="00DC3727" w:rsidP="006D537D">
            <w:pPr>
              <w:rPr>
                <w:sz w:val="18"/>
                <w:szCs w:val="18"/>
              </w:rPr>
            </w:pPr>
            <w:r w:rsidRPr="008F4A58">
              <w:rPr>
                <w:sz w:val="18"/>
                <w:szCs w:val="18"/>
              </w:rPr>
              <w:t>Input stream</w:t>
            </w:r>
          </w:p>
        </w:tc>
        <w:tc>
          <w:tcPr>
            <w:tcW w:w="0" w:type="auto"/>
          </w:tcPr>
          <w:p w14:paraId="6A4A5ADC" w14:textId="77777777" w:rsidR="00DC3727" w:rsidRPr="008F4A58" w:rsidRDefault="00DC3727"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Conversion</w:t>
            </w:r>
          </w:p>
        </w:tc>
        <w:tc>
          <w:tcPr>
            <w:tcW w:w="0" w:type="auto"/>
          </w:tcPr>
          <w:p w14:paraId="418C949F" w14:textId="77777777" w:rsidR="00DC3727" w:rsidRPr="008F4A58" w:rsidRDefault="00DC3727"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Strain</w:t>
            </w:r>
          </w:p>
        </w:tc>
        <w:tc>
          <w:tcPr>
            <w:tcW w:w="0" w:type="auto"/>
          </w:tcPr>
          <w:p w14:paraId="492E646A" w14:textId="77777777" w:rsidR="00DC3727" w:rsidRPr="008F4A58" w:rsidRDefault="00DC3727"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Study</w:t>
            </w:r>
          </w:p>
        </w:tc>
      </w:tr>
      <w:tr w:rsidR="00DC3727" w:rsidRPr="008F4A58" w14:paraId="2C672540"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8A7A409" w14:textId="77777777" w:rsidR="00DC3727" w:rsidRPr="008F4A58" w:rsidRDefault="00DC3727" w:rsidP="006D537D">
            <w:pPr>
              <w:rPr>
                <w:b w:val="0"/>
                <w:sz w:val="18"/>
                <w:szCs w:val="18"/>
              </w:rPr>
            </w:pPr>
            <w:r w:rsidRPr="008F4A58">
              <w:rPr>
                <w:b w:val="0"/>
                <w:sz w:val="18"/>
                <w:szCs w:val="18"/>
              </w:rPr>
              <w:t>Wheat straw</w:t>
            </w:r>
          </w:p>
        </w:tc>
        <w:tc>
          <w:tcPr>
            <w:tcW w:w="0" w:type="auto"/>
          </w:tcPr>
          <w:p w14:paraId="224C9FEC"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Integration to bioethanol plant</w:t>
            </w:r>
          </w:p>
        </w:tc>
        <w:tc>
          <w:tcPr>
            <w:tcW w:w="0" w:type="auto"/>
          </w:tcPr>
          <w:p w14:paraId="709FF27A"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i/>
                <w:sz w:val="18"/>
                <w:szCs w:val="18"/>
              </w:rPr>
            </w:pPr>
            <w:r w:rsidRPr="008F4A58">
              <w:rPr>
                <w:i/>
                <w:sz w:val="18"/>
                <w:szCs w:val="18"/>
              </w:rPr>
              <w:t>Neurospora Intermedia</w:t>
            </w:r>
          </w:p>
        </w:tc>
        <w:tc>
          <w:tcPr>
            <w:tcW w:w="0" w:type="auto"/>
          </w:tcPr>
          <w:p w14:paraId="4326390B" w14:textId="26639B4F"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Lab scale</w:t>
            </w:r>
            <w:r w:rsidRPr="008F4A58">
              <w:rPr>
                <w:sz w:val="18"/>
                <w:szCs w:val="18"/>
              </w:rPr>
              <w:fldChar w:fldCharType="begin"/>
            </w:r>
            <w:r w:rsidR="005413B4">
              <w:rPr>
                <w:sz w:val="18"/>
                <w:szCs w:val="18"/>
              </w:rPr>
              <w:instrText xml:space="preserve"> ADDIN ZOTERO_ITEM CSL_CITATION {"citationID":"MzWggGXL","properties":{"formattedCitation":"\\super 143\\nosupersub{}","plainCitation":"143","noteIndex":0},"citationItems":[{"id":338,"uris":["http://zotero.org/users/6423791/items/7UQ98PVX"],"itemData":{"id":338,"type":"article-journal","abstract":"Integration of wheat straw for a biorefinery-based energy generation process by producing ethanol and biogas together with the production of high-protein fungal biomass (suitable for feed application) was the main focus of the present study. An edible ascomycete fungal strain Neurospora intermedia was used for the ethanol fermentation and subsequent biomass production from dilute phosphoric acid (0.7 to 1.2% w / v ) pretreated wheat straw. At optimum pretreatment conditions, an ethanol yield of 84 to 90% of the theoretical maximum, based on glucan content of substrate straw, was observed from fungal fermentation post the enzymatic hydrolysis process. The biogas production from the pretreated straw slurry showed an improved methane yield potential up to 162% increase, as compared to that of the untreated straw. Additional biogas production, using the syrup, a waste stream obtained post the ethanol fermentation, resulted in a combined total energy output of 15.8 MJ/kg wheat straw. Moreover, using thin stillage (a waste stream from the first-generation wheat-based ethanol process) as a co-substrate to the biogas process resulted in an additional increase by about 14 to 27% in the total energy output as compared to using only wheat straw-based substrates. </w:instrText>
            </w:r>
            <w:r w:rsidR="005413B4">
              <w:rPr>
                <w:rFonts w:ascii="Malgun Gothic" w:eastAsia="Malgun Gothic" w:hAnsi="Malgun Gothic" w:cs="Malgun Gothic" w:hint="eastAsia"/>
                <w:sz w:val="18"/>
                <w:szCs w:val="18"/>
              </w:rPr>
              <w:instrText>ᅟ</w:instrText>
            </w:r>
            <w:r w:rsidR="005413B4">
              <w:rPr>
                <w:sz w:val="18"/>
                <w:szCs w:val="18"/>
              </w:rPr>
              <w:instrText xml:space="preserve">","container-title":"Applied Biochemistry and Biotechnology","DOI":"10.1007/s12010-017-2525-1","ISSN":"0273-2289","issue":"1","language":"eng","note":"publisher-place: New York\npublisher: Springer US","page":"48–62","source":"eesc-primo.com","title":"Integrated Process for Ethanol, Biogas, and Edible Filamentous Fungi-Based Animal Feed Production from Dilute Phosphoric Acid-Pretreated Wheat Straw","volume":"184","author":[{"family":"Nair","given":"Ramkumar"},{"family":"Kabir","given":"Maryam"},{"family":"Lennartsson","given":"Patrik"},{"family":"Taherzadeh","given":"Mohammad"},{"family":"Horváth","given":"Ilona"}],"issued":{"date-parts":[["2018"]]}}}],"schema":"https://github.com/citation-style-language/schema/raw/master/csl-citation.json"} </w:instrText>
            </w:r>
            <w:r w:rsidRPr="008F4A58">
              <w:rPr>
                <w:sz w:val="18"/>
                <w:szCs w:val="18"/>
              </w:rPr>
              <w:fldChar w:fldCharType="separate"/>
            </w:r>
            <w:r w:rsidR="005413B4" w:rsidRPr="005413B4">
              <w:rPr>
                <w:rFonts w:ascii="Calibri" w:hAnsi="Calibri" w:cs="Calibri"/>
                <w:sz w:val="18"/>
                <w:szCs w:val="24"/>
                <w:vertAlign w:val="superscript"/>
              </w:rPr>
              <w:t>143</w:t>
            </w:r>
            <w:r w:rsidRPr="008F4A58">
              <w:rPr>
                <w:sz w:val="18"/>
                <w:szCs w:val="18"/>
              </w:rPr>
              <w:fldChar w:fldCharType="end"/>
            </w:r>
          </w:p>
        </w:tc>
      </w:tr>
      <w:tr w:rsidR="00DC3727" w:rsidRPr="008F4A58" w14:paraId="3012AA95"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0C0CE251" w14:textId="77777777" w:rsidR="00DC3727" w:rsidRPr="008F4A58" w:rsidRDefault="00DC3727" w:rsidP="006D537D">
            <w:pPr>
              <w:rPr>
                <w:b w:val="0"/>
                <w:sz w:val="18"/>
                <w:szCs w:val="18"/>
              </w:rPr>
            </w:pPr>
            <w:r w:rsidRPr="008F4A58">
              <w:rPr>
                <w:b w:val="0"/>
                <w:sz w:val="18"/>
                <w:szCs w:val="18"/>
              </w:rPr>
              <w:t>Paper waste</w:t>
            </w:r>
          </w:p>
        </w:tc>
        <w:tc>
          <w:tcPr>
            <w:tcW w:w="0" w:type="auto"/>
          </w:tcPr>
          <w:p w14:paraId="6552FDA3"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Milling and acid hydrolysis</w:t>
            </w:r>
          </w:p>
        </w:tc>
        <w:tc>
          <w:tcPr>
            <w:tcW w:w="0" w:type="auto"/>
          </w:tcPr>
          <w:p w14:paraId="3BD9499B"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i/>
                <w:sz w:val="18"/>
                <w:szCs w:val="18"/>
              </w:rPr>
            </w:pPr>
            <w:r w:rsidRPr="008F4A58">
              <w:rPr>
                <w:i/>
                <w:sz w:val="18"/>
                <w:szCs w:val="18"/>
              </w:rPr>
              <w:t>Scytalidium Acidophilus</w:t>
            </w:r>
          </w:p>
        </w:tc>
        <w:tc>
          <w:tcPr>
            <w:tcW w:w="0" w:type="auto"/>
          </w:tcPr>
          <w:p w14:paraId="19E98EA9" w14:textId="0B48A96E"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Lab scale</w:t>
            </w:r>
            <w:r w:rsidRPr="008F4A58">
              <w:rPr>
                <w:sz w:val="18"/>
                <w:szCs w:val="18"/>
              </w:rPr>
              <w:fldChar w:fldCharType="begin"/>
            </w:r>
            <w:r w:rsidR="005413B4">
              <w:rPr>
                <w:sz w:val="18"/>
                <w:szCs w:val="18"/>
              </w:rPr>
              <w:instrText xml:space="preserve"> ADDIN ZOTERO_ITEM CSL_CITATION {"citationID":"iMDsx3uX","properties":{"formattedCitation":"\\super 144\\nosupersub{}","plainCitation":"144","noteIndex":0},"citationItems":[{"id":1422,"uris":["http://zotero.org/users/6423791/items/SC9KKH3K"],"itemData":{"id":1422,"type":"article-journal","abstract":"The bioconversion of waste paper to single-cell protein at pH &lt;1 by Scytalidium acidophilum is described. Waste paper pretreated with 72% H2SO4 at 4°C was diluted with water to a pH of &lt;0.1 and hydrolyzed. This yielded an adequate sugar-containing substrate for the growth of the fungus. A total of 97% of the sugars (glucose, galactose, mannose, xylose, arabinose) in the hydrolysates were converted to cell biomass. Microbial contamination was not observed. Based on the sugars consumed, S. acidophilum produced higher yields in shake cultures than many other Fungi Imperfecti. In aerated cultures, productivity increased, and yields of 43 to 46% containing 44 to 47% crude protein were obtained. This compares favorably with Candida utilis, a yeast used commercially to produce single-cell protein. The chemical constituents and the essential amino acids of the fungal cells were similar to those of other fungi. The nucleic acid content was characteristic of microbes containing low levels of nucleic acid. The advantages of using S. acidophilum for single-cell protein production are discussed.","container-title":"Applied and Environmental Microbiology","ISSN":"0099-2240","issue":"3","journalAbbreviation":"Appl Environ Microbiol","note":"PMID: 16345970\nPMCID: PMC241888","page":"643-647","source":"PubMed Central","title":"Single-Cell Protein Production by the Acid-Tolerant Fungus Scytalidium acidophilum from Acid Hydrolysates of Waste Paper","volume":"43","author":[{"family":"Ivarson","given":"K. C."},{"family":"Morita","given":"H."}],"issued":{"date-parts":[["1982",3]]}}}],"schema":"https://github.com/citation-style-language/schema/raw/master/csl-citation.json"} </w:instrText>
            </w:r>
            <w:r w:rsidRPr="008F4A58">
              <w:rPr>
                <w:sz w:val="18"/>
                <w:szCs w:val="18"/>
              </w:rPr>
              <w:fldChar w:fldCharType="separate"/>
            </w:r>
            <w:r w:rsidR="005413B4" w:rsidRPr="005413B4">
              <w:rPr>
                <w:rFonts w:ascii="Calibri" w:hAnsi="Calibri" w:cs="Calibri"/>
                <w:sz w:val="18"/>
                <w:szCs w:val="24"/>
                <w:vertAlign w:val="superscript"/>
              </w:rPr>
              <w:t>144</w:t>
            </w:r>
            <w:r w:rsidRPr="008F4A58">
              <w:rPr>
                <w:sz w:val="18"/>
                <w:szCs w:val="18"/>
              </w:rPr>
              <w:fldChar w:fldCharType="end"/>
            </w:r>
          </w:p>
        </w:tc>
      </w:tr>
      <w:tr w:rsidR="00DC3727" w:rsidRPr="008F4A58" w14:paraId="0976C77C"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726F104" w14:textId="77777777" w:rsidR="00DC3727" w:rsidRPr="008F4A58" w:rsidRDefault="00DC3727" w:rsidP="006D537D">
            <w:pPr>
              <w:rPr>
                <w:b w:val="0"/>
                <w:sz w:val="18"/>
                <w:szCs w:val="18"/>
              </w:rPr>
            </w:pPr>
            <w:r w:rsidRPr="008F4A58">
              <w:rPr>
                <w:b w:val="0"/>
                <w:sz w:val="18"/>
                <w:szCs w:val="18"/>
              </w:rPr>
              <w:t>Rice straw</w:t>
            </w:r>
          </w:p>
        </w:tc>
        <w:tc>
          <w:tcPr>
            <w:tcW w:w="0" w:type="auto"/>
          </w:tcPr>
          <w:p w14:paraId="0BF90CF5"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Ionic liquid pretreatment and enzymatic hydrolysis</w:t>
            </w:r>
          </w:p>
        </w:tc>
        <w:tc>
          <w:tcPr>
            <w:tcW w:w="0" w:type="auto"/>
          </w:tcPr>
          <w:p w14:paraId="6C72D90F"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i/>
                <w:sz w:val="18"/>
                <w:szCs w:val="18"/>
              </w:rPr>
            </w:pPr>
            <w:r w:rsidRPr="008F4A58">
              <w:rPr>
                <w:i/>
                <w:sz w:val="18"/>
                <w:szCs w:val="18"/>
              </w:rPr>
              <w:t>Fusarium Venenatum</w:t>
            </w:r>
          </w:p>
        </w:tc>
        <w:tc>
          <w:tcPr>
            <w:tcW w:w="0" w:type="auto"/>
          </w:tcPr>
          <w:p w14:paraId="0CFE0E49" w14:textId="5B0640D3"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Lab scale pretreatment</w:t>
            </w:r>
            <w:r w:rsidRPr="008F4A58">
              <w:rPr>
                <w:sz w:val="18"/>
                <w:szCs w:val="18"/>
              </w:rPr>
              <w:fldChar w:fldCharType="begin"/>
            </w:r>
            <w:r w:rsidR="005413B4">
              <w:rPr>
                <w:sz w:val="18"/>
                <w:szCs w:val="18"/>
              </w:rPr>
              <w:instrText xml:space="preserve"> ADDIN ZOTERO_ITEM CSL_CITATION {"citationID":"uK2MN6fk","properties":{"formattedCitation":"\\super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8F4A58">
              <w:rPr>
                <w:sz w:val="18"/>
                <w:szCs w:val="18"/>
              </w:rPr>
              <w:fldChar w:fldCharType="separate"/>
            </w:r>
            <w:r w:rsidR="005413B4" w:rsidRPr="005413B4">
              <w:rPr>
                <w:rFonts w:ascii="Calibri" w:hAnsi="Calibri" w:cs="Calibri"/>
                <w:sz w:val="18"/>
                <w:szCs w:val="24"/>
                <w:vertAlign w:val="superscript"/>
              </w:rPr>
              <w:t>131</w:t>
            </w:r>
            <w:r w:rsidRPr="008F4A58">
              <w:rPr>
                <w:sz w:val="18"/>
                <w:szCs w:val="18"/>
              </w:rPr>
              <w:fldChar w:fldCharType="end"/>
            </w:r>
            <w:r w:rsidRPr="008F4A58">
              <w:rPr>
                <w:sz w:val="18"/>
                <w:szCs w:val="18"/>
              </w:rPr>
              <w:t>. Quorn fermentation</w:t>
            </w:r>
          </w:p>
        </w:tc>
      </w:tr>
      <w:tr w:rsidR="00DC3727" w:rsidRPr="008F4A58" w14:paraId="6316753D"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2CCFA608" w14:textId="77777777" w:rsidR="00DC3727" w:rsidRPr="008F4A58" w:rsidRDefault="00DC3727" w:rsidP="006D537D">
            <w:pPr>
              <w:rPr>
                <w:b w:val="0"/>
                <w:sz w:val="18"/>
                <w:szCs w:val="18"/>
              </w:rPr>
            </w:pPr>
            <w:r w:rsidRPr="008F4A58">
              <w:rPr>
                <w:b w:val="0"/>
                <w:sz w:val="18"/>
                <w:szCs w:val="18"/>
              </w:rPr>
              <w:t>Diverse on raw sugar</w:t>
            </w:r>
          </w:p>
        </w:tc>
        <w:tc>
          <w:tcPr>
            <w:tcW w:w="0" w:type="auto"/>
          </w:tcPr>
          <w:p w14:paraId="35214D69"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Batch mode, biomats</w:t>
            </w:r>
          </w:p>
        </w:tc>
        <w:tc>
          <w:tcPr>
            <w:tcW w:w="0" w:type="auto"/>
          </w:tcPr>
          <w:p w14:paraId="59A37A14"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i/>
                <w:sz w:val="18"/>
                <w:szCs w:val="18"/>
              </w:rPr>
              <w:t>Fusarium Yellowstonensis</w:t>
            </w:r>
          </w:p>
        </w:tc>
        <w:tc>
          <w:tcPr>
            <w:tcW w:w="0" w:type="auto"/>
          </w:tcPr>
          <w:p w14:paraId="6F8F2F4C" w14:textId="69DC19E3"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Industrial scaling: Nature’s Fynd</w:t>
            </w:r>
            <w:r w:rsidRPr="008F4A58">
              <w:rPr>
                <w:sz w:val="18"/>
                <w:szCs w:val="18"/>
              </w:rPr>
              <w:fldChar w:fldCharType="begin"/>
            </w:r>
            <w:r w:rsidR="005413B4">
              <w:rPr>
                <w:sz w:val="18"/>
                <w:szCs w:val="18"/>
              </w:rPr>
              <w:instrText xml:space="preserve"> ADDIN ZOTERO_ITEM CSL_CITATION {"citationID":"KxJ0cxog","properties":{"formattedCitation":"\\super 145\\nosupersub{}","plainCitation":"145","noteIndex":0},"citationItems":[{"id":11816,"uris":["http://zotero.org/users/6423791/items/TGT7KTVW"],"itemData":{"id":11816,"type":"webpage","abstract":"Learn how years of ingenuity and dedication led to a breakthrough fermentation technology and our nutritious Fy Protein™.","language":"en","title":"A food company for optimists","URL":"https://www.naturesfynd.com/origin-story","author":[{"literal":"Nature's Fynd"}],"accessed":{"date-parts":[["2021",9,20]]},"issued":{"date-parts":[["2021"]]}}}],"schema":"https://github.com/citation-style-language/schema/raw/master/csl-citation.json"} </w:instrText>
            </w:r>
            <w:r w:rsidRPr="008F4A58">
              <w:rPr>
                <w:sz w:val="18"/>
                <w:szCs w:val="18"/>
              </w:rPr>
              <w:fldChar w:fldCharType="separate"/>
            </w:r>
            <w:r w:rsidR="005413B4" w:rsidRPr="005413B4">
              <w:rPr>
                <w:rFonts w:ascii="Calibri" w:hAnsi="Calibri" w:cs="Calibri"/>
                <w:sz w:val="18"/>
                <w:szCs w:val="24"/>
                <w:vertAlign w:val="superscript"/>
              </w:rPr>
              <w:t>145</w:t>
            </w:r>
            <w:r w:rsidRPr="008F4A58">
              <w:rPr>
                <w:sz w:val="18"/>
                <w:szCs w:val="18"/>
              </w:rPr>
              <w:fldChar w:fldCharType="end"/>
            </w:r>
          </w:p>
        </w:tc>
      </w:tr>
      <w:tr w:rsidR="00DC3727" w:rsidRPr="008F4A58" w14:paraId="2333B90E"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F9C7E19" w14:textId="77777777" w:rsidR="00DC3727" w:rsidRPr="008F4A58" w:rsidRDefault="00DC3727" w:rsidP="006D537D">
            <w:pPr>
              <w:rPr>
                <w:b w:val="0"/>
                <w:sz w:val="18"/>
                <w:szCs w:val="18"/>
              </w:rPr>
            </w:pPr>
            <w:r w:rsidRPr="008F4A58">
              <w:rPr>
                <w:b w:val="0"/>
                <w:sz w:val="18"/>
                <w:szCs w:val="18"/>
              </w:rPr>
              <w:t>Rice straws and hulls</w:t>
            </w:r>
          </w:p>
        </w:tc>
        <w:tc>
          <w:tcPr>
            <w:tcW w:w="0" w:type="auto"/>
          </w:tcPr>
          <w:p w14:paraId="619E7639"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Hydrolysis</w:t>
            </w:r>
          </w:p>
        </w:tc>
        <w:tc>
          <w:tcPr>
            <w:tcW w:w="0" w:type="auto"/>
          </w:tcPr>
          <w:p w14:paraId="172A4D57"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i/>
                <w:sz w:val="18"/>
                <w:szCs w:val="18"/>
              </w:rPr>
            </w:pPr>
            <w:r w:rsidRPr="008F4A58">
              <w:rPr>
                <w:i/>
                <w:sz w:val="18"/>
                <w:szCs w:val="18"/>
              </w:rPr>
              <w:t>Mortierella isabelline / Yarrowia lipolytica</w:t>
            </w:r>
          </w:p>
        </w:tc>
        <w:tc>
          <w:tcPr>
            <w:tcW w:w="0" w:type="auto"/>
          </w:tcPr>
          <w:p w14:paraId="4CE5B3E8" w14:textId="3717B7F0"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Lab scale</w:t>
            </w:r>
            <w:r w:rsidRPr="008F4A58">
              <w:rPr>
                <w:sz w:val="18"/>
                <w:szCs w:val="18"/>
              </w:rPr>
              <w:fldChar w:fldCharType="begin"/>
            </w:r>
            <w:r w:rsidR="005413B4">
              <w:rPr>
                <w:sz w:val="18"/>
                <w:szCs w:val="18"/>
              </w:rPr>
              <w:instrText xml:space="preserve"> ADDIN ZOTERO_ITEM CSL_CITATION {"citationID":"5DYnFA49","properties":{"formattedCitation":"\\super 146\\nosupersub{}","plainCitation":"146","noteIndex":0},"citationItems":[{"id":1685,"uris":["http://zotero.org/users/6423791/items/N6LFVPZ2"],"itemData":{"id":1685,"type":"article-journal","abstract":"Polyunsaturated fatty acids (PUFAs) of the ω-3 and ω-6 class (e.g., α-linolenic acid, linoleic acid) are essential for maintaining biofunctions in mammalians like humans. Due to the fact that humans cannot synthesize these essential fatty acids, they must be taken up from different food sources. Classical sources for these fatty acids are porcine liver and fish oil. However, microbial lipids or single cell oils, produced by oleaginous microorganisms such as algae, fungi and bacteria, are a promising source as well. These single cell oils can be used for many valuable chemicals with applications not only for nutrition but also for fuels and are therefore an ideal basis for a bio-based economy. A crucial point for the establishment of microbial lipids utilization is the cost-effective production and purification of fuels or products of higher value. The fermentative production can be realized by submerged (SmF) or solid state fermentation (SSF). The yield and the composition of the obtained microbial lipids depend on the type of fermentation and the particular conditions (e.g., medium, pH-value, temperature, aeration, nitrogen source). From an economical point of view, waste or by-product streams can be used as cheap and renewable carbon and nitrogen sources. In general, downstream processing costs are one of the major obstacles to be solved for full economic efficiency of microbial lipids. For the extraction of lipids from microbial biomass cell disruption is most important, because efficiency of cell disruption directly influences subsequent downstream operations and overall extraction efficiencies. A multitude of cell disruption and lipid extraction methods are available, conventional as well as newly emerging methods, which will be described and discussed in terms of large scale applicability, their potential in a modern biorefinery and their influence on product quality. Furthermore, an overview is given about applications of microbial lipids or derived fatty acids with emphasis on food applications.","container-title":"Frontiers in Microbiology","DOI":"10.3389/fmicb.2016.01539","ISSN":"1664-302X","journalAbbreviation":"Front. Microbiol.","language":"eng","note":"PMID: 27761130\nPMCID: PMC5050229","page":"1539","source":"PubMed","title":"Production Strategies and Applications of Microbial Single Cell Oils","volume":"7","author":[{"family":"Ochsenreither","given":"Katrin"},{"family":"Glück","given":"Claudia"},{"family":"Stressler","given":"Timo"},{"family":"Fischer","given":"Lutz"},{"family":"Syldatk","given":"Christoph"}],"issued":{"date-parts":[["2016"]]}}}],"schema":"https://github.com/citation-style-language/schema/raw/master/csl-citation.json"} </w:instrText>
            </w:r>
            <w:r w:rsidRPr="008F4A58">
              <w:rPr>
                <w:sz w:val="18"/>
                <w:szCs w:val="18"/>
              </w:rPr>
              <w:fldChar w:fldCharType="separate"/>
            </w:r>
            <w:r w:rsidR="005413B4" w:rsidRPr="005413B4">
              <w:rPr>
                <w:rFonts w:ascii="Calibri" w:hAnsi="Calibri" w:cs="Calibri"/>
                <w:sz w:val="18"/>
                <w:szCs w:val="24"/>
                <w:vertAlign w:val="superscript"/>
              </w:rPr>
              <w:t>146</w:t>
            </w:r>
            <w:r w:rsidRPr="008F4A58">
              <w:rPr>
                <w:sz w:val="18"/>
                <w:szCs w:val="18"/>
              </w:rPr>
              <w:fldChar w:fldCharType="end"/>
            </w:r>
          </w:p>
        </w:tc>
      </w:tr>
      <w:tr w:rsidR="00DC3727" w:rsidRPr="008F4A58" w14:paraId="35C7DB8F"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124F0589" w14:textId="77777777" w:rsidR="00DC3727" w:rsidRPr="008F4A58" w:rsidRDefault="00DC3727" w:rsidP="006D537D">
            <w:pPr>
              <w:rPr>
                <w:b w:val="0"/>
                <w:sz w:val="18"/>
                <w:szCs w:val="18"/>
              </w:rPr>
            </w:pPr>
            <w:r w:rsidRPr="008F4A58">
              <w:rPr>
                <w:b w:val="0"/>
                <w:sz w:val="18"/>
                <w:szCs w:val="18"/>
              </w:rPr>
              <w:t>Grass cake</w:t>
            </w:r>
          </w:p>
        </w:tc>
        <w:tc>
          <w:tcPr>
            <w:tcW w:w="0" w:type="auto"/>
          </w:tcPr>
          <w:p w14:paraId="7C941C20"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Steam explosion, ammonia soaking and hydrolysis</w:t>
            </w:r>
          </w:p>
        </w:tc>
        <w:tc>
          <w:tcPr>
            <w:tcW w:w="0" w:type="auto"/>
          </w:tcPr>
          <w:p w14:paraId="59080324" w14:textId="77777777"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i/>
                <w:sz w:val="18"/>
                <w:szCs w:val="18"/>
              </w:rPr>
            </w:pPr>
            <w:r w:rsidRPr="008F4A58">
              <w:rPr>
                <w:i/>
                <w:sz w:val="18"/>
                <w:szCs w:val="18"/>
              </w:rPr>
              <w:t xml:space="preserve">Paecilomyces variotii </w:t>
            </w:r>
            <w:r w:rsidRPr="008F4A58">
              <w:rPr>
                <w:sz w:val="18"/>
                <w:szCs w:val="18"/>
              </w:rPr>
              <w:t>(Pekilo process)</w:t>
            </w:r>
          </w:p>
        </w:tc>
        <w:tc>
          <w:tcPr>
            <w:tcW w:w="0" w:type="auto"/>
          </w:tcPr>
          <w:p w14:paraId="236D5E50" w14:textId="5FD5EE35" w:rsidR="00DC3727" w:rsidRPr="008F4A58" w:rsidRDefault="00DC3727"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Lab scale</w:t>
            </w:r>
            <w:r w:rsidRPr="008F4A58">
              <w:rPr>
                <w:sz w:val="18"/>
                <w:szCs w:val="18"/>
              </w:rPr>
              <w:fldChar w:fldCharType="begin"/>
            </w:r>
            <w:r w:rsidR="005413B4">
              <w:rPr>
                <w:sz w:val="18"/>
                <w:szCs w:val="18"/>
              </w:rPr>
              <w:instrText xml:space="preserve"> ADDIN ZOTERO_ITEM CSL_CITATION {"citationID":"UEeO4ICm","properties":{"formattedCitation":"\\super 130\\nosupersub{}","plainCitation":"130","noteIndex":0},"citationItems":[{"id":1867,"uris":["http://zotero.org/users/6423791/items/XNDB54TE"],"itemData":{"id":1867,"type":"article-journal","abstract":"Grass silage is a promising biorefinery feedstock with surplus production potential, providing a source of readily soluble protein and lignocellulosic fibre. This study presents a concept combining protein extraction with production of single cell protein from enzymatically saccharified grass silage fibre by fermentation of the filamentous fungus Paecilomyces variotii. Steam explosion and ammonia soaking were compared as pretreatments, leading to 81.2% and 88.1% carbohydrate hydrolysability, respectively. Microbial biomass yields of 51% from hydrolysate sugars were reached with a protein content of 51% of cell dry weight. A single-reactor ammonia pretreatment and hydrolysis process was demonstrated, including ammonia recovery of up to 66%, while the residual ammonia was synergistically utilized as a nitrogen source for protein production. The effect of cellulase dosage, hydrolysis time and solids concentration was empirically modelled and the model was applied for cost optimization of enzymatic hydrolysis as a part of a techno-economic assessment of the process.","container-title":"Bioresource Technology Reports","DOI":"10.1016/j.biteb.2019.100357","ISSN":"2589-014X","journalAbbreviation":"Bioresour. Technol. Rep.","language":"en","page":"100357","source":"ScienceDirect","title":"Comparison of pretreatments and cost-optimization of enzymatic hydrolysis for production of single cell protein from grass silage fibre","volume":"9","author":[{"family":"Pihlajaniemi","given":"Ville"},{"family":"Ellilä","given":"Simo"},{"family":"Poikkimäki","given":"Sakari"},{"family":"Nappa","given":"Marja"},{"family":"Rinne","given":"Marketta"},{"family":"Lantto","given":"Raija"},{"family":"Siika-aho","given":"Matti"}],"issued":{"date-parts":[["2020",2,1]]}}}],"schema":"https://github.com/citation-style-language/schema/raw/master/csl-citation.json"} </w:instrText>
            </w:r>
            <w:r w:rsidRPr="008F4A58">
              <w:rPr>
                <w:sz w:val="18"/>
                <w:szCs w:val="18"/>
              </w:rPr>
              <w:fldChar w:fldCharType="separate"/>
            </w:r>
            <w:r w:rsidR="005413B4" w:rsidRPr="005413B4">
              <w:rPr>
                <w:rFonts w:ascii="Calibri" w:hAnsi="Calibri" w:cs="Calibri"/>
                <w:sz w:val="18"/>
                <w:szCs w:val="24"/>
                <w:vertAlign w:val="superscript"/>
              </w:rPr>
              <w:t>130</w:t>
            </w:r>
            <w:r w:rsidRPr="008F4A58">
              <w:rPr>
                <w:sz w:val="18"/>
                <w:szCs w:val="18"/>
              </w:rPr>
              <w:fldChar w:fldCharType="end"/>
            </w:r>
          </w:p>
        </w:tc>
      </w:tr>
      <w:tr w:rsidR="00DC3727" w:rsidRPr="008F4A58" w14:paraId="377A6D7F"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F3ED524" w14:textId="77777777" w:rsidR="00DC3727" w:rsidRPr="008F4A58" w:rsidRDefault="00DC3727" w:rsidP="006D537D">
            <w:pPr>
              <w:rPr>
                <w:b w:val="0"/>
                <w:sz w:val="18"/>
                <w:szCs w:val="18"/>
              </w:rPr>
            </w:pPr>
            <w:r w:rsidRPr="008F4A58">
              <w:rPr>
                <w:b w:val="0"/>
                <w:sz w:val="18"/>
                <w:szCs w:val="18"/>
              </w:rPr>
              <w:t>Spruce wood</w:t>
            </w:r>
          </w:p>
        </w:tc>
        <w:tc>
          <w:tcPr>
            <w:tcW w:w="0" w:type="auto"/>
          </w:tcPr>
          <w:p w14:paraId="388397E7"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BALI sugar process or Glommen technology</w:t>
            </w:r>
          </w:p>
        </w:tc>
        <w:tc>
          <w:tcPr>
            <w:tcW w:w="0" w:type="auto"/>
          </w:tcPr>
          <w:p w14:paraId="2B6739E2" w14:textId="77777777"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i/>
                <w:sz w:val="18"/>
                <w:szCs w:val="18"/>
              </w:rPr>
            </w:pPr>
            <w:r w:rsidRPr="008F4A58">
              <w:rPr>
                <w:i/>
                <w:sz w:val="18"/>
                <w:szCs w:val="18"/>
              </w:rPr>
              <w:t xml:space="preserve">Candida Utilis </w:t>
            </w:r>
            <w:r w:rsidRPr="008F4A58">
              <w:rPr>
                <w:sz w:val="18"/>
                <w:szCs w:val="18"/>
              </w:rPr>
              <w:t>(Arbiom)</w:t>
            </w:r>
          </w:p>
        </w:tc>
        <w:tc>
          <w:tcPr>
            <w:tcW w:w="0" w:type="auto"/>
          </w:tcPr>
          <w:p w14:paraId="32245916" w14:textId="0F1935A2" w:rsidR="00DC3727" w:rsidRPr="008F4A58" w:rsidRDefault="00DC3727"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Commercial development: Arbiom and others</w:t>
            </w:r>
            <w:r w:rsidRPr="008F4A58">
              <w:rPr>
                <w:sz w:val="18"/>
                <w:szCs w:val="18"/>
              </w:rPr>
              <w:fldChar w:fldCharType="begin"/>
            </w:r>
            <w:r w:rsidR="005413B4">
              <w:rPr>
                <w:sz w:val="18"/>
                <w:szCs w:val="18"/>
              </w:rPr>
              <w:instrText xml:space="preserve"> ADDIN ZOTERO_ITEM CSL_CITATION {"citationID":"rNQIVBAB","properties":{"formattedCitation":"\\super 133,147\\nosupersub{}","plainCitation":"133,147","noteIndex":0},"citationItems":[{"id":13146,"uris":["http://zotero.org/users/6423791/items/ZY3SRR3R"],"itemData":{"id":13146,"type":"article-journal","abstract":"The aim of this study was to analyse the sustainability of pig production based on a diet containing yeast as a protein source. The yeast is produced from sugar, and the sugar can be produced from hydrolysed wood through a biorefinery process. This study included yeast from two different biorefinery processes: 1) a domestic demo plant in connection with a complex biorefinery, and 2) a small-scale wood refinery process largely based on wood residues. In the yeast diets, the yeast replaced soybean meal as a protein source and the two yeast diets were compared with a standard diet. The environmental impacts from the pig production systems were assessed by using life cycle assessment (LCA), and the functional unit was 1 kg carcass weight of pork at the farm gate. The results from the study show that yeast replacing imported feed protein sources used in pig production gives a lower impact for biodiversity loss, climate change (including LUC) and eutrophication. The lower impact was created by the replacement of soybean meal with yeast from wood sugar in the feed recipe. Also, the scenarios with yeast diets gave a land use ratio below 1, indicating an improved land use efficiency regarding producing human digestible protein. Even though the forest land used for deriving wood sugar constitutes a greater area than the corresponding area for soybean meal production, the forest land does not occupy areas suitable for food production. The reference case, representing current pig production and feeding system, had a land use ratio of 1.24, meaning that the feed production was directly competing for the area suitable for food production. The overall conclusion was that the utilisation of yeast from wood sugar appears to avoid feed-food competition and at the same time to be an environmentally sustainable solution for future feed protein employed in pig production.","container-title":"Livestock Science","DOI":"10.1016/j.livsci.2022.104925","ISSN":"1871-1413","journalAbbreviation":"Livest. Sci.","language":"en","page":"104925","source":"ScienceDirect","title":"Local non-food yeast protein in pig production - environmental impacts and land use efficiency","author":[{"family":"Møller","given":"Hanne"},{"family":"Samsonstuen","given":"Stine"},{"family":"Øverland","given":"Margareth"},{"family":"Modahl","given":"Ingunn Saur"},{"family":"Olsen","given":"Hanne Fjerdingby"}],"issued":{"date-parts":[["2022",4,4]]}}},{"id":2674,"uris":["http://zotero.org/users/6423791/items/PQ5T8MC6"],"itemData":{"id":2674,"type":"webpage","abstract":"Arbiom is pioneering the next evolution in food, with technology that converts wood into an alternative protein source for animals and humans.","language":"en-US","title":"Wood to Food","URL":"https://arbiom.com/","author":[{"literal":"Arbiom"}],"accessed":{"date-parts":[["2020",10,24]]},"issued":{"date-parts":[["2020"]]}}}],"schema":"https://github.com/citation-style-language/schema/raw/master/csl-citation.json"} </w:instrText>
            </w:r>
            <w:r w:rsidRPr="008F4A58">
              <w:rPr>
                <w:sz w:val="18"/>
                <w:szCs w:val="18"/>
              </w:rPr>
              <w:fldChar w:fldCharType="separate"/>
            </w:r>
            <w:r w:rsidR="005413B4" w:rsidRPr="005413B4">
              <w:rPr>
                <w:rFonts w:ascii="Calibri" w:hAnsi="Calibri" w:cs="Calibri"/>
                <w:sz w:val="18"/>
                <w:szCs w:val="24"/>
                <w:vertAlign w:val="superscript"/>
              </w:rPr>
              <w:t>133,147</w:t>
            </w:r>
            <w:r w:rsidRPr="008F4A58">
              <w:rPr>
                <w:sz w:val="18"/>
                <w:szCs w:val="18"/>
              </w:rPr>
              <w:fldChar w:fldCharType="end"/>
            </w:r>
          </w:p>
        </w:tc>
      </w:tr>
    </w:tbl>
    <w:p w14:paraId="35ABCF63" w14:textId="77777777" w:rsidR="005D2A26" w:rsidRDefault="005D2A26" w:rsidP="006458E0">
      <w:pPr>
        <w:jc w:val="both"/>
      </w:pPr>
    </w:p>
    <w:p w14:paraId="757BB7E5" w14:textId="0D095153" w:rsidR="00DC3727" w:rsidRDefault="00512EC8" w:rsidP="006458E0">
      <w:pPr>
        <w:jc w:val="both"/>
      </w:pPr>
      <w:r w:rsidRPr="003F5DA8">
        <w:t>The aim of the process modeled herein is the production of mycoproteins only, hence not considering potential co-production of metabolites or platform chemicals along with fungal biomass</w:t>
      </w:r>
      <w:r w:rsidRPr="003F5DA8">
        <w:fldChar w:fldCharType="begin"/>
      </w:r>
      <w:r w:rsidR="005413B4">
        <w:instrText xml:space="preserve"> ADDIN ZOTERO_ITEM CSL_CITATION {"citationID":"EE4kLiZ3","properties":{"formattedCitation":"\\super 148,149\\nosupersub{}","plainCitation":"148,149","noteIndex":0},"citationItems":[{"id":2570,"uris":["http://zotero.org/users/6423791/items/WD6PK2GP"],"itemData":{"id":2570,"type":"patent","authority":"European Union","call-number":"EP15790186.9A","language":"en","number":"EP3209789A1","title":"Bioprocess for coproduction of ethanol and mycoproteins","URL":"https://patents.google.com/patent/EP3209789A1/en?oq=Patent:+EP3209789","author":[{"family":"Fazenda","given":"Mariana"},{"family":"Johnston","given":"Craig"},{"family":"Mcneil","given":"Brian"}],"accessed":{"date-parts":[["2020",10,21]]},"issued":{"date-parts":[["2017",8,30]]},"submitted":{"date-parts":[["2015",10,21]]}}},{"id":13477,"uris":["http://zotero.org/users/6423791/items/NKKNBSJ3"],"itemData":{"id":13477,"type":"article-journal","abstract":"A novel yeast co-product obtained from a bio-ethanol process in which wheat was the predominant feedstock was tested in a series of iso-nitrogenous (38% crude protein) and iso-lipidic (8%) diets for juvenile mirror carp (Cyprinus carpio). The fishmeal protein component of a basal diet (control treatment) was effectively replaced by a yeast protein concentrate (YPC) at 7.5, 15, 20, and 50% of total dietary protein. After an 8week feeding trial all fish fed YPC showed better (P&lt;0.05) growth performance than the control fed fish, with diets containing 15% and 20% YPC being optimal. Proximate composition analysis revealed that body protein, lipid and NFE levels were unaffected by dietary treatment (P&gt;0.05), however, ash levels were elevated in fish fed ≥15% YPC (P&lt;0.05). Subsequently, body gross energy was significantly reduced at 50% YPC inclusion. Both alanine aminotranferase (ALAT) and aspartate aminotranferase (ASAT) were measured as indicators of hepatic function in carp. Liver ASAT activity was significantly lower in fish fed 20% and 50% YPC, but no effects were seen in ALAT activities. Additionally, preliminary histological assessment of liver and intestinal tissues gave no indication of impairment to health, but high YPC inclusion (≥15%) elevated the number of goblet cells present in the posterior intestine (P&lt;0.05). Molecular microbiological analysis using DGGE revealed no distinctive changes in intestinal microbial communities. This study reveals the potential benefits of utilising a biofuel derived YPC on the growth and feed utilisation performance of carp, with no apparent detrimental impacts on general health and physiological status as determined by gut and liver function and related metabolism.","container-title":"Aquaculture","DOI":"10.1016/j.aquaculture.2011.12.004","ISSN":"0044-8486","journalAbbreviation":"Aquaculture","language":"en","page":"54-62","source":"ScienceDirect","title":"Biofuel derived yeast protein concentrate (YPC) as a novel feed ingredient in carp diets","volume":"330-333","author":[{"family":"Omar","given":"Samad S."},{"family":"Merrifield","given":"Daniel L."},{"family":"Kühlwein","given":"Holger"},{"family":"Williams","given":"Peter E. V."},{"family":"Davies","given":"Simon J."}],"issued":{"date-parts":[["2012",2,17]]}}}],"schema":"https://github.com/citation-style-language/schema/raw/master/csl-citation.json"} </w:instrText>
      </w:r>
      <w:r w:rsidRPr="003F5DA8">
        <w:fldChar w:fldCharType="separate"/>
      </w:r>
      <w:r w:rsidR="005413B4" w:rsidRPr="005413B4">
        <w:rPr>
          <w:rFonts w:ascii="Calibri" w:hAnsi="Calibri" w:cs="Calibri"/>
          <w:szCs w:val="24"/>
          <w:vertAlign w:val="superscript"/>
        </w:rPr>
        <w:t>148,149</w:t>
      </w:r>
      <w:r w:rsidRPr="003F5DA8">
        <w:fldChar w:fldCharType="end"/>
      </w:r>
      <w:r w:rsidRPr="003F5DA8">
        <w:t>.</w:t>
      </w:r>
    </w:p>
    <w:p w14:paraId="08A8E769" w14:textId="69A03035" w:rsidR="00512EC8" w:rsidRPr="003F5DA8" w:rsidRDefault="00512EC8" w:rsidP="00512EC8">
      <w:pPr>
        <w:jc w:val="both"/>
      </w:pPr>
      <w:r w:rsidRPr="003F5DA8">
        <w:t>Many techniques are currently developed to produce industrial sugars from lignocellulose (</w:t>
      </w:r>
      <w:r w:rsidR="005D2A26" w:rsidRPr="005D2A26">
        <w:rPr>
          <w:b/>
        </w:rPr>
        <w:fldChar w:fldCharType="begin"/>
      </w:r>
      <w:r w:rsidR="005D2A26" w:rsidRPr="005D2A26">
        <w:rPr>
          <w:b/>
        </w:rPr>
        <w:instrText xml:space="preserve"> REF _Ref144806598 \h </w:instrText>
      </w:r>
      <w:r w:rsidR="005D2A26">
        <w:rPr>
          <w:b/>
        </w:rPr>
        <w:instrText xml:space="preserve"> \* MERGEFORMAT </w:instrText>
      </w:r>
      <w:r w:rsidR="005D2A26" w:rsidRPr="005D2A26">
        <w:rPr>
          <w:b/>
        </w:rPr>
      </w:r>
      <w:r w:rsidR="005D2A26" w:rsidRPr="005D2A26">
        <w:rPr>
          <w:b/>
        </w:rPr>
        <w:fldChar w:fldCharType="separate"/>
      </w:r>
      <w:r w:rsidR="00F25F8C" w:rsidRPr="00F25F8C">
        <w:rPr>
          <w:b/>
        </w:rPr>
        <w:t xml:space="preserve">Table SI. </w:t>
      </w:r>
      <w:r w:rsidR="00F25F8C" w:rsidRPr="00F25F8C">
        <w:rPr>
          <w:b/>
          <w:noProof/>
        </w:rPr>
        <w:t>39</w:t>
      </w:r>
      <w:r w:rsidR="005D2A26" w:rsidRPr="005D2A26">
        <w:rPr>
          <w:b/>
        </w:rPr>
        <w:fldChar w:fldCharType="end"/>
      </w:r>
      <w:r w:rsidR="005D2A26">
        <w:t xml:space="preserve"> </w:t>
      </w:r>
      <w:r w:rsidRPr="00C12117">
        <w:t>for references</w:t>
      </w:r>
      <w:r w:rsidRPr="003F5DA8">
        <w:t>). Rationales to select a set-up depend on target specifications, input composition and overall costs, among others. Yet, almost all of them, to achieve delignification, use high severity (energy- and or chemical-intensive) processes which strongly influence the environmental performance of cellulosic sugars production</w:t>
      </w:r>
      <w:r w:rsidRPr="003F5DA8">
        <w:fldChar w:fldCharType="begin"/>
      </w:r>
      <w:r w:rsidR="005413B4">
        <w:instrText xml:space="preserve"> ADDIN ZOTERO_ITEM CSL_CITATION {"citationID":"3TNyO9H0","properties":{"formattedCitation":"\\super 137\\nosupersub{}","plainCitation":"137","noteIndex":0},"citationItems":[{"id":3384,"uris":["http://zotero.org/users/6423791/items/YCE9AGZ2"],"itemData":{"id":3384,"type":"article-journal","abstract":"In recent years, there has been a great movement towards the generation of knowledge related to the biorefinery concept. First-generation biorefineries bear the stigma of using arable land and edible crops for fuel instead of as sources of food and feed. However, second-generation biorefineries have not reached the level of full technical feasibility. Bearing in mind the objective of sugar production from sugar, starch, or lignocellulosic raw materials, the purpose of this study is to assess the environmental impact of first- and second-generation biorefineries, considering as an example for the comparative evaluation, the production of sugar fractions from crops (starch and sugar crops), and lignocellulosic biomass (hardwood and softwood). The characterization results were obtained using the ReCiPe 1.1 model, implemented through the SimaPro 9.0 software. Both production systems are inherently different and have strengths and weaknesses that must be carefully analyzed. The resulting environmental profile shows that the silviculture of wood contributes less to the environmental impact than cropping activities in most impact categories. In general, this study suggests that first-generation systems are burdened environmentally by the use of fertilizers, which have a significant impact on categories such as marine and freshwater eutrophication and terrestrial acidification, while second-generation systems are limited by the intensive processing steps needed for delignification, typically involving the use of chemicals and/or energy. LCA in early stages of the production of bio-based building blocks, rather than on the manufacture of biofuels or bioplastics, allows the precise identification of the environmental burdens that may be influencing the overall environmental profile of a biorefinery.","container-title":"Environmental Science and Pollution Research","DOI":"10.1007/s11356-021-12405-y","ISSN":"1614-7499","journalAbbreviation":"Environ. Sci. Pollut. Res.","language":"en","page":"27345–27361","source":"Springer Link","title":"Inventory review and environmental evaluation of first- and second-generation sugars through life cycle assessment","volume":"28","author":[{"family":"Bello","given":"Sara"},{"family":"Salim","given":"Iana"},{"family":"Feijoo","given":"Gumersindo"},{"family":"Moreira","given":"Maria Teresa"}],"issued":{"date-parts":[["2021",1,28]]}}}],"schema":"https://github.com/citation-style-language/schema/raw/master/csl-citation.json"} </w:instrText>
      </w:r>
      <w:r w:rsidRPr="003F5DA8">
        <w:fldChar w:fldCharType="separate"/>
      </w:r>
      <w:r w:rsidR="005413B4" w:rsidRPr="005413B4">
        <w:rPr>
          <w:rFonts w:ascii="Calibri" w:hAnsi="Calibri" w:cs="Calibri"/>
          <w:szCs w:val="24"/>
          <w:vertAlign w:val="superscript"/>
        </w:rPr>
        <w:t>137</w:t>
      </w:r>
      <w:r w:rsidRPr="003F5DA8">
        <w:fldChar w:fldCharType="end"/>
      </w:r>
      <w:r w:rsidRPr="003F5DA8">
        <w:t>. Such harsh pretreatments (e.g. dilute acid, organosolv, steam explosion, etc.), apart from their operational challenges</w:t>
      </w:r>
      <w:r w:rsidRPr="003F5DA8">
        <w:fldChar w:fldCharType="begin"/>
      </w:r>
      <w:r w:rsidR="005413B4">
        <w:instrText xml:space="preserve"> ADDIN ZOTERO_ITEM CSL_CITATION {"citationID":"bXSrpCu3","properties":{"formattedCitation":"\\super 135\\nosupersub{}","plainCitation":"135","noteIndex":0},"citationItems":[{"id":3367,"uris":["http://zotero.org/users/6423791/items/9SUGPF3U"],"itemData":{"id":3367,"type":"report","language":"en","note":"DOI: 10.2172/1483234","number":"NREL/TP--5100-71949, 1483234","page":"NREL/TP--5100-71949, 1483234","source":"DOI.org (Crossref)","title":"Process Design and Economics for the Conversion of Lignocellulosic Biomass to Hydrocarbon Fuels and Coproducts: 2018 Biochemical Design Case Update; Biochemical Deconstruction and Conversion of Biomass to Fuels and Products via Integrated Biorefinery Pathways","title-short":"Process Design and Economics for the Conversion of Lignocellulosic Biomass to Hydrocarbon Fuels and Coproducts","URL":"http://www.osti.gov/servlets/purl/1483234/","author":[{"family":"Davis","given":"Ryan E."},{"family":"Grundl","given":"Nicholas J."},{"family":"Tao","given":"Ling"},{"family":"Biddy","given":"Mary J."},{"family":"Tan","given":"Eric C."},{"family":"Beckham","given":"Gregg T."},{"family":"Humbird","given":"David"},{"family":"Thompson","given":"David N."},{"family":"Roni","given":"Mohammad S."}],"accessed":{"date-parts":[["2021",1,27]]},"issued":{"date-parts":[["2018",11,19]]}}}],"schema":"https://github.com/citation-style-language/schema/raw/master/csl-citation.json"} </w:instrText>
      </w:r>
      <w:r w:rsidRPr="003F5DA8">
        <w:fldChar w:fldCharType="separate"/>
      </w:r>
      <w:r w:rsidR="005413B4" w:rsidRPr="005413B4">
        <w:rPr>
          <w:rFonts w:ascii="Calibri" w:hAnsi="Calibri" w:cs="Calibri"/>
          <w:szCs w:val="24"/>
          <w:vertAlign w:val="superscript"/>
        </w:rPr>
        <w:t>135</w:t>
      </w:r>
      <w:r w:rsidRPr="003F5DA8">
        <w:fldChar w:fldCharType="end"/>
      </w:r>
      <w:r w:rsidRPr="003F5DA8">
        <w:t>, also induce the production of neoformed molecules which can hosts both anti-nutritional (e.g. toxic) or inhibitory (for further fermentation) properties</w:t>
      </w:r>
      <w:r w:rsidRPr="003F5DA8">
        <w:fldChar w:fldCharType="begin"/>
      </w:r>
      <w:r w:rsidR="005413B4">
        <w:instrText xml:space="preserve"> ADDIN ZOTERO_ITEM CSL_CITATION {"citationID":"WiUdEe3G","properties":{"formattedCitation":"\\super 131,150,151\\nosupersub{}","plainCitation":"131,150,151","noteIndex":0},"citationItems":[{"id":11801,"uris":["http://zotero.org/users/6423791/items/AE6CHBJC"],"itemData":{"id":11801,"type":"article-journal","container-title":"Green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Van"},{"family":"Hallett","given":"Jason"},{"family":"Guo","given":"Miao"}],"issued":{"date-parts":[["2021"]]}}},{"id":13533,"uris":["http://zotero.org/users/6423791/items/TAZ8M8H6"],"itemData":{"id":13533,"type":"article-journal","container-title":"Frontiers in Microbiology","DOI":"10.3389/fmicb.2022.940610","ISSN":"1664-302X","journalAbbreviation":"Front. Microbiol.","language":"en","page":"940610","source":"DOI.org (Crossref)","title":"Editorial: Microorganisms for Consolidated 2nd Generation Biorefining","title-short":"Editorial","volume":"13","author":[{"family":"Kim","given":"Soo Rin"},{"family":"Eckert","given":"Carrie A."},{"family":"Mazzoli","given":"Roberto"}],"issued":{"date-parts":[["2022",6,17]]}}},{"id":7876,"uris":["http://zotero.org/users/6423791/items/8CPTDYK7"],"itemData":{"id":7876,"type":"thesis","abstract":"As part of a bio-based economy, biorefineries are envisaged to sustainably produce platform chemicals via biochemical conversion of agricultural and forestry residues. However, supply risks, the recalcitrance of lignocellulosic biomass, and inhibitor formation during pretreatment impair the economic feasibility of such biorefineries. In this thesis, process design and assessment were developed with the aim of addressing these hurdles and improving the cost-effectiveness of lignocellulose-derived platform chemicals.","event-place":"Gothenburg","language":"en","publisher":"Chalmers University of Technology","publisher-place":"Gothenburg","source":"Zotero","title":"Process development for platform chemical production from agricultural and forestry residues","author":[{"family":"Nickel","given":"David Benjamin"}],"issued":{"date-parts":[["2021"]]}}}],"schema":"https://github.com/citation-style-language/schema/raw/master/csl-citation.json"} </w:instrText>
      </w:r>
      <w:r w:rsidRPr="003F5DA8">
        <w:fldChar w:fldCharType="separate"/>
      </w:r>
      <w:r w:rsidR="005413B4" w:rsidRPr="005413B4">
        <w:rPr>
          <w:rFonts w:ascii="Calibri" w:hAnsi="Calibri" w:cs="Calibri"/>
          <w:szCs w:val="24"/>
          <w:vertAlign w:val="superscript"/>
        </w:rPr>
        <w:t>131,150,151</w:t>
      </w:r>
      <w:r w:rsidRPr="003F5DA8">
        <w:fldChar w:fldCharType="end"/>
      </w:r>
      <w:r w:rsidRPr="003F5DA8">
        <w:t>. It is unlikely that resulting hydrolysates output meet food standards without implementing intensive detoxification stages.</w:t>
      </w:r>
      <w:r w:rsidR="004A3FE2">
        <w:t xml:space="preserve"> </w:t>
      </w:r>
      <w:r w:rsidR="005413B4" w:rsidRPr="008F2922">
        <w:t xml:space="preserve">From the reviewed lignocellulosic pretreatments, only ionic liquid </w:t>
      </w:r>
      <w:r w:rsidR="005413B4">
        <w:t xml:space="preserve">(IL) was found as compliant </w:t>
      </w:r>
      <w:r w:rsidR="005413B4" w:rsidRPr="008F2922">
        <w:t xml:space="preserve">with all the specifications required to generate food-grade cellulosic sugars. Albeit biocompatible and food-grade </w:t>
      </w:r>
      <w:r w:rsidR="005413B4">
        <w:t>ionic liquid</w:t>
      </w:r>
      <w:r w:rsidR="005413B4" w:rsidRPr="008F2922">
        <w:t xml:space="preserve"> pretreatments  are at early development stages, the process workflow has already been described </w:t>
      </w:r>
      <w:r w:rsidR="005413B4" w:rsidRPr="008F2922">
        <w:fldChar w:fldCharType="begin"/>
      </w:r>
      <w:r w:rsidR="005413B4">
        <w:instrText xml:space="preserve"> ADDIN ZOTERO_ITEM CSL_CITATION {"citationID":"iP26H9P5","properties":{"formattedCitation":"\\super 131,152\\nosupersub{}","plainCitation":"131,152","noteIndex":0},"citationItems":[{"id":11490,"uris":["http://zotero.org/users/6423791/items/MAHPTN52"],"itemData":{"id":11490,"type":"article-journal","abstract":"The anticipated high future demand for food proteins has led to the advent of mycoprotein, which involves carbohydrate sugars as the primary carbon source. In this work, nonfood rice and wheat residues have been utilized to produce food-grade glucose using an ionic liquid. A biocompatible ionic liquid (IL) based on food-grade cholinium hydroxide and lysine has been evaluated for its potential to remove undesirable components such as, lignin and hemicellulose from rice and wheat straws. The cellulose pulp, thus obtained, was subsequently hydrolyzed into glucose by using food-grade enzymes. The optimum delignification efficiency of the IL is 87% at 120 °C after 8 h pretreatment. The optimum yield of food-grade sugar was 77% from cellulose pulp after processing at 100 °C for 8 h. The analysis of the pulp and lignin was made using compositional analysis, FT-IR, TGA, and SEM techniques, whereas glucose was quantified using HPLC. The food-grade glucose may be used in the food industry or pharmaceuticals, but this study aims at synthesizing mycoprotein in the future.","container-title":"ACS Sustainable Chemistry &amp; Engineering","DOI":"10.1021/acssuschemeng.1c00022","journalAbbreviation":"ACS Sustainable Chem. Eng.","note":"publisher: American Chemical Society","source":"ACS Publications","title":"Production of Food-Grade Glucose from Rice and Wheat Residues Using a Biocompatible Ionic Liquid","URL":"https://doi.org/10.1021/acssuschemeng.1c00022","author":[{"family":"Asim","given":"Azmat Mehmood"},{"family":"Uroos","given":"Maliha"},{"family":"Muhammad","given":"Nawshad"},{"family":"Hallett","given":"Jason P."}],"accessed":{"date-parts":[["2021",6,20]]},"issued":{"date-parts":[["2021",6,9]]}}},{"id":11801,"uris":["http://zotero.org/users/6423791/items/AE6CHBJC"],"itemData":{"id":11801,"type":"article-journal","container-title":"Green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005413B4" w:rsidRPr="008F2922">
        <w:fldChar w:fldCharType="separate"/>
      </w:r>
      <w:r w:rsidR="005413B4" w:rsidRPr="005413B4">
        <w:rPr>
          <w:rFonts w:ascii="Calibri" w:hAnsi="Calibri" w:cs="Calibri"/>
          <w:szCs w:val="24"/>
          <w:vertAlign w:val="superscript"/>
        </w:rPr>
        <w:t>131,152</w:t>
      </w:r>
      <w:r w:rsidR="005413B4" w:rsidRPr="008F2922">
        <w:fldChar w:fldCharType="end"/>
      </w:r>
      <w:r w:rsidR="005413B4" w:rsidRPr="008F2922">
        <w:t xml:space="preserve"> which is not the case for alternative wood sugar p</w:t>
      </w:r>
      <w:r w:rsidR="005413B4">
        <w:t>roduction</w:t>
      </w:r>
      <w:r w:rsidR="005413B4" w:rsidRPr="008F2922">
        <w:t xml:space="preserve"> such as patented BALI or “wood molasses”</w:t>
      </w:r>
      <w:r w:rsidR="005413B4">
        <w:t xml:space="preserve"> processes</w:t>
      </w:r>
      <w:r w:rsidR="005413B4" w:rsidRPr="008F2922">
        <w:t xml:space="preserve"> </w:t>
      </w:r>
      <w:r w:rsidR="005413B4" w:rsidRPr="008F2922">
        <w:fldChar w:fldCharType="begin"/>
      </w:r>
      <w:r w:rsidR="005413B4">
        <w:instrText xml:space="preserve"> ADDIN ZOTERO_ITEM CSL_CITATION {"citationID":"bF4D6d1h","properties":{"formattedCitation":"\\super 133\\nosupersub{}","plainCitation":"133","noteIndex":0},"citationItems":[{"id":13146,"uris":["http://zotero.org/users/6423791/items/ZY3SRR3R"],"itemData":{"id":13146,"type":"article-journal","abstract":"The aim of this study was to analyse the sustainability of pig production based on a diet containing yeast as a protein source. The yeast is produced from sugar, and the sugar can be produced from hydrolysed wood through a biorefinery process. This study included yeast from two different biorefinery processes: 1) a domestic demo plant in connection with a complex biorefinery, and 2) a small-scale wood refinery process largely based on wood residues. In the yeast diets, the yeast replaced soybean meal as a protein source and the two yeast diets were compared with a standard diet. The environmental impacts from the pig production systems were assessed by using life cycle assessment (LCA), and the functional unit was 1 kg carcass weight of pork at the farm gate. The results from the study show that yeast replacing imported feed protein sources used in pig production gives a lower impact for biodiversity loss, climate change (including LUC) and eutrophication. The lower impact was created by the replacement of soybean meal with yeast from wood sugar in the feed recipe. Also, the scenarios with yeast diets gave a land use ratio below 1, indicating an improved land use efficiency regarding producing human digestible protein. Even though the forest land used for deriving wood sugar constitutes a greater area than the corresponding area for soybean meal production, the forest land does not occupy areas suitable for food production. The reference case, representing current pig production and feeding system, had a land use ratio of 1.24, meaning that the feed production was directly competing for the area suitable for food production. The overall conclusion was that the utilisation of yeast from wood sugar appears to avoid feed-food competition and at the same time to be an environmentally sustainable solution for future feed protein employed in pig production.","container-title":"Livestock Science","DOI":"10.1016/j.livsci.2022.104925","ISSN":"1871-1413","journalAbbreviation":"Livest. Sci.","language":"en","page":"104925","source":"ScienceDirect","title":"Local non-food yeast protein in pig production - environmental impacts and land use efficiency","author":[{"family":"Møller","given":"Hanne"},{"family":"Samsonstuen","given":"Stine"},{"family":"Øverland","given":"Margareth"},{"family":"Modahl","given":"Ingunn Saur"},{"family":"Olsen","given":"Hanne Fjerdingby"}],"issued":{"date-parts":[["2022",4,4]]}}}],"schema":"https://github.com/citation-style-language/schema/raw/master/csl-citation.json"} </w:instrText>
      </w:r>
      <w:r w:rsidR="005413B4" w:rsidRPr="008F2922">
        <w:fldChar w:fldCharType="separate"/>
      </w:r>
      <w:r w:rsidR="005413B4" w:rsidRPr="005413B4">
        <w:rPr>
          <w:rFonts w:ascii="Calibri" w:hAnsi="Calibri" w:cs="Calibri"/>
          <w:szCs w:val="24"/>
          <w:vertAlign w:val="superscript"/>
        </w:rPr>
        <w:t>133</w:t>
      </w:r>
      <w:r w:rsidR="005413B4" w:rsidRPr="008F2922">
        <w:fldChar w:fldCharType="end"/>
      </w:r>
      <w:r w:rsidR="005413B4" w:rsidRPr="008F2922">
        <w:t>.</w:t>
      </w:r>
      <w:r w:rsidR="005413B4">
        <w:t xml:space="preserve"> </w:t>
      </w:r>
      <w:r w:rsidRPr="003F5DA8">
        <w:t xml:space="preserve">IL pretreatments build on the high solubility of lignin in IL solvents (association of a cation and an </w:t>
      </w:r>
      <w:r w:rsidRPr="003F5DA8">
        <w:lastRenderedPageBreak/>
        <w:t>anion) due to hydrogen bonds and electrostatic interactions</w:t>
      </w:r>
      <w:r w:rsidRPr="003F5DA8">
        <w:fldChar w:fldCharType="begin"/>
      </w:r>
      <w:r w:rsidR="005413B4">
        <w:instrText xml:space="preserve"> ADDIN ZOTERO_ITEM CSL_CITATION {"citationID":"oNFc68eH","properties":{"formattedCitation":"\\super 153\\nosupersub{}","plainCitation":"153","noteIndex":0},"citationItems":[{"id":13490,"uris":["http://zotero.org/users/6423791/items/JL8PT7D2"],"itemData":{"id":13490,"type":"article-journal","abstract":"Lignocellulosic biomass as the renewable and abundant resource in the earth can be transformed into bio-based chemicals and fuels with high added value, which is the preferable substitute for traditional fossil resources. The design and improvement of catalysts and pretreatment solvents are crucial to achieve the low-cost, efficient, and green conversion of biomass resources. Ionic liquids exhibit many advantages in biomass pretreatment and conversion because of their high catalytic efficiency, high solubility, unique molecular structure, and recyclable property. The present review aimed to summarize the research achievements and progress of ionic liquids as solvents or catalysts in the pretreatment of lignocellulosic biomass, transformation of polysaccharides into platform chemicals and isolation, depolymerization, and functional modification of lignin. The review concludes with a brief perspective on possible challenges and strategies for the sustainable development of ionic liquids in lignocellulosic biomass refining.","container-title":"Journal of Molecular Liquids","DOI":"10.1016/j.molliq.2022.119326","ISSN":"0167-7322","journalAbbreviation":"Journal of Molecular Liquids","language":"en","page":"119326","source":"ScienceDirect","title":"Review on development of ionic liquids in lignocellulosic biomass refining","volume":"359","author":[{"family":"Lin","given":"Xiaoqi"},{"family":"Jiang","given":"Kaisen"},{"family":"Liu","given":"Xuebin"},{"family":"Han","given":"Dezhi"},{"family":"Zhang","given":"Qinqin"}],"issued":{"date-parts":[["2022",8,1]]}}}],"schema":"https://github.com/citation-style-language/schema/raw/master/csl-citation.json"} </w:instrText>
      </w:r>
      <w:r w:rsidRPr="003F5DA8">
        <w:fldChar w:fldCharType="separate"/>
      </w:r>
      <w:r w:rsidR="005413B4" w:rsidRPr="005413B4">
        <w:rPr>
          <w:rFonts w:ascii="Calibri" w:hAnsi="Calibri" w:cs="Calibri"/>
          <w:szCs w:val="24"/>
          <w:vertAlign w:val="superscript"/>
        </w:rPr>
        <w:t>153</w:t>
      </w:r>
      <w:r w:rsidRPr="003F5DA8">
        <w:fldChar w:fldCharType="end"/>
      </w:r>
      <w:r w:rsidRPr="003F5DA8">
        <w:t>. IL are mostly tunable to desired chemo selectivity, are quite stable and recyclable</w:t>
      </w:r>
      <w:r w:rsidRPr="003F5DA8">
        <w:fldChar w:fldCharType="begin"/>
      </w:r>
      <w:r w:rsidR="005413B4">
        <w:instrText xml:space="preserve"> ADDIN ZOTERO_ITEM CSL_CITATION {"citationID":"BrR8e6bW","properties":{"formattedCitation":"\\super 154\\nosupersub{}","plainCitation":"154","noteIndex":0},"citationItems":[{"id":13497,"uris":["http://zotero.org/users/6423791/items/RU2T8T79"],"itemData":{"id":13497,"type":"article-journal","abstract":"The effective pre-treatment methods are required for the destruction of the complex biomass structure to economically produce high grade fuels and valuable platform chemicals. Ionic liquids have high potential for energy efficient biomass pre-treatment due to their low vapour pressure, emission profile, recyclability and tuneable properties; some ionic liquids can even be prepared from renewable biomass feedstocks. However, a number of issues currently impede the large scale uptake of ionic liquids including their cost of production, detailed understanding the macro, micro and molecular level deconstruction mechanisms which inhibits process optimisation and modelling, and the need for techno-economic astable sessment on large scale trials. So far, laboratory to bench scale IL pre-treatments of various lignocellulosic biomasses were studied by changing various process parameters where the aims were to investigate the biomass dissolution mechanism and understand the pre-treatment performance of ILs. This review outlines current research gaps and potential applications for ionic liquids in the destruction of biomass into its components followed by separation of lignin, hemicellulose and cellulose rich fractions.","container-title":"Renewable and Sustainable Energy Reviews","DOI":"10.1016/j.rser.2019.01.052","ISSN":"1364-0321","journalAbbreviation":"Renewable and Sustainable Energy Reviews","language":"en","page":"268-292","source":"ScienceDirect","title":"Progress on the pre-treatment of lignocellulosic biomass employing ionic liquids","volume":"105","author":[{"family":"Halder","given":"Pobitra"},{"family":"Kundu","given":"Sazal"},{"family":"Patel","given":"Savankumar"},{"family":"Setiawan","given":"Adi"},{"family":"Atkin","given":"Rob"},{"family":"Parthasarthy","given":"Rajarathinam"},{"family":"Paz-Ferreiro","given":"Jorge"},{"family":"Surapaneni","given":"Aravind"},{"family":"Shah","given":"Kalpit"}],"issued":{"date-parts":[["2019",5,1]]}}}],"schema":"https://github.com/citation-style-language/schema/raw/master/csl-citation.json"} </w:instrText>
      </w:r>
      <w:r w:rsidRPr="003F5DA8">
        <w:fldChar w:fldCharType="separate"/>
      </w:r>
      <w:r w:rsidR="005413B4" w:rsidRPr="005413B4">
        <w:rPr>
          <w:rFonts w:ascii="Calibri" w:hAnsi="Calibri" w:cs="Calibri"/>
          <w:szCs w:val="24"/>
          <w:vertAlign w:val="superscript"/>
        </w:rPr>
        <w:t>154</w:t>
      </w:r>
      <w:r w:rsidRPr="003F5DA8">
        <w:fldChar w:fldCharType="end"/>
      </w:r>
      <w:r w:rsidRPr="003F5DA8">
        <w:t xml:space="preserve"> and can be formulated with food-compliant and biocompatible compounds such as choline, lysine and hydrogen sulfate</w:t>
      </w:r>
      <w:r w:rsidRPr="003F5DA8">
        <w:fldChar w:fldCharType="begin"/>
      </w:r>
      <w:r w:rsidR="005413B4">
        <w:instrText xml:space="preserve"> ADDIN ZOTERO_ITEM CSL_CITATION {"citationID":"M4SWZmKo","properties":{"formattedCitation":"\\super 131,152\\nosupersub{}","plainCitation":"131,152","noteIndex":0},"citationItems":[{"id":11801,"uris":["http://zotero.org/users/6423791/items/AE6CHBJC"],"itemData":{"id":11801,"type":"article-journal","container-title":"Green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Van"},{"family":"Hallett","given":"Jason"},{"family":"Guo","given":"Miao"}],"issued":{"date-parts":[["2021"]]}}},{"id":11490,"uris":["http://zotero.org/users/6423791/items/MAHPTN52"],"itemData":{"id":11490,"type":"article-journal","abstract":"The anticipated high future demand for food proteins has led to the advent of mycoprotein, which involves carbohydrate sugars as the primary carbon source. In this work, nonfood rice and wheat residues have been utilized to produce food-grade glucose using an ionic liquid. A biocompatible ionic liquid (IL) based on food-grade cholinium hydroxide and lysine has been evaluated for its potential to remove undesirable components such as, lignin and hemicellulose from rice and wheat straws. The cellulose pulp, thus obtained, was subsequently hydrolyzed into glucose by using food-grade enzymes. The optimum delignification efficiency of the IL is 87% at 120 °C after 8 h pretreatment. The optimum yield of food-grade sugar was 77% from cellulose pulp after processing at 100 °C for 8 h. The analysis of the pulp and lignin was made using compositional analysis, FT-IR, TGA, and SEM techniques, whereas glucose was quantified using HPLC. The food-grade glucose may be used in the food industry or pharmaceuticals, but this study aims at synthesizing mycoprotein in the future.","container-title":"ACS Sustainable Chemistry &amp; Engineering","DOI":"10.1021/acssuschemeng.1c00022","journalAbbreviation":"ACS Sustainable Chem. Eng.","note":"publisher: American Chemical Society","source":"ACS Publications","title":"Production of Food-Grade Glucose from Rice and Wheat Residues Using a Biocompatible Ionic Liquid","URL":"https://doi.org/10.1021/acssuschemeng.1c00022","author":[{"family":"Asim","given":"Azmat Mehmood"},{"family":"Uroos","given":"Maliha"},{"family":"Muhammad","given":"Nawshad"},{"family":"Hallett","given":"Jason P."}],"accessed":{"date-parts":[["2021",6,20]]},"issued":{"date-parts":[["2021",6,9]]}}}],"schema":"https://github.com/citation-style-language/schema/raw/master/csl-citation.json"} </w:instrText>
      </w:r>
      <w:r w:rsidRPr="003F5DA8">
        <w:fldChar w:fldCharType="separate"/>
      </w:r>
      <w:r w:rsidR="005413B4" w:rsidRPr="005413B4">
        <w:rPr>
          <w:rFonts w:ascii="Calibri" w:hAnsi="Calibri" w:cs="Calibri"/>
          <w:szCs w:val="24"/>
          <w:vertAlign w:val="superscript"/>
        </w:rPr>
        <w:t>131,152</w:t>
      </w:r>
      <w:r w:rsidRPr="003F5DA8">
        <w:fldChar w:fldCharType="end"/>
      </w:r>
      <w:r w:rsidRPr="003F5DA8">
        <w:t>. Yet, albeit high recyclability is mandatory in front of IL’s important production costs</w:t>
      </w:r>
      <w:r w:rsidRPr="003F5DA8">
        <w:fldChar w:fldCharType="begin"/>
      </w:r>
      <w:r w:rsidR="005413B4">
        <w:instrText xml:space="preserve"> ADDIN ZOTERO_ITEM CSL_CITATION {"citationID":"dqdoTfNw","properties":{"formattedCitation":"\\super 154\\nosupersub{}","plainCitation":"154","noteIndex":0},"citationItems":[{"id":13497,"uris":["http://zotero.org/users/6423791/items/RU2T8T79"],"itemData":{"id":13497,"type":"article-journal","abstract":"The effective pre-treatment methods are required for the destruction of the complex biomass structure to economically produce high grade fuels and valuable platform chemicals. Ionic liquids have high potential for energy efficient biomass pre-treatment due to their low vapour pressure, emission profile, recyclability and tuneable properties; some ionic liquids can even be prepared from renewable biomass feedstocks. However, a number of issues currently impede the large scale uptake of ionic liquids including their cost of production, detailed understanding the macro, micro and molecular level deconstruction mechanisms which inhibits process optimisation and modelling, and the need for techno-economic astable sessment on large scale trials. So far, laboratory to bench scale IL pre-treatments of various lignocellulosic biomasses were studied by changing various process parameters where the aims were to investigate the biomass dissolution mechanism and understand the pre-treatment performance of ILs. This review outlines current research gaps and potential applications for ionic liquids in the destruction of biomass into its components followed by separation of lignin, hemicellulose and cellulose rich fractions.","container-title":"Renewable and Sustainable Energy Reviews","DOI":"10.1016/j.rser.2019.01.052","ISSN":"1364-0321","journalAbbreviation":"Renewable and Sustainable Energy Reviews","language":"en","page":"268-292","source":"ScienceDirect","title":"Progress on the pre-treatment of lignocellulosic biomass employing ionic liquids","volume":"105","author":[{"family":"Halder","given":"Pobitra"},{"family":"Kundu","given":"Sazal"},{"family":"Patel","given":"Savankumar"},{"family":"Setiawan","given":"Adi"},{"family":"Atkin","given":"Rob"},{"family":"Parthasarthy","given":"Rajarathinam"},{"family":"Paz-Ferreiro","given":"Jorge"},{"family":"Surapaneni","given":"Aravind"},{"family":"Shah","given":"Kalpit"}],"issued":{"date-parts":[["2019",5,1]]}}}],"schema":"https://github.com/citation-style-language/schema/raw/master/csl-citation.json"} </w:instrText>
      </w:r>
      <w:r w:rsidRPr="003F5DA8">
        <w:fldChar w:fldCharType="separate"/>
      </w:r>
      <w:r w:rsidR="005413B4" w:rsidRPr="005413B4">
        <w:rPr>
          <w:rFonts w:ascii="Calibri" w:hAnsi="Calibri" w:cs="Calibri"/>
          <w:szCs w:val="24"/>
          <w:vertAlign w:val="superscript"/>
        </w:rPr>
        <w:t>154</w:t>
      </w:r>
      <w:r w:rsidRPr="003F5DA8">
        <w:fldChar w:fldCharType="end"/>
      </w:r>
      <w:r w:rsidRPr="003F5DA8">
        <w:t>, the IL recycling stage currently requires (in the water-wash configuration) energy-intensive evaporation and concentration operations, even if there is room for improvements</w:t>
      </w:r>
      <w:r w:rsidRPr="003F5DA8">
        <w:fldChar w:fldCharType="begin"/>
      </w:r>
      <w:r w:rsidR="005413B4">
        <w:instrText xml:space="preserve"> ADDIN ZOTERO_ITEM CSL_CITATION {"citationID":"MNU4yJUI","properties":{"formattedCitation":"\\super 155,156\\nosupersub{}","plainCitation":"155,156","noteIndex":0},"citationItems":[{"id":13496,"uris":["http://zotero.org/users/6423791/items/8IQAKZN5"],"itemData":{"id":13496,"type":"article-journal","abstract":"The study focused on the dual role of water as a cosolvent and an antisolvent in the [HSO4]-based protic ionic liquid biomass fractionation process using N,N,N-dimethylbutylammonium hydrogen sulfate, [DMBA][HSO4]. The eﬀectiveness of biomass fractionation using [DMBA][HSO4] mixed with diﬀerent concentrations of water of conventional bioreﬁnery feedstocks (Miscanthus and pine softwood) and nonconventional low-cost lignocellulosic biomass waste (treated timber and postconsumer waste wood) was investigated. The pulp composition, lignin extraction, and enzymatic hydrolysis of the cellulose pulp were analyzed after pretreatment at 170 °C for 30 min. We showed that it is possible to reduce the ionic liquid use in the process by increasing the water concentration as a cosolvent while still maintaining the eﬀective biomass deconstruction forMiscanthus and postconsumer waste wood. However, softwood biomass showed higher resistance to fractionation at higher water concentrations in the pretreatment medium. We also investigated the impact of reducing the amount of water used as an antisolvent for lignin precipitation in terms of lignin yields and properties. The robust performance of the fractionation process at the optimized antisolvent use was demonstrated using the challenging feedstock pine softwood over six pretreatment cycles. Finally, we demonstrated the signiﬁcance of evaluating water use for the energy requirements of the process, particularly in the ionic liquid regeneration step, achieving a 65% energy reduction.","container-title":"ACS Sustainable Chemistry &amp; Engineering","DOI":"10.1021/acssuschemeng.1c02299","ISSN":"2168-0485, 2168-0485","issue":"31","journalAbbreviation":"ACS Sustainable Chem. Eng.","language":"en","page":"10524-10536","source":"DOI.org (Crossref)","title":"Evaluating the Role of Water as a Cosolvent and an Antisolvent in [HSO &lt;sub&gt;4&lt;/sub&gt; ]-Based Protic Ionic Liquid Pretreatment","volume":"9","author":[{"family":"Abouelela","given":"Aida R."},{"family":"Al Ghatta","given":"Amir"},{"family":"Verdía","given":"Pedro"},{"family":"Shan Koo","given":"Miu"},{"family":"Lemus","given":"Jesús"},{"family":"Hallett","given":"Jason P."}],"issued":{"date-parts":[["2021",8,9]]}}},{"id":13488,"uris":["http://zotero.org/users/6423791/items/YZ7FI2IH"],"itemData":{"id":13488,"type":"article-journal","abstract":"Cellulosic biofuels present an opportunity to meet a signiﬁcant fraction of liquid transportation fuel demand with renewable, low-carbon alternatives. Certain ionic liquids (ILs) have proven eﬀective at facilitating hydrolysis of lignocellulose to produce fermentable sugars with high yields. Although their negligible vapor pressure and low ﬂammability make ILs attractive solvents at the point of use, their life-cycle environmental impacts have not been investigated in the context of cellulosic bioreﬁneries. This study provides the ﬁrst life-cycle greenhouse gas (GHG) and water use inventory for biofuels produced using IL pretreatment. We explore two corn stover-to-ethanol process conﬁgurations: the conventional water-wash (WW) route and the more recently developed integrated high gravity (iHG) route, which eliminates washing steps after pretreatment. Our results are based on the use of a representative IL, cholinium lysinate ([Ch][Lys]). We ﬁnd that the WW process results in unacceptably high GHG emissions. The iHG process has the potential to reduce GHG emissions per megajoule of fuel by </w:instrText>
      </w:r>
      <w:r w:rsidR="005413B4">
        <w:rPr>
          <w:rFonts w:ascii="Cambria Math" w:hAnsi="Cambria Math" w:cs="Cambria Math"/>
        </w:rPr>
        <w:instrText>∼</w:instrText>
      </w:r>
      <w:r w:rsidR="005413B4">
        <w:instrText xml:space="preserve">45% relative to gasoline if [Ch][Lys] is used. Use of a protic IL with comparable performance to [Ch][Lys] could achieve GHG reductions up to 70−85%. The water intensities of the WW and iHG processes are both comparable to those of other cellulosic biofuel technologies.","container-title":"ACS Sustainable Chemistry &amp; Engineering","DOI":"10.1021/acssuschemeng.7b02116","ISSN":"2168-0485, 2168-0485","issue":"11","journalAbbreviation":"ACS Sustainable Chem. Eng.","language":"en","page":"10176-10185","source":"DOI.org (Crossref)","title":"Life-Cycle Greenhouse Gas and Water Intensity of Cellulosic Biofuel Production Using Cholinium Lysinate Ionic Liquid Pretreatment","volume":"5","author":[{"family":"Neupane","given":"Binod"},{"family":"Konda","given":"N. V. S. N. Murthy"},{"family":"Singh","given":"Seema"},{"family":"Simmons","given":"Blake A."},{"family":"Scown","given":"Corinne D."}],"issued":{"date-parts":[["2017",11,6]]}}}],"schema":"https://github.com/citation-style-language/schema/raw/master/csl-citation.json"} </w:instrText>
      </w:r>
      <w:r w:rsidRPr="003F5DA8">
        <w:fldChar w:fldCharType="separate"/>
      </w:r>
      <w:r w:rsidR="005413B4" w:rsidRPr="005413B4">
        <w:rPr>
          <w:rFonts w:ascii="Calibri" w:hAnsi="Calibri" w:cs="Calibri"/>
          <w:szCs w:val="24"/>
          <w:vertAlign w:val="superscript"/>
        </w:rPr>
        <w:t>155,156</w:t>
      </w:r>
      <w:r w:rsidRPr="003F5DA8">
        <w:fldChar w:fldCharType="end"/>
      </w:r>
      <w:r w:rsidRPr="003F5DA8">
        <w:t>. Moreover, biocompatible IL treatments are at early development stage. However, even if current performances do not reach the ones of optimized conventional IL treatments (see</w:t>
      </w:r>
      <w:r w:rsidR="005D2A26">
        <w:t xml:space="preserve"> </w:t>
      </w:r>
      <w:r w:rsidR="005D2A26" w:rsidRPr="005D2A26">
        <w:rPr>
          <w:b/>
        </w:rPr>
        <w:fldChar w:fldCharType="begin"/>
      </w:r>
      <w:r w:rsidR="005D2A26" w:rsidRPr="005D2A26">
        <w:rPr>
          <w:b/>
        </w:rPr>
        <w:instrText xml:space="preserve"> REF _Ref144806845 \h </w:instrText>
      </w:r>
      <w:r w:rsidR="005D2A26">
        <w:rPr>
          <w:b/>
        </w:rPr>
        <w:instrText xml:space="preserve"> \* MERGEFORMAT </w:instrText>
      </w:r>
      <w:r w:rsidR="005D2A26" w:rsidRPr="005D2A26">
        <w:rPr>
          <w:b/>
        </w:rPr>
      </w:r>
      <w:r w:rsidR="005D2A26" w:rsidRPr="005D2A26">
        <w:rPr>
          <w:b/>
        </w:rPr>
        <w:fldChar w:fldCharType="separate"/>
      </w:r>
      <w:r w:rsidR="00F25F8C" w:rsidRPr="00F25F8C">
        <w:rPr>
          <w:b/>
        </w:rPr>
        <w:t xml:space="preserve">Table SI. </w:t>
      </w:r>
      <w:r w:rsidR="00F25F8C" w:rsidRPr="00F25F8C">
        <w:rPr>
          <w:b/>
          <w:noProof/>
        </w:rPr>
        <w:t>41</w:t>
      </w:r>
      <w:r w:rsidR="005D2A26" w:rsidRPr="005D2A26">
        <w:rPr>
          <w:b/>
        </w:rPr>
        <w:fldChar w:fldCharType="end"/>
      </w:r>
      <w:r w:rsidRPr="003F5DA8">
        <w:t>), authors mainly agree that the gap can be bridged</w:t>
      </w:r>
      <w:r w:rsidRPr="003F5DA8">
        <w:fldChar w:fldCharType="begin"/>
      </w:r>
      <w:r w:rsidR="005413B4">
        <w:instrText xml:space="preserve"> ADDIN ZOTERO_ITEM CSL_CITATION {"citationID":"ts6kOiWA","properties":{"formattedCitation":"\\super 156,157\\nosupersub{}","plainCitation":"156,157","noteIndex":0},"citationItems":[{"id":13488,"uris":["http://zotero.org/users/6423791/items/YZ7FI2IH"],"itemData":{"id":13488,"type":"article-journal","abstract":"Cellulosic biofuels present an opportunity to meet a signiﬁcant fraction of liquid transportation fuel demand with renewable, low-carbon alternatives. Certain ionic liquids (ILs) have proven eﬀective at facilitating hydrolysis of lignocellulose to produce fermentable sugars with high yields. Although their negligible vapor pressure and low ﬂammability make ILs attractive solvents at the point of use, their life-cycle environmental impacts have not been investigated in the context of cellulosic bioreﬁneries. This study provides the ﬁrst life-cycle greenhouse gas (GHG) and water use inventory for biofuels produced using IL pretreatment. We explore two corn stover-to-ethanol process conﬁgurations: the conventional water-wash (WW) route and the more recently developed integrated high gravity (iHG) route, which eliminates washing steps after pretreatment. Our results are based on the use of a representative IL, cholinium lysinate ([Ch][Lys]). We ﬁnd that the WW process results in unacceptably high GHG emissions. The iHG process has the potential to reduce GHG emissions per megajoule of fuel by </w:instrText>
      </w:r>
      <w:r w:rsidR="005413B4">
        <w:rPr>
          <w:rFonts w:ascii="Cambria Math" w:hAnsi="Cambria Math" w:cs="Cambria Math"/>
        </w:rPr>
        <w:instrText>∼</w:instrText>
      </w:r>
      <w:r w:rsidR="005413B4">
        <w:instrText xml:space="preserve">45% relative to gasoline if [Ch][Lys] is used. Use of a protic IL with comparable performance to [Ch][Lys] could achieve GHG reductions up to 70−85%. The water intensities of the WW and iHG processes are both comparable to those of other cellulosic biofuel technologies.","container-title":"ACS Sustainable Chemistry &amp; Engineering","DOI":"10.1021/acssuschemeng.7b02116","ISSN":"2168-0485, 2168-0485","issue":"11","journalAbbreviation":"ACS Sustainable Chem. Eng.","language":"en","page":"10176-10185","source":"DOI.org (Crossref)","title":"Life-Cycle Greenhouse Gas and Water Intensity of Cellulosic Biofuel Production Using Cholinium Lysinate Ionic Liquid Pretreatment","volume":"5","author":[{"family":"Neupane","given":"Binod"},{"family":"Konda","given":"N. V. S. N. Murthy"},{"family":"Singh","given":"Seema"},{"family":"Simmons","given":"Blake A."},{"family":"Scown","given":"Corinne D."}],"issued":{"date-parts":[["2017",11,6]]}}},{"id":13484,"uris":["http://zotero.org/users/6423791/items/TIUN5U7I"],"itemData":{"id":13484,"type":"article-journal","abstract":"Lignocellulosic biomass has been used as starting materials in the processes of producing biofuels and chemicals.\n          , \n            Lignocellulosic biomass has been used as starting materials in the process of producing biofuels and chemicals. A pretreatment step is necessary to mitigate the inherent recalcitrance of lignocellulosic biomass during biochemical conversion. Certain ionic liquids (ILs) have been proven to be effective solvents to deconstruct recalcitrant lignocellulosic biomass for high sugar yield for over a decade. Dialkylimidazolium-based, choline-based, and protic acidic ILs are frequently used in biomass pretreatment. Extensive research in this field has been done with technological hurdles revealed during the process. In this review paper, advances in the biocompatibility of ILs and process integration, optimization and scale-up of IL pretreatment processes, IL recovery and reuse, and economic and sustainability analysis were presented. ILs continue to be actively used in biomass pretreatment due to their structural variability and functional tunability.","container-title":"Sustainable Energy &amp; Fuels","DOI":"10.1039/D0SE01802C","ISSN":"2398-4902","issue":"6","journalAbbreviation":"Sustainable Energy Fuels","language":"en","page":"1655-1667","source":"DOI.org (Crossref)","title":"Recent developments in ionic liquid pretreatment of lignocellulosic biomass for enhanced bioconversion","volume":"5","author":[{"family":"Zhang","given":"Jinxu"},{"family":"Zou","given":"Dongzhe"},{"family":"Singh","given":"Seema"},{"family":"Cheng","given":"Gang"}],"issued":{"date-parts":[["2021"]]}}}],"schema":"https://github.com/citation-style-language/schema/raw/master/csl-citation.json"} </w:instrText>
      </w:r>
      <w:r w:rsidRPr="003F5DA8">
        <w:fldChar w:fldCharType="separate"/>
      </w:r>
      <w:r w:rsidR="005413B4" w:rsidRPr="005413B4">
        <w:rPr>
          <w:rFonts w:ascii="Calibri" w:hAnsi="Calibri" w:cs="Calibri"/>
          <w:szCs w:val="24"/>
          <w:vertAlign w:val="superscript"/>
        </w:rPr>
        <w:t>156,157</w:t>
      </w:r>
      <w:r w:rsidRPr="003F5DA8">
        <w:fldChar w:fldCharType="end"/>
      </w:r>
      <w:r w:rsidRPr="003F5DA8">
        <w:t>. Solubilized lignin is further recovered and valorized energetically to compensate for the significant heat requirements by IL process, while more advanced functional valorization of lignin-derived compounds (e.g. furfurals) are also investigated</w:t>
      </w:r>
      <w:r w:rsidRPr="003F5DA8">
        <w:fldChar w:fldCharType="begin"/>
      </w:r>
      <w:r w:rsidR="005413B4">
        <w:instrText xml:space="preserve"> ADDIN ZOTERO_ITEM CSL_CITATION {"citationID":"bzuUi5jH","properties":{"formattedCitation":"\\super 131,158\\nosupersub{}","plainCitation":"131,158","noteIndex":0},"citationItems":[{"id":11801,"uris":["http://zotero.org/users/6423791/items/AE6CHBJC"],"itemData":{"id":11801,"type":"article-journal","container-title":"Green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Van"},{"family":"Hallett","given":"Jason"},{"family":"Guo","given":"Miao"}],"issued":{"date-parts":[["2021"]]}}},{"id":13492,"uris":["http://zotero.org/users/6423791/items/U7IWKD6Z"],"itemData":{"id":13492,"type":"article-journal","abstract":"Processes that can convert lignocellulosic biomass into biofuels and chemicals are particularly attractive considering renewability and minimal environmental impact. Ionic liquids (ILs) have been used as novel solvents in the process development in that they can effectively deconstruct recalcitrant lignocellulosic biomass for high sugar yield and lignin recovery. From cellulose-dissolving ILs to choline-based and protic acidic ILs, extensive research in this field has been done, driven by the promising future of IL pretreatment. Meanwhile, shortcomings and technological hurdles are ascertained during research and developments. It is necessary to present a general overview of recent developments and challenges in this field. In this review paper, three aspects of advances in IL pretreatment are critically analyzed: biocompatible ILs, protic acidic ILs and combinatory pretreatments.","container-title":"Bioresource Technology","DOI":"10.1016/j.biortech.2020.124522","ISSN":"0960-8524","journalAbbreviation":"Bioresource Technology","language":"en","page":"124522","source":"ScienceDirect","title":"Transforming lignocellulosic biomass into biofuels enabled by ionic liquid pretreatment","volume":"322","author":[{"family":"Zhang","given":"Jinxu"},{"family":"Zhang","given":"Xin"},{"family":"Yang","given":"Mingkun"},{"family":"Singh","given":"Seema"},{"family":"Cheng","given":"Gang"}],"issued":{"date-parts":[["2021",2,1]]}}}],"schema":"https://github.com/citation-style-language/schema/raw/master/csl-citation.json"} </w:instrText>
      </w:r>
      <w:r w:rsidRPr="003F5DA8">
        <w:fldChar w:fldCharType="separate"/>
      </w:r>
      <w:r w:rsidR="005413B4" w:rsidRPr="005413B4">
        <w:rPr>
          <w:rFonts w:ascii="Calibri" w:hAnsi="Calibri" w:cs="Calibri"/>
          <w:szCs w:val="24"/>
          <w:vertAlign w:val="superscript"/>
        </w:rPr>
        <w:t>131,158</w:t>
      </w:r>
      <w:r w:rsidRPr="003F5DA8">
        <w:fldChar w:fldCharType="end"/>
      </w:r>
      <w:r w:rsidRPr="003F5DA8">
        <w:t>. Finally, albeit highly tunable, increasing delignification objectives of IL treatments generally lead to the dissolution of part of the hemicellulose, which seems to be an intrinsic trade-off in IL treatment developments so far</w:t>
      </w:r>
      <w:r w:rsidRPr="003F5DA8">
        <w:fldChar w:fldCharType="begin"/>
      </w:r>
      <w:r w:rsidR="005413B4">
        <w:instrText xml:space="preserve"> ADDIN ZOTERO_ITEM CSL_CITATION {"citationID":"FQVQ5ATQ","properties":{"formattedCitation":"\\super 157\\nosupersub{}","plainCitation":"157","noteIndex":0},"citationItems":[{"id":13484,"uris":["http://zotero.org/users/6423791/items/TIUN5U7I"],"itemData":{"id":13484,"type":"article-journal","abstract":"Lignocellulosic biomass has been used as starting materials in the processes of producing biofuels and chemicals.\n          , \n            Lignocellulosic biomass has been used as starting materials in the process of producing biofuels and chemicals. A pretreatment step is necessary to mitigate the inherent recalcitrance of lignocellulosic biomass during biochemical conversion. Certain ionic liquids (ILs) have been proven to be effective solvents to deconstruct recalcitrant lignocellulosic biomass for high sugar yield for over a decade. Dialkylimidazolium-based, choline-based, and protic acidic ILs are frequently used in biomass pretreatment. Extensive research in this field has been done with technological hurdles revealed during the process. In this review paper, advances in the biocompatibility of ILs and process integration, optimization and scale-up of IL pretreatment processes, IL recovery and reuse, and economic and sustainability analysis were presented. ILs continue to be actively used in biomass pretreatment due to their structural variability and functional tunability.","container-title":"Sustainable Energy &amp; Fuels","DOI":"10.1039/D0SE01802C","ISSN":"2398-4902","issue":"6","journalAbbreviation":"Sustainable Energy Fuels","language":"en","page":"1655-1667","source":"DOI.org (Crossref)","title":"Recent developments in ionic liquid pretreatment of lignocellulosic biomass for enhanced bioconversion","volume":"5","author":[{"family":"Zhang","given":"Jinxu"},{"family":"Zou","given":"Dongzhe"},{"family":"Singh","given":"Seema"},{"family":"Cheng","given":"Gang"}],"issued":{"date-parts":[["2021"]]}}}],"schema":"https://github.com/citation-style-language/schema/raw/master/csl-citation.json"} </w:instrText>
      </w:r>
      <w:r w:rsidRPr="003F5DA8">
        <w:fldChar w:fldCharType="separate"/>
      </w:r>
      <w:r w:rsidR="005413B4" w:rsidRPr="005413B4">
        <w:rPr>
          <w:rFonts w:ascii="Calibri" w:hAnsi="Calibri" w:cs="Calibri"/>
          <w:szCs w:val="24"/>
          <w:vertAlign w:val="superscript"/>
        </w:rPr>
        <w:t>157</w:t>
      </w:r>
      <w:r w:rsidRPr="003F5DA8">
        <w:fldChar w:fldCharType="end"/>
      </w:r>
      <w:r w:rsidRPr="003F5DA8">
        <w:t>.</w:t>
      </w:r>
      <w:r>
        <w:t xml:space="preserve"> </w:t>
      </w:r>
      <w:r w:rsidRPr="00C12117">
        <w:t>Notably</w:t>
      </w:r>
      <w:r w:rsidRPr="003F5DA8">
        <w:t>, as this study includes starch-rich co-products, a simplified mycoproteins production variant based on glucose recovery from starch was also modeled.</w:t>
      </w:r>
    </w:p>
    <w:p w14:paraId="17D7F956" w14:textId="5D2363A2" w:rsidR="00512EC8" w:rsidRPr="00512EC8" w:rsidRDefault="00512EC8" w:rsidP="005D2A26">
      <w:pPr>
        <w:pStyle w:val="Titre3"/>
      </w:pPr>
      <w:bookmarkStart w:id="187" w:name="_Ref144819413"/>
      <w:bookmarkStart w:id="188" w:name="_Toc145069119"/>
      <w:r w:rsidRPr="00512EC8">
        <w:t xml:space="preserve">Unit operation design and assumptions – the lignocellulosic </w:t>
      </w:r>
      <w:r w:rsidR="00E9442B">
        <w:t>pretreatment</w:t>
      </w:r>
      <w:bookmarkEnd w:id="187"/>
      <w:bookmarkEnd w:id="188"/>
    </w:p>
    <w:p w14:paraId="538506D9" w14:textId="495518A0" w:rsidR="00512EC8" w:rsidRPr="003F5DA8" w:rsidRDefault="00512EC8" w:rsidP="005D2A26">
      <w:pPr>
        <w:ind w:firstLine="360"/>
        <w:jc w:val="both"/>
      </w:pPr>
      <w:r w:rsidRPr="003F5DA8">
        <w:t>As a common assumption, the difficulties related to the intrinsic heterogeneity and the far from ideal composition of residual biomass streams (e.g. high lignin-to-cellulose ratio and recalcitrance)</w:t>
      </w:r>
      <w:r w:rsidRPr="003F5DA8">
        <w:fldChar w:fldCharType="begin"/>
      </w:r>
      <w:r w:rsidR="005413B4">
        <w:instrText xml:space="preserve"> ADDIN ZOTERO_ITEM CSL_CITATION {"citationID":"6QCFqzgp","properties":{"formattedCitation":"\\super 151\\nosupersub{}","plainCitation":"151","noteIndex":0},"citationItems":[{"id":7876,"uris":["http://zotero.org/users/6423791/items/8CPTDYK7"],"itemData":{"id":7876,"type":"thesis","abstract":"As part of a bio-based economy, biorefineries are envisaged to sustainably produce platform chemicals via biochemical conversion of agricultural and forestry residues. However, supply risks, the recalcitrance of lignocellulosic biomass, and inhibitor formation during pretreatment impair the economic feasibility of such biorefineries. In this thesis, process design and assessment were developed with the aim of addressing these hurdles and improving the cost-effectiveness of lignocellulose-derived platform chemicals.","event-place":"Gothenburg","language":"en","publisher":"Chalmers University of Technology","publisher-place":"Gothenburg","source":"Zotero","title":"Process development for platform chemical production from agricultural and forestry residues","author":[{"family":"Nickel","given":"David Benjamin"}],"issued":{"date-parts":[["2021"]]}}}],"schema":"https://github.com/citation-style-language/schema/raw/master/csl-citation.json"} </w:instrText>
      </w:r>
      <w:r w:rsidRPr="003F5DA8">
        <w:fldChar w:fldCharType="separate"/>
      </w:r>
      <w:r w:rsidR="005413B4" w:rsidRPr="005413B4">
        <w:rPr>
          <w:rFonts w:ascii="Calibri" w:hAnsi="Calibri" w:cs="Calibri"/>
          <w:szCs w:val="24"/>
          <w:vertAlign w:val="superscript"/>
        </w:rPr>
        <w:t>151</w:t>
      </w:r>
      <w:r w:rsidRPr="003F5DA8">
        <w:fldChar w:fldCharType="end"/>
      </w:r>
      <w:r w:rsidRPr="003F5DA8">
        <w:t xml:space="preserve"> were neglected. This implies that the performance indicators of the present supply chains only depend on the input’s composition as defined through all the models. As detailed i</w:t>
      </w:r>
      <w:r>
        <w:t xml:space="preserve">n </w:t>
      </w:r>
      <w:r w:rsidRPr="00C12117">
        <w:rPr>
          <w:b/>
        </w:rPr>
        <w:t>section</w:t>
      </w:r>
      <w:r w:rsidR="005D2A26">
        <w:rPr>
          <w:b/>
        </w:rPr>
        <w:t xml:space="preserve"> </w:t>
      </w:r>
      <w:r w:rsidR="003A663A">
        <w:rPr>
          <w:b/>
        </w:rPr>
        <w:t xml:space="preserve">SI. </w:t>
      </w:r>
      <w:r w:rsidR="005D2A26">
        <w:rPr>
          <w:b/>
        </w:rPr>
        <w:fldChar w:fldCharType="begin"/>
      </w:r>
      <w:r w:rsidR="005D2A26">
        <w:rPr>
          <w:b/>
        </w:rPr>
        <w:instrText xml:space="preserve"> REF _Ref144743765 \r \h </w:instrText>
      </w:r>
      <w:r w:rsidR="005D2A26">
        <w:rPr>
          <w:b/>
        </w:rPr>
      </w:r>
      <w:r w:rsidR="005D2A26">
        <w:rPr>
          <w:b/>
        </w:rPr>
        <w:fldChar w:fldCharType="separate"/>
      </w:r>
      <w:r w:rsidR="00F25F8C">
        <w:rPr>
          <w:b/>
        </w:rPr>
        <w:t>2.2</w:t>
      </w:r>
      <w:r w:rsidR="005D2A26">
        <w:rPr>
          <w:b/>
        </w:rPr>
        <w:fldChar w:fldCharType="end"/>
      </w:r>
      <w:r w:rsidRPr="003F5DA8">
        <w:t>, only streams already considered as feed-grade were assumed suitable to supply mycoproteins production pathways. Lignocellulosic feedstocks handling and storage were modeled exactly as for gasification</w:t>
      </w:r>
      <w:r w:rsidR="00E9442B">
        <w:t xml:space="preserve"> (GA)</w:t>
      </w:r>
      <w:r w:rsidRPr="003F5DA8">
        <w:t xml:space="preserve">, </w:t>
      </w:r>
      <w:r w:rsidRPr="008F4A58">
        <w:t xml:space="preserve">see </w:t>
      </w:r>
      <w:r w:rsidRPr="008F4A58">
        <w:rPr>
          <w:b/>
        </w:rPr>
        <w:t xml:space="preserve">section </w:t>
      </w:r>
      <w:r w:rsidR="003A663A">
        <w:rPr>
          <w:b/>
        </w:rPr>
        <w:t xml:space="preserve">SI. </w:t>
      </w:r>
      <w:r w:rsidR="008F4A58" w:rsidRPr="008F4A58">
        <w:rPr>
          <w:b/>
        </w:rPr>
        <w:t>4.8.2</w:t>
      </w:r>
      <w:r w:rsidRPr="008F4A58">
        <w:t>.</w:t>
      </w:r>
    </w:p>
    <w:p w14:paraId="31648BEC" w14:textId="77777777" w:rsidR="00512EC8" w:rsidRPr="00512EC8" w:rsidRDefault="00512EC8" w:rsidP="005D2A26">
      <w:pPr>
        <w:pStyle w:val="Titre4"/>
      </w:pPr>
      <w:r w:rsidRPr="00512EC8">
        <w:t>Standardization</w:t>
      </w:r>
    </w:p>
    <w:p w14:paraId="7958B572" w14:textId="03DFE5D4" w:rsidR="00512EC8" w:rsidRPr="003F5DA8" w:rsidRDefault="00512EC8" w:rsidP="005D2A26">
      <w:pPr>
        <w:ind w:firstLine="360"/>
        <w:jc w:val="both"/>
      </w:pPr>
      <w:r w:rsidRPr="003F5DA8">
        <w:t>To enhance IL pretreatment efficiency, stored inputs were standardized in terms of particles size towards 200-900 μm</w:t>
      </w:r>
      <w:r w:rsidRPr="003F5DA8">
        <w:fldChar w:fldCharType="begin"/>
      </w:r>
      <w:r w:rsidR="005413B4">
        <w:instrText xml:space="preserve"> ADDIN ZOTERO_ITEM CSL_CITATION {"citationID":"nDwDpDYQ","properties":{"formattedCitation":"\\super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3F5DA8">
        <w:fldChar w:fldCharType="separate"/>
      </w:r>
      <w:r w:rsidR="005413B4" w:rsidRPr="005413B4">
        <w:rPr>
          <w:rFonts w:ascii="Calibri" w:hAnsi="Calibri" w:cs="Calibri"/>
          <w:szCs w:val="24"/>
          <w:vertAlign w:val="superscript"/>
        </w:rPr>
        <w:t>131</w:t>
      </w:r>
      <w:r w:rsidRPr="003F5DA8">
        <w:fldChar w:fldCharType="end"/>
      </w:r>
      <w:r w:rsidRPr="003F5DA8">
        <w:t>. A first size of 10-30 mm was achieved through grinding operations, and final size was obtained through a disc refiner and Szego mill (defibrillation; 0.2 kWh.kg</w:t>
      </w:r>
      <w:r w:rsidRPr="003F5DA8">
        <w:rPr>
          <w:vertAlign w:val="subscript"/>
        </w:rPr>
        <w:t>DM</w:t>
      </w:r>
      <w:r w:rsidRPr="003F5DA8">
        <w:rPr>
          <w:vertAlign w:val="superscript"/>
        </w:rPr>
        <w:t>-1</w:t>
      </w:r>
      <w:r w:rsidRPr="003F5DA8">
        <w:t>)</w:t>
      </w:r>
      <w:r w:rsidRPr="003F5DA8">
        <w:fldChar w:fldCharType="begin"/>
      </w:r>
      <w:r w:rsidR="005413B4">
        <w:instrText xml:space="preserve"> ADDIN ZOTERO_ITEM CSL_CITATION {"citationID":"UpdyNGea","properties":{"formattedCitation":"\\super 135\\nosupersub{}","plainCitation":"135","noteIndex":0},"citationItems":[{"id":3367,"uris":["http://zotero.org/users/6423791/items/9SUGPF3U"],"itemData":{"id":3367,"type":"report","language":"en","note":"DOI: 10.2172/1483234","number":"NREL/TP--5100-71949, 1483234","page":"NREL/TP--5100-71949, 1483234","source":"DOI.org (Crossref)","title":"Process Design and Economics for the Conversion of Lignocellulosic Biomass to Hydrocarbon Fuels and Coproducts: 2018 Biochemical Design Case Update; Biochemical Deconstruction and Conversion of Biomass to Fuels and Products via Integrated Biorefinery Pathways","title-short":"Process Design and Economics for the Conversion of Lignocellulosic Biomass to Hydrocarbon Fuels and Coproducts","URL":"http://www.osti.gov/servlets/purl/1483234/","author":[{"family":"Davis","given":"Ryan E."},{"family":"Grundl","given":"Nicholas J."},{"family":"Tao","given":"Ling"},{"family":"Biddy","given":"Mary J."},{"family":"Tan","given":"Eric C."},{"family":"Beckham","given":"Gregg T."},{"family":"Humbird","given":"David"},{"family":"Thompson","given":"David N."},{"family":"Roni","given":"Mohammad S."}],"accessed":{"date-parts":[["2021",1,27]]},"issued":{"date-parts":[["2018",11,19]]}}}],"schema":"https://github.com/citation-style-language/schema/raw/master/csl-citation.json"} </w:instrText>
      </w:r>
      <w:r w:rsidRPr="003F5DA8">
        <w:fldChar w:fldCharType="separate"/>
      </w:r>
      <w:r w:rsidR="005413B4" w:rsidRPr="005413B4">
        <w:rPr>
          <w:rFonts w:ascii="Calibri" w:hAnsi="Calibri" w:cs="Calibri"/>
          <w:szCs w:val="24"/>
          <w:vertAlign w:val="superscript"/>
        </w:rPr>
        <w:t>135</w:t>
      </w:r>
      <w:r w:rsidRPr="003F5DA8">
        <w:fldChar w:fldCharType="end"/>
      </w:r>
      <w:r w:rsidRPr="003F5DA8">
        <w:t xml:space="preserve">. Dust generation and recovery was modeled as for GA pretreatment (see </w:t>
      </w:r>
      <w:r w:rsidR="008F4A58" w:rsidRPr="008F4A58">
        <w:rPr>
          <w:b/>
        </w:rPr>
        <w:t xml:space="preserve">section </w:t>
      </w:r>
      <w:r w:rsidR="003A663A">
        <w:rPr>
          <w:b/>
        </w:rPr>
        <w:t xml:space="preserve">SI. </w:t>
      </w:r>
      <w:r w:rsidR="008F4A58" w:rsidRPr="008F4A58">
        <w:rPr>
          <w:b/>
        </w:rPr>
        <w:t>4.8.2</w:t>
      </w:r>
      <w:r w:rsidRPr="003F5DA8">
        <w:t>). Moisture standardization was neglected as most pretreatments involve contact with water.</w:t>
      </w:r>
    </w:p>
    <w:p w14:paraId="5B35D903" w14:textId="77777777" w:rsidR="00512EC8" w:rsidRPr="00512EC8" w:rsidRDefault="00512EC8" w:rsidP="00E9442B">
      <w:pPr>
        <w:pStyle w:val="Titre4"/>
      </w:pPr>
      <w:r w:rsidRPr="00512EC8">
        <w:t>Ionic liquid pretreatment</w:t>
      </w:r>
    </w:p>
    <w:p w14:paraId="3BD33902" w14:textId="77777777" w:rsidR="00512EC8" w:rsidRPr="00512EC8" w:rsidRDefault="00512EC8" w:rsidP="00877BEE">
      <w:pPr>
        <w:pStyle w:val="Titre5"/>
      </w:pPr>
      <w:r w:rsidRPr="00512EC8">
        <w:t>Design</w:t>
      </w:r>
    </w:p>
    <w:p w14:paraId="1D07380C" w14:textId="6D1C8EAE" w:rsidR="004A3FE2" w:rsidRDefault="00512EC8" w:rsidP="004A3FE2">
      <w:pPr>
        <w:jc w:val="both"/>
        <w:rPr>
          <w:rFonts w:cs="Times New Roman"/>
        </w:rPr>
      </w:pPr>
      <w:r w:rsidRPr="003F5DA8">
        <w:rPr>
          <w:rFonts w:cs="Times New Roman"/>
        </w:rPr>
        <w:t>The set-up considered a simplified version of the one proposed in Upcraft et al., 2021</w:t>
      </w:r>
      <w:r w:rsidRPr="003F5DA8">
        <w:rPr>
          <w:rFonts w:cs="Times New Roman"/>
        </w:rPr>
        <w:fldChar w:fldCharType="begin"/>
      </w:r>
      <w:r w:rsidR="005413B4">
        <w:rPr>
          <w:rFonts w:cs="Times New Roman"/>
        </w:rPr>
        <w:instrText xml:space="preserve"> ADDIN ZOTERO_ITEM CSL_CITATION {"citationID":"hPuz9WtO","properties":{"formattedCitation":"\\super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3F5DA8">
        <w:rPr>
          <w:rFonts w:cs="Times New Roman"/>
        </w:rPr>
        <w:fldChar w:fldCharType="separate"/>
      </w:r>
      <w:r w:rsidR="005413B4" w:rsidRPr="005413B4">
        <w:rPr>
          <w:rFonts w:ascii="Calibri" w:hAnsi="Calibri" w:cs="Calibri"/>
          <w:szCs w:val="24"/>
          <w:vertAlign w:val="superscript"/>
        </w:rPr>
        <w:t>131</w:t>
      </w:r>
      <w:r w:rsidRPr="003F5DA8">
        <w:rPr>
          <w:rFonts w:cs="Times New Roman"/>
        </w:rPr>
        <w:fldChar w:fldCharType="end"/>
      </w:r>
      <w:r w:rsidRPr="003F5DA8">
        <w:rPr>
          <w:rFonts w:cs="Times New Roman"/>
        </w:rPr>
        <w:t>. Standardized substrate was first put in contact with an IL mixture during 1-2h at 150°C temperature</w:t>
      </w:r>
      <w:r w:rsidRPr="003F5DA8">
        <w:rPr>
          <w:rFonts w:cs="Times New Roman"/>
        </w:rPr>
        <w:fldChar w:fldCharType="begin"/>
      </w:r>
      <w:r w:rsidR="005413B4">
        <w:rPr>
          <w:rFonts w:cs="Times New Roman"/>
        </w:rPr>
        <w:instrText xml:space="preserve"> ADDIN ZOTERO_ITEM CSL_CITATION {"citationID":"xxL61RVr","properties":{"formattedCitation":"\\super 131,156\\nosupersub{}","plainCitation":"131,156","noteIndex":0},"citationItems":[{"id":13488,"uris":["http://zotero.org/users/6423791/items/YZ7FI2IH"],"itemData":{"id":13488,"type":"article-journal","abstract":"Cellulosic biofuels present an opportunity to meet a signiﬁcant fraction of liquid transportation fuel demand with renewable, low-carbon alternatives. Certain ionic liquids (ILs) have proven eﬀective at facilitating hydrolysis of lignocellulose to produce fermentable sugars with high yields. Although their negligible vapor pressure and low ﬂammability make ILs attractive solvents at the point of use, their life-cycle environmental impacts have not been investigated in the context of cellulosic bioreﬁneries. This study provides the ﬁrst life-cycle greenhouse gas (GHG) and water use inventory for biofuels produced using IL pretreatment. We explore two corn stover-to-ethanol process conﬁgurations: the conventional water-wash (WW) route and the more recently developed integrated high gravity (iHG) route, which eliminates washing steps after pretreatment. Our results are based on the use of a representative IL, cholinium lysinate ([Ch][Lys]). We ﬁnd that the WW process results in unacceptably high GHG emissions. The iHG process has the potential to reduce GHG emissions per megajoule of fuel by </w:instrText>
      </w:r>
      <w:r w:rsidR="005413B4">
        <w:rPr>
          <w:rFonts w:ascii="Cambria Math" w:hAnsi="Cambria Math" w:cs="Cambria Math"/>
        </w:rPr>
        <w:instrText>∼</w:instrText>
      </w:r>
      <w:r w:rsidR="005413B4">
        <w:rPr>
          <w:rFonts w:cs="Times New Roman"/>
        </w:rPr>
        <w:instrText>45% relative to gasoline if [Ch][Lys] is used. Use of a protic IL with comparable performance to [Ch][Lys] could achieve GHG reductions up to 70</w:instrText>
      </w:r>
      <w:r w:rsidR="005413B4">
        <w:rPr>
          <w:rFonts w:ascii="Calibri" w:hAnsi="Calibri" w:cs="Calibri"/>
        </w:rPr>
        <w:instrText>−</w:instrText>
      </w:r>
      <w:r w:rsidR="005413B4">
        <w:rPr>
          <w:rFonts w:cs="Times New Roman"/>
        </w:rPr>
        <w:instrText xml:space="preserve">85%. The water intensities of the WW and iHG processes are both comparable to those of other cellulosic biofuel technologies.","container-title":"ACS Sustainable Chemistry &amp; Engineering","DOI":"10.1021/acssuschemeng.7b02116","ISSN":"2168-0485, 2168-0485","issue":"11","journalAbbreviation":"ACS Sustainable Chem. Eng.","language":"en","page":"10176-10185","source":"DOI.org (Crossref)","title":"Life-Cycle Greenhouse Gas and Water Intensity of Cellulosic Biofuel Production Using Cholinium Lysinate Ionic Liquid Pretreatment","volume":"5","author":[{"family":"Neupane","given":"Binod"},{"family":"Konda","given":"N. V. S. N. Murthy"},{"family":"Singh","given":"Seema"},{"family":"Simmons","given":"Blake A."},{"family":"Scown","given":"Corinne D."}],"issued":{"date-parts":[["2017",11,6]]}}},{"id":11801,"uris":["http://zotero.org/users/6423791/items/AE6CHBJC"],"itemData":{"id":11801,"type":"article-journal","container-title":"Green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3F5DA8">
        <w:rPr>
          <w:rFonts w:cs="Times New Roman"/>
        </w:rPr>
        <w:fldChar w:fldCharType="separate"/>
      </w:r>
      <w:r w:rsidR="005413B4" w:rsidRPr="005413B4">
        <w:rPr>
          <w:rFonts w:ascii="Calibri" w:hAnsi="Calibri" w:cs="Calibri"/>
          <w:szCs w:val="24"/>
          <w:vertAlign w:val="superscript"/>
        </w:rPr>
        <w:t>131,156</w:t>
      </w:r>
      <w:r w:rsidRPr="003F5DA8">
        <w:rPr>
          <w:rFonts w:cs="Times New Roman"/>
        </w:rPr>
        <w:fldChar w:fldCharType="end"/>
      </w:r>
      <w:r w:rsidRPr="003F5DA8">
        <w:rPr>
          <w:rFonts w:cs="Times New Roman"/>
        </w:rPr>
        <w:t>. After a heat exchanger, the cellulose-rich pulp was further separated through membrane filtration</w:t>
      </w:r>
      <w:r w:rsidRPr="003F5DA8">
        <w:rPr>
          <w:rFonts w:cs="Times New Roman"/>
        </w:rPr>
        <w:fldChar w:fldCharType="begin"/>
      </w:r>
      <w:r w:rsidR="005413B4">
        <w:rPr>
          <w:rFonts w:cs="Times New Roman"/>
        </w:rPr>
        <w:instrText xml:space="preserve"> ADDIN ZOTERO_ITEM CSL_CITATION {"citationID":"gJLNVUwa","properties":{"formattedCitation":"\\super 158\\nosupersub{}","plainCitation":"158","noteIndex":0},"citationItems":[{"id":13492,"uris":["http://zotero.org/users/6423791/items/U7IWKD6Z"],"itemData":{"id":13492,"type":"article-journal","abstract":"Processes that can convert lignocellulosic biomass into biofuels and chemicals are particularly attractive considering renewability and minimal environmental impact. Ionic liquids (ILs) have been used as novel solvents in the process development in that they can effectively deconstruct recalcitrant lignocellulosic biomass for high sugar yield and lignin recovery. From cellulose-dissolving ILs to choline-based and protic acidic ILs, extensive research in this field has been done, driven by the promising future of IL pretreatment. Meanwhile, shortcomings and technological hurdles are ascertained during research and developments. It is necessary to present a general overview of recent developments and challenges in this field. In this review paper, three aspects of advances in IL pretreatment are critically analyzed: biocompatible ILs, protic acidic ILs and combinatory pretreatments.","container-title":"Bioresource Technology","DOI":"10.1016/j.biortech.2020.124522","ISSN":"0960-8524","journalAbbreviation":"Bioresource Technology","language":"en","page":"124522","source":"ScienceDirect","title":"Transforming lignocellulosic biomass into biofuels enabled by ionic liquid pretreatment","volume":"322","author":[{"family":"Zhang","given":"Jinxu"},{"family":"Zhang","given":"Xin"},{"family":"Yang","given":"Mingkun"},{"family":"Singh","given":"Seema"},{"family":"Cheng","given":"Gang"}],"issued":{"date-parts":[["2021",2,1]]}}}],"schema":"https://github.com/citation-style-language/schema/raw/master/csl-citation.json"} </w:instrText>
      </w:r>
      <w:r w:rsidRPr="003F5DA8">
        <w:rPr>
          <w:rFonts w:cs="Times New Roman"/>
        </w:rPr>
        <w:fldChar w:fldCharType="separate"/>
      </w:r>
      <w:r w:rsidR="005413B4" w:rsidRPr="005413B4">
        <w:rPr>
          <w:rFonts w:ascii="Calibri" w:hAnsi="Calibri" w:cs="Calibri"/>
          <w:szCs w:val="24"/>
          <w:vertAlign w:val="superscript"/>
        </w:rPr>
        <w:t>158</w:t>
      </w:r>
      <w:r w:rsidRPr="003F5DA8">
        <w:rPr>
          <w:rFonts w:cs="Times New Roman"/>
        </w:rPr>
        <w:fldChar w:fldCharType="end"/>
      </w:r>
      <w:r w:rsidRPr="003F5DA8">
        <w:rPr>
          <w:rFonts w:cs="Times New Roman"/>
        </w:rPr>
        <w:t xml:space="preserve"> and washed to recover most of IL in the liquid stream. By considering that the pretreatment is optimized for both cellulose and hemicellulose recovery, the valorization of furfural at this stage was not considered. Instead, the whole IL-rich stream hosting dissolved lignin and some sugars (see</w:t>
      </w:r>
      <w:r w:rsidR="00E9442B">
        <w:rPr>
          <w:rFonts w:cs="Times New Roman"/>
        </w:rPr>
        <w:t xml:space="preserve"> </w:t>
      </w:r>
      <w:r w:rsidR="00E9442B" w:rsidRPr="00E9442B">
        <w:rPr>
          <w:rFonts w:cs="Times New Roman"/>
          <w:b/>
        </w:rPr>
        <w:fldChar w:fldCharType="begin"/>
      </w:r>
      <w:r w:rsidR="00E9442B" w:rsidRPr="00E9442B">
        <w:rPr>
          <w:rFonts w:cs="Times New Roman"/>
          <w:b/>
        </w:rPr>
        <w:instrText xml:space="preserve"> REF _Ref144806845 \h </w:instrText>
      </w:r>
      <w:r w:rsidR="00E9442B">
        <w:rPr>
          <w:rFonts w:cs="Times New Roman"/>
          <w:b/>
        </w:rPr>
        <w:instrText xml:space="preserve"> \* MERGEFORMAT </w:instrText>
      </w:r>
      <w:r w:rsidR="00E9442B" w:rsidRPr="00E9442B">
        <w:rPr>
          <w:rFonts w:cs="Times New Roman"/>
          <w:b/>
        </w:rPr>
      </w:r>
      <w:r w:rsidR="00E9442B" w:rsidRPr="00E9442B">
        <w:rPr>
          <w:rFonts w:cs="Times New Roman"/>
          <w:b/>
        </w:rPr>
        <w:fldChar w:fldCharType="separate"/>
      </w:r>
      <w:r w:rsidR="00F25F8C" w:rsidRPr="00F25F8C">
        <w:rPr>
          <w:b/>
        </w:rPr>
        <w:t xml:space="preserve">Table SI. </w:t>
      </w:r>
      <w:r w:rsidR="00F25F8C" w:rsidRPr="00F25F8C">
        <w:rPr>
          <w:b/>
          <w:noProof/>
        </w:rPr>
        <w:t>41</w:t>
      </w:r>
      <w:r w:rsidR="00E9442B" w:rsidRPr="00E9442B">
        <w:rPr>
          <w:rFonts w:cs="Times New Roman"/>
          <w:b/>
        </w:rPr>
        <w:fldChar w:fldCharType="end"/>
      </w:r>
      <w:r w:rsidRPr="003F5DA8">
        <w:rPr>
          <w:rFonts w:cs="Times New Roman"/>
        </w:rPr>
        <w:t>) was sent to the IL recovery stage. There, antisolvent was used to separate lignin, precipitating with most of present soluble compounds (e.g. glucans)</w:t>
      </w:r>
      <w:r w:rsidRPr="003F5DA8">
        <w:rPr>
          <w:rFonts w:cs="Times New Roman"/>
        </w:rPr>
        <w:fldChar w:fldCharType="begin"/>
      </w:r>
      <w:r w:rsidRPr="003F5DA8">
        <w:rPr>
          <w:rFonts w:cs="Times New Roman"/>
        </w:rPr>
        <w:instrText xml:space="preserve"> ADDIN ZOTERO_ITEM CSL_CITATION {"citationID":"0d0HQiEe","properties":{"formattedCitation":"(Upcraft et al., 2021)","plainCitation":"(Upcraft et al., 2021)","dontUpdate":true,"noteIndex":0},"citationItems":[{"id":11801,"uris":["http://zotero.org/users/6423791/items/AE6CHBJC"],"itemData":{"id":11801,"type":"article-journal","container-title":"Green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3F5DA8">
        <w:rPr>
          <w:rFonts w:cs="Times New Roman"/>
        </w:rPr>
        <w:fldChar w:fldCharType="end"/>
      </w:r>
      <w:r w:rsidRPr="003F5DA8">
        <w:rPr>
          <w:rFonts w:cs="Times New Roman"/>
        </w:rPr>
        <w:t xml:space="preserve">. Recovered lignin-rich cakes through a thickener and filter were further washed before being valorized </w:t>
      </w:r>
      <w:r w:rsidRPr="003F5DA8">
        <w:rPr>
          <w:rFonts w:cs="Times New Roman"/>
          <w:i/>
        </w:rPr>
        <w:t>in-situ</w:t>
      </w:r>
      <w:r w:rsidRPr="003F5DA8">
        <w:rPr>
          <w:rFonts w:cs="Times New Roman"/>
        </w:rPr>
        <w:t xml:space="preserve"> in an industrial furnace (same modeling than dust valorization). While ethanol addition was mentioned as an antisolvent to precipitate lignin, only water was assumed here</w:t>
      </w:r>
      <w:r w:rsidRPr="003F5DA8">
        <w:rPr>
          <w:rFonts w:cs="Times New Roman"/>
        </w:rPr>
        <w:fldChar w:fldCharType="begin"/>
      </w:r>
      <w:r w:rsidR="005413B4">
        <w:rPr>
          <w:rFonts w:cs="Times New Roman"/>
        </w:rPr>
        <w:instrText xml:space="preserve"> ADDIN ZOTERO_ITEM CSL_CITATION {"citationID":"Rms4GEJj","properties":{"formattedCitation":"\\super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3F5DA8">
        <w:rPr>
          <w:rFonts w:cs="Times New Roman"/>
        </w:rPr>
        <w:fldChar w:fldCharType="separate"/>
      </w:r>
      <w:r w:rsidR="005413B4" w:rsidRPr="005413B4">
        <w:rPr>
          <w:rFonts w:ascii="Calibri" w:hAnsi="Calibri" w:cs="Calibri"/>
          <w:szCs w:val="24"/>
          <w:vertAlign w:val="superscript"/>
        </w:rPr>
        <w:t>131</w:t>
      </w:r>
      <w:r w:rsidRPr="003F5DA8">
        <w:rPr>
          <w:rFonts w:cs="Times New Roman"/>
        </w:rPr>
        <w:fldChar w:fldCharType="end"/>
      </w:r>
      <w:r w:rsidRPr="003F5DA8">
        <w:rPr>
          <w:rFonts w:cs="Times New Roman"/>
        </w:rPr>
        <w:t xml:space="preserve">. Finally, the IL-rich stream (along with water and some remaining dissolved compounds) was sent to a multiple-effects evaporation equipment allowing to recover most of IL at target moisture for direct re-looping. The rest of the stream was sent to a wastewater treatment plant (WWTP) after </w:t>
      </w:r>
      <w:r>
        <w:rPr>
          <w:rFonts w:cs="Times New Roman"/>
        </w:rPr>
        <w:t>sensible</w:t>
      </w:r>
      <w:r w:rsidRPr="003F5DA8">
        <w:rPr>
          <w:rFonts w:cs="Times New Roman"/>
        </w:rPr>
        <w:t xml:space="preserve"> heat recovery. In current scaled assessments, IL make-up is therefore limited </w:t>
      </w:r>
      <w:r w:rsidRPr="003F5DA8">
        <w:rPr>
          <w:rFonts w:cs="Times New Roman"/>
        </w:rPr>
        <w:lastRenderedPageBreak/>
        <w:t>due to the assumed high IL recycling rates (90-99%</w:t>
      </w:r>
      <w:r w:rsidRPr="003F5DA8">
        <w:rPr>
          <w:rFonts w:cs="Times New Roman"/>
        </w:rPr>
        <w:fldChar w:fldCharType="begin"/>
      </w:r>
      <w:r w:rsidR="005413B4">
        <w:rPr>
          <w:rFonts w:cs="Times New Roman"/>
        </w:rPr>
        <w:instrText xml:space="preserve"> ADDIN ZOTERO_ITEM CSL_CITATION {"citationID":"Inp81YF2","properties":{"formattedCitation":"\\super 159\\nosupersub{}","plainCitation":"159","noteIndex":0},"citationItems":[{"id":13499,"uris":["http://zotero.org/users/6423791/items/7BQC7723"],"itemData":{"id":13499,"type":"article-journal","abstract":"Ionic liquids have shown promising results in biomass pretreatment; however, an extensive water washing step is necessary. This fact increases not only the processing costs but also those associated with the ionic liquid recovery step. In this work, Eucalyptus globulus wood pretreated with two acetate-based ionic liquids, namely 1-ethyl-3-methylimidazolium acetate and choline acetate, has been washed with increasing volumes of water in order to analyze the influence of the amount of washing water used on the subsequent enzymatic hydrolysis stage and on the IL recovery costs. Vapor–liquid equilibria data of recovered ionic liquid/water mixtures have been determined to simulate the IL recovery step with Aspen Plus, calculating the operating costs using the Aspen Plus Economics Analyzer afterward. [Emim][OAc] was more efficiently washed and more effective toward wood pretreatment than [Ch][OAc]. Both IL/water systems were successfully modeled, and simulation studies showed that incremental volumes of water led to higher operating costs in the IL recovery step that are compensated with less IL makeup costs. Therefore, this work offers a technoeconomical analysis of the IL recovery step in a real biorefinery pretreatment process as a function of the volume of water used in the pretreated wood washing stage.","container-title":"ACS Sustainable Chemistry &amp; Engineering","DOI":"10.1021/acssuschemeng.1c01361","issue":"25","journalAbbreviation":"ACS Sustainable Chem. Eng.","note":"publisher: American Chemical Society","page":"8467-8476","source":"ACS Publications","title":"Technoeconomic Assessment of a Biomass Pretreatment + Ionic Liquid Recovery Process with Aprotic and Choline Derived Ionic Liquids","volume":"9","author":[{"family":"Ovejero-Pérez","given":"Antonio"},{"family":"Ayuso","given":"Miguel"},{"family":"Rigual","given":"Victoria"},{"family":"Domínguez","given":"Juan Carlos"},{"family":"García","given":"Julián"},{"family":"Alonso","given":"M. Virginia"},{"family":"Oliet","given":"Mercedes"},{"family":"Rodriguez","given":"Francisco"}],"issued":{"date-parts":[["2021",6,28]]}}}],"schema":"https://github.com/citation-style-language/schema/raw/master/csl-citation.json"} </w:instrText>
      </w:r>
      <w:r w:rsidRPr="003F5DA8">
        <w:rPr>
          <w:rFonts w:cs="Times New Roman"/>
        </w:rPr>
        <w:fldChar w:fldCharType="separate"/>
      </w:r>
      <w:r w:rsidR="005413B4" w:rsidRPr="005413B4">
        <w:rPr>
          <w:rFonts w:ascii="Calibri" w:hAnsi="Calibri" w:cs="Calibri"/>
          <w:szCs w:val="24"/>
          <w:vertAlign w:val="superscript"/>
        </w:rPr>
        <w:t>159</w:t>
      </w:r>
      <w:r w:rsidRPr="003F5DA8">
        <w:rPr>
          <w:rFonts w:cs="Times New Roman"/>
        </w:rPr>
        <w:fldChar w:fldCharType="end"/>
      </w:r>
      <w:r w:rsidRPr="003F5DA8">
        <w:rPr>
          <w:rFonts w:cs="Times New Roman"/>
        </w:rPr>
        <w:t xml:space="preserve"> see</w:t>
      </w:r>
      <w:r w:rsidR="00E9442B">
        <w:rPr>
          <w:rFonts w:cs="Times New Roman"/>
        </w:rPr>
        <w:t xml:space="preserve"> </w:t>
      </w:r>
      <w:r w:rsidR="00E9442B" w:rsidRPr="00E9442B">
        <w:rPr>
          <w:rFonts w:cs="Times New Roman"/>
          <w:b/>
        </w:rPr>
        <w:fldChar w:fldCharType="begin"/>
      </w:r>
      <w:r w:rsidR="00E9442B" w:rsidRPr="00E9442B">
        <w:rPr>
          <w:rFonts w:cs="Times New Roman"/>
          <w:b/>
        </w:rPr>
        <w:instrText xml:space="preserve"> REF _Ref144807107 \h </w:instrText>
      </w:r>
      <w:r w:rsidR="00E9442B">
        <w:rPr>
          <w:rFonts w:cs="Times New Roman"/>
          <w:b/>
        </w:rPr>
        <w:instrText xml:space="preserve"> \* MERGEFORMAT </w:instrText>
      </w:r>
      <w:r w:rsidR="00E9442B" w:rsidRPr="00E9442B">
        <w:rPr>
          <w:rFonts w:cs="Times New Roman"/>
          <w:b/>
        </w:rPr>
      </w:r>
      <w:r w:rsidR="00E9442B" w:rsidRPr="00E9442B">
        <w:rPr>
          <w:rFonts w:cs="Times New Roman"/>
          <w:b/>
        </w:rPr>
        <w:fldChar w:fldCharType="separate"/>
      </w:r>
      <w:r w:rsidR="00F25F8C" w:rsidRPr="00F25F8C">
        <w:rPr>
          <w:b/>
        </w:rPr>
        <w:t xml:space="preserve">Table SI. </w:t>
      </w:r>
      <w:r w:rsidR="00F25F8C" w:rsidRPr="00F25F8C">
        <w:rPr>
          <w:b/>
          <w:noProof/>
        </w:rPr>
        <w:t>43</w:t>
      </w:r>
      <w:r w:rsidR="00E9442B" w:rsidRPr="00E9442B">
        <w:rPr>
          <w:rFonts w:cs="Times New Roman"/>
          <w:b/>
        </w:rPr>
        <w:fldChar w:fldCharType="end"/>
      </w:r>
      <w:r w:rsidRPr="003F5DA8">
        <w:rPr>
          <w:rFonts w:cs="Times New Roman"/>
        </w:rPr>
        <w:t>) which conditions this pathway’s viability. Albeit the main goal of pretreatment is to removed lignin, this is often accompanied by hemicellulose removal. Here, as we assume future C</w:t>
      </w:r>
      <w:r w:rsidRPr="003F5DA8">
        <w:rPr>
          <w:rFonts w:cs="Times New Roman"/>
          <w:vertAlign w:val="subscript"/>
        </w:rPr>
        <w:t>5</w:t>
      </w:r>
      <w:r w:rsidRPr="003F5DA8">
        <w:rPr>
          <w:rFonts w:cs="Times New Roman"/>
        </w:rPr>
        <w:t xml:space="preserve"> sugars utilization for mycoproteins production</w:t>
      </w:r>
      <w:r w:rsidRPr="003F5DA8">
        <w:rPr>
          <w:rFonts w:cs="Times New Roman"/>
        </w:rPr>
        <w:fldChar w:fldCharType="begin"/>
      </w:r>
      <w:r w:rsidR="005413B4">
        <w:rPr>
          <w:rFonts w:cs="Times New Roman"/>
        </w:rPr>
        <w:instrText xml:space="preserve"> ADDIN ZOTERO_ITEM CSL_CITATION {"citationID":"IYeDJVof","properties":{"formattedCitation":"\\super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3F5DA8">
        <w:rPr>
          <w:rFonts w:cs="Times New Roman"/>
        </w:rPr>
        <w:fldChar w:fldCharType="separate"/>
      </w:r>
      <w:r w:rsidR="005413B4" w:rsidRPr="005413B4">
        <w:rPr>
          <w:rFonts w:ascii="Calibri" w:hAnsi="Calibri" w:cs="Calibri"/>
          <w:szCs w:val="24"/>
          <w:vertAlign w:val="superscript"/>
        </w:rPr>
        <w:t>131</w:t>
      </w:r>
      <w:r w:rsidRPr="003F5DA8">
        <w:rPr>
          <w:rFonts w:cs="Times New Roman"/>
        </w:rPr>
        <w:fldChar w:fldCharType="end"/>
      </w:r>
      <w:r w:rsidRPr="003F5DA8">
        <w:rPr>
          <w:rFonts w:cs="Times New Roman"/>
        </w:rPr>
        <w:t>, the selected IL pretreatment aims to limit hemicelluloses losses (optimistic as the removal rate of both fractions are correlated). The different IL treatment sub-sections are further detailed.</w:t>
      </w:r>
    </w:p>
    <w:p w14:paraId="689CE1A7" w14:textId="1881E35B" w:rsidR="00512EC8" w:rsidRPr="00053C26" w:rsidRDefault="00874128" w:rsidP="006B5342">
      <w:pPr>
        <w:pStyle w:val="Lgende"/>
        <w:jc w:val="left"/>
        <w:rPr>
          <w:rFonts w:cs="Times New Roman"/>
          <w:b w:val="0"/>
          <w:i/>
        </w:rPr>
      </w:pPr>
      <w:bookmarkStart w:id="189" w:name="_Ref144806845"/>
      <w:bookmarkStart w:id="190" w:name="_Toc134537652"/>
      <w:bookmarkStart w:id="191" w:name="_Toc151967925"/>
      <w:r>
        <w:t>Table SI.</w:t>
      </w:r>
      <w:r w:rsidR="00512EC8">
        <w:t xml:space="preserve"> </w:t>
      </w:r>
      <w:r>
        <w:fldChar w:fldCharType="begin"/>
      </w:r>
      <w:r>
        <w:instrText xml:space="preserve"> SEQ Table_SI. \* ARABIC </w:instrText>
      </w:r>
      <w:r>
        <w:fldChar w:fldCharType="separate"/>
      </w:r>
      <w:r w:rsidR="00F25F8C">
        <w:rPr>
          <w:noProof/>
        </w:rPr>
        <w:t>41</w:t>
      </w:r>
      <w:r>
        <w:fldChar w:fldCharType="end"/>
      </w:r>
      <w:bookmarkEnd w:id="189"/>
      <w:r w:rsidR="00512EC8" w:rsidRPr="002C6DB3">
        <w:t xml:space="preserve"> </w:t>
      </w:r>
      <w:r w:rsidR="00512EC8" w:rsidRPr="002C6DB3">
        <w:rPr>
          <w:rFonts w:cs="Times New Roman"/>
        </w:rPr>
        <w:t xml:space="preserve">– </w:t>
      </w:r>
      <w:r w:rsidR="00512EC8">
        <w:rPr>
          <w:rFonts w:cs="Times New Roman"/>
        </w:rPr>
        <w:t>R</w:t>
      </w:r>
      <w:r w:rsidR="00512EC8" w:rsidRPr="002C6DB3">
        <w:rPr>
          <w:rFonts w:cs="Times New Roman"/>
        </w:rPr>
        <w:t>eview of lignocellulosic pretreatment performances, with a focus on IL techniques</w:t>
      </w:r>
      <w:bookmarkEnd w:id="190"/>
      <w:bookmarkEnd w:id="191"/>
    </w:p>
    <w:tbl>
      <w:tblPr>
        <w:tblStyle w:val="Tableausimple2"/>
        <w:tblpPr w:leftFromText="180" w:rightFromText="180" w:vertAnchor="text" w:tblpY="1"/>
        <w:tblOverlap w:val="never"/>
        <w:tblW w:w="0" w:type="auto"/>
        <w:tblLook w:val="04A0" w:firstRow="1" w:lastRow="0" w:firstColumn="1" w:lastColumn="0" w:noHBand="0" w:noVBand="1"/>
      </w:tblPr>
      <w:tblGrid>
        <w:gridCol w:w="2574"/>
        <w:gridCol w:w="687"/>
        <w:gridCol w:w="673"/>
        <w:gridCol w:w="600"/>
        <w:gridCol w:w="643"/>
        <w:gridCol w:w="734"/>
        <w:gridCol w:w="690"/>
        <w:gridCol w:w="734"/>
        <w:gridCol w:w="646"/>
        <w:gridCol w:w="643"/>
        <w:gridCol w:w="448"/>
      </w:tblGrid>
      <w:tr w:rsidR="00942782" w:rsidRPr="008F4A58" w14:paraId="4A873850" w14:textId="77777777" w:rsidTr="00E860C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cPr>
          <w:p w14:paraId="6589A586" w14:textId="77777777" w:rsidR="00512EC8" w:rsidRPr="008F4A58" w:rsidRDefault="00512EC8" w:rsidP="006D537D">
            <w:pPr>
              <w:jc w:val="right"/>
              <w:rPr>
                <w:rFonts w:cs="Times New Roman"/>
                <w:sz w:val="18"/>
                <w:szCs w:val="18"/>
              </w:rPr>
            </w:pPr>
            <w:r w:rsidRPr="008F4A58">
              <w:rPr>
                <w:rFonts w:cs="Times New Roman"/>
                <w:sz w:val="18"/>
                <w:szCs w:val="18"/>
              </w:rPr>
              <w:t>Pretreatment conditions</w:t>
            </w:r>
          </w:p>
        </w:tc>
        <w:tc>
          <w:tcPr>
            <w:tcW w:w="0" w:type="auto"/>
            <w:gridSpan w:val="7"/>
          </w:tcPr>
          <w:p w14:paraId="6C9FE80F"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rFonts w:cs="Times New Roman"/>
                <w:sz w:val="18"/>
                <w:szCs w:val="18"/>
              </w:rPr>
            </w:pPr>
            <w:r w:rsidRPr="008F4A58">
              <w:rPr>
                <w:rFonts w:cs="Times New Roman"/>
                <w:sz w:val="18"/>
                <w:szCs w:val="18"/>
              </w:rPr>
              <w:t>Biomass-to-pulp ratio, for each fraction (%)</w:t>
            </w:r>
          </w:p>
        </w:tc>
        <w:tc>
          <w:tcPr>
            <w:tcW w:w="0" w:type="auto"/>
            <w:gridSpan w:val="2"/>
          </w:tcPr>
          <w:p w14:paraId="4D96743F"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rFonts w:cs="Times New Roman"/>
                <w:sz w:val="18"/>
                <w:szCs w:val="18"/>
              </w:rPr>
            </w:pPr>
            <w:r w:rsidRPr="008F4A58">
              <w:rPr>
                <w:rFonts w:cs="Times New Roman"/>
                <w:sz w:val="18"/>
                <w:szCs w:val="18"/>
              </w:rPr>
              <w:t>Other indicators</w:t>
            </w:r>
          </w:p>
        </w:tc>
        <w:tc>
          <w:tcPr>
            <w:tcW w:w="0" w:type="auto"/>
            <w:vMerge w:val="restart"/>
            <w:textDirection w:val="btLr"/>
          </w:tcPr>
          <w:p w14:paraId="1FF664D6" w14:textId="77777777" w:rsidR="00512EC8" w:rsidRPr="008F4A58" w:rsidRDefault="00512EC8" w:rsidP="006D537D">
            <w:pPr>
              <w:ind w:left="113" w:right="113"/>
              <w:cnfStyle w:val="100000000000" w:firstRow="1" w:lastRow="0" w:firstColumn="0" w:lastColumn="0" w:oddVBand="0" w:evenVBand="0" w:oddHBand="0" w:evenHBand="0" w:firstRowFirstColumn="0" w:firstRowLastColumn="0" w:lastRowFirstColumn="0" w:lastRowLastColumn="0"/>
              <w:rPr>
                <w:rFonts w:cs="Times New Roman"/>
                <w:sz w:val="18"/>
                <w:szCs w:val="18"/>
              </w:rPr>
            </w:pPr>
            <w:r w:rsidRPr="008F4A58">
              <w:rPr>
                <w:rFonts w:cs="Times New Roman"/>
                <w:sz w:val="18"/>
                <w:szCs w:val="18"/>
              </w:rPr>
              <w:t>References</w:t>
            </w:r>
          </w:p>
        </w:tc>
      </w:tr>
      <w:tr w:rsidR="00942782" w:rsidRPr="008F4A58" w14:paraId="4B63F864" w14:textId="77777777" w:rsidTr="00E860C9">
        <w:trPr>
          <w:cnfStyle w:val="000000100000" w:firstRow="0" w:lastRow="0" w:firstColumn="0" w:lastColumn="0" w:oddVBand="0" w:evenVBand="0" w:oddHBand="1" w:evenHBand="0" w:firstRowFirstColumn="0" w:firstRowLastColumn="0" w:lastRowFirstColumn="0" w:lastRowLastColumn="0"/>
          <w:trHeight w:val="981"/>
        </w:trPr>
        <w:tc>
          <w:tcPr>
            <w:cnfStyle w:val="001000000000" w:firstRow="0" w:lastRow="0" w:firstColumn="1" w:lastColumn="0" w:oddVBand="0" w:evenVBand="0" w:oddHBand="0" w:evenHBand="0" w:firstRowFirstColumn="0" w:firstRowLastColumn="0" w:lastRowFirstColumn="0" w:lastRowLastColumn="0"/>
            <w:tcW w:w="0" w:type="auto"/>
            <w:vMerge/>
          </w:tcPr>
          <w:p w14:paraId="40883558" w14:textId="77777777" w:rsidR="00512EC8" w:rsidRPr="008F4A58" w:rsidRDefault="00512EC8" w:rsidP="006D537D">
            <w:pPr>
              <w:jc w:val="right"/>
              <w:rPr>
                <w:rFonts w:cs="Times New Roman"/>
                <w:sz w:val="18"/>
                <w:szCs w:val="18"/>
              </w:rPr>
            </w:pPr>
          </w:p>
        </w:tc>
        <w:tc>
          <w:tcPr>
            <w:tcW w:w="0" w:type="auto"/>
            <w:textDirection w:val="btLr"/>
          </w:tcPr>
          <w:p w14:paraId="44735A78" w14:textId="77777777" w:rsidR="00512EC8" w:rsidRPr="008F4A58" w:rsidRDefault="00512EC8" w:rsidP="006D537D">
            <w:pPr>
              <w:ind w:left="113" w:right="113"/>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sidRPr="008F4A58">
              <w:rPr>
                <w:rFonts w:cs="Times New Roman"/>
                <w:b/>
                <w:sz w:val="18"/>
                <w:szCs w:val="18"/>
              </w:rPr>
              <w:t>Cellulose</w:t>
            </w:r>
          </w:p>
        </w:tc>
        <w:tc>
          <w:tcPr>
            <w:tcW w:w="0" w:type="auto"/>
            <w:textDirection w:val="btLr"/>
          </w:tcPr>
          <w:p w14:paraId="18627DD8" w14:textId="77777777" w:rsidR="00512EC8" w:rsidRPr="008F4A58" w:rsidRDefault="00512EC8" w:rsidP="006D537D">
            <w:pPr>
              <w:ind w:left="113" w:right="113"/>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sidRPr="008F4A58">
              <w:rPr>
                <w:rFonts w:cs="Times New Roman"/>
                <w:b/>
                <w:sz w:val="18"/>
                <w:szCs w:val="18"/>
              </w:rPr>
              <w:t>Hemi- cellulose</w:t>
            </w:r>
          </w:p>
        </w:tc>
        <w:tc>
          <w:tcPr>
            <w:tcW w:w="0" w:type="auto"/>
            <w:textDirection w:val="btLr"/>
          </w:tcPr>
          <w:p w14:paraId="15828F8D" w14:textId="77777777" w:rsidR="00512EC8" w:rsidRPr="008F4A58" w:rsidRDefault="00512EC8" w:rsidP="006D537D">
            <w:pPr>
              <w:ind w:left="113" w:right="113"/>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sidRPr="008F4A58">
              <w:rPr>
                <w:rFonts w:cs="Times New Roman"/>
                <w:b/>
                <w:sz w:val="18"/>
                <w:szCs w:val="18"/>
              </w:rPr>
              <w:t>Solubles, carbs</w:t>
            </w:r>
          </w:p>
        </w:tc>
        <w:tc>
          <w:tcPr>
            <w:tcW w:w="0" w:type="auto"/>
            <w:textDirection w:val="btLr"/>
          </w:tcPr>
          <w:p w14:paraId="4CC9E405" w14:textId="77777777" w:rsidR="00512EC8" w:rsidRPr="008F4A58" w:rsidRDefault="00512EC8" w:rsidP="006D537D">
            <w:pPr>
              <w:ind w:left="113" w:right="113"/>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sidRPr="008F4A58">
              <w:rPr>
                <w:rFonts w:cs="Times New Roman"/>
                <w:b/>
                <w:sz w:val="18"/>
                <w:szCs w:val="18"/>
              </w:rPr>
              <w:t>Lignin</w:t>
            </w:r>
          </w:p>
        </w:tc>
        <w:tc>
          <w:tcPr>
            <w:tcW w:w="0" w:type="auto"/>
            <w:textDirection w:val="btLr"/>
          </w:tcPr>
          <w:p w14:paraId="783D7ED0" w14:textId="77777777" w:rsidR="00512EC8" w:rsidRPr="008F4A58" w:rsidRDefault="00512EC8" w:rsidP="006D537D">
            <w:pPr>
              <w:ind w:left="113" w:right="113"/>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sidRPr="008F4A58">
              <w:rPr>
                <w:rFonts w:cs="Times New Roman"/>
                <w:b/>
                <w:sz w:val="18"/>
                <w:szCs w:val="18"/>
              </w:rPr>
              <w:t>Proteins</w:t>
            </w:r>
          </w:p>
        </w:tc>
        <w:tc>
          <w:tcPr>
            <w:tcW w:w="0" w:type="auto"/>
            <w:textDirection w:val="btLr"/>
          </w:tcPr>
          <w:p w14:paraId="6A36DA16" w14:textId="77777777" w:rsidR="00512EC8" w:rsidRPr="008F4A58" w:rsidRDefault="00512EC8" w:rsidP="006D537D">
            <w:pPr>
              <w:ind w:left="113" w:right="113"/>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sidRPr="008F4A58">
              <w:rPr>
                <w:rFonts w:cs="Times New Roman"/>
                <w:b/>
                <w:sz w:val="18"/>
                <w:szCs w:val="18"/>
              </w:rPr>
              <w:t>Ashes</w:t>
            </w:r>
          </w:p>
        </w:tc>
        <w:tc>
          <w:tcPr>
            <w:tcW w:w="0" w:type="auto"/>
            <w:textDirection w:val="btLr"/>
          </w:tcPr>
          <w:p w14:paraId="555966D1" w14:textId="77777777" w:rsidR="00512EC8" w:rsidRPr="008F4A58" w:rsidRDefault="00512EC8" w:rsidP="006D537D">
            <w:pPr>
              <w:ind w:left="113" w:right="113"/>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sidRPr="008F4A58">
              <w:rPr>
                <w:rFonts w:cs="Times New Roman"/>
                <w:b/>
                <w:sz w:val="18"/>
                <w:szCs w:val="18"/>
              </w:rPr>
              <w:t>Others</w:t>
            </w:r>
          </w:p>
        </w:tc>
        <w:tc>
          <w:tcPr>
            <w:tcW w:w="0" w:type="auto"/>
            <w:textDirection w:val="btLr"/>
          </w:tcPr>
          <w:p w14:paraId="61CA3E2F" w14:textId="77777777" w:rsidR="00512EC8" w:rsidRPr="008F4A58" w:rsidRDefault="00512EC8" w:rsidP="006D537D">
            <w:pPr>
              <w:ind w:left="113" w:right="113"/>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sidRPr="008F4A58">
              <w:rPr>
                <w:rFonts w:cs="Times New Roman"/>
                <w:b/>
                <w:sz w:val="18"/>
                <w:szCs w:val="18"/>
              </w:rPr>
              <w:t>Mass loss</w:t>
            </w:r>
          </w:p>
        </w:tc>
        <w:tc>
          <w:tcPr>
            <w:tcW w:w="0" w:type="auto"/>
            <w:textDirection w:val="btLr"/>
          </w:tcPr>
          <w:p w14:paraId="26C07E3F" w14:textId="77777777" w:rsidR="00512EC8" w:rsidRPr="008F4A58" w:rsidRDefault="00512EC8" w:rsidP="006D537D">
            <w:pPr>
              <w:ind w:left="113" w:right="113"/>
              <w:cnfStyle w:val="000000100000" w:firstRow="0" w:lastRow="0" w:firstColumn="0" w:lastColumn="0" w:oddVBand="0" w:evenVBand="0" w:oddHBand="1" w:evenHBand="0" w:firstRowFirstColumn="0" w:firstRowLastColumn="0" w:lastRowFirstColumn="0" w:lastRowLastColumn="0"/>
              <w:rPr>
                <w:rFonts w:cs="Times New Roman"/>
                <w:b/>
                <w:sz w:val="18"/>
                <w:szCs w:val="18"/>
              </w:rPr>
            </w:pPr>
            <w:r w:rsidRPr="008F4A58">
              <w:rPr>
                <w:rFonts w:cs="Times New Roman"/>
                <w:b/>
                <w:sz w:val="18"/>
                <w:szCs w:val="18"/>
              </w:rPr>
              <w:t>Glucose yield</w:t>
            </w:r>
          </w:p>
        </w:tc>
        <w:tc>
          <w:tcPr>
            <w:tcW w:w="0" w:type="auto"/>
            <w:vMerge/>
          </w:tcPr>
          <w:p w14:paraId="41B80350" w14:textId="77777777" w:rsidR="00512EC8" w:rsidRPr="008F4A58" w:rsidRDefault="00512EC8" w:rsidP="006D537D">
            <w:pPr>
              <w:jc w:val="both"/>
              <w:cnfStyle w:val="000000100000" w:firstRow="0" w:lastRow="0" w:firstColumn="0" w:lastColumn="0" w:oddVBand="0" w:evenVBand="0" w:oddHBand="1" w:evenHBand="0" w:firstRowFirstColumn="0" w:firstRowLastColumn="0" w:lastRowFirstColumn="0" w:lastRowLastColumn="0"/>
              <w:rPr>
                <w:rFonts w:cs="Times New Roman"/>
                <w:sz w:val="18"/>
                <w:szCs w:val="18"/>
              </w:rPr>
            </w:pPr>
          </w:p>
        </w:tc>
      </w:tr>
      <w:tr w:rsidR="00942782" w:rsidRPr="008F4A58" w14:paraId="5077C581" w14:textId="77777777" w:rsidTr="00E860C9">
        <w:tc>
          <w:tcPr>
            <w:cnfStyle w:val="001000000000" w:firstRow="0" w:lastRow="0" w:firstColumn="1" w:lastColumn="0" w:oddVBand="0" w:evenVBand="0" w:oddHBand="0" w:evenHBand="0" w:firstRowFirstColumn="0" w:firstRowLastColumn="0" w:lastRowFirstColumn="0" w:lastRowLastColumn="0"/>
            <w:tcW w:w="0" w:type="auto"/>
          </w:tcPr>
          <w:p w14:paraId="08C72CF5" w14:textId="77777777" w:rsidR="008F4A58" w:rsidRPr="005413B4" w:rsidRDefault="00512EC8" w:rsidP="006D537D">
            <w:pPr>
              <w:jc w:val="right"/>
              <w:rPr>
                <w:rFonts w:cstheme="minorHAnsi"/>
                <w:b w:val="0"/>
                <w:bCs w:val="0"/>
                <w:sz w:val="18"/>
                <w:szCs w:val="18"/>
              </w:rPr>
            </w:pPr>
            <w:r w:rsidRPr="005413B4">
              <w:rPr>
                <w:rFonts w:cstheme="minorHAnsi"/>
                <w:b w:val="0"/>
                <w:sz w:val="18"/>
                <w:szCs w:val="18"/>
              </w:rPr>
              <w:t>[Ch][HSO</w:t>
            </w:r>
            <w:r w:rsidRPr="005413B4">
              <w:rPr>
                <w:rFonts w:cstheme="minorHAnsi"/>
                <w:b w:val="0"/>
                <w:sz w:val="18"/>
                <w:szCs w:val="18"/>
                <w:vertAlign w:val="subscript"/>
              </w:rPr>
              <w:t>4</w:t>
            </w:r>
            <w:r w:rsidRPr="005413B4">
              <w:rPr>
                <w:rFonts w:cstheme="minorHAnsi"/>
                <w:b w:val="0"/>
                <w:sz w:val="18"/>
                <w:szCs w:val="18"/>
              </w:rPr>
              <w:t>], 150°C, 1h,</w:t>
            </w:r>
          </w:p>
          <w:p w14:paraId="553CF67C" w14:textId="466E1923" w:rsidR="00512EC8" w:rsidRPr="005413B4" w:rsidRDefault="00512EC8" w:rsidP="006D537D">
            <w:pPr>
              <w:jc w:val="right"/>
              <w:rPr>
                <w:rFonts w:cstheme="minorHAnsi"/>
                <w:b w:val="0"/>
                <w:sz w:val="18"/>
                <w:szCs w:val="18"/>
              </w:rPr>
            </w:pPr>
            <w:r w:rsidRPr="005413B4">
              <w:rPr>
                <w:rFonts w:cstheme="minorHAnsi"/>
                <w:b w:val="0"/>
                <w:sz w:val="18"/>
                <w:szCs w:val="18"/>
              </w:rPr>
              <w:t>food-grade</w:t>
            </w:r>
          </w:p>
        </w:tc>
        <w:tc>
          <w:tcPr>
            <w:tcW w:w="0" w:type="auto"/>
          </w:tcPr>
          <w:p w14:paraId="1EC8CAF1"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71%</w:t>
            </w:r>
          </w:p>
        </w:tc>
        <w:tc>
          <w:tcPr>
            <w:tcW w:w="0" w:type="auto"/>
          </w:tcPr>
          <w:p w14:paraId="181E3580"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31%</w:t>
            </w:r>
            <w:r w:rsidRPr="008F4A58">
              <w:rPr>
                <w:rFonts w:cstheme="minorHAnsi"/>
                <w:sz w:val="18"/>
                <w:szCs w:val="18"/>
                <w:vertAlign w:val="superscript"/>
              </w:rPr>
              <w:t>*</w:t>
            </w:r>
          </w:p>
        </w:tc>
        <w:tc>
          <w:tcPr>
            <w:tcW w:w="0" w:type="auto"/>
          </w:tcPr>
          <w:p w14:paraId="59F740F2"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7D836EC2"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58%</w:t>
            </w:r>
          </w:p>
        </w:tc>
        <w:tc>
          <w:tcPr>
            <w:tcW w:w="0" w:type="auto"/>
          </w:tcPr>
          <w:p w14:paraId="363D096E"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5E9F8BAA"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100%</w:t>
            </w:r>
          </w:p>
        </w:tc>
        <w:tc>
          <w:tcPr>
            <w:tcW w:w="0" w:type="auto"/>
          </w:tcPr>
          <w:p w14:paraId="29BDD645"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72D1E2EA"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ca. 30%</w:t>
            </w:r>
          </w:p>
        </w:tc>
        <w:tc>
          <w:tcPr>
            <w:tcW w:w="0" w:type="auto"/>
          </w:tcPr>
          <w:p w14:paraId="78FB20A4"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43%</w:t>
            </w:r>
          </w:p>
        </w:tc>
        <w:tc>
          <w:tcPr>
            <w:tcW w:w="0" w:type="auto"/>
          </w:tcPr>
          <w:p w14:paraId="55203AAC" w14:textId="1E432CD9"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fldChar w:fldCharType="begin"/>
            </w:r>
            <w:r w:rsidR="005413B4">
              <w:rPr>
                <w:rFonts w:cstheme="minorHAnsi"/>
                <w:sz w:val="18"/>
                <w:szCs w:val="18"/>
              </w:rPr>
              <w:instrText xml:space="preserve"> ADDIN ZOTERO_ITEM CSL_CITATION {"citationID":"zGpWs5UW","properties":{"formattedCitation":"\\super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8F4A58">
              <w:rPr>
                <w:rFonts w:cstheme="minorHAnsi"/>
                <w:sz w:val="18"/>
                <w:szCs w:val="18"/>
              </w:rPr>
              <w:fldChar w:fldCharType="separate"/>
            </w:r>
            <w:r w:rsidR="005413B4" w:rsidRPr="005413B4">
              <w:rPr>
                <w:rFonts w:ascii="Calibri" w:hAnsi="Calibri" w:cs="Calibri"/>
                <w:sz w:val="18"/>
                <w:szCs w:val="24"/>
                <w:vertAlign w:val="superscript"/>
              </w:rPr>
              <w:t>131</w:t>
            </w:r>
            <w:r w:rsidRPr="008F4A58">
              <w:rPr>
                <w:rFonts w:cstheme="minorHAnsi"/>
                <w:sz w:val="18"/>
                <w:szCs w:val="18"/>
              </w:rPr>
              <w:fldChar w:fldCharType="end"/>
            </w:r>
          </w:p>
        </w:tc>
      </w:tr>
      <w:tr w:rsidR="00942782" w:rsidRPr="008F4A58" w14:paraId="0044C2CE" w14:textId="77777777" w:rsidTr="00E860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DE0CAB8" w14:textId="77777777" w:rsidR="00512EC8" w:rsidRPr="005413B4" w:rsidRDefault="00512EC8" w:rsidP="006D537D">
            <w:pPr>
              <w:jc w:val="right"/>
              <w:rPr>
                <w:rFonts w:cstheme="minorHAnsi"/>
                <w:b w:val="0"/>
                <w:sz w:val="18"/>
                <w:szCs w:val="18"/>
              </w:rPr>
            </w:pPr>
            <w:r w:rsidRPr="005413B4">
              <w:rPr>
                <w:rFonts w:cstheme="minorHAnsi"/>
                <w:b w:val="0"/>
                <w:sz w:val="18"/>
                <w:szCs w:val="18"/>
              </w:rPr>
              <w:t>[Ch][Lys], 120°C, 8h, 20%</w:t>
            </w:r>
            <w:r w:rsidRPr="005413B4">
              <w:rPr>
                <w:rFonts w:cstheme="minorHAnsi"/>
                <w:b w:val="0"/>
                <w:sz w:val="18"/>
                <w:szCs w:val="18"/>
                <w:vertAlign w:val="subscript"/>
              </w:rPr>
              <w:t>DM</w:t>
            </w:r>
            <w:r w:rsidRPr="005413B4">
              <w:rPr>
                <w:rFonts w:cstheme="minorHAnsi"/>
                <w:b w:val="0"/>
                <w:sz w:val="18"/>
                <w:szCs w:val="18"/>
              </w:rPr>
              <w:t>, food-grade</w:t>
            </w:r>
          </w:p>
        </w:tc>
        <w:tc>
          <w:tcPr>
            <w:tcW w:w="0" w:type="auto"/>
          </w:tcPr>
          <w:p w14:paraId="53CDBB0D"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&gt;90%</w:t>
            </w:r>
          </w:p>
        </w:tc>
        <w:tc>
          <w:tcPr>
            <w:tcW w:w="0" w:type="auto"/>
          </w:tcPr>
          <w:p w14:paraId="168DC322"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15%</w:t>
            </w:r>
          </w:p>
        </w:tc>
        <w:tc>
          <w:tcPr>
            <w:tcW w:w="0" w:type="auto"/>
          </w:tcPr>
          <w:p w14:paraId="5783A7EC"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50%</w:t>
            </w:r>
          </w:p>
        </w:tc>
        <w:tc>
          <w:tcPr>
            <w:tcW w:w="0" w:type="auto"/>
          </w:tcPr>
          <w:p w14:paraId="70CDE7E4"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15%</w:t>
            </w:r>
          </w:p>
        </w:tc>
        <w:tc>
          <w:tcPr>
            <w:tcW w:w="0" w:type="auto"/>
          </w:tcPr>
          <w:p w14:paraId="264609E5"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67F6579A"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60%</w:t>
            </w:r>
          </w:p>
        </w:tc>
        <w:tc>
          <w:tcPr>
            <w:tcW w:w="0" w:type="auto"/>
          </w:tcPr>
          <w:p w14:paraId="708B9EBC"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375592CD"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43%</w:t>
            </w:r>
          </w:p>
        </w:tc>
        <w:tc>
          <w:tcPr>
            <w:tcW w:w="0" w:type="auto"/>
          </w:tcPr>
          <w:p w14:paraId="68ED89BA"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77%</w:t>
            </w:r>
          </w:p>
        </w:tc>
        <w:tc>
          <w:tcPr>
            <w:tcW w:w="0" w:type="auto"/>
          </w:tcPr>
          <w:p w14:paraId="7BC99ACE" w14:textId="4377D8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fldChar w:fldCharType="begin"/>
            </w:r>
            <w:r w:rsidR="005413B4">
              <w:rPr>
                <w:rFonts w:cstheme="minorHAnsi"/>
                <w:sz w:val="18"/>
                <w:szCs w:val="18"/>
              </w:rPr>
              <w:instrText xml:space="preserve"> ADDIN ZOTERO_ITEM CSL_CITATION {"citationID":"42K1D9Wg","properties":{"formattedCitation":"\\super 152\\nosupersub{}","plainCitation":"152","noteIndex":0},"citationItems":[{"id":11490,"uris":["http://zotero.org/users/6423791/items/MAHPTN52"],"itemData":{"id":11490,"type":"article-journal","abstract":"The anticipated high future demand for food proteins has led to the advent of mycoprotein, which involves carbohydrate sugars as the primary carbon source. In this work, nonfood rice and wheat residues have been utilized to produce food-grade glucose using an ionic liquid. A biocompatible ionic liquid (IL) based on food-grade cholinium hydroxide and lysine has been evaluated for its potential to remove undesirable components such as, lignin and hemicellulose from rice and wheat straws. The cellulose pulp, thus obtained, was subsequently hydrolyzed into glucose by using food-grade enzymes. The optimum delignification efficiency of the IL is 87% at 120 °C after 8 h pretreatment. The optimum yield of food-grade sugar was 77% from cellulose pulp after processing at 100 °C for 8 h. The analysis of the pulp and lignin was made using compositional analysis, FT-IR, TGA, and SEM techniques, whereas glucose was quantified using HPLC. The food-grade glucose may be used in the food industry or pharmaceuticals, but this study aims at synthesizing mycoprotein in the future.","container-title":"ACS Sustainable Chemistry &amp; Engineering","DOI":"10.1021/acssuschemeng.1c00022","journalAbbreviation":"ACS Sustainable Chem. Eng.","note":"publisher: American Chemical Society","source":"ACS Publications","title":"Production of Food-Grade Glucose from Rice and Wheat Residues Using a Biocompatible Ionic Liquid","URL":"https://doi.org/10.1021/acssuschemeng.1c00022","author":[{"family":"Asim","given":"Azmat Mehmood"},{"family":"Uroos","given":"Maliha"},{"family":"Muhammad","given":"Nawshad"},{"family":"Hallett","given":"Jason P."}],"accessed":{"date-parts":[["2021",6,20]]},"issued":{"date-parts":[["2021",6,9]]}}}],"schema":"https://github.com/citation-style-language/schema/raw/master/csl-citation.json"} </w:instrText>
            </w:r>
            <w:r w:rsidRPr="008F4A58">
              <w:rPr>
                <w:rFonts w:cstheme="minorHAnsi"/>
                <w:sz w:val="18"/>
                <w:szCs w:val="18"/>
              </w:rPr>
              <w:fldChar w:fldCharType="separate"/>
            </w:r>
            <w:r w:rsidR="005413B4" w:rsidRPr="005413B4">
              <w:rPr>
                <w:rFonts w:ascii="Calibri" w:hAnsi="Calibri" w:cs="Calibri"/>
                <w:sz w:val="18"/>
                <w:szCs w:val="24"/>
                <w:vertAlign w:val="superscript"/>
              </w:rPr>
              <w:t>152</w:t>
            </w:r>
            <w:r w:rsidRPr="008F4A58">
              <w:rPr>
                <w:rFonts w:cstheme="minorHAnsi"/>
                <w:sz w:val="18"/>
                <w:szCs w:val="18"/>
              </w:rPr>
              <w:fldChar w:fldCharType="end"/>
            </w:r>
          </w:p>
        </w:tc>
      </w:tr>
      <w:tr w:rsidR="00942782" w:rsidRPr="008F4A58" w14:paraId="5E99E164" w14:textId="77777777" w:rsidTr="00E860C9">
        <w:tc>
          <w:tcPr>
            <w:cnfStyle w:val="001000000000" w:firstRow="0" w:lastRow="0" w:firstColumn="1" w:lastColumn="0" w:oddVBand="0" w:evenVBand="0" w:oddHBand="0" w:evenHBand="0" w:firstRowFirstColumn="0" w:firstRowLastColumn="0" w:lastRowFirstColumn="0" w:lastRowLastColumn="0"/>
            <w:tcW w:w="0" w:type="auto"/>
          </w:tcPr>
          <w:p w14:paraId="68F216F3" w14:textId="77777777" w:rsidR="00512EC8" w:rsidRPr="005413B4" w:rsidRDefault="00512EC8" w:rsidP="006D537D">
            <w:pPr>
              <w:jc w:val="right"/>
              <w:rPr>
                <w:rFonts w:cstheme="minorHAnsi"/>
                <w:b w:val="0"/>
                <w:sz w:val="18"/>
                <w:szCs w:val="18"/>
              </w:rPr>
            </w:pPr>
            <w:r w:rsidRPr="005413B4">
              <w:rPr>
                <w:rFonts w:cstheme="minorHAnsi"/>
                <w:b w:val="0"/>
                <w:sz w:val="18"/>
                <w:szCs w:val="18"/>
              </w:rPr>
              <w:t>[TEA][HSO</w:t>
            </w:r>
            <w:r w:rsidRPr="005413B4">
              <w:rPr>
                <w:rFonts w:cstheme="minorHAnsi"/>
                <w:b w:val="0"/>
                <w:sz w:val="18"/>
                <w:szCs w:val="18"/>
                <w:vertAlign w:val="subscript"/>
              </w:rPr>
              <w:t>4</w:t>
            </w:r>
            <w:r w:rsidRPr="005413B4">
              <w:rPr>
                <w:rFonts w:cstheme="minorHAnsi"/>
                <w:b w:val="0"/>
                <w:sz w:val="18"/>
                <w:szCs w:val="18"/>
              </w:rPr>
              <w:t>], 120°C, 1-24h, 9%</w:t>
            </w:r>
            <w:r w:rsidRPr="005413B4">
              <w:rPr>
                <w:rFonts w:cstheme="minorHAnsi"/>
                <w:b w:val="0"/>
                <w:sz w:val="18"/>
                <w:szCs w:val="18"/>
                <w:vertAlign w:val="subscript"/>
              </w:rPr>
              <w:t>DM</w:t>
            </w:r>
          </w:p>
        </w:tc>
        <w:tc>
          <w:tcPr>
            <w:tcW w:w="0" w:type="auto"/>
          </w:tcPr>
          <w:p w14:paraId="2A675860"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86-97%</w:t>
            </w:r>
          </w:p>
        </w:tc>
        <w:tc>
          <w:tcPr>
            <w:tcW w:w="0" w:type="auto"/>
          </w:tcPr>
          <w:p w14:paraId="59B6128C"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0-60%</w:t>
            </w:r>
          </w:p>
        </w:tc>
        <w:tc>
          <w:tcPr>
            <w:tcW w:w="0" w:type="auto"/>
          </w:tcPr>
          <w:p w14:paraId="38F25D20"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44EB6D6A"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12-47%</w:t>
            </w:r>
          </w:p>
        </w:tc>
        <w:tc>
          <w:tcPr>
            <w:tcW w:w="0" w:type="auto"/>
          </w:tcPr>
          <w:p w14:paraId="16D15EB7"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792B58D6"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0EFBF917"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738F97D5"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27-54%</w:t>
            </w:r>
          </w:p>
        </w:tc>
        <w:tc>
          <w:tcPr>
            <w:tcW w:w="0" w:type="auto"/>
          </w:tcPr>
          <w:p w14:paraId="66C0B439"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vMerge w:val="restart"/>
          </w:tcPr>
          <w:p w14:paraId="09CED3A4" w14:textId="1B9A536E"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fldChar w:fldCharType="begin"/>
            </w:r>
            <w:r w:rsidR="005413B4">
              <w:rPr>
                <w:rFonts w:cstheme="minorHAnsi"/>
                <w:sz w:val="18"/>
                <w:szCs w:val="18"/>
              </w:rPr>
              <w:instrText xml:space="preserve"> ADDIN ZOTERO_ITEM CSL_CITATION {"citationID":"Gk0DQ6iR","properties":{"formattedCitation":"\\super 157\\nosupersub{}","plainCitation":"157","noteIndex":0},"citationItems":[{"id":13484,"uris":["http://zotero.org/users/6423791/items/TIUN5U7I"],"itemData":{"id":13484,"type":"article-journal","abstract":"Lignocellulosic biomass has been used as starting materials in the processes of producing biofuels and chemicals.\n          , \n            Lignocellulosic biomass has been used as starting materials in the process of producing biofuels and chemicals. A pretreatment step is necessary to mitigate the inherent recalcitrance of lignocellulosic biomass during biochemical conversion. Certain ionic liquids (ILs) have been proven to be effective solvents to deconstruct recalcitrant lignocellulosic biomass for high sugar yield for over a decade. Dialkylimidazolium-based, choline-based, and protic acidic ILs are frequently used in biomass pretreatment. Extensive research in this field has been done with technological hurdles revealed during the process. In this review paper, advances in the biocompatibility of ILs and process integration, optimization and scale-up of IL pretreatment processes, IL recovery and reuse, and economic and sustainability analysis were presented. ILs continue to be actively used in biomass pretreatment due to their structural variability and functional tunability.","container-title":"Sustainable Energy &amp; Fuels","DOI":"10.1039/D0SE01802C","ISSN":"2398-4902","issue":"6","journalAbbreviation":"Sustainable Energy Fuels","language":"en","page":"1655-1667","source":"DOI.org (Crossref)","title":"Recent developments in ionic liquid pretreatment of lignocellulosic biomass for enhanced bioconversion","volume":"5","author":[{"family":"Zhang","given":"Jinxu"},{"family":"Zou","given":"Dongzhe"},{"family":"Singh","given":"Seema"},{"family":"Cheng","given":"Gang"}],"issued":{"date-parts":[["2021"]]}}}],"schema":"https://github.com/citation-style-language/schema/raw/master/csl-citation.json"} </w:instrText>
            </w:r>
            <w:r w:rsidRPr="008F4A58">
              <w:rPr>
                <w:rFonts w:cstheme="minorHAnsi"/>
                <w:sz w:val="18"/>
                <w:szCs w:val="18"/>
              </w:rPr>
              <w:fldChar w:fldCharType="separate"/>
            </w:r>
            <w:r w:rsidR="005413B4" w:rsidRPr="005413B4">
              <w:rPr>
                <w:rFonts w:ascii="Calibri" w:hAnsi="Calibri" w:cs="Calibri"/>
                <w:sz w:val="18"/>
                <w:szCs w:val="24"/>
                <w:vertAlign w:val="superscript"/>
              </w:rPr>
              <w:t>157</w:t>
            </w:r>
            <w:r w:rsidRPr="008F4A58">
              <w:rPr>
                <w:rFonts w:cstheme="minorHAnsi"/>
                <w:sz w:val="18"/>
                <w:szCs w:val="18"/>
              </w:rPr>
              <w:fldChar w:fldCharType="end"/>
            </w:r>
          </w:p>
        </w:tc>
      </w:tr>
      <w:tr w:rsidR="00942782" w:rsidRPr="008F4A58" w14:paraId="7E07B628" w14:textId="77777777" w:rsidTr="00E860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068969D" w14:textId="77777777" w:rsidR="00512EC8" w:rsidRPr="005413B4" w:rsidRDefault="00512EC8" w:rsidP="006D537D">
            <w:pPr>
              <w:jc w:val="right"/>
              <w:rPr>
                <w:rFonts w:cstheme="minorHAnsi"/>
                <w:b w:val="0"/>
                <w:sz w:val="18"/>
                <w:szCs w:val="18"/>
              </w:rPr>
            </w:pPr>
            <w:r w:rsidRPr="005413B4">
              <w:rPr>
                <w:rFonts w:cstheme="minorHAnsi"/>
                <w:b w:val="0"/>
                <w:sz w:val="18"/>
                <w:szCs w:val="18"/>
              </w:rPr>
              <w:t>[TEA][HSO</w:t>
            </w:r>
            <w:r w:rsidRPr="005413B4">
              <w:rPr>
                <w:rFonts w:cstheme="minorHAnsi"/>
                <w:b w:val="0"/>
                <w:sz w:val="18"/>
                <w:szCs w:val="18"/>
                <w:vertAlign w:val="subscript"/>
              </w:rPr>
              <w:t>4</w:t>
            </w:r>
            <w:r w:rsidRPr="005413B4">
              <w:rPr>
                <w:rFonts w:cstheme="minorHAnsi"/>
                <w:b w:val="0"/>
                <w:sz w:val="18"/>
                <w:szCs w:val="18"/>
              </w:rPr>
              <w:t>], 120°C, 4h, 15%</w:t>
            </w:r>
            <w:r w:rsidRPr="005413B4">
              <w:rPr>
                <w:rFonts w:cstheme="minorHAnsi"/>
                <w:b w:val="0"/>
                <w:sz w:val="18"/>
                <w:szCs w:val="18"/>
                <w:vertAlign w:val="subscript"/>
              </w:rPr>
              <w:t>DM</w:t>
            </w:r>
          </w:p>
        </w:tc>
        <w:tc>
          <w:tcPr>
            <w:tcW w:w="0" w:type="auto"/>
          </w:tcPr>
          <w:p w14:paraId="5766E458"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41%</w:t>
            </w:r>
          </w:p>
        </w:tc>
        <w:tc>
          <w:tcPr>
            <w:tcW w:w="0" w:type="auto"/>
          </w:tcPr>
          <w:p w14:paraId="2152DF9C"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44%</w:t>
            </w:r>
          </w:p>
        </w:tc>
        <w:tc>
          <w:tcPr>
            <w:tcW w:w="0" w:type="auto"/>
          </w:tcPr>
          <w:p w14:paraId="03591CC5"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0CB174C8"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74%</w:t>
            </w:r>
          </w:p>
        </w:tc>
        <w:tc>
          <w:tcPr>
            <w:tcW w:w="0" w:type="auto"/>
          </w:tcPr>
          <w:p w14:paraId="0ED9CD83"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54ADDE8D"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2D3F9766"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7B9FE52A"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45%</w:t>
            </w:r>
          </w:p>
        </w:tc>
        <w:tc>
          <w:tcPr>
            <w:tcW w:w="0" w:type="auto"/>
          </w:tcPr>
          <w:p w14:paraId="4027768B"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vMerge/>
          </w:tcPr>
          <w:p w14:paraId="44FB76C1"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r>
      <w:tr w:rsidR="00942782" w:rsidRPr="008F4A58" w14:paraId="00E66224" w14:textId="77777777" w:rsidTr="00E860C9">
        <w:tc>
          <w:tcPr>
            <w:cnfStyle w:val="001000000000" w:firstRow="0" w:lastRow="0" w:firstColumn="1" w:lastColumn="0" w:oddVBand="0" w:evenVBand="0" w:oddHBand="0" w:evenHBand="0" w:firstRowFirstColumn="0" w:firstRowLastColumn="0" w:lastRowFirstColumn="0" w:lastRowLastColumn="0"/>
            <w:tcW w:w="0" w:type="auto"/>
          </w:tcPr>
          <w:p w14:paraId="08E419E4" w14:textId="77777777" w:rsidR="00512EC8" w:rsidRPr="008F4A58" w:rsidRDefault="00512EC8" w:rsidP="006D537D">
            <w:pPr>
              <w:jc w:val="right"/>
              <w:rPr>
                <w:rFonts w:cstheme="minorHAnsi"/>
                <w:b w:val="0"/>
                <w:sz w:val="18"/>
                <w:szCs w:val="18"/>
              </w:rPr>
            </w:pPr>
            <w:r w:rsidRPr="008F4A58">
              <w:rPr>
                <w:rFonts w:cstheme="minorHAnsi"/>
                <w:b w:val="0"/>
                <w:sz w:val="18"/>
                <w:szCs w:val="18"/>
              </w:rPr>
              <w:t>[HBim][HSO4]</w:t>
            </w:r>
          </w:p>
        </w:tc>
        <w:tc>
          <w:tcPr>
            <w:tcW w:w="0" w:type="auto"/>
          </w:tcPr>
          <w:p w14:paraId="31C1EEF6"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80%</w:t>
            </w:r>
          </w:p>
        </w:tc>
        <w:tc>
          <w:tcPr>
            <w:tcW w:w="0" w:type="auto"/>
          </w:tcPr>
          <w:p w14:paraId="77F91081"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39%</w:t>
            </w:r>
          </w:p>
        </w:tc>
        <w:tc>
          <w:tcPr>
            <w:tcW w:w="0" w:type="auto"/>
          </w:tcPr>
          <w:p w14:paraId="28FB2D76"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470BC070"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66%</w:t>
            </w:r>
          </w:p>
        </w:tc>
        <w:tc>
          <w:tcPr>
            <w:tcW w:w="0" w:type="auto"/>
          </w:tcPr>
          <w:p w14:paraId="28E267D9"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10B6BD89"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4D91F21B"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7301DEA1"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36%</w:t>
            </w:r>
          </w:p>
        </w:tc>
        <w:tc>
          <w:tcPr>
            <w:tcW w:w="0" w:type="auto"/>
          </w:tcPr>
          <w:p w14:paraId="29C6CB1D"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vMerge/>
          </w:tcPr>
          <w:p w14:paraId="4A6ADE7E"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r>
      <w:tr w:rsidR="00942782" w:rsidRPr="008F4A58" w14:paraId="30299083" w14:textId="77777777" w:rsidTr="00E860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14FB4CE" w14:textId="77777777" w:rsidR="00512EC8" w:rsidRPr="008F4A58" w:rsidRDefault="00512EC8" w:rsidP="006D537D">
            <w:pPr>
              <w:jc w:val="right"/>
              <w:rPr>
                <w:rFonts w:cstheme="minorHAnsi"/>
                <w:b w:val="0"/>
                <w:sz w:val="18"/>
                <w:szCs w:val="18"/>
              </w:rPr>
            </w:pPr>
            <w:r w:rsidRPr="008F4A58">
              <w:rPr>
                <w:rFonts w:cstheme="minorHAnsi"/>
                <w:b w:val="0"/>
                <w:sz w:val="18"/>
                <w:szCs w:val="18"/>
              </w:rPr>
              <w:t>[HMim][HSO4]</w:t>
            </w:r>
          </w:p>
        </w:tc>
        <w:tc>
          <w:tcPr>
            <w:tcW w:w="0" w:type="auto"/>
          </w:tcPr>
          <w:p w14:paraId="09D7FF62"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79%</w:t>
            </w:r>
          </w:p>
        </w:tc>
        <w:tc>
          <w:tcPr>
            <w:tcW w:w="0" w:type="auto"/>
          </w:tcPr>
          <w:p w14:paraId="3E6D0896"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33%</w:t>
            </w:r>
          </w:p>
        </w:tc>
        <w:tc>
          <w:tcPr>
            <w:tcW w:w="0" w:type="auto"/>
          </w:tcPr>
          <w:p w14:paraId="77EF4A9A"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320DF1E1"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94%</w:t>
            </w:r>
          </w:p>
        </w:tc>
        <w:tc>
          <w:tcPr>
            <w:tcW w:w="0" w:type="auto"/>
          </w:tcPr>
          <w:p w14:paraId="5C0508FF"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48370AAF"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02A1B292"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104C3A19"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17%</w:t>
            </w:r>
          </w:p>
        </w:tc>
        <w:tc>
          <w:tcPr>
            <w:tcW w:w="0" w:type="auto"/>
          </w:tcPr>
          <w:p w14:paraId="575D8742"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vMerge/>
          </w:tcPr>
          <w:p w14:paraId="3A1AC5F8"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r>
      <w:tr w:rsidR="00942782" w:rsidRPr="008F4A58" w14:paraId="31C1B36A" w14:textId="77777777" w:rsidTr="00E860C9">
        <w:tc>
          <w:tcPr>
            <w:cnfStyle w:val="001000000000" w:firstRow="0" w:lastRow="0" w:firstColumn="1" w:lastColumn="0" w:oddVBand="0" w:evenVBand="0" w:oddHBand="0" w:evenHBand="0" w:firstRowFirstColumn="0" w:firstRowLastColumn="0" w:lastRowFirstColumn="0" w:lastRowLastColumn="0"/>
            <w:tcW w:w="0" w:type="auto"/>
          </w:tcPr>
          <w:p w14:paraId="4599CE20" w14:textId="77777777" w:rsidR="00512EC8" w:rsidRPr="008F4A58" w:rsidRDefault="00512EC8" w:rsidP="006D537D">
            <w:pPr>
              <w:jc w:val="right"/>
              <w:rPr>
                <w:rFonts w:cstheme="minorHAnsi"/>
                <w:b w:val="0"/>
                <w:sz w:val="18"/>
                <w:szCs w:val="18"/>
              </w:rPr>
            </w:pPr>
            <w:r w:rsidRPr="008F4A58">
              <w:rPr>
                <w:rFonts w:cstheme="minorHAnsi"/>
                <w:b w:val="0"/>
                <w:sz w:val="18"/>
                <w:szCs w:val="18"/>
              </w:rPr>
              <w:t>[TEA][HSO4], 150°C, 17%</w:t>
            </w:r>
            <w:r w:rsidRPr="008F4A58">
              <w:rPr>
                <w:rFonts w:cstheme="minorHAnsi"/>
                <w:b w:val="0"/>
                <w:sz w:val="18"/>
                <w:szCs w:val="18"/>
                <w:vertAlign w:val="subscript"/>
              </w:rPr>
              <w:t>DM</w:t>
            </w:r>
          </w:p>
        </w:tc>
        <w:tc>
          <w:tcPr>
            <w:tcW w:w="0" w:type="auto"/>
          </w:tcPr>
          <w:p w14:paraId="388587FA"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&gt;95%</w:t>
            </w:r>
          </w:p>
        </w:tc>
        <w:tc>
          <w:tcPr>
            <w:tcW w:w="0" w:type="auto"/>
          </w:tcPr>
          <w:p w14:paraId="75BE604D"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11-43%</w:t>
            </w:r>
          </w:p>
        </w:tc>
        <w:tc>
          <w:tcPr>
            <w:tcW w:w="0" w:type="auto"/>
          </w:tcPr>
          <w:p w14:paraId="23816C0D"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371AEECA"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29-50%</w:t>
            </w:r>
          </w:p>
        </w:tc>
        <w:tc>
          <w:tcPr>
            <w:tcW w:w="0" w:type="auto"/>
          </w:tcPr>
          <w:p w14:paraId="1F477A7A"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14324B8D"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688920A9"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6FB6D553"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27-40%</w:t>
            </w:r>
          </w:p>
        </w:tc>
        <w:tc>
          <w:tcPr>
            <w:tcW w:w="0" w:type="auto"/>
          </w:tcPr>
          <w:p w14:paraId="5422BA80"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vMerge/>
          </w:tcPr>
          <w:p w14:paraId="5359A953"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r>
      <w:tr w:rsidR="00942782" w:rsidRPr="008F4A58" w14:paraId="58A8EBA0" w14:textId="77777777" w:rsidTr="00E860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F0CB050" w14:textId="77777777" w:rsidR="00512EC8" w:rsidRPr="008F4A58" w:rsidRDefault="00512EC8" w:rsidP="006D537D">
            <w:pPr>
              <w:jc w:val="right"/>
              <w:rPr>
                <w:rFonts w:cstheme="minorHAnsi"/>
                <w:b w:val="0"/>
                <w:sz w:val="18"/>
                <w:szCs w:val="18"/>
              </w:rPr>
            </w:pPr>
            <w:r w:rsidRPr="008F4A58">
              <w:rPr>
                <w:rFonts w:cstheme="minorHAnsi"/>
                <w:b w:val="0"/>
                <w:sz w:val="18"/>
                <w:szCs w:val="18"/>
              </w:rPr>
              <w:t>[HBim][HSO4], 120°C, 9%</w:t>
            </w:r>
            <w:r w:rsidRPr="008F4A58">
              <w:rPr>
                <w:rFonts w:cstheme="minorHAnsi"/>
                <w:b w:val="0"/>
                <w:sz w:val="18"/>
                <w:szCs w:val="18"/>
                <w:vertAlign w:val="subscript"/>
              </w:rPr>
              <w:t>DM</w:t>
            </w:r>
          </w:p>
        </w:tc>
        <w:tc>
          <w:tcPr>
            <w:tcW w:w="0" w:type="auto"/>
          </w:tcPr>
          <w:p w14:paraId="54D4DFDA"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85-93%</w:t>
            </w:r>
          </w:p>
        </w:tc>
        <w:tc>
          <w:tcPr>
            <w:tcW w:w="0" w:type="auto"/>
          </w:tcPr>
          <w:p w14:paraId="059C9287"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15-49%</w:t>
            </w:r>
          </w:p>
        </w:tc>
        <w:tc>
          <w:tcPr>
            <w:tcW w:w="0" w:type="auto"/>
          </w:tcPr>
          <w:p w14:paraId="62AE00D5"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4862E9A2"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39-69%</w:t>
            </w:r>
          </w:p>
        </w:tc>
        <w:tc>
          <w:tcPr>
            <w:tcW w:w="0" w:type="auto"/>
          </w:tcPr>
          <w:p w14:paraId="15A9C82B"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2D70C4B5"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5A37183D"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0EA9B6C0"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28-48%</w:t>
            </w:r>
          </w:p>
        </w:tc>
        <w:tc>
          <w:tcPr>
            <w:tcW w:w="0" w:type="auto"/>
          </w:tcPr>
          <w:p w14:paraId="1FD4AE62"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vMerge/>
          </w:tcPr>
          <w:p w14:paraId="3D3295C8"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r>
      <w:tr w:rsidR="00942782" w:rsidRPr="008F4A58" w14:paraId="2812D82C" w14:textId="77777777" w:rsidTr="00E860C9">
        <w:tc>
          <w:tcPr>
            <w:cnfStyle w:val="001000000000" w:firstRow="0" w:lastRow="0" w:firstColumn="1" w:lastColumn="0" w:oddVBand="0" w:evenVBand="0" w:oddHBand="0" w:evenHBand="0" w:firstRowFirstColumn="0" w:firstRowLastColumn="0" w:lastRowFirstColumn="0" w:lastRowLastColumn="0"/>
            <w:tcW w:w="0" w:type="auto"/>
          </w:tcPr>
          <w:p w14:paraId="63644E63" w14:textId="77777777" w:rsidR="00512EC8" w:rsidRPr="008F4A58" w:rsidRDefault="00512EC8" w:rsidP="006D537D">
            <w:pPr>
              <w:jc w:val="right"/>
              <w:rPr>
                <w:rFonts w:cstheme="minorHAnsi"/>
                <w:b w:val="0"/>
                <w:sz w:val="18"/>
                <w:szCs w:val="18"/>
              </w:rPr>
            </w:pPr>
            <w:r w:rsidRPr="008F4A58">
              <w:rPr>
                <w:rFonts w:cstheme="minorHAnsi"/>
                <w:b w:val="0"/>
                <w:sz w:val="18"/>
                <w:szCs w:val="18"/>
              </w:rPr>
              <w:t>[DBMA][HSO</w:t>
            </w:r>
            <w:r w:rsidRPr="008F4A58">
              <w:rPr>
                <w:rFonts w:cstheme="minorHAnsi"/>
                <w:b w:val="0"/>
                <w:sz w:val="18"/>
                <w:szCs w:val="18"/>
                <w:vertAlign w:val="subscript"/>
              </w:rPr>
              <w:t>4</w:t>
            </w:r>
            <w:r w:rsidRPr="008F4A58">
              <w:rPr>
                <w:rFonts w:cstheme="minorHAnsi"/>
                <w:b w:val="0"/>
                <w:sz w:val="18"/>
                <w:szCs w:val="18"/>
              </w:rPr>
              <w:t>], 170°C, 30mn</w:t>
            </w:r>
          </w:p>
        </w:tc>
        <w:tc>
          <w:tcPr>
            <w:tcW w:w="0" w:type="auto"/>
          </w:tcPr>
          <w:p w14:paraId="1A201012"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83-93%</w:t>
            </w:r>
          </w:p>
        </w:tc>
        <w:tc>
          <w:tcPr>
            <w:tcW w:w="0" w:type="auto"/>
          </w:tcPr>
          <w:p w14:paraId="5B154FCA"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0-20%</w:t>
            </w:r>
          </w:p>
        </w:tc>
        <w:tc>
          <w:tcPr>
            <w:tcW w:w="0" w:type="auto"/>
          </w:tcPr>
          <w:p w14:paraId="5BA2DCA3"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11F73468"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20-60%</w:t>
            </w:r>
          </w:p>
        </w:tc>
        <w:tc>
          <w:tcPr>
            <w:tcW w:w="0" w:type="auto"/>
          </w:tcPr>
          <w:p w14:paraId="53A22F6E"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10026AE7"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47CBCE86"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70BEC3C4"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61693548"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60-80%</w:t>
            </w:r>
          </w:p>
        </w:tc>
        <w:tc>
          <w:tcPr>
            <w:tcW w:w="0" w:type="auto"/>
          </w:tcPr>
          <w:p w14:paraId="1C2DE765" w14:textId="36F87D9B"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fldChar w:fldCharType="begin"/>
            </w:r>
            <w:r w:rsidR="005413B4">
              <w:rPr>
                <w:rFonts w:cstheme="minorHAnsi"/>
                <w:sz w:val="18"/>
                <w:szCs w:val="18"/>
              </w:rPr>
              <w:instrText xml:space="preserve"> ADDIN ZOTERO_ITEM CSL_CITATION {"citationID":"teri7cO3","properties":{"formattedCitation":"\\super 155\\nosupersub{}","plainCitation":"155","noteIndex":0},"citationItems":[{"id":13496,"uris":["http://zotero.org/users/6423791/items/8IQAKZN5"],"itemData":{"id":13496,"type":"article-journal","abstract":"The study focused on the dual role of water as a cosolvent and an antisolvent in the [HSO4]-based protic ionic liquid biomass fractionation process using N,N,N-dimethylbutylammonium hydrogen sulfate, [DMBA][HSO4]. The eﬀectiveness of biomass fractionation using [DMBA][HSO4] mixed with diﬀerent concentrations of water of conventional bioreﬁnery feedstocks (Miscanthus and pine softwood) and nonconventional low-cost lignocellulosic biomass waste (treated timber and postconsumer waste wood) was investigated. The pulp composition, lignin extraction, and enzymatic hydrolysis of the cellulose pulp were analyzed after pretreatment at 170 °C for 30 min. We showed that it is possible to reduce the ionic liquid use in the process by increasing the water concentration as a cosolvent while still maintaining the eﬀective biomass deconstruction forMiscanthus and postconsumer waste wood. However, softwood biomass showed higher resistance to fractionation at higher water concentrations in the pretreatment medium. We also investigated the impact of reducing the amount of water used as an antisolvent for lignin precipitation in terms of lignin yields and properties. The robust performance of the fractionation process at the optimized antisolvent use was demonstrated using the challenging feedstock pine softwood over six pretreatment cycles. Finally, we demonstrated the signiﬁcance of evaluating water use for the energy requirements of the process, particularly in the ionic liquid regeneration step, achieving a 65% energy reduction.","container-title":"ACS Sustainable Chemistry &amp; Engineering","DOI":"10.1021/acssuschemeng.1c02299","ISSN":"2168-0485, 2168-0485","issue":"31","journalAbbreviation":"ACS Sustainable Chem. Eng.","language":"en","page":"10524-10536","source":"DOI.org (Crossref)","title":"Evaluating the Role of Water as a Cosolvent and an Antisolvent in [HSO &lt;sub&gt;4&lt;/sub&gt; ]-Based Protic Ionic Liquid Pretreatment","volume":"9","author":[{"family":"Abouelela","given":"Aida R."},{"family":"Al Ghatta","given":"Amir"},{"family":"Verdía","given":"Pedro"},{"family":"Shan Koo","given":"Miu"},{"family":"Lemus","given":"Jesús"},{"family":"Hallett","given":"Jason P."}],"issued":{"date-parts":[["2021",8,9]]}}}],"schema":"https://github.com/citation-style-language/schema/raw/master/csl-citation.json"} </w:instrText>
            </w:r>
            <w:r w:rsidRPr="008F4A58">
              <w:rPr>
                <w:rFonts w:cstheme="minorHAnsi"/>
                <w:sz w:val="18"/>
                <w:szCs w:val="18"/>
              </w:rPr>
              <w:fldChar w:fldCharType="separate"/>
            </w:r>
            <w:r w:rsidR="005413B4" w:rsidRPr="005413B4">
              <w:rPr>
                <w:rFonts w:ascii="Calibri" w:hAnsi="Calibri" w:cs="Calibri"/>
                <w:sz w:val="18"/>
                <w:szCs w:val="24"/>
                <w:vertAlign w:val="superscript"/>
              </w:rPr>
              <w:t>155</w:t>
            </w:r>
            <w:r w:rsidRPr="008F4A58">
              <w:rPr>
                <w:rFonts w:cstheme="minorHAnsi"/>
                <w:sz w:val="18"/>
                <w:szCs w:val="18"/>
              </w:rPr>
              <w:fldChar w:fldCharType="end"/>
            </w:r>
          </w:p>
        </w:tc>
      </w:tr>
      <w:tr w:rsidR="00942782" w:rsidRPr="008F4A58" w14:paraId="4E65E2B9" w14:textId="77777777" w:rsidTr="00E860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5FBD896" w14:textId="77777777" w:rsidR="00512EC8" w:rsidRPr="008F4A58" w:rsidRDefault="00512EC8" w:rsidP="006D537D">
            <w:pPr>
              <w:jc w:val="right"/>
              <w:rPr>
                <w:rFonts w:cstheme="minorHAnsi"/>
                <w:b w:val="0"/>
                <w:sz w:val="18"/>
                <w:szCs w:val="18"/>
              </w:rPr>
            </w:pPr>
            <w:r w:rsidRPr="008F4A58">
              <w:rPr>
                <w:rFonts w:cstheme="minorHAnsi"/>
                <w:b w:val="0"/>
                <w:sz w:val="18"/>
                <w:szCs w:val="18"/>
              </w:rPr>
              <w:t>[Ch][OAc], 120°C, 6h</w:t>
            </w:r>
          </w:p>
        </w:tc>
        <w:tc>
          <w:tcPr>
            <w:tcW w:w="0" w:type="auto"/>
          </w:tcPr>
          <w:p w14:paraId="59B0F311"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90%</w:t>
            </w:r>
          </w:p>
        </w:tc>
        <w:tc>
          <w:tcPr>
            <w:tcW w:w="0" w:type="auto"/>
          </w:tcPr>
          <w:p w14:paraId="7469C7B0"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34%</w:t>
            </w:r>
          </w:p>
        </w:tc>
        <w:tc>
          <w:tcPr>
            <w:tcW w:w="0" w:type="auto"/>
          </w:tcPr>
          <w:p w14:paraId="191E9616"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45709A3E"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90%</w:t>
            </w:r>
          </w:p>
        </w:tc>
        <w:tc>
          <w:tcPr>
            <w:tcW w:w="0" w:type="auto"/>
          </w:tcPr>
          <w:p w14:paraId="0BDA049C"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45EF7E1B"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0FC5BCCF"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2FE9135D"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18%</w:t>
            </w:r>
          </w:p>
        </w:tc>
        <w:tc>
          <w:tcPr>
            <w:tcW w:w="0" w:type="auto"/>
          </w:tcPr>
          <w:p w14:paraId="1B98992D"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70-80%</w:t>
            </w:r>
          </w:p>
        </w:tc>
        <w:tc>
          <w:tcPr>
            <w:tcW w:w="0" w:type="auto"/>
          </w:tcPr>
          <w:p w14:paraId="48390447" w14:textId="631BF668"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fldChar w:fldCharType="begin"/>
            </w:r>
            <w:r w:rsidR="005413B4">
              <w:rPr>
                <w:rFonts w:cstheme="minorHAnsi"/>
                <w:sz w:val="18"/>
                <w:szCs w:val="18"/>
              </w:rPr>
              <w:instrText xml:space="preserve"> ADDIN ZOTERO_ITEM CSL_CITATION {"citationID":"ZYbrvGAC","properties":{"formattedCitation":"\\super 159\\nosupersub{}","plainCitation":"159","noteIndex":0},"citationItems":[{"id":13499,"uris":["http://zotero.org/users/6423791/items/7BQC7723"],"itemData":{"id":13499,"type":"article-journal","abstract":"Ionic liquids have shown promising results in biomass pretreatment; however, an extensive water washing step is necessary. This fact increases not only the processing costs but also those associated with the ionic liquid recovery step. In this work, Eucalyptus globulus wood pretreated with two acetate-based ionic liquids, namely 1-ethyl-3-methylimidazolium acetate and choline acetate, has been washed with increasing volumes of water in order to analyze the influence of the amount of washing water used on the subsequent enzymatic hydrolysis stage and on the IL recovery costs. Vapor–liquid equilibria data of recovered ionic liquid/water mixtures have been determined to simulate the IL recovery step with Aspen Plus, calculating the operating costs using the Aspen Plus Economics Analyzer afterward. [Emim][OAc] was more efficiently washed and more effective toward wood pretreatment than [Ch][OAc]. Both IL/water systems were successfully modeled, and simulation studies showed that incremental volumes of water led to higher operating costs in the IL recovery step that are compensated with less IL makeup costs. Therefore, this work offers a technoeconomical analysis of the IL recovery step in a real biorefinery pretreatment process as a function of the volume of water used in the pretreated wood washing stage.","container-title":"ACS Sustainable Chemistry &amp; Engineering","DOI":"10.1021/acssuschemeng.1c01361","issue":"25","journalAbbreviation":"ACS Sustainable Chem. Eng.","note":"publisher: American Chemical Society","page":"8467-8476","source":"ACS Publications","title":"Technoeconomic Assessment of a Biomass Pretreatment + Ionic Liquid Recovery Process with Aprotic and Choline Derived Ionic Liquids","volume":"9","author":[{"family":"Ovejero-Pérez","given":"Antonio"},{"family":"Ayuso","given":"Miguel"},{"family":"Rigual","given":"Victoria"},{"family":"Domínguez","given":"Juan Carlos"},{"family":"García","given":"Julián"},{"family":"Alonso","given":"M. Virginia"},{"family":"Oliet","given":"Mercedes"},{"family":"Rodriguez","given":"Francisco"}],"issued":{"date-parts":[["2021",6,28]]}}}],"schema":"https://github.com/citation-style-language/schema/raw/master/csl-citation.json"} </w:instrText>
            </w:r>
            <w:r w:rsidRPr="008F4A58">
              <w:rPr>
                <w:rFonts w:cstheme="minorHAnsi"/>
                <w:sz w:val="18"/>
                <w:szCs w:val="18"/>
              </w:rPr>
              <w:fldChar w:fldCharType="separate"/>
            </w:r>
            <w:r w:rsidR="005413B4" w:rsidRPr="005413B4">
              <w:rPr>
                <w:rFonts w:ascii="Calibri" w:hAnsi="Calibri" w:cs="Calibri"/>
                <w:sz w:val="18"/>
                <w:szCs w:val="24"/>
                <w:vertAlign w:val="superscript"/>
              </w:rPr>
              <w:t>159</w:t>
            </w:r>
            <w:r w:rsidRPr="008F4A58">
              <w:rPr>
                <w:rFonts w:cstheme="minorHAnsi"/>
                <w:sz w:val="18"/>
                <w:szCs w:val="18"/>
              </w:rPr>
              <w:fldChar w:fldCharType="end"/>
            </w:r>
          </w:p>
        </w:tc>
      </w:tr>
      <w:tr w:rsidR="00512EC8" w:rsidRPr="008F4A58" w14:paraId="60658ED3" w14:textId="77777777" w:rsidTr="00E860C9">
        <w:tc>
          <w:tcPr>
            <w:cnfStyle w:val="001000000000" w:firstRow="0" w:lastRow="0" w:firstColumn="1" w:lastColumn="0" w:oddVBand="0" w:evenVBand="0" w:oddHBand="0" w:evenHBand="0" w:firstRowFirstColumn="0" w:firstRowLastColumn="0" w:lastRowFirstColumn="0" w:lastRowLastColumn="0"/>
            <w:tcW w:w="0" w:type="auto"/>
            <w:gridSpan w:val="11"/>
          </w:tcPr>
          <w:p w14:paraId="35B79F43" w14:textId="77777777" w:rsidR="00512EC8" w:rsidRPr="008F4A58" w:rsidRDefault="00512EC8" w:rsidP="006D537D">
            <w:pPr>
              <w:rPr>
                <w:rFonts w:cstheme="minorHAnsi"/>
                <w:b w:val="0"/>
                <w:sz w:val="18"/>
                <w:szCs w:val="18"/>
              </w:rPr>
            </w:pPr>
            <w:r w:rsidRPr="008F4A58">
              <w:rPr>
                <w:rFonts w:cstheme="minorHAnsi"/>
                <w:b w:val="0"/>
                <w:sz w:val="18"/>
                <w:szCs w:val="18"/>
              </w:rPr>
              <w:t>Other pretreatment technics (non-IL), for comparison</w:t>
            </w:r>
          </w:p>
        </w:tc>
      </w:tr>
      <w:tr w:rsidR="00942782" w:rsidRPr="008F4A58" w14:paraId="27535966" w14:textId="77777777" w:rsidTr="00E860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3252B6A" w14:textId="77777777" w:rsidR="00512EC8" w:rsidRPr="008F4A58" w:rsidRDefault="00512EC8" w:rsidP="006D537D">
            <w:pPr>
              <w:jc w:val="right"/>
              <w:rPr>
                <w:rFonts w:cstheme="minorHAnsi"/>
                <w:b w:val="0"/>
                <w:sz w:val="18"/>
                <w:szCs w:val="18"/>
              </w:rPr>
            </w:pPr>
            <w:r w:rsidRPr="008F4A58">
              <w:rPr>
                <w:rFonts w:cstheme="minorHAnsi"/>
                <w:b w:val="0"/>
                <w:sz w:val="18"/>
                <w:szCs w:val="18"/>
              </w:rPr>
              <w:t>Steam explosion (15mn, 1%H</w:t>
            </w:r>
            <w:r w:rsidRPr="008F4A58">
              <w:rPr>
                <w:rFonts w:cstheme="minorHAnsi"/>
                <w:b w:val="0"/>
                <w:sz w:val="18"/>
                <w:szCs w:val="18"/>
                <w:vertAlign w:val="subscript"/>
              </w:rPr>
              <w:t>2</w:t>
            </w:r>
            <w:r w:rsidRPr="008F4A58">
              <w:rPr>
                <w:rFonts w:cstheme="minorHAnsi"/>
                <w:b w:val="0"/>
                <w:sz w:val="18"/>
                <w:szCs w:val="18"/>
              </w:rPr>
              <w:t>SO</w:t>
            </w:r>
            <w:r w:rsidRPr="008F4A58">
              <w:rPr>
                <w:rFonts w:cstheme="minorHAnsi"/>
                <w:b w:val="0"/>
                <w:sz w:val="18"/>
                <w:szCs w:val="18"/>
                <w:vertAlign w:val="subscript"/>
              </w:rPr>
              <w:t>4</w:t>
            </w:r>
            <w:r w:rsidRPr="008F4A58">
              <w:rPr>
                <w:rFonts w:cstheme="minorHAnsi"/>
                <w:b w:val="0"/>
                <w:sz w:val="18"/>
                <w:szCs w:val="18"/>
              </w:rPr>
              <w:t>, 190°C, 5.57bars)</w:t>
            </w:r>
          </w:p>
        </w:tc>
        <w:tc>
          <w:tcPr>
            <w:tcW w:w="0" w:type="auto"/>
          </w:tcPr>
          <w:p w14:paraId="33FF5787"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83%</w:t>
            </w:r>
          </w:p>
        </w:tc>
        <w:tc>
          <w:tcPr>
            <w:tcW w:w="0" w:type="auto"/>
          </w:tcPr>
          <w:p w14:paraId="65CD9D99"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31%</w:t>
            </w:r>
          </w:p>
        </w:tc>
        <w:tc>
          <w:tcPr>
            <w:tcW w:w="0" w:type="auto"/>
          </w:tcPr>
          <w:p w14:paraId="1C23E255"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27AE9200"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6F23C989"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4AF78E2C"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1615FC23"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64768F7F"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336BF199"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57%</w:t>
            </w:r>
          </w:p>
        </w:tc>
        <w:tc>
          <w:tcPr>
            <w:tcW w:w="0" w:type="auto"/>
          </w:tcPr>
          <w:p w14:paraId="4F205B17" w14:textId="38608F16"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fldChar w:fldCharType="begin"/>
            </w:r>
            <w:r w:rsidR="005413B4">
              <w:rPr>
                <w:rFonts w:cstheme="minorHAnsi"/>
                <w:sz w:val="18"/>
                <w:szCs w:val="18"/>
              </w:rPr>
              <w:instrText xml:space="preserve"> ADDIN ZOTERO_ITEM CSL_CITATION {"citationID":"ElaYeT9F","properties":{"formattedCitation":"\\super 132\\nosupersub{}","plainCitation":"132","noteIndex":0},"citationItems":[{"id":9392,"uris":["http://zotero.org/users/6423791/items/5M6ND2Q5"],"itemData":{"id":9392,"type":"article-journal","abstract":"In recent years, the cellular agriculture concept has been proposed as an option to replace livestock proteins. This study presents a conceptual level techno-economic analysis of four concepts where food is produced by microorganisms based on wheat straw. Three single-cell proteins and one recombinant protein process were conceptualized. The process included steam explosion pretreatment, enzymatic hydrolysis, fermentation, and downstream processing. The enzymatic hydrolysis was optimized to minimize the production costs. The minimum protein selling price was determined by net present value using the discounted cash-flow method, which was compared to respective animal and plant proteins. The minimum protein selling prices were 5160–9007 €/ton proposing the processes to be in the feasible range, but the processes still require further development. The sensitivity of the parameters was estimated by sensitivity analysis, which revealed the most critical components in the production to be capacity, investment, interest, and enzyme and raw material costs.","container-title":"Bioresource Technology Reports","DOI":"10.1016/j.biteb.2021.100683","ISSN":"2589-014X","journalAbbreviation":"Bioresour. Technol. Rep.","language":"en","page":"100683","source":"ScienceDirect","title":"Economic comparison of food protein production with single-cell organisms from lignocellulose side-streams","volume":"14","author":[{"family":"Voutilainen","given":"Eveliina"},{"family":"Pihlajaniemi","given":"Ville"},{"family":"Parviainen","given":"Tuure"}],"issued":{"date-parts":[["2021",3,18]]}}}],"schema":"https://github.com/citation-style-language/schema/raw/master/csl-citation.json"} </w:instrText>
            </w:r>
            <w:r w:rsidRPr="008F4A58">
              <w:rPr>
                <w:rFonts w:cstheme="minorHAnsi"/>
                <w:sz w:val="18"/>
                <w:szCs w:val="18"/>
              </w:rPr>
              <w:fldChar w:fldCharType="separate"/>
            </w:r>
            <w:r w:rsidR="005413B4" w:rsidRPr="005413B4">
              <w:rPr>
                <w:rFonts w:ascii="Calibri" w:hAnsi="Calibri" w:cs="Calibri"/>
                <w:sz w:val="18"/>
                <w:szCs w:val="24"/>
                <w:vertAlign w:val="superscript"/>
              </w:rPr>
              <w:t>132</w:t>
            </w:r>
            <w:r w:rsidRPr="008F4A58">
              <w:rPr>
                <w:rFonts w:cstheme="minorHAnsi"/>
                <w:sz w:val="18"/>
                <w:szCs w:val="18"/>
              </w:rPr>
              <w:fldChar w:fldCharType="end"/>
            </w:r>
          </w:p>
        </w:tc>
      </w:tr>
      <w:tr w:rsidR="00942782" w:rsidRPr="008F4A58" w14:paraId="3466E8A7" w14:textId="77777777" w:rsidTr="00E860C9">
        <w:tc>
          <w:tcPr>
            <w:cnfStyle w:val="001000000000" w:firstRow="0" w:lastRow="0" w:firstColumn="1" w:lastColumn="0" w:oddVBand="0" w:evenVBand="0" w:oddHBand="0" w:evenHBand="0" w:firstRowFirstColumn="0" w:firstRowLastColumn="0" w:lastRowFirstColumn="0" w:lastRowLastColumn="0"/>
            <w:tcW w:w="0" w:type="auto"/>
          </w:tcPr>
          <w:p w14:paraId="439961F1" w14:textId="77777777" w:rsidR="00512EC8" w:rsidRPr="008F4A58" w:rsidRDefault="00512EC8" w:rsidP="006D537D">
            <w:pPr>
              <w:jc w:val="right"/>
              <w:rPr>
                <w:rFonts w:cstheme="minorHAnsi"/>
                <w:b w:val="0"/>
                <w:sz w:val="18"/>
                <w:szCs w:val="18"/>
              </w:rPr>
            </w:pPr>
            <w:r w:rsidRPr="008F4A58">
              <w:rPr>
                <w:rFonts w:cstheme="minorHAnsi"/>
                <w:b w:val="0"/>
                <w:sz w:val="18"/>
                <w:szCs w:val="18"/>
              </w:rPr>
              <w:t>SPORL treatment</w:t>
            </w:r>
          </w:p>
        </w:tc>
        <w:tc>
          <w:tcPr>
            <w:tcW w:w="0" w:type="auto"/>
          </w:tcPr>
          <w:p w14:paraId="6E4F23C1"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59%</w:t>
            </w:r>
          </w:p>
        </w:tc>
        <w:tc>
          <w:tcPr>
            <w:tcW w:w="0" w:type="auto"/>
          </w:tcPr>
          <w:p w14:paraId="6D1B8EB5"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10%</w:t>
            </w:r>
            <w:r w:rsidRPr="008F4A58">
              <w:rPr>
                <w:rFonts w:cstheme="minorHAnsi"/>
                <w:sz w:val="18"/>
                <w:szCs w:val="18"/>
                <w:vertAlign w:val="superscript"/>
              </w:rPr>
              <w:t>*</w:t>
            </w:r>
          </w:p>
        </w:tc>
        <w:tc>
          <w:tcPr>
            <w:tcW w:w="0" w:type="auto"/>
          </w:tcPr>
          <w:p w14:paraId="553EAFA9"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60E5D49D"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6C1A6C4A"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4CB94A3E"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7B6213FF"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7CA617EB"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35%</w:t>
            </w:r>
          </w:p>
        </w:tc>
        <w:tc>
          <w:tcPr>
            <w:tcW w:w="0" w:type="auto"/>
          </w:tcPr>
          <w:p w14:paraId="0AF07CFF"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46F80865" w14:textId="03D075E1"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fldChar w:fldCharType="begin"/>
            </w:r>
            <w:r w:rsidR="005413B4">
              <w:rPr>
                <w:rFonts w:cstheme="minorHAnsi"/>
                <w:sz w:val="18"/>
                <w:szCs w:val="18"/>
              </w:rPr>
              <w:instrText xml:space="preserve"> ADDIN ZOTERO_ITEM CSL_CITATION {"citationID":"BgNQHr8r","properties":{"formattedCitation":"\\super 160\\nosupersub{}","plainCitation":"160","noteIndex":0},"citationItems":[{"id":14068,"uris":["http://zotero.org/users/6423791/items/TS3JFBRR"],"itemData":{"id":14068,"type":"article-journal","abstract":"Climate neutrality is becoming a core long-term competitiveness asset within the aviation industry, as demonstrated by the several innovations and targets set within that sector, prior to and especially after the COVID-19 crisis. Ambitious timelines are set, involving important investment decisions to be taken in a 5-years horizon time. Here, we provide an in-depth review of alternative technologies for sustainable aviation revealed to date, which we classified into four main categories, namely i) biofuels, ii) electrofuels, iii) electric (battery-based), and iv) hydrogen aviation. Nine biofuel and nine electrofuel pathways were reviewed, for which we supply the detailed process flow picturing all input, output, and co-products generated. The market uptake and use of these co-products was also investigated, along with the overall international regulations and targets for future aviation. As most of the inventoried pathways require hydrogen, we further reviewed six existing and emerging carbon-free hydrogen production technologies. Our review also details the five key battery technologies available (lithium-ion, advanced lithium-ion, solid-state battery, lithium-sulfur, lithium-air) for aviation. A semi-quantitative ranking covering environmental-, economic-, and technological performance indicators has been established to guide the selection of promising routes. The possible configuration schemes for electric propulsion systems are documented and classified as: i) battery-based, ii) fuel cell-based and iii) turboelectric configurations. Our review studied these four categories of sustainable aviation systems as modular technologies, yet these still have to be used in a hybridized fashion with conventional fossil-based kerosene. This is among others due to an aromatics content below the standardized requirements for biofuels and electrofuels, to a too low energy storage capacity in the case of batteries, or a sub-optimal gas turbine engine in the case of cryogenic hydrogen. Yet, we found that the latter was the only available option, based on the current and emerging technologies reviewed, for long-range aviation completely decoupled of fossil-based hydrocarbon fuels. The various challenges and opportunities associated with all these technologies are summarized in this study.","container-title":"Progress in Energy and Combustion Science","DOI":"10.1016/j.pecs.2023.101073","ISSN":"0360-1285","journalAbbreviation":"Prog. Energy Combust. Sci.","language":"en","page":"101073","source":"ScienceDirect","title":"Biofuels, electrofuels, electric or hydrogen?: A review of current and emerging sustainable aviation systems","title-short":"Biofuels, electrofuels, electric or hydrogen?","volume":"96","author":[{"family":"Su-ungkavatin","given":"Pimchanok"},{"family":"Tiruta-Barna","given":"Ligia"},{"family":"Hamelin","given":"Lorie"}],"issued":{"date-parts":[["2023",5,1]]}}}],"schema":"https://github.com/citation-style-language/schema/raw/master/csl-citation.json"} </w:instrText>
            </w:r>
            <w:r w:rsidRPr="008F4A58">
              <w:rPr>
                <w:rFonts w:cstheme="minorHAnsi"/>
                <w:sz w:val="18"/>
                <w:szCs w:val="18"/>
              </w:rPr>
              <w:fldChar w:fldCharType="separate"/>
            </w:r>
            <w:r w:rsidR="005413B4" w:rsidRPr="005413B4">
              <w:rPr>
                <w:rFonts w:ascii="Calibri" w:hAnsi="Calibri" w:cs="Calibri"/>
                <w:sz w:val="18"/>
                <w:szCs w:val="24"/>
                <w:vertAlign w:val="superscript"/>
              </w:rPr>
              <w:t>160</w:t>
            </w:r>
            <w:r w:rsidRPr="008F4A58">
              <w:rPr>
                <w:rFonts w:cstheme="minorHAnsi"/>
                <w:sz w:val="18"/>
                <w:szCs w:val="18"/>
              </w:rPr>
              <w:fldChar w:fldCharType="end"/>
            </w:r>
          </w:p>
        </w:tc>
      </w:tr>
      <w:tr w:rsidR="00942782" w:rsidRPr="008F4A58" w14:paraId="002C5558" w14:textId="77777777" w:rsidTr="00E860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AF81FF6" w14:textId="77777777" w:rsidR="00512EC8" w:rsidRPr="008F4A58" w:rsidRDefault="00512EC8" w:rsidP="006D537D">
            <w:pPr>
              <w:jc w:val="right"/>
              <w:rPr>
                <w:rFonts w:cstheme="minorHAnsi"/>
                <w:b w:val="0"/>
                <w:sz w:val="18"/>
                <w:szCs w:val="18"/>
              </w:rPr>
            </w:pPr>
            <w:r w:rsidRPr="008F4A58">
              <w:rPr>
                <w:rFonts w:cstheme="minorHAnsi"/>
                <w:b w:val="0"/>
                <w:sz w:val="18"/>
                <w:szCs w:val="18"/>
              </w:rPr>
              <w:t>Alkaline extraction and deacetylation (NaOH)</w:t>
            </w:r>
          </w:p>
        </w:tc>
        <w:tc>
          <w:tcPr>
            <w:tcW w:w="0" w:type="auto"/>
          </w:tcPr>
          <w:p w14:paraId="4BEF23A4"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98%</w:t>
            </w:r>
          </w:p>
        </w:tc>
        <w:tc>
          <w:tcPr>
            <w:tcW w:w="0" w:type="auto"/>
          </w:tcPr>
          <w:p w14:paraId="30372D69"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86%</w:t>
            </w:r>
            <w:r w:rsidRPr="008F4A58">
              <w:rPr>
                <w:rFonts w:cstheme="minorHAnsi"/>
                <w:sz w:val="18"/>
                <w:szCs w:val="18"/>
                <w:vertAlign w:val="superscript"/>
              </w:rPr>
              <w:t>*</w:t>
            </w:r>
          </w:p>
        </w:tc>
        <w:tc>
          <w:tcPr>
            <w:tcW w:w="0" w:type="auto"/>
          </w:tcPr>
          <w:p w14:paraId="4FD5DF06"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50%</w:t>
            </w:r>
          </w:p>
        </w:tc>
        <w:tc>
          <w:tcPr>
            <w:tcW w:w="0" w:type="auto"/>
          </w:tcPr>
          <w:p w14:paraId="5AD9C6C4"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53%</w:t>
            </w:r>
          </w:p>
        </w:tc>
        <w:tc>
          <w:tcPr>
            <w:tcW w:w="0" w:type="auto"/>
          </w:tcPr>
          <w:p w14:paraId="6FAB2205"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100%</w:t>
            </w:r>
          </w:p>
        </w:tc>
        <w:tc>
          <w:tcPr>
            <w:tcW w:w="0" w:type="auto"/>
          </w:tcPr>
          <w:p w14:paraId="13450B56"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34%</w:t>
            </w:r>
          </w:p>
        </w:tc>
        <w:tc>
          <w:tcPr>
            <w:tcW w:w="0" w:type="auto"/>
          </w:tcPr>
          <w:p w14:paraId="5AD09CE9"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70%</w:t>
            </w:r>
          </w:p>
        </w:tc>
        <w:tc>
          <w:tcPr>
            <w:tcW w:w="0" w:type="auto"/>
          </w:tcPr>
          <w:p w14:paraId="1020791B"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32%</w:t>
            </w:r>
          </w:p>
        </w:tc>
        <w:tc>
          <w:tcPr>
            <w:tcW w:w="0" w:type="auto"/>
          </w:tcPr>
          <w:p w14:paraId="48D2A7D9"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547DFBA9" w14:textId="4DDEC38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fldChar w:fldCharType="begin"/>
            </w:r>
            <w:r w:rsidR="005413B4">
              <w:rPr>
                <w:rFonts w:cstheme="minorHAnsi"/>
                <w:sz w:val="18"/>
                <w:szCs w:val="18"/>
              </w:rPr>
              <w:instrText xml:space="preserve"> ADDIN ZOTERO_ITEM CSL_CITATION {"citationID":"Dzec5a5c","properties":{"formattedCitation":"\\super 135\\nosupersub{}","plainCitation":"135","noteIndex":0},"citationItems":[{"id":3367,"uris":["http://zotero.org/users/6423791/items/9SUGPF3U"],"itemData":{"id":3367,"type":"report","language":"en","note":"DOI: 10.2172/1483234","number":"NREL/TP--5100-71949, 1483234","page":"NREL/TP--5100-71949, 1483234","source":"DOI.org (Crossref)","title":"Process Design and Economics for the Conversion of Lignocellulosic Biomass to Hydrocarbon Fuels and Coproducts: 2018 Biochemical Design Case Update; Biochemical Deconstruction and Conversion of Biomass to Fuels and Products via Integrated Biorefinery Pathways","title-short":"Process Design and Economics for the Conversion of Lignocellulosic Biomass to Hydrocarbon Fuels and Coproducts","URL":"http://www.osti.gov/servlets/purl/1483234/","author":[{"family":"Davis","given":"Ryan E."},{"family":"Grundl","given":"Nicholas J."},{"family":"Tao","given":"Ling"},{"family":"Biddy","given":"Mary J."},{"family":"Tan","given":"Eric C."},{"family":"Beckham","given":"Gregg T."},{"family":"Humbird","given":"David"},{"family":"Thompson","given":"David N."},{"family":"Roni","given":"Mohammad S."}],"accessed":{"date-parts":[["2021",1,27]]},"issued":{"date-parts":[["2018",11,19]]}}}],"schema":"https://github.com/citation-style-language/schema/raw/master/csl-citation.json"} </w:instrText>
            </w:r>
            <w:r w:rsidRPr="008F4A58">
              <w:rPr>
                <w:rFonts w:cstheme="minorHAnsi"/>
                <w:sz w:val="18"/>
                <w:szCs w:val="18"/>
              </w:rPr>
              <w:fldChar w:fldCharType="separate"/>
            </w:r>
            <w:r w:rsidR="005413B4" w:rsidRPr="005413B4">
              <w:rPr>
                <w:rFonts w:ascii="Calibri" w:hAnsi="Calibri" w:cs="Calibri"/>
                <w:sz w:val="18"/>
                <w:szCs w:val="24"/>
                <w:vertAlign w:val="superscript"/>
              </w:rPr>
              <w:t>135</w:t>
            </w:r>
            <w:r w:rsidRPr="008F4A58">
              <w:rPr>
                <w:rFonts w:cstheme="minorHAnsi"/>
                <w:sz w:val="18"/>
                <w:szCs w:val="18"/>
              </w:rPr>
              <w:fldChar w:fldCharType="end"/>
            </w:r>
          </w:p>
        </w:tc>
      </w:tr>
      <w:tr w:rsidR="00942782" w:rsidRPr="008F4A58" w14:paraId="3F1D0C7B" w14:textId="77777777" w:rsidTr="00E860C9">
        <w:tc>
          <w:tcPr>
            <w:cnfStyle w:val="001000000000" w:firstRow="0" w:lastRow="0" w:firstColumn="1" w:lastColumn="0" w:oddVBand="0" w:evenVBand="0" w:oddHBand="0" w:evenHBand="0" w:firstRowFirstColumn="0" w:firstRowLastColumn="0" w:lastRowFirstColumn="0" w:lastRowLastColumn="0"/>
            <w:tcW w:w="0" w:type="auto"/>
          </w:tcPr>
          <w:p w14:paraId="3FD2C75E" w14:textId="77777777" w:rsidR="00512EC8" w:rsidRPr="008F4A58" w:rsidRDefault="00512EC8" w:rsidP="006D537D">
            <w:pPr>
              <w:jc w:val="right"/>
              <w:rPr>
                <w:rFonts w:cstheme="minorHAnsi"/>
                <w:b w:val="0"/>
                <w:sz w:val="18"/>
                <w:szCs w:val="18"/>
              </w:rPr>
            </w:pPr>
            <w:r w:rsidRPr="008F4A58">
              <w:rPr>
                <w:rFonts w:cstheme="minorHAnsi"/>
                <w:b w:val="0"/>
                <w:sz w:val="18"/>
                <w:szCs w:val="18"/>
              </w:rPr>
              <w:t>210°C, 19bars</w:t>
            </w:r>
          </w:p>
        </w:tc>
        <w:tc>
          <w:tcPr>
            <w:tcW w:w="0" w:type="auto"/>
          </w:tcPr>
          <w:p w14:paraId="1437360C"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94%</w:t>
            </w:r>
          </w:p>
        </w:tc>
        <w:tc>
          <w:tcPr>
            <w:tcW w:w="0" w:type="auto"/>
          </w:tcPr>
          <w:p w14:paraId="25212481"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20-50%</w:t>
            </w:r>
          </w:p>
        </w:tc>
        <w:tc>
          <w:tcPr>
            <w:tcW w:w="0" w:type="auto"/>
          </w:tcPr>
          <w:p w14:paraId="038240E8"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0-10%</w:t>
            </w:r>
          </w:p>
        </w:tc>
        <w:tc>
          <w:tcPr>
            <w:tcW w:w="0" w:type="auto"/>
          </w:tcPr>
          <w:p w14:paraId="3700C82B"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t>85%</w:t>
            </w:r>
          </w:p>
        </w:tc>
        <w:tc>
          <w:tcPr>
            <w:tcW w:w="0" w:type="auto"/>
          </w:tcPr>
          <w:p w14:paraId="340BE2D4"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4709A440"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57EEFECB"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06B19FE5"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674FC81D"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tcPr>
          <w:p w14:paraId="7ABCFC04" w14:textId="52F885A1"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sz w:val="18"/>
                <w:szCs w:val="18"/>
              </w:rPr>
              <w:fldChar w:fldCharType="begin"/>
            </w:r>
            <w:r w:rsidR="005413B4">
              <w:rPr>
                <w:rFonts w:cstheme="minorHAnsi"/>
                <w:sz w:val="18"/>
                <w:szCs w:val="18"/>
              </w:rPr>
              <w:instrText xml:space="preserve"> ADDIN ZOTERO_ITEM CSL_CITATION {"citationID":"fOzynV24","properties":{"formattedCitation":"\\super 161\\nosupersub{}","plainCitation":"161","noteIndex":0},"citationItems":[{"id":12896,"uris":["http://zotero.org/users/6423791/items/RMZAFICV"],"itemData":{"id":12896,"type":"chapter","abstract":"Biorefineries design, as for other industries, usually target the economy of scale approach, maximizing processing capacities to achieve economic viability. However, the installation of large-scale biorefineries has some drawbacks, namely their high capital costs and the difficulty to assure a proper supply of biomass at regional level. Small-scale, self-sustainable, biorefineries can solve several of the challenges of their larger competitors and are also reported to expand environmental and social benefits, but several hurdles for their deployment still exist.This chapter describes a methodology for the implementation of an integrated small-scale self-sustainable biorefinery in a rural area, based on a design that takes advantage of the synergies of processing two types of feedstock (corn stover and swine manure). A detailed explanation for the process selection by performing a heuristic analysis, process simulation, mass and energy balances alongside with the techno-economic assessment of the biorefinery is provided. The full life cycle assessment (LCA) of producing xylo-oligosaccharides (XOS) and ethanol from lignocellulosic residues, i.e. corn stover, under a biorefinery concept to be located in Portugal is also assessed.","collection-title":"Clean Energy Production Technologies","container-title":"Hemicellulose Biorefinery: A Sustainable Solution for Value Addition to Bio-Based Products and Bioenergy","event-place":"Singapore","ISBN":"9789811636820","language":"en","note":"DOI: 10.1007/978-981-16-3682-0_3","page":"71-109","publisher":"Springer","publisher-place":"Singapore","source":"Springer Link","title":"Production of Hemicellulosic Sugars from Residual Lignocellulosic Biomass in an Integrated Small-Scale Biorefinery: Techno-Economic and Life Cycle Assessments","title-short":"Production of Hemicellulosic Sugars from Residual Lignocellulosic Biomass in an Integrated Small-Scale Biorefinery","URL":"https://doi.org/10.1007/978-981-16-3682-0_3","author":[{"family":"Lopes","given":"Tiago F."},{"family":"Duarte","given":"Luís C."},{"family":"Carvalheiro","given":"Florbela"},{"family":"Cardona","given":"Carlos A."},{"family":"Gírio","given":"Francisco"}],"editor":[{"family":"Brienzo","given":"Michel"}],"accessed":{"date-parts":[["2022",1,8]]},"issued":{"date-parts":[["2022"]]}}}],"schema":"https://github.com/citation-style-language/schema/raw/master/csl-citation.json"} </w:instrText>
            </w:r>
            <w:r w:rsidRPr="008F4A58">
              <w:rPr>
                <w:rFonts w:cstheme="minorHAnsi"/>
                <w:sz w:val="18"/>
                <w:szCs w:val="18"/>
              </w:rPr>
              <w:fldChar w:fldCharType="separate"/>
            </w:r>
            <w:r w:rsidR="005413B4" w:rsidRPr="005413B4">
              <w:rPr>
                <w:rFonts w:ascii="Calibri" w:hAnsi="Calibri" w:cs="Calibri"/>
                <w:sz w:val="18"/>
                <w:szCs w:val="24"/>
                <w:vertAlign w:val="superscript"/>
              </w:rPr>
              <w:t>161</w:t>
            </w:r>
            <w:r w:rsidRPr="008F4A58">
              <w:rPr>
                <w:rFonts w:cstheme="minorHAnsi"/>
                <w:sz w:val="18"/>
                <w:szCs w:val="18"/>
              </w:rPr>
              <w:fldChar w:fldCharType="end"/>
            </w:r>
          </w:p>
        </w:tc>
      </w:tr>
      <w:tr w:rsidR="00942782" w:rsidRPr="008F4A58" w14:paraId="3798CC70" w14:textId="77777777" w:rsidTr="00E860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8749B3B" w14:textId="77777777" w:rsidR="00512EC8" w:rsidRPr="008F4A58" w:rsidRDefault="00512EC8" w:rsidP="006D537D">
            <w:pPr>
              <w:jc w:val="right"/>
              <w:rPr>
                <w:rFonts w:cstheme="minorHAnsi"/>
                <w:b w:val="0"/>
                <w:sz w:val="18"/>
                <w:szCs w:val="18"/>
              </w:rPr>
            </w:pPr>
            <w:r w:rsidRPr="008F4A58">
              <w:rPr>
                <w:rFonts w:cstheme="minorHAnsi"/>
                <w:b w:val="0"/>
                <w:sz w:val="18"/>
                <w:szCs w:val="18"/>
              </w:rPr>
              <w:t>Dilute acid pretreatment</w:t>
            </w:r>
          </w:p>
        </w:tc>
        <w:tc>
          <w:tcPr>
            <w:tcW w:w="0" w:type="auto"/>
          </w:tcPr>
          <w:p w14:paraId="0C740A64"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97%</w:t>
            </w:r>
          </w:p>
        </w:tc>
        <w:tc>
          <w:tcPr>
            <w:tcW w:w="0" w:type="auto"/>
          </w:tcPr>
          <w:p w14:paraId="5ABF5DA4"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1%</w:t>
            </w:r>
          </w:p>
        </w:tc>
        <w:tc>
          <w:tcPr>
            <w:tcW w:w="0" w:type="auto"/>
          </w:tcPr>
          <w:p w14:paraId="7A784912"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73983857"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31B644BD"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3877C620"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t>100%</w:t>
            </w:r>
          </w:p>
        </w:tc>
        <w:tc>
          <w:tcPr>
            <w:tcW w:w="0" w:type="auto"/>
          </w:tcPr>
          <w:p w14:paraId="65F88DB1"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0B60B7DD"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187A56BB"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285DF550" w14:textId="02C52E69"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sz w:val="18"/>
                <w:szCs w:val="18"/>
              </w:rPr>
              <w:fldChar w:fldCharType="begin"/>
            </w:r>
            <w:r w:rsidR="005413B4">
              <w:rPr>
                <w:rFonts w:cstheme="minorHAnsi"/>
                <w:sz w:val="18"/>
                <w:szCs w:val="18"/>
              </w:rPr>
              <w:instrText xml:space="preserve"> ADDIN ZOTERO_ITEM CSL_CITATION {"citationID":"Ne767gt4","properties":{"formattedCitation":"\\super 162\\nosupersub{}","plainCitation":"162","noteIndex":0},"citationItems":[{"id":3239,"uris":["http://zotero.org/users/6423791/items/HWMNSGJ5"],"itemData":{"id":3239,"type":"article-journal","abstract":"Hexose (C6 sugar) and pentose (C5 sugar) derived from lignocellulosic biomass are the precursors to bio-based fuels, chemicals and materials. This study compares the economic viability of two types of sugar products (mixed or separated C5 and C6 sugar solutions) and finds the impact of a combined heat and power (CHP) system on the economic performance. It also evaluates utilization of the residual biomass for energy recovery or carbon sequestration. For good reliability of process simulation, experimental data in the laboratory was used to simulate the pretreatment of eucalyptus wood in a diluted sulfuric acid solution. The minimum selling price (MSP) of the sugars is used as a key economic indicator. The unity production cost can be reduced by 2.2-fold with the capacity being scaled up by 100 times. A CHP system has dual effects on sugar MSP. It increases the sugar MSP by 0.03 US$ kg−1, but reduces its sensitivity to steam price fluctuation. The sugar MSP is 0.31, 0.34, 0.38 $ kg−1 in three scenarios (I, II and III), respectively, with a capacity of 2,000 metric tons biomass (dry) per day. The sugar MSP is most sensitive to biomass cost, followed by enzymes in Scenarios I and II. In contrast, the steam cost has the greatest impact on the MSP of separated C5 and C6 sugars in Scenario III. If the residual biomass is not burned for energy recovery, a carbon tax credit could be an additional revenue to reduce the sugar MSP by 20 %.","container-title":"Industrial Crops and Products","DOI":"10.1016/j.indcrop.2020.112783","ISSN":"0926-6690","journalAbbreviation":"Industrial Crops and Products","language":"en","page":"112783","source":"ScienceDirect","title":"Process simulation and techno-economic analysis for production of industrial sugars from lignocellulosic biomass","volume":"155","author":[{"family":"Kuo","given":"Po-Chih"},{"family":"Yu","given":"Jian"}],"issued":{"date-parts":[["2020",11,1]]}}}],"schema":"https://github.com/citation-style-language/schema/raw/master/csl-citation.json"} </w:instrText>
            </w:r>
            <w:r w:rsidRPr="008F4A58">
              <w:rPr>
                <w:rFonts w:cstheme="minorHAnsi"/>
                <w:sz w:val="18"/>
                <w:szCs w:val="18"/>
              </w:rPr>
              <w:fldChar w:fldCharType="separate"/>
            </w:r>
            <w:r w:rsidR="005413B4" w:rsidRPr="005413B4">
              <w:rPr>
                <w:rFonts w:ascii="Calibri" w:hAnsi="Calibri" w:cs="Calibri"/>
                <w:sz w:val="18"/>
                <w:szCs w:val="24"/>
                <w:vertAlign w:val="superscript"/>
              </w:rPr>
              <w:t>162</w:t>
            </w:r>
            <w:r w:rsidRPr="008F4A58">
              <w:rPr>
                <w:rFonts w:cstheme="minorHAnsi"/>
                <w:sz w:val="18"/>
                <w:szCs w:val="18"/>
              </w:rPr>
              <w:fldChar w:fldCharType="end"/>
            </w:r>
          </w:p>
        </w:tc>
      </w:tr>
      <w:tr w:rsidR="00512EC8" w:rsidRPr="008F4A58" w14:paraId="047F52FA" w14:textId="77777777" w:rsidTr="00E860C9">
        <w:tc>
          <w:tcPr>
            <w:cnfStyle w:val="001000000000" w:firstRow="0" w:lastRow="0" w:firstColumn="1" w:lastColumn="0" w:oddVBand="0" w:evenVBand="0" w:oddHBand="0" w:evenHBand="0" w:firstRowFirstColumn="0" w:firstRowLastColumn="0" w:lastRowFirstColumn="0" w:lastRowLastColumn="0"/>
            <w:tcW w:w="0" w:type="auto"/>
            <w:gridSpan w:val="11"/>
          </w:tcPr>
          <w:p w14:paraId="7BE7BE60" w14:textId="77777777" w:rsidR="00512EC8" w:rsidRPr="008F4A58" w:rsidRDefault="00512EC8" w:rsidP="006D537D">
            <w:pPr>
              <w:rPr>
                <w:rFonts w:cstheme="minorHAnsi"/>
                <w:b w:val="0"/>
                <w:sz w:val="18"/>
                <w:szCs w:val="18"/>
              </w:rPr>
            </w:pPr>
            <w:r w:rsidRPr="008F4A58">
              <w:rPr>
                <w:rFonts w:cstheme="minorHAnsi"/>
                <w:b w:val="0"/>
                <w:sz w:val="18"/>
                <w:szCs w:val="18"/>
              </w:rPr>
              <w:t>Selected for this study as technology parameters</w:t>
            </w:r>
            <w:r w:rsidRPr="008F4A58">
              <w:rPr>
                <w:rFonts w:cstheme="minorHAnsi"/>
                <w:b w:val="0"/>
                <w:sz w:val="18"/>
                <w:szCs w:val="18"/>
                <w:vertAlign w:val="superscript"/>
              </w:rPr>
              <w:t>**</w:t>
            </w:r>
          </w:p>
        </w:tc>
      </w:tr>
      <w:tr w:rsidR="00942782" w:rsidRPr="008F4A58" w14:paraId="5C43AF5B" w14:textId="77777777" w:rsidTr="00E860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39EFC17" w14:textId="77777777" w:rsidR="00512EC8" w:rsidRPr="008F4A58" w:rsidRDefault="00512EC8" w:rsidP="006D537D">
            <w:pPr>
              <w:jc w:val="right"/>
              <w:rPr>
                <w:rFonts w:cstheme="minorHAnsi"/>
                <w:sz w:val="18"/>
                <w:szCs w:val="18"/>
              </w:rPr>
            </w:pPr>
            <w:r w:rsidRPr="008F4A58">
              <w:rPr>
                <w:rFonts w:cstheme="minorHAnsi"/>
                <w:sz w:val="18"/>
                <w:szCs w:val="18"/>
              </w:rPr>
              <w:t>Food-grade IL, future performances</w:t>
            </w:r>
          </w:p>
        </w:tc>
        <w:tc>
          <w:tcPr>
            <w:tcW w:w="0" w:type="auto"/>
          </w:tcPr>
          <w:p w14:paraId="2539CBD5"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b/>
                <w:sz w:val="18"/>
                <w:szCs w:val="18"/>
              </w:rPr>
              <w:t>90%</w:t>
            </w:r>
          </w:p>
        </w:tc>
        <w:tc>
          <w:tcPr>
            <w:tcW w:w="0" w:type="auto"/>
          </w:tcPr>
          <w:p w14:paraId="354D7D2D"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b/>
                <w:sz w:val="18"/>
                <w:szCs w:val="18"/>
              </w:rPr>
              <w:t>40%</w:t>
            </w:r>
          </w:p>
        </w:tc>
        <w:tc>
          <w:tcPr>
            <w:tcW w:w="0" w:type="auto"/>
          </w:tcPr>
          <w:p w14:paraId="78C7F62B"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b/>
                <w:sz w:val="18"/>
                <w:szCs w:val="18"/>
              </w:rPr>
              <w:t>10%</w:t>
            </w:r>
          </w:p>
        </w:tc>
        <w:tc>
          <w:tcPr>
            <w:tcW w:w="0" w:type="auto"/>
          </w:tcPr>
          <w:p w14:paraId="2A3BD31F"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b/>
                <w:sz w:val="18"/>
                <w:szCs w:val="18"/>
              </w:rPr>
              <w:t>20%</w:t>
            </w:r>
          </w:p>
        </w:tc>
        <w:tc>
          <w:tcPr>
            <w:tcW w:w="0" w:type="auto"/>
          </w:tcPr>
          <w:p w14:paraId="541F1DB5"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b/>
                <w:sz w:val="18"/>
                <w:szCs w:val="18"/>
              </w:rPr>
              <w:t>70%</w:t>
            </w:r>
          </w:p>
        </w:tc>
        <w:tc>
          <w:tcPr>
            <w:tcW w:w="0" w:type="auto"/>
          </w:tcPr>
          <w:p w14:paraId="48C3939A"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b/>
                <w:sz w:val="18"/>
                <w:szCs w:val="18"/>
              </w:rPr>
              <w:t>50%</w:t>
            </w:r>
          </w:p>
        </w:tc>
        <w:tc>
          <w:tcPr>
            <w:tcW w:w="0" w:type="auto"/>
          </w:tcPr>
          <w:p w14:paraId="12025589"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b/>
                <w:sz w:val="18"/>
                <w:szCs w:val="18"/>
              </w:rPr>
              <w:t>70%</w:t>
            </w:r>
          </w:p>
        </w:tc>
        <w:tc>
          <w:tcPr>
            <w:tcW w:w="0" w:type="auto"/>
            <w:vMerge w:val="restart"/>
          </w:tcPr>
          <w:p w14:paraId="7E983365"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b/>
                <w:sz w:val="18"/>
                <w:szCs w:val="18"/>
              </w:rPr>
              <w:t>50-70%</w:t>
            </w:r>
          </w:p>
        </w:tc>
        <w:tc>
          <w:tcPr>
            <w:tcW w:w="0" w:type="auto"/>
            <w:vMerge w:val="restart"/>
          </w:tcPr>
          <w:p w14:paraId="2FF8A699"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b/>
                <w:sz w:val="18"/>
                <w:szCs w:val="18"/>
              </w:rPr>
              <w:t>60-75%</w:t>
            </w:r>
          </w:p>
        </w:tc>
        <w:tc>
          <w:tcPr>
            <w:tcW w:w="0" w:type="auto"/>
            <w:vMerge w:val="restart"/>
          </w:tcPr>
          <w:p w14:paraId="711C0DA0"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r>
      <w:tr w:rsidR="00942782" w:rsidRPr="008F4A58" w14:paraId="7B03803D" w14:textId="77777777" w:rsidTr="00E860C9">
        <w:tc>
          <w:tcPr>
            <w:cnfStyle w:val="001000000000" w:firstRow="0" w:lastRow="0" w:firstColumn="1" w:lastColumn="0" w:oddVBand="0" w:evenVBand="0" w:oddHBand="0" w:evenHBand="0" w:firstRowFirstColumn="0" w:firstRowLastColumn="0" w:lastRowFirstColumn="0" w:lastRowLastColumn="0"/>
            <w:tcW w:w="0" w:type="auto"/>
          </w:tcPr>
          <w:p w14:paraId="2BAB1631" w14:textId="77777777" w:rsidR="00512EC8" w:rsidRPr="008F4A58" w:rsidRDefault="00512EC8" w:rsidP="006D537D">
            <w:pPr>
              <w:jc w:val="right"/>
              <w:rPr>
                <w:rFonts w:cstheme="minorHAnsi"/>
                <w:sz w:val="18"/>
                <w:szCs w:val="18"/>
              </w:rPr>
            </w:pPr>
            <w:r w:rsidRPr="008F4A58">
              <w:rPr>
                <w:rFonts w:cstheme="minorHAnsi"/>
                <w:sz w:val="18"/>
                <w:szCs w:val="18"/>
              </w:rPr>
              <w:t>Variation range considered</w:t>
            </w:r>
          </w:p>
        </w:tc>
        <w:tc>
          <w:tcPr>
            <w:tcW w:w="0" w:type="auto"/>
          </w:tcPr>
          <w:p w14:paraId="5D7F315D"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b/>
                <w:sz w:val="18"/>
                <w:szCs w:val="18"/>
              </w:rPr>
              <w:t>70-95%</w:t>
            </w:r>
          </w:p>
        </w:tc>
        <w:tc>
          <w:tcPr>
            <w:tcW w:w="0" w:type="auto"/>
          </w:tcPr>
          <w:p w14:paraId="73959546"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b/>
                <w:sz w:val="18"/>
                <w:szCs w:val="18"/>
              </w:rPr>
              <w:t>20-50%</w:t>
            </w:r>
          </w:p>
        </w:tc>
        <w:tc>
          <w:tcPr>
            <w:tcW w:w="0" w:type="auto"/>
          </w:tcPr>
          <w:p w14:paraId="4C8C8C20"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b/>
                <w:sz w:val="18"/>
                <w:szCs w:val="18"/>
              </w:rPr>
              <w:t>0-20%</w:t>
            </w:r>
          </w:p>
        </w:tc>
        <w:tc>
          <w:tcPr>
            <w:tcW w:w="0" w:type="auto"/>
          </w:tcPr>
          <w:p w14:paraId="46E87E77"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b/>
                <w:sz w:val="18"/>
                <w:szCs w:val="18"/>
              </w:rPr>
              <w:t>10-60%</w:t>
            </w:r>
          </w:p>
        </w:tc>
        <w:tc>
          <w:tcPr>
            <w:tcW w:w="0" w:type="auto"/>
          </w:tcPr>
          <w:p w14:paraId="60488913"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b/>
                <w:sz w:val="18"/>
                <w:szCs w:val="18"/>
              </w:rPr>
              <w:t>50-100%</w:t>
            </w:r>
          </w:p>
        </w:tc>
        <w:tc>
          <w:tcPr>
            <w:tcW w:w="0" w:type="auto"/>
          </w:tcPr>
          <w:p w14:paraId="59BF82AE"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b/>
                <w:sz w:val="18"/>
                <w:szCs w:val="18"/>
              </w:rPr>
              <w:t>30-70%</w:t>
            </w:r>
          </w:p>
        </w:tc>
        <w:tc>
          <w:tcPr>
            <w:tcW w:w="0" w:type="auto"/>
          </w:tcPr>
          <w:p w14:paraId="230532D1"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r w:rsidRPr="008F4A58">
              <w:rPr>
                <w:rFonts w:cstheme="minorHAnsi"/>
                <w:b/>
                <w:sz w:val="18"/>
                <w:szCs w:val="18"/>
              </w:rPr>
              <w:t>50-100%</w:t>
            </w:r>
          </w:p>
        </w:tc>
        <w:tc>
          <w:tcPr>
            <w:tcW w:w="0" w:type="auto"/>
            <w:vMerge/>
          </w:tcPr>
          <w:p w14:paraId="197B3B18"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vMerge/>
          </w:tcPr>
          <w:p w14:paraId="2796BFEB"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c>
          <w:tcPr>
            <w:tcW w:w="0" w:type="auto"/>
            <w:vMerge/>
          </w:tcPr>
          <w:p w14:paraId="5D4D56B0"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rFonts w:cstheme="minorHAnsi"/>
                <w:sz w:val="18"/>
                <w:szCs w:val="18"/>
              </w:rPr>
            </w:pPr>
          </w:p>
        </w:tc>
      </w:tr>
      <w:tr w:rsidR="005413B4" w:rsidRPr="008F4A58" w14:paraId="09D6F266" w14:textId="77777777" w:rsidTr="004A3FE2">
        <w:trPr>
          <w:cnfStyle w:val="000000100000" w:firstRow="0" w:lastRow="0" w:firstColumn="0" w:lastColumn="0" w:oddVBand="0" w:evenVBand="0" w:oddHBand="1" w:evenHBand="0" w:firstRowFirstColumn="0" w:firstRowLastColumn="0" w:lastRowFirstColumn="0" w:lastRowLastColumn="0"/>
          <w:trHeight w:val="2181"/>
        </w:trPr>
        <w:tc>
          <w:tcPr>
            <w:cnfStyle w:val="001000000000" w:firstRow="0" w:lastRow="0" w:firstColumn="1" w:lastColumn="0" w:oddVBand="0" w:evenVBand="0" w:oddHBand="0" w:evenHBand="0" w:firstRowFirstColumn="0" w:firstRowLastColumn="0" w:lastRowFirstColumn="0" w:lastRowLastColumn="0"/>
            <w:tcW w:w="0" w:type="auto"/>
          </w:tcPr>
          <w:p w14:paraId="739EB82C" w14:textId="62A0C845" w:rsidR="005413B4" w:rsidRPr="008F4A58" w:rsidRDefault="005413B4" w:rsidP="005413B4">
            <w:pPr>
              <w:jc w:val="right"/>
              <w:rPr>
                <w:rFonts w:cstheme="minorHAnsi"/>
                <w:sz w:val="18"/>
                <w:szCs w:val="18"/>
              </w:rPr>
            </w:pPr>
            <w:r w:rsidRPr="008F4A58">
              <w:rPr>
                <w:rFonts w:cstheme="minorHAnsi"/>
                <w:b w:val="0"/>
                <w:i/>
                <w:sz w:val="18"/>
                <w:szCs w:val="18"/>
              </w:rPr>
              <w:t>Comments</w:t>
            </w:r>
          </w:p>
        </w:tc>
        <w:tc>
          <w:tcPr>
            <w:tcW w:w="0" w:type="auto"/>
            <w:textDirection w:val="btLr"/>
          </w:tcPr>
          <w:p w14:paraId="2B0C6F37" w14:textId="4D2FDF59" w:rsidR="005413B4" w:rsidRPr="008F4A58" w:rsidRDefault="005413B4" w:rsidP="005413B4">
            <w:pPr>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8F4A58">
              <w:rPr>
                <w:rFonts w:cstheme="minorHAnsi"/>
                <w:i/>
                <w:sz w:val="18"/>
                <w:szCs w:val="18"/>
              </w:rPr>
              <w:t>90% Currently achievable</w:t>
            </w:r>
            <w:r w:rsidRPr="008F4A58">
              <w:rPr>
                <w:rFonts w:cs="Times New Roman"/>
                <w:i/>
                <w:sz w:val="18"/>
                <w:szCs w:val="18"/>
              </w:rPr>
              <w:fldChar w:fldCharType="begin"/>
            </w:r>
            <w:r>
              <w:rPr>
                <w:rFonts w:cs="Times New Roman"/>
                <w:i/>
                <w:sz w:val="18"/>
                <w:szCs w:val="18"/>
              </w:rPr>
              <w:instrText xml:space="preserve"> ADDIN ZOTERO_ITEM CSL_CITATION {"citationID":"JApdSJSi","properties":{"formattedCitation":"\\super 152\\nosupersub{}","plainCitation":"152","noteIndex":0},"citationItems":[{"id":11490,"uris":["http://zotero.org/users/6423791/items/MAHPTN52"],"itemData":{"id":11490,"type":"article-journal","abstract":"The anticipated high future demand for food proteins has led to the advent of mycoprotein, which involves carbohydrate sugars as the primary carbon source. In this work, nonfood rice and wheat residues have been utilized to produce food-grade glucose using an ionic liquid. A biocompatible ionic liquid (IL) based on food-grade cholinium hydroxide and lysine has been evaluated for its potential to remove undesirable components such as, lignin and hemicellulose from rice and wheat straws. The cellulose pulp, thus obtained, was subsequently hydrolyzed into glucose by using food-grade enzymes. The optimum delignification efficiency of the IL is 87% at 120 °C after 8 h pretreatment. The optimum yield of food-grade sugar was 77% from cellulose pulp after processing at 100 °C for 8 h. The analysis of the pulp and lignin was made using compositional analysis, FT-IR, TGA, and SEM techniques, whereas glucose was quantified using HPLC. The food-grade glucose may be used in the food industry or pharmaceuticals, but this study aims at synthesizing mycoprotein in the future.","container-title":"ACS Sustainable Chemistry &amp; Engineering","DOI":"10.1021/acssuschemeng.1c00022","journalAbbreviation":"ACS Sustainable Chem. Eng.","note":"publisher: American Chemical Society","source":"ACS Publications","title":"Production of Food-Grade Glucose from Rice and Wheat Residues Using a Biocompatible Ionic Liquid","URL":"https://doi.org/10.1021/acssuschemeng.1c00022","author":[{"family":"Asim","given":"Azmat Mehmood"},{"family":"Uroos","given":"Maliha"},{"family":"Muhammad","given":"Nawshad"},{"family":"Hallett","given":"Jason P."}],"accessed":{"date-parts":[["2021",6,20]]},"issued":{"date-parts":[["2021",6,9]]}}}],"schema":"https://github.com/citation-style-language/schema/raw/master/csl-citation.json"} </w:instrText>
            </w:r>
            <w:r w:rsidRPr="008F4A58">
              <w:rPr>
                <w:rFonts w:cs="Times New Roman"/>
                <w:i/>
                <w:sz w:val="18"/>
                <w:szCs w:val="18"/>
              </w:rPr>
              <w:fldChar w:fldCharType="separate"/>
            </w:r>
            <w:r w:rsidRPr="005413B4">
              <w:rPr>
                <w:rFonts w:ascii="Calibri" w:hAnsi="Calibri" w:cs="Calibri"/>
                <w:sz w:val="18"/>
                <w:szCs w:val="24"/>
                <w:vertAlign w:val="superscript"/>
              </w:rPr>
              <w:t>152</w:t>
            </w:r>
            <w:r w:rsidRPr="008F4A58">
              <w:rPr>
                <w:rFonts w:cs="Times New Roman"/>
                <w:i/>
                <w:sz w:val="18"/>
                <w:szCs w:val="18"/>
              </w:rPr>
              <w:fldChar w:fldCharType="end"/>
            </w:r>
            <w:r w:rsidRPr="008F4A58">
              <w:rPr>
                <w:rFonts w:cs="Times New Roman"/>
                <w:i/>
                <w:sz w:val="18"/>
                <w:szCs w:val="18"/>
              </w:rPr>
              <w:t>, state-of-art achieves 95%</w:t>
            </w:r>
            <w:r w:rsidRPr="008F4A58">
              <w:rPr>
                <w:rFonts w:cs="Times New Roman"/>
                <w:i/>
                <w:sz w:val="18"/>
                <w:szCs w:val="18"/>
              </w:rPr>
              <w:fldChar w:fldCharType="begin"/>
            </w:r>
            <w:r>
              <w:rPr>
                <w:rFonts w:cs="Times New Roman"/>
                <w:i/>
                <w:sz w:val="18"/>
                <w:szCs w:val="18"/>
              </w:rPr>
              <w:instrText xml:space="preserve"> ADDIN ZOTERO_ITEM CSL_CITATION {"citationID":"UtYmgb5i","properties":{"formattedCitation":"\\super 157\\nosupersub{}","plainCitation":"157","noteIndex":0},"citationItems":[{"id":13484,"uris":["http://zotero.org/users/6423791/items/TIUN5U7I"],"itemData":{"id":13484,"type":"article-journal","abstract":"Lignocellulosic biomass has been used as starting materials in the processes of producing biofuels and chemicals.\n          , \n            Lignocellulosic biomass has been used as starting materials in the process of producing biofuels and chemicals. A pretreatment step is necessary to mitigate the inherent recalcitrance of lignocellulosic biomass during biochemical conversion. Certain ionic liquids (ILs) have been proven to be effective solvents to deconstruct recalcitrant lignocellulosic biomass for high sugar yield for over a decade. Dialkylimidazolium-based, choline-based, and protic acidic ILs are frequently used in biomass pretreatment. Extensive research in this field has been done with technological hurdles revealed during the process. In this review paper, advances in the biocompatibility of ILs and process integration, optimization and scale-up of IL pretreatment processes, IL recovery and reuse, and economic and sustainability analysis were presented. ILs continue to be actively used in biomass pretreatment due to their structural variability and functional tunability.","container-title":"Sustainable Energy &amp; Fuels","DOI":"10.1039/D0SE01802C","ISSN":"2398-4902","issue":"6","journalAbbreviation":"Sustainable Energy Fuels","language":"en","page":"1655-1667","source":"DOI.org (Crossref)","title":"Recent developments in ionic liquid pretreatment of lignocellulosic biomass for enhanced bioconversion","volume":"5","author":[{"family":"Zhang","given":"Jinxu"},{"family":"Zou","given":"Dongzhe"},{"family":"Singh","given":"Seema"},{"family":"Cheng","given":"Gang"}],"issued":{"date-parts":[["2021"]]}}}],"schema":"https://github.com/citation-style-language/schema/raw/master/csl-citation.json"} </w:instrText>
            </w:r>
            <w:r w:rsidRPr="008F4A58">
              <w:rPr>
                <w:rFonts w:cs="Times New Roman"/>
                <w:i/>
                <w:sz w:val="18"/>
                <w:szCs w:val="18"/>
              </w:rPr>
              <w:fldChar w:fldCharType="separate"/>
            </w:r>
            <w:r w:rsidRPr="005413B4">
              <w:rPr>
                <w:rFonts w:ascii="Calibri" w:hAnsi="Calibri" w:cs="Calibri"/>
                <w:sz w:val="18"/>
                <w:szCs w:val="24"/>
                <w:vertAlign w:val="superscript"/>
              </w:rPr>
              <w:t>157</w:t>
            </w:r>
            <w:r w:rsidRPr="008F4A58">
              <w:rPr>
                <w:rFonts w:cs="Times New Roman"/>
                <w:i/>
                <w:sz w:val="18"/>
                <w:szCs w:val="18"/>
              </w:rPr>
              <w:fldChar w:fldCharType="end"/>
            </w:r>
          </w:p>
        </w:tc>
        <w:tc>
          <w:tcPr>
            <w:tcW w:w="0" w:type="auto"/>
            <w:textDirection w:val="btLr"/>
          </w:tcPr>
          <w:p w14:paraId="171354F1" w14:textId="409842D5" w:rsidR="005413B4" w:rsidRPr="008F4A58" w:rsidRDefault="005413B4" w:rsidP="005413B4">
            <w:pPr>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8F4A58">
              <w:rPr>
                <w:rFonts w:cstheme="minorHAnsi"/>
                <w:i/>
                <w:sz w:val="18"/>
                <w:szCs w:val="18"/>
              </w:rPr>
              <w:t>Average reviewed, uncertain as compound specific.</w:t>
            </w:r>
          </w:p>
        </w:tc>
        <w:tc>
          <w:tcPr>
            <w:tcW w:w="0" w:type="auto"/>
            <w:textDirection w:val="btLr"/>
          </w:tcPr>
          <w:p w14:paraId="5BAE71B9" w14:textId="2C48B5A1" w:rsidR="005413B4" w:rsidRPr="008F4A58" w:rsidRDefault="005413B4" w:rsidP="005413B4">
            <w:pPr>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8F4A58">
              <w:rPr>
                <w:rFonts w:cstheme="minorHAnsi"/>
                <w:i/>
                <w:sz w:val="18"/>
                <w:szCs w:val="18"/>
              </w:rPr>
              <w:t>Low data, assumed mostly removed through washing</w:t>
            </w:r>
            <w:r w:rsidRPr="008F4A58">
              <w:rPr>
                <w:rFonts w:cs="Times New Roman"/>
                <w:i/>
                <w:sz w:val="18"/>
                <w:szCs w:val="18"/>
              </w:rPr>
              <w:fldChar w:fldCharType="begin"/>
            </w:r>
            <w:r>
              <w:rPr>
                <w:rFonts w:cs="Times New Roman"/>
                <w:i/>
                <w:sz w:val="18"/>
                <w:szCs w:val="18"/>
              </w:rPr>
              <w:instrText xml:space="preserve"> ADDIN ZOTERO_ITEM CSL_CITATION {"citationID":"Co4uOZ9K","properties":{"formattedCitation":"\\super 161\\nosupersub{}","plainCitation":"161","noteIndex":0},"citationItems":[{"id":12896,"uris":["http://zotero.org/users/6423791/items/RMZAFICV"],"itemData":{"id":12896,"type":"chapter","abstract":"Biorefineries design, as for other industries, usually target the economy of scale approach, maximizing processing capacities to achieve economic viability. However, the installation of large-scale biorefineries has some drawbacks, namely their high capital costs and the difficulty to assure a proper supply of biomass at regional level. Small-scale, self-sustainable, biorefineries can solve several of the challenges of their larger competitors and are also reported to expand environmental and social benefits, but several hurdles for their deployment still exist.This chapter describes a methodology for the implementation of an integrated small-scale self-sustainable biorefinery in a rural area, based on a design that takes advantage of the synergies of processing two types of feedstock (corn stover and swine manure). A detailed explanation for the process selection by performing a heuristic analysis, process simulation, mass and energy balances alongside with the techno-economic assessment of the biorefinery is provided. The full life cycle assessment (LCA) of producing xylo-oligosaccharides (XOS) and ethanol from lignocellulosic residues, i.e. corn stover, under a biorefinery concept to be located in Portugal is also assessed.","collection-title":"Clean Energy Production Technologies","container-title":"Hemicellulose Biorefinery: A Sustainable Solution for Value Addition to Bio-Based Products and Bioenergy","event-place":"Singapore","ISBN":"9789811636820","language":"en","note":"DOI: 10.1007/978-981-16-3682-0_3","page":"71-109","publisher":"Springer","publisher-place":"Singapore","source":"Springer Link","title":"Production of Hemicellulosic Sugars from Residual Lignocellulosic Biomass in an Integrated Small-Scale Biorefinery: Techno-Economic and Life Cycle Assessments","title-short":"Production of Hemicellulosic Sugars from Residual Lignocellulosic Biomass in an Integrated Small-Scale Biorefinery","URL":"https://doi.org/10.1007/978-981-16-3682-0_3","author":[{"family":"Lopes","given":"Tiago F."},{"family":"Duarte","given":"Luís C."},{"family":"Carvalheiro","given":"Florbela"},{"family":"Cardona","given":"Carlos A."},{"family":"Gírio","given":"Francisco"}],"editor":[{"family":"Brienzo","given":"Michel"}],"accessed":{"date-parts":[["2022",1,8]]},"issued":{"date-parts":[["2022"]]}}}],"schema":"https://github.com/citation-style-language/schema/raw/master/csl-citation.json"} </w:instrText>
            </w:r>
            <w:r w:rsidRPr="008F4A58">
              <w:rPr>
                <w:rFonts w:cs="Times New Roman"/>
                <w:i/>
                <w:sz w:val="18"/>
                <w:szCs w:val="18"/>
              </w:rPr>
              <w:fldChar w:fldCharType="separate"/>
            </w:r>
            <w:r w:rsidRPr="005413B4">
              <w:rPr>
                <w:rFonts w:ascii="Calibri" w:hAnsi="Calibri" w:cs="Calibri"/>
                <w:sz w:val="18"/>
                <w:szCs w:val="24"/>
                <w:vertAlign w:val="superscript"/>
              </w:rPr>
              <w:t>161</w:t>
            </w:r>
            <w:r w:rsidRPr="008F4A58">
              <w:rPr>
                <w:rFonts w:cs="Times New Roman"/>
                <w:i/>
                <w:sz w:val="18"/>
                <w:szCs w:val="18"/>
              </w:rPr>
              <w:fldChar w:fldCharType="end"/>
            </w:r>
          </w:p>
        </w:tc>
        <w:tc>
          <w:tcPr>
            <w:tcW w:w="0" w:type="auto"/>
            <w:textDirection w:val="btLr"/>
          </w:tcPr>
          <w:p w14:paraId="4E4DADAF" w14:textId="7C6CA991" w:rsidR="005413B4" w:rsidRPr="008F4A58" w:rsidRDefault="005413B4" w:rsidP="005413B4">
            <w:pPr>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8F4A58">
              <w:rPr>
                <w:rFonts w:cstheme="minorHAnsi"/>
                <w:i/>
                <w:sz w:val="18"/>
                <w:szCs w:val="18"/>
              </w:rPr>
              <w:t>State-of-the-art centered</w:t>
            </w:r>
            <w:r w:rsidRPr="008F4A58">
              <w:rPr>
                <w:rFonts w:cstheme="minorHAnsi"/>
                <w:i/>
                <w:sz w:val="18"/>
                <w:szCs w:val="18"/>
              </w:rPr>
              <w:fldChar w:fldCharType="begin"/>
            </w:r>
            <w:r>
              <w:rPr>
                <w:rFonts w:cstheme="minorHAnsi"/>
                <w:i/>
                <w:sz w:val="18"/>
                <w:szCs w:val="18"/>
              </w:rPr>
              <w:instrText xml:space="preserve"> ADDIN ZOTERO_ITEM CSL_CITATION {"citationID":"VptNPQah","properties":{"formattedCitation":"\\super 152\\nosupersub{}","plainCitation":"152","noteIndex":0},"citationItems":[{"id":11490,"uris":["http://zotero.org/users/6423791/items/MAHPTN52"],"itemData":{"id":11490,"type":"article-journal","abstract":"The anticipated high future demand for food proteins has led to the advent of mycoprotein, which involves carbohydrate sugars as the primary carbon source. In this work, nonfood rice and wheat residues have been utilized to produce food-grade glucose using an ionic liquid. A biocompatible ionic liquid (IL) based on food-grade cholinium hydroxide and lysine has been evaluated for its potential to remove undesirable components such as, lignin and hemicellulose from rice and wheat straws. The cellulose pulp, thus obtained, was subsequently hydrolyzed into glucose by using food-grade enzymes. The optimum delignification efficiency of the IL is 87% at 120 °C after 8 h pretreatment. The optimum yield of food-grade sugar was 77% from cellulose pulp after processing at 100 °C for 8 h. The analysis of the pulp and lignin was made using compositional analysis, FT-IR, TGA, and SEM techniques, whereas glucose was quantified using HPLC. The food-grade glucose may be used in the food industry or pharmaceuticals, but this study aims at synthesizing mycoprotein in the future.","container-title":"ACS Sustainable Chemistry &amp; Engineering","DOI":"10.1021/acssuschemeng.1c00022","journalAbbreviation":"ACS Sustainable Chem. Eng.","note":"publisher: American Chemical Society","source":"ACS Publications","title":"Production of Food-Grade Glucose from Rice and Wheat Residues Using a Biocompatible Ionic Liquid","URL":"https://doi.org/10.1021/acssuschemeng.1c00022","author":[{"family":"Asim","given":"Azmat Mehmood"},{"family":"Uroos","given":"Maliha"},{"family":"Muhammad","given":"Nawshad"},{"family":"Hallett","given":"Jason P."}],"accessed":{"date-parts":[["2021",6,20]]},"issued":{"date-parts":[["2021",6,9]]}}}],"schema":"https://github.com/citation-style-language/schema/raw/master/csl-citation.json"} </w:instrText>
            </w:r>
            <w:r w:rsidRPr="008F4A58">
              <w:rPr>
                <w:rFonts w:cstheme="minorHAnsi"/>
                <w:i/>
                <w:sz w:val="18"/>
                <w:szCs w:val="18"/>
              </w:rPr>
              <w:fldChar w:fldCharType="separate"/>
            </w:r>
            <w:r w:rsidRPr="005413B4">
              <w:rPr>
                <w:rFonts w:ascii="Calibri" w:hAnsi="Calibri" w:cs="Calibri"/>
                <w:sz w:val="18"/>
                <w:szCs w:val="24"/>
                <w:vertAlign w:val="superscript"/>
              </w:rPr>
              <w:t>152</w:t>
            </w:r>
            <w:r w:rsidRPr="008F4A58">
              <w:rPr>
                <w:rFonts w:cstheme="minorHAnsi"/>
                <w:i/>
                <w:sz w:val="18"/>
                <w:szCs w:val="18"/>
              </w:rPr>
              <w:fldChar w:fldCharType="end"/>
            </w:r>
            <w:r w:rsidRPr="008F4A58">
              <w:rPr>
                <w:rFonts w:cstheme="minorHAnsi"/>
                <w:i/>
                <w:sz w:val="18"/>
                <w:szCs w:val="18"/>
              </w:rPr>
              <w:t>, rather ranging 20-60%</w:t>
            </w:r>
          </w:p>
        </w:tc>
        <w:tc>
          <w:tcPr>
            <w:tcW w:w="0" w:type="auto"/>
            <w:textDirection w:val="btLr"/>
          </w:tcPr>
          <w:p w14:paraId="150CE67F" w14:textId="6FB215D6" w:rsidR="005413B4" w:rsidRPr="008F4A58" w:rsidRDefault="005413B4" w:rsidP="005413B4">
            <w:pPr>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8F4A58">
              <w:rPr>
                <w:rFonts w:cstheme="minorHAnsi"/>
                <w:i/>
                <w:sz w:val="18"/>
                <w:szCs w:val="18"/>
              </w:rPr>
              <w:t>Low data, assuming that most proteins complex and remain within pulp, see text</w:t>
            </w:r>
          </w:p>
        </w:tc>
        <w:tc>
          <w:tcPr>
            <w:tcW w:w="0" w:type="auto"/>
            <w:textDirection w:val="btLr"/>
          </w:tcPr>
          <w:p w14:paraId="2AF35A66" w14:textId="1DFC9DD1" w:rsidR="005413B4" w:rsidRPr="008F4A58" w:rsidRDefault="005413B4" w:rsidP="005413B4">
            <w:pPr>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8F4A58">
              <w:rPr>
                <w:rFonts w:cstheme="minorHAnsi"/>
                <w:i/>
                <w:sz w:val="18"/>
                <w:szCs w:val="18"/>
              </w:rPr>
              <w:t>Highly variable, intermediate value</w:t>
            </w:r>
          </w:p>
        </w:tc>
        <w:tc>
          <w:tcPr>
            <w:tcW w:w="0" w:type="auto"/>
            <w:textDirection w:val="btLr"/>
          </w:tcPr>
          <w:p w14:paraId="54DFC0BD" w14:textId="7F3F2421" w:rsidR="005413B4" w:rsidRPr="008F4A58" w:rsidRDefault="005413B4" w:rsidP="005413B4">
            <w:pPr>
              <w:cnfStyle w:val="000000100000" w:firstRow="0" w:lastRow="0" w:firstColumn="0" w:lastColumn="0" w:oddVBand="0" w:evenVBand="0" w:oddHBand="1" w:evenHBand="0" w:firstRowFirstColumn="0" w:firstRowLastColumn="0" w:lastRowFirstColumn="0" w:lastRowLastColumn="0"/>
              <w:rPr>
                <w:rFonts w:cstheme="minorHAnsi"/>
                <w:b/>
                <w:sz w:val="18"/>
                <w:szCs w:val="18"/>
              </w:rPr>
            </w:pPr>
            <w:r w:rsidRPr="008F4A58">
              <w:rPr>
                <w:rFonts w:cstheme="minorHAnsi"/>
                <w:i/>
                <w:sz w:val="18"/>
                <w:szCs w:val="18"/>
              </w:rPr>
              <w:t>Assumed as proteins</w:t>
            </w:r>
          </w:p>
        </w:tc>
        <w:tc>
          <w:tcPr>
            <w:tcW w:w="0" w:type="auto"/>
            <w:textDirection w:val="btLr"/>
          </w:tcPr>
          <w:p w14:paraId="26F1E9A7" w14:textId="3459F196" w:rsidR="005413B4" w:rsidRPr="008F4A58" w:rsidRDefault="005413B4" w:rsidP="005413B4">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8F4A58">
              <w:rPr>
                <w:rFonts w:cstheme="minorHAnsi"/>
                <w:i/>
                <w:sz w:val="18"/>
                <w:szCs w:val="18"/>
              </w:rPr>
              <w:t>Calculated (baseline values), depend on initial composition</w:t>
            </w:r>
          </w:p>
        </w:tc>
        <w:tc>
          <w:tcPr>
            <w:tcW w:w="0" w:type="auto"/>
          </w:tcPr>
          <w:p w14:paraId="299D8117" w14:textId="77777777" w:rsidR="005413B4" w:rsidRPr="008F4A58" w:rsidRDefault="005413B4" w:rsidP="005413B4">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c>
          <w:tcPr>
            <w:tcW w:w="0" w:type="auto"/>
          </w:tcPr>
          <w:p w14:paraId="1A6E0588" w14:textId="77777777" w:rsidR="005413B4" w:rsidRPr="008F4A58" w:rsidRDefault="005413B4" w:rsidP="005413B4">
            <w:pPr>
              <w:cnfStyle w:val="000000100000" w:firstRow="0" w:lastRow="0" w:firstColumn="0" w:lastColumn="0" w:oddVBand="0" w:evenVBand="0" w:oddHBand="1" w:evenHBand="0" w:firstRowFirstColumn="0" w:firstRowLastColumn="0" w:lastRowFirstColumn="0" w:lastRowLastColumn="0"/>
              <w:rPr>
                <w:rFonts w:cstheme="minorHAnsi"/>
                <w:sz w:val="18"/>
                <w:szCs w:val="18"/>
              </w:rPr>
            </w:pPr>
          </w:p>
        </w:tc>
      </w:tr>
    </w:tbl>
    <w:p w14:paraId="030E847D" w14:textId="77777777" w:rsidR="00512EC8" w:rsidRPr="003F5DA8" w:rsidRDefault="00512EC8" w:rsidP="006B5342">
      <w:pPr>
        <w:jc w:val="both"/>
        <w:rPr>
          <w:rFonts w:cs="Times New Roman"/>
          <w:sz w:val="18"/>
        </w:rPr>
      </w:pPr>
      <w:r w:rsidRPr="003F5DA8">
        <w:rPr>
          <w:rFonts w:cs="Times New Roman"/>
          <w:sz w:val="18"/>
        </w:rPr>
        <w:t xml:space="preserve">Here, only the best case of author’s experiments is displayed. </w:t>
      </w:r>
      <w:r w:rsidRPr="003F5DA8">
        <w:rPr>
          <w:rFonts w:cs="Times New Roman"/>
          <w:sz w:val="18"/>
          <w:vertAlign w:val="superscript"/>
        </w:rPr>
        <w:t>*</w:t>
      </w:r>
      <w:r w:rsidRPr="003F5DA8">
        <w:rPr>
          <w:rFonts w:cs="Times New Roman"/>
          <w:sz w:val="18"/>
        </w:rPr>
        <w:t xml:space="preserve">: average of galactans, mannans, xylans, arabinans, as this study considers hemicellulose as a single compound. </w:t>
      </w:r>
      <w:r w:rsidRPr="003F5DA8">
        <w:rPr>
          <w:rFonts w:cs="Times New Roman"/>
          <w:sz w:val="18"/>
          <w:vertAlign w:val="superscript"/>
        </w:rPr>
        <w:t>**</w:t>
      </w:r>
      <w:r w:rsidRPr="003F5DA8">
        <w:rPr>
          <w:rFonts w:cs="Times New Roman"/>
          <w:sz w:val="18"/>
        </w:rPr>
        <w:t>: assumed fixed regardless of entry feedstock specific composition, which is likely already an optimistic assumption.</w:t>
      </w:r>
    </w:p>
    <w:p w14:paraId="2640AE4C" w14:textId="77777777" w:rsidR="004A3FE2" w:rsidRDefault="004A3FE2" w:rsidP="004A3FE2">
      <w:pPr>
        <w:jc w:val="both"/>
        <w:rPr>
          <w:rFonts w:cs="Times New Roman"/>
        </w:rPr>
      </w:pPr>
      <w:bookmarkStart w:id="192" w:name="_Ref144807487"/>
      <w:bookmarkStart w:id="193" w:name="_Toc134537653"/>
      <w:bookmarkStart w:id="194" w:name="_Toc151967926"/>
    </w:p>
    <w:p w14:paraId="1A6B5C4C" w14:textId="77777777" w:rsidR="004A3FE2" w:rsidRDefault="004A3FE2" w:rsidP="004A3FE2">
      <w:pPr>
        <w:pStyle w:val="Titre5"/>
      </w:pPr>
      <w:r w:rsidRPr="00512EC8">
        <w:lastRenderedPageBreak/>
        <w:t>Biomass-to-pulp modeling</w:t>
      </w:r>
    </w:p>
    <w:p w14:paraId="23C09C6A" w14:textId="77777777" w:rsidR="004A3FE2" w:rsidRDefault="004A3FE2" w:rsidP="004A3FE2">
      <w:pPr>
        <w:jc w:val="both"/>
        <w:rPr>
          <w:rFonts w:cs="Times New Roman"/>
        </w:rPr>
      </w:pPr>
      <w:r w:rsidRPr="003F5DA8">
        <w:rPr>
          <w:rFonts w:cs="Times New Roman"/>
        </w:rPr>
        <w:t xml:space="preserve">The </w:t>
      </w:r>
      <w:r w:rsidRPr="00E9442B">
        <w:rPr>
          <w:rFonts w:cs="Times New Roman"/>
          <w:b/>
        </w:rPr>
        <w:fldChar w:fldCharType="begin"/>
      </w:r>
      <w:r w:rsidRPr="00E9442B">
        <w:rPr>
          <w:rFonts w:cs="Times New Roman"/>
          <w:b/>
        </w:rPr>
        <w:instrText xml:space="preserve"> REF _Ref144806845 \h </w:instrText>
      </w:r>
      <w:r>
        <w:rPr>
          <w:rFonts w:cs="Times New Roman"/>
          <w:b/>
        </w:rPr>
        <w:instrText xml:space="preserve"> \* MERGEFORMAT </w:instrText>
      </w:r>
      <w:r w:rsidRPr="00E9442B">
        <w:rPr>
          <w:rFonts w:cs="Times New Roman"/>
          <w:b/>
        </w:rPr>
      </w:r>
      <w:r w:rsidRPr="00E9442B">
        <w:rPr>
          <w:rFonts w:cs="Times New Roman"/>
          <w:b/>
        </w:rPr>
        <w:fldChar w:fldCharType="separate"/>
      </w:r>
      <w:r w:rsidRPr="00F25F8C">
        <w:rPr>
          <w:b/>
        </w:rPr>
        <w:t xml:space="preserve">Table SI. </w:t>
      </w:r>
      <w:r w:rsidRPr="00F25F8C">
        <w:rPr>
          <w:b/>
          <w:noProof/>
        </w:rPr>
        <w:t>41</w:t>
      </w:r>
      <w:r w:rsidRPr="00E9442B">
        <w:rPr>
          <w:rFonts w:cs="Times New Roman"/>
          <w:b/>
        </w:rPr>
        <w:fldChar w:fldCharType="end"/>
      </w:r>
      <w:r>
        <w:rPr>
          <w:rFonts w:cs="Times New Roman"/>
        </w:rPr>
        <w:t xml:space="preserve"> </w:t>
      </w:r>
      <w:r w:rsidRPr="003F5DA8">
        <w:rPr>
          <w:rFonts w:cs="Times New Roman"/>
        </w:rPr>
        <w:t>displays values for pretreatment processes of different TRL, targeting both food and non-food applications</w:t>
      </w:r>
      <w:r>
        <w:rPr>
          <w:rFonts w:cs="Times New Roman"/>
        </w:rPr>
        <w:t xml:space="preserve">, supporting the selection of </w:t>
      </w:r>
      <w:r w:rsidRPr="003F5DA8">
        <w:rPr>
          <w:rFonts w:cs="Times New Roman"/>
        </w:rPr>
        <w:t>biomass-to-pulp ratios to capture food-grade IL pretreatment’s forecasted performances.</w:t>
      </w:r>
    </w:p>
    <w:p w14:paraId="2F3D48F4" w14:textId="77777777" w:rsidR="004A3FE2" w:rsidRDefault="004A3FE2" w:rsidP="004A3FE2">
      <w:pPr>
        <w:jc w:val="both"/>
        <w:rPr>
          <w:rFonts w:cs="Times New Roman"/>
        </w:rPr>
      </w:pPr>
      <w:r w:rsidRPr="003F5DA8">
        <w:rPr>
          <w:rFonts w:cs="Times New Roman"/>
        </w:rPr>
        <w:t>Dissolved glucans fraction was assumed lost either within wastewater of during the lignin precipitation. Proteins are highly denatured in IL pretreatment temperature and conditions (&gt;120°C), likely forming complex interactions with other fractions such as lignin</w:t>
      </w:r>
      <w:r w:rsidRPr="003F5DA8">
        <w:rPr>
          <w:rFonts w:cs="Times New Roman"/>
        </w:rPr>
        <w:fldChar w:fldCharType="begin"/>
      </w:r>
      <w:r>
        <w:rPr>
          <w:rFonts w:cs="Times New Roman"/>
        </w:rPr>
        <w:instrText xml:space="preserve"> ADDIN ZOTERO_ITEM CSL_CITATION {"citationID":"ig8V977o","properties":{"formattedCitation":"\\super 130,163\\nosupersub{}","plainCitation":"130,163","noteIndex":0},"citationItems":[{"id":13520,"uris":["http://zotero.org/users/6423791/items/693ZDRDW"],"itemData":{"id":13520,"type":"article-journal","abstract":"Steam explosion was studied as a means to improve the enzymatic digestibility of carbohydrates in Brewer’s spent grain, a protein and lipid-rich lignocellulosic by-product of the brewing industry. Having temperature, treatment time and the presence of acid catalyst as variables, a treatment at 200 °C for 10 min without an acid catalyst was found to be the most efficient, dissolving 12.1 % of the dry matter. Mainly oligomeric non-cellulosic glucan and arabinoxylan were dissolved, and the remaining insoluble carbohydrates could be efficiently hydrolysed by an enzyme cocktail (75 % hydrolysis yield). The process also caused partial protein degradation and dissolved over a third of the total nitrogen. Meanwhile, the insoluble protein appeared to become more strongly associated with acid-insoluble lignin. Compositional changes observed in the proteins and carbohydrates were supported by the results of epifluorescence microscopy. The process yielded three chemically different fractions which could serve as biorefinery products or intermediates.","container-title":"Applied Biochemistry and Biotechnology","DOI":"10.1007/s12010-016-2085-9","ISSN":"1559-0291","issue":"1","journalAbbreviation":"Appl Biochem Biotechnol","language":"en","page":"94-108","source":"Springer Link","title":"Steam explosion of Brewer’s spent grain improves enzymatic digestibility of carbohydrates and affects solubility and stability of proteins","volume":"180","author":[{"family":"Kemppainen","given":"K."},{"family":"Rommi","given":"K."},{"family":"Holopainen","given":"U."},{"family":"Kruus","given":"K."}],"issued":{"date-parts":[["2016",9,1]]}}},{"id":1867,"uris":["http://zotero.org/users/6423791/items/XNDB54TE"],"itemData":{"id":1867,"type":"article-journal","abstract":"Grass silage is a promising biorefinery feedstock with surplus production potential, providing a source of readily soluble protein and lignocellulosic fibre. This study presents a concept combining protein extraction with production of single cell protein from enzymatically saccharified grass silage fibre by fermentation of the filamentous fungus Paecilomyces variotii. Steam explosion and ammonia soaking were compared as pretreatments, leading to 81.2% and 88.1% carbohydrate hydrolysability, respectively. Microbial biomass yields of 51% from hydrolysate sugars were reached with a protein content of 51% of cell dry weight. A single-reactor ammonia pretreatment and hydrolysis process was demonstrated, including ammonia recovery of up to 66%, while the residual ammonia was synergistically utilized as a nitrogen source for protein production. The effect of cellulase dosage, hydrolysis time and solids concentration was empirically modelled and the model was applied for cost optimization of enzymatic hydrolysis as a part of a techno-economic assessment of the process.","container-title":"Bioresource Technology Reports","DOI":"10.1016/j.biteb.2019.100357","ISSN":"2589-014X","journalAbbreviation":"Bioresour. Technol. Rep.","language":"en","page":"100357","source":"ScienceDirect","title":"Comparison of pretreatments and cost-optimization of enzymatic hydrolysis for production of single cell protein from grass silage fibre","volume":"9","author":[{"family":"Pihlajaniemi","given":"Ville"},{"family":"Ellilä","given":"Simo"},{"family":"Poikkimäki","given":"Sakari"},{"family":"Nappa","given":"Marja"},{"family":"Rinne","given":"Marketta"},{"family":"Lantto","given":"Raija"},{"family":"Siika-aho","given":"Matti"}],"issued":{"date-parts":[["2020",2,1]]}}}],"schema":"https://github.com/citation-style-language/schema/raw/master/csl-citation.json"} </w:instrText>
      </w:r>
      <w:r w:rsidRPr="003F5DA8">
        <w:rPr>
          <w:rFonts w:cs="Times New Roman"/>
        </w:rPr>
        <w:fldChar w:fldCharType="separate"/>
      </w:r>
      <w:r w:rsidRPr="005413B4">
        <w:rPr>
          <w:rFonts w:ascii="Calibri" w:hAnsi="Calibri" w:cs="Calibri"/>
          <w:szCs w:val="24"/>
          <w:vertAlign w:val="superscript"/>
        </w:rPr>
        <w:t>130,163</w:t>
      </w:r>
      <w:r w:rsidRPr="003F5DA8">
        <w:rPr>
          <w:rFonts w:cs="Times New Roman"/>
        </w:rPr>
        <w:fldChar w:fldCharType="end"/>
      </w:r>
      <w:r w:rsidRPr="003F5DA8">
        <w:rPr>
          <w:rFonts w:cs="Times New Roman"/>
        </w:rPr>
        <w:t>. Accordingly, current assessments usually consider that most of proteins are lost during lignocellulosic treatments</w:t>
      </w:r>
      <w:r w:rsidRPr="003F5DA8">
        <w:rPr>
          <w:rFonts w:cs="Times New Roman"/>
        </w:rPr>
        <w:fldChar w:fldCharType="begin"/>
      </w:r>
      <w:r>
        <w:rPr>
          <w:rFonts w:cs="Times New Roman"/>
        </w:rPr>
        <w:instrText xml:space="preserve"> ADDIN ZOTERO_ITEM CSL_CITATION {"citationID":"ehwruDfD","properties":{"formattedCitation":"\\super 135\\nosupersub{}","plainCitation":"135","noteIndex":0},"citationItems":[{"id":3367,"uris":["http://zotero.org/users/6423791/items/9SUGPF3U"],"itemData":{"id":3367,"type":"report","language":"en","note":"DOI: 10.2172/1483234","number":"NREL/TP--5100-71949, 1483234","page":"NREL/TP--5100-71949, 1483234","source":"DOI.org (Crossref)","title":"Process Design and Economics for the Conversion of Lignocellulosic Biomass to Hydrocarbon Fuels and Coproducts: 2018 Biochemical Design Case Update; Biochemical Deconstruction and Conversion of Biomass to Fuels and Products via Integrated Biorefinery Pathways","title-short":"Process Design and Economics for the Conversion of Lignocellulosic Biomass to Hydrocarbon Fuels and Coproducts","URL":"http://www.osti.gov/servlets/purl/1483234/","author":[{"family":"Davis","given":"Ryan E."},{"family":"Grundl","given":"Nicholas J."},{"family":"Tao","given":"Ling"},{"family":"Biddy","given":"Mary J."},{"family":"Tan","given":"Eric C."},{"family":"Beckham","given":"Gregg T."},{"family":"Humbird","given":"David"},{"family":"Thompson","given":"David N."},{"family":"Roni","given":"Mohammad S."}],"accessed":{"date-parts":[["2021",1,27]]},"issued":{"date-parts":[["2018",11,19]]}}}],"schema":"https://github.com/citation-style-language/schema/raw/master/csl-citation.json"} </w:instrText>
      </w:r>
      <w:r w:rsidRPr="003F5DA8">
        <w:rPr>
          <w:rFonts w:cs="Times New Roman"/>
        </w:rPr>
        <w:fldChar w:fldCharType="separate"/>
      </w:r>
      <w:r w:rsidRPr="005413B4">
        <w:rPr>
          <w:rFonts w:ascii="Calibri" w:hAnsi="Calibri" w:cs="Calibri"/>
          <w:szCs w:val="24"/>
          <w:vertAlign w:val="superscript"/>
        </w:rPr>
        <w:t>135</w:t>
      </w:r>
      <w:r w:rsidRPr="003F5DA8">
        <w:rPr>
          <w:rFonts w:cs="Times New Roman"/>
        </w:rPr>
        <w:fldChar w:fldCharType="end"/>
      </w:r>
      <w:r w:rsidRPr="003F5DA8">
        <w:rPr>
          <w:rFonts w:cs="Times New Roman"/>
        </w:rPr>
        <w:t xml:space="preserve">. Here the protein fraction was assumed entirely lost at the enzymatic hydrolysis stage (remaining bounded with lignin). Nevertheless, suitable streams for mycoproteins production are usually proteins-poor, else these would be recovered beforehand in e.g. a green biorefinery set-up </w:t>
      </w:r>
      <w:r w:rsidRPr="003F5DA8">
        <w:rPr>
          <w:rFonts w:cs="Times New Roman"/>
        </w:rPr>
        <w:fldChar w:fldCharType="begin"/>
      </w:r>
      <w:r>
        <w:rPr>
          <w:rFonts w:cs="Times New Roman"/>
        </w:rPr>
        <w:instrText xml:space="preserve"> ADDIN ZOTERO_ITEM CSL_CITATION {"citationID":"INnlnvYp","properties":{"formattedCitation":"\\super 130\\nosupersub{}","plainCitation":"130","noteIndex":0},"citationItems":[{"id":1867,"uris":["http://zotero.org/users/6423791/items/XNDB54TE"],"itemData":{"id":1867,"type":"article-journal","abstract":"Grass silage is a promising biorefinery feedstock with surplus production potential, providing a source of readily soluble protein and lignocellulosic fibre. This study presents a concept combining protein extraction with production of single cell protein from enzymatically saccharified grass silage fibre by fermentation of the filamentous fungus Paecilomyces variotii. Steam explosion and ammonia soaking were compared as pretreatments, leading to 81.2% and 88.1% carbohydrate hydrolysability, respectively. Microbial biomass yields of 51% from hydrolysate sugars were reached with a protein content of 51% of cell dry weight. A single-reactor ammonia pretreatment and hydrolysis process was demonstrated, including ammonia recovery of up to 66%, while the residual ammonia was synergistically utilized as a nitrogen source for protein production. The effect of cellulase dosage, hydrolysis time and solids concentration was empirically modelled and the model was applied for cost optimization of enzymatic hydrolysis as a part of a techno-economic assessment of the process.","container-title":"Bioresource Technology Reports","DOI":"10.1016/j.biteb.2019.100357","ISSN":"2589-014X","journalAbbreviation":"Bioresour. Technol. Rep.","language":"en","page":"100357","source":"ScienceDirect","title":"Comparison of pretreatments and cost-optimization of enzymatic hydrolysis for production of single cell protein from grass silage fibre","volume":"9","author":[{"family":"Pihlajaniemi","given":"Ville"},{"family":"Ellilä","given":"Simo"},{"family":"Poikkimäki","given":"Sakari"},{"family":"Nappa","given":"Marja"},{"family":"Rinne","given":"Marketta"},{"family":"Lantto","given":"Raija"},{"family":"Siika-aho","given":"Matti"}],"issued":{"date-parts":[["2020",2,1]]}}}],"schema":"https://github.com/citation-style-language/schema/raw/master/csl-citation.json"} </w:instrText>
      </w:r>
      <w:r w:rsidRPr="003F5DA8">
        <w:rPr>
          <w:rFonts w:cs="Times New Roman"/>
        </w:rPr>
        <w:fldChar w:fldCharType="separate"/>
      </w:r>
      <w:r w:rsidRPr="005413B4">
        <w:rPr>
          <w:rFonts w:ascii="Calibri" w:hAnsi="Calibri" w:cs="Calibri"/>
          <w:szCs w:val="24"/>
          <w:vertAlign w:val="superscript"/>
        </w:rPr>
        <w:t>130</w:t>
      </w:r>
      <w:r w:rsidRPr="003F5DA8">
        <w:rPr>
          <w:rFonts w:cs="Times New Roman"/>
        </w:rPr>
        <w:fldChar w:fldCharType="end"/>
      </w:r>
      <w:r w:rsidRPr="003F5DA8">
        <w:rPr>
          <w:rFonts w:cs="Times New Roman"/>
        </w:rPr>
        <w:t>.</w:t>
      </w:r>
    </w:p>
    <w:p w14:paraId="5D248631" w14:textId="77777777" w:rsidR="004A3FE2" w:rsidRPr="00512EC8" w:rsidRDefault="004A3FE2" w:rsidP="004A3FE2">
      <w:pPr>
        <w:pStyle w:val="Titre5"/>
      </w:pPr>
      <w:r w:rsidRPr="00512EC8">
        <w:t>IL treatment energy requirements</w:t>
      </w:r>
    </w:p>
    <w:p w14:paraId="5D3CDF90" w14:textId="77777777" w:rsidR="004A3FE2" w:rsidRPr="003F5DA8" w:rsidRDefault="004A3FE2" w:rsidP="004A3FE2">
      <w:pPr>
        <w:jc w:val="both"/>
        <w:rPr>
          <w:rFonts w:cs="Times New Roman"/>
        </w:rPr>
      </w:pPr>
      <w:r w:rsidRPr="003F5DA8">
        <w:rPr>
          <w:rFonts w:cs="Times New Roman"/>
        </w:rPr>
        <w:t>IL treatment demands heat mainly for the IL recovery and concentration stages</w:t>
      </w:r>
      <w:r w:rsidRPr="003F5DA8">
        <w:rPr>
          <w:rFonts w:cs="Times New Roman"/>
        </w:rPr>
        <w:fldChar w:fldCharType="begin"/>
      </w:r>
      <w:r>
        <w:rPr>
          <w:rFonts w:cs="Times New Roman"/>
        </w:rPr>
        <w:instrText xml:space="preserve"> ADDIN ZOTERO_ITEM CSL_CITATION {"citationID":"05DQIYUU","properties":{"formattedCitation":"\\super 156\\nosupersub{}","plainCitation":"156","noteIndex":0},"citationItems":[{"id":13488,"uris":["http://zotero.org/users/6423791/items/YZ7FI2IH"],"itemData":{"id":13488,"type":"article-journal","abstract":"Cellulosic biofuels present an opportunity to meet a signiﬁcant fraction of liquid transportation fuel demand with renewable, low-carbon alternatives. Certain ionic liquids (ILs) have proven eﬀective at facilitating hydrolysis of lignocellulose to produce fermentable sugars with high yields. Although their negligible vapor pressure and low ﬂammability make ILs attractive solvents at the point of use, their life-cycle environmental impacts have not been investigated in the context of cellulosic bioreﬁneries. This study provides the ﬁrst life-cycle greenhouse gas (GHG) and water use inventory for biofuels produced using IL pretreatment. We explore two corn stover-to-ethanol process conﬁgurations: the conventional water-wash (WW) route and the more recently developed integrated high gravity (iHG) route, which eliminates washing steps after pretreatment. Our results are based on the use of a representative IL, cholinium lysinate ([Ch][Lys]). We ﬁnd that the WW process results in unacceptably high GHG emissions. The iHG process has the potential to reduce GHG emissions per megajoule of fuel by </w:instrText>
      </w:r>
      <w:r>
        <w:rPr>
          <w:rFonts w:ascii="Cambria Math" w:hAnsi="Cambria Math" w:cs="Cambria Math"/>
        </w:rPr>
        <w:instrText>∼</w:instrText>
      </w:r>
      <w:r>
        <w:rPr>
          <w:rFonts w:cs="Times New Roman"/>
        </w:rPr>
        <w:instrText xml:space="preserve">45% relative to gasoline if [Ch][Lys] is used. Use of a protic IL with comparable performance to [Ch][Lys] could achieve GHG reductions up to 70−85%. The water intensities of the WW and iHG processes are both comparable to those of other cellulosic biofuel technologies.","container-title":"ACS Sustainable Chemistry &amp; Engineering","DOI":"10.1021/acssuschemeng.7b02116","ISSN":"2168-0485, 2168-0485","issue":"11","journalAbbreviation":"ACS Sustainable Chem. Eng.","language":"en","page":"10176-10185","source":"DOI.org (Crossref)","title":"Life-Cycle Greenhouse Gas and Water Intensity of Cellulosic Biofuel Production Using Cholinium Lysinate Ionic Liquid Pretreatment","volume":"5","author":[{"family":"Neupane","given":"Binod"},{"family":"Konda","given":"N. V. S. N. Murthy"},{"family":"Singh","given":"Seema"},{"family":"Simmons","given":"Blake A."},{"family":"Scown","given":"Corinne D."}],"issued":{"date-parts":[["2017",11,6]]}}}],"schema":"https://github.com/citation-style-language/schema/raw/master/csl-citation.json"} </w:instrText>
      </w:r>
      <w:r w:rsidRPr="003F5DA8">
        <w:rPr>
          <w:rFonts w:cs="Times New Roman"/>
        </w:rPr>
        <w:fldChar w:fldCharType="separate"/>
      </w:r>
      <w:r w:rsidRPr="005413B4">
        <w:rPr>
          <w:rFonts w:ascii="Calibri" w:hAnsi="Calibri" w:cs="Calibri"/>
          <w:szCs w:val="24"/>
          <w:vertAlign w:val="superscript"/>
        </w:rPr>
        <w:t>156</w:t>
      </w:r>
      <w:r w:rsidRPr="003F5DA8">
        <w:rPr>
          <w:rFonts w:cs="Times New Roman"/>
        </w:rPr>
        <w:fldChar w:fldCharType="end"/>
      </w:r>
      <w:r w:rsidRPr="003F5DA8">
        <w:rPr>
          <w:rFonts w:cs="Times New Roman"/>
        </w:rPr>
        <w:t>; heat recovery systems are mandatory for the viability of this pathways (e.g. flash steam</w:t>
      </w:r>
      <w:r w:rsidRPr="003F5DA8">
        <w:rPr>
          <w:rFonts w:cs="Times New Roman"/>
        </w:rPr>
        <w:fldChar w:fldCharType="begin"/>
      </w:r>
      <w:r>
        <w:rPr>
          <w:rFonts w:cs="Times New Roman"/>
        </w:rPr>
        <w:instrText xml:space="preserve"> ADDIN ZOTERO_ITEM CSL_CITATION {"citationID":"4CYJnMWh","properties":{"formattedCitation":"\\super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3F5DA8">
        <w:rPr>
          <w:rFonts w:cs="Times New Roman"/>
        </w:rPr>
        <w:fldChar w:fldCharType="separate"/>
      </w:r>
      <w:r w:rsidRPr="005413B4">
        <w:rPr>
          <w:rFonts w:ascii="Calibri" w:hAnsi="Calibri" w:cs="Calibri"/>
          <w:szCs w:val="24"/>
          <w:vertAlign w:val="superscript"/>
        </w:rPr>
        <w:t>131</w:t>
      </w:r>
      <w:r w:rsidRPr="003F5DA8">
        <w:rPr>
          <w:rFonts w:cs="Times New Roman"/>
        </w:rPr>
        <w:fldChar w:fldCharType="end"/>
      </w:r>
      <w:r w:rsidRPr="003F5DA8">
        <w:rPr>
          <w:rFonts w:cs="Times New Roman"/>
        </w:rPr>
        <w:t xml:space="preserve">). To estimate a lower range of heat needed for IL treatments, a design considering </w:t>
      </w:r>
      <w:r>
        <w:rPr>
          <w:rFonts w:cs="Times New Roman"/>
        </w:rPr>
        <w:t>sensible</w:t>
      </w:r>
      <w:r w:rsidRPr="003F5DA8">
        <w:rPr>
          <w:rFonts w:cs="Times New Roman"/>
        </w:rPr>
        <w:t xml:space="preserve"> heat recovery was considered. Indeed, pretreated mixture (after IL treatment) at 150°C can prewarm inlet flows (consisting in recirculated IL and biomass feedstocks) before going to the washing stage (cold water). Heat demand was further estimated with simple heat balances (ideal conditions, no losses), following </w:t>
      </w:r>
      <w:r>
        <w:rPr>
          <w:rFonts w:cs="Times New Roman"/>
        </w:rPr>
        <w:t>guidelines</w:t>
      </w:r>
      <w:r w:rsidRPr="003F5DA8">
        <w:rPr>
          <w:rFonts w:cs="Times New Roman"/>
        </w:rPr>
        <w:t xml:space="preserve"> </w:t>
      </w:r>
      <w:r w:rsidRPr="00053C26">
        <w:rPr>
          <w:rFonts w:cs="Times New Roman"/>
        </w:rPr>
        <w:t>of</w:t>
      </w:r>
      <w:r>
        <w:rPr>
          <w:rFonts w:cs="Times New Roman"/>
        </w:rPr>
        <w:t xml:space="preserve"> </w:t>
      </w:r>
      <w:r w:rsidRPr="00E9442B">
        <w:rPr>
          <w:rFonts w:cs="Times New Roman"/>
          <w:b/>
        </w:rPr>
        <w:t xml:space="preserve">section </w:t>
      </w:r>
      <w:r>
        <w:rPr>
          <w:rFonts w:cs="Times New Roman"/>
          <w:b/>
        </w:rPr>
        <w:t xml:space="preserve">SI. </w:t>
      </w:r>
      <w:r w:rsidRPr="00E9442B">
        <w:rPr>
          <w:rFonts w:cs="Times New Roman"/>
          <w:b/>
        </w:rPr>
        <w:fldChar w:fldCharType="begin"/>
      </w:r>
      <w:r w:rsidRPr="00E9442B">
        <w:rPr>
          <w:rFonts w:cs="Times New Roman"/>
          <w:b/>
        </w:rPr>
        <w:instrText xml:space="preserve"> REF _Ref144807454 \r \h </w:instrText>
      </w:r>
      <w:r>
        <w:rPr>
          <w:rFonts w:cs="Times New Roman"/>
          <w:b/>
        </w:rPr>
        <w:instrText xml:space="preserve"> \* MERGEFORMAT </w:instrText>
      </w:r>
      <w:r w:rsidRPr="00E9442B">
        <w:rPr>
          <w:rFonts w:cs="Times New Roman"/>
          <w:b/>
        </w:rPr>
      </w:r>
      <w:r w:rsidRPr="00E9442B">
        <w:rPr>
          <w:rFonts w:cs="Times New Roman"/>
          <w:b/>
        </w:rPr>
        <w:fldChar w:fldCharType="separate"/>
      </w:r>
      <w:r>
        <w:rPr>
          <w:rFonts w:cs="Times New Roman"/>
          <w:b/>
        </w:rPr>
        <w:t>4.1.6</w:t>
      </w:r>
      <w:r w:rsidRPr="00E9442B">
        <w:rPr>
          <w:rFonts w:cs="Times New Roman"/>
          <w:b/>
        </w:rPr>
        <w:fldChar w:fldCharType="end"/>
      </w:r>
      <w:r w:rsidRPr="00053C26">
        <w:rPr>
          <w:rFonts w:cs="Times New Roman"/>
        </w:rPr>
        <w:t>.</w:t>
      </w:r>
      <w:r w:rsidRPr="003F5DA8">
        <w:rPr>
          <w:rFonts w:cs="Times New Roman"/>
        </w:rPr>
        <w:t xml:space="preserve"> The evaporator’s energy consumption was calculated considering a running temperature of 105°C and a multi-effects efficiency</w:t>
      </w:r>
      <w:r w:rsidRPr="003F5DA8">
        <w:rPr>
          <w:rFonts w:cs="Times New Roman"/>
        </w:rPr>
        <w:fldChar w:fldCharType="begin"/>
      </w:r>
      <w:r>
        <w:rPr>
          <w:rFonts w:cs="Times New Roman"/>
        </w:rPr>
        <w:instrText xml:space="preserve"> ADDIN ZOTERO_ITEM CSL_CITATION {"citationID":"bujZ8KNl","properties":{"formattedCitation":"\\super 164\\nosupersub{}","plainCitation":"164","noteIndex":0},"citationItems":[{"id":13523,"uris":["http://zotero.org/users/6423791/items/4UW9E4Q3"],"itemData":{"id":13523,"type":"article-journal","abstract":"The present study evaluates the performance of a triple-effect evaporator with forward feed (TEEFF) system by using exergy analysis based on actual operational data. The orange juice with a capacity of about 1.222 kg s−1 is concentrated from a dry matter (DM) content of 12 to 65% in this TEEFF, which is situated in an orange juice concentrate line installed in a factory, located in Denizli, Turkey. A Visual Basic 6.0 program was also developed to show how the exergetic performance characteristics of the system vary with the feed flow rates ranging from 1.222 to 1.667 kg s−1. The total exergy efficiency of the TEEEFF is found to be on average 0.85. The largest exergy destruction occurs in the first-effect of the TEEFF system with 48.2% of total, followed by the third and second effects with 32.04 and 19.76% of that. Evaporator performance is also rated on the basis of steam economy, which is obtained to be in the range of 2.05–2.14 under the operation conditions. It is expected that the analysis presented here should provide a designer with a better, quantitative grasp of the inefficiencies and their relative magnitudes in the design, simulation and operation of multiple-effect evaporators. Copyright © 2005 John Wiley &amp; Sons, Ltd.","container-title":"International Journal of Energy Research","DOI":"10.1002/er.1074","ISSN":"1099-114X","issue":"5","language":"en","note":"_eprint: https://onlinelibrary.wiley.com/doi/pdf/10.1002/er.1074","page":"455-470","source":"Wiley Online Library","title":"Performance evaluation of a triple-effect evaporator with forward feed using exergy analysis","volume":"29","author":[{"family":"Balkan","given":"Firuz"},{"family":"Colak","given":"Neslihan"},{"family":"Hepbasli","given":"Arif"}],"issued":{"date-parts":[["2005"]]}}}],"schema":"https://github.com/citation-style-language/schema/raw/master/csl-citation.json"} </w:instrText>
      </w:r>
      <w:r w:rsidRPr="003F5DA8">
        <w:rPr>
          <w:rFonts w:cs="Times New Roman"/>
        </w:rPr>
        <w:fldChar w:fldCharType="separate"/>
      </w:r>
      <w:r w:rsidRPr="005413B4">
        <w:rPr>
          <w:rFonts w:ascii="Calibri" w:hAnsi="Calibri" w:cs="Calibri"/>
          <w:szCs w:val="24"/>
          <w:vertAlign w:val="superscript"/>
        </w:rPr>
        <w:t>164</w:t>
      </w:r>
      <w:r w:rsidRPr="003F5DA8">
        <w:rPr>
          <w:rFonts w:cs="Times New Roman"/>
        </w:rPr>
        <w:fldChar w:fldCharType="end"/>
      </w:r>
      <w:r w:rsidRPr="003F5DA8">
        <w:rPr>
          <w:rFonts w:cs="Times New Roman"/>
        </w:rPr>
        <w:t xml:space="preserve">. Liquid waste streams go out from the evaporator at ca. 80-90°C </w:t>
      </w:r>
      <w:r w:rsidRPr="003F5DA8">
        <w:rPr>
          <w:rFonts w:cs="Times New Roman"/>
        </w:rPr>
        <w:fldChar w:fldCharType="begin"/>
      </w:r>
      <w:r>
        <w:rPr>
          <w:rFonts w:cs="Times New Roman"/>
        </w:rPr>
        <w:instrText xml:space="preserve"> ADDIN ZOTERO_ITEM CSL_CITATION {"citationID":"6VSHh2Sd","properties":{"formattedCitation":"\\super 135\\nosupersub{}","plainCitation":"135","noteIndex":0},"citationItems":[{"id":3367,"uris":["http://zotero.org/users/6423791/items/9SUGPF3U"],"itemData":{"id":3367,"type":"report","language":"en","note":"DOI: 10.2172/1483234","number":"NREL/TP--5100-71949, 1483234","page":"NREL/TP--5100-71949, 1483234","source":"DOI.org (Crossref)","title":"Process Design and Economics for the Conversion of Lignocellulosic Biomass to Hydrocarbon Fuels and Coproducts: 2018 Biochemical Design Case Update; Biochemical Deconstruction and Conversion of Biomass to Fuels and Products via Integrated Biorefinery Pathways","title-short":"Process Design and Economics for the Conversion of Lignocellulosic Biomass to Hydrocarbon Fuels and Coproducts","URL":"http://www.osti.gov/servlets/purl/1483234/","author":[{"family":"Davis","given":"Ryan E."},{"family":"Grundl","given":"Nicholas J."},{"family":"Tao","given":"Ling"},{"family":"Biddy","given":"Mary J."},{"family":"Tan","given":"Eric C."},{"family":"Beckham","given":"Gregg T."},{"family":"Humbird","given":"David"},{"family":"Thompson","given":"David N."},{"family":"Roni","given":"Mohammad S."}],"accessed":{"date-parts":[["2021",1,27]]},"issued":{"date-parts":[["2018",11,19]]}}}],"schema":"https://github.com/citation-style-language/schema/raw/master/csl-citation.json"} </w:instrText>
      </w:r>
      <w:r w:rsidRPr="003F5DA8">
        <w:rPr>
          <w:rFonts w:cs="Times New Roman"/>
        </w:rPr>
        <w:fldChar w:fldCharType="separate"/>
      </w:r>
      <w:r w:rsidRPr="005413B4">
        <w:rPr>
          <w:rFonts w:ascii="Calibri" w:hAnsi="Calibri" w:cs="Calibri"/>
          <w:szCs w:val="24"/>
          <w:vertAlign w:val="superscript"/>
        </w:rPr>
        <w:t>135</w:t>
      </w:r>
      <w:r w:rsidRPr="003F5DA8">
        <w:rPr>
          <w:rFonts w:cs="Times New Roman"/>
        </w:rPr>
        <w:fldChar w:fldCharType="end"/>
      </w:r>
      <w:r w:rsidRPr="003F5DA8">
        <w:rPr>
          <w:rFonts w:cs="Times New Roman"/>
        </w:rPr>
        <w:t xml:space="preserve">, hence </w:t>
      </w:r>
      <w:r>
        <w:rPr>
          <w:rFonts w:cs="Times New Roman"/>
        </w:rPr>
        <w:t>sensible</w:t>
      </w:r>
      <w:r w:rsidRPr="003F5DA8">
        <w:rPr>
          <w:rFonts w:cs="Times New Roman"/>
        </w:rPr>
        <w:t xml:space="preserve"> heat was also assumed recovered before discharge to WWTP systems. The heat balance key shaping parameters (IL stage) are summarized in</w:t>
      </w:r>
      <w:r>
        <w:rPr>
          <w:rFonts w:cs="Times New Roman"/>
        </w:rPr>
        <w:t xml:space="preserve"> </w:t>
      </w:r>
      <w:r w:rsidRPr="00E9442B">
        <w:rPr>
          <w:rFonts w:cs="Times New Roman"/>
          <w:b/>
        </w:rPr>
        <w:fldChar w:fldCharType="begin"/>
      </w:r>
      <w:r w:rsidRPr="00E9442B">
        <w:rPr>
          <w:rFonts w:cs="Times New Roman"/>
          <w:b/>
        </w:rPr>
        <w:instrText xml:space="preserve"> REF _Ref144807487 \h </w:instrText>
      </w:r>
      <w:r>
        <w:rPr>
          <w:rFonts w:cs="Times New Roman"/>
          <w:b/>
        </w:rPr>
        <w:instrText xml:space="preserve"> \* MERGEFORMAT </w:instrText>
      </w:r>
      <w:r w:rsidRPr="00E9442B">
        <w:rPr>
          <w:rFonts w:cs="Times New Roman"/>
          <w:b/>
        </w:rPr>
      </w:r>
      <w:r w:rsidRPr="00E9442B">
        <w:rPr>
          <w:rFonts w:cs="Times New Roman"/>
          <w:b/>
        </w:rPr>
        <w:fldChar w:fldCharType="separate"/>
      </w:r>
      <w:r w:rsidRPr="00F25F8C">
        <w:rPr>
          <w:b/>
        </w:rPr>
        <w:t xml:space="preserve">Table SI. </w:t>
      </w:r>
      <w:r w:rsidRPr="00F25F8C">
        <w:rPr>
          <w:b/>
          <w:noProof/>
        </w:rPr>
        <w:t>42</w:t>
      </w:r>
      <w:r w:rsidRPr="00E9442B">
        <w:rPr>
          <w:rFonts w:cs="Times New Roman"/>
          <w:b/>
        </w:rPr>
        <w:fldChar w:fldCharType="end"/>
      </w:r>
      <w:r w:rsidRPr="003F5DA8">
        <w:rPr>
          <w:rFonts w:cs="Times New Roman"/>
        </w:rPr>
        <w:t>.</w:t>
      </w:r>
    </w:p>
    <w:p w14:paraId="2663FEFE" w14:textId="3C2AAC65" w:rsidR="00512EC8" w:rsidRPr="00053C26" w:rsidRDefault="00874128" w:rsidP="006B5342">
      <w:pPr>
        <w:pStyle w:val="Lgende"/>
        <w:jc w:val="left"/>
        <w:rPr>
          <w:b w:val="0"/>
          <w:i/>
        </w:rPr>
      </w:pPr>
      <w:r>
        <w:t>Table SI.</w:t>
      </w:r>
      <w:r w:rsidR="00512EC8">
        <w:t xml:space="preserve"> </w:t>
      </w:r>
      <w:r>
        <w:fldChar w:fldCharType="begin"/>
      </w:r>
      <w:r>
        <w:instrText xml:space="preserve"> SEQ Table_SI. \* ARABIC </w:instrText>
      </w:r>
      <w:r>
        <w:fldChar w:fldCharType="separate"/>
      </w:r>
      <w:r w:rsidR="00F25F8C">
        <w:rPr>
          <w:noProof/>
        </w:rPr>
        <w:t>42</w:t>
      </w:r>
      <w:r>
        <w:fldChar w:fldCharType="end"/>
      </w:r>
      <w:bookmarkEnd w:id="192"/>
      <w:r w:rsidR="00512EC8">
        <w:t xml:space="preserve"> </w:t>
      </w:r>
      <w:r w:rsidR="00512EC8" w:rsidRPr="002C6DB3">
        <w:t>– Heat balance modeling involved in IL pretreatment</w:t>
      </w:r>
      <w:bookmarkEnd w:id="193"/>
      <w:bookmarkEnd w:id="194"/>
    </w:p>
    <w:tbl>
      <w:tblPr>
        <w:tblStyle w:val="Tableausimple2"/>
        <w:tblW w:w="0" w:type="auto"/>
        <w:jc w:val="center"/>
        <w:tblLook w:val="04A0" w:firstRow="1" w:lastRow="0" w:firstColumn="1" w:lastColumn="0" w:noHBand="0" w:noVBand="1"/>
      </w:tblPr>
      <w:tblGrid>
        <w:gridCol w:w="1370"/>
        <w:gridCol w:w="1606"/>
        <w:gridCol w:w="1369"/>
        <w:gridCol w:w="4727"/>
      </w:tblGrid>
      <w:tr w:rsidR="00512EC8" w:rsidRPr="008F4A58" w14:paraId="1E9FF65D" w14:textId="77777777" w:rsidTr="008F4A58">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653A0C5F" w14:textId="77777777" w:rsidR="00512EC8" w:rsidRPr="008F4A58" w:rsidRDefault="00512EC8" w:rsidP="006D537D">
            <w:pPr>
              <w:rPr>
                <w:sz w:val="18"/>
                <w:szCs w:val="18"/>
              </w:rPr>
            </w:pPr>
            <w:r w:rsidRPr="008F4A58">
              <w:rPr>
                <w:sz w:val="18"/>
                <w:szCs w:val="18"/>
              </w:rPr>
              <w:t>Unit operation</w:t>
            </w:r>
          </w:p>
        </w:tc>
        <w:tc>
          <w:tcPr>
            <w:tcW w:w="0" w:type="auto"/>
          </w:tcPr>
          <w:p w14:paraId="7EF977E4"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Heat balance</w:t>
            </w:r>
          </w:p>
        </w:tc>
        <w:tc>
          <w:tcPr>
            <w:tcW w:w="0" w:type="auto"/>
          </w:tcPr>
          <w:p w14:paraId="43796ECC"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Temperatures</w:t>
            </w:r>
          </w:p>
        </w:tc>
        <w:tc>
          <w:tcPr>
            <w:tcW w:w="0" w:type="auto"/>
          </w:tcPr>
          <w:p w14:paraId="249C6373" w14:textId="77777777" w:rsidR="00512EC8" w:rsidRPr="008F4A58" w:rsidRDefault="00512EC8" w:rsidP="00E9442B">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Modeling</w:t>
            </w:r>
          </w:p>
        </w:tc>
      </w:tr>
      <w:tr w:rsidR="00512EC8" w:rsidRPr="008F4A58" w14:paraId="738C0C36" w14:textId="77777777" w:rsidTr="008F4A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79BB217A" w14:textId="77777777" w:rsidR="00512EC8" w:rsidRPr="008F4A58" w:rsidRDefault="00512EC8" w:rsidP="006D537D">
            <w:pPr>
              <w:rPr>
                <w:b w:val="0"/>
                <w:sz w:val="18"/>
                <w:szCs w:val="18"/>
              </w:rPr>
            </w:pPr>
            <w:r w:rsidRPr="008F4A58">
              <w:rPr>
                <w:b w:val="0"/>
                <w:sz w:val="18"/>
                <w:szCs w:val="18"/>
              </w:rPr>
              <w:t>IL pretreatment</w:t>
            </w:r>
          </w:p>
        </w:tc>
        <w:tc>
          <w:tcPr>
            <w:tcW w:w="0" w:type="auto"/>
          </w:tcPr>
          <w:p w14:paraId="1B004167"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Heating demand</w:t>
            </w:r>
          </w:p>
        </w:tc>
        <w:tc>
          <w:tcPr>
            <w:tcW w:w="0" w:type="auto"/>
          </w:tcPr>
          <w:p w14:paraId="73D9DE76"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13°C to 150°C</w:t>
            </w:r>
          </w:p>
        </w:tc>
        <w:tc>
          <w:tcPr>
            <w:tcW w:w="0" w:type="auto"/>
          </w:tcPr>
          <w:p w14:paraId="0838511A" w14:textId="77777777" w:rsidR="00512EC8" w:rsidRPr="008F4A58" w:rsidRDefault="00512EC8" w:rsidP="00E9442B">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Mixed with warm IL recovered, heat exchanger, and finally complemented with HT heat.</w:t>
            </w:r>
          </w:p>
        </w:tc>
      </w:tr>
      <w:tr w:rsidR="00512EC8" w:rsidRPr="008F4A58" w14:paraId="64E55509" w14:textId="77777777" w:rsidTr="008F4A58">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5EBD758B" w14:textId="77777777" w:rsidR="00512EC8" w:rsidRPr="008F4A58" w:rsidRDefault="00512EC8" w:rsidP="006D537D">
            <w:pPr>
              <w:rPr>
                <w:b w:val="0"/>
                <w:sz w:val="18"/>
                <w:szCs w:val="18"/>
              </w:rPr>
            </w:pPr>
            <w:r w:rsidRPr="008F4A58">
              <w:rPr>
                <w:b w:val="0"/>
                <w:sz w:val="18"/>
                <w:szCs w:val="18"/>
              </w:rPr>
              <w:t>Standardization</w:t>
            </w:r>
          </w:p>
        </w:tc>
        <w:tc>
          <w:tcPr>
            <w:tcW w:w="0" w:type="auto"/>
          </w:tcPr>
          <w:p w14:paraId="25532E23"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Cooling demand</w:t>
            </w:r>
          </w:p>
        </w:tc>
        <w:tc>
          <w:tcPr>
            <w:tcW w:w="0" w:type="auto"/>
          </w:tcPr>
          <w:p w14:paraId="031DC9FD"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150°C to 30°C</w:t>
            </w:r>
          </w:p>
        </w:tc>
        <w:tc>
          <w:tcPr>
            <w:tcW w:w="0" w:type="auto"/>
          </w:tcPr>
          <w:p w14:paraId="28DA9726" w14:textId="77777777" w:rsidR="00512EC8" w:rsidRPr="008F4A58" w:rsidRDefault="00512EC8" w:rsidP="00E9442B">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Heat exchanger, mixed with washing water</w:t>
            </w:r>
          </w:p>
        </w:tc>
      </w:tr>
      <w:tr w:rsidR="00512EC8" w:rsidRPr="008F4A58" w14:paraId="63460E87" w14:textId="77777777" w:rsidTr="008F4A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4CFC2F02" w14:textId="77777777" w:rsidR="00512EC8" w:rsidRPr="008F4A58" w:rsidRDefault="00512EC8" w:rsidP="006D537D">
            <w:pPr>
              <w:rPr>
                <w:b w:val="0"/>
                <w:sz w:val="18"/>
                <w:szCs w:val="18"/>
              </w:rPr>
            </w:pPr>
            <w:r w:rsidRPr="008F4A58">
              <w:rPr>
                <w:b w:val="0"/>
                <w:sz w:val="18"/>
                <w:szCs w:val="18"/>
              </w:rPr>
              <w:t>Evaporation</w:t>
            </w:r>
          </w:p>
        </w:tc>
        <w:tc>
          <w:tcPr>
            <w:tcW w:w="0" w:type="auto"/>
          </w:tcPr>
          <w:p w14:paraId="01A4396B"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Heating demand</w:t>
            </w:r>
          </w:p>
        </w:tc>
        <w:tc>
          <w:tcPr>
            <w:tcW w:w="0" w:type="auto"/>
          </w:tcPr>
          <w:p w14:paraId="143B819C"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50°C to 105°C</w:t>
            </w:r>
          </w:p>
        </w:tc>
        <w:tc>
          <w:tcPr>
            <w:tcW w:w="0" w:type="auto"/>
          </w:tcPr>
          <w:p w14:paraId="49E7F8F1" w14:textId="3DF39620" w:rsidR="00512EC8" w:rsidRPr="008F4A58" w:rsidRDefault="00512EC8" w:rsidP="00E9442B">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Multiple effects evaporator efficiency parameter (</w:t>
            </w:r>
            <w:r w:rsidR="00E9442B" w:rsidRPr="008F4A58">
              <w:rPr>
                <w:b/>
                <w:sz w:val="18"/>
                <w:szCs w:val="18"/>
              </w:rPr>
              <w:fldChar w:fldCharType="begin"/>
            </w:r>
            <w:r w:rsidR="00E9442B" w:rsidRPr="008F4A58">
              <w:rPr>
                <w:b/>
                <w:sz w:val="18"/>
                <w:szCs w:val="18"/>
              </w:rPr>
              <w:instrText xml:space="preserve"> REF _Ref144807107 \h  \* MERGEFORMAT </w:instrText>
            </w:r>
            <w:r w:rsidR="00E9442B" w:rsidRPr="008F4A58">
              <w:rPr>
                <w:b/>
                <w:sz w:val="18"/>
                <w:szCs w:val="18"/>
              </w:rPr>
            </w:r>
            <w:r w:rsidR="00E9442B" w:rsidRPr="008F4A58">
              <w:rPr>
                <w:b/>
                <w:sz w:val="18"/>
                <w:szCs w:val="18"/>
              </w:rPr>
              <w:fldChar w:fldCharType="separate"/>
            </w:r>
            <w:r w:rsidR="00F25F8C" w:rsidRPr="008F4A58">
              <w:rPr>
                <w:b/>
                <w:sz w:val="18"/>
                <w:szCs w:val="18"/>
              </w:rPr>
              <w:t xml:space="preserve">Table SI. </w:t>
            </w:r>
            <w:r w:rsidR="00F25F8C" w:rsidRPr="008F4A58">
              <w:rPr>
                <w:b/>
                <w:noProof/>
                <w:sz w:val="18"/>
                <w:szCs w:val="18"/>
              </w:rPr>
              <w:t>43</w:t>
            </w:r>
            <w:r w:rsidR="00E9442B" w:rsidRPr="008F4A58">
              <w:rPr>
                <w:b/>
                <w:sz w:val="18"/>
                <w:szCs w:val="18"/>
              </w:rPr>
              <w:fldChar w:fldCharType="end"/>
            </w:r>
            <w:r w:rsidRPr="008F4A58">
              <w:rPr>
                <w:sz w:val="18"/>
                <w:szCs w:val="18"/>
              </w:rPr>
              <w:t>)</w:t>
            </w:r>
          </w:p>
        </w:tc>
      </w:tr>
      <w:tr w:rsidR="00512EC8" w:rsidRPr="008F4A58" w14:paraId="4E9AF737" w14:textId="77777777" w:rsidTr="008F4A58">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11A83274" w14:textId="77777777" w:rsidR="00512EC8" w:rsidRPr="008F4A58" w:rsidRDefault="00512EC8" w:rsidP="006D537D">
            <w:pPr>
              <w:rPr>
                <w:b w:val="0"/>
                <w:sz w:val="18"/>
                <w:szCs w:val="18"/>
              </w:rPr>
            </w:pPr>
            <w:r w:rsidRPr="008F4A58">
              <w:rPr>
                <w:b w:val="0"/>
                <w:sz w:val="18"/>
                <w:szCs w:val="18"/>
              </w:rPr>
              <w:t>Evaporation</w:t>
            </w:r>
          </w:p>
        </w:tc>
        <w:tc>
          <w:tcPr>
            <w:tcW w:w="0" w:type="auto"/>
          </w:tcPr>
          <w:p w14:paraId="7CA444B5"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Wastewater cooling</w:t>
            </w:r>
          </w:p>
        </w:tc>
        <w:tc>
          <w:tcPr>
            <w:tcW w:w="0" w:type="auto"/>
          </w:tcPr>
          <w:p w14:paraId="44ECD947"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90°C to 30°C</w:t>
            </w:r>
          </w:p>
        </w:tc>
        <w:tc>
          <w:tcPr>
            <w:tcW w:w="0" w:type="auto"/>
          </w:tcPr>
          <w:p w14:paraId="4D5846A5" w14:textId="77777777" w:rsidR="00512EC8" w:rsidRPr="008F4A58" w:rsidRDefault="00512EC8" w:rsidP="00E9442B">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LT WHR</w:t>
            </w:r>
          </w:p>
        </w:tc>
      </w:tr>
      <w:tr w:rsidR="00512EC8" w:rsidRPr="008F4A58" w14:paraId="15CB814D" w14:textId="77777777" w:rsidTr="008F4A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2A0AD991" w14:textId="77777777" w:rsidR="00512EC8" w:rsidRPr="008F4A58" w:rsidRDefault="00512EC8" w:rsidP="006D537D">
            <w:pPr>
              <w:rPr>
                <w:b w:val="0"/>
                <w:sz w:val="18"/>
                <w:szCs w:val="18"/>
              </w:rPr>
            </w:pPr>
            <w:r w:rsidRPr="008F4A58">
              <w:rPr>
                <w:b w:val="0"/>
                <w:sz w:val="18"/>
                <w:szCs w:val="18"/>
              </w:rPr>
              <w:t>Cake washing</w:t>
            </w:r>
          </w:p>
        </w:tc>
        <w:tc>
          <w:tcPr>
            <w:tcW w:w="0" w:type="auto"/>
          </w:tcPr>
          <w:p w14:paraId="7D494851"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Lignin-rich cake</w:t>
            </w:r>
          </w:p>
        </w:tc>
        <w:tc>
          <w:tcPr>
            <w:tcW w:w="0" w:type="auto"/>
          </w:tcPr>
          <w:p w14:paraId="7F6857EA"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n.a.</w:t>
            </w:r>
          </w:p>
        </w:tc>
        <w:tc>
          <w:tcPr>
            <w:tcW w:w="0" w:type="auto"/>
          </w:tcPr>
          <w:p w14:paraId="61019C06" w14:textId="77777777" w:rsidR="00512EC8" w:rsidRPr="008F4A58" w:rsidRDefault="00512EC8" w:rsidP="00E9442B">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Solid co-products energy valorization</w:t>
            </w:r>
          </w:p>
        </w:tc>
      </w:tr>
      <w:tr w:rsidR="00512EC8" w:rsidRPr="008F4A58" w14:paraId="196C6E94" w14:textId="77777777" w:rsidTr="008F4A58">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3B2C28C3" w14:textId="1561E076" w:rsidR="00512EC8" w:rsidRPr="008F4A58" w:rsidRDefault="00512EC8" w:rsidP="006D537D">
            <w:pPr>
              <w:rPr>
                <w:b w:val="0"/>
                <w:i/>
                <w:sz w:val="18"/>
                <w:szCs w:val="18"/>
              </w:rPr>
            </w:pPr>
          </w:p>
        </w:tc>
        <w:tc>
          <w:tcPr>
            <w:tcW w:w="0" w:type="auto"/>
            <w:gridSpan w:val="2"/>
          </w:tcPr>
          <w:p w14:paraId="282486C0"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i/>
                <w:sz w:val="18"/>
                <w:szCs w:val="18"/>
              </w:rPr>
            </w:pPr>
            <w:r w:rsidRPr="008F4A58">
              <w:rPr>
                <w:i/>
                <w:sz w:val="18"/>
                <w:szCs w:val="18"/>
              </w:rPr>
              <w:t>Only processes linked with IL pretreatment</w:t>
            </w:r>
          </w:p>
        </w:tc>
        <w:tc>
          <w:tcPr>
            <w:tcW w:w="0" w:type="auto"/>
          </w:tcPr>
          <w:p w14:paraId="1C523949" w14:textId="28ECDE90" w:rsidR="00512EC8" w:rsidRPr="008F4A58" w:rsidRDefault="00512EC8"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8F4A58">
              <w:rPr>
                <w:i/>
                <w:sz w:val="18"/>
                <w:szCs w:val="18"/>
              </w:rPr>
              <w:t xml:space="preserve">See </w:t>
            </w:r>
            <w:r w:rsidRPr="008F4A58">
              <w:rPr>
                <w:b/>
                <w:i/>
                <w:sz w:val="18"/>
                <w:szCs w:val="18"/>
              </w:rPr>
              <w:t xml:space="preserve">section </w:t>
            </w:r>
            <w:r w:rsidR="003A663A">
              <w:rPr>
                <w:b/>
                <w:i/>
                <w:sz w:val="18"/>
                <w:szCs w:val="18"/>
              </w:rPr>
              <w:t xml:space="preserve">SI. </w:t>
            </w:r>
            <w:r w:rsidR="00E9442B" w:rsidRPr="008F4A58">
              <w:rPr>
                <w:b/>
                <w:i/>
                <w:sz w:val="18"/>
                <w:szCs w:val="18"/>
              </w:rPr>
              <w:fldChar w:fldCharType="begin"/>
            </w:r>
            <w:r w:rsidR="00E9442B" w:rsidRPr="008F4A58">
              <w:rPr>
                <w:b/>
                <w:i/>
                <w:sz w:val="18"/>
                <w:szCs w:val="18"/>
              </w:rPr>
              <w:instrText xml:space="preserve"> REF _Ref144802667 \r \h  \* MERGEFORMAT </w:instrText>
            </w:r>
            <w:r w:rsidR="00E9442B" w:rsidRPr="008F4A58">
              <w:rPr>
                <w:b/>
                <w:i/>
                <w:sz w:val="18"/>
                <w:szCs w:val="18"/>
              </w:rPr>
            </w:r>
            <w:r w:rsidR="00E9442B" w:rsidRPr="008F4A58">
              <w:rPr>
                <w:b/>
                <w:i/>
                <w:sz w:val="18"/>
                <w:szCs w:val="18"/>
              </w:rPr>
              <w:fldChar w:fldCharType="separate"/>
            </w:r>
            <w:r w:rsidR="00F25F8C" w:rsidRPr="008F4A58">
              <w:rPr>
                <w:b/>
                <w:i/>
                <w:sz w:val="18"/>
                <w:szCs w:val="18"/>
              </w:rPr>
              <w:t>4.1</w:t>
            </w:r>
            <w:r w:rsidR="00E9442B" w:rsidRPr="008F4A58">
              <w:rPr>
                <w:b/>
                <w:i/>
                <w:sz w:val="18"/>
                <w:szCs w:val="18"/>
              </w:rPr>
              <w:fldChar w:fldCharType="end"/>
            </w:r>
          </w:p>
        </w:tc>
      </w:tr>
    </w:tbl>
    <w:p w14:paraId="3B820B18" w14:textId="77777777" w:rsidR="00E9442B" w:rsidRDefault="00E9442B" w:rsidP="00512EC8">
      <w:pPr>
        <w:jc w:val="both"/>
        <w:rPr>
          <w:rFonts w:cs="Times New Roman"/>
        </w:rPr>
      </w:pPr>
    </w:p>
    <w:p w14:paraId="7ED96B0C" w14:textId="33FA6371" w:rsidR="00512EC8" w:rsidRDefault="00512EC8" w:rsidP="00E9442B">
      <w:pPr>
        <w:jc w:val="both"/>
        <w:rPr>
          <w:rFonts w:cs="Times New Roman"/>
        </w:rPr>
      </w:pPr>
      <w:r w:rsidRPr="003F5DA8">
        <w:rPr>
          <w:rFonts w:cs="Times New Roman"/>
        </w:rPr>
        <w:t>The rest of the parameters used to model IL pretreatment are displayed in</w:t>
      </w:r>
      <w:r w:rsidR="00E9442B">
        <w:rPr>
          <w:rFonts w:cs="Times New Roman"/>
        </w:rPr>
        <w:t xml:space="preserve"> </w:t>
      </w:r>
      <w:r w:rsidR="00E9442B" w:rsidRPr="00E9442B">
        <w:rPr>
          <w:rFonts w:cs="Times New Roman"/>
          <w:b/>
        </w:rPr>
        <w:fldChar w:fldCharType="begin"/>
      </w:r>
      <w:r w:rsidR="00E9442B" w:rsidRPr="00E9442B">
        <w:rPr>
          <w:rFonts w:cs="Times New Roman"/>
          <w:b/>
        </w:rPr>
        <w:instrText xml:space="preserve"> REF _Ref144807107 \h </w:instrText>
      </w:r>
      <w:r w:rsidR="00E9442B">
        <w:rPr>
          <w:rFonts w:cs="Times New Roman"/>
          <w:b/>
        </w:rPr>
        <w:instrText xml:space="preserve"> \* MERGEFORMAT </w:instrText>
      </w:r>
      <w:r w:rsidR="00E9442B" w:rsidRPr="00E9442B">
        <w:rPr>
          <w:rFonts w:cs="Times New Roman"/>
          <w:b/>
        </w:rPr>
      </w:r>
      <w:r w:rsidR="00E9442B" w:rsidRPr="00E9442B">
        <w:rPr>
          <w:rFonts w:cs="Times New Roman"/>
          <w:b/>
        </w:rPr>
        <w:fldChar w:fldCharType="separate"/>
      </w:r>
      <w:r w:rsidR="00F25F8C" w:rsidRPr="00F25F8C">
        <w:rPr>
          <w:b/>
        </w:rPr>
        <w:t xml:space="preserve">Table SI. </w:t>
      </w:r>
      <w:r w:rsidR="00F25F8C" w:rsidRPr="00F25F8C">
        <w:rPr>
          <w:b/>
          <w:noProof/>
        </w:rPr>
        <w:t>43</w:t>
      </w:r>
      <w:r w:rsidR="00E9442B" w:rsidRPr="00E9442B">
        <w:rPr>
          <w:rFonts w:cs="Times New Roman"/>
          <w:b/>
        </w:rPr>
        <w:fldChar w:fldCharType="end"/>
      </w:r>
      <w:r w:rsidRPr="003F5DA8">
        <w:rPr>
          <w:rFonts w:cs="Times New Roman"/>
        </w:rPr>
        <w:t>.</w:t>
      </w:r>
    </w:p>
    <w:p w14:paraId="3980EAC8" w14:textId="77777777" w:rsidR="006B5342" w:rsidRDefault="006B5342">
      <w:pPr>
        <w:rPr>
          <w:rFonts w:eastAsia="BatangChe" w:cs="Angsana New"/>
          <w:b/>
          <w:bCs/>
          <w:kern w:val="2"/>
          <w:sz w:val="20"/>
          <w:szCs w:val="20"/>
          <w:lang w:eastAsia="ko-KR"/>
        </w:rPr>
      </w:pPr>
      <w:bookmarkStart w:id="195" w:name="_Ref144807107"/>
      <w:bookmarkStart w:id="196" w:name="_Toc134537654"/>
      <w:r>
        <w:br w:type="page"/>
      </w:r>
    </w:p>
    <w:p w14:paraId="75ECBA05" w14:textId="0CCD429B" w:rsidR="00512EC8" w:rsidRPr="00053C26" w:rsidRDefault="00874128" w:rsidP="006B5342">
      <w:pPr>
        <w:pStyle w:val="Lgende"/>
        <w:jc w:val="left"/>
        <w:rPr>
          <w:b w:val="0"/>
          <w:i/>
        </w:rPr>
      </w:pPr>
      <w:bookmarkStart w:id="197" w:name="_Toc151967927"/>
      <w:r>
        <w:lastRenderedPageBreak/>
        <w:t>Table SI.</w:t>
      </w:r>
      <w:r w:rsidR="00512EC8">
        <w:t xml:space="preserve"> </w:t>
      </w:r>
      <w:r>
        <w:fldChar w:fldCharType="begin"/>
      </w:r>
      <w:r>
        <w:instrText xml:space="preserve"> SEQ Table_SI. \* ARABIC </w:instrText>
      </w:r>
      <w:r>
        <w:fldChar w:fldCharType="separate"/>
      </w:r>
      <w:r w:rsidR="00F25F8C">
        <w:rPr>
          <w:noProof/>
        </w:rPr>
        <w:t>43</w:t>
      </w:r>
      <w:r>
        <w:fldChar w:fldCharType="end"/>
      </w:r>
      <w:bookmarkEnd w:id="195"/>
      <w:r w:rsidR="00512EC8">
        <w:t xml:space="preserve"> </w:t>
      </w:r>
      <w:r w:rsidR="00512EC8" w:rsidRPr="002C6DB3">
        <w:t>– IL pretreatment modeling parameters</w:t>
      </w:r>
      <w:bookmarkEnd w:id="196"/>
      <w:bookmarkEnd w:id="197"/>
    </w:p>
    <w:tbl>
      <w:tblPr>
        <w:tblStyle w:val="Tableausimple2"/>
        <w:tblW w:w="0" w:type="auto"/>
        <w:jc w:val="center"/>
        <w:tblLook w:val="04A0" w:firstRow="1" w:lastRow="0" w:firstColumn="1" w:lastColumn="0" w:noHBand="0" w:noVBand="1"/>
      </w:tblPr>
      <w:tblGrid>
        <w:gridCol w:w="1804"/>
        <w:gridCol w:w="1008"/>
        <w:gridCol w:w="794"/>
        <w:gridCol w:w="679"/>
        <w:gridCol w:w="4787"/>
      </w:tblGrid>
      <w:tr w:rsidR="00512EC8" w:rsidRPr="008F4A58" w14:paraId="2E6A7E7D" w14:textId="77777777" w:rsidTr="008F4A58">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15A94C07" w14:textId="77777777" w:rsidR="00512EC8" w:rsidRPr="008F4A58" w:rsidRDefault="00512EC8" w:rsidP="006D537D">
            <w:pPr>
              <w:jc w:val="right"/>
              <w:rPr>
                <w:sz w:val="18"/>
                <w:szCs w:val="18"/>
              </w:rPr>
            </w:pPr>
            <w:r w:rsidRPr="008F4A58">
              <w:rPr>
                <w:sz w:val="18"/>
                <w:szCs w:val="18"/>
              </w:rPr>
              <w:t>Parameter</w:t>
            </w:r>
          </w:p>
        </w:tc>
        <w:tc>
          <w:tcPr>
            <w:tcW w:w="1008" w:type="dxa"/>
          </w:tcPr>
          <w:p w14:paraId="1AD665E9"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Unit</w:t>
            </w:r>
          </w:p>
        </w:tc>
        <w:tc>
          <w:tcPr>
            <w:tcW w:w="708" w:type="dxa"/>
          </w:tcPr>
          <w:p w14:paraId="2E106C6B"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Value</w:t>
            </w:r>
          </w:p>
        </w:tc>
        <w:tc>
          <w:tcPr>
            <w:tcW w:w="679" w:type="dxa"/>
          </w:tcPr>
          <w:p w14:paraId="471C175E"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Range</w:t>
            </w:r>
          </w:p>
        </w:tc>
        <w:tc>
          <w:tcPr>
            <w:tcW w:w="0" w:type="auto"/>
          </w:tcPr>
          <w:p w14:paraId="1BB94A77" w14:textId="77777777" w:rsidR="00512EC8" w:rsidRPr="008F4A58" w:rsidRDefault="00512EC8" w:rsidP="00E9442B">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Comment</w:t>
            </w:r>
          </w:p>
        </w:tc>
      </w:tr>
      <w:tr w:rsidR="00512EC8" w:rsidRPr="008F4A58" w14:paraId="4459ACB3" w14:textId="77777777" w:rsidTr="008F4A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46835149" w14:textId="77777777" w:rsidR="00512EC8" w:rsidRPr="008F4A58" w:rsidRDefault="00512EC8" w:rsidP="006D537D">
            <w:pPr>
              <w:jc w:val="right"/>
              <w:rPr>
                <w:b w:val="0"/>
                <w:sz w:val="18"/>
                <w:szCs w:val="18"/>
              </w:rPr>
            </w:pPr>
            <w:r w:rsidRPr="008F4A58">
              <w:rPr>
                <w:b w:val="0"/>
                <w:sz w:val="18"/>
                <w:szCs w:val="18"/>
              </w:rPr>
              <w:t>IL make-up moisture content</w:t>
            </w:r>
          </w:p>
        </w:tc>
        <w:tc>
          <w:tcPr>
            <w:tcW w:w="0" w:type="auto"/>
          </w:tcPr>
          <w:p w14:paraId="36D22920"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w:t>
            </w:r>
            <w:r w:rsidRPr="008F4A58">
              <w:rPr>
                <w:sz w:val="18"/>
                <w:szCs w:val="18"/>
                <w:vertAlign w:val="subscript"/>
              </w:rPr>
              <w:t>ww</w:t>
            </w:r>
          </w:p>
        </w:tc>
        <w:tc>
          <w:tcPr>
            <w:tcW w:w="794" w:type="dxa"/>
          </w:tcPr>
          <w:p w14:paraId="37806EAB"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20%</w:t>
            </w:r>
          </w:p>
        </w:tc>
        <w:tc>
          <w:tcPr>
            <w:tcW w:w="679" w:type="dxa"/>
          </w:tcPr>
          <w:p w14:paraId="552258E2"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10-30%</w:t>
            </w:r>
          </w:p>
        </w:tc>
        <w:tc>
          <w:tcPr>
            <w:tcW w:w="0" w:type="auto"/>
          </w:tcPr>
          <w:p w14:paraId="21B8A9E0" w14:textId="3BD90064" w:rsidR="00512EC8" w:rsidRPr="008F4A58" w:rsidRDefault="00512EC8"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8F4A58">
              <w:rPr>
                <w:i/>
                <w:sz w:val="18"/>
                <w:szCs w:val="18"/>
              </w:rPr>
              <w:t>As Upcraft et al., 2021</w:t>
            </w:r>
            <w:r w:rsidRPr="008F4A58">
              <w:rPr>
                <w:i/>
                <w:sz w:val="18"/>
                <w:szCs w:val="18"/>
              </w:rPr>
              <w:fldChar w:fldCharType="begin"/>
            </w:r>
            <w:r w:rsidR="005413B4">
              <w:rPr>
                <w:i/>
                <w:sz w:val="18"/>
                <w:szCs w:val="18"/>
              </w:rPr>
              <w:instrText xml:space="preserve"> ADDIN ZOTERO_ITEM CSL_CITATION {"citationID":"hRGhMQSN","properties":{"formattedCitation":"\\super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131</w:t>
            </w:r>
            <w:r w:rsidRPr="008F4A58">
              <w:rPr>
                <w:i/>
                <w:sz w:val="18"/>
                <w:szCs w:val="18"/>
              </w:rPr>
              <w:fldChar w:fldCharType="end"/>
            </w:r>
          </w:p>
        </w:tc>
      </w:tr>
      <w:tr w:rsidR="00512EC8" w:rsidRPr="008F4A58" w14:paraId="6DEF2446" w14:textId="77777777" w:rsidTr="008F4A58">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3F431CF4" w14:textId="77777777" w:rsidR="00512EC8" w:rsidRPr="008F4A58" w:rsidRDefault="00512EC8" w:rsidP="006D537D">
            <w:pPr>
              <w:jc w:val="right"/>
              <w:rPr>
                <w:b w:val="0"/>
                <w:sz w:val="18"/>
                <w:szCs w:val="18"/>
              </w:rPr>
            </w:pPr>
            <w:r w:rsidRPr="008F4A58">
              <w:rPr>
                <w:b w:val="0"/>
                <w:sz w:val="18"/>
                <w:szCs w:val="18"/>
              </w:rPr>
              <w:t>IL lost in pulp</w:t>
            </w:r>
          </w:p>
        </w:tc>
        <w:tc>
          <w:tcPr>
            <w:tcW w:w="0" w:type="auto"/>
          </w:tcPr>
          <w:p w14:paraId="0CBA92E3"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w:t>
            </w:r>
            <w:r w:rsidRPr="008F4A58">
              <w:rPr>
                <w:sz w:val="18"/>
                <w:szCs w:val="18"/>
                <w:vertAlign w:val="subscript"/>
              </w:rPr>
              <w:t>in</w:t>
            </w:r>
          </w:p>
        </w:tc>
        <w:tc>
          <w:tcPr>
            <w:tcW w:w="794" w:type="dxa"/>
          </w:tcPr>
          <w:p w14:paraId="6CA1C490"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0.01%</w:t>
            </w:r>
          </w:p>
        </w:tc>
        <w:tc>
          <w:tcPr>
            <w:tcW w:w="679" w:type="dxa"/>
          </w:tcPr>
          <w:p w14:paraId="14FEA7B3"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08743A59" w14:textId="1CC5ADDA" w:rsidR="00512EC8" w:rsidRPr="008F4A58" w:rsidRDefault="00512EC8"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8F4A58">
              <w:rPr>
                <w:i/>
                <w:sz w:val="18"/>
                <w:szCs w:val="18"/>
              </w:rPr>
              <w:t>One simulation found</w:t>
            </w:r>
            <w:r w:rsidRPr="008F4A58">
              <w:rPr>
                <w:i/>
                <w:sz w:val="18"/>
                <w:szCs w:val="18"/>
              </w:rPr>
              <w:fldChar w:fldCharType="begin"/>
            </w:r>
            <w:r w:rsidR="005413B4">
              <w:rPr>
                <w:i/>
                <w:sz w:val="18"/>
                <w:szCs w:val="18"/>
              </w:rPr>
              <w:instrText xml:space="preserve"> ADDIN ZOTERO_ITEM CSL_CITATION {"citationID":"JZzWgmJn","properties":{"formattedCitation":"\\super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131</w:t>
            </w:r>
            <w:r w:rsidRPr="008F4A58">
              <w:rPr>
                <w:i/>
                <w:sz w:val="18"/>
                <w:szCs w:val="18"/>
              </w:rPr>
              <w:fldChar w:fldCharType="end"/>
            </w:r>
          </w:p>
        </w:tc>
      </w:tr>
      <w:tr w:rsidR="00512EC8" w:rsidRPr="008F4A58" w14:paraId="70199848" w14:textId="77777777" w:rsidTr="008F4A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0A4F7743" w14:textId="77777777" w:rsidR="00512EC8" w:rsidRPr="008F4A58" w:rsidRDefault="00512EC8" w:rsidP="006D537D">
            <w:pPr>
              <w:jc w:val="right"/>
              <w:rPr>
                <w:b w:val="0"/>
                <w:sz w:val="18"/>
                <w:szCs w:val="18"/>
              </w:rPr>
            </w:pPr>
            <w:r w:rsidRPr="008F4A58">
              <w:rPr>
                <w:b w:val="0"/>
                <w:sz w:val="18"/>
                <w:szCs w:val="18"/>
              </w:rPr>
              <w:t>Relooped IL</w:t>
            </w:r>
          </w:p>
        </w:tc>
        <w:tc>
          <w:tcPr>
            <w:tcW w:w="0" w:type="auto"/>
          </w:tcPr>
          <w:p w14:paraId="259EF31F"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w:t>
            </w:r>
            <w:r w:rsidRPr="008F4A58">
              <w:rPr>
                <w:sz w:val="18"/>
                <w:szCs w:val="18"/>
                <w:vertAlign w:val="subscript"/>
              </w:rPr>
              <w:t>rec</w:t>
            </w:r>
          </w:p>
        </w:tc>
        <w:tc>
          <w:tcPr>
            <w:tcW w:w="794" w:type="dxa"/>
          </w:tcPr>
          <w:p w14:paraId="5DE1C56D"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99.5%</w:t>
            </w:r>
          </w:p>
        </w:tc>
        <w:tc>
          <w:tcPr>
            <w:tcW w:w="679" w:type="dxa"/>
          </w:tcPr>
          <w:p w14:paraId="395FC648"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99-99.9%</w:t>
            </w:r>
          </w:p>
        </w:tc>
        <w:tc>
          <w:tcPr>
            <w:tcW w:w="0" w:type="auto"/>
          </w:tcPr>
          <w:p w14:paraId="2A469046" w14:textId="6FEB46D7" w:rsidR="00512EC8" w:rsidRPr="008F4A58" w:rsidRDefault="00512EC8"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8F4A58">
              <w:rPr>
                <w:i/>
                <w:sz w:val="18"/>
                <w:szCs w:val="18"/>
              </w:rPr>
              <w:t>Currently reported values ranging 85-99% within less than 10-20 cycles</w:t>
            </w:r>
            <w:r w:rsidRPr="008F4A58">
              <w:rPr>
                <w:i/>
                <w:sz w:val="18"/>
                <w:szCs w:val="18"/>
              </w:rPr>
              <w:fldChar w:fldCharType="begin"/>
            </w:r>
            <w:r w:rsidR="005413B4">
              <w:rPr>
                <w:i/>
                <w:sz w:val="18"/>
                <w:szCs w:val="18"/>
              </w:rPr>
              <w:instrText xml:space="preserve"> ADDIN ZOTERO_ITEM CSL_CITATION {"citationID":"yAzLGfwt","properties":{"formattedCitation":"\\super 157\\nosupersub{}","plainCitation":"157","noteIndex":0},"citationItems":[{"id":13484,"uris":["http://zotero.org/users/6423791/items/TIUN5U7I"],"itemData":{"id":13484,"type":"article-journal","abstract":"Lignocellulosic biomass has been used as starting materials in the processes of producing biofuels and chemicals.\n          , \n            Lignocellulosic biomass has been used as starting materials in the process of producing biofuels and chemicals. A pretreatment step is necessary to mitigate the inherent recalcitrance of lignocellulosic biomass during biochemical conversion. Certain ionic liquids (ILs) have been proven to be effective solvents to deconstruct recalcitrant lignocellulosic biomass for high sugar yield for over a decade. Dialkylimidazolium-based, choline-based, and protic acidic ILs are frequently used in biomass pretreatment. Extensive research in this field has been done with technological hurdles revealed during the process. In this review paper, advances in the biocompatibility of ILs and process integration, optimization and scale-up of IL pretreatment processes, IL recovery and reuse, and economic and sustainability analysis were presented. ILs continue to be actively used in biomass pretreatment due to their structural variability and functional tunability.","container-title":"Sustainable Energy &amp; Fuels","DOI":"10.1039/D0SE01802C","ISSN":"2398-4902","issue":"6","journalAbbreviation":"Sustainable Energy Fuels","language":"en","page":"1655-1667","source":"DOI.org (Crossref)","title":"Recent developments in ionic liquid pretreatment of lignocellulosic biomass for enhanced bioconversion","volume":"5","author":[{"family":"Zhang","given":"Jinxu"},{"family":"Zou","given":"Dongzhe"},{"family":"Singh","given":"Seema"},{"family":"Cheng","given":"Gang"}],"issued":{"date-parts":[["2021"]]}}}],"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157</w:t>
            </w:r>
            <w:r w:rsidRPr="008F4A58">
              <w:rPr>
                <w:i/>
                <w:sz w:val="18"/>
                <w:szCs w:val="18"/>
              </w:rPr>
              <w:fldChar w:fldCharType="end"/>
            </w:r>
            <w:r w:rsidRPr="008F4A58">
              <w:rPr>
                <w:i/>
                <w:sz w:val="18"/>
                <w:szCs w:val="18"/>
              </w:rPr>
              <w:t>. Here, selecting optimistic range.</w:t>
            </w:r>
          </w:p>
        </w:tc>
      </w:tr>
      <w:tr w:rsidR="00512EC8" w:rsidRPr="008F4A58" w14:paraId="3E20FDD5" w14:textId="77777777" w:rsidTr="008F4A58">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20F3ED9B" w14:textId="77777777" w:rsidR="00512EC8" w:rsidRPr="008F4A58" w:rsidRDefault="00512EC8" w:rsidP="006D537D">
            <w:pPr>
              <w:jc w:val="right"/>
              <w:rPr>
                <w:b w:val="0"/>
                <w:sz w:val="18"/>
                <w:szCs w:val="18"/>
              </w:rPr>
            </w:pPr>
            <w:r w:rsidRPr="008F4A58">
              <w:rPr>
                <w:b w:val="0"/>
                <w:sz w:val="18"/>
                <w:szCs w:val="18"/>
              </w:rPr>
              <w:t>IL density</w:t>
            </w:r>
          </w:p>
        </w:tc>
        <w:tc>
          <w:tcPr>
            <w:tcW w:w="0" w:type="auto"/>
          </w:tcPr>
          <w:p w14:paraId="48EF1911"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kg.m</w:t>
            </w:r>
            <w:r w:rsidRPr="008F4A58">
              <w:rPr>
                <w:sz w:val="18"/>
                <w:szCs w:val="18"/>
                <w:vertAlign w:val="superscript"/>
              </w:rPr>
              <w:t>-3</w:t>
            </w:r>
          </w:p>
        </w:tc>
        <w:tc>
          <w:tcPr>
            <w:tcW w:w="794" w:type="dxa"/>
          </w:tcPr>
          <w:p w14:paraId="17A17F23"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1143</w:t>
            </w:r>
          </w:p>
        </w:tc>
        <w:tc>
          <w:tcPr>
            <w:tcW w:w="679" w:type="dxa"/>
          </w:tcPr>
          <w:p w14:paraId="29973304"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val="restart"/>
          </w:tcPr>
          <w:p w14:paraId="288CD701" w14:textId="437D197C" w:rsidR="00512EC8" w:rsidRPr="008F4A58" w:rsidRDefault="00512EC8"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8F4A58">
              <w:rPr>
                <w:i/>
                <w:sz w:val="18"/>
                <w:szCs w:val="18"/>
              </w:rPr>
              <w:t>Choline-based</w:t>
            </w:r>
            <w:r w:rsidRPr="008F4A58">
              <w:rPr>
                <w:i/>
                <w:sz w:val="18"/>
                <w:szCs w:val="18"/>
              </w:rPr>
              <w:fldChar w:fldCharType="begin"/>
            </w:r>
            <w:r w:rsidR="005413B4">
              <w:rPr>
                <w:i/>
                <w:sz w:val="18"/>
                <w:szCs w:val="18"/>
              </w:rPr>
              <w:instrText xml:space="preserve"> ADDIN ZOTERO_ITEM CSL_CITATION {"citationID":"4LFAMqOV","properties":{"formattedCitation":"\\super 165\\nosupersub{}","plainCitation":"165","noteIndex":0},"citationItems":[{"id":13521,"uris":["http://zotero.org/users/6423791/items/JZIUKQVK"],"itemData":{"id":13521,"type":"article-journal","abstract":"Phase transitions, isobaric heat capacities and thermal stability of four ionic liquids (ILs) are determined in this work. The selected Ionic Liquids (ILs) have two different cations, pyridinium and choline, and they are combined with three different anions, acetate, dihydrogen phosphate and tosylate. Solid-solid and solid-liquid phase transitions and isobaric molar heat capacities are determined using two calorimeters, both based on the differential scanning calorimetry methodology. Thermal stability of the studied compounds is analysed through the thermogravimetric technique (TGA). Degradation temperatures are obtained from TGA experiments using the dynamic method, whereas isothermal TGA is used to determine the maximum operation temperature. The results show that, all the ILs present crystalline behaviour, with melting temperatures within the interval of 88 °C and 123 °C, whereas heat capacities linearly increases with temperature. A clear dependence with the anion is observed for both heat capacities and thermal stability, being ILs with the tosylate anion those presenting the highest values of molar heat capacities and the highest thermal stability.","container-title":"The Journal of Chemical Thermodynamics","DOI":"10.1016/j.jct.2019.105947","ISSN":"0021-9614","journalAbbreviation":"The Journal of Chemical Thermodynamics","language":"en","page":"105947","source":"ScienceDirect","title":"Thermophysical properties of choline and pyridinium based ionic liquids as advanced materials for energy applications","volume":"141","author":[{"family":"Parajó","given":"J. J."},{"family":"Villanueva","given":"M."},{"family":"Troncoso","given":"J."},{"family":"Salgado","given":"J."}],"issued":{"date-parts":[["2020",2,1]]}}}],"schema":"https://github.com/citation-style-language/schema/raw/master/csl-citation.json"}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165</w:t>
            </w:r>
            <w:r w:rsidRPr="008F4A58">
              <w:rPr>
                <w:i/>
                <w:sz w:val="18"/>
                <w:szCs w:val="18"/>
              </w:rPr>
              <w:fldChar w:fldCharType="end"/>
            </w:r>
          </w:p>
        </w:tc>
      </w:tr>
      <w:tr w:rsidR="00512EC8" w:rsidRPr="008F4A58" w14:paraId="40D92C13" w14:textId="77777777" w:rsidTr="008F4A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12B69E43" w14:textId="77777777" w:rsidR="00512EC8" w:rsidRPr="008F4A58" w:rsidRDefault="00512EC8" w:rsidP="006D537D">
            <w:pPr>
              <w:jc w:val="right"/>
              <w:rPr>
                <w:b w:val="0"/>
                <w:sz w:val="18"/>
                <w:szCs w:val="18"/>
              </w:rPr>
            </w:pPr>
            <w:r w:rsidRPr="008F4A58">
              <w:rPr>
                <w:b w:val="0"/>
                <w:sz w:val="18"/>
                <w:szCs w:val="18"/>
              </w:rPr>
              <w:t>IL Cp</w:t>
            </w:r>
          </w:p>
        </w:tc>
        <w:tc>
          <w:tcPr>
            <w:tcW w:w="0" w:type="auto"/>
          </w:tcPr>
          <w:p w14:paraId="02E22791"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kJ.kg</w:t>
            </w:r>
            <w:r w:rsidRPr="008F4A58">
              <w:rPr>
                <w:sz w:val="18"/>
                <w:szCs w:val="18"/>
                <w:vertAlign w:val="superscript"/>
              </w:rPr>
              <w:t>-</w:t>
            </w:r>
            <w:proofErr w:type="gramStart"/>
            <w:r w:rsidRPr="008F4A58">
              <w:rPr>
                <w:sz w:val="18"/>
                <w:szCs w:val="18"/>
                <w:vertAlign w:val="superscript"/>
              </w:rPr>
              <w:t>1</w:t>
            </w:r>
            <w:r w:rsidRPr="008F4A58">
              <w:rPr>
                <w:sz w:val="18"/>
                <w:szCs w:val="18"/>
              </w:rPr>
              <w:t>.K</w:t>
            </w:r>
            <w:proofErr w:type="gramEnd"/>
            <w:r w:rsidRPr="008F4A58">
              <w:rPr>
                <w:sz w:val="18"/>
                <w:szCs w:val="18"/>
                <w:vertAlign w:val="superscript"/>
              </w:rPr>
              <w:t>-1</w:t>
            </w:r>
          </w:p>
        </w:tc>
        <w:tc>
          <w:tcPr>
            <w:tcW w:w="794" w:type="dxa"/>
          </w:tcPr>
          <w:p w14:paraId="39149422"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1.5</w:t>
            </w:r>
          </w:p>
        </w:tc>
        <w:tc>
          <w:tcPr>
            <w:tcW w:w="679" w:type="dxa"/>
          </w:tcPr>
          <w:p w14:paraId="6583A781"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tcPr>
          <w:p w14:paraId="06BDF7D4" w14:textId="77777777" w:rsidR="00512EC8" w:rsidRPr="008F4A58" w:rsidRDefault="00512EC8" w:rsidP="00E9442B">
            <w:pPr>
              <w:cnfStyle w:val="000000100000" w:firstRow="0" w:lastRow="0" w:firstColumn="0" w:lastColumn="0" w:oddVBand="0" w:evenVBand="0" w:oddHBand="1" w:evenHBand="0" w:firstRowFirstColumn="0" w:firstRowLastColumn="0" w:lastRowFirstColumn="0" w:lastRowLastColumn="0"/>
              <w:rPr>
                <w:i/>
                <w:sz w:val="18"/>
                <w:szCs w:val="18"/>
              </w:rPr>
            </w:pPr>
          </w:p>
        </w:tc>
      </w:tr>
      <w:tr w:rsidR="00512EC8" w:rsidRPr="008F4A58" w14:paraId="0A4F2043" w14:textId="77777777" w:rsidTr="008F4A58">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667CA73F" w14:textId="77777777" w:rsidR="00512EC8" w:rsidRPr="008F4A58" w:rsidRDefault="00512EC8" w:rsidP="006D537D">
            <w:pPr>
              <w:jc w:val="right"/>
              <w:rPr>
                <w:b w:val="0"/>
                <w:sz w:val="18"/>
                <w:szCs w:val="18"/>
              </w:rPr>
            </w:pPr>
            <w:r w:rsidRPr="008F4A58">
              <w:rPr>
                <w:b w:val="0"/>
                <w:sz w:val="18"/>
                <w:szCs w:val="18"/>
              </w:rPr>
              <w:t>Mixing electricity</w:t>
            </w:r>
          </w:p>
        </w:tc>
        <w:tc>
          <w:tcPr>
            <w:tcW w:w="0" w:type="auto"/>
          </w:tcPr>
          <w:p w14:paraId="57290DA0"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kWh.m</w:t>
            </w:r>
            <w:r w:rsidRPr="008F4A58">
              <w:rPr>
                <w:sz w:val="18"/>
                <w:szCs w:val="18"/>
                <w:vertAlign w:val="superscript"/>
              </w:rPr>
              <w:t>-3</w:t>
            </w:r>
          </w:p>
        </w:tc>
        <w:tc>
          <w:tcPr>
            <w:tcW w:w="794" w:type="dxa"/>
          </w:tcPr>
          <w:p w14:paraId="5CFCA8FC"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0.3</w:t>
            </w:r>
          </w:p>
        </w:tc>
        <w:tc>
          <w:tcPr>
            <w:tcW w:w="679" w:type="dxa"/>
          </w:tcPr>
          <w:p w14:paraId="63EBC108"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665948EA" w14:textId="77777777" w:rsidR="00512EC8" w:rsidRPr="008F4A58" w:rsidRDefault="00512EC8"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8F4A58">
              <w:rPr>
                <w:i/>
                <w:sz w:val="18"/>
                <w:szCs w:val="18"/>
              </w:rPr>
              <w:t>Impeller liquid mixing</w:t>
            </w:r>
          </w:p>
        </w:tc>
      </w:tr>
      <w:tr w:rsidR="00512EC8" w:rsidRPr="008F4A58" w14:paraId="331B8B16" w14:textId="77777777" w:rsidTr="008F4A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1895695B" w14:textId="77777777" w:rsidR="00512EC8" w:rsidRPr="008F4A58" w:rsidRDefault="00512EC8" w:rsidP="006D537D">
            <w:pPr>
              <w:jc w:val="right"/>
              <w:rPr>
                <w:b w:val="0"/>
                <w:sz w:val="18"/>
                <w:szCs w:val="18"/>
              </w:rPr>
            </w:pPr>
            <w:r w:rsidRPr="008F4A58">
              <w:rPr>
                <w:b w:val="0"/>
                <w:sz w:val="18"/>
                <w:szCs w:val="18"/>
              </w:rPr>
              <w:t>IL requirements</w:t>
            </w:r>
          </w:p>
        </w:tc>
        <w:tc>
          <w:tcPr>
            <w:tcW w:w="0" w:type="auto"/>
          </w:tcPr>
          <w:p w14:paraId="36F798AF"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kg</w:t>
            </w:r>
            <w:r w:rsidRPr="008F4A58">
              <w:rPr>
                <w:sz w:val="18"/>
                <w:szCs w:val="18"/>
                <w:vertAlign w:val="subscript"/>
              </w:rPr>
              <w:t>IL</w:t>
            </w:r>
            <w:r w:rsidRPr="008F4A58">
              <w:rPr>
                <w:sz w:val="18"/>
                <w:szCs w:val="18"/>
              </w:rPr>
              <w:t>.kg</w:t>
            </w:r>
            <w:r w:rsidRPr="008F4A58">
              <w:rPr>
                <w:sz w:val="18"/>
                <w:szCs w:val="18"/>
                <w:vertAlign w:val="subscript"/>
              </w:rPr>
              <w:t>DM</w:t>
            </w:r>
            <w:r w:rsidRPr="008F4A58">
              <w:rPr>
                <w:sz w:val="18"/>
                <w:szCs w:val="18"/>
                <w:vertAlign w:val="superscript"/>
              </w:rPr>
              <w:t>-1</w:t>
            </w:r>
          </w:p>
        </w:tc>
        <w:tc>
          <w:tcPr>
            <w:tcW w:w="794" w:type="dxa"/>
          </w:tcPr>
          <w:p w14:paraId="53A93622"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5.6</w:t>
            </w:r>
          </w:p>
        </w:tc>
        <w:tc>
          <w:tcPr>
            <w:tcW w:w="679" w:type="dxa"/>
          </w:tcPr>
          <w:p w14:paraId="1D8E97E9"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4-7</w:t>
            </w:r>
          </w:p>
        </w:tc>
        <w:tc>
          <w:tcPr>
            <w:tcW w:w="0" w:type="auto"/>
          </w:tcPr>
          <w:p w14:paraId="02668C28" w14:textId="1487D354" w:rsidR="00512EC8" w:rsidRPr="008F4A58" w:rsidRDefault="00512EC8"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8F4A58">
              <w:rPr>
                <w:i/>
                <w:sz w:val="18"/>
                <w:szCs w:val="18"/>
              </w:rPr>
              <w:t>Base as Upcraft et al, 2021</w:t>
            </w:r>
            <w:r w:rsidRPr="008F4A58">
              <w:rPr>
                <w:i/>
                <w:sz w:val="18"/>
                <w:szCs w:val="18"/>
              </w:rPr>
              <w:fldChar w:fldCharType="begin"/>
            </w:r>
            <w:r w:rsidR="005413B4">
              <w:rPr>
                <w:i/>
                <w:sz w:val="18"/>
                <w:szCs w:val="18"/>
              </w:rPr>
              <w:instrText xml:space="preserve"> ADDIN ZOTERO_ITEM CSL_CITATION {"citationID":"gAo1ZwIx","properties":{"formattedCitation":"\\super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131</w:t>
            </w:r>
            <w:r w:rsidRPr="008F4A58">
              <w:rPr>
                <w:i/>
                <w:sz w:val="18"/>
                <w:szCs w:val="18"/>
              </w:rPr>
              <w:fldChar w:fldCharType="end"/>
            </w:r>
            <w:r w:rsidRPr="008F4A58">
              <w:rPr>
                <w:i/>
                <w:sz w:val="18"/>
                <w:szCs w:val="18"/>
              </w:rPr>
              <w:t>. Range reviewed</w:t>
            </w:r>
            <w:r w:rsidRPr="008F4A58">
              <w:rPr>
                <w:i/>
                <w:sz w:val="18"/>
                <w:szCs w:val="18"/>
              </w:rPr>
              <w:fldChar w:fldCharType="begin"/>
            </w:r>
            <w:r w:rsidR="005413B4">
              <w:rPr>
                <w:i/>
                <w:sz w:val="18"/>
                <w:szCs w:val="18"/>
              </w:rPr>
              <w:instrText xml:space="preserve"> ADDIN ZOTERO_ITEM CSL_CITATION {"citationID":"PUNxwJc2","properties":{"formattedCitation":"\\super 159\\nosupersub{}","plainCitation":"159","noteIndex":0},"citationItems":[{"id":13499,"uris":["http://zotero.org/users/6423791/items/7BQC7723"],"itemData":{"id":13499,"type":"article-journal","abstract":"Ionic liquids have shown promising results in biomass pretreatment; however, an extensive water washing step is necessary. This fact increases not only the processing costs but also those associated with the ionic liquid recovery step. In this work, Eucalyptus globulus wood pretreated with two acetate-based ionic liquids, namely 1-ethyl-3-methylimidazolium acetate and choline acetate, has been washed with increasing volumes of water in order to analyze the influence of the amount of washing water used on the subsequent enzymatic hydrolysis stage and on the IL recovery costs. Vapor–liquid equilibria data of recovered ionic liquid/water mixtures have been determined to simulate the IL recovery step with Aspen Plus, calculating the operating costs using the Aspen Plus Economics Analyzer afterward. [Emim][OAc] was more efficiently washed and more effective toward wood pretreatment than [Ch][OAc]. Both IL/water systems were successfully modeled, and simulation studies showed that incremental volumes of water led to higher operating costs in the IL recovery step that are compensated with less IL makeup costs. Therefore, this work offers a technoeconomical analysis of the IL recovery step in a real biorefinery pretreatment process as a function of the volume of water used in the pretreated wood washing stage.","container-title":"ACS Sustainable Chemistry &amp; Engineering","DOI":"10.1021/acssuschemeng.1c01361","issue":"25","journalAbbreviation":"ACS Sustainable Chem. Eng.","note":"publisher: American Chemical Society","page":"8467-8476","source":"ACS Publications","title":"Technoeconomic Assessment of a Biomass Pretreatment + Ionic Liquid Recovery Process with Aprotic and Choline Derived Ionic Liquids","volume":"9","author":[{"family":"Ovejero-Pérez","given":"Antonio"},{"family":"Ayuso","given":"Miguel"},{"family":"Rigual","given":"Victoria"},{"family":"Domínguez","given":"Juan Carlos"},{"family":"García","given":"Julián"},{"family":"Alonso","given":"M. Virginia"},{"family":"Oliet","given":"Mercedes"},{"family":"Rodriguez","given":"Francisco"}],"issued":{"date-parts":[["2021",6,28]]}}}],"schema":"https://github.com/citation-style-language/schema/raw/master/csl-citation.json"}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159</w:t>
            </w:r>
            <w:r w:rsidRPr="008F4A58">
              <w:rPr>
                <w:i/>
                <w:sz w:val="18"/>
                <w:szCs w:val="18"/>
              </w:rPr>
              <w:fldChar w:fldCharType="end"/>
            </w:r>
          </w:p>
        </w:tc>
      </w:tr>
      <w:tr w:rsidR="00512EC8" w:rsidRPr="008F4A58" w14:paraId="1EA89DB4" w14:textId="77777777" w:rsidTr="008F4A58">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42B39972" w14:textId="77777777" w:rsidR="00512EC8" w:rsidRPr="008F4A58" w:rsidRDefault="00512EC8" w:rsidP="006D537D">
            <w:pPr>
              <w:jc w:val="right"/>
              <w:rPr>
                <w:b w:val="0"/>
                <w:sz w:val="18"/>
                <w:szCs w:val="18"/>
              </w:rPr>
            </w:pPr>
            <w:r w:rsidRPr="008F4A58">
              <w:rPr>
                <w:b w:val="0"/>
                <w:sz w:val="18"/>
                <w:szCs w:val="18"/>
              </w:rPr>
              <w:t>Washed pulp moisture</w:t>
            </w:r>
          </w:p>
        </w:tc>
        <w:tc>
          <w:tcPr>
            <w:tcW w:w="0" w:type="auto"/>
          </w:tcPr>
          <w:p w14:paraId="7F127BB5"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w:t>
            </w:r>
            <w:r w:rsidRPr="008F4A58">
              <w:rPr>
                <w:sz w:val="18"/>
                <w:szCs w:val="18"/>
                <w:vertAlign w:val="subscript"/>
              </w:rPr>
              <w:t>ww</w:t>
            </w:r>
          </w:p>
        </w:tc>
        <w:tc>
          <w:tcPr>
            <w:tcW w:w="794" w:type="dxa"/>
          </w:tcPr>
          <w:p w14:paraId="0320D208"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80%</w:t>
            </w:r>
          </w:p>
        </w:tc>
        <w:tc>
          <w:tcPr>
            <w:tcW w:w="679" w:type="dxa"/>
          </w:tcPr>
          <w:p w14:paraId="1D263960"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5E73E1C1" w14:textId="28CE3099" w:rsidR="00512EC8" w:rsidRPr="008F4A58" w:rsidRDefault="00512EC8"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8F4A58">
              <w:rPr>
                <w:i/>
                <w:sz w:val="18"/>
                <w:szCs w:val="18"/>
              </w:rPr>
              <w:t>Enough to pump towards next step</w:t>
            </w:r>
            <w:r w:rsidRPr="008F4A58">
              <w:rPr>
                <w:i/>
                <w:sz w:val="18"/>
                <w:szCs w:val="18"/>
              </w:rPr>
              <w:fldChar w:fldCharType="begin"/>
            </w:r>
            <w:r w:rsidR="005413B4">
              <w:rPr>
                <w:i/>
                <w:sz w:val="18"/>
                <w:szCs w:val="18"/>
              </w:rPr>
              <w:instrText xml:space="preserve"> ADDIN ZOTERO_ITEM CSL_CITATION {"citationID":"eNnrWiMt","properties":{"formattedCitation":"\\super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131</w:t>
            </w:r>
            <w:r w:rsidRPr="008F4A58">
              <w:rPr>
                <w:i/>
                <w:sz w:val="18"/>
                <w:szCs w:val="18"/>
              </w:rPr>
              <w:fldChar w:fldCharType="end"/>
            </w:r>
          </w:p>
        </w:tc>
      </w:tr>
      <w:tr w:rsidR="00512EC8" w:rsidRPr="008F4A58" w14:paraId="3162094B" w14:textId="77777777" w:rsidTr="008F4A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45B6CE25" w14:textId="77777777" w:rsidR="00512EC8" w:rsidRPr="008F4A58" w:rsidRDefault="00512EC8" w:rsidP="006D537D">
            <w:pPr>
              <w:jc w:val="right"/>
              <w:rPr>
                <w:b w:val="0"/>
                <w:sz w:val="18"/>
                <w:szCs w:val="18"/>
              </w:rPr>
            </w:pPr>
            <w:r w:rsidRPr="008F4A58">
              <w:rPr>
                <w:b w:val="0"/>
                <w:sz w:val="18"/>
                <w:szCs w:val="18"/>
              </w:rPr>
              <w:t>Washing water lignin cake</w:t>
            </w:r>
          </w:p>
        </w:tc>
        <w:tc>
          <w:tcPr>
            <w:tcW w:w="0" w:type="auto"/>
          </w:tcPr>
          <w:p w14:paraId="110F2D6C"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8F4A58">
              <w:rPr>
                <w:sz w:val="18"/>
                <w:szCs w:val="18"/>
              </w:rPr>
              <w:t>kg.kg</w:t>
            </w:r>
            <w:r w:rsidRPr="008F4A58">
              <w:rPr>
                <w:sz w:val="18"/>
                <w:szCs w:val="18"/>
                <w:vertAlign w:val="subscript"/>
              </w:rPr>
              <w:t>DM</w:t>
            </w:r>
            <w:proofErr w:type="gramEnd"/>
            <w:r w:rsidRPr="008F4A58">
              <w:rPr>
                <w:sz w:val="18"/>
                <w:szCs w:val="18"/>
                <w:vertAlign w:val="superscript"/>
              </w:rPr>
              <w:t>-1</w:t>
            </w:r>
          </w:p>
        </w:tc>
        <w:tc>
          <w:tcPr>
            <w:tcW w:w="794" w:type="dxa"/>
          </w:tcPr>
          <w:p w14:paraId="0E4E42C2"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1.85</w:t>
            </w:r>
          </w:p>
        </w:tc>
        <w:tc>
          <w:tcPr>
            <w:tcW w:w="679" w:type="dxa"/>
          </w:tcPr>
          <w:p w14:paraId="6B63BAA1"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6BFBAE7E" w14:textId="5ADA4802" w:rsidR="00512EC8" w:rsidRPr="008F4A58" w:rsidRDefault="00512EC8"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8F4A58">
              <w:rPr>
                <w:i/>
                <w:sz w:val="18"/>
                <w:szCs w:val="18"/>
              </w:rPr>
              <w:fldChar w:fldCharType="begin"/>
            </w:r>
            <w:r w:rsidR="005413B4">
              <w:rPr>
                <w:i/>
                <w:sz w:val="18"/>
                <w:szCs w:val="18"/>
              </w:rPr>
              <w:instrText xml:space="preserve"> ADDIN ZOTERO_ITEM CSL_CITATION {"citationID":"HWRNj6Fg","properties":{"formattedCitation":"\\super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131</w:t>
            </w:r>
            <w:r w:rsidRPr="008F4A58">
              <w:rPr>
                <w:i/>
                <w:sz w:val="18"/>
                <w:szCs w:val="18"/>
              </w:rPr>
              <w:fldChar w:fldCharType="end"/>
            </w:r>
          </w:p>
        </w:tc>
      </w:tr>
      <w:tr w:rsidR="00512EC8" w:rsidRPr="008F4A58" w14:paraId="6B47A44A" w14:textId="77777777" w:rsidTr="008F4A58">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190B3CEB" w14:textId="77777777" w:rsidR="00512EC8" w:rsidRPr="008F4A58" w:rsidRDefault="00512EC8" w:rsidP="006D537D">
            <w:pPr>
              <w:jc w:val="right"/>
              <w:rPr>
                <w:b w:val="0"/>
                <w:sz w:val="18"/>
                <w:szCs w:val="18"/>
              </w:rPr>
            </w:pPr>
            <w:r w:rsidRPr="008F4A58">
              <w:rPr>
                <w:b w:val="0"/>
                <w:sz w:val="18"/>
                <w:szCs w:val="18"/>
              </w:rPr>
              <w:t>Evaporator efficiency</w:t>
            </w:r>
          </w:p>
        </w:tc>
        <w:tc>
          <w:tcPr>
            <w:tcW w:w="0" w:type="auto"/>
          </w:tcPr>
          <w:p w14:paraId="5F2CBF76"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w:t>
            </w:r>
            <w:r w:rsidRPr="008F4A58">
              <w:rPr>
                <w:sz w:val="18"/>
                <w:szCs w:val="18"/>
                <w:vertAlign w:val="subscript"/>
              </w:rPr>
              <w:t>MJ_th</w:t>
            </w:r>
          </w:p>
        </w:tc>
        <w:tc>
          <w:tcPr>
            <w:tcW w:w="794" w:type="dxa"/>
          </w:tcPr>
          <w:p w14:paraId="52BA05A1"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75%</w:t>
            </w:r>
          </w:p>
        </w:tc>
        <w:tc>
          <w:tcPr>
            <w:tcW w:w="679" w:type="dxa"/>
          </w:tcPr>
          <w:p w14:paraId="4576E3AE"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70-80%</w:t>
            </w:r>
          </w:p>
        </w:tc>
        <w:tc>
          <w:tcPr>
            <w:tcW w:w="0" w:type="auto"/>
          </w:tcPr>
          <w:p w14:paraId="7D095D27" w14:textId="1675AE4C" w:rsidR="00512EC8" w:rsidRPr="008F4A58" w:rsidRDefault="00512EC8" w:rsidP="00E9442B">
            <w:pPr>
              <w:cnfStyle w:val="000000000000" w:firstRow="0" w:lastRow="0" w:firstColumn="0" w:lastColumn="0" w:oddVBand="0" w:evenVBand="0" w:oddHBand="0" w:evenHBand="0" w:firstRowFirstColumn="0" w:firstRowLastColumn="0" w:lastRowFirstColumn="0" w:lastRowLastColumn="0"/>
              <w:rPr>
                <w:i/>
                <w:sz w:val="18"/>
                <w:szCs w:val="18"/>
              </w:rPr>
            </w:pPr>
            <w:r w:rsidRPr="008F4A58">
              <w:rPr>
                <w:i/>
                <w:sz w:val="18"/>
                <w:szCs w:val="18"/>
              </w:rPr>
              <w:t>Review</w:t>
            </w:r>
            <w:r w:rsidRPr="008F4A58">
              <w:rPr>
                <w:i/>
                <w:sz w:val="18"/>
                <w:szCs w:val="18"/>
              </w:rPr>
              <w:fldChar w:fldCharType="begin"/>
            </w:r>
            <w:r w:rsidR="005413B4">
              <w:rPr>
                <w:i/>
                <w:sz w:val="18"/>
                <w:szCs w:val="18"/>
              </w:rPr>
              <w:instrText xml:space="preserve"> ADDIN ZOTERO_ITEM CSL_CITATION {"citationID":"KXhbNjF4","properties":{"formattedCitation":"\\super 164\\nosupersub{}","plainCitation":"164","noteIndex":0},"citationItems":[{"id":13523,"uris":["http://zotero.org/users/6423791/items/4UW9E4Q3"],"itemData":{"id":13523,"type":"article-journal","abstract":"The present study evaluates the performance of a triple-effect evaporator with forward feed (TEEFF) system by using exergy analysis based on actual operational data. The orange juice with a capacity of about 1.222 kg s−1 is concentrated from a dry matter (DM) content of 12 to 65% in this TEEFF, which is situated in an orange juice concentrate line installed in a factory, located in Denizli, Turkey. A Visual Basic 6.0 program was also developed to show how the exergetic performance characteristics of the system vary with the feed flow rates ranging from 1.222 to 1.667 kg s−1. The total exergy efficiency of the TEEEFF is found to be on average 0.85. The largest exergy destruction occurs in the first-effect of the TEEFF system with 48.2% of total, followed by the third and second effects with 32.04 and 19.76% of that. Evaporator performance is also rated on the basis of steam economy, which is obtained to be in the range of 2.05–2.14 under the operation conditions. It is expected that the analysis presented here should provide a designer with a better, quantitative grasp of the inefficiencies and their relative magnitudes in the design, simulation and operation of multiple-effect evaporators. Copyright © 2005 John Wiley &amp; Sons, Ltd.","container-title":"International Journal of Energy Research","DOI":"10.1002/er.1074","ISSN":"1099-114X","issue":"5","language":"en","note":"_eprint: https://onlinelibrary.wiley.com/doi/pdf/10.1002/er.1074","page":"455-470","source":"Wiley Online Library","title":"Performance evaluation of a triple-effect evaporator with forward feed using exergy analysis","volume":"29","author":[{"family":"Balkan","given":"Firuz"},{"family":"Colak","given":"Neslihan"},{"family":"Hepbasli","given":"Arif"}],"issued":{"date-parts":[["2005"]]}}}],"schema":"https://github.com/citation-style-language/schema/raw/master/csl-citation.json"}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164</w:t>
            </w:r>
            <w:r w:rsidRPr="008F4A58">
              <w:rPr>
                <w:i/>
                <w:sz w:val="18"/>
                <w:szCs w:val="18"/>
              </w:rPr>
              <w:fldChar w:fldCharType="end"/>
            </w:r>
            <w:r w:rsidRPr="008F4A58">
              <w:rPr>
                <w:i/>
                <w:sz w:val="18"/>
                <w:szCs w:val="18"/>
              </w:rPr>
              <w:t>, defines heating requirements for IL recovery</w:t>
            </w:r>
          </w:p>
        </w:tc>
      </w:tr>
      <w:tr w:rsidR="00512EC8" w:rsidRPr="008F4A58" w14:paraId="3C9869F1" w14:textId="77777777" w:rsidTr="008F4A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3676A64A" w14:textId="77777777" w:rsidR="00512EC8" w:rsidRPr="008F4A58" w:rsidRDefault="00512EC8" w:rsidP="006D537D">
            <w:pPr>
              <w:jc w:val="right"/>
              <w:rPr>
                <w:b w:val="0"/>
                <w:sz w:val="18"/>
                <w:szCs w:val="18"/>
              </w:rPr>
            </w:pPr>
            <w:r w:rsidRPr="008F4A58">
              <w:rPr>
                <w:b w:val="0"/>
                <w:sz w:val="18"/>
                <w:szCs w:val="18"/>
              </w:rPr>
              <w:t>Evaporator electricity</w:t>
            </w:r>
          </w:p>
        </w:tc>
        <w:tc>
          <w:tcPr>
            <w:tcW w:w="0" w:type="auto"/>
          </w:tcPr>
          <w:p w14:paraId="00D64505"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w:t>
            </w:r>
            <w:r w:rsidRPr="008F4A58">
              <w:rPr>
                <w:sz w:val="18"/>
                <w:szCs w:val="18"/>
                <w:vertAlign w:val="subscript"/>
              </w:rPr>
              <w:t>MJ</w:t>
            </w:r>
          </w:p>
        </w:tc>
        <w:tc>
          <w:tcPr>
            <w:tcW w:w="794" w:type="dxa"/>
          </w:tcPr>
          <w:p w14:paraId="37228604"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10%</w:t>
            </w:r>
          </w:p>
        </w:tc>
        <w:tc>
          <w:tcPr>
            <w:tcW w:w="679" w:type="dxa"/>
          </w:tcPr>
          <w:p w14:paraId="427C1FF2"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5-15%</w:t>
            </w:r>
          </w:p>
        </w:tc>
        <w:tc>
          <w:tcPr>
            <w:tcW w:w="0" w:type="auto"/>
          </w:tcPr>
          <w:p w14:paraId="2EE259B6" w14:textId="77777777" w:rsidR="00512EC8" w:rsidRPr="008F4A58" w:rsidRDefault="00512EC8" w:rsidP="00E9442B">
            <w:pPr>
              <w:cnfStyle w:val="000000100000" w:firstRow="0" w:lastRow="0" w:firstColumn="0" w:lastColumn="0" w:oddVBand="0" w:evenVBand="0" w:oddHBand="1" w:evenHBand="0" w:firstRowFirstColumn="0" w:firstRowLastColumn="0" w:lastRowFirstColumn="0" w:lastRowLastColumn="0"/>
              <w:rPr>
                <w:i/>
                <w:sz w:val="18"/>
                <w:szCs w:val="18"/>
              </w:rPr>
            </w:pPr>
            <w:r w:rsidRPr="008F4A58">
              <w:rPr>
                <w:i/>
                <w:sz w:val="18"/>
                <w:szCs w:val="18"/>
              </w:rPr>
              <w:t>No data, common range for drying technologies</w:t>
            </w:r>
          </w:p>
        </w:tc>
      </w:tr>
    </w:tbl>
    <w:p w14:paraId="13BFDBC2" w14:textId="77777777" w:rsidR="004A3FE2" w:rsidRDefault="004A3FE2" w:rsidP="004A3FE2">
      <w:pPr>
        <w:pStyle w:val="Contenudetableau"/>
      </w:pPr>
    </w:p>
    <w:p w14:paraId="313D7450" w14:textId="0A87B88E" w:rsidR="00512EC8" w:rsidRPr="00512EC8" w:rsidRDefault="00512EC8" w:rsidP="00E9442B">
      <w:pPr>
        <w:pStyle w:val="Titre4"/>
      </w:pPr>
      <w:r w:rsidRPr="00512EC8">
        <w:t>Enzymatic hydrolysis</w:t>
      </w:r>
    </w:p>
    <w:p w14:paraId="1DA3DE95" w14:textId="4A186F0F" w:rsidR="00512EC8" w:rsidRPr="003F5DA8" w:rsidRDefault="00512EC8" w:rsidP="00E9442B">
      <w:pPr>
        <w:ind w:firstLine="360"/>
        <w:jc w:val="both"/>
        <w:rPr>
          <w:rFonts w:cs="Times New Roman"/>
        </w:rPr>
      </w:pPr>
      <w:r w:rsidRPr="003F5DA8">
        <w:t>This stage was modeled as in Davis et al., 2018</w:t>
      </w:r>
      <w:r w:rsidRPr="003F5DA8">
        <w:fldChar w:fldCharType="begin"/>
      </w:r>
      <w:r w:rsidR="005413B4">
        <w:instrText xml:space="preserve"> ADDIN ZOTERO_ITEM CSL_CITATION {"citationID":"WteVgxo5","properties":{"formattedCitation":"\\super 135\\nosupersub{}","plainCitation":"135","noteIndex":0},"citationItems":[{"id":3367,"uris":["http://zotero.org/users/6423791/items/9SUGPF3U"],"itemData":{"id":3367,"type":"report","language":"en","note":"DOI: 10.2172/1483234","number":"NREL/TP--5100-71949, 1483234","page":"NREL/TP--5100-71949, 1483234","source":"DOI.org (Crossref)","title":"Process Design and Economics for the Conversion of Lignocellulosic Biomass to Hydrocarbon Fuels and Coproducts: 2018 Biochemical Design Case Update; Biochemical Deconstruction and Conversion of Biomass to Fuels and Products via Integrated Biorefinery Pathways","title-short":"Process Design and Economics for the Conversion of Lignocellulosic Biomass to Hydrocarbon Fuels and Coproducts","URL":"http://www.osti.gov/servlets/purl/1483234/","author":[{"family":"Davis","given":"Ryan E."},{"family":"Grundl","given":"Nicholas J."},{"family":"Tao","given":"Ling"},{"family":"Biddy","given":"Mary J."},{"family":"Tan","given":"Eric C."},{"family":"Beckham","given":"Gregg T."},{"family":"Humbird","given":"David"},{"family":"Thompson","given":"David N."},{"family":"Roni","given":"Mohammad S."}],"accessed":{"date-parts":[["2021",1,27]]},"issued":{"date-parts":[["2018",11,19]]}}}],"schema":"https://github.com/citation-style-language/schema/raw/master/csl-citation.json"} </w:instrText>
      </w:r>
      <w:r w:rsidRPr="003F5DA8">
        <w:fldChar w:fldCharType="separate"/>
      </w:r>
      <w:r w:rsidR="005413B4" w:rsidRPr="005413B4">
        <w:rPr>
          <w:rFonts w:ascii="Calibri" w:hAnsi="Calibri" w:cs="Calibri"/>
          <w:szCs w:val="24"/>
          <w:vertAlign w:val="superscript"/>
        </w:rPr>
        <w:t>135</w:t>
      </w:r>
      <w:r w:rsidRPr="003F5DA8">
        <w:fldChar w:fldCharType="end"/>
      </w:r>
      <w:r w:rsidRPr="003F5DA8">
        <w:t>, a study commonly referred to in similar assessments</w:t>
      </w:r>
      <w:r w:rsidRPr="003F5DA8">
        <w:fldChar w:fldCharType="begin"/>
      </w:r>
      <w:r w:rsidR="005413B4">
        <w:instrText xml:space="preserve"> ADDIN ZOTERO_ITEM CSL_CITATION {"citationID":"EXxHdl2J","properties":{"formattedCitation":"\\super 131,134\\nosupersub{}","plainCitation":"131,134","noteIndex":0},"citationItems":[{"id":11801,"uris":["http://zotero.org/users/6423791/items/AE6CHBJC"],"itemData":{"id":11801,"type":"article-journal","container-title":"Green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Van"},{"family":"Hallett","given":"Jason"},{"family":"Guo","given":"Miao"}],"issued":{"date-parts":[["2021"]]}}},{"id":13502,"uris":["http://zotero.org/users/6423791/items/MF6KWMRJ"],"itemData":{"id":13502,"type":"article-journal","abstract":"Producing sugar from lignocellulosic biomass is a promising resilient food solution to counter the near-total global failure of food production due to the agricultural collapse that would likely follow an abrupt sunlight reduction catastrophe such as a nuclear winter, a supervolcanic eruption, or a large asteroid or comet impact. This study examines how quickly edible sugar production could be ramped up globally by repurposing pulp and paper mills, sugarcane biorefineries, corn biorefineries, and breweries for lignocellulosic sugar production. A sub-unit component comparison to the NREL 2017 Biochemical Sugar Model indicates that 84%, 65%, 37%, and 39% of ISBL unit components are present, respectively. Fast construction methods were studied to analyze how this and other industrial foods could be rapidly leveraged in a catastrophe. Results suggest that the world’s current sugar demand could quickly be fulfilled by repurposing pulp and paper mills for lignocellulosic sugar production, given 5 months of production ramp-up and 24/7 construction. This method could reduce construction time to an estimated 32% of the original at an increased labor cost of 1.47 times, resulting in sugar production beginning 5 months after the catastrophe at a retail cost of $0.82 USD/kg. This could not only contribute a significant share of the food requirement after the catastrophe (</w:instrText>
      </w:r>
      <w:r w:rsidR="005413B4">
        <w:rPr>
          <w:rFonts w:ascii="Cambria Math" w:hAnsi="Cambria Math" w:cs="Cambria Math"/>
        </w:rPr>
        <w:instrText>∼</w:instrText>
      </w:r>
      <w:r w:rsidR="005413B4">
        <w:instrText xml:space="preserve">28% within the first year), but also be key to preventing global starvation between the time at which global food storages run dry and other resilient food solutions can scale up significantly. This study aims to serve as the basis for more comprehensive scenario analyses. More research is needed to characterize material and labor constraints to fast response in more depth; repurposing and fast construction pilot studies and food safety studies are recommended.","container-title":"Food and Bioproducts Processing","DOI":"10.1016/j.fbp.2021.10.012","ISSN":"0960-3085","journalAbbreviation":"Food and Bioproducts Processing","language":"en","page":"22-39","source":"ScienceDirect","title":"Rapid repurposing of pulp and paper mills, biorefineries, and breweries for lignocellulosic sugar production in global food catastrophes","volume":"131","author":[{"family":"Throup","given":"James"},{"family":"García Martínez","given":"Juan B."},{"family":"Bals","given":"Bryan"},{"family":"Cates","given":"Jacob"},{"family":"Pearce","given":"Joshua M."},{"family":"Denkenberger","given":"David C."}],"issued":{"date-parts":[["2022",1,1]]}}}],"schema":"https://github.com/citation-style-language/schema/raw/master/csl-citation.json"} </w:instrText>
      </w:r>
      <w:r w:rsidRPr="003F5DA8">
        <w:fldChar w:fldCharType="separate"/>
      </w:r>
      <w:r w:rsidR="005413B4" w:rsidRPr="005413B4">
        <w:rPr>
          <w:rFonts w:ascii="Calibri" w:hAnsi="Calibri" w:cs="Calibri"/>
          <w:szCs w:val="24"/>
          <w:vertAlign w:val="superscript"/>
        </w:rPr>
        <w:t>131,134</w:t>
      </w:r>
      <w:r w:rsidRPr="003F5DA8">
        <w:fldChar w:fldCharType="end"/>
      </w:r>
      <w:r w:rsidRPr="003F5DA8">
        <w:t>. The enzymatic hydrolysis takes place in a continuous stirred tank reactor, including both cellulases and hemicellulases. The hydrolysates are separated with ultrafiltration, and the lignin-rich cake (assumed to contained all remaining lignin at this stage) is further pressed to recover the most of soluble before its energy valorization (as a solid co-product). The main assumptions were summarized in</w:t>
      </w:r>
      <w:r w:rsidR="00E9442B">
        <w:t xml:space="preserve"> </w:t>
      </w:r>
      <w:r w:rsidR="00E9442B" w:rsidRPr="00E9442B">
        <w:rPr>
          <w:b/>
        </w:rPr>
        <w:fldChar w:fldCharType="begin"/>
      </w:r>
      <w:r w:rsidR="00E9442B" w:rsidRPr="00E9442B">
        <w:rPr>
          <w:b/>
        </w:rPr>
        <w:instrText xml:space="preserve"> REF _Ref144807951 \h </w:instrText>
      </w:r>
      <w:r w:rsidR="00E9442B">
        <w:rPr>
          <w:b/>
        </w:rPr>
        <w:instrText xml:space="preserve"> \* MERGEFORMAT </w:instrText>
      </w:r>
      <w:r w:rsidR="00E9442B" w:rsidRPr="00E9442B">
        <w:rPr>
          <w:b/>
        </w:rPr>
      </w:r>
      <w:r w:rsidR="00E9442B" w:rsidRPr="00E9442B">
        <w:rPr>
          <w:b/>
        </w:rPr>
        <w:fldChar w:fldCharType="separate"/>
      </w:r>
      <w:r w:rsidR="00F25F8C" w:rsidRPr="00F25F8C">
        <w:rPr>
          <w:b/>
        </w:rPr>
        <w:t xml:space="preserve">Table SI. </w:t>
      </w:r>
      <w:r w:rsidR="00F25F8C" w:rsidRPr="00F25F8C">
        <w:rPr>
          <w:b/>
          <w:noProof/>
        </w:rPr>
        <w:t>45</w:t>
      </w:r>
      <w:r w:rsidR="00E9442B" w:rsidRPr="00E9442B">
        <w:rPr>
          <w:b/>
        </w:rPr>
        <w:fldChar w:fldCharType="end"/>
      </w:r>
      <w:r w:rsidRPr="003F5DA8">
        <w:t>, and considered as representative of food-grade cellulosic sugars production. Then, hydrolysates (at ca. 5%</w:t>
      </w:r>
      <w:r w:rsidRPr="003F5DA8">
        <w:rPr>
          <w:vertAlign w:val="subscript"/>
        </w:rPr>
        <w:t>DM</w:t>
      </w:r>
      <w:r w:rsidRPr="003F5DA8">
        <w:t xml:space="preserve">) are concentrated towards target moisture content to enter the bioreactor stage. The concentration stage was modeled with an evaporator following the same assumptions </w:t>
      </w:r>
      <w:r w:rsidR="00E9442B">
        <w:t>as</w:t>
      </w:r>
      <w:r w:rsidRPr="003F5DA8">
        <w:t xml:space="preserve"> for IL recovery. </w:t>
      </w:r>
      <w:r w:rsidRPr="003F5DA8">
        <w:rPr>
          <w:rFonts w:cs="Times New Roman"/>
        </w:rPr>
        <w:t>The heat balance key shaping parameters (enzymatic hydrolysis stage) are summarized in</w:t>
      </w:r>
      <w:r w:rsidR="00E9442B">
        <w:rPr>
          <w:rFonts w:cs="Times New Roman"/>
        </w:rPr>
        <w:t xml:space="preserve"> </w:t>
      </w:r>
      <w:r w:rsidR="00E9442B" w:rsidRPr="00E9442B">
        <w:rPr>
          <w:rFonts w:cs="Times New Roman"/>
          <w:b/>
        </w:rPr>
        <w:fldChar w:fldCharType="begin"/>
      </w:r>
      <w:r w:rsidR="00E9442B" w:rsidRPr="00E9442B">
        <w:rPr>
          <w:rFonts w:cs="Times New Roman"/>
          <w:b/>
        </w:rPr>
        <w:instrText xml:space="preserve"> REF _Ref144808011 \h </w:instrText>
      </w:r>
      <w:r w:rsidR="00E9442B">
        <w:rPr>
          <w:rFonts w:cs="Times New Roman"/>
          <w:b/>
        </w:rPr>
        <w:instrText xml:space="preserve"> \* MERGEFORMAT </w:instrText>
      </w:r>
      <w:r w:rsidR="00E9442B" w:rsidRPr="00E9442B">
        <w:rPr>
          <w:rFonts w:cs="Times New Roman"/>
          <w:b/>
        </w:rPr>
      </w:r>
      <w:r w:rsidR="00E9442B" w:rsidRPr="00E9442B">
        <w:rPr>
          <w:rFonts w:cs="Times New Roman"/>
          <w:b/>
        </w:rPr>
        <w:fldChar w:fldCharType="separate"/>
      </w:r>
      <w:r w:rsidR="00F25F8C" w:rsidRPr="00F25F8C">
        <w:rPr>
          <w:b/>
        </w:rPr>
        <w:t xml:space="preserve">Table SI. </w:t>
      </w:r>
      <w:r w:rsidR="00F25F8C" w:rsidRPr="00F25F8C">
        <w:rPr>
          <w:b/>
          <w:noProof/>
        </w:rPr>
        <w:t>44</w:t>
      </w:r>
      <w:r w:rsidR="00E9442B" w:rsidRPr="00E9442B">
        <w:rPr>
          <w:rFonts w:cs="Times New Roman"/>
          <w:b/>
        </w:rPr>
        <w:fldChar w:fldCharType="end"/>
      </w:r>
      <w:r w:rsidRPr="003F5DA8">
        <w:rPr>
          <w:rFonts w:cs="Times New Roman"/>
        </w:rPr>
        <w:t>.</w:t>
      </w:r>
    </w:p>
    <w:p w14:paraId="329EB27A" w14:textId="60316D74" w:rsidR="00512EC8" w:rsidRPr="00053C26" w:rsidRDefault="00874128" w:rsidP="006B5342">
      <w:pPr>
        <w:pStyle w:val="Lgende"/>
        <w:jc w:val="left"/>
        <w:rPr>
          <w:b w:val="0"/>
          <w:i/>
        </w:rPr>
      </w:pPr>
      <w:bookmarkStart w:id="198" w:name="_Ref144808011"/>
      <w:bookmarkStart w:id="199" w:name="_Toc134537655"/>
      <w:bookmarkStart w:id="200" w:name="_Toc151967928"/>
      <w:r>
        <w:t>Table SI.</w:t>
      </w:r>
      <w:r w:rsidR="00512EC8">
        <w:t xml:space="preserve"> </w:t>
      </w:r>
      <w:r>
        <w:fldChar w:fldCharType="begin"/>
      </w:r>
      <w:r>
        <w:instrText xml:space="preserve"> SEQ Table_SI. \* ARABIC </w:instrText>
      </w:r>
      <w:r>
        <w:fldChar w:fldCharType="separate"/>
      </w:r>
      <w:r w:rsidR="00F25F8C">
        <w:rPr>
          <w:noProof/>
        </w:rPr>
        <w:t>44</w:t>
      </w:r>
      <w:r>
        <w:fldChar w:fldCharType="end"/>
      </w:r>
      <w:bookmarkEnd w:id="198"/>
      <w:r w:rsidR="00512EC8">
        <w:t xml:space="preserve"> </w:t>
      </w:r>
      <w:r w:rsidR="00512EC8" w:rsidRPr="002C6DB3">
        <w:t>– Heat balance modeling involved in enzymatic hydrolysis</w:t>
      </w:r>
      <w:bookmarkEnd w:id="199"/>
      <w:bookmarkEnd w:id="200"/>
    </w:p>
    <w:tbl>
      <w:tblPr>
        <w:tblStyle w:val="Tableausimple2"/>
        <w:tblW w:w="0" w:type="auto"/>
        <w:jc w:val="center"/>
        <w:tblLook w:val="04A0" w:firstRow="1" w:lastRow="0" w:firstColumn="1" w:lastColumn="0" w:noHBand="0" w:noVBand="1"/>
      </w:tblPr>
      <w:tblGrid>
        <w:gridCol w:w="1418"/>
        <w:gridCol w:w="1455"/>
        <w:gridCol w:w="1268"/>
        <w:gridCol w:w="4931"/>
      </w:tblGrid>
      <w:tr w:rsidR="00512EC8" w:rsidRPr="008F4A58" w14:paraId="7E117E6A" w14:textId="77777777" w:rsidTr="008F4A58">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tcPr>
          <w:p w14:paraId="0D31BC94" w14:textId="77777777" w:rsidR="00512EC8" w:rsidRPr="008F4A58" w:rsidRDefault="00512EC8" w:rsidP="006D537D">
            <w:pPr>
              <w:rPr>
                <w:sz w:val="18"/>
              </w:rPr>
            </w:pPr>
            <w:r w:rsidRPr="008F4A58">
              <w:rPr>
                <w:sz w:val="18"/>
              </w:rPr>
              <w:t>Unit operation</w:t>
            </w:r>
          </w:p>
        </w:tc>
        <w:tc>
          <w:tcPr>
            <w:tcW w:w="1456" w:type="dxa"/>
          </w:tcPr>
          <w:p w14:paraId="481C2D77"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rPr>
            </w:pPr>
            <w:r w:rsidRPr="008F4A58">
              <w:rPr>
                <w:sz w:val="18"/>
              </w:rPr>
              <w:t>Heat balance</w:t>
            </w:r>
          </w:p>
        </w:tc>
        <w:tc>
          <w:tcPr>
            <w:tcW w:w="1262" w:type="dxa"/>
          </w:tcPr>
          <w:p w14:paraId="7C0914CE"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rPr>
            </w:pPr>
            <w:r w:rsidRPr="008F4A58">
              <w:rPr>
                <w:sz w:val="18"/>
              </w:rPr>
              <w:t>Temperatures</w:t>
            </w:r>
          </w:p>
        </w:tc>
        <w:tc>
          <w:tcPr>
            <w:tcW w:w="4936" w:type="dxa"/>
          </w:tcPr>
          <w:p w14:paraId="0370163B" w14:textId="77777777" w:rsidR="00512EC8" w:rsidRPr="008F4A58" w:rsidRDefault="00512EC8" w:rsidP="00E9442B">
            <w:pPr>
              <w:cnfStyle w:val="100000000000" w:firstRow="1" w:lastRow="0" w:firstColumn="0" w:lastColumn="0" w:oddVBand="0" w:evenVBand="0" w:oddHBand="0" w:evenHBand="0" w:firstRowFirstColumn="0" w:firstRowLastColumn="0" w:lastRowFirstColumn="0" w:lastRowLastColumn="0"/>
              <w:rPr>
                <w:sz w:val="18"/>
              </w:rPr>
            </w:pPr>
            <w:r w:rsidRPr="008F4A58">
              <w:rPr>
                <w:sz w:val="18"/>
              </w:rPr>
              <w:t>Modeling</w:t>
            </w:r>
          </w:p>
        </w:tc>
      </w:tr>
      <w:tr w:rsidR="00512EC8" w:rsidRPr="008F4A58" w14:paraId="1C54C176" w14:textId="77777777" w:rsidTr="008F4A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vMerge w:val="restart"/>
          </w:tcPr>
          <w:p w14:paraId="002BB66D" w14:textId="77777777" w:rsidR="00512EC8" w:rsidRPr="008F4A58" w:rsidRDefault="00512EC8" w:rsidP="006D537D">
            <w:pPr>
              <w:rPr>
                <w:b w:val="0"/>
                <w:sz w:val="18"/>
              </w:rPr>
            </w:pPr>
            <w:r w:rsidRPr="008F4A58">
              <w:rPr>
                <w:b w:val="0"/>
                <w:sz w:val="18"/>
              </w:rPr>
              <w:t>Enzymatic hydrolysis</w:t>
            </w:r>
          </w:p>
        </w:tc>
        <w:tc>
          <w:tcPr>
            <w:tcW w:w="1456" w:type="dxa"/>
          </w:tcPr>
          <w:p w14:paraId="28022846"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rPr>
            </w:pPr>
            <w:r w:rsidRPr="008F4A58">
              <w:rPr>
                <w:sz w:val="18"/>
              </w:rPr>
              <w:t>Heating demand</w:t>
            </w:r>
          </w:p>
        </w:tc>
        <w:tc>
          <w:tcPr>
            <w:tcW w:w="1262" w:type="dxa"/>
          </w:tcPr>
          <w:p w14:paraId="75CFD381"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rPr>
            </w:pPr>
            <w:r w:rsidRPr="008F4A58">
              <w:rPr>
                <w:sz w:val="18"/>
              </w:rPr>
              <w:t>13°C/30°C to 48°C</w:t>
            </w:r>
          </w:p>
        </w:tc>
        <w:tc>
          <w:tcPr>
            <w:tcW w:w="4936" w:type="dxa"/>
          </w:tcPr>
          <w:p w14:paraId="40F1EE6E" w14:textId="77777777" w:rsidR="00512EC8" w:rsidRPr="008F4A58" w:rsidRDefault="00512EC8" w:rsidP="00E9442B">
            <w:pPr>
              <w:cnfStyle w:val="000000100000" w:firstRow="0" w:lastRow="0" w:firstColumn="0" w:lastColumn="0" w:oddVBand="0" w:evenVBand="0" w:oddHBand="1" w:evenHBand="0" w:firstRowFirstColumn="0" w:firstRowLastColumn="0" w:lastRowFirstColumn="0" w:lastRowLastColumn="0"/>
              <w:rPr>
                <w:sz w:val="18"/>
              </w:rPr>
            </w:pPr>
            <w:r w:rsidRPr="008F4A58">
              <w:rPr>
                <w:sz w:val="18"/>
              </w:rPr>
              <w:t>Pulp mixed with make-up water at ambient T°C. Assumed supplied through LT heat.</w:t>
            </w:r>
          </w:p>
        </w:tc>
      </w:tr>
      <w:tr w:rsidR="00512EC8" w:rsidRPr="008F4A58" w14:paraId="570386BE" w14:textId="77777777" w:rsidTr="008F4A58">
        <w:trPr>
          <w:jc w:val="center"/>
        </w:trPr>
        <w:tc>
          <w:tcPr>
            <w:cnfStyle w:val="001000000000" w:firstRow="0" w:lastRow="0" w:firstColumn="1" w:lastColumn="0" w:oddVBand="0" w:evenVBand="0" w:oddHBand="0" w:evenHBand="0" w:firstRowFirstColumn="0" w:firstRowLastColumn="0" w:lastRowFirstColumn="0" w:lastRowLastColumn="0"/>
            <w:tcW w:w="1418" w:type="dxa"/>
            <w:vMerge/>
          </w:tcPr>
          <w:p w14:paraId="7A8E9AFD" w14:textId="77777777" w:rsidR="00512EC8" w:rsidRPr="008F4A58" w:rsidRDefault="00512EC8" w:rsidP="006D537D">
            <w:pPr>
              <w:rPr>
                <w:b w:val="0"/>
                <w:sz w:val="18"/>
              </w:rPr>
            </w:pPr>
          </w:p>
        </w:tc>
        <w:tc>
          <w:tcPr>
            <w:tcW w:w="1456" w:type="dxa"/>
          </w:tcPr>
          <w:p w14:paraId="4BDCD4EB"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rPr>
            </w:pPr>
            <w:r w:rsidRPr="008F4A58">
              <w:rPr>
                <w:sz w:val="18"/>
              </w:rPr>
              <w:t>Lignin-rich cake</w:t>
            </w:r>
          </w:p>
        </w:tc>
        <w:tc>
          <w:tcPr>
            <w:tcW w:w="1262" w:type="dxa"/>
          </w:tcPr>
          <w:p w14:paraId="71E122B2"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rPr>
            </w:pPr>
            <w:r w:rsidRPr="008F4A58">
              <w:rPr>
                <w:sz w:val="18"/>
              </w:rPr>
              <w:t>n.a.</w:t>
            </w:r>
          </w:p>
        </w:tc>
        <w:tc>
          <w:tcPr>
            <w:tcW w:w="4936" w:type="dxa"/>
          </w:tcPr>
          <w:p w14:paraId="64FCF302" w14:textId="77777777" w:rsidR="00512EC8" w:rsidRPr="008F4A58" w:rsidRDefault="00512EC8" w:rsidP="00E9442B">
            <w:pPr>
              <w:cnfStyle w:val="000000000000" w:firstRow="0" w:lastRow="0" w:firstColumn="0" w:lastColumn="0" w:oddVBand="0" w:evenVBand="0" w:oddHBand="0" w:evenHBand="0" w:firstRowFirstColumn="0" w:firstRowLastColumn="0" w:lastRowFirstColumn="0" w:lastRowLastColumn="0"/>
              <w:rPr>
                <w:sz w:val="18"/>
              </w:rPr>
            </w:pPr>
            <w:r w:rsidRPr="008F4A58">
              <w:rPr>
                <w:sz w:val="18"/>
              </w:rPr>
              <w:t>Solid co-products</w:t>
            </w:r>
          </w:p>
        </w:tc>
      </w:tr>
      <w:tr w:rsidR="00512EC8" w:rsidRPr="008F4A58" w14:paraId="3FC4BEA2" w14:textId="77777777" w:rsidTr="008F4A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tcPr>
          <w:p w14:paraId="3D54F9E5" w14:textId="77777777" w:rsidR="00512EC8" w:rsidRPr="008F4A58" w:rsidRDefault="00512EC8" w:rsidP="006D537D">
            <w:pPr>
              <w:rPr>
                <w:b w:val="0"/>
                <w:sz w:val="18"/>
              </w:rPr>
            </w:pPr>
            <w:r w:rsidRPr="008F4A58">
              <w:rPr>
                <w:b w:val="0"/>
                <w:sz w:val="18"/>
              </w:rPr>
              <w:t>Evaporation</w:t>
            </w:r>
          </w:p>
        </w:tc>
        <w:tc>
          <w:tcPr>
            <w:tcW w:w="1456" w:type="dxa"/>
          </w:tcPr>
          <w:p w14:paraId="00039BFD"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rPr>
            </w:pPr>
            <w:r w:rsidRPr="008F4A58">
              <w:rPr>
                <w:sz w:val="18"/>
              </w:rPr>
              <w:t>Heating demand</w:t>
            </w:r>
          </w:p>
        </w:tc>
        <w:tc>
          <w:tcPr>
            <w:tcW w:w="1262" w:type="dxa"/>
          </w:tcPr>
          <w:p w14:paraId="2583EB90"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rPr>
            </w:pPr>
            <w:r w:rsidRPr="008F4A58">
              <w:rPr>
                <w:sz w:val="18"/>
              </w:rPr>
              <w:t>48°C to 105°C</w:t>
            </w:r>
          </w:p>
        </w:tc>
        <w:tc>
          <w:tcPr>
            <w:tcW w:w="4936" w:type="dxa"/>
          </w:tcPr>
          <w:p w14:paraId="50F0C50F" w14:textId="610B9ACB" w:rsidR="00512EC8" w:rsidRPr="008F4A58" w:rsidRDefault="00512EC8" w:rsidP="00E9442B">
            <w:pPr>
              <w:cnfStyle w:val="000000100000" w:firstRow="0" w:lastRow="0" w:firstColumn="0" w:lastColumn="0" w:oddVBand="0" w:evenVBand="0" w:oddHBand="1" w:evenHBand="0" w:firstRowFirstColumn="0" w:firstRowLastColumn="0" w:lastRowFirstColumn="0" w:lastRowLastColumn="0"/>
              <w:rPr>
                <w:sz w:val="18"/>
              </w:rPr>
            </w:pPr>
            <w:r w:rsidRPr="008F4A58">
              <w:rPr>
                <w:sz w:val="18"/>
              </w:rPr>
              <w:t>Multiple effects evaporator efficiency parameter (</w:t>
            </w:r>
            <w:r w:rsidR="00E9442B" w:rsidRPr="008F4A58">
              <w:rPr>
                <w:b/>
                <w:sz w:val="18"/>
              </w:rPr>
              <w:fldChar w:fldCharType="begin"/>
            </w:r>
            <w:r w:rsidR="00E9442B" w:rsidRPr="008F4A58">
              <w:rPr>
                <w:b/>
                <w:sz w:val="18"/>
              </w:rPr>
              <w:instrText xml:space="preserve"> REF _Ref144807107 \h  \* MERGEFORMAT </w:instrText>
            </w:r>
            <w:r w:rsidR="00E9442B" w:rsidRPr="008F4A58">
              <w:rPr>
                <w:b/>
                <w:sz w:val="18"/>
              </w:rPr>
            </w:r>
            <w:r w:rsidR="00E9442B" w:rsidRPr="008F4A58">
              <w:rPr>
                <w:b/>
                <w:sz w:val="18"/>
              </w:rPr>
              <w:fldChar w:fldCharType="separate"/>
            </w:r>
            <w:r w:rsidR="00F25F8C" w:rsidRPr="008F4A58">
              <w:rPr>
                <w:b/>
                <w:sz w:val="18"/>
              </w:rPr>
              <w:t xml:space="preserve">Table SI. </w:t>
            </w:r>
            <w:r w:rsidR="00F25F8C" w:rsidRPr="008F4A58">
              <w:rPr>
                <w:b/>
                <w:noProof/>
                <w:sz w:val="18"/>
              </w:rPr>
              <w:t>43</w:t>
            </w:r>
            <w:r w:rsidR="00E9442B" w:rsidRPr="008F4A58">
              <w:rPr>
                <w:b/>
                <w:sz w:val="18"/>
              </w:rPr>
              <w:fldChar w:fldCharType="end"/>
            </w:r>
            <w:r w:rsidRPr="008F4A58">
              <w:rPr>
                <w:sz w:val="18"/>
              </w:rPr>
              <w:t>)</w:t>
            </w:r>
          </w:p>
        </w:tc>
      </w:tr>
      <w:tr w:rsidR="00512EC8" w:rsidRPr="008F4A58" w14:paraId="15D2BE30" w14:textId="77777777" w:rsidTr="008F4A58">
        <w:trPr>
          <w:jc w:val="center"/>
        </w:trPr>
        <w:tc>
          <w:tcPr>
            <w:cnfStyle w:val="001000000000" w:firstRow="0" w:lastRow="0" w:firstColumn="1" w:lastColumn="0" w:oddVBand="0" w:evenVBand="0" w:oddHBand="0" w:evenHBand="0" w:firstRowFirstColumn="0" w:firstRowLastColumn="0" w:lastRowFirstColumn="0" w:lastRowLastColumn="0"/>
            <w:tcW w:w="1418" w:type="dxa"/>
          </w:tcPr>
          <w:p w14:paraId="79D2177A" w14:textId="77777777" w:rsidR="00512EC8" w:rsidRPr="008F4A58" w:rsidRDefault="00512EC8" w:rsidP="006D537D">
            <w:pPr>
              <w:rPr>
                <w:b w:val="0"/>
                <w:sz w:val="18"/>
              </w:rPr>
            </w:pPr>
            <w:r w:rsidRPr="008F4A58">
              <w:rPr>
                <w:b w:val="0"/>
                <w:sz w:val="18"/>
              </w:rPr>
              <w:t>Enzyme production</w:t>
            </w:r>
          </w:p>
        </w:tc>
        <w:tc>
          <w:tcPr>
            <w:tcW w:w="1456" w:type="dxa"/>
          </w:tcPr>
          <w:p w14:paraId="0BDBA03B"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rPr>
            </w:pPr>
            <w:r w:rsidRPr="008F4A58">
              <w:rPr>
                <w:sz w:val="18"/>
              </w:rPr>
              <w:t>Heating demand</w:t>
            </w:r>
          </w:p>
        </w:tc>
        <w:tc>
          <w:tcPr>
            <w:tcW w:w="1262" w:type="dxa"/>
          </w:tcPr>
          <w:p w14:paraId="039EA31F"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rPr>
            </w:pPr>
            <w:r w:rsidRPr="008F4A58">
              <w:rPr>
                <w:sz w:val="18"/>
              </w:rPr>
              <w:t>28°C</w:t>
            </w:r>
          </w:p>
        </w:tc>
        <w:tc>
          <w:tcPr>
            <w:tcW w:w="4936" w:type="dxa"/>
          </w:tcPr>
          <w:p w14:paraId="77E48BC3" w14:textId="77777777" w:rsidR="00512EC8" w:rsidRPr="008F4A58" w:rsidRDefault="00512EC8" w:rsidP="00E9442B">
            <w:pPr>
              <w:cnfStyle w:val="000000000000" w:firstRow="0" w:lastRow="0" w:firstColumn="0" w:lastColumn="0" w:oddVBand="0" w:evenVBand="0" w:oddHBand="0" w:evenHBand="0" w:firstRowFirstColumn="0" w:firstRowLastColumn="0" w:lastRowFirstColumn="0" w:lastRowLastColumn="0"/>
              <w:rPr>
                <w:sz w:val="18"/>
              </w:rPr>
            </w:pPr>
            <w:r w:rsidRPr="008F4A58">
              <w:rPr>
                <w:sz w:val="18"/>
              </w:rPr>
              <w:t>Small, assumed met by heat exchanger</w:t>
            </w:r>
          </w:p>
        </w:tc>
      </w:tr>
      <w:tr w:rsidR="00512EC8" w:rsidRPr="008F4A58" w14:paraId="6B1A4923" w14:textId="77777777" w:rsidTr="008F4A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18" w:type="dxa"/>
          </w:tcPr>
          <w:p w14:paraId="50D70523" w14:textId="2BF7C103" w:rsidR="00512EC8" w:rsidRPr="008F4A58" w:rsidRDefault="00512EC8" w:rsidP="006D537D">
            <w:pPr>
              <w:rPr>
                <w:b w:val="0"/>
                <w:i/>
                <w:sz w:val="18"/>
              </w:rPr>
            </w:pPr>
          </w:p>
        </w:tc>
        <w:tc>
          <w:tcPr>
            <w:tcW w:w="2718" w:type="dxa"/>
            <w:gridSpan w:val="2"/>
          </w:tcPr>
          <w:p w14:paraId="63ECF76A"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i/>
                <w:sz w:val="18"/>
              </w:rPr>
            </w:pPr>
            <w:r w:rsidRPr="008F4A58">
              <w:rPr>
                <w:i/>
                <w:sz w:val="18"/>
              </w:rPr>
              <w:t>Only processes linked with IL pretreatment</w:t>
            </w:r>
          </w:p>
        </w:tc>
        <w:tc>
          <w:tcPr>
            <w:tcW w:w="4936" w:type="dxa"/>
          </w:tcPr>
          <w:p w14:paraId="14DC8656" w14:textId="7AF42EA7" w:rsidR="00512EC8" w:rsidRPr="008F4A58" w:rsidRDefault="00512EC8" w:rsidP="00E9442B">
            <w:pPr>
              <w:cnfStyle w:val="000000100000" w:firstRow="0" w:lastRow="0" w:firstColumn="0" w:lastColumn="0" w:oddVBand="0" w:evenVBand="0" w:oddHBand="1" w:evenHBand="0" w:firstRowFirstColumn="0" w:firstRowLastColumn="0" w:lastRowFirstColumn="0" w:lastRowLastColumn="0"/>
              <w:rPr>
                <w:i/>
                <w:sz w:val="18"/>
              </w:rPr>
            </w:pPr>
            <w:r w:rsidRPr="008F4A58">
              <w:rPr>
                <w:i/>
                <w:sz w:val="18"/>
              </w:rPr>
              <w:t xml:space="preserve">See </w:t>
            </w:r>
            <w:r w:rsidR="00E9442B" w:rsidRPr="008F4A58">
              <w:rPr>
                <w:b/>
                <w:i/>
                <w:sz w:val="18"/>
              </w:rPr>
              <w:t>section</w:t>
            </w:r>
            <w:r w:rsidR="00C913E1">
              <w:rPr>
                <w:b/>
                <w:i/>
                <w:sz w:val="18"/>
              </w:rPr>
              <w:t xml:space="preserve"> SI.</w:t>
            </w:r>
            <w:r w:rsidR="00E9442B" w:rsidRPr="008F4A58">
              <w:rPr>
                <w:b/>
                <w:i/>
                <w:sz w:val="18"/>
              </w:rPr>
              <w:t xml:space="preserve"> </w:t>
            </w:r>
            <w:r w:rsidR="00E9442B" w:rsidRPr="008F4A58">
              <w:rPr>
                <w:b/>
                <w:i/>
                <w:sz w:val="18"/>
              </w:rPr>
              <w:fldChar w:fldCharType="begin"/>
            </w:r>
            <w:r w:rsidR="00E9442B" w:rsidRPr="008F4A58">
              <w:rPr>
                <w:b/>
                <w:i/>
                <w:sz w:val="18"/>
              </w:rPr>
              <w:instrText xml:space="preserve"> REF _Ref144802667 \r \h  \* MERGEFORMAT </w:instrText>
            </w:r>
            <w:r w:rsidR="00E9442B" w:rsidRPr="008F4A58">
              <w:rPr>
                <w:b/>
                <w:i/>
                <w:sz w:val="18"/>
              </w:rPr>
            </w:r>
            <w:r w:rsidR="00E9442B" w:rsidRPr="008F4A58">
              <w:rPr>
                <w:b/>
                <w:i/>
                <w:sz w:val="18"/>
              </w:rPr>
              <w:fldChar w:fldCharType="separate"/>
            </w:r>
            <w:r w:rsidR="00F25F8C" w:rsidRPr="008F4A58">
              <w:rPr>
                <w:b/>
                <w:i/>
                <w:sz w:val="18"/>
              </w:rPr>
              <w:t>4.1</w:t>
            </w:r>
            <w:r w:rsidR="00E9442B" w:rsidRPr="008F4A58">
              <w:rPr>
                <w:b/>
                <w:i/>
                <w:sz w:val="18"/>
              </w:rPr>
              <w:fldChar w:fldCharType="end"/>
            </w:r>
          </w:p>
        </w:tc>
      </w:tr>
    </w:tbl>
    <w:p w14:paraId="510B74ED" w14:textId="77777777" w:rsidR="004A3FE2" w:rsidRDefault="004A3FE2" w:rsidP="006B5342">
      <w:pPr>
        <w:jc w:val="both"/>
      </w:pPr>
    </w:p>
    <w:p w14:paraId="0E990158" w14:textId="57E7E81F" w:rsidR="008F4A58" w:rsidRDefault="00512EC8" w:rsidP="006B5342">
      <w:pPr>
        <w:jc w:val="both"/>
      </w:pPr>
      <w:r w:rsidRPr="00E9442B">
        <w:t xml:space="preserve">Base on the enzyme requirements, a share of output hydrolysate is assumed reused to feed the </w:t>
      </w:r>
      <w:r w:rsidRPr="00E9442B">
        <w:rPr>
          <w:i/>
        </w:rPr>
        <w:t>in-situ</w:t>
      </w:r>
      <w:r w:rsidRPr="00E9442B">
        <w:t xml:space="preserve"> enzyme production (calculated to 5-10% in the baseline context). This</w:t>
      </w:r>
      <w:r w:rsidRPr="003F5DA8">
        <w:t xml:space="preserve"> set-up choice influences the interpretation of the results, as the impacts of the enzyme production stage becomes indirect. The less efficient the enzyme production, the more hydrolysate is required per enzyme unit and consequently the less hydrolysate enters the bioreactor (leading to less mycoproteins produced). In other words, here, the performance of the enzyme production stage influences the whole downstream reference flow, which would not have been the case if biological enzyme production were assumed based on marginal carbohydrates suppliers. Cellulases and hemicellulases were both assumed produced with the same efficiency (</w:t>
      </w:r>
      <w:r w:rsidR="00E9442B" w:rsidRPr="00E9442B">
        <w:rPr>
          <w:b/>
        </w:rPr>
        <w:fldChar w:fldCharType="begin"/>
      </w:r>
      <w:r w:rsidR="00E9442B" w:rsidRPr="00E9442B">
        <w:rPr>
          <w:b/>
        </w:rPr>
        <w:instrText xml:space="preserve"> REF _Ref144807951 \h </w:instrText>
      </w:r>
      <w:r w:rsidR="00E9442B">
        <w:rPr>
          <w:b/>
        </w:rPr>
        <w:instrText xml:space="preserve"> \* MERGEFORMAT </w:instrText>
      </w:r>
      <w:r w:rsidR="00E9442B" w:rsidRPr="00E9442B">
        <w:rPr>
          <w:b/>
        </w:rPr>
      </w:r>
      <w:r w:rsidR="00E9442B" w:rsidRPr="00E9442B">
        <w:rPr>
          <w:b/>
        </w:rPr>
        <w:fldChar w:fldCharType="separate"/>
      </w:r>
      <w:r w:rsidR="00F25F8C" w:rsidRPr="00F25F8C">
        <w:rPr>
          <w:b/>
        </w:rPr>
        <w:t xml:space="preserve">Table SI. </w:t>
      </w:r>
      <w:r w:rsidR="00F25F8C" w:rsidRPr="00F25F8C">
        <w:rPr>
          <w:b/>
          <w:noProof/>
        </w:rPr>
        <w:t>45</w:t>
      </w:r>
      <w:r w:rsidR="00E9442B" w:rsidRPr="00E9442B">
        <w:rPr>
          <w:b/>
        </w:rPr>
        <w:fldChar w:fldCharType="end"/>
      </w:r>
      <w:r w:rsidRPr="003F5DA8">
        <w:t>), and the only mass losses were through metabolic CO</w:t>
      </w:r>
      <w:r w:rsidRPr="003F5DA8">
        <w:rPr>
          <w:vertAlign w:val="subscript"/>
        </w:rPr>
        <w:t>2</w:t>
      </w:r>
      <w:r w:rsidRPr="003F5DA8">
        <w:t xml:space="preserve"> venting. The </w:t>
      </w:r>
      <w:r w:rsidRPr="003F5DA8">
        <w:lastRenderedPageBreak/>
        <w:t>rest of the nutrients such as ammonia and sulfur dioxide were fed stoichiometrically. No recycling of remaining cellulases and hemicellulases within the hydrolysate stream was considered. The soluble carbohydrates remaining in the input pulp were considered as metabolizable glucose (optimistic).</w:t>
      </w:r>
    </w:p>
    <w:p w14:paraId="79A1AF06" w14:textId="0DCD9D6F" w:rsidR="00512EC8" w:rsidRPr="00053C26" w:rsidRDefault="00874128" w:rsidP="006B5342">
      <w:pPr>
        <w:pStyle w:val="Lgende"/>
        <w:jc w:val="left"/>
        <w:rPr>
          <w:b w:val="0"/>
          <w:i/>
        </w:rPr>
      </w:pPr>
      <w:bookmarkStart w:id="201" w:name="_Ref144807951"/>
      <w:bookmarkStart w:id="202" w:name="_Toc134537656"/>
      <w:bookmarkStart w:id="203" w:name="_Toc151967929"/>
      <w:r>
        <w:t>Table SI.</w:t>
      </w:r>
      <w:r w:rsidR="00512EC8">
        <w:t xml:space="preserve"> </w:t>
      </w:r>
      <w:r>
        <w:fldChar w:fldCharType="begin"/>
      </w:r>
      <w:r>
        <w:instrText xml:space="preserve"> SEQ Table_SI. \* ARABIC </w:instrText>
      </w:r>
      <w:r>
        <w:fldChar w:fldCharType="separate"/>
      </w:r>
      <w:r w:rsidR="00F25F8C">
        <w:rPr>
          <w:noProof/>
        </w:rPr>
        <w:t>45</w:t>
      </w:r>
      <w:r>
        <w:fldChar w:fldCharType="end"/>
      </w:r>
      <w:bookmarkEnd w:id="201"/>
      <w:r w:rsidR="00512EC8">
        <w:t xml:space="preserve"> </w:t>
      </w:r>
      <w:r w:rsidR="00512EC8" w:rsidRPr="002C6DB3">
        <w:t>– Lignocellulosic enzymatic hydrolysis modeling parameters</w:t>
      </w:r>
      <w:bookmarkEnd w:id="202"/>
      <w:bookmarkEnd w:id="203"/>
    </w:p>
    <w:tbl>
      <w:tblPr>
        <w:tblStyle w:val="Tableausimple2"/>
        <w:tblW w:w="0" w:type="auto"/>
        <w:jc w:val="center"/>
        <w:tblLook w:val="04A0" w:firstRow="1" w:lastRow="0" w:firstColumn="1" w:lastColumn="0" w:noHBand="0" w:noVBand="1"/>
      </w:tblPr>
      <w:tblGrid>
        <w:gridCol w:w="1676"/>
        <w:gridCol w:w="1006"/>
        <w:gridCol w:w="699"/>
        <w:gridCol w:w="679"/>
        <w:gridCol w:w="5012"/>
      </w:tblGrid>
      <w:tr w:rsidR="00512EC8" w:rsidRPr="008F4A58" w14:paraId="7A8C9AA4" w14:textId="77777777" w:rsidTr="008F4A58">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4AC47D94" w14:textId="77777777" w:rsidR="00512EC8" w:rsidRPr="008F4A58" w:rsidRDefault="00512EC8" w:rsidP="006D537D">
            <w:pPr>
              <w:jc w:val="right"/>
              <w:rPr>
                <w:sz w:val="18"/>
                <w:szCs w:val="18"/>
              </w:rPr>
            </w:pPr>
            <w:r w:rsidRPr="008F4A58">
              <w:rPr>
                <w:sz w:val="18"/>
                <w:szCs w:val="18"/>
              </w:rPr>
              <w:t>Parameter</w:t>
            </w:r>
          </w:p>
        </w:tc>
        <w:tc>
          <w:tcPr>
            <w:tcW w:w="1006" w:type="dxa"/>
          </w:tcPr>
          <w:p w14:paraId="6F126F1B"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Unit</w:t>
            </w:r>
          </w:p>
        </w:tc>
        <w:tc>
          <w:tcPr>
            <w:tcW w:w="699" w:type="dxa"/>
          </w:tcPr>
          <w:p w14:paraId="313D3E91"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Value</w:t>
            </w:r>
          </w:p>
        </w:tc>
        <w:tc>
          <w:tcPr>
            <w:tcW w:w="679" w:type="dxa"/>
          </w:tcPr>
          <w:p w14:paraId="15961FEA"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Range</w:t>
            </w:r>
          </w:p>
        </w:tc>
        <w:tc>
          <w:tcPr>
            <w:tcW w:w="0" w:type="auto"/>
          </w:tcPr>
          <w:p w14:paraId="3B530250"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Comment</w:t>
            </w:r>
          </w:p>
        </w:tc>
      </w:tr>
      <w:tr w:rsidR="00512EC8" w:rsidRPr="008F4A58" w14:paraId="276B0CD9" w14:textId="77777777" w:rsidTr="008F4A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7F156EC6" w14:textId="77777777" w:rsidR="00512EC8" w:rsidRPr="008F4A58" w:rsidRDefault="00512EC8" w:rsidP="006D537D">
            <w:pPr>
              <w:jc w:val="right"/>
              <w:rPr>
                <w:b w:val="0"/>
                <w:sz w:val="18"/>
                <w:szCs w:val="18"/>
              </w:rPr>
            </w:pPr>
            <w:r w:rsidRPr="008F4A58">
              <w:rPr>
                <w:b w:val="0"/>
                <w:sz w:val="18"/>
                <w:szCs w:val="18"/>
              </w:rPr>
              <w:t>Pulp loading</w:t>
            </w:r>
          </w:p>
        </w:tc>
        <w:tc>
          <w:tcPr>
            <w:tcW w:w="1006" w:type="dxa"/>
          </w:tcPr>
          <w:p w14:paraId="7447A307"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w:t>
            </w:r>
            <w:r w:rsidRPr="008F4A58">
              <w:rPr>
                <w:sz w:val="18"/>
                <w:szCs w:val="18"/>
                <w:vertAlign w:val="subscript"/>
              </w:rPr>
              <w:t>DM</w:t>
            </w:r>
          </w:p>
        </w:tc>
        <w:tc>
          <w:tcPr>
            <w:tcW w:w="699" w:type="dxa"/>
          </w:tcPr>
          <w:p w14:paraId="7B46428B"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7.6%</w:t>
            </w:r>
          </w:p>
        </w:tc>
        <w:tc>
          <w:tcPr>
            <w:tcW w:w="679" w:type="dxa"/>
          </w:tcPr>
          <w:p w14:paraId="5173CA34"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5-10%</w:t>
            </w:r>
          </w:p>
        </w:tc>
        <w:tc>
          <w:tcPr>
            <w:tcW w:w="0" w:type="auto"/>
          </w:tcPr>
          <w:p w14:paraId="62210288" w14:textId="26273A5B" w:rsidR="00512EC8" w:rsidRPr="008F4A58" w:rsidRDefault="00512EC8" w:rsidP="006D537D">
            <w:pPr>
              <w:jc w:val="both"/>
              <w:cnfStyle w:val="000000100000" w:firstRow="0" w:lastRow="0" w:firstColumn="0" w:lastColumn="0" w:oddVBand="0" w:evenVBand="0" w:oddHBand="1" w:evenHBand="0" w:firstRowFirstColumn="0" w:firstRowLastColumn="0" w:lastRowFirstColumn="0" w:lastRowLastColumn="0"/>
              <w:rPr>
                <w:i/>
                <w:sz w:val="18"/>
                <w:szCs w:val="18"/>
              </w:rPr>
            </w:pPr>
            <w:r w:rsidRPr="008F4A58">
              <w:rPr>
                <w:i/>
                <w:sz w:val="18"/>
                <w:szCs w:val="18"/>
              </w:rPr>
              <w:t>Lower value as currently achieved, value as short-term achievable</w:t>
            </w:r>
            <w:r w:rsidRPr="008F4A58">
              <w:rPr>
                <w:i/>
                <w:sz w:val="18"/>
                <w:szCs w:val="18"/>
              </w:rPr>
              <w:fldChar w:fldCharType="begin"/>
            </w:r>
            <w:r w:rsidR="005413B4">
              <w:rPr>
                <w:i/>
                <w:sz w:val="18"/>
                <w:szCs w:val="18"/>
              </w:rPr>
              <w:instrText xml:space="preserve"> ADDIN ZOTERO_ITEM CSL_CITATION {"citationID":"E0STJTZR","properties":{"formattedCitation":"\\super 135\\nosupersub{}","plainCitation":"135","noteIndex":0},"citationItems":[{"id":3367,"uris":["http://zotero.org/users/6423791/items/9SUGPF3U"],"itemData":{"id":3367,"type":"report","language":"en","note":"DOI: 10.2172/1483234","number":"NREL/TP--5100-71949, 1483234","page":"NREL/TP--5100-71949, 1483234","source":"DOI.org (Crossref)","title":"Process Design and Economics for the Conversion of Lignocellulosic Biomass to Hydrocarbon Fuels and Coproducts: 2018 Biochemical Design Case Update; Biochemical Deconstruction and Conversion of Biomass to Fuels and Products via Integrated Biorefinery Pathways","title-short":"Process Design and Economics for the Conversion of Lignocellulosic Biomass to Hydrocarbon Fuels and Coproducts","URL":"http://www.osti.gov/servlets/purl/1483234/","author":[{"family":"Davis","given":"Ryan E."},{"family":"Grundl","given":"Nicholas J."},{"family":"Tao","given":"Ling"},{"family":"Biddy","given":"Mary J."},{"family":"Tan","given":"Eric C."},{"family":"Beckham","given":"Gregg T."},{"family":"Humbird","given":"David"},{"family":"Thompson","given":"David N."},{"family":"Roni","given":"Mohammad S."}],"accessed":{"date-parts":[["2021",1,27]]},"issued":{"date-parts":[["2018",11,19]]}}}],"schema":"https://github.com/citation-style-language/schema/raw/master/csl-citation.json"}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135</w:t>
            </w:r>
            <w:r w:rsidRPr="008F4A58">
              <w:rPr>
                <w:i/>
                <w:sz w:val="18"/>
                <w:szCs w:val="18"/>
              </w:rPr>
              <w:fldChar w:fldCharType="end"/>
            </w:r>
            <w:r w:rsidRPr="008F4A58">
              <w:rPr>
                <w:i/>
                <w:sz w:val="18"/>
                <w:szCs w:val="18"/>
              </w:rPr>
              <w:t>. Range also reviewed</w:t>
            </w:r>
            <w:r w:rsidRPr="008F4A58">
              <w:rPr>
                <w:i/>
                <w:sz w:val="18"/>
                <w:szCs w:val="18"/>
              </w:rPr>
              <w:fldChar w:fldCharType="begin"/>
            </w:r>
            <w:r w:rsidR="005413B4">
              <w:rPr>
                <w:i/>
                <w:sz w:val="18"/>
                <w:szCs w:val="18"/>
              </w:rPr>
              <w:instrText xml:space="preserve"> ADDIN ZOTERO_ITEM CSL_CITATION {"citationID":"AX53d8Bd","properties":{"formattedCitation":"\\super 130\\nosupersub{}","plainCitation":"130","noteIndex":0},"citationItems":[{"id":1867,"uris":["http://zotero.org/users/6423791/items/XNDB54TE"],"itemData":{"id":1867,"type":"article-journal","abstract":"Grass silage is a promising biorefinery feedstock with surplus production potential, providing a source of readily soluble protein and lignocellulosic fibre. This study presents a concept combining protein extraction with production of single cell protein from enzymatically saccharified grass silage fibre by fermentation of the filamentous fungus Paecilomyces variotii. Steam explosion and ammonia soaking were compared as pretreatments, leading to 81.2% and 88.1% carbohydrate hydrolysability, respectively. Microbial biomass yields of 51% from hydrolysate sugars were reached with a protein content of 51% of cell dry weight. A single-reactor ammonia pretreatment and hydrolysis process was demonstrated, including ammonia recovery of up to 66%, while the residual ammonia was synergistically utilized as a nitrogen source for protein production. The effect of cellulase dosage, hydrolysis time and solids concentration was empirically modelled and the model was applied for cost optimization of enzymatic hydrolysis as a part of a techno-economic assessment of the process.","container-title":"Bioresource Technology Reports","DOI":"10.1016/j.biteb.2019.100357","ISSN":"2589-014X","journalAbbreviation":"Bioresour. Technol. Rep.","language":"en","page":"100357","source":"ScienceDirect","title":"Comparison of pretreatments and cost-optimization of enzymatic hydrolysis for production of single cell protein from grass silage fibre","volume":"9","author":[{"family":"Pihlajaniemi","given":"Ville"},{"family":"Ellilä","given":"Simo"},{"family":"Poikkimäki","given":"Sakari"},{"family":"Nappa","given":"Marja"},{"family":"Rinne","given":"Marketta"},{"family":"Lantto","given":"Raija"},{"family":"Siika-aho","given":"Matti"}],"issued":{"date-parts":[["2020",2,1]]}}}],"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130</w:t>
            </w:r>
            <w:r w:rsidRPr="008F4A58">
              <w:rPr>
                <w:i/>
                <w:sz w:val="18"/>
                <w:szCs w:val="18"/>
              </w:rPr>
              <w:fldChar w:fldCharType="end"/>
            </w:r>
          </w:p>
        </w:tc>
      </w:tr>
      <w:tr w:rsidR="00512EC8" w:rsidRPr="008F4A58" w14:paraId="7CCB9C0C" w14:textId="77777777" w:rsidTr="008F4A58">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50D8BAD2" w14:textId="77777777" w:rsidR="00512EC8" w:rsidRPr="008F4A58" w:rsidRDefault="00512EC8" w:rsidP="006D537D">
            <w:pPr>
              <w:jc w:val="right"/>
              <w:rPr>
                <w:b w:val="0"/>
                <w:sz w:val="18"/>
                <w:szCs w:val="18"/>
              </w:rPr>
            </w:pPr>
            <w:r w:rsidRPr="008F4A58">
              <w:rPr>
                <w:b w:val="0"/>
                <w:sz w:val="18"/>
                <w:szCs w:val="18"/>
              </w:rPr>
              <w:t>Glucose yield</w:t>
            </w:r>
          </w:p>
        </w:tc>
        <w:tc>
          <w:tcPr>
            <w:tcW w:w="1006" w:type="dxa"/>
          </w:tcPr>
          <w:p w14:paraId="2583E9E6"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w:t>
            </w:r>
            <w:r w:rsidRPr="008F4A58">
              <w:rPr>
                <w:sz w:val="18"/>
                <w:szCs w:val="18"/>
                <w:vertAlign w:val="subscript"/>
              </w:rPr>
              <w:t>cell</w:t>
            </w:r>
          </w:p>
        </w:tc>
        <w:tc>
          <w:tcPr>
            <w:tcW w:w="699" w:type="dxa"/>
          </w:tcPr>
          <w:p w14:paraId="50B0EDB4"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80%</w:t>
            </w:r>
          </w:p>
        </w:tc>
        <w:tc>
          <w:tcPr>
            <w:tcW w:w="679" w:type="dxa"/>
          </w:tcPr>
          <w:p w14:paraId="2E9BE15E"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50-96%</w:t>
            </w:r>
          </w:p>
        </w:tc>
        <w:tc>
          <w:tcPr>
            <w:tcW w:w="0" w:type="auto"/>
          </w:tcPr>
          <w:p w14:paraId="2D2197DC" w14:textId="65D6C7FE" w:rsidR="00512EC8" w:rsidRPr="008F4A58" w:rsidRDefault="00512EC8" w:rsidP="006D537D">
            <w:pPr>
              <w:jc w:val="both"/>
              <w:cnfStyle w:val="000000000000" w:firstRow="0" w:lastRow="0" w:firstColumn="0" w:lastColumn="0" w:oddVBand="0" w:evenVBand="0" w:oddHBand="0" w:evenHBand="0" w:firstRowFirstColumn="0" w:firstRowLastColumn="0" w:lastRowFirstColumn="0" w:lastRowLastColumn="0"/>
              <w:rPr>
                <w:i/>
                <w:sz w:val="18"/>
                <w:szCs w:val="18"/>
              </w:rPr>
            </w:pPr>
            <w:r w:rsidRPr="008F4A58">
              <w:rPr>
                <w:i/>
                <w:sz w:val="18"/>
                <w:szCs w:val="18"/>
              </w:rPr>
              <w:t>Lower range currently achieved on food-grade IL treated pulp</w:t>
            </w:r>
            <w:r w:rsidRPr="008F4A58">
              <w:rPr>
                <w:i/>
                <w:sz w:val="18"/>
                <w:szCs w:val="18"/>
              </w:rPr>
              <w:fldChar w:fldCharType="begin"/>
            </w:r>
            <w:r w:rsidR="005413B4">
              <w:rPr>
                <w:i/>
                <w:sz w:val="18"/>
                <w:szCs w:val="18"/>
              </w:rPr>
              <w:instrText xml:space="preserve"> ADDIN ZOTERO_ITEM CSL_CITATION {"citationID":"mxSzyT5d","properties":{"formattedCitation":"\\super 131,132\\nosupersub{}","plainCitation":"131,132","noteIndex":0},"citationItems":[{"id":11801,"uris":["http://zotero.org/users/6423791/items/AE6CHBJC"],"itemData":{"id":11801,"type":"article-journal","container-title":"Green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Van"},{"family":"Hallett","given":"Jason"},{"family":"Guo","given":"Miao"}],"issued":{"date-parts":[["2021"]]}}},{"id":9392,"uris":["http://zotero.org/users/6423791/items/5M6ND2Q5"],"itemData":{"id":9392,"type":"article-journal","abstract":"In recent years, the cellular agriculture concept has been proposed as an option to replace livestock proteins. This study presents a conceptual level techno-economic analysis of four concepts where food is produced by microorganisms based on wheat straw. Three single-cell proteins and one recombinant protein process were conceptualized. The process included steam explosion pretreatment, enzymatic hydrolysis, fermentation, and downstream processing. The enzymatic hydrolysis was optimized to minimize the production costs. The minimum protein selling price was determined by net present value using the discounted cash-flow method, which was compared to respective animal and plant proteins. The minimum protein selling prices were 5160–9007 €/ton proposing the processes to be in the feasible range, but the processes still require further development. The sensitivity of the parameters was estimated by sensitivity analysis, which revealed the most critical components in the production to be capacity, investment, interest, and enzyme and raw material costs.","container-title":"Bioresource Technology Reports","DOI":"10.1016/j.biteb.2021.100683","ISSN":"2589-014X","journalAbbreviation":"Bioresour. Technol. Rep.","language":"en","page":"100683","source":"ScienceDirect","title":"Economic comparison of food protein production with single-cell organisms from lignocellulose side-streams","volume":"14","author":[{"family":"Voutilainen","given":"Eveliina"},{"family":"Pihlajaniemi","given":"Ville"},{"family":"Parviainen","given":"Tuure"}],"issued":{"date-parts":[["2021",3,18]]}}}],"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131,132</w:t>
            </w:r>
            <w:r w:rsidRPr="008F4A58">
              <w:rPr>
                <w:i/>
                <w:sz w:val="18"/>
                <w:szCs w:val="18"/>
              </w:rPr>
              <w:fldChar w:fldCharType="end"/>
            </w:r>
            <w:r w:rsidRPr="008F4A58">
              <w:rPr>
                <w:i/>
                <w:sz w:val="18"/>
                <w:szCs w:val="18"/>
              </w:rPr>
              <w:t>, base value as the best of reported food-grade performance</w:t>
            </w:r>
            <w:r w:rsidRPr="008F4A58">
              <w:rPr>
                <w:i/>
                <w:sz w:val="18"/>
                <w:szCs w:val="18"/>
              </w:rPr>
              <w:fldChar w:fldCharType="begin"/>
            </w:r>
            <w:r w:rsidR="005413B4">
              <w:rPr>
                <w:i/>
                <w:sz w:val="18"/>
                <w:szCs w:val="18"/>
              </w:rPr>
              <w:instrText xml:space="preserve"> ADDIN ZOTERO_ITEM CSL_CITATION {"citationID":"xEAmvaai","properties":{"formattedCitation":"\\super 152\\nosupersub{}","plainCitation":"152","noteIndex":0},"citationItems":[{"id":11490,"uris":["http://zotero.org/users/6423791/items/MAHPTN52"],"itemData":{"id":11490,"type":"article-journal","abstract":"The anticipated high future demand for food proteins has led to the advent of mycoprotein, which involves carbohydrate sugars as the primary carbon source. In this work, nonfood rice and wheat residues have been utilized to produce food-grade glucose using an ionic liquid. A biocompatible ionic liquid (IL) based on food-grade cholinium hydroxide and lysine has been evaluated for its potential to remove undesirable components such as, lignin and hemicellulose from rice and wheat straws. The cellulose pulp, thus obtained, was subsequently hydrolyzed into glucose by using food-grade enzymes. The optimum delignification efficiency of the IL is 87% at 120 °C after 8 h pretreatment. The optimum yield of food-grade sugar was 77% from cellulose pulp after processing at 100 °C for 8 h. The analysis of the pulp and lignin was made using compositional analysis, FT-IR, TGA, and SEM techniques, whereas glucose was quantified using HPLC. The food-grade glucose may be used in the food industry or pharmaceuticals, but this study aims at synthesizing mycoprotein in the future.","container-title":"ACS Sustainable Chemistry &amp; Engineering","DOI":"10.1021/acssuschemeng.1c00022","journalAbbreviation":"ACS Sustainable Chem. Eng.","note":"publisher: American Chemical Society","source":"ACS Publications","title":"Production of Food-Grade Glucose from Rice and Wheat Residues Using a Biocompatible Ionic Liquid","URL":"https://doi.org/10.1021/acssuschemeng.1c00022","author":[{"family":"Asim","given":"Azmat Mehmood"},{"family":"Uroos","given":"Maliha"},{"family":"Muhammad","given":"Nawshad"},{"family":"Hallett","given":"Jason P."}],"accessed":{"date-parts":[["2021",6,20]]},"issued":{"date-parts":[["2021",6,9]]}}}],"schema":"https://github.com/citation-style-language/schema/raw/master/csl-citation.json"}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152</w:t>
            </w:r>
            <w:r w:rsidRPr="008F4A58">
              <w:rPr>
                <w:i/>
                <w:sz w:val="18"/>
                <w:szCs w:val="18"/>
              </w:rPr>
              <w:fldChar w:fldCharType="end"/>
            </w:r>
            <w:r w:rsidRPr="008F4A58">
              <w:rPr>
                <w:i/>
                <w:sz w:val="18"/>
                <w:szCs w:val="18"/>
              </w:rPr>
              <w:t>. Forecasted values over 85% (higher range)</w:t>
            </w:r>
            <w:r w:rsidRPr="008F4A58">
              <w:rPr>
                <w:i/>
                <w:sz w:val="18"/>
                <w:szCs w:val="18"/>
              </w:rPr>
              <w:fldChar w:fldCharType="begin"/>
            </w:r>
            <w:r w:rsidR="005413B4">
              <w:rPr>
                <w:i/>
                <w:sz w:val="18"/>
                <w:szCs w:val="18"/>
              </w:rPr>
              <w:instrText xml:space="preserve"> ADDIN ZOTERO_ITEM CSL_CITATION {"citationID":"gnQCidpl","properties":{"formattedCitation":"\\super 134,135\\nosupersub{}","plainCitation":"134,135","noteIndex":0},"citationItems":[{"id":13502,"uris":["http://zotero.org/users/6423791/items/MF6KWMRJ"],"itemData":{"id":13502,"type":"article-journal","abstract":"Producing sugar from lignocellulosic biomass is a promising resilient food solution to counter the near-total global failure of food production due to the agricultural collapse that would likely follow an abrupt sunlight reduction catastrophe such as a nuclear winter, a supervolcanic eruption, or a large asteroid or comet impact. This study examines how quickly edible sugar production could be ramped up globally by repurposing pulp and paper mills, sugarcane biorefineries, corn biorefineries, and breweries for lignocellulosic sugar production. A sub-unit component comparison to the NREL 2017 Biochemical Sugar Model indicates that 84%, 65%, 37%, and 39% of ISBL unit components are present, respectively. Fast construction methods were studied to analyze how this and other industrial foods could be rapidly leveraged in a catastrophe. Results suggest that the world’s current sugar demand could quickly be fulfilled by repurposing pulp and paper mills for lignocellulosic sugar production, given 5 months of production ramp-up and 24/7 construction. This method could reduce construction time to an estimated 32% of the original at an increased labor cost of 1.47 times, resulting in sugar production beginning 5 months after the catastrophe at a retail cost of $0.82 USD/kg. This could not only contribute a significant share of the food requirement after the catastrophe (</w:instrText>
            </w:r>
            <w:r w:rsidR="005413B4">
              <w:rPr>
                <w:rFonts w:ascii="Cambria Math" w:hAnsi="Cambria Math" w:cs="Cambria Math"/>
                <w:i/>
                <w:sz w:val="18"/>
                <w:szCs w:val="18"/>
              </w:rPr>
              <w:instrText>∼</w:instrText>
            </w:r>
            <w:r w:rsidR="005413B4">
              <w:rPr>
                <w:i/>
                <w:sz w:val="18"/>
                <w:szCs w:val="18"/>
              </w:rPr>
              <w:instrText xml:space="preserve">28% within the first year), but also be key to preventing global starvation between the time at which global food storages run dry and other resilient food solutions can scale up significantly. This study aims to serve as the basis for more comprehensive scenario analyses. More research is needed to characterize material and labor constraints to fast response in more depth; repurposing and fast construction pilot studies and food safety studies are recommended.","container-title":"Food and Bioproducts Processing","DOI":"10.1016/j.fbp.2021.10.012","ISSN":"0960-3085","journalAbbreviation":"Food and Bioproducts Processing","language":"en","page":"22-39","source":"ScienceDirect","title":"Rapid repurposing of pulp and paper mills, biorefineries, and breweries for lignocellulosic sugar production in global food catastrophes","volume":"131","author":[{"family":"Throup","given":"James"},{"family":"García Martínez","given":"Juan B."},{"family":"Bals","given":"Bryan"},{"family":"Cates","given":"Jacob"},{"family":"Pearce","given":"Joshua M."},{"family":"Denkenberger","given":"David C."}],"issued":{"date-parts":[["2022",1,1]]}}},{"id":3367,"uris":["http://zotero.org/users/6423791/items/9SUGPF3U"],"itemData":{"id":3367,"type":"report","language":"en","note":"DOI: 10.2172/1483234","number":"NREL/TP--5100-71949, 1483234","page":"NREL/TP--5100-71949, 1483234","source":"DOI.org (Crossref)","title":"Process Design and Economics for the Conversion of Lignocellulosic Biomass to Hydrocarbon Fuels and Coproducts: 2018 Biochemical Design Case Update; Biochemical Deconstruction and Conversion of Biomass to Fuels and Products via Integrated Biorefinery Pathways","title-short":"Process Design and Economics for the Conversion of Lignocellulosic Biomass to Hydrocarbon Fuels and Coproducts","URL":"http://www.osti.gov/servlets/purl/1483234/","author":[{"family":"Davis","given":"Ryan E."},{"family":"Grundl","given":"Nicholas J."},{"family":"Tao","given":"Ling"},{"family":"Biddy","given":"Mary J."},{"family":"Tan","given":"Eric C."},{"family":"Beckham","given":"Gregg T."},{"family":"Humbird","given":"David"},{"family":"Thompson","given":"David N."},{"family":"Roni","given":"Mohammad S."}],"accessed":{"date-parts":[["2021",1,27]]},"issued":{"date-parts":[["2018",11,19]]}}}],"schema":"https://github.com/citation-style-language/schema/raw/master/csl-citation.json"}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134,135</w:t>
            </w:r>
            <w:r w:rsidRPr="008F4A58">
              <w:rPr>
                <w:i/>
                <w:sz w:val="18"/>
                <w:szCs w:val="18"/>
              </w:rPr>
              <w:fldChar w:fldCharType="end"/>
            </w:r>
          </w:p>
        </w:tc>
      </w:tr>
      <w:tr w:rsidR="00512EC8" w:rsidRPr="008F4A58" w14:paraId="4CF1CC37" w14:textId="77777777" w:rsidTr="008F4A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2A2E835A" w14:textId="77777777" w:rsidR="00512EC8" w:rsidRPr="008F4A58" w:rsidRDefault="00512EC8" w:rsidP="006D537D">
            <w:pPr>
              <w:jc w:val="right"/>
              <w:rPr>
                <w:b w:val="0"/>
                <w:sz w:val="18"/>
                <w:szCs w:val="18"/>
              </w:rPr>
            </w:pPr>
            <w:r w:rsidRPr="008F4A58">
              <w:rPr>
                <w:b w:val="0"/>
                <w:sz w:val="18"/>
                <w:szCs w:val="18"/>
              </w:rPr>
              <w:t>C</w:t>
            </w:r>
            <w:r w:rsidRPr="008F4A58">
              <w:rPr>
                <w:b w:val="0"/>
                <w:sz w:val="18"/>
                <w:szCs w:val="18"/>
                <w:vertAlign w:val="subscript"/>
              </w:rPr>
              <w:t>5</w:t>
            </w:r>
            <w:r w:rsidRPr="008F4A58">
              <w:rPr>
                <w:b w:val="0"/>
                <w:sz w:val="18"/>
                <w:szCs w:val="18"/>
              </w:rPr>
              <w:t xml:space="preserve"> sugars yield</w:t>
            </w:r>
          </w:p>
        </w:tc>
        <w:tc>
          <w:tcPr>
            <w:tcW w:w="1006" w:type="dxa"/>
          </w:tcPr>
          <w:p w14:paraId="5571EB6F"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w:t>
            </w:r>
            <w:r w:rsidRPr="008F4A58">
              <w:rPr>
                <w:sz w:val="18"/>
                <w:szCs w:val="18"/>
                <w:vertAlign w:val="subscript"/>
              </w:rPr>
              <w:t>hemi</w:t>
            </w:r>
          </w:p>
        </w:tc>
        <w:tc>
          <w:tcPr>
            <w:tcW w:w="699" w:type="dxa"/>
          </w:tcPr>
          <w:p w14:paraId="0E61F611"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80%</w:t>
            </w:r>
          </w:p>
        </w:tc>
        <w:tc>
          <w:tcPr>
            <w:tcW w:w="679" w:type="dxa"/>
          </w:tcPr>
          <w:p w14:paraId="5F299D80"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50-99%</w:t>
            </w:r>
          </w:p>
        </w:tc>
        <w:tc>
          <w:tcPr>
            <w:tcW w:w="0" w:type="auto"/>
          </w:tcPr>
          <w:p w14:paraId="5A8C2199" w14:textId="25B10AD9" w:rsidR="00512EC8" w:rsidRPr="008F4A58" w:rsidRDefault="00512EC8" w:rsidP="006D537D">
            <w:pPr>
              <w:jc w:val="both"/>
              <w:cnfStyle w:val="000000100000" w:firstRow="0" w:lastRow="0" w:firstColumn="0" w:lastColumn="0" w:oddVBand="0" w:evenVBand="0" w:oddHBand="1" w:evenHBand="0" w:firstRowFirstColumn="0" w:firstRowLastColumn="0" w:lastRowFirstColumn="0" w:lastRowLastColumn="0"/>
              <w:rPr>
                <w:i/>
                <w:sz w:val="18"/>
                <w:szCs w:val="18"/>
              </w:rPr>
            </w:pPr>
            <w:r w:rsidRPr="008F4A58">
              <w:rPr>
                <w:i/>
                <w:sz w:val="18"/>
                <w:szCs w:val="18"/>
              </w:rPr>
              <w:t>Upcraft et al., 2021 considered same as glucose</w:t>
            </w:r>
            <w:r w:rsidRPr="008F4A58">
              <w:rPr>
                <w:i/>
                <w:sz w:val="18"/>
                <w:szCs w:val="18"/>
              </w:rPr>
              <w:fldChar w:fldCharType="begin"/>
            </w:r>
            <w:r w:rsidR="005413B4">
              <w:rPr>
                <w:i/>
                <w:sz w:val="18"/>
                <w:szCs w:val="18"/>
              </w:rPr>
              <w:instrText xml:space="preserve"> ADDIN ZOTERO_ITEM CSL_CITATION {"citationID":"o1PV2HUR","properties":{"formattedCitation":"\\super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131</w:t>
            </w:r>
            <w:r w:rsidRPr="008F4A58">
              <w:rPr>
                <w:i/>
                <w:sz w:val="18"/>
                <w:szCs w:val="18"/>
              </w:rPr>
              <w:fldChar w:fldCharType="end"/>
            </w:r>
            <w:r w:rsidRPr="008F4A58">
              <w:rPr>
                <w:i/>
                <w:sz w:val="18"/>
                <w:szCs w:val="18"/>
              </w:rPr>
              <w:t>, while others</w:t>
            </w:r>
            <w:r w:rsidRPr="008F4A58">
              <w:rPr>
                <w:i/>
                <w:sz w:val="18"/>
                <w:szCs w:val="18"/>
              </w:rPr>
              <w:fldChar w:fldCharType="begin"/>
            </w:r>
            <w:r w:rsidR="005413B4">
              <w:rPr>
                <w:i/>
                <w:sz w:val="18"/>
                <w:szCs w:val="18"/>
              </w:rPr>
              <w:instrText xml:space="preserve"> ADDIN ZOTERO_ITEM CSL_CITATION {"citationID":"GR9rZ3jM","properties":{"formattedCitation":"\\super 135,156\\nosupersub{}","plainCitation":"135,156","noteIndex":0},"citationItems":[{"id":3367,"uris":["http://zotero.org/users/6423791/items/9SUGPF3U"],"itemData":{"id":3367,"type":"report","language":"en","note":"DOI: 10.2172/1483234","number":"NREL/TP--5100-71949, 1483234","page":"NREL/TP--5100-71949, 1483234","source":"DOI.org (Crossref)","title":"Process Design and Economics for the Conversion of Lignocellulosic Biomass to Hydrocarbon Fuels and Coproducts: 2018 Biochemical Design Case Update; Biochemical Deconstruction and Conversion of Biomass to Fuels and Products via Integrated Biorefinery Pathways","title-short":"Process Design and Economics for the Conversion of Lignocellulosic Biomass to Hydrocarbon Fuels and Coproducts","URL":"http://www.osti.gov/servlets/purl/1483234/","author":[{"family":"Davis","given":"Ryan E."},{"family":"Grundl","given":"Nicholas J."},{"family":"Tao","given":"Ling"},{"family":"Biddy","given":"Mary J."},{"family":"Tan","given":"Eric C."},{"family":"Beckham","given":"Gregg T."},{"family":"Humbird","given":"David"},{"family":"Thompson","given":"David N."},{"family":"Roni","given":"Mohammad S."}],"accessed":{"date-parts":[["2021",1,27]]},"issued":{"date-parts":[["2018",11,19]]}}},{"id":13488,"uris":["http://zotero.org/users/6423791/items/YZ7FI2IH"],"itemData":{"id":13488,"type":"article-journal","abstract":"Cellulosic biofuels present an opportunity to meet a signiﬁcant fraction of liquid transportation fuel demand with renewable, low-carbon alternatives. Certain ionic liquids (ILs) have proven eﬀective at facilitating hydrolysis of lignocellulose to produce fermentable sugars with high yields. Although their negligible vapor pressure and low ﬂammability make ILs attractive solvents at the point of use, their life-cycle environmental impacts have not been investigated in the context of cellulosic bioreﬁneries. This study provides the ﬁrst life-cycle greenhouse gas (GHG) and water use inventory for biofuels produced using IL pretreatment. We explore two corn stover-to-ethanol process conﬁgurations: the conventional water-wash (WW) route and the more recently developed integrated high gravity (iHG) route, which eliminates washing steps after pretreatment. Our results are based on the use of a representative IL, cholinium lysinate ([Ch][Lys]). We ﬁnd that the WW process results in unacceptably high GHG emissions. The iHG process has the potential to reduce GHG emissions per megajoule of fuel by </w:instrText>
            </w:r>
            <w:r w:rsidR="005413B4">
              <w:rPr>
                <w:rFonts w:ascii="Cambria Math" w:hAnsi="Cambria Math" w:cs="Cambria Math"/>
                <w:i/>
                <w:sz w:val="18"/>
                <w:szCs w:val="18"/>
              </w:rPr>
              <w:instrText>∼</w:instrText>
            </w:r>
            <w:r w:rsidR="005413B4">
              <w:rPr>
                <w:i/>
                <w:sz w:val="18"/>
                <w:szCs w:val="18"/>
              </w:rPr>
              <w:instrText>45% relative to gasoline if [Ch][Lys] is used. Use of a protic IL with comparable performance to [Ch][Lys] could achieve GHG reductions up to 70</w:instrText>
            </w:r>
            <w:r w:rsidR="005413B4">
              <w:rPr>
                <w:rFonts w:ascii="Calibri" w:hAnsi="Calibri" w:cs="Calibri"/>
                <w:i/>
                <w:sz w:val="18"/>
                <w:szCs w:val="18"/>
              </w:rPr>
              <w:instrText>−</w:instrText>
            </w:r>
            <w:r w:rsidR="005413B4">
              <w:rPr>
                <w:i/>
                <w:sz w:val="18"/>
                <w:szCs w:val="18"/>
              </w:rPr>
              <w:instrText xml:space="preserve">85%. The water intensities of the WW and iHG processes are both comparable to those of other cellulosic biofuel technologies.","container-title":"ACS Sustainable Chemistry &amp; Engineering","DOI":"10.1021/acssuschemeng.7b02116","ISSN":"2168-0485, 2168-0485","issue":"11","journalAbbreviation":"ACS Sustainable Chem. Eng.","language":"en","page":"10176-10185","source":"DOI.org (Crossref)","title":"Life-Cycle Greenhouse Gas and Water Intensity of Cellulosic Biofuel Production Using Cholinium Lysinate Ionic Liquid Pretreatment","volume":"5","author":[{"family":"Neupane","given":"Binod"},{"family":"Konda","given":"N. V. S. N. Murthy"},{"family":"Singh","given":"Seema"},{"family":"Simmons","given":"Blake A."},{"family":"Scown","given":"Corinne D."}],"issued":{"date-parts":[["2017",11,6]]}}}],"schema":"https://github.com/citation-style-language/schema/raw/master/csl-citation.json"}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135,156</w:t>
            </w:r>
            <w:r w:rsidRPr="008F4A58">
              <w:rPr>
                <w:i/>
                <w:sz w:val="18"/>
                <w:szCs w:val="18"/>
              </w:rPr>
              <w:fldChar w:fldCharType="end"/>
            </w:r>
            <w:r w:rsidRPr="008F4A58">
              <w:rPr>
                <w:i/>
                <w:sz w:val="18"/>
                <w:szCs w:val="18"/>
              </w:rPr>
              <w:t xml:space="preserve"> consider specific fractions (e.g. xylans) can achieve over 90-99%.</w:t>
            </w:r>
          </w:p>
        </w:tc>
      </w:tr>
      <w:tr w:rsidR="00512EC8" w:rsidRPr="008F4A58" w14:paraId="3EDD570F" w14:textId="77777777" w:rsidTr="008F4A58">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73342774" w14:textId="77777777" w:rsidR="00512EC8" w:rsidRPr="008F4A58" w:rsidRDefault="00512EC8" w:rsidP="006D537D">
            <w:pPr>
              <w:jc w:val="right"/>
              <w:rPr>
                <w:b w:val="0"/>
                <w:sz w:val="18"/>
                <w:szCs w:val="18"/>
              </w:rPr>
            </w:pPr>
            <w:r w:rsidRPr="008F4A58">
              <w:rPr>
                <w:b w:val="0"/>
                <w:sz w:val="18"/>
                <w:szCs w:val="18"/>
              </w:rPr>
              <w:t>Cellulases loading</w:t>
            </w:r>
          </w:p>
        </w:tc>
        <w:tc>
          <w:tcPr>
            <w:tcW w:w="1006" w:type="dxa"/>
          </w:tcPr>
          <w:p w14:paraId="32DA864D"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8F4A58">
              <w:rPr>
                <w:sz w:val="18"/>
                <w:szCs w:val="18"/>
              </w:rPr>
              <w:t>mg.g</w:t>
            </w:r>
            <w:r w:rsidRPr="008F4A58">
              <w:rPr>
                <w:sz w:val="18"/>
                <w:szCs w:val="18"/>
                <w:vertAlign w:val="subscript"/>
              </w:rPr>
              <w:t>cell</w:t>
            </w:r>
            <w:proofErr w:type="gramEnd"/>
            <w:r w:rsidRPr="008F4A58">
              <w:rPr>
                <w:sz w:val="18"/>
                <w:szCs w:val="18"/>
                <w:vertAlign w:val="superscript"/>
              </w:rPr>
              <w:t>-1</w:t>
            </w:r>
          </w:p>
        </w:tc>
        <w:tc>
          <w:tcPr>
            <w:tcW w:w="699" w:type="dxa"/>
          </w:tcPr>
          <w:p w14:paraId="045F06E0"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15</w:t>
            </w:r>
          </w:p>
        </w:tc>
        <w:tc>
          <w:tcPr>
            <w:tcW w:w="679" w:type="dxa"/>
          </w:tcPr>
          <w:p w14:paraId="4C977D1E"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10-20</w:t>
            </w:r>
          </w:p>
        </w:tc>
        <w:tc>
          <w:tcPr>
            <w:tcW w:w="0" w:type="auto"/>
            <w:vMerge w:val="restart"/>
          </w:tcPr>
          <w:p w14:paraId="6AA7B526" w14:textId="296F4774" w:rsidR="00512EC8" w:rsidRPr="008F4A58" w:rsidRDefault="00512EC8" w:rsidP="006D537D">
            <w:pPr>
              <w:jc w:val="both"/>
              <w:cnfStyle w:val="000000000000" w:firstRow="0" w:lastRow="0" w:firstColumn="0" w:lastColumn="0" w:oddVBand="0" w:evenVBand="0" w:oddHBand="0" w:evenHBand="0" w:firstRowFirstColumn="0" w:firstRowLastColumn="0" w:lastRowFirstColumn="0" w:lastRowLastColumn="0"/>
              <w:rPr>
                <w:i/>
                <w:sz w:val="18"/>
                <w:szCs w:val="18"/>
              </w:rPr>
            </w:pPr>
            <w:r w:rsidRPr="008F4A58">
              <w:rPr>
                <w:i/>
                <w:sz w:val="18"/>
                <w:szCs w:val="18"/>
              </w:rPr>
              <w:t>Food-grade range 10-30</w:t>
            </w:r>
            <w:r w:rsidRPr="008F4A58">
              <w:rPr>
                <w:i/>
                <w:sz w:val="18"/>
                <w:szCs w:val="18"/>
              </w:rPr>
              <w:fldChar w:fldCharType="begin"/>
            </w:r>
            <w:r w:rsidR="005413B4">
              <w:rPr>
                <w:i/>
                <w:sz w:val="18"/>
                <w:szCs w:val="18"/>
              </w:rPr>
              <w:instrText xml:space="preserve"> ADDIN ZOTERO_ITEM CSL_CITATION {"citationID":"fHu52M6h","properties":{"formattedCitation":"\\super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131</w:t>
            </w:r>
            <w:r w:rsidRPr="008F4A58">
              <w:rPr>
                <w:i/>
                <w:sz w:val="18"/>
                <w:szCs w:val="18"/>
              </w:rPr>
              <w:fldChar w:fldCharType="end"/>
            </w:r>
            <w:r w:rsidRPr="008F4A58">
              <w:rPr>
                <w:i/>
                <w:sz w:val="18"/>
                <w:szCs w:val="18"/>
              </w:rPr>
              <w:t xml:space="preserve"> while conventional rather range 10-20</w:t>
            </w:r>
            <w:r w:rsidRPr="008F4A58">
              <w:rPr>
                <w:i/>
                <w:sz w:val="18"/>
                <w:szCs w:val="18"/>
              </w:rPr>
              <w:fldChar w:fldCharType="begin"/>
            </w:r>
            <w:r w:rsidR="005413B4">
              <w:rPr>
                <w:i/>
                <w:sz w:val="18"/>
                <w:szCs w:val="18"/>
              </w:rPr>
              <w:instrText xml:space="preserve"> ADDIN ZOTERO_ITEM CSL_CITATION {"citationID":"QolowzMR","properties":{"formattedCitation":"\\super 132\\nosupersub{}","plainCitation":"132","noteIndex":0},"citationItems":[{"id":9392,"uris":["http://zotero.org/users/6423791/items/5M6ND2Q5"],"itemData":{"id":9392,"type":"article-journal","abstract":"In recent years, the cellular agriculture concept has been proposed as an option to replace livestock proteins. This study presents a conceptual level techno-economic analysis of four concepts where food is produced by microorganisms based on wheat straw. Three single-cell proteins and one recombinant protein process were conceptualized. The process included steam explosion pretreatment, enzymatic hydrolysis, fermentation, and downstream processing. The enzymatic hydrolysis was optimized to minimize the production costs. The minimum protein selling price was determined by net present value using the discounted cash-flow method, which was compared to respective animal and plant proteins. The minimum protein selling prices were 5160–9007 €/ton proposing the processes to be in the feasible range, but the processes still require further development. The sensitivity of the parameters was estimated by sensitivity analysis, which revealed the most critical components in the production to be capacity, investment, interest, and enzyme and raw material costs.","container-title":"Bioresource Technology Reports","DOI":"10.1016/j.biteb.2021.100683","ISSN":"2589-014X","journalAbbreviation":"Bioresour. Technol. Rep.","language":"en","page":"100683","source":"ScienceDirect","title":"Economic comparison of food protein production with single-cell organisms from lignocellulose side-streams","volume":"14","author":[{"family":"Voutilainen","given":"Eveliina"},{"family":"Pihlajaniemi","given":"Ville"},{"family":"Parviainen","given":"Tuure"}],"issued":{"date-parts":[["2021",3,18]]}}}],"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132</w:t>
            </w:r>
            <w:r w:rsidRPr="008F4A58">
              <w:rPr>
                <w:i/>
                <w:sz w:val="18"/>
                <w:szCs w:val="18"/>
              </w:rPr>
              <w:fldChar w:fldCharType="end"/>
            </w:r>
          </w:p>
        </w:tc>
      </w:tr>
      <w:tr w:rsidR="00512EC8" w:rsidRPr="008F4A58" w14:paraId="3FB2E9E7" w14:textId="77777777" w:rsidTr="008F4A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4C61B5A3" w14:textId="77777777" w:rsidR="00512EC8" w:rsidRPr="008F4A58" w:rsidRDefault="00512EC8" w:rsidP="006D537D">
            <w:pPr>
              <w:jc w:val="right"/>
              <w:rPr>
                <w:b w:val="0"/>
                <w:sz w:val="18"/>
                <w:szCs w:val="18"/>
              </w:rPr>
            </w:pPr>
            <w:r w:rsidRPr="008F4A58">
              <w:rPr>
                <w:b w:val="0"/>
                <w:sz w:val="18"/>
                <w:szCs w:val="18"/>
              </w:rPr>
              <w:t>Hemicellulases loading</w:t>
            </w:r>
          </w:p>
        </w:tc>
        <w:tc>
          <w:tcPr>
            <w:tcW w:w="1006" w:type="dxa"/>
          </w:tcPr>
          <w:p w14:paraId="5B820A3A"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8F4A58">
              <w:rPr>
                <w:sz w:val="18"/>
                <w:szCs w:val="18"/>
              </w:rPr>
              <w:t>mg.g</w:t>
            </w:r>
            <w:r w:rsidRPr="008F4A58">
              <w:rPr>
                <w:sz w:val="18"/>
                <w:szCs w:val="18"/>
                <w:vertAlign w:val="subscript"/>
              </w:rPr>
              <w:t>hemi</w:t>
            </w:r>
            <w:proofErr w:type="gramEnd"/>
            <w:r w:rsidRPr="008F4A58">
              <w:rPr>
                <w:sz w:val="18"/>
                <w:szCs w:val="18"/>
                <w:vertAlign w:val="superscript"/>
              </w:rPr>
              <w:t>-1</w:t>
            </w:r>
          </w:p>
        </w:tc>
        <w:tc>
          <w:tcPr>
            <w:tcW w:w="699" w:type="dxa"/>
          </w:tcPr>
          <w:p w14:paraId="26CF2F02"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15</w:t>
            </w:r>
          </w:p>
        </w:tc>
        <w:tc>
          <w:tcPr>
            <w:tcW w:w="679" w:type="dxa"/>
          </w:tcPr>
          <w:p w14:paraId="754B34B1"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10-20</w:t>
            </w:r>
          </w:p>
        </w:tc>
        <w:tc>
          <w:tcPr>
            <w:tcW w:w="0" w:type="auto"/>
            <w:vMerge/>
          </w:tcPr>
          <w:p w14:paraId="613169C1" w14:textId="77777777" w:rsidR="00512EC8" w:rsidRPr="008F4A58" w:rsidRDefault="00512EC8" w:rsidP="006D537D">
            <w:pPr>
              <w:jc w:val="both"/>
              <w:cnfStyle w:val="000000100000" w:firstRow="0" w:lastRow="0" w:firstColumn="0" w:lastColumn="0" w:oddVBand="0" w:evenVBand="0" w:oddHBand="1" w:evenHBand="0" w:firstRowFirstColumn="0" w:firstRowLastColumn="0" w:lastRowFirstColumn="0" w:lastRowLastColumn="0"/>
              <w:rPr>
                <w:i/>
                <w:sz w:val="18"/>
                <w:szCs w:val="18"/>
              </w:rPr>
            </w:pPr>
          </w:p>
        </w:tc>
      </w:tr>
      <w:tr w:rsidR="00512EC8" w:rsidRPr="008F4A58" w14:paraId="65608BD7" w14:textId="77777777" w:rsidTr="008F4A58">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4DC4261F" w14:textId="77777777" w:rsidR="00512EC8" w:rsidRPr="008F4A58" w:rsidRDefault="00512EC8" w:rsidP="006D537D">
            <w:pPr>
              <w:jc w:val="right"/>
              <w:rPr>
                <w:b w:val="0"/>
                <w:sz w:val="18"/>
                <w:szCs w:val="18"/>
              </w:rPr>
            </w:pPr>
            <w:r w:rsidRPr="008F4A58">
              <w:rPr>
                <w:b w:val="0"/>
                <w:sz w:val="18"/>
                <w:szCs w:val="18"/>
              </w:rPr>
              <w:t>Sugars recovery</w:t>
            </w:r>
          </w:p>
        </w:tc>
        <w:tc>
          <w:tcPr>
            <w:tcW w:w="1006" w:type="dxa"/>
          </w:tcPr>
          <w:p w14:paraId="78F75FFB"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w:t>
            </w:r>
            <w:r w:rsidRPr="008F4A58">
              <w:rPr>
                <w:sz w:val="18"/>
                <w:szCs w:val="18"/>
                <w:vertAlign w:val="subscript"/>
              </w:rPr>
              <w:t>sugars</w:t>
            </w:r>
          </w:p>
        </w:tc>
        <w:tc>
          <w:tcPr>
            <w:tcW w:w="699" w:type="dxa"/>
          </w:tcPr>
          <w:p w14:paraId="452A0F87"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99%</w:t>
            </w:r>
          </w:p>
        </w:tc>
        <w:tc>
          <w:tcPr>
            <w:tcW w:w="679" w:type="dxa"/>
          </w:tcPr>
          <w:p w14:paraId="79A284E2"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6AD0BFF2" w14:textId="0AD8AE90" w:rsidR="00512EC8" w:rsidRPr="008F4A58" w:rsidRDefault="00512EC8" w:rsidP="006D537D">
            <w:pPr>
              <w:jc w:val="both"/>
              <w:cnfStyle w:val="000000000000" w:firstRow="0" w:lastRow="0" w:firstColumn="0" w:lastColumn="0" w:oddVBand="0" w:evenVBand="0" w:oddHBand="0" w:evenHBand="0" w:firstRowFirstColumn="0" w:firstRowLastColumn="0" w:lastRowFirstColumn="0" w:lastRowLastColumn="0"/>
              <w:rPr>
                <w:i/>
                <w:sz w:val="18"/>
                <w:szCs w:val="18"/>
              </w:rPr>
            </w:pPr>
            <w:r w:rsidRPr="008F4A58">
              <w:rPr>
                <w:i/>
                <w:sz w:val="18"/>
                <w:szCs w:val="18"/>
              </w:rPr>
              <w:t>To account for losses at the ultrafiltration</w:t>
            </w:r>
            <w:r w:rsidRPr="008F4A58">
              <w:rPr>
                <w:i/>
                <w:sz w:val="18"/>
                <w:szCs w:val="18"/>
              </w:rPr>
              <w:fldChar w:fldCharType="begin"/>
            </w:r>
            <w:r w:rsidR="005413B4">
              <w:rPr>
                <w:i/>
                <w:sz w:val="18"/>
                <w:szCs w:val="18"/>
              </w:rPr>
              <w:instrText xml:space="preserve"> ADDIN ZOTERO_ITEM CSL_CITATION {"citationID":"8EqDvucu","properties":{"formattedCitation":"\\super 135\\nosupersub{}","plainCitation":"135","noteIndex":0},"citationItems":[{"id":3367,"uris":["http://zotero.org/users/6423791/items/9SUGPF3U"],"itemData":{"id":3367,"type":"report","language":"en","note":"DOI: 10.2172/1483234","number":"NREL/TP--5100-71949, 1483234","page":"NREL/TP--5100-71949, 1483234","source":"DOI.org (Crossref)","title":"Process Design and Economics for the Conversion of Lignocellulosic Biomass to Hydrocarbon Fuels and Coproducts: 2018 Biochemical Design Case Update; Biochemical Deconstruction and Conversion of Biomass to Fuels and Products via Integrated Biorefinery Pathways","title-short":"Process Design and Economics for the Conversion of Lignocellulosic Biomass to Hydrocarbon Fuels and Coproducts","URL":"http://www.osti.gov/servlets/purl/1483234/","author":[{"family":"Davis","given":"Ryan E."},{"family":"Grundl","given":"Nicholas J."},{"family":"Tao","given":"Ling"},{"family":"Biddy","given":"Mary J."},{"family":"Tan","given":"Eric C."},{"family":"Beckham","given":"Gregg T."},{"family":"Humbird","given":"David"},{"family":"Thompson","given":"David N."},{"family":"Roni","given":"Mohammad S."}],"accessed":{"date-parts":[["2021",1,27]]},"issued":{"date-parts":[["2018",11,19]]}}}],"schema":"https://github.com/citation-style-language/schema/raw/master/csl-citation.json"}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135</w:t>
            </w:r>
            <w:r w:rsidRPr="008F4A58">
              <w:rPr>
                <w:i/>
                <w:sz w:val="18"/>
                <w:szCs w:val="18"/>
              </w:rPr>
              <w:fldChar w:fldCharType="end"/>
            </w:r>
          </w:p>
        </w:tc>
      </w:tr>
      <w:tr w:rsidR="00512EC8" w:rsidRPr="008F4A58" w14:paraId="1B86C4DD" w14:textId="77777777" w:rsidTr="008F4A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43E1AAB8" w14:textId="77777777" w:rsidR="00512EC8" w:rsidRPr="008F4A58" w:rsidRDefault="00512EC8" w:rsidP="006D537D">
            <w:pPr>
              <w:jc w:val="right"/>
              <w:rPr>
                <w:b w:val="0"/>
                <w:sz w:val="18"/>
                <w:szCs w:val="18"/>
              </w:rPr>
            </w:pPr>
            <w:r w:rsidRPr="008F4A58">
              <w:rPr>
                <w:b w:val="0"/>
                <w:sz w:val="18"/>
                <w:szCs w:val="18"/>
              </w:rPr>
              <w:t>Enzymatic treat. electricity</w:t>
            </w:r>
          </w:p>
        </w:tc>
        <w:tc>
          <w:tcPr>
            <w:tcW w:w="1006" w:type="dxa"/>
          </w:tcPr>
          <w:p w14:paraId="435F3919"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kWh.t</w:t>
            </w:r>
            <w:r w:rsidRPr="008F4A58">
              <w:rPr>
                <w:sz w:val="18"/>
                <w:szCs w:val="18"/>
                <w:vertAlign w:val="subscript"/>
              </w:rPr>
              <w:t>pulp</w:t>
            </w:r>
            <w:r w:rsidRPr="008F4A58">
              <w:rPr>
                <w:sz w:val="18"/>
                <w:szCs w:val="18"/>
                <w:vertAlign w:val="superscript"/>
              </w:rPr>
              <w:t>-1</w:t>
            </w:r>
          </w:p>
        </w:tc>
        <w:tc>
          <w:tcPr>
            <w:tcW w:w="699" w:type="dxa"/>
          </w:tcPr>
          <w:p w14:paraId="371E4F45"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0.25</w:t>
            </w:r>
          </w:p>
        </w:tc>
        <w:tc>
          <w:tcPr>
            <w:tcW w:w="679" w:type="dxa"/>
          </w:tcPr>
          <w:p w14:paraId="20D3E615"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7C2E6933" w14:textId="77777777" w:rsidR="00512EC8" w:rsidRPr="008F4A58" w:rsidRDefault="00512EC8" w:rsidP="006D537D">
            <w:pPr>
              <w:jc w:val="both"/>
              <w:cnfStyle w:val="000000100000" w:firstRow="0" w:lastRow="0" w:firstColumn="0" w:lastColumn="0" w:oddVBand="0" w:evenVBand="0" w:oddHBand="1" w:evenHBand="0" w:firstRowFirstColumn="0" w:firstRowLastColumn="0" w:lastRowFirstColumn="0" w:lastRowLastColumn="0"/>
              <w:rPr>
                <w:i/>
                <w:sz w:val="18"/>
                <w:szCs w:val="18"/>
              </w:rPr>
            </w:pPr>
            <w:r w:rsidRPr="008F4A58">
              <w:rPr>
                <w:i/>
                <w:sz w:val="18"/>
                <w:szCs w:val="18"/>
              </w:rPr>
              <w:t>UF electricity accounted apart.</w:t>
            </w:r>
          </w:p>
        </w:tc>
      </w:tr>
      <w:tr w:rsidR="00512EC8" w:rsidRPr="008F4A58" w14:paraId="02936749" w14:textId="77777777" w:rsidTr="008F4A58">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1C3B052A" w14:textId="77777777" w:rsidR="00512EC8" w:rsidRPr="008F4A58" w:rsidRDefault="00512EC8" w:rsidP="006D537D">
            <w:pPr>
              <w:jc w:val="right"/>
              <w:rPr>
                <w:b w:val="0"/>
                <w:sz w:val="18"/>
                <w:szCs w:val="18"/>
              </w:rPr>
            </w:pPr>
            <w:r w:rsidRPr="008F4A58">
              <w:rPr>
                <w:b w:val="0"/>
                <w:sz w:val="18"/>
                <w:szCs w:val="18"/>
              </w:rPr>
              <w:t>Hydrolysate final concentration</w:t>
            </w:r>
          </w:p>
        </w:tc>
        <w:tc>
          <w:tcPr>
            <w:tcW w:w="1006" w:type="dxa"/>
          </w:tcPr>
          <w:p w14:paraId="1F41DC8C"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w:t>
            </w:r>
            <w:r w:rsidRPr="008F4A58">
              <w:rPr>
                <w:sz w:val="18"/>
                <w:szCs w:val="18"/>
                <w:vertAlign w:val="subscript"/>
              </w:rPr>
              <w:t>DM</w:t>
            </w:r>
          </w:p>
        </w:tc>
        <w:tc>
          <w:tcPr>
            <w:tcW w:w="699" w:type="dxa"/>
          </w:tcPr>
          <w:p w14:paraId="3CB6BADB"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10%</w:t>
            </w:r>
          </w:p>
        </w:tc>
        <w:tc>
          <w:tcPr>
            <w:tcW w:w="679" w:type="dxa"/>
          </w:tcPr>
          <w:p w14:paraId="492B2EC9"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5-16%</w:t>
            </w:r>
          </w:p>
        </w:tc>
        <w:tc>
          <w:tcPr>
            <w:tcW w:w="0" w:type="auto"/>
          </w:tcPr>
          <w:p w14:paraId="18AEBCF3" w14:textId="58ACE329" w:rsidR="00512EC8" w:rsidRPr="008F4A58" w:rsidRDefault="00512EC8" w:rsidP="006D537D">
            <w:pPr>
              <w:jc w:val="both"/>
              <w:cnfStyle w:val="000000000000" w:firstRow="0" w:lastRow="0" w:firstColumn="0" w:lastColumn="0" w:oddVBand="0" w:evenVBand="0" w:oddHBand="0" w:evenHBand="0" w:firstRowFirstColumn="0" w:firstRowLastColumn="0" w:lastRowFirstColumn="0" w:lastRowLastColumn="0"/>
              <w:rPr>
                <w:i/>
                <w:sz w:val="18"/>
                <w:szCs w:val="18"/>
              </w:rPr>
            </w:pPr>
            <w:r w:rsidRPr="008F4A58">
              <w:rPr>
                <w:i/>
                <w:sz w:val="18"/>
                <w:szCs w:val="18"/>
              </w:rPr>
              <w:t>Define the sugar content in mycoproteins bioreactor. Base as reported optimum</w:t>
            </w:r>
            <w:r w:rsidRPr="008F4A58">
              <w:rPr>
                <w:i/>
                <w:sz w:val="18"/>
                <w:szCs w:val="18"/>
              </w:rPr>
              <w:fldChar w:fldCharType="begin"/>
            </w:r>
            <w:r w:rsidR="005413B4">
              <w:rPr>
                <w:i/>
                <w:sz w:val="18"/>
                <w:szCs w:val="18"/>
              </w:rPr>
              <w:instrText xml:space="preserve"> ADDIN ZOTERO_ITEM CSL_CITATION {"citationID":"Fxaec57u","properties":{"formattedCitation":"\\super 166\\nosupersub{}","plainCitation":"166","noteIndex":0},"citationItems":[{"id":13527,"uris":["http://zotero.org/users/6423791/items/AGTV4DVN"],"itemData":{"id":13527,"type":"article-journal","abstract":"Fusarium venenatum (ATCC 20334) was used for fungal protein production. Date sugar was selected as a carbon source. An 8 run Plackett-Burman design was used to study the effect of 7 variables i.e., medium components, temperature, incubation time and inoculum condition on biomass and protein production. The most significant parameters were the seed size (10 % v/v) and carbon source concentration (10 g/L), followed by the temperature (28 ºC) and nitrogen source content (3.5 g/L). In the best condition 47.34 % (w/w) crude protein in the dry product was obtained.","container-title":"Asian J. Chem.","issue":"5","language":"en","page":"4017-4022","source":"Zotero","title":"Production of Mycoprotein by Fusarium venenatum Growth on Modified Vogel Medium","volume":"21","author":[{"family":"Hosseini","given":"S M"},{"family":"Khosravi-Darani","given":"K"},{"family":"Mohammadifar","given":"M A"},{"family":"Nikoopour","given":"H"}],"issued":{"date-parts":[["2009"]]}}}],"schema":"https://github.com/citation-style-language/schema/raw/master/csl-citation.json"}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166</w:t>
            </w:r>
            <w:r w:rsidRPr="008F4A58">
              <w:rPr>
                <w:i/>
                <w:sz w:val="18"/>
                <w:szCs w:val="18"/>
              </w:rPr>
              <w:fldChar w:fldCharType="end"/>
            </w:r>
            <w:r w:rsidRPr="008F4A58">
              <w:rPr>
                <w:i/>
                <w:sz w:val="18"/>
                <w:szCs w:val="18"/>
              </w:rPr>
              <w:t>, range reviewed</w:t>
            </w:r>
            <w:r w:rsidRPr="008F4A58">
              <w:rPr>
                <w:i/>
                <w:sz w:val="18"/>
                <w:szCs w:val="18"/>
              </w:rPr>
              <w:fldChar w:fldCharType="begin"/>
            </w:r>
            <w:r w:rsidR="005413B4">
              <w:rPr>
                <w:i/>
                <w:sz w:val="18"/>
                <w:szCs w:val="18"/>
              </w:rPr>
              <w:instrText xml:space="preserve"> ADDIN ZOTERO_ITEM CSL_CITATION {"citationID":"r4V5pczl","properties":{"formattedCitation":"\\super 132,133\\nosupersub{}","plainCitation":"132,133","noteIndex":0},"citationItems":[{"id":9392,"uris":["http://zotero.org/users/6423791/items/5M6ND2Q5"],"itemData":{"id":9392,"type":"article-journal","abstract":"In recent years, the cellular agriculture concept has been proposed as an option to replace livestock proteins. This study presents a conceptual level techno-economic analysis of four concepts where food is produced by microorganisms based on wheat straw. Three single-cell proteins and one recombinant protein process were conceptualized. The process included steam explosion pretreatment, enzymatic hydrolysis, fermentation, and downstream processing. The enzymatic hydrolysis was optimized to minimize the production costs. The minimum protein selling price was determined by net present value using the discounted cash-flow method, which was compared to respective animal and plant proteins. The minimum protein selling prices were 5160–9007 €/ton proposing the processes to be in the feasible range, but the processes still require further development. The sensitivity of the parameters was estimated by sensitivity analysis, which revealed the most critical components in the production to be capacity, investment, interest, and enzyme and raw material costs.","container-title":"Bioresource Technology Reports","DOI":"10.1016/j.biteb.2021.100683","ISSN":"2589-014X","journalAbbreviation":"Bioresour. Technol. Rep.","language":"en","page":"100683","source":"ScienceDirect","title":"Economic comparison of food protein production with single-cell organisms from lignocellulose side-streams","volume":"14","author":[{"family":"Voutilainen","given":"Eveliina"},{"family":"Pihlajaniemi","given":"Ville"},{"family":"Parviainen","given":"Tuure"}],"issued":{"date-parts":[["2021",3,18]]}}},{"id":13146,"uris":["http://zotero.org/users/6423791/items/ZY3SRR3R"],"itemData":{"id":13146,"type":"article-journal","abstract":"The aim of this study was to analyse the sustainability of pig production based on a diet containing yeast as a protein source. The yeast is produced from sugar, and the sugar can be produced from hydrolysed wood through a biorefinery process. This study included yeast from two different biorefinery processes: 1) a domestic demo plant in connection with a complex biorefinery, and 2) a small-scale wood refinery process largely based on wood residues. In the yeast diets, the yeast replaced soybean meal as a protein source and the two yeast diets were compared with a standard diet. The environmental impacts from the pig production systems were assessed by using life cycle assessment (LCA), and the functional unit was 1 kg carcass weight of pork at the farm gate. The results from the study show that yeast replacing imported feed protein sources used in pig production gives a lower impact for biodiversity loss, climate change (including LUC) and eutrophication. The lower impact was created by the replacement of soybean meal with yeast from wood sugar in the feed recipe. Also, the scenarios with yeast diets gave a land use ratio below 1, indicating an improved land use efficiency regarding producing human digestible protein. Even though the forest land used for deriving wood sugar constitutes a greater area than the corresponding area for soybean meal production, the forest land does not occupy areas suitable for food production. The reference case, representing current pig production and feeding system, had a land use ratio of 1.24, meaning that the feed production was directly competing for the area suitable for food production. The overall conclusion was that the utilisation of yeast from wood sugar appears to avoid feed-food competition and at the same time to be an environmentally sustainable solution for future feed protein employed in pig production.","container-title":"Livestock Science","DOI":"10.1016/j.livsci.2022.104925","ISSN":"1871-1413","journalAbbreviation":"Livest. Sci.","language":"en","page":"104925","source":"ScienceDirect","title":"Local non-food yeast protein in pig production - environmental impacts and land use efficiency","author":[{"family":"Møller","given":"Hanne"},{"family":"Samsonstuen","given":"Stine"},{"family":"Øverland","given":"Margareth"},{"family":"Modahl","given":"Ingunn Saur"},{"family":"Olsen","given":"Hanne Fjerdingby"}],"issued":{"date-parts":[["2022",4,4]]}}}],"schema":"https://github.com/citation-style-language/schema/raw/master/csl-citation.json"}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132,133</w:t>
            </w:r>
            <w:r w:rsidRPr="008F4A58">
              <w:rPr>
                <w:i/>
                <w:sz w:val="18"/>
                <w:szCs w:val="18"/>
              </w:rPr>
              <w:fldChar w:fldCharType="end"/>
            </w:r>
          </w:p>
        </w:tc>
      </w:tr>
      <w:tr w:rsidR="00512EC8" w:rsidRPr="008F4A58" w14:paraId="098DE574" w14:textId="77777777" w:rsidTr="008F4A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6BEE070D" w14:textId="77777777" w:rsidR="00512EC8" w:rsidRPr="008F4A58" w:rsidRDefault="00512EC8" w:rsidP="006D537D">
            <w:pPr>
              <w:jc w:val="right"/>
              <w:rPr>
                <w:b w:val="0"/>
                <w:sz w:val="18"/>
                <w:szCs w:val="18"/>
              </w:rPr>
            </w:pPr>
            <w:r w:rsidRPr="008F4A58">
              <w:rPr>
                <w:b w:val="0"/>
                <w:sz w:val="18"/>
                <w:szCs w:val="18"/>
              </w:rPr>
              <w:t>Enzyme production</w:t>
            </w:r>
          </w:p>
        </w:tc>
        <w:tc>
          <w:tcPr>
            <w:tcW w:w="1006" w:type="dxa"/>
          </w:tcPr>
          <w:p w14:paraId="25916C05"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8F4A58">
              <w:rPr>
                <w:sz w:val="18"/>
                <w:szCs w:val="18"/>
              </w:rPr>
              <w:t>kg.kg</w:t>
            </w:r>
            <w:r w:rsidRPr="008F4A58">
              <w:rPr>
                <w:sz w:val="18"/>
                <w:szCs w:val="18"/>
                <w:vertAlign w:val="subscript"/>
              </w:rPr>
              <w:t>sugar</w:t>
            </w:r>
            <w:proofErr w:type="gramEnd"/>
            <w:r w:rsidRPr="008F4A58">
              <w:rPr>
                <w:sz w:val="18"/>
                <w:szCs w:val="18"/>
                <w:vertAlign w:val="superscript"/>
              </w:rPr>
              <w:t>-1</w:t>
            </w:r>
          </w:p>
        </w:tc>
        <w:tc>
          <w:tcPr>
            <w:tcW w:w="699" w:type="dxa"/>
          </w:tcPr>
          <w:p w14:paraId="56E9D4C1"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0.24</w:t>
            </w:r>
          </w:p>
        </w:tc>
        <w:tc>
          <w:tcPr>
            <w:tcW w:w="679" w:type="dxa"/>
          </w:tcPr>
          <w:p w14:paraId="6393E141"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0.2-0.28</w:t>
            </w:r>
          </w:p>
        </w:tc>
        <w:tc>
          <w:tcPr>
            <w:tcW w:w="0" w:type="auto"/>
          </w:tcPr>
          <w:p w14:paraId="3B355F18" w14:textId="1666029B" w:rsidR="00512EC8" w:rsidRPr="008F4A58" w:rsidRDefault="00512EC8" w:rsidP="006D537D">
            <w:pPr>
              <w:jc w:val="both"/>
              <w:cnfStyle w:val="000000100000" w:firstRow="0" w:lastRow="0" w:firstColumn="0" w:lastColumn="0" w:oddVBand="0" w:evenVBand="0" w:oddHBand="1" w:evenHBand="0" w:firstRowFirstColumn="0" w:firstRowLastColumn="0" w:lastRowFirstColumn="0" w:lastRowLastColumn="0"/>
              <w:rPr>
                <w:i/>
                <w:sz w:val="18"/>
                <w:szCs w:val="18"/>
              </w:rPr>
            </w:pPr>
            <w:r w:rsidRPr="008F4A58">
              <w:rPr>
                <w:i/>
                <w:sz w:val="18"/>
                <w:szCs w:val="18"/>
              </w:rPr>
              <w:t>Established process</w:t>
            </w:r>
            <w:r w:rsidRPr="008F4A58">
              <w:rPr>
                <w:i/>
                <w:sz w:val="18"/>
                <w:szCs w:val="18"/>
              </w:rPr>
              <w:fldChar w:fldCharType="begin"/>
            </w:r>
            <w:r w:rsidR="005413B4">
              <w:rPr>
                <w:i/>
                <w:sz w:val="18"/>
                <w:szCs w:val="18"/>
              </w:rPr>
              <w:instrText xml:space="preserve"> ADDIN ZOTERO_ITEM CSL_CITATION {"citationID":"yyrj1jZr","properties":{"formattedCitation":"\\super 48,135\\nosupersub{}","plainCitation":"48,135","noteIndex":0},"citationItems":[{"id":13212,"uris":["http://zotero.org/users/6423791/items/ANAMP6NH"],"itemData":{"id":13212,"type":"webpage","language":"en-US","title":"ecoinvent databases","URL":"https://ecoinvent.org/","author":[{"literal":"ecoinvent"}],"accessed":{"date-parts":[["2022",5,1]]},"issued":{"date-parts":[["2022"]]}}},{"id":3367,"uris":["http://zotero.org/users/6423791/items/9SUGPF3U"],"itemData":{"id":3367,"type":"report","language":"en","note":"DOI: 10.2172/1483234","number":"NREL/TP--5100-71949, 1483234","page":"NREL/TP--5100-71949, 1483234","source":"DOI.org (Crossref)","title":"Process Design and Economics for the Conversion of Lignocellulosic Biomass to Hydrocarbon Fuels and Coproducts: 2018 Biochemical Design Case Update; Biochemical Deconstruction and Conversion of Biomass to Fuels and Products via Integrated Biorefinery Pathways","title-short":"Process Design and Economics for the Conversion of Lignocellulosic Biomass to Hydrocarbon Fuels and Coproducts","URL":"http://www.osti.gov/servlets/purl/1483234/","author":[{"family":"Davis","given":"Ryan E."},{"family":"Grundl","given":"Nicholas J."},{"family":"Tao","given":"Ling"},{"family":"Biddy","given":"Mary J."},{"family":"Tan","given":"Eric C."},{"family":"Beckham","given":"Gregg T."},{"family":"Humbird","given":"David"},{"family":"Thompson","given":"David N."},{"family":"Roni","given":"Mohammad S."}],"accessed":{"date-parts":[["2021",1,27]]},"issued":{"date-parts":[["2018",11,19]]}}}],"schema":"https://github.com/citation-style-language/schema/raw/master/csl-citation.json"}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48,135</w:t>
            </w:r>
            <w:r w:rsidRPr="008F4A58">
              <w:rPr>
                <w:i/>
                <w:sz w:val="18"/>
                <w:szCs w:val="18"/>
              </w:rPr>
              <w:fldChar w:fldCharType="end"/>
            </w:r>
            <w:r w:rsidRPr="008F4A58">
              <w:rPr>
                <w:i/>
                <w:sz w:val="18"/>
                <w:szCs w:val="18"/>
              </w:rPr>
              <w:t xml:space="preserve">. Assumed range </w:t>
            </w:r>
            <w:r w:rsidRPr="008F4A58">
              <w:rPr>
                <w:rFonts w:cstheme="minorHAnsi"/>
                <w:i/>
                <w:sz w:val="18"/>
                <w:szCs w:val="18"/>
              </w:rPr>
              <w:t>±</w:t>
            </w:r>
            <w:r w:rsidRPr="008F4A58">
              <w:rPr>
                <w:i/>
                <w:sz w:val="18"/>
                <w:szCs w:val="18"/>
              </w:rPr>
              <w:t>15%</w:t>
            </w:r>
          </w:p>
        </w:tc>
      </w:tr>
      <w:tr w:rsidR="00512EC8" w:rsidRPr="008F4A58" w14:paraId="0822FEAA" w14:textId="77777777" w:rsidTr="008F4A58">
        <w:trPr>
          <w:jc w:val="center"/>
        </w:trPr>
        <w:tc>
          <w:tcPr>
            <w:cnfStyle w:val="001000000000" w:firstRow="0" w:lastRow="0" w:firstColumn="1" w:lastColumn="0" w:oddVBand="0" w:evenVBand="0" w:oddHBand="0" w:evenHBand="0" w:firstRowFirstColumn="0" w:firstRowLastColumn="0" w:lastRowFirstColumn="0" w:lastRowLastColumn="0"/>
            <w:tcW w:w="0" w:type="auto"/>
            <w:gridSpan w:val="5"/>
          </w:tcPr>
          <w:p w14:paraId="23A83C6E" w14:textId="2D78DA8C" w:rsidR="00512EC8" w:rsidRPr="008F4A58" w:rsidRDefault="00512EC8" w:rsidP="006D537D">
            <w:pPr>
              <w:rPr>
                <w:b w:val="0"/>
                <w:i/>
                <w:sz w:val="18"/>
                <w:szCs w:val="18"/>
              </w:rPr>
            </w:pPr>
            <w:r w:rsidRPr="008F4A58">
              <w:rPr>
                <w:b w:val="0"/>
                <w:i/>
                <w:sz w:val="18"/>
                <w:szCs w:val="18"/>
              </w:rPr>
              <w:t>Rest of enzyme production utilities exactly as David et al., 2018</w:t>
            </w:r>
            <w:r w:rsidRPr="008F4A58">
              <w:rPr>
                <w:i/>
                <w:sz w:val="18"/>
                <w:szCs w:val="18"/>
              </w:rPr>
              <w:fldChar w:fldCharType="begin"/>
            </w:r>
            <w:r w:rsidR="005413B4">
              <w:rPr>
                <w:b w:val="0"/>
                <w:i/>
                <w:sz w:val="18"/>
                <w:szCs w:val="18"/>
              </w:rPr>
              <w:instrText xml:space="preserve"> ADDIN ZOTERO_ITEM CSL_CITATION {"citationID":"0DtRtKoT","properties":{"formattedCitation":"\\super 135\\nosupersub{}","plainCitation":"135","noteIndex":0},"citationItems":[{"id":3367,"uris":["http://zotero.org/users/6423791/items/9SUGPF3U"],"itemData":{"id":3367,"type":"report","language":"en","note":"DOI: 10.2172/1483234","number":"NREL/TP--5100-71949, 1483234","page":"NREL/TP--5100-71949, 1483234","source":"DOI.org (Crossref)","title":"Process Design and Economics for the Conversion of Lignocellulosic Biomass to Hydrocarbon Fuels and Coproducts: 2018 Biochemical Design Case Update; Biochemical Deconstruction and Conversion of Biomass to Fuels and Products via Integrated Biorefinery Pathways","title-short":"Process Design and Economics for the Conversion of Lignocellulosic Biomass to Hydrocarbon Fuels and Coproducts","URL":"http://www.osti.gov/servlets/purl/1483234/","author":[{"family":"Davis","given":"Ryan E."},{"family":"Grundl","given":"Nicholas J."},{"family":"Tao","given":"Ling"},{"family":"Biddy","given":"Mary J."},{"family":"Tan","given":"Eric C."},{"family":"Beckham","given":"Gregg T."},{"family":"Humbird","given":"David"},{"family":"Thompson","given":"David N."},{"family":"Roni","given":"Mohammad S."}],"accessed":{"date-parts":[["2021",1,27]]},"issued":{"date-parts":[["2018",11,19]]}}}],"schema":"https://github.com/citation-style-language/schema/raw/master/csl-citation.json"}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135</w:t>
            </w:r>
            <w:r w:rsidRPr="008F4A58">
              <w:rPr>
                <w:i/>
                <w:sz w:val="18"/>
                <w:szCs w:val="18"/>
              </w:rPr>
              <w:fldChar w:fldCharType="end"/>
            </w:r>
          </w:p>
        </w:tc>
      </w:tr>
      <w:tr w:rsidR="00512EC8" w:rsidRPr="008F4A58" w14:paraId="5B51711C" w14:textId="77777777" w:rsidTr="008F4A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gridSpan w:val="5"/>
          </w:tcPr>
          <w:p w14:paraId="419063CC" w14:textId="4673E69C" w:rsidR="00512EC8" w:rsidRPr="008F4A58" w:rsidRDefault="00512EC8" w:rsidP="006D537D">
            <w:pPr>
              <w:rPr>
                <w:b w:val="0"/>
                <w:i/>
                <w:sz w:val="18"/>
                <w:szCs w:val="18"/>
              </w:rPr>
            </w:pPr>
            <w:r w:rsidRPr="008F4A58">
              <w:rPr>
                <w:b w:val="0"/>
                <w:i/>
                <w:sz w:val="18"/>
                <w:szCs w:val="18"/>
              </w:rPr>
              <w:t>Evaporator modeled as for IL pretreatment</w:t>
            </w:r>
            <w:r w:rsidR="00E9442B" w:rsidRPr="008F4A58">
              <w:rPr>
                <w:b w:val="0"/>
                <w:i/>
                <w:sz w:val="18"/>
                <w:szCs w:val="18"/>
              </w:rPr>
              <w:t xml:space="preserve"> (</w:t>
            </w:r>
            <w:r w:rsidR="00E9442B" w:rsidRPr="008F4A58">
              <w:rPr>
                <w:i/>
                <w:sz w:val="18"/>
                <w:szCs w:val="18"/>
              </w:rPr>
              <w:fldChar w:fldCharType="begin"/>
            </w:r>
            <w:r w:rsidR="00E9442B" w:rsidRPr="008F4A58">
              <w:rPr>
                <w:b w:val="0"/>
                <w:i/>
                <w:sz w:val="18"/>
                <w:szCs w:val="18"/>
              </w:rPr>
              <w:instrText xml:space="preserve"> REF _Ref144807107 \h  \* MERGEFORMAT </w:instrText>
            </w:r>
            <w:r w:rsidR="00E9442B" w:rsidRPr="008F4A58">
              <w:rPr>
                <w:i/>
                <w:sz w:val="18"/>
                <w:szCs w:val="18"/>
              </w:rPr>
            </w:r>
            <w:r w:rsidR="00E9442B" w:rsidRPr="008F4A58">
              <w:rPr>
                <w:i/>
                <w:sz w:val="18"/>
                <w:szCs w:val="18"/>
              </w:rPr>
              <w:fldChar w:fldCharType="separate"/>
            </w:r>
            <w:r w:rsidR="00F25F8C" w:rsidRPr="008F4A58">
              <w:rPr>
                <w:i/>
                <w:sz w:val="18"/>
                <w:szCs w:val="18"/>
              </w:rPr>
              <w:t xml:space="preserve">Table SI. </w:t>
            </w:r>
            <w:r w:rsidR="00F25F8C" w:rsidRPr="008F4A58">
              <w:rPr>
                <w:i/>
                <w:noProof/>
                <w:sz w:val="18"/>
                <w:szCs w:val="18"/>
              </w:rPr>
              <w:t>43</w:t>
            </w:r>
            <w:r w:rsidR="00E9442B" w:rsidRPr="008F4A58">
              <w:rPr>
                <w:i/>
                <w:sz w:val="18"/>
                <w:szCs w:val="18"/>
              </w:rPr>
              <w:fldChar w:fldCharType="end"/>
            </w:r>
            <w:r w:rsidR="00E9442B" w:rsidRPr="008F4A58">
              <w:rPr>
                <w:b w:val="0"/>
                <w:i/>
                <w:sz w:val="18"/>
                <w:szCs w:val="18"/>
              </w:rPr>
              <w:t>).</w:t>
            </w:r>
          </w:p>
        </w:tc>
      </w:tr>
    </w:tbl>
    <w:p w14:paraId="5E6D1D81" w14:textId="6F6F65B1" w:rsidR="00512EC8" w:rsidRDefault="00512EC8" w:rsidP="006B5342">
      <w:pPr>
        <w:jc w:val="both"/>
        <w:rPr>
          <w:rFonts w:cs="Times New Roman"/>
          <w:sz w:val="18"/>
        </w:rPr>
      </w:pPr>
      <w:r w:rsidRPr="003F5DA8">
        <w:rPr>
          <w:rFonts w:cs="Times New Roman"/>
          <w:sz w:val="18"/>
        </w:rPr>
        <w:t>At this stage, proteins, lipids and ashes are assumed lost within lignin-rich cak</w:t>
      </w:r>
      <w:r w:rsidRPr="00053C26">
        <w:rPr>
          <w:rFonts w:cs="Times New Roman"/>
          <w:sz w:val="18"/>
        </w:rPr>
        <w:t>e, so that hydrolysates are considered food-grade and suitable for direct fermentation</w:t>
      </w:r>
      <w:r w:rsidRPr="00053C26">
        <w:rPr>
          <w:rFonts w:cs="Times New Roman"/>
          <w:sz w:val="18"/>
        </w:rPr>
        <w:fldChar w:fldCharType="begin"/>
      </w:r>
      <w:r w:rsidR="005413B4">
        <w:rPr>
          <w:rFonts w:cs="Times New Roman"/>
          <w:sz w:val="18"/>
        </w:rPr>
        <w:instrText xml:space="preserve"> ADDIN ZOTERO_ITEM CSL_CITATION {"citationID":"qZqZACNn","properties":{"formattedCitation":"\\super 135\\nosupersub{}","plainCitation":"135","noteIndex":0},"citationItems":[{"id":3367,"uris":["http://zotero.org/users/6423791/items/9SUGPF3U"],"itemData":{"id":3367,"type":"report","language":"en","note":"DOI: 10.2172/1483234","number":"NREL/TP--5100-71949, 1483234","page":"NREL/TP--5100-71949, 1483234","source":"DOI.org (Crossref)","title":"Process Design and Economics for the Conversion of Lignocellulosic Biomass to Hydrocarbon Fuels and Coproducts: 2018 Biochemical Design Case Update; Biochemical Deconstruction and Conversion of Biomass to Fuels and Products via Integrated Biorefinery Pathways","title-short":"Process Design and Economics for the Conversion of Lignocellulosic Biomass to Hydrocarbon Fuels and Coproducts","URL":"http://www.osti.gov/servlets/purl/1483234/","author":[{"family":"Davis","given":"Ryan E."},{"family":"Grundl","given":"Nicholas J."},{"family":"Tao","given":"Ling"},{"family":"Biddy","given":"Mary J."},{"family":"Tan","given":"Eric C."},{"family":"Beckham","given":"Gregg T."},{"family":"Humbird","given":"David"},{"family":"Thompson","given":"David N."},{"family":"Roni","given":"Mohammad S."}],"accessed":{"date-parts":[["2021",1,27]]},"issued":{"date-parts":[["2018",11,19]]}}}],"schema":"https://github.com/citation-style-language/schema/raw/master/csl-citation.json"} </w:instrText>
      </w:r>
      <w:r w:rsidRPr="00053C26">
        <w:rPr>
          <w:rFonts w:cs="Times New Roman"/>
          <w:sz w:val="18"/>
        </w:rPr>
        <w:fldChar w:fldCharType="separate"/>
      </w:r>
      <w:r w:rsidR="005413B4" w:rsidRPr="005413B4">
        <w:rPr>
          <w:rFonts w:ascii="Calibri" w:hAnsi="Calibri" w:cs="Calibri"/>
          <w:sz w:val="18"/>
          <w:szCs w:val="24"/>
          <w:vertAlign w:val="superscript"/>
        </w:rPr>
        <w:t>135</w:t>
      </w:r>
      <w:r w:rsidRPr="00053C26">
        <w:rPr>
          <w:rFonts w:cs="Times New Roman"/>
          <w:sz w:val="18"/>
        </w:rPr>
        <w:fldChar w:fldCharType="end"/>
      </w:r>
      <w:r w:rsidRPr="00053C26">
        <w:rPr>
          <w:rFonts w:cs="Times New Roman"/>
          <w:sz w:val="18"/>
        </w:rPr>
        <w:t xml:space="preserve">. More details provided in </w:t>
      </w:r>
      <w:proofErr w:type="gramStart"/>
      <w:r w:rsidR="008F4A58" w:rsidRPr="008F4A58">
        <w:rPr>
          <w:rFonts w:cs="Times New Roman"/>
          <w:i/>
          <w:sz w:val="18"/>
        </w:rPr>
        <w:t>B.Myco</w:t>
      </w:r>
      <w:proofErr w:type="gramEnd"/>
      <w:r w:rsidR="008F4A58" w:rsidRPr="008F4A58">
        <w:rPr>
          <w:rFonts w:cs="Times New Roman"/>
          <w:i/>
          <w:sz w:val="18"/>
        </w:rPr>
        <w:t>_module spreadsheet</w:t>
      </w:r>
      <w:r w:rsidRPr="008F4A58">
        <w:rPr>
          <w:rFonts w:cs="Times New Roman"/>
          <w:sz w:val="18"/>
        </w:rPr>
        <w:t>.</w:t>
      </w:r>
    </w:p>
    <w:p w14:paraId="15B238AC" w14:textId="4721C02F" w:rsidR="00512EC8" w:rsidRPr="00512EC8" w:rsidRDefault="00512EC8" w:rsidP="00E9442B">
      <w:pPr>
        <w:pStyle w:val="Titre3"/>
      </w:pPr>
      <w:bookmarkStart w:id="204" w:name="_Toc145069120"/>
      <w:r w:rsidRPr="00512EC8">
        <w:t>Technology parameters and background processes</w:t>
      </w:r>
      <w:r w:rsidR="00E9442B">
        <w:t xml:space="preserve"> </w:t>
      </w:r>
      <w:r w:rsidR="00E9442B" w:rsidRPr="00512EC8">
        <w:t xml:space="preserve">– </w:t>
      </w:r>
      <w:r w:rsidR="00F25F8C">
        <w:t>L</w:t>
      </w:r>
      <w:r w:rsidR="00E9442B" w:rsidRPr="00512EC8">
        <w:t xml:space="preserve">ignocellulosic </w:t>
      </w:r>
      <w:r w:rsidR="00E9442B">
        <w:t>pretreatment</w:t>
      </w:r>
      <w:bookmarkEnd w:id="204"/>
    </w:p>
    <w:p w14:paraId="7134DCD2" w14:textId="446DF89E" w:rsidR="00512EC8" w:rsidRPr="003F5DA8" w:rsidRDefault="00512EC8" w:rsidP="00512EC8">
      <w:pPr>
        <w:jc w:val="both"/>
      </w:pPr>
      <w:r w:rsidRPr="003F5DA8">
        <w:t>The technology parameters retained for the lignocellulosic pretreatment of mycoproteins production pathways (input-to-hydrolysates), are displayed in the</w:t>
      </w:r>
      <w:r w:rsidR="00E9442B">
        <w:t xml:space="preserve"> </w:t>
      </w:r>
      <w:r w:rsidR="00E9442B" w:rsidRPr="00E9442B">
        <w:rPr>
          <w:b/>
        </w:rPr>
        <w:fldChar w:fldCharType="begin"/>
      </w:r>
      <w:r w:rsidR="00E9442B" w:rsidRPr="00E9442B">
        <w:rPr>
          <w:b/>
        </w:rPr>
        <w:instrText xml:space="preserve"> REF _Ref144808243 \h </w:instrText>
      </w:r>
      <w:r w:rsidR="00E9442B">
        <w:rPr>
          <w:b/>
        </w:rPr>
        <w:instrText xml:space="preserve"> \* MERGEFORMAT </w:instrText>
      </w:r>
      <w:r w:rsidR="00E9442B" w:rsidRPr="00E9442B">
        <w:rPr>
          <w:b/>
        </w:rPr>
      </w:r>
      <w:r w:rsidR="00E9442B" w:rsidRPr="00E9442B">
        <w:rPr>
          <w:b/>
        </w:rPr>
        <w:fldChar w:fldCharType="separate"/>
      </w:r>
      <w:r w:rsidR="00F25F8C" w:rsidRPr="00F25F8C">
        <w:rPr>
          <w:b/>
        </w:rPr>
        <w:t xml:space="preserve">Table SI. </w:t>
      </w:r>
      <w:r w:rsidR="00F25F8C" w:rsidRPr="00F25F8C">
        <w:rPr>
          <w:b/>
          <w:noProof/>
        </w:rPr>
        <w:t>46</w:t>
      </w:r>
      <w:r w:rsidR="00E9442B" w:rsidRPr="00E9442B">
        <w:rPr>
          <w:b/>
        </w:rPr>
        <w:fldChar w:fldCharType="end"/>
      </w:r>
      <w:r w:rsidRPr="003F5DA8">
        <w:t>.</w:t>
      </w:r>
    </w:p>
    <w:p w14:paraId="1408694A" w14:textId="172307EE" w:rsidR="00512EC8" w:rsidRPr="00053C26" w:rsidRDefault="00874128" w:rsidP="006B5342">
      <w:pPr>
        <w:pStyle w:val="Lgende"/>
        <w:jc w:val="left"/>
        <w:rPr>
          <w:b w:val="0"/>
          <w:i/>
        </w:rPr>
      </w:pPr>
      <w:bookmarkStart w:id="205" w:name="_Ref144808243"/>
      <w:bookmarkStart w:id="206" w:name="_Toc134537657"/>
      <w:bookmarkStart w:id="207" w:name="_Toc151967930"/>
      <w:r>
        <w:t>Table SI.</w:t>
      </w:r>
      <w:r w:rsidR="00512EC8">
        <w:t xml:space="preserve"> </w:t>
      </w:r>
      <w:r>
        <w:fldChar w:fldCharType="begin"/>
      </w:r>
      <w:r>
        <w:instrText xml:space="preserve"> SEQ Table_SI. \* ARABIC </w:instrText>
      </w:r>
      <w:r>
        <w:fldChar w:fldCharType="separate"/>
      </w:r>
      <w:r w:rsidR="00F25F8C">
        <w:rPr>
          <w:noProof/>
        </w:rPr>
        <w:t>46</w:t>
      </w:r>
      <w:r>
        <w:fldChar w:fldCharType="end"/>
      </w:r>
      <w:bookmarkEnd w:id="205"/>
      <w:r w:rsidR="00512EC8">
        <w:t xml:space="preserve"> </w:t>
      </w:r>
      <w:r w:rsidR="00512EC8" w:rsidRPr="002C6DB3">
        <w:t>– Parameters specific to ionic liquid and enzymatic hydrolysis pretreatment operations</w:t>
      </w:r>
      <w:bookmarkEnd w:id="206"/>
      <w:bookmarkEnd w:id="207"/>
    </w:p>
    <w:tbl>
      <w:tblPr>
        <w:tblStyle w:val="Tableausimple2"/>
        <w:tblW w:w="0" w:type="auto"/>
        <w:tblLook w:val="04A0" w:firstRow="1" w:lastRow="0" w:firstColumn="1" w:lastColumn="0" w:noHBand="0" w:noVBand="1"/>
      </w:tblPr>
      <w:tblGrid>
        <w:gridCol w:w="490"/>
        <w:gridCol w:w="2518"/>
        <w:gridCol w:w="958"/>
        <w:gridCol w:w="1290"/>
        <w:gridCol w:w="1375"/>
        <w:gridCol w:w="1366"/>
      </w:tblGrid>
      <w:tr w:rsidR="00512EC8" w:rsidRPr="008F4A58" w14:paraId="41A34920"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1BBFF3F" w14:textId="77777777" w:rsidR="00512EC8" w:rsidRPr="008F4A58" w:rsidRDefault="00512EC8" w:rsidP="006D537D">
            <w:pPr>
              <w:jc w:val="right"/>
              <w:rPr>
                <w:sz w:val="18"/>
                <w:szCs w:val="18"/>
              </w:rPr>
            </w:pPr>
            <w:r w:rsidRPr="008F4A58">
              <w:rPr>
                <w:sz w:val="18"/>
                <w:szCs w:val="18"/>
              </w:rPr>
              <w:t>n°</w:t>
            </w:r>
          </w:p>
        </w:tc>
        <w:tc>
          <w:tcPr>
            <w:tcW w:w="0" w:type="auto"/>
          </w:tcPr>
          <w:p w14:paraId="443BD2AD"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Parameter</w:t>
            </w:r>
          </w:p>
        </w:tc>
        <w:tc>
          <w:tcPr>
            <w:tcW w:w="0" w:type="auto"/>
          </w:tcPr>
          <w:p w14:paraId="460E18EE"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Unit</w:t>
            </w:r>
          </w:p>
        </w:tc>
        <w:tc>
          <w:tcPr>
            <w:tcW w:w="0" w:type="auto"/>
          </w:tcPr>
          <w:p w14:paraId="25DF3363"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Baseline value</w:t>
            </w:r>
          </w:p>
        </w:tc>
        <w:tc>
          <w:tcPr>
            <w:tcW w:w="0" w:type="auto"/>
          </w:tcPr>
          <w:p w14:paraId="7EC31708"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Variation range</w:t>
            </w:r>
          </w:p>
        </w:tc>
        <w:tc>
          <w:tcPr>
            <w:tcW w:w="0" w:type="auto"/>
          </w:tcPr>
          <w:p w14:paraId="1D578558"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i/>
                <w:sz w:val="18"/>
                <w:szCs w:val="18"/>
              </w:rPr>
            </w:pPr>
            <w:r w:rsidRPr="008F4A58">
              <w:rPr>
                <w:i/>
                <w:sz w:val="18"/>
                <w:szCs w:val="18"/>
              </w:rPr>
              <w:t>Comment</w:t>
            </w:r>
          </w:p>
        </w:tc>
      </w:tr>
      <w:tr w:rsidR="00512EC8" w:rsidRPr="008F4A58" w14:paraId="016ED748" w14:textId="77777777" w:rsidTr="006B5342">
        <w:trPr>
          <w:cnfStyle w:val="000000100000" w:firstRow="0" w:lastRow="0" w:firstColumn="0" w:lastColumn="0" w:oddVBand="0" w:evenVBand="0" w:oddHBand="1" w:evenHBand="0" w:firstRowFirstColumn="0" w:firstRowLastColumn="0" w:lastRowFirstColumn="0" w:lastRowLastColumn="0"/>
          <w:trHeight w:val="150"/>
        </w:trPr>
        <w:tc>
          <w:tcPr>
            <w:cnfStyle w:val="001000000000" w:firstRow="0" w:lastRow="0" w:firstColumn="1" w:lastColumn="0" w:oddVBand="0" w:evenVBand="0" w:oddHBand="0" w:evenHBand="0" w:firstRowFirstColumn="0" w:firstRowLastColumn="0" w:lastRowFirstColumn="0" w:lastRowLastColumn="0"/>
            <w:tcW w:w="0" w:type="auto"/>
          </w:tcPr>
          <w:p w14:paraId="30392765" w14:textId="77777777" w:rsidR="00512EC8" w:rsidRPr="008F4A58" w:rsidRDefault="00512EC8" w:rsidP="006D537D">
            <w:pPr>
              <w:rPr>
                <w:sz w:val="18"/>
                <w:szCs w:val="18"/>
              </w:rPr>
            </w:pPr>
            <w:r w:rsidRPr="008F4A58">
              <w:rPr>
                <w:sz w:val="18"/>
                <w:szCs w:val="18"/>
              </w:rPr>
              <w:t>93</w:t>
            </w:r>
          </w:p>
        </w:tc>
        <w:tc>
          <w:tcPr>
            <w:tcW w:w="0" w:type="auto"/>
          </w:tcPr>
          <w:p w14:paraId="1BA90E35" w14:textId="77777777" w:rsidR="00512EC8" w:rsidRPr="008F4A58" w:rsidRDefault="00512EC8" w:rsidP="006D537D">
            <w:pPr>
              <w:jc w:val="right"/>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IL make-up moisture content</w:t>
            </w:r>
          </w:p>
        </w:tc>
        <w:tc>
          <w:tcPr>
            <w:tcW w:w="0" w:type="auto"/>
          </w:tcPr>
          <w:p w14:paraId="3F92C9CA"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w:t>
            </w:r>
            <w:r w:rsidRPr="008F4A58">
              <w:rPr>
                <w:sz w:val="18"/>
                <w:szCs w:val="18"/>
                <w:vertAlign w:val="subscript"/>
              </w:rPr>
              <w:t>ww</w:t>
            </w:r>
          </w:p>
        </w:tc>
        <w:tc>
          <w:tcPr>
            <w:tcW w:w="0" w:type="auto"/>
          </w:tcPr>
          <w:p w14:paraId="7D542F9C"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20%</w:t>
            </w:r>
          </w:p>
        </w:tc>
        <w:tc>
          <w:tcPr>
            <w:tcW w:w="0" w:type="auto"/>
          </w:tcPr>
          <w:p w14:paraId="21B35CB9"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10-30%</w:t>
            </w:r>
          </w:p>
        </w:tc>
        <w:tc>
          <w:tcPr>
            <w:tcW w:w="0" w:type="auto"/>
            <w:vMerge w:val="restart"/>
          </w:tcPr>
          <w:p w14:paraId="78F8F228" w14:textId="4D7EFE71"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i/>
                <w:sz w:val="18"/>
                <w:szCs w:val="18"/>
              </w:rPr>
            </w:pPr>
            <w:r w:rsidRPr="008F4A58">
              <w:rPr>
                <w:i/>
                <w:sz w:val="18"/>
                <w:szCs w:val="18"/>
              </w:rPr>
              <w:t xml:space="preserve">See </w:t>
            </w:r>
            <w:r w:rsidR="00E9442B" w:rsidRPr="008F4A58">
              <w:rPr>
                <w:b/>
                <w:i/>
                <w:sz w:val="18"/>
                <w:szCs w:val="18"/>
              </w:rPr>
              <w:fldChar w:fldCharType="begin"/>
            </w:r>
            <w:r w:rsidR="00E9442B" w:rsidRPr="008F4A58">
              <w:rPr>
                <w:b/>
                <w:i/>
                <w:sz w:val="18"/>
                <w:szCs w:val="18"/>
              </w:rPr>
              <w:instrText xml:space="preserve"> REF _Ref144807107 \h  \* MERGEFORMAT </w:instrText>
            </w:r>
            <w:r w:rsidR="00E9442B" w:rsidRPr="008F4A58">
              <w:rPr>
                <w:b/>
                <w:i/>
                <w:sz w:val="18"/>
                <w:szCs w:val="18"/>
              </w:rPr>
            </w:r>
            <w:r w:rsidR="00E9442B" w:rsidRPr="008F4A58">
              <w:rPr>
                <w:b/>
                <w:i/>
                <w:sz w:val="18"/>
                <w:szCs w:val="18"/>
              </w:rPr>
              <w:fldChar w:fldCharType="separate"/>
            </w:r>
            <w:r w:rsidR="00F25F8C" w:rsidRPr="008F4A58">
              <w:rPr>
                <w:b/>
                <w:i/>
                <w:sz w:val="18"/>
                <w:szCs w:val="18"/>
              </w:rPr>
              <w:t xml:space="preserve">Table SI. </w:t>
            </w:r>
            <w:r w:rsidR="00F25F8C" w:rsidRPr="008F4A58">
              <w:rPr>
                <w:b/>
                <w:i/>
                <w:noProof/>
                <w:sz w:val="18"/>
                <w:szCs w:val="18"/>
              </w:rPr>
              <w:t>43</w:t>
            </w:r>
            <w:r w:rsidR="00E9442B" w:rsidRPr="008F4A58">
              <w:rPr>
                <w:b/>
                <w:i/>
                <w:sz w:val="18"/>
                <w:szCs w:val="18"/>
              </w:rPr>
              <w:fldChar w:fldCharType="end"/>
            </w:r>
          </w:p>
        </w:tc>
      </w:tr>
      <w:tr w:rsidR="00512EC8" w:rsidRPr="008F4A58" w14:paraId="0F49F020"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14458441" w14:textId="77777777" w:rsidR="00512EC8" w:rsidRPr="008F4A58" w:rsidRDefault="00512EC8" w:rsidP="006D537D">
            <w:pPr>
              <w:rPr>
                <w:sz w:val="18"/>
                <w:szCs w:val="18"/>
              </w:rPr>
            </w:pPr>
            <w:r w:rsidRPr="008F4A58">
              <w:rPr>
                <w:sz w:val="18"/>
                <w:szCs w:val="18"/>
              </w:rPr>
              <w:t>94</w:t>
            </w:r>
          </w:p>
        </w:tc>
        <w:tc>
          <w:tcPr>
            <w:tcW w:w="0" w:type="auto"/>
          </w:tcPr>
          <w:p w14:paraId="49EF73B3" w14:textId="77777777" w:rsidR="00512EC8" w:rsidRPr="008F4A58" w:rsidRDefault="00512EC8" w:rsidP="006D537D">
            <w:pPr>
              <w:jc w:val="right"/>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Relooped IL</w:t>
            </w:r>
          </w:p>
        </w:tc>
        <w:tc>
          <w:tcPr>
            <w:tcW w:w="0" w:type="auto"/>
          </w:tcPr>
          <w:p w14:paraId="02368750"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w:t>
            </w:r>
            <w:r w:rsidRPr="008F4A58">
              <w:rPr>
                <w:sz w:val="18"/>
                <w:szCs w:val="18"/>
                <w:vertAlign w:val="subscript"/>
              </w:rPr>
              <w:t>rec</w:t>
            </w:r>
          </w:p>
        </w:tc>
        <w:tc>
          <w:tcPr>
            <w:tcW w:w="0" w:type="auto"/>
          </w:tcPr>
          <w:p w14:paraId="00F1CBCD"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99.5%</w:t>
            </w:r>
          </w:p>
        </w:tc>
        <w:tc>
          <w:tcPr>
            <w:tcW w:w="0" w:type="auto"/>
          </w:tcPr>
          <w:p w14:paraId="572432BE"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99-99.9%</w:t>
            </w:r>
          </w:p>
        </w:tc>
        <w:tc>
          <w:tcPr>
            <w:tcW w:w="0" w:type="auto"/>
            <w:vMerge/>
          </w:tcPr>
          <w:p w14:paraId="22BB8780"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i/>
                <w:sz w:val="18"/>
                <w:szCs w:val="18"/>
              </w:rPr>
            </w:pPr>
          </w:p>
        </w:tc>
      </w:tr>
      <w:tr w:rsidR="00512EC8" w:rsidRPr="008F4A58" w14:paraId="30FD6C72"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28DBF10" w14:textId="77777777" w:rsidR="00512EC8" w:rsidRPr="008F4A58" w:rsidRDefault="00512EC8" w:rsidP="006D537D">
            <w:pPr>
              <w:rPr>
                <w:sz w:val="18"/>
                <w:szCs w:val="18"/>
              </w:rPr>
            </w:pPr>
            <w:r w:rsidRPr="008F4A58">
              <w:rPr>
                <w:sz w:val="18"/>
                <w:szCs w:val="18"/>
              </w:rPr>
              <w:t>95</w:t>
            </w:r>
          </w:p>
        </w:tc>
        <w:tc>
          <w:tcPr>
            <w:tcW w:w="0" w:type="auto"/>
          </w:tcPr>
          <w:p w14:paraId="32E78E92" w14:textId="77777777" w:rsidR="00512EC8" w:rsidRPr="008F4A58" w:rsidRDefault="00512EC8" w:rsidP="006D537D">
            <w:pPr>
              <w:jc w:val="right"/>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IL requirements</w:t>
            </w:r>
          </w:p>
        </w:tc>
        <w:tc>
          <w:tcPr>
            <w:tcW w:w="0" w:type="auto"/>
          </w:tcPr>
          <w:p w14:paraId="785554FF"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kg</w:t>
            </w:r>
            <w:r w:rsidRPr="008F4A58">
              <w:rPr>
                <w:sz w:val="18"/>
                <w:szCs w:val="18"/>
                <w:vertAlign w:val="subscript"/>
              </w:rPr>
              <w:t>IL</w:t>
            </w:r>
            <w:r w:rsidRPr="008F4A58">
              <w:rPr>
                <w:sz w:val="18"/>
                <w:szCs w:val="18"/>
              </w:rPr>
              <w:t>.kg</w:t>
            </w:r>
            <w:r w:rsidRPr="008F4A58">
              <w:rPr>
                <w:sz w:val="18"/>
                <w:szCs w:val="18"/>
                <w:vertAlign w:val="subscript"/>
              </w:rPr>
              <w:t>DM</w:t>
            </w:r>
            <w:r w:rsidRPr="008F4A58">
              <w:rPr>
                <w:sz w:val="18"/>
                <w:szCs w:val="18"/>
                <w:vertAlign w:val="superscript"/>
              </w:rPr>
              <w:t>-1</w:t>
            </w:r>
          </w:p>
        </w:tc>
        <w:tc>
          <w:tcPr>
            <w:tcW w:w="0" w:type="auto"/>
          </w:tcPr>
          <w:p w14:paraId="7CAAB24B"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5.6</w:t>
            </w:r>
          </w:p>
        </w:tc>
        <w:tc>
          <w:tcPr>
            <w:tcW w:w="0" w:type="auto"/>
          </w:tcPr>
          <w:p w14:paraId="3B86EA99"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4-7</w:t>
            </w:r>
          </w:p>
        </w:tc>
        <w:tc>
          <w:tcPr>
            <w:tcW w:w="0" w:type="auto"/>
            <w:vMerge/>
          </w:tcPr>
          <w:p w14:paraId="41E2B318"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i/>
                <w:sz w:val="18"/>
                <w:szCs w:val="18"/>
              </w:rPr>
            </w:pPr>
          </w:p>
        </w:tc>
      </w:tr>
      <w:tr w:rsidR="00512EC8" w:rsidRPr="008F4A58" w14:paraId="7609F176"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05362B42" w14:textId="77777777" w:rsidR="00512EC8" w:rsidRPr="008F4A58" w:rsidRDefault="00512EC8" w:rsidP="006D537D">
            <w:pPr>
              <w:rPr>
                <w:sz w:val="18"/>
                <w:szCs w:val="18"/>
              </w:rPr>
            </w:pPr>
            <w:r w:rsidRPr="008F4A58">
              <w:rPr>
                <w:sz w:val="18"/>
                <w:szCs w:val="18"/>
              </w:rPr>
              <w:t>96</w:t>
            </w:r>
          </w:p>
        </w:tc>
        <w:tc>
          <w:tcPr>
            <w:tcW w:w="0" w:type="auto"/>
          </w:tcPr>
          <w:p w14:paraId="0A262E4A" w14:textId="77777777" w:rsidR="00512EC8" w:rsidRPr="008F4A58" w:rsidRDefault="00512EC8" w:rsidP="006D537D">
            <w:pPr>
              <w:jc w:val="right"/>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Cellulose-to-pulp</w:t>
            </w:r>
          </w:p>
        </w:tc>
        <w:tc>
          <w:tcPr>
            <w:tcW w:w="0" w:type="auto"/>
          </w:tcPr>
          <w:p w14:paraId="75CA7FE8"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w:t>
            </w:r>
            <w:r w:rsidRPr="008F4A58">
              <w:rPr>
                <w:sz w:val="18"/>
                <w:szCs w:val="18"/>
                <w:vertAlign w:val="subscript"/>
              </w:rPr>
              <w:t>cell_in</w:t>
            </w:r>
          </w:p>
        </w:tc>
        <w:tc>
          <w:tcPr>
            <w:tcW w:w="0" w:type="auto"/>
          </w:tcPr>
          <w:p w14:paraId="7499DBDE"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90%</w:t>
            </w:r>
          </w:p>
        </w:tc>
        <w:tc>
          <w:tcPr>
            <w:tcW w:w="0" w:type="auto"/>
          </w:tcPr>
          <w:p w14:paraId="4D94C5C4"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70-95%</w:t>
            </w:r>
          </w:p>
        </w:tc>
        <w:tc>
          <w:tcPr>
            <w:tcW w:w="0" w:type="auto"/>
            <w:vMerge w:val="restart"/>
          </w:tcPr>
          <w:p w14:paraId="5F73BC41" w14:textId="442280F5"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i/>
                <w:sz w:val="18"/>
                <w:szCs w:val="18"/>
              </w:rPr>
            </w:pPr>
            <w:r w:rsidRPr="008F4A58">
              <w:rPr>
                <w:i/>
                <w:sz w:val="18"/>
                <w:szCs w:val="18"/>
              </w:rPr>
              <w:t>See</w:t>
            </w:r>
            <w:r w:rsidR="00E9442B" w:rsidRPr="008F4A58">
              <w:rPr>
                <w:i/>
                <w:sz w:val="18"/>
                <w:szCs w:val="18"/>
              </w:rPr>
              <w:t xml:space="preserve"> </w:t>
            </w:r>
            <w:r w:rsidR="00E9442B" w:rsidRPr="008F4A58">
              <w:rPr>
                <w:b/>
                <w:i/>
                <w:sz w:val="18"/>
                <w:szCs w:val="18"/>
              </w:rPr>
              <w:fldChar w:fldCharType="begin"/>
            </w:r>
            <w:r w:rsidR="00E9442B" w:rsidRPr="008F4A58">
              <w:rPr>
                <w:b/>
                <w:i/>
                <w:sz w:val="18"/>
                <w:szCs w:val="18"/>
              </w:rPr>
              <w:instrText xml:space="preserve"> REF _Ref144806845 \h  \* MERGEFORMAT </w:instrText>
            </w:r>
            <w:r w:rsidR="00E9442B" w:rsidRPr="008F4A58">
              <w:rPr>
                <w:b/>
                <w:i/>
                <w:sz w:val="18"/>
                <w:szCs w:val="18"/>
              </w:rPr>
            </w:r>
            <w:r w:rsidR="00E9442B" w:rsidRPr="008F4A58">
              <w:rPr>
                <w:b/>
                <w:i/>
                <w:sz w:val="18"/>
                <w:szCs w:val="18"/>
              </w:rPr>
              <w:fldChar w:fldCharType="separate"/>
            </w:r>
            <w:r w:rsidR="00F25F8C" w:rsidRPr="008F4A58">
              <w:rPr>
                <w:b/>
                <w:i/>
                <w:sz w:val="18"/>
                <w:szCs w:val="18"/>
              </w:rPr>
              <w:t xml:space="preserve">Table SI. </w:t>
            </w:r>
            <w:r w:rsidR="00F25F8C" w:rsidRPr="008F4A58">
              <w:rPr>
                <w:b/>
                <w:i/>
                <w:noProof/>
                <w:sz w:val="18"/>
                <w:szCs w:val="18"/>
              </w:rPr>
              <w:t>41</w:t>
            </w:r>
            <w:r w:rsidR="00E9442B" w:rsidRPr="008F4A58">
              <w:rPr>
                <w:b/>
                <w:i/>
                <w:sz w:val="18"/>
                <w:szCs w:val="18"/>
              </w:rPr>
              <w:fldChar w:fldCharType="end"/>
            </w:r>
          </w:p>
        </w:tc>
      </w:tr>
      <w:tr w:rsidR="00512EC8" w:rsidRPr="008F4A58" w14:paraId="076B0CD2"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68132A0" w14:textId="77777777" w:rsidR="00512EC8" w:rsidRPr="008F4A58" w:rsidRDefault="00512EC8" w:rsidP="006D537D">
            <w:pPr>
              <w:rPr>
                <w:sz w:val="18"/>
                <w:szCs w:val="18"/>
              </w:rPr>
            </w:pPr>
            <w:r w:rsidRPr="008F4A58">
              <w:rPr>
                <w:sz w:val="18"/>
                <w:szCs w:val="18"/>
              </w:rPr>
              <w:t>97</w:t>
            </w:r>
          </w:p>
        </w:tc>
        <w:tc>
          <w:tcPr>
            <w:tcW w:w="0" w:type="auto"/>
          </w:tcPr>
          <w:p w14:paraId="55802094" w14:textId="77777777" w:rsidR="00512EC8" w:rsidRPr="008F4A58" w:rsidRDefault="00512EC8" w:rsidP="006D537D">
            <w:pPr>
              <w:jc w:val="right"/>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Hemicellulose-to-pulp</w:t>
            </w:r>
          </w:p>
        </w:tc>
        <w:tc>
          <w:tcPr>
            <w:tcW w:w="0" w:type="auto"/>
          </w:tcPr>
          <w:p w14:paraId="2F6EC2BB"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w:t>
            </w:r>
            <w:r w:rsidRPr="008F4A58">
              <w:rPr>
                <w:sz w:val="18"/>
                <w:szCs w:val="18"/>
                <w:vertAlign w:val="subscript"/>
              </w:rPr>
              <w:t>hemi_in</w:t>
            </w:r>
          </w:p>
        </w:tc>
        <w:tc>
          <w:tcPr>
            <w:tcW w:w="0" w:type="auto"/>
          </w:tcPr>
          <w:p w14:paraId="4731482A"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40%</w:t>
            </w:r>
          </w:p>
        </w:tc>
        <w:tc>
          <w:tcPr>
            <w:tcW w:w="0" w:type="auto"/>
          </w:tcPr>
          <w:p w14:paraId="48AA50FE"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20-50%</w:t>
            </w:r>
          </w:p>
        </w:tc>
        <w:tc>
          <w:tcPr>
            <w:tcW w:w="0" w:type="auto"/>
            <w:vMerge/>
          </w:tcPr>
          <w:p w14:paraId="48F20307"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i/>
                <w:sz w:val="18"/>
                <w:szCs w:val="18"/>
              </w:rPr>
            </w:pPr>
          </w:p>
        </w:tc>
      </w:tr>
      <w:tr w:rsidR="00512EC8" w:rsidRPr="008F4A58" w14:paraId="43855A9B"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30D78FA2" w14:textId="77777777" w:rsidR="00512EC8" w:rsidRPr="008F4A58" w:rsidRDefault="00512EC8" w:rsidP="006D537D">
            <w:pPr>
              <w:rPr>
                <w:sz w:val="18"/>
                <w:szCs w:val="18"/>
              </w:rPr>
            </w:pPr>
            <w:r w:rsidRPr="008F4A58">
              <w:rPr>
                <w:sz w:val="18"/>
                <w:szCs w:val="18"/>
              </w:rPr>
              <w:t>98</w:t>
            </w:r>
          </w:p>
        </w:tc>
        <w:tc>
          <w:tcPr>
            <w:tcW w:w="0" w:type="auto"/>
          </w:tcPr>
          <w:p w14:paraId="58AE0E4B" w14:textId="77777777" w:rsidR="00512EC8" w:rsidRPr="008F4A58" w:rsidRDefault="00512EC8" w:rsidP="006D537D">
            <w:pPr>
              <w:jc w:val="right"/>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Solubles-to-pulp</w:t>
            </w:r>
          </w:p>
        </w:tc>
        <w:tc>
          <w:tcPr>
            <w:tcW w:w="0" w:type="auto"/>
          </w:tcPr>
          <w:p w14:paraId="28674849"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w:t>
            </w:r>
            <w:r w:rsidRPr="008F4A58">
              <w:rPr>
                <w:sz w:val="18"/>
                <w:szCs w:val="18"/>
                <w:vertAlign w:val="subscript"/>
              </w:rPr>
              <w:t>sol_in</w:t>
            </w:r>
          </w:p>
        </w:tc>
        <w:tc>
          <w:tcPr>
            <w:tcW w:w="0" w:type="auto"/>
          </w:tcPr>
          <w:p w14:paraId="1D4CE7B9"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10%</w:t>
            </w:r>
          </w:p>
        </w:tc>
        <w:tc>
          <w:tcPr>
            <w:tcW w:w="0" w:type="auto"/>
          </w:tcPr>
          <w:p w14:paraId="2A625776"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0-20%</w:t>
            </w:r>
          </w:p>
        </w:tc>
        <w:tc>
          <w:tcPr>
            <w:tcW w:w="0" w:type="auto"/>
            <w:vMerge/>
          </w:tcPr>
          <w:p w14:paraId="19C206A3"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i/>
                <w:sz w:val="18"/>
                <w:szCs w:val="18"/>
              </w:rPr>
            </w:pPr>
          </w:p>
        </w:tc>
      </w:tr>
      <w:tr w:rsidR="00512EC8" w:rsidRPr="008F4A58" w14:paraId="5C68C41D"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DF1B968" w14:textId="77777777" w:rsidR="00512EC8" w:rsidRPr="008F4A58" w:rsidRDefault="00512EC8" w:rsidP="006D537D">
            <w:pPr>
              <w:rPr>
                <w:sz w:val="18"/>
                <w:szCs w:val="18"/>
              </w:rPr>
            </w:pPr>
            <w:r w:rsidRPr="008F4A58">
              <w:rPr>
                <w:sz w:val="18"/>
                <w:szCs w:val="18"/>
              </w:rPr>
              <w:t>99</w:t>
            </w:r>
          </w:p>
        </w:tc>
        <w:tc>
          <w:tcPr>
            <w:tcW w:w="0" w:type="auto"/>
          </w:tcPr>
          <w:p w14:paraId="6D62C776" w14:textId="77777777" w:rsidR="00512EC8" w:rsidRPr="008F4A58" w:rsidRDefault="00512EC8" w:rsidP="006D537D">
            <w:pPr>
              <w:jc w:val="right"/>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Lignin-to-pulp</w:t>
            </w:r>
          </w:p>
        </w:tc>
        <w:tc>
          <w:tcPr>
            <w:tcW w:w="0" w:type="auto"/>
          </w:tcPr>
          <w:p w14:paraId="018ADD4D"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w:t>
            </w:r>
            <w:r w:rsidRPr="008F4A58">
              <w:rPr>
                <w:sz w:val="18"/>
                <w:szCs w:val="18"/>
                <w:vertAlign w:val="subscript"/>
              </w:rPr>
              <w:t>lignin_in</w:t>
            </w:r>
          </w:p>
        </w:tc>
        <w:tc>
          <w:tcPr>
            <w:tcW w:w="0" w:type="auto"/>
          </w:tcPr>
          <w:p w14:paraId="475887F2"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20%</w:t>
            </w:r>
          </w:p>
        </w:tc>
        <w:tc>
          <w:tcPr>
            <w:tcW w:w="0" w:type="auto"/>
          </w:tcPr>
          <w:p w14:paraId="2A6438DE"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10-60%</w:t>
            </w:r>
          </w:p>
        </w:tc>
        <w:tc>
          <w:tcPr>
            <w:tcW w:w="0" w:type="auto"/>
            <w:vMerge/>
          </w:tcPr>
          <w:p w14:paraId="61E65571"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i/>
                <w:sz w:val="18"/>
                <w:szCs w:val="18"/>
              </w:rPr>
            </w:pPr>
          </w:p>
        </w:tc>
      </w:tr>
      <w:tr w:rsidR="00512EC8" w:rsidRPr="008F4A58" w14:paraId="5061E432"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3A38743D" w14:textId="77777777" w:rsidR="00512EC8" w:rsidRPr="008F4A58" w:rsidRDefault="00512EC8" w:rsidP="006D537D">
            <w:pPr>
              <w:rPr>
                <w:sz w:val="18"/>
                <w:szCs w:val="18"/>
              </w:rPr>
            </w:pPr>
            <w:r w:rsidRPr="008F4A58">
              <w:rPr>
                <w:sz w:val="18"/>
                <w:szCs w:val="18"/>
              </w:rPr>
              <w:t>100</w:t>
            </w:r>
          </w:p>
        </w:tc>
        <w:tc>
          <w:tcPr>
            <w:tcW w:w="0" w:type="auto"/>
          </w:tcPr>
          <w:p w14:paraId="22D00AA0" w14:textId="77777777" w:rsidR="00512EC8" w:rsidRPr="008F4A58" w:rsidRDefault="00512EC8" w:rsidP="006D537D">
            <w:pPr>
              <w:jc w:val="right"/>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Evaporator efficiency</w:t>
            </w:r>
          </w:p>
        </w:tc>
        <w:tc>
          <w:tcPr>
            <w:tcW w:w="0" w:type="auto"/>
          </w:tcPr>
          <w:p w14:paraId="22345406"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w:t>
            </w:r>
            <w:r w:rsidRPr="008F4A58">
              <w:rPr>
                <w:sz w:val="18"/>
                <w:szCs w:val="18"/>
                <w:vertAlign w:val="subscript"/>
              </w:rPr>
              <w:t>MJ_th</w:t>
            </w:r>
          </w:p>
        </w:tc>
        <w:tc>
          <w:tcPr>
            <w:tcW w:w="0" w:type="auto"/>
          </w:tcPr>
          <w:p w14:paraId="4C8830FD"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75%</w:t>
            </w:r>
          </w:p>
        </w:tc>
        <w:tc>
          <w:tcPr>
            <w:tcW w:w="0" w:type="auto"/>
          </w:tcPr>
          <w:p w14:paraId="1FCC2657"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70-80%</w:t>
            </w:r>
          </w:p>
        </w:tc>
        <w:tc>
          <w:tcPr>
            <w:tcW w:w="0" w:type="auto"/>
            <w:vMerge w:val="restart"/>
          </w:tcPr>
          <w:p w14:paraId="75E79591" w14:textId="61085DD8"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i/>
                <w:sz w:val="18"/>
                <w:szCs w:val="18"/>
              </w:rPr>
            </w:pPr>
            <w:r w:rsidRPr="008F4A58">
              <w:rPr>
                <w:i/>
                <w:sz w:val="18"/>
                <w:szCs w:val="18"/>
              </w:rPr>
              <w:t xml:space="preserve">See </w:t>
            </w:r>
            <w:r w:rsidR="00E9442B" w:rsidRPr="008F4A58">
              <w:rPr>
                <w:b/>
                <w:i/>
                <w:sz w:val="18"/>
                <w:szCs w:val="18"/>
              </w:rPr>
              <w:fldChar w:fldCharType="begin"/>
            </w:r>
            <w:r w:rsidR="00E9442B" w:rsidRPr="008F4A58">
              <w:rPr>
                <w:b/>
                <w:i/>
                <w:sz w:val="18"/>
                <w:szCs w:val="18"/>
              </w:rPr>
              <w:instrText xml:space="preserve"> REF _Ref144807107 \h  \* MERGEFORMAT </w:instrText>
            </w:r>
            <w:r w:rsidR="00E9442B" w:rsidRPr="008F4A58">
              <w:rPr>
                <w:b/>
                <w:i/>
                <w:sz w:val="18"/>
                <w:szCs w:val="18"/>
              </w:rPr>
            </w:r>
            <w:r w:rsidR="00E9442B" w:rsidRPr="008F4A58">
              <w:rPr>
                <w:b/>
                <w:i/>
                <w:sz w:val="18"/>
                <w:szCs w:val="18"/>
              </w:rPr>
              <w:fldChar w:fldCharType="separate"/>
            </w:r>
            <w:r w:rsidR="00F25F8C" w:rsidRPr="008F4A58">
              <w:rPr>
                <w:b/>
                <w:i/>
                <w:sz w:val="18"/>
                <w:szCs w:val="18"/>
              </w:rPr>
              <w:t xml:space="preserve">Table SI. </w:t>
            </w:r>
            <w:r w:rsidR="00F25F8C" w:rsidRPr="008F4A58">
              <w:rPr>
                <w:b/>
                <w:i/>
                <w:noProof/>
                <w:sz w:val="18"/>
                <w:szCs w:val="18"/>
              </w:rPr>
              <w:t>43</w:t>
            </w:r>
            <w:r w:rsidR="00E9442B" w:rsidRPr="008F4A58">
              <w:rPr>
                <w:b/>
                <w:i/>
                <w:sz w:val="18"/>
                <w:szCs w:val="18"/>
              </w:rPr>
              <w:fldChar w:fldCharType="end"/>
            </w:r>
          </w:p>
        </w:tc>
      </w:tr>
      <w:tr w:rsidR="00512EC8" w:rsidRPr="008F4A58" w14:paraId="11D9DABC"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67C2A34" w14:textId="77777777" w:rsidR="00512EC8" w:rsidRPr="008F4A58" w:rsidRDefault="00512EC8" w:rsidP="006D537D">
            <w:pPr>
              <w:rPr>
                <w:sz w:val="18"/>
                <w:szCs w:val="18"/>
              </w:rPr>
            </w:pPr>
            <w:r w:rsidRPr="008F4A58">
              <w:rPr>
                <w:sz w:val="18"/>
                <w:szCs w:val="18"/>
              </w:rPr>
              <w:t>101</w:t>
            </w:r>
          </w:p>
        </w:tc>
        <w:tc>
          <w:tcPr>
            <w:tcW w:w="0" w:type="auto"/>
          </w:tcPr>
          <w:p w14:paraId="746BF723" w14:textId="77777777" w:rsidR="00512EC8" w:rsidRPr="008F4A58" w:rsidRDefault="00512EC8" w:rsidP="006D537D">
            <w:pPr>
              <w:jc w:val="right"/>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Evaporator electricity</w:t>
            </w:r>
          </w:p>
        </w:tc>
        <w:tc>
          <w:tcPr>
            <w:tcW w:w="0" w:type="auto"/>
          </w:tcPr>
          <w:p w14:paraId="6CF4E948"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w:t>
            </w:r>
            <w:r w:rsidRPr="008F4A58">
              <w:rPr>
                <w:sz w:val="18"/>
                <w:szCs w:val="18"/>
                <w:vertAlign w:val="subscript"/>
              </w:rPr>
              <w:t>MJ</w:t>
            </w:r>
          </w:p>
        </w:tc>
        <w:tc>
          <w:tcPr>
            <w:tcW w:w="0" w:type="auto"/>
          </w:tcPr>
          <w:p w14:paraId="0AA65AD5"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10%</w:t>
            </w:r>
          </w:p>
        </w:tc>
        <w:tc>
          <w:tcPr>
            <w:tcW w:w="0" w:type="auto"/>
          </w:tcPr>
          <w:p w14:paraId="2AF7519B"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5-15%</w:t>
            </w:r>
          </w:p>
        </w:tc>
        <w:tc>
          <w:tcPr>
            <w:tcW w:w="0" w:type="auto"/>
            <w:vMerge/>
          </w:tcPr>
          <w:p w14:paraId="6D0271EF"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i/>
                <w:sz w:val="18"/>
                <w:szCs w:val="18"/>
              </w:rPr>
            </w:pPr>
          </w:p>
        </w:tc>
      </w:tr>
      <w:tr w:rsidR="00512EC8" w:rsidRPr="008F4A58" w14:paraId="50784341"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6DA909FA" w14:textId="77777777" w:rsidR="00512EC8" w:rsidRPr="008F4A58" w:rsidRDefault="00512EC8" w:rsidP="006D537D">
            <w:pPr>
              <w:rPr>
                <w:sz w:val="18"/>
                <w:szCs w:val="18"/>
              </w:rPr>
            </w:pPr>
            <w:r w:rsidRPr="008F4A58">
              <w:rPr>
                <w:sz w:val="18"/>
                <w:szCs w:val="18"/>
              </w:rPr>
              <w:t>102</w:t>
            </w:r>
          </w:p>
        </w:tc>
        <w:tc>
          <w:tcPr>
            <w:tcW w:w="0" w:type="auto"/>
          </w:tcPr>
          <w:p w14:paraId="08F0B80E" w14:textId="77777777" w:rsidR="00512EC8" w:rsidRPr="008F4A58" w:rsidRDefault="00512EC8" w:rsidP="006D537D">
            <w:pPr>
              <w:jc w:val="right"/>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Pulp loading</w:t>
            </w:r>
          </w:p>
        </w:tc>
        <w:tc>
          <w:tcPr>
            <w:tcW w:w="0" w:type="auto"/>
          </w:tcPr>
          <w:p w14:paraId="15D1AADC"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w:t>
            </w:r>
            <w:r w:rsidRPr="008F4A58">
              <w:rPr>
                <w:sz w:val="18"/>
                <w:szCs w:val="18"/>
                <w:vertAlign w:val="subscript"/>
              </w:rPr>
              <w:t>DM</w:t>
            </w:r>
          </w:p>
        </w:tc>
        <w:tc>
          <w:tcPr>
            <w:tcW w:w="0" w:type="auto"/>
          </w:tcPr>
          <w:p w14:paraId="27946F1F"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7.6%</w:t>
            </w:r>
          </w:p>
        </w:tc>
        <w:tc>
          <w:tcPr>
            <w:tcW w:w="0" w:type="auto"/>
          </w:tcPr>
          <w:p w14:paraId="0477D0C2"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5-10%</w:t>
            </w:r>
          </w:p>
        </w:tc>
        <w:tc>
          <w:tcPr>
            <w:tcW w:w="0" w:type="auto"/>
            <w:vMerge w:val="restart"/>
          </w:tcPr>
          <w:p w14:paraId="03904373" w14:textId="7BEB63AA"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i/>
                <w:sz w:val="18"/>
                <w:szCs w:val="18"/>
              </w:rPr>
            </w:pPr>
            <w:r w:rsidRPr="008F4A58">
              <w:rPr>
                <w:i/>
                <w:sz w:val="18"/>
                <w:szCs w:val="18"/>
              </w:rPr>
              <w:t xml:space="preserve">See </w:t>
            </w:r>
            <w:r w:rsidR="00E9442B" w:rsidRPr="008F4A58">
              <w:rPr>
                <w:b/>
                <w:i/>
                <w:sz w:val="18"/>
                <w:szCs w:val="18"/>
              </w:rPr>
              <w:fldChar w:fldCharType="begin"/>
            </w:r>
            <w:r w:rsidR="00E9442B" w:rsidRPr="008F4A58">
              <w:rPr>
                <w:b/>
                <w:i/>
                <w:sz w:val="18"/>
                <w:szCs w:val="18"/>
              </w:rPr>
              <w:instrText xml:space="preserve"> REF _Ref144807951 \h  \* MERGEFORMAT </w:instrText>
            </w:r>
            <w:r w:rsidR="00E9442B" w:rsidRPr="008F4A58">
              <w:rPr>
                <w:b/>
                <w:i/>
                <w:sz w:val="18"/>
                <w:szCs w:val="18"/>
              </w:rPr>
            </w:r>
            <w:r w:rsidR="00E9442B" w:rsidRPr="008F4A58">
              <w:rPr>
                <w:b/>
                <w:i/>
                <w:sz w:val="18"/>
                <w:szCs w:val="18"/>
              </w:rPr>
              <w:fldChar w:fldCharType="separate"/>
            </w:r>
            <w:r w:rsidR="00F25F8C" w:rsidRPr="008F4A58">
              <w:rPr>
                <w:b/>
                <w:i/>
                <w:sz w:val="18"/>
                <w:szCs w:val="18"/>
              </w:rPr>
              <w:t xml:space="preserve">Table SI. </w:t>
            </w:r>
            <w:r w:rsidR="00F25F8C" w:rsidRPr="008F4A58">
              <w:rPr>
                <w:b/>
                <w:i/>
                <w:noProof/>
                <w:sz w:val="18"/>
                <w:szCs w:val="18"/>
              </w:rPr>
              <w:t>45</w:t>
            </w:r>
            <w:r w:rsidR="00E9442B" w:rsidRPr="008F4A58">
              <w:rPr>
                <w:b/>
                <w:i/>
                <w:sz w:val="18"/>
                <w:szCs w:val="18"/>
              </w:rPr>
              <w:fldChar w:fldCharType="end"/>
            </w:r>
          </w:p>
        </w:tc>
      </w:tr>
      <w:tr w:rsidR="00512EC8" w:rsidRPr="008F4A58" w14:paraId="6088FAD0"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0B90276" w14:textId="77777777" w:rsidR="00512EC8" w:rsidRPr="008F4A58" w:rsidRDefault="00512EC8" w:rsidP="006D537D">
            <w:pPr>
              <w:rPr>
                <w:sz w:val="18"/>
                <w:szCs w:val="18"/>
              </w:rPr>
            </w:pPr>
            <w:r w:rsidRPr="008F4A58">
              <w:rPr>
                <w:sz w:val="18"/>
                <w:szCs w:val="18"/>
              </w:rPr>
              <w:t>103</w:t>
            </w:r>
          </w:p>
        </w:tc>
        <w:tc>
          <w:tcPr>
            <w:tcW w:w="0" w:type="auto"/>
          </w:tcPr>
          <w:p w14:paraId="44A02748" w14:textId="77777777" w:rsidR="00512EC8" w:rsidRPr="008F4A58" w:rsidRDefault="00512EC8" w:rsidP="006D537D">
            <w:pPr>
              <w:jc w:val="right"/>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Enzymes loading</w:t>
            </w:r>
          </w:p>
        </w:tc>
        <w:tc>
          <w:tcPr>
            <w:tcW w:w="0" w:type="auto"/>
          </w:tcPr>
          <w:p w14:paraId="4F0FDAC2"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8F4A58">
              <w:rPr>
                <w:sz w:val="18"/>
                <w:szCs w:val="18"/>
              </w:rPr>
              <w:t>mg.g</w:t>
            </w:r>
            <w:r w:rsidRPr="008F4A58">
              <w:rPr>
                <w:sz w:val="18"/>
                <w:szCs w:val="18"/>
                <w:vertAlign w:val="subscript"/>
              </w:rPr>
              <w:t>cell</w:t>
            </w:r>
            <w:proofErr w:type="gramEnd"/>
            <w:r w:rsidRPr="008F4A58">
              <w:rPr>
                <w:sz w:val="18"/>
                <w:szCs w:val="18"/>
                <w:vertAlign w:val="superscript"/>
              </w:rPr>
              <w:t>-1</w:t>
            </w:r>
          </w:p>
        </w:tc>
        <w:tc>
          <w:tcPr>
            <w:tcW w:w="0" w:type="auto"/>
          </w:tcPr>
          <w:p w14:paraId="2E482A01"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15</w:t>
            </w:r>
          </w:p>
        </w:tc>
        <w:tc>
          <w:tcPr>
            <w:tcW w:w="0" w:type="auto"/>
          </w:tcPr>
          <w:p w14:paraId="218046ED"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10-20</w:t>
            </w:r>
          </w:p>
        </w:tc>
        <w:tc>
          <w:tcPr>
            <w:tcW w:w="0" w:type="auto"/>
            <w:vMerge/>
          </w:tcPr>
          <w:p w14:paraId="512DAE6A"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i/>
                <w:sz w:val="18"/>
                <w:szCs w:val="18"/>
              </w:rPr>
            </w:pPr>
          </w:p>
        </w:tc>
      </w:tr>
      <w:tr w:rsidR="00512EC8" w:rsidRPr="008F4A58" w14:paraId="0BE50845"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020AE365" w14:textId="77777777" w:rsidR="00512EC8" w:rsidRPr="008F4A58" w:rsidRDefault="00512EC8" w:rsidP="006D537D">
            <w:pPr>
              <w:rPr>
                <w:sz w:val="18"/>
                <w:szCs w:val="18"/>
              </w:rPr>
            </w:pPr>
            <w:r w:rsidRPr="008F4A58">
              <w:rPr>
                <w:sz w:val="18"/>
                <w:szCs w:val="18"/>
              </w:rPr>
              <w:t>104</w:t>
            </w:r>
          </w:p>
        </w:tc>
        <w:tc>
          <w:tcPr>
            <w:tcW w:w="0" w:type="auto"/>
          </w:tcPr>
          <w:p w14:paraId="76C24765" w14:textId="77777777" w:rsidR="00512EC8" w:rsidRPr="008F4A58" w:rsidRDefault="00512EC8" w:rsidP="006D537D">
            <w:pPr>
              <w:jc w:val="right"/>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Glucose yield</w:t>
            </w:r>
          </w:p>
        </w:tc>
        <w:tc>
          <w:tcPr>
            <w:tcW w:w="0" w:type="auto"/>
          </w:tcPr>
          <w:p w14:paraId="1639E642"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w:t>
            </w:r>
            <w:r w:rsidRPr="008F4A58">
              <w:rPr>
                <w:sz w:val="18"/>
                <w:szCs w:val="18"/>
                <w:vertAlign w:val="subscript"/>
              </w:rPr>
              <w:t>cell</w:t>
            </w:r>
          </w:p>
        </w:tc>
        <w:tc>
          <w:tcPr>
            <w:tcW w:w="0" w:type="auto"/>
          </w:tcPr>
          <w:p w14:paraId="4643200F"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80%</w:t>
            </w:r>
          </w:p>
        </w:tc>
        <w:tc>
          <w:tcPr>
            <w:tcW w:w="0" w:type="auto"/>
          </w:tcPr>
          <w:p w14:paraId="1831AE20"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50-96%</w:t>
            </w:r>
          </w:p>
        </w:tc>
        <w:tc>
          <w:tcPr>
            <w:tcW w:w="0" w:type="auto"/>
            <w:vMerge/>
          </w:tcPr>
          <w:p w14:paraId="44F1D0D3"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i/>
                <w:sz w:val="18"/>
                <w:szCs w:val="18"/>
              </w:rPr>
            </w:pPr>
          </w:p>
        </w:tc>
      </w:tr>
      <w:tr w:rsidR="00512EC8" w:rsidRPr="008F4A58" w14:paraId="1A6B69B7"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C7AFBD5" w14:textId="77777777" w:rsidR="00512EC8" w:rsidRPr="008F4A58" w:rsidRDefault="00512EC8" w:rsidP="006D537D">
            <w:pPr>
              <w:rPr>
                <w:sz w:val="18"/>
                <w:szCs w:val="18"/>
              </w:rPr>
            </w:pPr>
            <w:r w:rsidRPr="008F4A58">
              <w:rPr>
                <w:sz w:val="18"/>
                <w:szCs w:val="18"/>
              </w:rPr>
              <w:t>105</w:t>
            </w:r>
          </w:p>
        </w:tc>
        <w:tc>
          <w:tcPr>
            <w:tcW w:w="0" w:type="auto"/>
          </w:tcPr>
          <w:p w14:paraId="451C0022" w14:textId="77777777" w:rsidR="00512EC8" w:rsidRPr="008F4A58" w:rsidRDefault="00512EC8" w:rsidP="006D537D">
            <w:pPr>
              <w:jc w:val="right"/>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C</w:t>
            </w:r>
            <w:r w:rsidRPr="008F4A58">
              <w:rPr>
                <w:sz w:val="18"/>
                <w:szCs w:val="18"/>
                <w:vertAlign w:val="subscript"/>
              </w:rPr>
              <w:t>5</w:t>
            </w:r>
            <w:r w:rsidRPr="008F4A58">
              <w:rPr>
                <w:sz w:val="18"/>
                <w:szCs w:val="18"/>
              </w:rPr>
              <w:t xml:space="preserve"> sugars yield</w:t>
            </w:r>
          </w:p>
        </w:tc>
        <w:tc>
          <w:tcPr>
            <w:tcW w:w="0" w:type="auto"/>
          </w:tcPr>
          <w:p w14:paraId="5E3DE59A"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w:t>
            </w:r>
            <w:r w:rsidRPr="008F4A58">
              <w:rPr>
                <w:sz w:val="18"/>
                <w:szCs w:val="18"/>
                <w:vertAlign w:val="subscript"/>
              </w:rPr>
              <w:t>hemi</w:t>
            </w:r>
          </w:p>
        </w:tc>
        <w:tc>
          <w:tcPr>
            <w:tcW w:w="0" w:type="auto"/>
          </w:tcPr>
          <w:p w14:paraId="079E2934"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80%</w:t>
            </w:r>
          </w:p>
        </w:tc>
        <w:tc>
          <w:tcPr>
            <w:tcW w:w="0" w:type="auto"/>
          </w:tcPr>
          <w:p w14:paraId="599F64B7"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50-99%</w:t>
            </w:r>
          </w:p>
        </w:tc>
        <w:tc>
          <w:tcPr>
            <w:tcW w:w="0" w:type="auto"/>
            <w:vMerge/>
          </w:tcPr>
          <w:p w14:paraId="52E79C7E"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i/>
                <w:sz w:val="18"/>
                <w:szCs w:val="18"/>
              </w:rPr>
            </w:pPr>
          </w:p>
        </w:tc>
      </w:tr>
      <w:tr w:rsidR="00512EC8" w:rsidRPr="008F4A58" w14:paraId="52F00A21"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25C34016" w14:textId="77777777" w:rsidR="00512EC8" w:rsidRPr="008F4A58" w:rsidRDefault="00512EC8" w:rsidP="006D537D">
            <w:pPr>
              <w:rPr>
                <w:sz w:val="18"/>
                <w:szCs w:val="18"/>
              </w:rPr>
            </w:pPr>
            <w:r w:rsidRPr="008F4A58">
              <w:rPr>
                <w:sz w:val="18"/>
                <w:szCs w:val="18"/>
              </w:rPr>
              <w:t>106</w:t>
            </w:r>
          </w:p>
        </w:tc>
        <w:tc>
          <w:tcPr>
            <w:tcW w:w="0" w:type="auto"/>
          </w:tcPr>
          <w:p w14:paraId="4E7E6515" w14:textId="77777777" w:rsidR="00512EC8" w:rsidRPr="008F4A58" w:rsidRDefault="00512EC8" w:rsidP="006D537D">
            <w:pPr>
              <w:jc w:val="right"/>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Hydrolysate final concentration</w:t>
            </w:r>
          </w:p>
        </w:tc>
        <w:tc>
          <w:tcPr>
            <w:tcW w:w="0" w:type="auto"/>
          </w:tcPr>
          <w:p w14:paraId="61F8AF58"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w:t>
            </w:r>
            <w:r w:rsidRPr="008F4A58">
              <w:rPr>
                <w:sz w:val="18"/>
                <w:szCs w:val="18"/>
                <w:vertAlign w:val="subscript"/>
              </w:rPr>
              <w:t>DM</w:t>
            </w:r>
          </w:p>
        </w:tc>
        <w:tc>
          <w:tcPr>
            <w:tcW w:w="0" w:type="auto"/>
          </w:tcPr>
          <w:p w14:paraId="1C6B9F35"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10%</w:t>
            </w:r>
          </w:p>
        </w:tc>
        <w:tc>
          <w:tcPr>
            <w:tcW w:w="0" w:type="auto"/>
          </w:tcPr>
          <w:p w14:paraId="67C77EBB"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5-16%</w:t>
            </w:r>
          </w:p>
        </w:tc>
        <w:tc>
          <w:tcPr>
            <w:tcW w:w="0" w:type="auto"/>
            <w:vMerge/>
          </w:tcPr>
          <w:p w14:paraId="6B55BAE6"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i/>
                <w:sz w:val="18"/>
                <w:szCs w:val="18"/>
              </w:rPr>
            </w:pPr>
          </w:p>
        </w:tc>
      </w:tr>
      <w:tr w:rsidR="00512EC8" w:rsidRPr="008F4A58" w14:paraId="24F238F0"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DC18880" w14:textId="77777777" w:rsidR="00512EC8" w:rsidRPr="008F4A58" w:rsidRDefault="00512EC8" w:rsidP="006D537D">
            <w:pPr>
              <w:rPr>
                <w:sz w:val="18"/>
                <w:szCs w:val="18"/>
              </w:rPr>
            </w:pPr>
            <w:r w:rsidRPr="008F4A58">
              <w:rPr>
                <w:sz w:val="18"/>
                <w:szCs w:val="18"/>
              </w:rPr>
              <w:t>107</w:t>
            </w:r>
          </w:p>
        </w:tc>
        <w:tc>
          <w:tcPr>
            <w:tcW w:w="0" w:type="auto"/>
          </w:tcPr>
          <w:p w14:paraId="649E81A5" w14:textId="77777777" w:rsidR="00512EC8" w:rsidRPr="008F4A58" w:rsidRDefault="00512EC8" w:rsidP="006D537D">
            <w:pPr>
              <w:jc w:val="right"/>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Enzyme production</w:t>
            </w:r>
          </w:p>
        </w:tc>
        <w:tc>
          <w:tcPr>
            <w:tcW w:w="0" w:type="auto"/>
          </w:tcPr>
          <w:p w14:paraId="2FE08D68"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8F4A58">
              <w:rPr>
                <w:sz w:val="18"/>
                <w:szCs w:val="18"/>
              </w:rPr>
              <w:t>kg.kg</w:t>
            </w:r>
            <w:r w:rsidRPr="008F4A58">
              <w:rPr>
                <w:sz w:val="18"/>
                <w:szCs w:val="18"/>
                <w:vertAlign w:val="subscript"/>
              </w:rPr>
              <w:t>sugar</w:t>
            </w:r>
            <w:proofErr w:type="gramEnd"/>
            <w:r w:rsidRPr="008F4A58">
              <w:rPr>
                <w:sz w:val="18"/>
                <w:szCs w:val="18"/>
                <w:vertAlign w:val="superscript"/>
              </w:rPr>
              <w:t>-1</w:t>
            </w:r>
          </w:p>
        </w:tc>
        <w:tc>
          <w:tcPr>
            <w:tcW w:w="0" w:type="auto"/>
          </w:tcPr>
          <w:p w14:paraId="549D88ED"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0.24</w:t>
            </w:r>
          </w:p>
        </w:tc>
        <w:tc>
          <w:tcPr>
            <w:tcW w:w="0" w:type="auto"/>
          </w:tcPr>
          <w:p w14:paraId="3A9AC424"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0.2-0.28</w:t>
            </w:r>
          </w:p>
        </w:tc>
        <w:tc>
          <w:tcPr>
            <w:tcW w:w="0" w:type="auto"/>
            <w:vMerge/>
          </w:tcPr>
          <w:p w14:paraId="5E635CF6"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i/>
                <w:sz w:val="18"/>
                <w:szCs w:val="18"/>
              </w:rPr>
            </w:pPr>
          </w:p>
        </w:tc>
      </w:tr>
      <w:tr w:rsidR="00512EC8" w:rsidRPr="008F4A58" w14:paraId="553F46C7" w14:textId="77777777" w:rsidTr="006B5342">
        <w:tc>
          <w:tcPr>
            <w:cnfStyle w:val="001000000000" w:firstRow="0" w:lastRow="0" w:firstColumn="1" w:lastColumn="0" w:oddVBand="0" w:evenVBand="0" w:oddHBand="0" w:evenHBand="0" w:firstRowFirstColumn="0" w:firstRowLastColumn="0" w:lastRowFirstColumn="0" w:lastRowLastColumn="0"/>
            <w:tcW w:w="0" w:type="auto"/>
            <w:gridSpan w:val="6"/>
          </w:tcPr>
          <w:p w14:paraId="7B7F146B" w14:textId="4DDC1ADC" w:rsidR="00512EC8" w:rsidRPr="008F4A58" w:rsidRDefault="00512EC8" w:rsidP="006D537D">
            <w:pPr>
              <w:rPr>
                <w:b w:val="0"/>
                <w:i/>
                <w:sz w:val="18"/>
                <w:szCs w:val="18"/>
              </w:rPr>
            </w:pPr>
            <w:r w:rsidRPr="008F4A58">
              <w:rPr>
                <w:b w:val="0"/>
                <w:i/>
                <w:sz w:val="18"/>
                <w:szCs w:val="18"/>
              </w:rPr>
              <w:t xml:space="preserve">Other common parameters in </w:t>
            </w:r>
            <w:r w:rsidRPr="008F4A58">
              <w:rPr>
                <w:i/>
                <w:sz w:val="18"/>
                <w:szCs w:val="18"/>
              </w:rPr>
              <w:t>section</w:t>
            </w:r>
            <w:r w:rsidR="00E9442B" w:rsidRPr="008F4A58">
              <w:rPr>
                <w:i/>
                <w:sz w:val="18"/>
                <w:szCs w:val="18"/>
              </w:rPr>
              <w:t xml:space="preserve"> </w:t>
            </w:r>
            <w:r w:rsidR="000C6C37">
              <w:rPr>
                <w:i/>
                <w:sz w:val="18"/>
                <w:szCs w:val="18"/>
              </w:rPr>
              <w:t xml:space="preserve">SI. </w:t>
            </w:r>
            <w:r w:rsidR="00E9442B" w:rsidRPr="008F4A58">
              <w:rPr>
                <w:i/>
                <w:sz w:val="18"/>
                <w:szCs w:val="18"/>
              </w:rPr>
              <w:fldChar w:fldCharType="begin"/>
            </w:r>
            <w:r w:rsidR="00E9442B" w:rsidRPr="008F4A58">
              <w:rPr>
                <w:i/>
                <w:sz w:val="18"/>
                <w:szCs w:val="18"/>
              </w:rPr>
              <w:instrText xml:space="preserve"> REF _Ref144802667 \r \h </w:instrText>
            </w:r>
            <w:r w:rsidR="008F4A58" w:rsidRPr="008F4A58">
              <w:rPr>
                <w:i/>
                <w:sz w:val="18"/>
                <w:szCs w:val="18"/>
              </w:rPr>
              <w:instrText xml:space="preserve"> \* MERGEFORMAT </w:instrText>
            </w:r>
            <w:r w:rsidR="00E9442B" w:rsidRPr="008F4A58">
              <w:rPr>
                <w:i/>
                <w:sz w:val="18"/>
                <w:szCs w:val="18"/>
              </w:rPr>
            </w:r>
            <w:r w:rsidR="00E9442B" w:rsidRPr="008F4A58">
              <w:rPr>
                <w:i/>
                <w:sz w:val="18"/>
                <w:szCs w:val="18"/>
              </w:rPr>
              <w:fldChar w:fldCharType="separate"/>
            </w:r>
            <w:r w:rsidR="00F25F8C" w:rsidRPr="008F4A58">
              <w:rPr>
                <w:i/>
                <w:sz w:val="18"/>
                <w:szCs w:val="18"/>
              </w:rPr>
              <w:t>4.1</w:t>
            </w:r>
            <w:r w:rsidR="00E9442B" w:rsidRPr="008F4A58">
              <w:rPr>
                <w:i/>
                <w:sz w:val="18"/>
                <w:szCs w:val="18"/>
              </w:rPr>
              <w:fldChar w:fldCharType="end"/>
            </w:r>
            <w:r w:rsidRPr="008F4A58">
              <w:rPr>
                <w:b w:val="0"/>
                <w:i/>
                <w:sz w:val="18"/>
                <w:szCs w:val="18"/>
              </w:rPr>
              <w:t>.</w:t>
            </w:r>
          </w:p>
        </w:tc>
      </w:tr>
    </w:tbl>
    <w:p w14:paraId="778B2E82" w14:textId="77BB830F" w:rsidR="00512EC8" w:rsidRPr="003F5DA8" w:rsidRDefault="00512EC8" w:rsidP="006B5342">
      <w:pPr>
        <w:jc w:val="both"/>
        <w:rPr>
          <w:sz w:val="18"/>
        </w:rPr>
      </w:pPr>
      <w:r w:rsidRPr="003F5DA8">
        <w:rPr>
          <w:sz w:val="18"/>
        </w:rPr>
        <w:t xml:space="preserve">Numbering of parameters corresponds to the one </w:t>
      </w:r>
      <w:r>
        <w:rPr>
          <w:sz w:val="18"/>
        </w:rPr>
        <w:t>of</w:t>
      </w:r>
      <w:r w:rsidR="00E9442B">
        <w:rPr>
          <w:sz w:val="18"/>
        </w:rPr>
        <w:t xml:space="preserve"> </w:t>
      </w:r>
      <w:r w:rsidR="00877BEE" w:rsidRPr="00B94C7D">
        <w:rPr>
          <w:b/>
          <w:i/>
          <w:sz w:val="18"/>
          <w:szCs w:val="18"/>
        </w:rPr>
        <w:fldChar w:fldCharType="begin"/>
      </w:r>
      <w:r w:rsidR="00877BEE" w:rsidRPr="00B94C7D">
        <w:rPr>
          <w:b/>
          <w:i/>
          <w:sz w:val="18"/>
          <w:szCs w:val="18"/>
        </w:rPr>
        <w:instrText xml:space="preserve"> REF _Ref144914839 \h  \* MERGEFORMAT </w:instrText>
      </w:r>
      <w:r w:rsidR="00877BEE" w:rsidRPr="00B94C7D">
        <w:rPr>
          <w:b/>
          <w:i/>
          <w:sz w:val="18"/>
          <w:szCs w:val="18"/>
        </w:rPr>
      </w:r>
      <w:r w:rsidR="00877BEE" w:rsidRPr="00B94C7D">
        <w:rPr>
          <w:b/>
          <w:i/>
          <w:sz w:val="18"/>
          <w:szCs w:val="18"/>
        </w:rPr>
        <w:fldChar w:fldCharType="separate"/>
      </w:r>
      <w:r w:rsidR="00877BEE" w:rsidRPr="00B94C7D">
        <w:rPr>
          <w:b/>
          <w:i/>
          <w:sz w:val="18"/>
          <w:szCs w:val="18"/>
        </w:rPr>
        <w:t xml:space="preserve">Table SI. </w:t>
      </w:r>
      <w:r w:rsidR="00877BEE" w:rsidRPr="00B94C7D">
        <w:rPr>
          <w:b/>
          <w:i/>
          <w:noProof/>
          <w:sz w:val="18"/>
          <w:szCs w:val="18"/>
        </w:rPr>
        <w:t>103</w:t>
      </w:r>
      <w:r w:rsidR="00877BEE" w:rsidRPr="00B94C7D">
        <w:rPr>
          <w:b/>
          <w:i/>
          <w:sz w:val="18"/>
          <w:szCs w:val="18"/>
        </w:rPr>
        <w:fldChar w:fldCharType="end"/>
      </w:r>
      <w:r w:rsidRPr="003F5DA8">
        <w:rPr>
          <w:sz w:val="18"/>
        </w:rPr>
        <w:t xml:space="preserve">. Parameters specific to </w:t>
      </w:r>
      <w:r>
        <w:rPr>
          <w:sz w:val="18"/>
        </w:rPr>
        <w:t>lignocellulosic pretreatments</w:t>
      </w:r>
      <w:r w:rsidRPr="003F5DA8">
        <w:rPr>
          <w:sz w:val="18"/>
        </w:rPr>
        <w:t xml:space="preserve"> but not mentioned in this table were assumed as constants. Transportation requirements in</w:t>
      </w:r>
      <w:r w:rsidR="00E9442B">
        <w:rPr>
          <w:sz w:val="18"/>
        </w:rPr>
        <w:t xml:space="preserve"> </w:t>
      </w:r>
      <w:r w:rsidR="00E9442B" w:rsidRPr="00E9442B">
        <w:rPr>
          <w:b/>
          <w:sz w:val="18"/>
          <w:szCs w:val="18"/>
        </w:rPr>
        <w:fldChar w:fldCharType="begin"/>
      </w:r>
      <w:r w:rsidR="00E9442B" w:rsidRPr="00E9442B">
        <w:rPr>
          <w:b/>
          <w:sz w:val="18"/>
          <w:szCs w:val="18"/>
        </w:rPr>
        <w:instrText xml:space="preserve"> REF _Ref144738047 \h  \* MERGEFORMAT </w:instrText>
      </w:r>
      <w:r w:rsidR="00E9442B" w:rsidRPr="00E9442B">
        <w:rPr>
          <w:b/>
          <w:sz w:val="18"/>
          <w:szCs w:val="18"/>
        </w:rPr>
      </w:r>
      <w:r w:rsidR="00E9442B" w:rsidRPr="00E9442B">
        <w:rPr>
          <w:b/>
          <w:sz w:val="18"/>
          <w:szCs w:val="18"/>
        </w:rPr>
        <w:fldChar w:fldCharType="separate"/>
      </w:r>
      <w:r w:rsidR="00F25F8C" w:rsidRPr="00F25F8C">
        <w:rPr>
          <w:b/>
          <w:sz w:val="18"/>
          <w:szCs w:val="18"/>
        </w:rPr>
        <w:t xml:space="preserve">Table SI. </w:t>
      </w:r>
      <w:r w:rsidR="00F25F8C" w:rsidRPr="00F25F8C">
        <w:rPr>
          <w:b/>
          <w:noProof/>
          <w:sz w:val="18"/>
          <w:szCs w:val="18"/>
        </w:rPr>
        <w:t>15</w:t>
      </w:r>
      <w:r w:rsidR="00E9442B" w:rsidRPr="00E9442B">
        <w:rPr>
          <w:b/>
          <w:sz w:val="18"/>
          <w:szCs w:val="18"/>
        </w:rPr>
        <w:fldChar w:fldCharType="end"/>
      </w:r>
      <w:r w:rsidRPr="003F5DA8">
        <w:rPr>
          <w:sz w:val="18"/>
        </w:rPr>
        <w:t>.</w:t>
      </w:r>
    </w:p>
    <w:p w14:paraId="318438D9" w14:textId="7E637497" w:rsidR="008F4A58" w:rsidRDefault="00512EC8" w:rsidP="00512EC8">
      <w:pPr>
        <w:jc w:val="both"/>
      </w:pPr>
      <w:r w:rsidRPr="003F5DA8">
        <w:t>The background processes used specific</w:t>
      </w:r>
      <w:r w:rsidR="008F4A58">
        <w:t>ally for</w:t>
      </w:r>
      <w:r w:rsidRPr="003F5DA8">
        <w:t xml:space="preserve"> this </w:t>
      </w:r>
      <w:r w:rsidR="008F4A58">
        <w:t xml:space="preserve">LCI </w:t>
      </w:r>
      <w:r w:rsidRPr="003F5DA8">
        <w:t>model are gathered in</w:t>
      </w:r>
      <w:r w:rsidR="00E9442B">
        <w:rPr>
          <w:b/>
        </w:rPr>
        <w:t xml:space="preserve"> </w:t>
      </w:r>
      <w:r w:rsidR="00E9442B" w:rsidRPr="00E9442B">
        <w:rPr>
          <w:b/>
        </w:rPr>
        <w:fldChar w:fldCharType="begin"/>
      </w:r>
      <w:r w:rsidR="00E9442B" w:rsidRPr="00E9442B">
        <w:rPr>
          <w:b/>
        </w:rPr>
        <w:instrText xml:space="preserve"> REF _Ref144808412 \h  \* MERGEFORMAT </w:instrText>
      </w:r>
      <w:r w:rsidR="00E9442B" w:rsidRPr="00E9442B">
        <w:rPr>
          <w:b/>
        </w:rPr>
      </w:r>
      <w:r w:rsidR="00E9442B" w:rsidRPr="00E9442B">
        <w:rPr>
          <w:b/>
        </w:rPr>
        <w:fldChar w:fldCharType="separate"/>
      </w:r>
      <w:r w:rsidR="00F25F8C" w:rsidRPr="00F25F8C">
        <w:rPr>
          <w:b/>
        </w:rPr>
        <w:t xml:space="preserve">Table SI. </w:t>
      </w:r>
      <w:r w:rsidR="00F25F8C" w:rsidRPr="00F25F8C">
        <w:rPr>
          <w:b/>
          <w:noProof/>
        </w:rPr>
        <w:t>47</w:t>
      </w:r>
      <w:r w:rsidR="00E9442B" w:rsidRPr="00E9442B">
        <w:rPr>
          <w:b/>
        </w:rPr>
        <w:fldChar w:fldCharType="end"/>
      </w:r>
      <w:r w:rsidRPr="003F5DA8">
        <w:t>.</w:t>
      </w:r>
    </w:p>
    <w:p w14:paraId="487CC655" w14:textId="77777777" w:rsidR="008F4A58" w:rsidRDefault="008F4A58">
      <w:r>
        <w:br w:type="page"/>
      </w:r>
    </w:p>
    <w:p w14:paraId="3885ADFB" w14:textId="0F246D1E" w:rsidR="00512EC8" w:rsidRPr="000F285F" w:rsidRDefault="00874128" w:rsidP="006B5342">
      <w:pPr>
        <w:pStyle w:val="Lgende"/>
        <w:jc w:val="left"/>
        <w:rPr>
          <w:b w:val="0"/>
          <w:i/>
        </w:rPr>
      </w:pPr>
      <w:bookmarkStart w:id="208" w:name="_Ref144808412"/>
      <w:bookmarkStart w:id="209" w:name="_Toc134537658"/>
      <w:bookmarkStart w:id="210" w:name="_Toc151967931"/>
      <w:r>
        <w:lastRenderedPageBreak/>
        <w:t>Table SI.</w:t>
      </w:r>
      <w:r w:rsidR="00512EC8">
        <w:t xml:space="preserve"> </w:t>
      </w:r>
      <w:r>
        <w:fldChar w:fldCharType="begin"/>
      </w:r>
      <w:r>
        <w:instrText xml:space="preserve"> SEQ Table_SI. \* ARABIC </w:instrText>
      </w:r>
      <w:r>
        <w:fldChar w:fldCharType="separate"/>
      </w:r>
      <w:r w:rsidR="00F25F8C">
        <w:rPr>
          <w:noProof/>
        </w:rPr>
        <w:t>47</w:t>
      </w:r>
      <w:r>
        <w:fldChar w:fldCharType="end"/>
      </w:r>
      <w:bookmarkEnd w:id="208"/>
      <w:r w:rsidR="00512EC8">
        <w:t xml:space="preserve"> </w:t>
      </w:r>
      <w:r w:rsidR="00512EC8" w:rsidRPr="002C6DB3">
        <w:t>– Background processes used specifically for lignocellulosic pretreatment operations</w:t>
      </w:r>
      <w:bookmarkEnd w:id="209"/>
      <w:bookmarkEnd w:id="210"/>
    </w:p>
    <w:tbl>
      <w:tblPr>
        <w:tblStyle w:val="Tableausimple2"/>
        <w:tblW w:w="0" w:type="auto"/>
        <w:tblLook w:val="04A0" w:firstRow="1" w:lastRow="0" w:firstColumn="1" w:lastColumn="0" w:noHBand="0" w:noVBand="1"/>
      </w:tblPr>
      <w:tblGrid>
        <w:gridCol w:w="2647"/>
        <w:gridCol w:w="1499"/>
        <w:gridCol w:w="4926"/>
      </w:tblGrid>
      <w:tr w:rsidR="00512EC8" w:rsidRPr="008F4A58" w14:paraId="5C9EEE2F"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B704528" w14:textId="77777777" w:rsidR="00512EC8" w:rsidRPr="008F4A58" w:rsidRDefault="00512EC8" w:rsidP="006D537D">
            <w:pPr>
              <w:jc w:val="right"/>
              <w:rPr>
                <w:sz w:val="18"/>
              </w:rPr>
            </w:pPr>
            <w:r w:rsidRPr="008F4A58">
              <w:rPr>
                <w:sz w:val="18"/>
              </w:rPr>
              <w:t>Background process</w:t>
            </w:r>
          </w:p>
        </w:tc>
        <w:tc>
          <w:tcPr>
            <w:tcW w:w="0" w:type="auto"/>
          </w:tcPr>
          <w:p w14:paraId="1D19FA9B"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rPr>
            </w:pPr>
            <w:r w:rsidRPr="008F4A58">
              <w:rPr>
                <w:sz w:val="18"/>
              </w:rPr>
              <w:t>Unit operation</w:t>
            </w:r>
          </w:p>
        </w:tc>
        <w:tc>
          <w:tcPr>
            <w:tcW w:w="0" w:type="auto"/>
          </w:tcPr>
          <w:p w14:paraId="08AFD584" w14:textId="77777777" w:rsidR="00512EC8" w:rsidRPr="008F4A58" w:rsidRDefault="00512EC8" w:rsidP="00E9442B">
            <w:pPr>
              <w:cnfStyle w:val="100000000000" w:firstRow="1" w:lastRow="0" w:firstColumn="0" w:lastColumn="0" w:oddVBand="0" w:evenVBand="0" w:oddHBand="0" w:evenHBand="0" w:firstRowFirstColumn="0" w:firstRowLastColumn="0" w:lastRowFirstColumn="0" w:lastRowLastColumn="0"/>
              <w:rPr>
                <w:i/>
                <w:sz w:val="18"/>
              </w:rPr>
            </w:pPr>
            <w:r w:rsidRPr="008F4A58">
              <w:rPr>
                <w:i/>
                <w:sz w:val="18"/>
              </w:rPr>
              <w:t>Comment</w:t>
            </w:r>
          </w:p>
        </w:tc>
      </w:tr>
      <w:tr w:rsidR="00512EC8" w:rsidRPr="008F4A58" w14:paraId="605DE8F4"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8247AFB" w14:textId="77777777" w:rsidR="00512EC8" w:rsidRPr="008F4A58" w:rsidRDefault="00512EC8" w:rsidP="006D537D">
            <w:pPr>
              <w:jc w:val="right"/>
              <w:rPr>
                <w:b w:val="0"/>
                <w:sz w:val="18"/>
              </w:rPr>
            </w:pPr>
            <w:r w:rsidRPr="008F4A58">
              <w:rPr>
                <w:b w:val="0"/>
                <w:sz w:val="18"/>
              </w:rPr>
              <w:t>Forwarding, forwarder, RER</w:t>
            </w:r>
          </w:p>
        </w:tc>
        <w:tc>
          <w:tcPr>
            <w:tcW w:w="0" w:type="auto"/>
          </w:tcPr>
          <w:p w14:paraId="0A8EDD55"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rPr>
            </w:pPr>
            <w:r w:rsidRPr="008F4A58">
              <w:rPr>
                <w:sz w:val="18"/>
              </w:rPr>
              <w:t>Standardization</w:t>
            </w:r>
          </w:p>
        </w:tc>
        <w:tc>
          <w:tcPr>
            <w:tcW w:w="0" w:type="auto"/>
          </w:tcPr>
          <w:p w14:paraId="25CDB9CE" w14:textId="79B77A0F" w:rsidR="00512EC8" w:rsidRPr="008F4A58" w:rsidRDefault="00512EC8" w:rsidP="00E9442B">
            <w:pPr>
              <w:cnfStyle w:val="000000100000" w:firstRow="0" w:lastRow="0" w:firstColumn="0" w:lastColumn="0" w:oddVBand="0" w:evenVBand="0" w:oddHBand="1" w:evenHBand="0" w:firstRowFirstColumn="0" w:firstRowLastColumn="0" w:lastRowFirstColumn="0" w:lastRowLastColumn="0"/>
              <w:rPr>
                <w:i/>
                <w:sz w:val="18"/>
              </w:rPr>
            </w:pPr>
            <w:r w:rsidRPr="008F4A58">
              <w:rPr>
                <w:i/>
                <w:sz w:val="18"/>
              </w:rPr>
              <w:t>Feeding to the biorefinery (0.315 PMH.t</w:t>
            </w:r>
            <w:r w:rsidRPr="008F4A58">
              <w:rPr>
                <w:i/>
                <w:sz w:val="18"/>
                <w:vertAlign w:val="subscript"/>
              </w:rPr>
              <w:t>ww</w:t>
            </w:r>
            <w:r w:rsidRPr="008F4A58">
              <w:rPr>
                <w:i/>
                <w:sz w:val="18"/>
                <w:vertAlign w:val="superscript"/>
              </w:rPr>
              <w:t>-1</w:t>
            </w:r>
            <w:r w:rsidRPr="008F4A58">
              <w:rPr>
                <w:i/>
                <w:sz w:val="18"/>
              </w:rPr>
              <w:t>)</w:t>
            </w:r>
            <w:r w:rsidRPr="008F4A58">
              <w:rPr>
                <w:i/>
                <w:sz w:val="18"/>
              </w:rPr>
              <w:fldChar w:fldCharType="begin"/>
            </w:r>
            <w:r w:rsidR="005413B4">
              <w:rPr>
                <w:i/>
                <w:sz w:val="18"/>
              </w:rPr>
              <w:instrText xml:space="preserve"> ADDIN ZOTERO_ITEM CSL_CITATION {"citationID":"KGZquOQV","properties":{"formattedCitation":"\\super 167\\nosupersub{}","plainCitation":"167","noteIndex":0},"citationItems":[{"id":2754,"uris":["http://zotero.org/users/6423791/items/4VJD5FYF"],"itemData":{"id":2754,"type":"article-journal","abstract":"In an endeavor towards GHG neutrality, alternatives to fossil carbon resources are explored, such as the use of biomass carbon. Pyrolysis, a thermochemical process that can convert residual biomasses into liquid (bio-oil), solid (biochar) and gaseous (non-condensable gases) products is gaining increased attention, as it both supplies alternatives to fossil carbon while potentially inducing so-called negative emissions through the biochar. Yet, the pyrolysis technical and environmental performance is heavily dependent upon process operational parameters and biomass types. In the perspective of national strategic bioeconomy planning, this study presents an easily replicable consequential life cycle assessment (LCA) framework to quantify the environmental performance of a pyrolysis biorefinery where process conditions are documented, and boundaries expanded to consider the current use of the residual biomass. Results obtained from this method are intended to provide insights for evidence-based decision making towards investments in the low fossil carbon future. The proposed LCA framework was applied to a national case study for the use of primary forestry residues (PFR). Results showed that as compared to the reference scenario in which PFR are left on soil to decay, pyrolysing PFR to biocrude oil, wood vinegar, biochar and gas presents trade-offs in six out of the 16 impact categories studied. These results highlighted that the biomass feedstock supply, the pyrolysis technology, the co-products yields, properties and uses, as well as the choice of marginal technologies have an influence on the environmental performance of pyrolysis biorefineries.","container-title":"Renewable and Sustainable Energy Reviews","DOI":"10.1016/j.rser.2020.110549","ISSN":"1364-0321","journalAbbreviation":"Renewable and Sustainable Energy Reviews","language":"en","page":"110549","source":"ScienceDirect","title":"Framework for consequential life cycle assessment of pyrolysis biorefineries: A case study for the conversion of primary forestry residues","title-short":"Framework for consequential life cycle assessment of pyrolysis biorefineries","author":[{"family":"Brassard","given":"P."},{"family":"Godbout","given":"S."},{"family":"Hamelin","given":"L."}],"issued":{"date-parts":[["2020",11,9]]}}}],"schema":"https://github.com/citation-style-language/schema/raw/master/csl-citation.json"} </w:instrText>
            </w:r>
            <w:r w:rsidRPr="008F4A58">
              <w:rPr>
                <w:i/>
                <w:sz w:val="18"/>
              </w:rPr>
              <w:fldChar w:fldCharType="separate"/>
            </w:r>
            <w:r w:rsidR="005413B4" w:rsidRPr="005413B4">
              <w:rPr>
                <w:rFonts w:ascii="Calibri" w:hAnsi="Calibri" w:cs="Calibri"/>
                <w:sz w:val="18"/>
                <w:szCs w:val="24"/>
                <w:vertAlign w:val="superscript"/>
              </w:rPr>
              <w:t>167</w:t>
            </w:r>
            <w:r w:rsidRPr="008F4A58">
              <w:rPr>
                <w:i/>
                <w:sz w:val="18"/>
              </w:rPr>
              <w:fldChar w:fldCharType="end"/>
            </w:r>
          </w:p>
        </w:tc>
      </w:tr>
      <w:tr w:rsidR="00512EC8" w:rsidRPr="008F4A58" w14:paraId="3A2EF3B1"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0DBEBFAC" w14:textId="77777777" w:rsidR="00512EC8" w:rsidRPr="008F4A58" w:rsidRDefault="00512EC8" w:rsidP="006D537D">
            <w:pPr>
              <w:jc w:val="right"/>
              <w:rPr>
                <w:b w:val="0"/>
                <w:sz w:val="18"/>
              </w:rPr>
            </w:pPr>
            <w:r w:rsidRPr="008F4A58">
              <w:rPr>
                <w:b w:val="0"/>
                <w:sz w:val="18"/>
              </w:rPr>
              <w:t>Market for water, deionized, RoW</w:t>
            </w:r>
          </w:p>
        </w:tc>
        <w:tc>
          <w:tcPr>
            <w:tcW w:w="0" w:type="auto"/>
            <w:vMerge w:val="restart"/>
          </w:tcPr>
          <w:p w14:paraId="69CBD398"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rPr>
            </w:pPr>
            <w:r w:rsidRPr="008F4A58">
              <w:rPr>
                <w:sz w:val="18"/>
              </w:rPr>
              <w:t>IL treatment</w:t>
            </w:r>
          </w:p>
        </w:tc>
        <w:tc>
          <w:tcPr>
            <w:tcW w:w="0" w:type="auto"/>
          </w:tcPr>
          <w:p w14:paraId="4B814B34" w14:textId="77777777" w:rsidR="00512EC8" w:rsidRPr="008F4A58" w:rsidRDefault="00512EC8" w:rsidP="00E9442B">
            <w:pPr>
              <w:cnfStyle w:val="000000000000" w:firstRow="0" w:lastRow="0" w:firstColumn="0" w:lastColumn="0" w:oddVBand="0" w:evenVBand="0" w:oddHBand="0" w:evenHBand="0" w:firstRowFirstColumn="0" w:firstRowLastColumn="0" w:lastRowFirstColumn="0" w:lastRowLastColumn="0"/>
              <w:rPr>
                <w:i/>
                <w:sz w:val="18"/>
              </w:rPr>
            </w:pPr>
            <w:r w:rsidRPr="008F4A58">
              <w:rPr>
                <w:i/>
                <w:sz w:val="18"/>
              </w:rPr>
              <w:t>Make up and cooling water</w:t>
            </w:r>
          </w:p>
        </w:tc>
      </w:tr>
      <w:tr w:rsidR="00512EC8" w:rsidRPr="008F4A58" w14:paraId="5EEFA909"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647930F" w14:textId="77777777" w:rsidR="00512EC8" w:rsidRPr="008F4A58" w:rsidRDefault="00512EC8" w:rsidP="006D537D">
            <w:pPr>
              <w:jc w:val="right"/>
              <w:rPr>
                <w:b w:val="0"/>
                <w:sz w:val="18"/>
              </w:rPr>
            </w:pPr>
            <w:r w:rsidRPr="008F4A58">
              <w:rPr>
                <w:b w:val="0"/>
                <w:sz w:val="18"/>
              </w:rPr>
              <w:t>Market for sulfuric acid, RER</w:t>
            </w:r>
          </w:p>
        </w:tc>
        <w:tc>
          <w:tcPr>
            <w:tcW w:w="0" w:type="auto"/>
            <w:vMerge/>
          </w:tcPr>
          <w:p w14:paraId="72E18468"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rPr>
            </w:pPr>
          </w:p>
        </w:tc>
        <w:tc>
          <w:tcPr>
            <w:tcW w:w="0" w:type="auto"/>
            <w:vMerge w:val="restart"/>
          </w:tcPr>
          <w:p w14:paraId="50A18171" w14:textId="5BCCADA5" w:rsidR="00512EC8" w:rsidRPr="008F4A58" w:rsidRDefault="00512EC8" w:rsidP="00E9442B">
            <w:pPr>
              <w:cnfStyle w:val="000000100000" w:firstRow="0" w:lastRow="0" w:firstColumn="0" w:lastColumn="0" w:oddVBand="0" w:evenVBand="0" w:oddHBand="1" w:evenHBand="0" w:firstRowFirstColumn="0" w:firstRowLastColumn="0" w:lastRowFirstColumn="0" w:lastRowLastColumn="0"/>
              <w:rPr>
                <w:i/>
                <w:sz w:val="18"/>
              </w:rPr>
            </w:pPr>
            <w:r w:rsidRPr="008F4A58">
              <w:rPr>
                <w:i/>
                <w:sz w:val="18"/>
              </w:rPr>
              <w:t>Proxy of IL composition</w:t>
            </w:r>
            <w:r w:rsidRPr="008F4A58">
              <w:rPr>
                <w:i/>
                <w:sz w:val="18"/>
              </w:rPr>
              <w:fldChar w:fldCharType="begin"/>
            </w:r>
            <w:r w:rsidR="005413B4">
              <w:rPr>
                <w:i/>
                <w:sz w:val="18"/>
              </w:rPr>
              <w:instrText xml:space="preserve"> ADDIN ZOTERO_ITEM CSL_CITATION {"citationID":"GydrN02o","properties":{"formattedCitation":"\\super 131,156\\nosupersub{}","plainCitation":"131,156","noteIndex":0},"citationItems":[{"id":11801,"uris":["http://zotero.org/users/6423791/items/AE6CHBJC"],"itemData":{"id":11801,"type":"article-journal","container-title":"Green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Van"},{"family":"Hallett","given":"Jason"},{"family":"Guo","given":"Miao"}],"issued":{"date-parts":[["2021"]]}}},{"id":13488,"uris":["http://zotero.org/users/6423791/items/YZ7FI2IH"],"itemData":{"id":13488,"type":"article-journal","abstract":"Cellulosic biofuels present an opportunity to meet a signiﬁcant fraction of liquid transportation fuel demand with renewable, low-carbon alternatives. Certain ionic liquids (ILs) have proven eﬀective at facilitating hydrolysis of lignocellulose to produce fermentable sugars with high yields. Although their negligible vapor pressure and low ﬂammability make ILs attractive solvents at the point of use, their life-cycle environmental impacts have not been investigated in the context of cellulosic bioreﬁneries. This study provides the ﬁrst life-cycle greenhouse gas (GHG) and water use inventory for biofuels produced using IL pretreatment. We explore two corn stover-to-ethanol process conﬁgurations: the conventional water-wash (WW) route and the more recently developed integrated high gravity (iHG) route, which eliminates washing steps after pretreatment. Our results are based on the use of a representative IL, cholinium lysinate ([Ch][Lys]). We ﬁnd that the WW process results in unacceptably high GHG emissions. The iHG process has the potential to reduce GHG emissions per megajoule of fuel by </w:instrText>
            </w:r>
            <w:r w:rsidR="005413B4">
              <w:rPr>
                <w:rFonts w:ascii="Cambria Math" w:hAnsi="Cambria Math" w:cs="Cambria Math"/>
                <w:i/>
                <w:sz w:val="18"/>
              </w:rPr>
              <w:instrText>∼</w:instrText>
            </w:r>
            <w:r w:rsidR="005413B4">
              <w:rPr>
                <w:i/>
                <w:sz w:val="18"/>
              </w:rPr>
              <w:instrText xml:space="preserve">45% relative to gasoline if [Ch][Lys] is used. Use of a protic IL with comparable performance to [Ch][Lys] could achieve GHG reductions up to 70−85%. The water intensities of the WW and iHG processes are both comparable to those of other cellulosic biofuel technologies.","container-title":"ACS Sustainable Chemistry &amp; Engineering","DOI":"10.1021/acssuschemeng.7b02116","ISSN":"2168-0485, 2168-0485","issue":"11","journalAbbreviation":"ACS Sustainable Chem. Eng.","language":"en","page":"10176-10185","source":"DOI.org (Crossref)","title":"Life-Cycle Greenhouse Gas and Water Intensity of Cellulosic Biofuel Production Using Cholinium Lysinate Ionic Liquid Pretreatment","volume":"5","author":[{"family":"Neupane","given":"Binod"},{"family":"Konda","given":"N. V. S. N. Murthy"},{"family":"Singh","given":"Seema"},{"family":"Simmons","given":"Blake A."},{"family":"Scown","given":"Corinne D."}],"issued":{"date-parts":[["2017",11,6]]}}}],"schema":"https://github.com/citation-style-language/schema/raw/master/csl-citation.json"} </w:instrText>
            </w:r>
            <w:r w:rsidRPr="008F4A58">
              <w:rPr>
                <w:i/>
                <w:sz w:val="18"/>
              </w:rPr>
              <w:fldChar w:fldCharType="separate"/>
            </w:r>
            <w:r w:rsidR="005413B4" w:rsidRPr="005413B4">
              <w:rPr>
                <w:rFonts w:ascii="Calibri" w:hAnsi="Calibri" w:cs="Calibri"/>
                <w:sz w:val="18"/>
                <w:szCs w:val="24"/>
                <w:vertAlign w:val="superscript"/>
              </w:rPr>
              <w:t>131,156</w:t>
            </w:r>
            <w:r w:rsidRPr="008F4A58">
              <w:rPr>
                <w:i/>
                <w:sz w:val="18"/>
              </w:rPr>
              <w:fldChar w:fldCharType="end"/>
            </w:r>
            <w:r w:rsidRPr="008F4A58">
              <w:rPr>
                <w:i/>
                <w:sz w:val="18"/>
              </w:rPr>
              <w:t xml:space="preserve"> (1:1 proportions), assumed electricity as background context.</w:t>
            </w:r>
          </w:p>
        </w:tc>
      </w:tr>
      <w:tr w:rsidR="00512EC8" w:rsidRPr="008F4A58" w14:paraId="329CCF56"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2B34A812" w14:textId="77777777" w:rsidR="00512EC8" w:rsidRPr="008F4A58" w:rsidRDefault="00512EC8" w:rsidP="006D537D">
            <w:pPr>
              <w:jc w:val="right"/>
              <w:rPr>
                <w:b w:val="0"/>
                <w:sz w:val="18"/>
              </w:rPr>
            </w:pPr>
            <w:r w:rsidRPr="008F4A58">
              <w:rPr>
                <w:b w:val="0"/>
                <w:sz w:val="18"/>
              </w:rPr>
              <w:t>Market for trimethylamine, RER</w:t>
            </w:r>
          </w:p>
        </w:tc>
        <w:tc>
          <w:tcPr>
            <w:tcW w:w="0" w:type="auto"/>
            <w:vMerge/>
          </w:tcPr>
          <w:p w14:paraId="1E20804D"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rPr>
            </w:pPr>
          </w:p>
        </w:tc>
        <w:tc>
          <w:tcPr>
            <w:tcW w:w="0" w:type="auto"/>
            <w:vMerge/>
          </w:tcPr>
          <w:p w14:paraId="5FE6C191" w14:textId="77777777" w:rsidR="00512EC8" w:rsidRPr="008F4A58" w:rsidRDefault="00512EC8" w:rsidP="00E9442B">
            <w:pPr>
              <w:cnfStyle w:val="000000000000" w:firstRow="0" w:lastRow="0" w:firstColumn="0" w:lastColumn="0" w:oddVBand="0" w:evenVBand="0" w:oddHBand="0" w:evenHBand="0" w:firstRowFirstColumn="0" w:firstRowLastColumn="0" w:lastRowFirstColumn="0" w:lastRowLastColumn="0"/>
              <w:rPr>
                <w:i/>
                <w:sz w:val="18"/>
              </w:rPr>
            </w:pPr>
          </w:p>
        </w:tc>
      </w:tr>
      <w:tr w:rsidR="00512EC8" w:rsidRPr="008F4A58" w14:paraId="1E3C2C53"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4CAF327" w14:textId="77777777" w:rsidR="00512EC8" w:rsidRPr="008F4A58" w:rsidRDefault="00512EC8" w:rsidP="006D537D">
            <w:pPr>
              <w:jc w:val="right"/>
              <w:rPr>
                <w:b w:val="0"/>
                <w:sz w:val="18"/>
              </w:rPr>
            </w:pPr>
            <w:r w:rsidRPr="008F4A58">
              <w:rPr>
                <w:b w:val="0"/>
                <w:sz w:val="18"/>
              </w:rPr>
              <w:t>Treatment of wastewater from anaerobic digestion of whey, CH</w:t>
            </w:r>
          </w:p>
        </w:tc>
        <w:tc>
          <w:tcPr>
            <w:tcW w:w="0" w:type="auto"/>
          </w:tcPr>
          <w:p w14:paraId="38DF0200"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rPr>
            </w:pPr>
            <w:r w:rsidRPr="008F4A58">
              <w:rPr>
                <w:sz w:val="18"/>
              </w:rPr>
              <w:t>IL recovery</w:t>
            </w:r>
          </w:p>
        </w:tc>
        <w:tc>
          <w:tcPr>
            <w:tcW w:w="0" w:type="auto"/>
          </w:tcPr>
          <w:p w14:paraId="5E5C83E1" w14:textId="77777777" w:rsidR="00512EC8" w:rsidRPr="008F4A58" w:rsidRDefault="00512EC8" w:rsidP="00E9442B">
            <w:pPr>
              <w:cnfStyle w:val="000000100000" w:firstRow="0" w:lastRow="0" w:firstColumn="0" w:lastColumn="0" w:oddVBand="0" w:evenVBand="0" w:oddHBand="1" w:evenHBand="0" w:firstRowFirstColumn="0" w:firstRowLastColumn="0" w:lastRowFirstColumn="0" w:lastRowLastColumn="0"/>
              <w:rPr>
                <w:i/>
                <w:sz w:val="18"/>
              </w:rPr>
            </w:pPr>
            <w:r w:rsidRPr="008F4A58">
              <w:rPr>
                <w:i/>
                <w:sz w:val="18"/>
              </w:rPr>
              <w:t>In baseline configuration, WWTP calculated at ca. 20 g</w:t>
            </w:r>
            <w:r w:rsidRPr="008F4A58">
              <w:rPr>
                <w:i/>
                <w:sz w:val="18"/>
                <w:vertAlign w:val="subscript"/>
              </w:rPr>
              <w:t>COD</w:t>
            </w:r>
            <w:r w:rsidRPr="008F4A58">
              <w:rPr>
                <w:i/>
                <w:sz w:val="18"/>
              </w:rPr>
              <w:t>.L</w:t>
            </w:r>
            <w:r w:rsidRPr="008F4A58">
              <w:rPr>
                <w:i/>
                <w:sz w:val="18"/>
                <w:vertAlign w:val="superscript"/>
              </w:rPr>
              <w:t>-1</w:t>
            </w:r>
            <w:r w:rsidRPr="008F4A58">
              <w:rPr>
                <w:i/>
                <w:sz w:val="18"/>
              </w:rPr>
              <w:t>. The closest ecoinvent process was selected. Background electricity adapted.</w:t>
            </w:r>
          </w:p>
        </w:tc>
      </w:tr>
      <w:tr w:rsidR="00512EC8" w:rsidRPr="008F4A58" w14:paraId="0BAF0BFB"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057D40FA" w14:textId="77777777" w:rsidR="00512EC8" w:rsidRPr="008F4A58" w:rsidRDefault="00512EC8" w:rsidP="006D537D">
            <w:pPr>
              <w:jc w:val="right"/>
              <w:rPr>
                <w:b w:val="0"/>
                <w:sz w:val="18"/>
              </w:rPr>
            </w:pPr>
            <w:r w:rsidRPr="008F4A58">
              <w:rPr>
                <w:b w:val="0"/>
                <w:sz w:val="18"/>
              </w:rPr>
              <w:t>Ultrafiltration module production, hollow fiber, GLO</w:t>
            </w:r>
          </w:p>
        </w:tc>
        <w:tc>
          <w:tcPr>
            <w:tcW w:w="0" w:type="auto"/>
            <w:vMerge w:val="restart"/>
          </w:tcPr>
          <w:p w14:paraId="31325B9D"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rPr>
            </w:pPr>
            <w:r w:rsidRPr="008F4A58">
              <w:rPr>
                <w:sz w:val="18"/>
              </w:rPr>
              <w:t>Enzymatic hydrolysis</w:t>
            </w:r>
          </w:p>
        </w:tc>
        <w:tc>
          <w:tcPr>
            <w:tcW w:w="0" w:type="auto"/>
          </w:tcPr>
          <w:p w14:paraId="73F150A0" w14:textId="790F6839" w:rsidR="00512EC8" w:rsidRPr="008F4A58" w:rsidRDefault="00512EC8" w:rsidP="00E9442B">
            <w:pPr>
              <w:cnfStyle w:val="000000000000" w:firstRow="0" w:lastRow="0" w:firstColumn="0" w:lastColumn="0" w:oddVBand="0" w:evenVBand="0" w:oddHBand="0" w:evenHBand="0" w:firstRowFirstColumn="0" w:firstRowLastColumn="0" w:lastRowFirstColumn="0" w:lastRowLastColumn="0"/>
              <w:rPr>
                <w:i/>
                <w:sz w:val="18"/>
              </w:rPr>
            </w:pPr>
            <w:r w:rsidRPr="008F4A58">
              <w:rPr>
                <w:i/>
                <w:sz w:val="18"/>
              </w:rPr>
              <w:t>Same modeling as in MP mod</w:t>
            </w:r>
            <w:r w:rsidR="00655BBB">
              <w:rPr>
                <w:i/>
                <w:sz w:val="18"/>
              </w:rPr>
              <w:t>el</w:t>
            </w:r>
            <w:r w:rsidRPr="008F4A58">
              <w:rPr>
                <w:i/>
                <w:sz w:val="18"/>
              </w:rPr>
              <w:t xml:space="preserve"> (see </w:t>
            </w:r>
            <w:r w:rsidR="008F4A58" w:rsidRPr="008F4A58">
              <w:rPr>
                <w:b/>
                <w:i/>
                <w:sz w:val="18"/>
              </w:rPr>
              <w:t xml:space="preserve">section </w:t>
            </w:r>
            <w:r w:rsidR="000C6C37">
              <w:rPr>
                <w:b/>
                <w:i/>
                <w:sz w:val="18"/>
              </w:rPr>
              <w:t xml:space="preserve">SI. </w:t>
            </w:r>
            <w:r w:rsidR="008F4A58" w:rsidRPr="008F4A58">
              <w:rPr>
                <w:b/>
                <w:i/>
                <w:sz w:val="18"/>
              </w:rPr>
              <w:t>4.6.4</w:t>
            </w:r>
            <w:r w:rsidR="008F4A58" w:rsidRPr="008F4A58">
              <w:rPr>
                <w:i/>
                <w:sz w:val="18"/>
              </w:rPr>
              <w:t>)</w:t>
            </w:r>
            <w:r w:rsidRPr="008F4A58">
              <w:rPr>
                <w:i/>
                <w:sz w:val="18"/>
              </w:rPr>
              <w:t xml:space="preserve"> </w:t>
            </w:r>
          </w:p>
        </w:tc>
      </w:tr>
      <w:tr w:rsidR="00512EC8" w:rsidRPr="008F4A58" w14:paraId="01025B9A"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56B476B" w14:textId="77777777" w:rsidR="00512EC8" w:rsidRPr="008F4A58" w:rsidRDefault="00512EC8" w:rsidP="006D537D">
            <w:pPr>
              <w:jc w:val="right"/>
              <w:rPr>
                <w:b w:val="0"/>
                <w:sz w:val="18"/>
              </w:rPr>
            </w:pPr>
            <w:r w:rsidRPr="008F4A58">
              <w:rPr>
                <w:b w:val="0"/>
                <w:sz w:val="18"/>
              </w:rPr>
              <w:t>treatment of wastewater, unpolluted, capacity 5E9l/year, CH</w:t>
            </w:r>
          </w:p>
        </w:tc>
        <w:tc>
          <w:tcPr>
            <w:tcW w:w="0" w:type="auto"/>
            <w:vMerge/>
          </w:tcPr>
          <w:p w14:paraId="0F9FA64C"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rPr>
            </w:pPr>
          </w:p>
        </w:tc>
        <w:tc>
          <w:tcPr>
            <w:tcW w:w="0" w:type="auto"/>
          </w:tcPr>
          <w:p w14:paraId="7ABB5D97" w14:textId="77777777" w:rsidR="00512EC8" w:rsidRPr="008F4A58" w:rsidRDefault="00512EC8" w:rsidP="00E9442B">
            <w:pPr>
              <w:cnfStyle w:val="000000100000" w:firstRow="0" w:lastRow="0" w:firstColumn="0" w:lastColumn="0" w:oddVBand="0" w:evenVBand="0" w:oddHBand="1" w:evenHBand="0" w:firstRowFirstColumn="0" w:firstRowLastColumn="0" w:lastRowFirstColumn="0" w:lastRowLastColumn="0"/>
              <w:rPr>
                <w:i/>
                <w:sz w:val="18"/>
              </w:rPr>
            </w:pPr>
            <w:r w:rsidRPr="008F4A58">
              <w:rPr>
                <w:i/>
                <w:sz w:val="18"/>
              </w:rPr>
              <w:t>Proxy of wastewater discharge by evaporator, assumed unpolluted.</w:t>
            </w:r>
          </w:p>
        </w:tc>
      </w:tr>
      <w:tr w:rsidR="00512EC8" w:rsidRPr="008F4A58" w14:paraId="2666FC59"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5280CC3B" w14:textId="77777777" w:rsidR="00512EC8" w:rsidRPr="008F4A58" w:rsidRDefault="00512EC8" w:rsidP="006D537D">
            <w:pPr>
              <w:jc w:val="right"/>
              <w:rPr>
                <w:b w:val="0"/>
                <w:sz w:val="18"/>
              </w:rPr>
            </w:pPr>
            <w:r w:rsidRPr="008F4A58">
              <w:rPr>
                <w:b w:val="0"/>
                <w:sz w:val="18"/>
              </w:rPr>
              <w:t>Market for sulfur dioxide, liquid, RER</w:t>
            </w:r>
          </w:p>
        </w:tc>
        <w:tc>
          <w:tcPr>
            <w:tcW w:w="0" w:type="auto"/>
          </w:tcPr>
          <w:p w14:paraId="3227D07F"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rPr>
            </w:pPr>
            <w:r w:rsidRPr="008F4A58">
              <w:rPr>
                <w:sz w:val="18"/>
              </w:rPr>
              <w:t>Enzymes production</w:t>
            </w:r>
          </w:p>
        </w:tc>
        <w:tc>
          <w:tcPr>
            <w:tcW w:w="0" w:type="auto"/>
          </w:tcPr>
          <w:p w14:paraId="3C766E01" w14:textId="4285FD90" w:rsidR="00512EC8" w:rsidRPr="008F4A58" w:rsidRDefault="00512EC8" w:rsidP="00E9442B">
            <w:pPr>
              <w:cnfStyle w:val="000000000000" w:firstRow="0" w:lastRow="0" w:firstColumn="0" w:lastColumn="0" w:oddVBand="0" w:evenVBand="0" w:oddHBand="0" w:evenHBand="0" w:firstRowFirstColumn="0" w:firstRowLastColumn="0" w:lastRowFirstColumn="0" w:lastRowLastColumn="0"/>
              <w:rPr>
                <w:i/>
                <w:sz w:val="18"/>
              </w:rPr>
            </w:pPr>
            <w:r w:rsidRPr="008F4A58">
              <w:rPr>
                <w:i/>
                <w:sz w:val="18"/>
              </w:rPr>
              <w:t xml:space="preserve">See Davis et al., 2018 </w:t>
            </w:r>
            <w:r w:rsidRPr="008F4A58">
              <w:rPr>
                <w:i/>
                <w:sz w:val="18"/>
              </w:rPr>
              <w:fldChar w:fldCharType="begin"/>
            </w:r>
            <w:r w:rsidR="005413B4">
              <w:rPr>
                <w:i/>
                <w:sz w:val="18"/>
              </w:rPr>
              <w:instrText xml:space="preserve"> ADDIN ZOTERO_ITEM CSL_CITATION {"citationID":"vu1rye4P","properties":{"formattedCitation":"\\super 135\\nosupersub{}","plainCitation":"135","noteIndex":0},"citationItems":[{"id":3367,"uris":["http://zotero.org/users/6423791/items/9SUGPF3U"],"itemData":{"id":3367,"type":"report","language":"en","note":"DOI: 10.2172/1483234","number":"NREL/TP--5100-71949, 1483234","page":"NREL/TP--5100-71949, 1483234","source":"DOI.org (Crossref)","title":"Process Design and Economics for the Conversion of Lignocellulosic Biomass to Hydrocarbon Fuels and Coproducts: 2018 Biochemical Design Case Update; Biochemical Deconstruction and Conversion of Biomass to Fuels and Products via Integrated Biorefinery Pathways","title-short":"Process Design and Economics for the Conversion of Lignocellulosic Biomass to Hydrocarbon Fuels and Coproducts","URL":"http://www.osti.gov/servlets/purl/1483234/","author":[{"family":"Davis","given":"Ryan E."},{"family":"Grundl","given":"Nicholas J."},{"family":"Tao","given":"Ling"},{"family":"Biddy","given":"Mary J."},{"family":"Tan","given":"Eric C."},{"family":"Beckham","given":"Gregg T."},{"family":"Humbird","given":"David"},{"family":"Thompson","given":"David N."},{"family":"Roni","given":"Mohammad S."}],"accessed":{"date-parts":[["2021",1,27]]},"issued":{"date-parts":[["2018",11,19]]}}}],"schema":"https://github.com/citation-style-language/schema/raw/master/csl-citation.json"} </w:instrText>
            </w:r>
            <w:r w:rsidRPr="008F4A58">
              <w:rPr>
                <w:i/>
                <w:sz w:val="18"/>
              </w:rPr>
              <w:fldChar w:fldCharType="separate"/>
            </w:r>
            <w:r w:rsidR="005413B4" w:rsidRPr="005413B4">
              <w:rPr>
                <w:rFonts w:ascii="Calibri" w:hAnsi="Calibri" w:cs="Calibri"/>
                <w:sz w:val="18"/>
                <w:szCs w:val="24"/>
                <w:vertAlign w:val="superscript"/>
              </w:rPr>
              <w:t>135</w:t>
            </w:r>
            <w:r w:rsidRPr="008F4A58">
              <w:rPr>
                <w:i/>
                <w:sz w:val="18"/>
              </w:rPr>
              <w:fldChar w:fldCharType="end"/>
            </w:r>
            <w:r w:rsidRPr="008F4A58">
              <w:rPr>
                <w:i/>
                <w:sz w:val="18"/>
              </w:rPr>
              <w:t>. Ammonium modeled as adapted N fertilizer</w:t>
            </w:r>
            <w:r w:rsidR="00E9442B" w:rsidRPr="008F4A58">
              <w:rPr>
                <w:i/>
                <w:sz w:val="18"/>
              </w:rPr>
              <w:t xml:space="preserve"> service.</w:t>
            </w:r>
          </w:p>
        </w:tc>
      </w:tr>
      <w:tr w:rsidR="00512EC8" w:rsidRPr="008F4A58" w14:paraId="47773769"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7EBAFF5" w14:textId="77777777" w:rsidR="00512EC8" w:rsidRPr="008F4A58" w:rsidRDefault="00512EC8" w:rsidP="006D537D">
            <w:pPr>
              <w:jc w:val="right"/>
              <w:rPr>
                <w:b w:val="0"/>
                <w:sz w:val="18"/>
              </w:rPr>
            </w:pPr>
            <w:r w:rsidRPr="008F4A58">
              <w:rPr>
                <w:b w:val="0"/>
                <w:sz w:val="18"/>
              </w:rPr>
              <w:t>Paper mill construction, integrated, RER</w:t>
            </w:r>
          </w:p>
        </w:tc>
        <w:tc>
          <w:tcPr>
            <w:tcW w:w="0" w:type="auto"/>
          </w:tcPr>
          <w:p w14:paraId="07CA2ABD"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rPr>
            </w:pPr>
            <w:r w:rsidRPr="008F4A58">
              <w:rPr>
                <w:sz w:val="18"/>
              </w:rPr>
              <w:t>n.a.</w:t>
            </w:r>
          </w:p>
        </w:tc>
        <w:tc>
          <w:tcPr>
            <w:tcW w:w="0" w:type="auto"/>
          </w:tcPr>
          <w:p w14:paraId="71D65B3D" w14:textId="25593D77" w:rsidR="00512EC8" w:rsidRPr="008F4A58" w:rsidRDefault="00512EC8" w:rsidP="00E9442B">
            <w:pPr>
              <w:cnfStyle w:val="000000100000" w:firstRow="0" w:lastRow="0" w:firstColumn="0" w:lastColumn="0" w:oddVBand="0" w:evenVBand="0" w:oddHBand="1" w:evenHBand="0" w:firstRowFirstColumn="0" w:firstRowLastColumn="0" w:lastRowFirstColumn="0" w:lastRowLastColumn="0"/>
              <w:rPr>
                <w:i/>
                <w:sz w:val="18"/>
              </w:rPr>
            </w:pPr>
            <w:r w:rsidRPr="008F4A58">
              <w:rPr>
                <w:i/>
                <w:sz w:val="18"/>
              </w:rPr>
              <w:t>Proxy of the whole lignocellulosic pretreatment plant, considered equivalent per kg</w:t>
            </w:r>
            <w:r w:rsidRPr="008F4A58">
              <w:rPr>
                <w:i/>
                <w:sz w:val="18"/>
                <w:vertAlign w:val="subscript"/>
              </w:rPr>
              <w:t>sugar</w:t>
            </w:r>
            <w:r w:rsidRPr="008F4A58">
              <w:rPr>
                <w:i/>
                <w:sz w:val="18"/>
              </w:rPr>
              <w:t xml:space="preserve"> output (1.9e-10 </w:t>
            </w:r>
            <w:proofErr w:type="gramStart"/>
            <w:r w:rsidRPr="008F4A58">
              <w:rPr>
                <w:i/>
                <w:sz w:val="18"/>
              </w:rPr>
              <w:t>unit.kg</w:t>
            </w:r>
            <w:r w:rsidRPr="008F4A58">
              <w:rPr>
                <w:i/>
                <w:sz w:val="18"/>
                <w:vertAlign w:val="subscript"/>
              </w:rPr>
              <w:t>sugar</w:t>
            </w:r>
            <w:proofErr w:type="gramEnd"/>
            <w:r w:rsidRPr="008F4A58">
              <w:rPr>
                <w:i/>
                <w:sz w:val="18"/>
                <w:vertAlign w:val="superscript"/>
              </w:rPr>
              <w:t>-1</w:t>
            </w:r>
            <w:r w:rsidRPr="008F4A58">
              <w:rPr>
                <w:i/>
                <w:sz w:val="18"/>
              </w:rPr>
              <w:t xml:space="preserve"> based on</w:t>
            </w:r>
            <w:r w:rsidR="00683099" w:rsidRPr="008F4A58">
              <w:rPr>
                <w:i/>
                <w:sz w:val="18"/>
              </w:rPr>
              <w:t xml:space="preserve"> production capacities</w:t>
            </w:r>
            <w:r w:rsidRPr="008F4A58">
              <w:rPr>
                <w:i/>
                <w:sz w:val="18"/>
              </w:rPr>
              <w:t>).</w:t>
            </w:r>
          </w:p>
        </w:tc>
      </w:tr>
      <w:tr w:rsidR="00512EC8" w:rsidRPr="008F4A58" w14:paraId="5997BFDC" w14:textId="77777777" w:rsidTr="006B5342">
        <w:trPr>
          <w:trHeight w:val="105"/>
        </w:trPr>
        <w:tc>
          <w:tcPr>
            <w:cnfStyle w:val="001000000000" w:firstRow="0" w:lastRow="0" w:firstColumn="1" w:lastColumn="0" w:oddVBand="0" w:evenVBand="0" w:oddHBand="0" w:evenHBand="0" w:firstRowFirstColumn="0" w:firstRowLastColumn="0" w:lastRowFirstColumn="0" w:lastRowLastColumn="0"/>
            <w:tcW w:w="0" w:type="auto"/>
            <w:gridSpan w:val="3"/>
          </w:tcPr>
          <w:p w14:paraId="4395818C" w14:textId="0F64447D" w:rsidR="00512EC8" w:rsidRPr="008F4A58" w:rsidRDefault="00512EC8" w:rsidP="006D537D">
            <w:pPr>
              <w:rPr>
                <w:b w:val="0"/>
                <w:i/>
                <w:sz w:val="18"/>
              </w:rPr>
            </w:pPr>
            <w:r w:rsidRPr="008F4A58">
              <w:rPr>
                <w:b w:val="0"/>
                <w:i/>
                <w:sz w:val="18"/>
              </w:rPr>
              <w:t xml:space="preserve">Other common background processes in </w:t>
            </w:r>
            <w:r w:rsidR="00683099" w:rsidRPr="008F4A58">
              <w:rPr>
                <w:i/>
                <w:sz w:val="18"/>
              </w:rPr>
              <w:t>section</w:t>
            </w:r>
            <w:r w:rsidR="000C6C37">
              <w:rPr>
                <w:i/>
                <w:sz w:val="18"/>
              </w:rPr>
              <w:t xml:space="preserve"> SI.</w:t>
            </w:r>
            <w:r w:rsidR="00683099" w:rsidRPr="008F4A58">
              <w:rPr>
                <w:i/>
                <w:sz w:val="18"/>
              </w:rPr>
              <w:t xml:space="preserve"> </w:t>
            </w:r>
            <w:r w:rsidR="00683099" w:rsidRPr="008F4A58">
              <w:rPr>
                <w:i/>
                <w:sz w:val="18"/>
              </w:rPr>
              <w:fldChar w:fldCharType="begin"/>
            </w:r>
            <w:r w:rsidR="00683099" w:rsidRPr="008F4A58">
              <w:rPr>
                <w:i/>
                <w:sz w:val="18"/>
              </w:rPr>
              <w:instrText xml:space="preserve"> REF _Ref144802667 \r \h </w:instrText>
            </w:r>
            <w:r w:rsidR="008F4A58" w:rsidRPr="008F4A58">
              <w:rPr>
                <w:i/>
                <w:sz w:val="18"/>
              </w:rPr>
              <w:instrText xml:space="preserve"> \* MERGEFORMAT </w:instrText>
            </w:r>
            <w:r w:rsidR="00683099" w:rsidRPr="008F4A58">
              <w:rPr>
                <w:i/>
                <w:sz w:val="18"/>
              </w:rPr>
            </w:r>
            <w:r w:rsidR="00683099" w:rsidRPr="008F4A58">
              <w:rPr>
                <w:i/>
                <w:sz w:val="18"/>
              </w:rPr>
              <w:fldChar w:fldCharType="separate"/>
            </w:r>
            <w:r w:rsidR="00F25F8C" w:rsidRPr="008F4A58">
              <w:rPr>
                <w:i/>
                <w:sz w:val="18"/>
              </w:rPr>
              <w:t>4.1</w:t>
            </w:r>
            <w:r w:rsidR="00683099" w:rsidRPr="008F4A58">
              <w:rPr>
                <w:i/>
                <w:sz w:val="18"/>
              </w:rPr>
              <w:fldChar w:fldCharType="end"/>
            </w:r>
            <w:r w:rsidRPr="008F4A58">
              <w:rPr>
                <w:b w:val="0"/>
                <w:i/>
                <w:sz w:val="18"/>
              </w:rPr>
              <w:t>.</w:t>
            </w:r>
          </w:p>
        </w:tc>
      </w:tr>
    </w:tbl>
    <w:p w14:paraId="2DA83942" w14:textId="45DBB3C6" w:rsidR="00512EC8" w:rsidRPr="003F5DA8" w:rsidRDefault="00512EC8" w:rsidP="006B5342">
      <w:pPr>
        <w:jc w:val="both"/>
        <w:rPr>
          <w:sz w:val="18"/>
        </w:rPr>
      </w:pPr>
      <w:r w:rsidRPr="003F5DA8">
        <w:rPr>
          <w:sz w:val="18"/>
        </w:rPr>
        <w:t>All processes are from the ecoinvent 3.8 consequential database. Direct flows to biosphere are displayed in</w:t>
      </w:r>
      <w:r w:rsidR="008F4A58">
        <w:rPr>
          <w:sz w:val="18"/>
        </w:rPr>
        <w:t xml:space="preserve"> </w:t>
      </w:r>
      <w:proofErr w:type="gramStart"/>
      <w:r w:rsidR="008F4A58" w:rsidRPr="008F4A58">
        <w:rPr>
          <w:i/>
          <w:sz w:val="18"/>
        </w:rPr>
        <w:t>B.Myco</w:t>
      </w:r>
      <w:proofErr w:type="gramEnd"/>
      <w:r w:rsidR="008F4A58" w:rsidRPr="008F4A58">
        <w:rPr>
          <w:i/>
          <w:sz w:val="18"/>
        </w:rPr>
        <w:t>_module spreadsheet</w:t>
      </w:r>
      <w:r w:rsidR="008F4A58">
        <w:rPr>
          <w:sz w:val="18"/>
        </w:rPr>
        <w:t>.</w:t>
      </w:r>
    </w:p>
    <w:p w14:paraId="3227E2D3" w14:textId="45EE366A" w:rsidR="00683099" w:rsidRPr="003F5DA8" w:rsidRDefault="00683099" w:rsidP="00683099">
      <w:pPr>
        <w:jc w:val="both"/>
      </w:pPr>
      <w:r w:rsidRPr="003F5DA8">
        <w:t>Background processes and technology parameters associated with transversal unit operations between many mode</w:t>
      </w:r>
      <w:r w:rsidR="00655BBB">
        <w:t>l</w:t>
      </w:r>
      <w:r w:rsidRPr="003F5DA8">
        <w:t xml:space="preserve">s (e.g. pretreatments, transportation, etc.) are displayed in the </w:t>
      </w:r>
      <w:r w:rsidRPr="00B825DA">
        <w:t>common</w:t>
      </w:r>
      <w:r>
        <w:rPr>
          <w:b/>
        </w:rPr>
        <w:t xml:space="preserve"> section </w:t>
      </w:r>
      <w:r w:rsidR="000C6C37">
        <w:rPr>
          <w:b/>
        </w:rPr>
        <w:t xml:space="preserve">SI. </w:t>
      </w:r>
      <w:r>
        <w:rPr>
          <w:b/>
        </w:rPr>
        <w:fldChar w:fldCharType="begin"/>
      </w:r>
      <w:r>
        <w:rPr>
          <w:b/>
        </w:rPr>
        <w:instrText xml:space="preserve"> REF _Ref144802667 \r \h </w:instrText>
      </w:r>
      <w:r>
        <w:rPr>
          <w:b/>
        </w:rPr>
      </w:r>
      <w:r>
        <w:rPr>
          <w:b/>
        </w:rPr>
        <w:fldChar w:fldCharType="separate"/>
      </w:r>
      <w:r w:rsidR="00F25F8C">
        <w:rPr>
          <w:b/>
        </w:rPr>
        <w:t>4.1</w:t>
      </w:r>
      <w:r>
        <w:rPr>
          <w:b/>
        </w:rPr>
        <w:fldChar w:fldCharType="end"/>
      </w:r>
      <w:r w:rsidRPr="00B825DA">
        <w:t>.</w:t>
      </w:r>
      <w:r w:rsidRPr="002002AA">
        <w:t xml:space="preserve"> </w:t>
      </w:r>
      <w:r w:rsidRPr="003F5DA8">
        <w:t>Rest of modeling details (e.g. all biosphere flows) are available directly within corresponding excel mod</w:t>
      </w:r>
      <w:r w:rsidR="00655BBB">
        <w:t>el</w:t>
      </w:r>
      <w:r>
        <w:t>.</w:t>
      </w:r>
    </w:p>
    <w:p w14:paraId="62D7C26B" w14:textId="36FFB715" w:rsidR="00512EC8" w:rsidRPr="00512EC8" w:rsidRDefault="00512EC8" w:rsidP="00683099">
      <w:pPr>
        <w:pStyle w:val="Titre3"/>
      </w:pPr>
      <w:bookmarkStart w:id="211" w:name="_Toc145069121"/>
      <w:r w:rsidRPr="00512EC8">
        <w:t xml:space="preserve">Unit operation design and assumptions – the starch </w:t>
      </w:r>
      <w:r w:rsidR="00683099">
        <w:t>pretreatment</w:t>
      </w:r>
      <w:bookmarkEnd w:id="211"/>
    </w:p>
    <w:p w14:paraId="0A4A6794" w14:textId="155E5FCF" w:rsidR="00512EC8" w:rsidRPr="003F5DA8" w:rsidRDefault="00512EC8" w:rsidP="00190A6B">
      <w:pPr>
        <w:ind w:firstLine="360"/>
        <w:jc w:val="both"/>
      </w:pPr>
      <w:r w:rsidRPr="003F5DA8">
        <w:t xml:space="preserve">In this section, the </w:t>
      </w:r>
      <w:r w:rsidR="00965628">
        <w:t xml:space="preserve">starch variant </w:t>
      </w:r>
      <w:r w:rsidRPr="003F5DA8">
        <w:t>set-up is detailed.  The agrifood co-products resource potential estimation highlighted the availability some starch-rich streams, in particular from the potato processing industries (e.g. peals, screenings, etc.). Starch-based glucose being already commonly developed (e.g. corn syrup), an alternative modeling of mycoproteins based on starch-rich streams was developed. Such streams have in common to host a low content (adding up few percent) of cellulose, hemicelluloses and lignin, so that no intensive pretreatments before hydrolysis are required (only size standardization through grinding). To avoid unnecessary energy expenses, input feedstocks suitable with starch hydrolysis and displaying a moisture content higher than 20%</w:t>
      </w:r>
      <w:r w:rsidRPr="003F5DA8">
        <w:rPr>
          <w:vertAlign w:val="subscript"/>
        </w:rPr>
        <w:t>ww</w:t>
      </w:r>
      <w:r w:rsidRPr="003F5DA8">
        <w:t xml:space="preserve"> were assumed to follow a cold chain management before the hydrolysis. Cold chain was assumed through a refrigerated storage of one week (3 kWh.t</w:t>
      </w:r>
      <w:r w:rsidRPr="003F5DA8">
        <w:rPr>
          <w:vertAlign w:val="subscript"/>
        </w:rPr>
        <w:t>ww</w:t>
      </w:r>
      <w:r w:rsidRPr="003F5DA8">
        <w:rPr>
          <w:vertAlign w:val="superscript"/>
        </w:rPr>
        <w:t>-1</w:t>
      </w:r>
      <w:r w:rsidRPr="003F5DA8">
        <w:t>) and by taking refrigerated lorry transportation background processes.</w:t>
      </w:r>
    </w:p>
    <w:p w14:paraId="63745109" w14:textId="257E16DA" w:rsidR="00512EC8" w:rsidRPr="003F5DA8" w:rsidRDefault="00512EC8" w:rsidP="00512EC8">
      <w:pPr>
        <w:jc w:val="both"/>
      </w:pPr>
      <w:r w:rsidRPr="00965628">
        <w:t>Gelatinization, liquefaction or chemical addition (e.g. NaOH, CaCl2, etc.)</w:t>
      </w:r>
      <w:r w:rsidRPr="00965628">
        <w:fldChar w:fldCharType="begin"/>
      </w:r>
      <w:r w:rsidR="005413B4">
        <w:instrText xml:space="preserve"> ADDIN ZOTERO_ITEM CSL_CITATION {"citationID":"UcNCPLXI","properties":{"formattedCitation":"\\super 168\\nosupersub{}","plainCitation":"168","noteIndex":0},"citationItems":[{"id":13578,"uris":["http://zotero.org/users/6423791/items/HZHS7WHF"],"itemData":{"id":13578,"type":"article-journal","abstract":"In recent years, the need to substitute fossil fuels with renewable biomass has been a key driver in the development of the biorefinery concept. One of the possible routes towards the development of bioproducts under this scheme is through a sugar intermediate. Sugars, such as glucose, can be produced through starch crops, for instance wheat. While there are many environmental assessment studies that consider sugar as a platform for biofuel production, the main focus is on the end product of the value chain (typically bioethanol), but not on sugars as the basic feedstock. Taking the bottom-up perspective as a roadmap, the assessment of technological, economic and environmental barriers in the biorefinery scheme must take into account the sustainability of sugar production with the aim of improving its current framework or finding novel technologies. This study investigates the environmental sustainability of wheat cultivation and grain processing in different European countries by applying the life cycle assessment (LCA) methodology with a cradle to gate approach. Moreover, 1 kg of glucose at the factory gate has been considered as a functional unit for reporting the environmental results. The chosen impact categories are climate change (CC), particular matter (PM), human toxicity (HT), freshwater eutrophication (FE), terrestrial eutrophication (TE), acidification (AC) and abiotic depletion (AD). Mass and economic allocations are evaluated as the processing of grain wheat generates different valuable by-products, namely wheat bran, gluten meal and gluten feed. The results show that agricultural activities play an important role in the environmental impacts, predominantly due to the production of agrochemicals and field emissions derived from fertilisation. In addition, the choice of allocation has a greater environmental influence (both positive or negative) on the by-products than the main product under investigation.","container-title":"Journal of Environmental Management","DOI":"10.1016/j.jenvman.2019.06.016","ISSN":"0301-4797","journalAbbreviation":"Journal of Environmental Management","language":"en","page":"323-332","source":"ScienceDirect","title":"Assessing the environmental sustainability of glucose from wheat as a fermentation feedstock","volume":"247","author":[{"family":"Salim","given":"Iana"},{"family":"González-García","given":"Sara"},{"family":"Feijoo","given":"Gumersindo"},{"family":"Moreira","given":"Maria Teresa"}],"issued":{"date-parts":[["2019",10,1]]}}}],"schema":"https://github.com/citation-style-language/schema/raw/master/csl-citation.json"} </w:instrText>
      </w:r>
      <w:r w:rsidRPr="00965628">
        <w:fldChar w:fldCharType="separate"/>
      </w:r>
      <w:r w:rsidR="005413B4" w:rsidRPr="005413B4">
        <w:rPr>
          <w:rFonts w:ascii="Calibri" w:hAnsi="Calibri" w:cs="Calibri"/>
          <w:szCs w:val="24"/>
          <w:vertAlign w:val="superscript"/>
        </w:rPr>
        <w:t>168</w:t>
      </w:r>
      <w:r w:rsidRPr="00965628">
        <w:fldChar w:fldCharType="end"/>
      </w:r>
      <w:r w:rsidRPr="00965628">
        <w:t xml:space="preserve"> before the hydrolysis were neglected. The starch hydrolysis stage was modeled as for cellulose hydrolysis (see </w:t>
      </w:r>
      <w:r w:rsidRPr="00965628">
        <w:rPr>
          <w:b/>
        </w:rPr>
        <w:t>section</w:t>
      </w:r>
      <w:r w:rsidR="000C6C37">
        <w:rPr>
          <w:b/>
        </w:rPr>
        <w:t xml:space="preserve"> SI.</w:t>
      </w:r>
      <w:r w:rsidR="00965628">
        <w:rPr>
          <w:b/>
        </w:rPr>
        <w:t xml:space="preserve"> </w:t>
      </w:r>
      <w:r w:rsidR="00965628">
        <w:rPr>
          <w:b/>
        </w:rPr>
        <w:fldChar w:fldCharType="begin"/>
      </w:r>
      <w:r w:rsidR="00965628">
        <w:rPr>
          <w:b/>
        </w:rPr>
        <w:instrText xml:space="preserve"> REF _Ref144819413 \r \h </w:instrText>
      </w:r>
      <w:r w:rsidR="00965628">
        <w:rPr>
          <w:b/>
        </w:rPr>
      </w:r>
      <w:r w:rsidR="00965628">
        <w:rPr>
          <w:b/>
        </w:rPr>
        <w:fldChar w:fldCharType="separate"/>
      </w:r>
      <w:r w:rsidR="00F25F8C">
        <w:rPr>
          <w:b/>
        </w:rPr>
        <w:t>4.5.2</w:t>
      </w:r>
      <w:r w:rsidR="00965628">
        <w:rPr>
          <w:b/>
        </w:rPr>
        <w:fldChar w:fldCharType="end"/>
      </w:r>
      <w:r w:rsidRPr="00965628">
        <w:t>), but adapting the parameters to reflect the established performances of maize starch hydrolysis</w:t>
      </w:r>
      <w:bookmarkStart w:id="212" w:name="_Hlk141367591"/>
      <w:r w:rsidRPr="00965628">
        <w:fldChar w:fldCharType="begin"/>
      </w:r>
      <w:r w:rsidR="008C451C">
        <w:instrText xml:space="preserve"> ADDIN ZOTERO_ITEM CSL_CITATION {"citationID":"YOXHuUjd","properties":{"formattedCitation":"\\super 48\\nosupersub{}","plainCitation":"48","noteIndex":0},"citationItems":[{"id":13212,"uris":["http://zotero.org/users/6423791/items/ANAMP6NH"],"itemData":{"id":13212,"type":"webpage","language":"en-US","title":"ecoinvent databases","URL":"https://ecoinvent.org/","author":[{"literal":"ecoinvent"}],"accessed":{"date-parts":[["2022",5,1]]},"issued":{"date-parts":[["2022"]]}}}],"schema":"https://github.com/citation-style-language/schema/raw/master/csl-citation.json"} </w:instrText>
      </w:r>
      <w:r w:rsidRPr="00965628">
        <w:fldChar w:fldCharType="separate"/>
      </w:r>
      <w:r w:rsidR="008C451C" w:rsidRPr="008C451C">
        <w:rPr>
          <w:rFonts w:ascii="Calibri" w:hAnsi="Calibri" w:cs="Calibri"/>
          <w:szCs w:val="24"/>
          <w:vertAlign w:val="superscript"/>
        </w:rPr>
        <w:t>48</w:t>
      </w:r>
      <w:r w:rsidRPr="00965628">
        <w:fldChar w:fldCharType="end"/>
      </w:r>
      <w:bookmarkEnd w:id="212"/>
      <w:r w:rsidRPr="00965628">
        <w:t>, see</w:t>
      </w:r>
      <w:r w:rsidR="00965628">
        <w:t xml:space="preserve"> </w:t>
      </w:r>
      <w:r w:rsidR="00965628" w:rsidRPr="00965628">
        <w:rPr>
          <w:b/>
        </w:rPr>
        <w:fldChar w:fldCharType="begin"/>
      </w:r>
      <w:r w:rsidR="00965628" w:rsidRPr="00965628">
        <w:rPr>
          <w:b/>
        </w:rPr>
        <w:instrText xml:space="preserve"> REF _Ref144819435 \h </w:instrText>
      </w:r>
      <w:r w:rsidR="00965628">
        <w:rPr>
          <w:b/>
        </w:rPr>
        <w:instrText xml:space="preserve"> \* MERGEFORMAT </w:instrText>
      </w:r>
      <w:r w:rsidR="00965628" w:rsidRPr="00965628">
        <w:rPr>
          <w:b/>
        </w:rPr>
      </w:r>
      <w:r w:rsidR="00965628" w:rsidRPr="00965628">
        <w:rPr>
          <w:b/>
        </w:rPr>
        <w:fldChar w:fldCharType="separate"/>
      </w:r>
      <w:r w:rsidR="00F25F8C" w:rsidRPr="00F25F8C">
        <w:rPr>
          <w:b/>
        </w:rPr>
        <w:t xml:space="preserve">Table SI. </w:t>
      </w:r>
      <w:r w:rsidR="00F25F8C" w:rsidRPr="00F25F8C">
        <w:rPr>
          <w:b/>
          <w:noProof/>
        </w:rPr>
        <w:t>48</w:t>
      </w:r>
      <w:r w:rsidR="00965628" w:rsidRPr="00965628">
        <w:rPr>
          <w:b/>
        </w:rPr>
        <w:fldChar w:fldCharType="end"/>
      </w:r>
      <w:r w:rsidRPr="00965628">
        <w:t xml:space="preserve">. Moreover, albeit some hemicelluloses fractions could also be dissolved and saccharified at this stage, we assumed </w:t>
      </w:r>
      <w:r w:rsidR="00965628">
        <w:t>that</w:t>
      </w:r>
      <w:r w:rsidRPr="00965628">
        <w:t xml:space="preserve"> only starch and other soluble carbohydrates </w:t>
      </w:r>
      <w:r w:rsidR="00965628">
        <w:t>were recovered</w:t>
      </w:r>
      <w:r w:rsidRPr="00965628">
        <w:t>. Proteins were also assumed precipitated and not remaining within the hydrolysate fractions (due to the temperature of 60°C). The solid remaining from the hydrolysis was assumed to supply feed markets for its almost lignin-free composition and for the food-grade aspect of starch-hydrolysis. Based on mass balance, the biocomposition’s fractions were estimated and this stream was directed towards the CF mod</w:t>
      </w:r>
      <w:r w:rsidR="00655BBB">
        <w:t>el</w:t>
      </w:r>
      <w:r w:rsidRPr="00965628">
        <w:t xml:space="preserve"> (assumed digestibility: 90%</w:t>
      </w:r>
      <w:r w:rsidRPr="00965628">
        <w:rPr>
          <w:vertAlign w:val="subscript"/>
        </w:rPr>
        <w:t>OM</w:t>
      </w:r>
      <w:r w:rsidRPr="00965628">
        <w:t xml:space="preserve"> as cooked product with no fibers).</w:t>
      </w:r>
    </w:p>
    <w:p w14:paraId="0055AFEC" w14:textId="51B1A951" w:rsidR="00512EC8" w:rsidRPr="000F285F" w:rsidRDefault="00874128" w:rsidP="006B5342">
      <w:pPr>
        <w:pStyle w:val="Lgende"/>
        <w:jc w:val="left"/>
        <w:rPr>
          <w:b w:val="0"/>
          <w:i/>
        </w:rPr>
      </w:pPr>
      <w:bookmarkStart w:id="213" w:name="_Ref144819435"/>
      <w:bookmarkStart w:id="214" w:name="_Toc134537659"/>
      <w:bookmarkStart w:id="215" w:name="_Toc151967932"/>
      <w:r>
        <w:lastRenderedPageBreak/>
        <w:t>Table SI.</w:t>
      </w:r>
      <w:r w:rsidR="00512EC8">
        <w:t xml:space="preserve"> </w:t>
      </w:r>
      <w:r>
        <w:fldChar w:fldCharType="begin"/>
      </w:r>
      <w:r>
        <w:instrText xml:space="preserve"> SEQ Table_SI. \* ARABIC </w:instrText>
      </w:r>
      <w:r>
        <w:fldChar w:fldCharType="separate"/>
      </w:r>
      <w:r w:rsidR="00F25F8C">
        <w:rPr>
          <w:noProof/>
        </w:rPr>
        <w:t>48</w:t>
      </w:r>
      <w:r>
        <w:fldChar w:fldCharType="end"/>
      </w:r>
      <w:bookmarkEnd w:id="213"/>
      <w:r w:rsidR="00512EC8">
        <w:t xml:space="preserve"> </w:t>
      </w:r>
      <w:r w:rsidR="00512EC8" w:rsidRPr="002C6DB3">
        <w:t>– Starch enzymatic hydrolysis modeling parameters</w:t>
      </w:r>
      <w:bookmarkEnd w:id="214"/>
      <w:bookmarkEnd w:id="215"/>
    </w:p>
    <w:tbl>
      <w:tblPr>
        <w:tblStyle w:val="Tableausimple2"/>
        <w:tblW w:w="0" w:type="auto"/>
        <w:tblLook w:val="04A0" w:firstRow="1" w:lastRow="0" w:firstColumn="1" w:lastColumn="0" w:noHBand="0" w:noVBand="1"/>
      </w:tblPr>
      <w:tblGrid>
        <w:gridCol w:w="490"/>
        <w:gridCol w:w="1763"/>
        <w:gridCol w:w="993"/>
        <w:gridCol w:w="708"/>
        <w:gridCol w:w="709"/>
        <w:gridCol w:w="4379"/>
      </w:tblGrid>
      <w:tr w:rsidR="00512EC8" w:rsidRPr="008F4A58" w14:paraId="2DEC0153"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24AA88E" w14:textId="77777777" w:rsidR="00512EC8" w:rsidRPr="008F4A58" w:rsidRDefault="00512EC8" w:rsidP="006D537D">
            <w:pPr>
              <w:rPr>
                <w:b w:val="0"/>
                <w:sz w:val="18"/>
              </w:rPr>
            </w:pPr>
            <w:r w:rsidRPr="008F4A58">
              <w:rPr>
                <w:b w:val="0"/>
                <w:sz w:val="18"/>
              </w:rPr>
              <w:t>n°</w:t>
            </w:r>
          </w:p>
        </w:tc>
        <w:tc>
          <w:tcPr>
            <w:tcW w:w="1763" w:type="dxa"/>
          </w:tcPr>
          <w:p w14:paraId="353135CA" w14:textId="77777777" w:rsidR="00512EC8" w:rsidRPr="008F4A58" w:rsidRDefault="00512EC8" w:rsidP="006D537D">
            <w:pPr>
              <w:jc w:val="right"/>
              <w:cnfStyle w:val="100000000000" w:firstRow="1" w:lastRow="0" w:firstColumn="0" w:lastColumn="0" w:oddVBand="0" w:evenVBand="0" w:oddHBand="0" w:evenHBand="0" w:firstRowFirstColumn="0" w:firstRowLastColumn="0" w:lastRowFirstColumn="0" w:lastRowLastColumn="0"/>
              <w:rPr>
                <w:sz w:val="18"/>
              </w:rPr>
            </w:pPr>
            <w:r w:rsidRPr="008F4A58">
              <w:rPr>
                <w:sz w:val="18"/>
              </w:rPr>
              <w:t>Parameter</w:t>
            </w:r>
          </w:p>
        </w:tc>
        <w:tc>
          <w:tcPr>
            <w:tcW w:w="993" w:type="dxa"/>
          </w:tcPr>
          <w:p w14:paraId="3BE96551"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rPr>
            </w:pPr>
            <w:r w:rsidRPr="008F4A58">
              <w:rPr>
                <w:sz w:val="18"/>
              </w:rPr>
              <w:t>Unit</w:t>
            </w:r>
          </w:p>
        </w:tc>
        <w:tc>
          <w:tcPr>
            <w:tcW w:w="708" w:type="dxa"/>
          </w:tcPr>
          <w:p w14:paraId="03E0B397"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rPr>
            </w:pPr>
            <w:r w:rsidRPr="008F4A58">
              <w:rPr>
                <w:sz w:val="18"/>
              </w:rPr>
              <w:t>Value</w:t>
            </w:r>
          </w:p>
        </w:tc>
        <w:tc>
          <w:tcPr>
            <w:tcW w:w="709" w:type="dxa"/>
          </w:tcPr>
          <w:p w14:paraId="5E564F31"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rPr>
            </w:pPr>
            <w:r w:rsidRPr="008F4A58">
              <w:rPr>
                <w:sz w:val="18"/>
              </w:rPr>
              <w:t>Range</w:t>
            </w:r>
          </w:p>
        </w:tc>
        <w:tc>
          <w:tcPr>
            <w:tcW w:w="4379" w:type="dxa"/>
          </w:tcPr>
          <w:p w14:paraId="3028F281"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rPr>
            </w:pPr>
            <w:r w:rsidRPr="008F4A58">
              <w:rPr>
                <w:sz w:val="18"/>
              </w:rPr>
              <w:t>Comment</w:t>
            </w:r>
          </w:p>
        </w:tc>
      </w:tr>
      <w:tr w:rsidR="00512EC8" w:rsidRPr="008F4A58" w14:paraId="3EEBC851"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6"/>
          </w:tcPr>
          <w:p w14:paraId="51FBAB69" w14:textId="77777777" w:rsidR="00512EC8" w:rsidRPr="008F4A58" w:rsidRDefault="00512EC8" w:rsidP="006D537D">
            <w:pPr>
              <w:rPr>
                <w:b w:val="0"/>
                <w:i/>
                <w:sz w:val="18"/>
              </w:rPr>
            </w:pPr>
            <w:r w:rsidRPr="008F4A58">
              <w:rPr>
                <w:b w:val="0"/>
                <w:i/>
                <w:sz w:val="18"/>
              </w:rPr>
              <w:t>Direct utilities are exactly as “glucose production, GLO” ecoinvent process (maize starch hydrolysis), except:</w:t>
            </w:r>
          </w:p>
        </w:tc>
      </w:tr>
      <w:tr w:rsidR="00512EC8" w:rsidRPr="008F4A58" w14:paraId="468CE79B"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767097DA" w14:textId="77777777" w:rsidR="00512EC8" w:rsidRPr="008F4A58" w:rsidRDefault="00512EC8" w:rsidP="006D537D">
            <w:pPr>
              <w:rPr>
                <w:sz w:val="18"/>
              </w:rPr>
            </w:pPr>
            <w:r w:rsidRPr="008F4A58">
              <w:rPr>
                <w:sz w:val="18"/>
              </w:rPr>
              <w:t>108</w:t>
            </w:r>
          </w:p>
        </w:tc>
        <w:tc>
          <w:tcPr>
            <w:tcW w:w="1763" w:type="dxa"/>
          </w:tcPr>
          <w:p w14:paraId="587E6A86" w14:textId="77777777" w:rsidR="00512EC8" w:rsidRPr="008F4A58" w:rsidRDefault="00512EC8" w:rsidP="006D537D">
            <w:pPr>
              <w:jc w:val="right"/>
              <w:cnfStyle w:val="000000000000" w:firstRow="0" w:lastRow="0" w:firstColumn="0" w:lastColumn="0" w:oddVBand="0" w:evenVBand="0" w:oddHBand="0" w:evenHBand="0" w:firstRowFirstColumn="0" w:firstRowLastColumn="0" w:lastRowFirstColumn="0" w:lastRowLastColumn="0"/>
              <w:rPr>
                <w:sz w:val="18"/>
              </w:rPr>
            </w:pPr>
            <w:r w:rsidRPr="008F4A58">
              <w:rPr>
                <w:sz w:val="18"/>
              </w:rPr>
              <w:t>Starch product loading</w:t>
            </w:r>
          </w:p>
        </w:tc>
        <w:tc>
          <w:tcPr>
            <w:tcW w:w="993" w:type="dxa"/>
          </w:tcPr>
          <w:p w14:paraId="04C978EA"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rPr>
            </w:pPr>
            <w:r w:rsidRPr="008F4A58">
              <w:rPr>
                <w:sz w:val="18"/>
              </w:rPr>
              <w:t>%</w:t>
            </w:r>
            <w:r w:rsidRPr="008F4A58">
              <w:rPr>
                <w:sz w:val="18"/>
                <w:vertAlign w:val="subscript"/>
              </w:rPr>
              <w:t>DM</w:t>
            </w:r>
          </w:p>
        </w:tc>
        <w:tc>
          <w:tcPr>
            <w:tcW w:w="708" w:type="dxa"/>
          </w:tcPr>
          <w:p w14:paraId="40306181"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rPr>
            </w:pPr>
            <w:r w:rsidRPr="008F4A58">
              <w:rPr>
                <w:sz w:val="18"/>
              </w:rPr>
              <w:t>10%</w:t>
            </w:r>
          </w:p>
        </w:tc>
        <w:tc>
          <w:tcPr>
            <w:tcW w:w="709" w:type="dxa"/>
          </w:tcPr>
          <w:p w14:paraId="1B196A0E"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rPr>
            </w:pPr>
            <w:r w:rsidRPr="008F4A58">
              <w:rPr>
                <w:sz w:val="18"/>
              </w:rPr>
              <w:t>5-20%</w:t>
            </w:r>
          </w:p>
        </w:tc>
        <w:tc>
          <w:tcPr>
            <w:tcW w:w="4379" w:type="dxa"/>
          </w:tcPr>
          <w:p w14:paraId="39066CE9" w14:textId="1BCCF1FD" w:rsidR="00512EC8" w:rsidRPr="008F4A58" w:rsidRDefault="00512EC8" w:rsidP="006D537D">
            <w:pPr>
              <w:jc w:val="both"/>
              <w:cnfStyle w:val="000000000000" w:firstRow="0" w:lastRow="0" w:firstColumn="0" w:lastColumn="0" w:oddVBand="0" w:evenVBand="0" w:oddHBand="0" w:evenHBand="0" w:firstRowFirstColumn="0" w:firstRowLastColumn="0" w:lastRowFirstColumn="0" w:lastRowLastColumn="0"/>
              <w:rPr>
                <w:i/>
                <w:sz w:val="18"/>
              </w:rPr>
            </w:pPr>
            <w:r w:rsidRPr="008F4A58">
              <w:rPr>
                <w:i/>
                <w:sz w:val="18"/>
              </w:rPr>
              <w:t>Reviewed common range</w:t>
            </w:r>
            <w:r w:rsidRPr="008F4A58">
              <w:rPr>
                <w:i/>
                <w:sz w:val="18"/>
              </w:rPr>
              <w:fldChar w:fldCharType="begin"/>
            </w:r>
            <w:r w:rsidR="005413B4">
              <w:rPr>
                <w:i/>
                <w:sz w:val="18"/>
              </w:rPr>
              <w:instrText xml:space="preserve"> ADDIN ZOTERO_ITEM CSL_CITATION {"citationID":"l8c9rALW","properties":{"formattedCitation":"\\super 136,169,170\\nosupersub{}","plainCitation":"136,169,170","noteIndex":0},"citationItems":[{"id":13548,"uris":["http://zotero.org/users/6423791/items/EUQ2EF2X"],"itemData":{"id":13548,"type":"article-journal","abstract":"The sustainability of glucose production from two different feedstocks, maize starch (MS) and woody biomass residues (WBR), was evaluated by means of life cycle assessment (LCA) methodology. The aim of this work was to compare the environmental performance of conventional technology (glucose from MS by enzymatic hydrolysis) with a novel alternative (glucose from WBR by a three-step process: pretreatment -crushing, deacetylation, and diluted-acid treatment-; conditioning -acid-alkali-acid treatment-; and enzymatic hydrolysis), which is specifically oriented towards the circular economy context. Life cycle inventory was completed by simulation of the different processes, followed by integration of the mass and energy inputs and outputs in an LCA software (GaBi 7.3). LCA results evidenced benefits in all the evaluated environmental impacts when using WBR as a glucose source alternative. Environmental damages associated with the starch production process, which involves more than 60% of the impacts calculated for glucose production from maize starch, has been detected as the key step in which focusing the improvement efforts for this process. On the other hand, pretreating of the biomass residues was the most contributing stage in the WBR process, principally due to the large heat and electricity requirements associated with this stage. Finally, we concluded that the WBR process proposed here might be considered as a valuable alternative in sustainability terms for the production of glucose within the biorefinery concept. Likewise, we have identified the critical points that should be considered to further improve this technology.","container-title":"Applied Sciences","DOI":"10.3390/app10082946","ISSN":"2076-3417","issue":"8","language":"en","license":"http://creativecommons.org/licenses/by/3.0/","note":"number: 8\npublisher: Multidisciplinary Digital Publishing Institute","page":"2946","source":"www.mdpi.com","title":"Comparative Life Cycle Assessment of Glucose Production from Maize Starch and Woody Biomass Residues as a Feedstock","volume":"10","author":[{"family":"Blanco","given":"Jorge"},{"family":"Iglesias","given":"Jose"},{"family":"Morales","given":"Gabriel"},{"family":"Melero","given":"Juan A."},{"family":"Moreno","given":"Jovita"}],"issued":{"date-parts":[["2020",1]]}}},{"id":13582,"uris":["http://zotero.org/users/6423791/items/DA5SBVZ6"],"itemData":{"id":13582,"type":"article-journal","abstract":"Red sorghum starch contains 19% amylose and 34% amylopectin but low gluten, therefore, it is not suitable for bakery production. On the other hand, red sorghum is potential for glucose syrup production. Glucose syrup can be produced by enzymatic hydrolysis from starch by liquefaction process with α-amylase and saccharification process with glucoamylase. Enzyme concentration plays an important role in the yield of hydrolysis process. This experiment aimed to produced glucose syrup from red sorghum starch by hydrolysis enzymatic method. Liquid αamylase and glucoamylase were applied for red sorghum starch with particle size 125 µm. Concentrations of α-amylase and glucoamylase were 0.2 and 0.27% (v/v), respectively. Substrate concentration was varied at 10, 20, 30, and 40% (w/v) for each 300 ml substrate solution. Liquefaction process was carried out at 90°C for 60 min whereas saccharification process was carried out at 60°C for 120 min with constant pH 6 for each process. The substrate was then strained as the hydrolysate. The hydrolysate was analyzed for its reducing sugar content by dinitrosalicylic acid (DNS) reagent. The glucose concentration was analyzed by HPLC. The highest reducing sugar concentration was 191.60 g/l, 17.44% glucose observed for 40% substrate and 0.27% enzyme concentration, respectively.","container-title":"IOP Conference Series: Earth and Environmental Science","DOI":"10.1088/1755-1315/160/1/012002","ISSN":"1755-1307, 1755-1315","journalAbbreviation":"IOP Conf. Ser.: Earth Environ. Sci.","language":"en","page":"012002","source":"DOI.org (Crossref)","title":"The effect of substrate and enzyme concentration on the glucose syrup production from red sorghum starch by enzymatic hydrolysis","volume":"160","author":[{"family":"Permanasari","given":"A R"},{"family":"Yulistiani","given":"F"},{"family":"Purnama","given":"R W"},{"family":"Widjaja","given":"T"},{"family":"Gunawan","given":"S"}],"issued":{"date-parts":[["2018",6]]}}},{"id":13585,"uris":["http://zotero.org/users/6423791/items/SQ3YGNJM"],"itemData":{"id":13585,"type":"article-journal","abstract":"Polyhydroxybutyrates (PHBs) are a class of biopolymers produced by different microbial species and are biodegradable and biocompatible in nature as opposed to petrochemically derived plastics. PHBs have advanced applications in medical sector, packaging industries, nanotechnology and agriculture, among others. PHB is produced using various feedstocks such as glycerol, dairy wastes, agro-industrial wastes, food industry waste and sugars. Current focus on PHB research has been primarily on reducing the cost of production and, on downstream processing to isolate PHB from cells. Recent advancements to improve the productivity and quality of PHB include genetic modification of producer strain and modification of PHB by blending to develop desirable properties suited to diversified applications. Selection of feedstock plays a critical role in determining the economic feasibility and sustainability of the process. This review provides a bird’s eye view of the suitability of different waste resources for producing polyhydroxybutyrate; providing state-of the art information and analysis.","container-title":"Bioresource Technology","DOI":"10.1016/j.biortech.2020.123536","ISSN":"0960-8524","journalAbbreviation":"Bioresource Technology","language":"en","page":"123536","source":"ScienceDirect","title":"Critical overview of biomass feedstocks as sustainable substrates for the production of polyhydroxybutyrate (PHB)","volume":"311","author":[{"family":"Sirohi","given":"Ranjna"},{"family":"Prakash Pandey","given":"Jai"},{"family":"Kumar Gaur","given":"Vivek"},{"family":"Gnansounou","given":"Edgard"},{"family":"Sindhu","given":"Raveendran"}],"issued":{"date-parts":[["2020",9,1]]}}}],"schema":"https://github.com/citation-style-language/schema/raw/master/csl-citation.json"} </w:instrText>
            </w:r>
            <w:r w:rsidRPr="008F4A58">
              <w:rPr>
                <w:i/>
                <w:sz w:val="18"/>
              </w:rPr>
              <w:fldChar w:fldCharType="separate"/>
            </w:r>
            <w:r w:rsidR="005413B4" w:rsidRPr="005413B4">
              <w:rPr>
                <w:rFonts w:ascii="Calibri" w:hAnsi="Calibri" w:cs="Calibri"/>
                <w:sz w:val="18"/>
                <w:szCs w:val="24"/>
                <w:vertAlign w:val="superscript"/>
              </w:rPr>
              <w:t>136,169,170</w:t>
            </w:r>
            <w:r w:rsidRPr="008F4A58">
              <w:rPr>
                <w:i/>
                <w:sz w:val="18"/>
              </w:rPr>
              <w:fldChar w:fldCharType="end"/>
            </w:r>
            <w:r w:rsidRPr="008F4A58">
              <w:rPr>
                <w:i/>
                <w:sz w:val="18"/>
              </w:rPr>
              <w:t>, higher range challenged by viscosity and separation.</w:t>
            </w:r>
          </w:p>
        </w:tc>
      </w:tr>
      <w:tr w:rsidR="00512EC8" w:rsidRPr="008F4A58" w14:paraId="6853391B"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69E11A8" w14:textId="77777777" w:rsidR="00512EC8" w:rsidRPr="008F4A58" w:rsidRDefault="00512EC8" w:rsidP="006D537D">
            <w:pPr>
              <w:rPr>
                <w:sz w:val="18"/>
              </w:rPr>
            </w:pPr>
            <w:r w:rsidRPr="008F4A58">
              <w:rPr>
                <w:sz w:val="18"/>
              </w:rPr>
              <w:t>109</w:t>
            </w:r>
          </w:p>
        </w:tc>
        <w:tc>
          <w:tcPr>
            <w:tcW w:w="1763" w:type="dxa"/>
          </w:tcPr>
          <w:p w14:paraId="19182689" w14:textId="77777777" w:rsidR="00512EC8" w:rsidRPr="008F4A58" w:rsidRDefault="00512EC8" w:rsidP="006D537D">
            <w:pPr>
              <w:jc w:val="right"/>
              <w:cnfStyle w:val="000000100000" w:firstRow="0" w:lastRow="0" w:firstColumn="0" w:lastColumn="0" w:oddVBand="0" w:evenVBand="0" w:oddHBand="1" w:evenHBand="0" w:firstRowFirstColumn="0" w:firstRowLastColumn="0" w:lastRowFirstColumn="0" w:lastRowLastColumn="0"/>
              <w:rPr>
                <w:sz w:val="18"/>
              </w:rPr>
            </w:pPr>
            <w:r w:rsidRPr="008F4A58">
              <w:rPr>
                <w:sz w:val="18"/>
              </w:rPr>
              <w:t>Amylases loading</w:t>
            </w:r>
          </w:p>
        </w:tc>
        <w:tc>
          <w:tcPr>
            <w:tcW w:w="993" w:type="dxa"/>
          </w:tcPr>
          <w:p w14:paraId="4E8B1AB4"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rPr>
            </w:pPr>
            <w:proofErr w:type="gramStart"/>
            <w:r w:rsidRPr="008F4A58">
              <w:rPr>
                <w:sz w:val="18"/>
              </w:rPr>
              <w:t>mg.g</w:t>
            </w:r>
            <w:r w:rsidRPr="008F4A58">
              <w:rPr>
                <w:sz w:val="18"/>
                <w:vertAlign w:val="subscript"/>
              </w:rPr>
              <w:t>starch</w:t>
            </w:r>
            <w:proofErr w:type="gramEnd"/>
            <w:r w:rsidRPr="008F4A58">
              <w:rPr>
                <w:sz w:val="18"/>
                <w:vertAlign w:val="superscript"/>
              </w:rPr>
              <w:t>-1</w:t>
            </w:r>
          </w:p>
        </w:tc>
        <w:tc>
          <w:tcPr>
            <w:tcW w:w="708" w:type="dxa"/>
          </w:tcPr>
          <w:p w14:paraId="498C496D"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rPr>
            </w:pPr>
            <w:r w:rsidRPr="008F4A58">
              <w:rPr>
                <w:sz w:val="18"/>
              </w:rPr>
              <w:t>0.44</w:t>
            </w:r>
          </w:p>
        </w:tc>
        <w:tc>
          <w:tcPr>
            <w:tcW w:w="709" w:type="dxa"/>
          </w:tcPr>
          <w:p w14:paraId="25E9B2DD"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rPr>
            </w:pPr>
            <w:r w:rsidRPr="008F4A58">
              <w:rPr>
                <w:sz w:val="18"/>
              </w:rPr>
              <w:t>0.4-1</w:t>
            </w:r>
          </w:p>
        </w:tc>
        <w:tc>
          <w:tcPr>
            <w:tcW w:w="4379" w:type="dxa"/>
          </w:tcPr>
          <w:p w14:paraId="117FA114" w14:textId="56450247" w:rsidR="00512EC8" w:rsidRPr="008F4A58" w:rsidRDefault="00512EC8" w:rsidP="006D537D">
            <w:pPr>
              <w:jc w:val="both"/>
              <w:cnfStyle w:val="000000100000" w:firstRow="0" w:lastRow="0" w:firstColumn="0" w:lastColumn="0" w:oddVBand="0" w:evenVBand="0" w:oddHBand="1" w:evenHBand="0" w:firstRowFirstColumn="0" w:firstRowLastColumn="0" w:lastRowFirstColumn="0" w:lastRowLastColumn="0"/>
              <w:rPr>
                <w:i/>
                <w:sz w:val="18"/>
              </w:rPr>
            </w:pPr>
            <w:r w:rsidRPr="008F4A58">
              <w:rPr>
                <w:i/>
                <w:sz w:val="18"/>
              </w:rPr>
              <w:t>Current industrial range</w:t>
            </w:r>
            <w:r w:rsidRPr="008F4A58">
              <w:rPr>
                <w:i/>
                <w:sz w:val="18"/>
              </w:rPr>
              <w:fldChar w:fldCharType="begin"/>
            </w:r>
            <w:r w:rsidR="005413B4">
              <w:rPr>
                <w:i/>
                <w:sz w:val="18"/>
              </w:rPr>
              <w:instrText xml:space="preserve"> ADDIN ZOTERO_ITEM CSL_CITATION {"citationID":"fJ0QByc9","properties":{"formattedCitation":"\\super 171\\nosupersub{}","plainCitation":"171","noteIndex":0},"citationItems":[{"id":14030,"uris":["http://zotero.org/users/6423791/items/HEEQTY9M"],"itemData":{"id":14030,"type":"article-journal","abstract":"Enzymes and yeast are important ingredients in the production of ethanol, yet the energy consumption and emissions associated with their production are often excluded from life-cycle analyses of ethanol. We provide new estimates for the energy consumed and greenhouse gases (GHGs) emitted during enzyme and yeast manufacture, including contributions from key ingredients such as starch, glucose, and molasses. We incorporated these data into Argonne National Laboratory’s Greenhouse Gases, Regulated Emissions, and Energy Use in Transportation model and observed that enzymes and yeast together contribute 1.4 and 27 % of farm-to-pump GHG emissions for corn and cellulosic ethanol, respectively. Over the course of the entire corn ethanol life cycle, yeast and enzymes contribute a negligible amount of GHG emissions, but increase GHG emissions from the cellulosic ethanol life cycle by 5.6 g CO2e/MJ.","container-title":"Biotechnology Letters","DOI":"10.1007/s10529-012-1057-6","ISSN":"1573-6776","issue":"12","journalAbbreviation":"Biotechnol Lett","language":"en","page":"2259-2263","source":"Springer Link","title":"Energy consumption and greenhouse gas emissions from enzyme and yeast manufacture for corn and cellulosic ethanol production","volume":"34","author":[{"family":"Dunn","given":"Jennifer B."},{"family":"Mueller","given":"Steffen"},{"family":"Wang","given":"Michael"},{"family":"Han","given":"Jeongwoo"}],"issued":{"date-parts":[["2012",12,1]]}}}],"schema":"https://github.com/citation-style-language/schema/raw/master/csl-citation.json"} </w:instrText>
            </w:r>
            <w:r w:rsidRPr="008F4A58">
              <w:rPr>
                <w:i/>
                <w:sz w:val="18"/>
              </w:rPr>
              <w:fldChar w:fldCharType="separate"/>
            </w:r>
            <w:r w:rsidR="005413B4" w:rsidRPr="005413B4">
              <w:rPr>
                <w:rFonts w:ascii="Calibri" w:hAnsi="Calibri" w:cs="Calibri"/>
                <w:sz w:val="18"/>
                <w:szCs w:val="24"/>
                <w:vertAlign w:val="superscript"/>
              </w:rPr>
              <w:t>171</w:t>
            </w:r>
            <w:r w:rsidRPr="008F4A58">
              <w:rPr>
                <w:i/>
                <w:sz w:val="18"/>
              </w:rPr>
              <w:fldChar w:fldCharType="end"/>
            </w:r>
          </w:p>
        </w:tc>
      </w:tr>
      <w:tr w:rsidR="00512EC8" w:rsidRPr="008F4A58" w14:paraId="08262962"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5BC2AD87" w14:textId="77777777" w:rsidR="00512EC8" w:rsidRPr="008F4A58" w:rsidRDefault="00512EC8" w:rsidP="006D537D">
            <w:pPr>
              <w:rPr>
                <w:sz w:val="18"/>
              </w:rPr>
            </w:pPr>
            <w:r w:rsidRPr="008F4A58">
              <w:rPr>
                <w:sz w:val="18"/>
              </w:rPr>
              <w:t>110</w:t>
            </w:r>
          </w:p>
        </w:tc>
        <w:tc>
          <w:tcPr>
            <w:tcW w:w="1763" w:type="dxa"/>
          </w:tcPr>
          <w:p w14:paraId="56880363" w14:textId="77777777" w:rsidR="00512EC8" w:rsidRPr="008F4A58" w:rsidRDefault="00512EC8" w:rsidP="006D537D">
            <w:pPr>
              <w:jc w:val="right"/>
              <w:cnfStyle w:val="000000000000" w:firstRow="0" w:lastRow="0" w:firstColumn="0" w:lastColumn="0" w:oddVBand="0" w:evenVBand="0" w:oddHBand="0" w:evenHBand="0" w:firstRowFirstColumn="0" w:firstRowLastColumn="0" w:lastRowFirstColumn="0" w:lastRowLastColumn="0"/>
              <w:rPr>
                <w:sz w:val="18"/>
              </w:rPr>
            </w:pPr>
            <w:r w:rsidRPr="008F4A58">
              <w:rPr>
                <w:sz w:val="18"/>
              </w:rPr>
              <w:t>Starch-glucose yield</w:t>
            </w:r>
          </w:p>
        </w:tc>
        <w:tc>
          <w:tcPr>
            <w:tcW w:w="993" w:type="dxa"/>
          </w:tcPr>
          <w:p w14:paraId="3AF6C3A8"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rPr>
            </w:pPr>
            <w:r w:rsidRPr="008F4A58">
              <w:rPr>
                <w:sz w:val="18"/>
              </w:rPr>
              <w:t>%</w:t>
            </w:r>
          </w:p>
        </w:tc>
        <w:tc>
          <w:tcPr>
            <w:tcW w:w="708" w:type="dxa"/>
          </w:tcPr>
          <w:p w14:paraId="27BCE3F1"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rPr>
            </w:pPr>
            <w:r w:rsidRPr="008F4A58">
              <w:rPr>
                <w:sz w:val="18"/>
              </w:rPr>
              <w:t>95%</w:t>
            </w:r>
          </w:p>
        </w:tc>
        <w:tc>
          <w:tcPr>
            <w:tcW w:w="709" w:type="dxa"/>
          </w:tcPr>
          <w:p w14:paraId="14815B36"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rPr>
            </w:pPr>
            <w:r w:rsidRPr="008F4A58">
              <w:rPr>
                <w:sz w:val="18"/>
              </w:rPr>
              <w:t>90-99%</w:t>
            </w:r>
          </w:p>
        </w:tc>
        <w:tc>
          <w:tcPr>
            <w:tcW w:w="4379" w:type="dxa"/>
          </w:tcPr>
          <w:p w14:paraId="4194E51C" w14:textId="01CFC97C" w:rsidR="00512EC8" w:rsidRPr="008F4A58" w:rsidRDefault="00512EC8" w:rsidP="006D537D">
            <w:pPr>
              <w:jc w:val="both"/>
              <w:cnfStyle w:val="000000000000" w:firstRow="0" w:lastRow="0" w:firstColumn="0" w:lastColumn="0" w:oddVBand="0" w:evenVBand="0" w:oddHBand="0" w:evenHBand="0" w:firstRowFirstColumn="0" w:firstRowLastColumn="0" w:lastRowFirstColumn="0" w:lastRowLastColumn="0"/>
              <w:rPr>
                <w:i/>
                <w:sz w:val="18"/>
              </w:rPr>
            </w:pPr>
            <w:r w:rsidRPr="008F4A58">
              <w:rPr>
                <w:i/>
                <w:sz w:val="18"/>
              </w:rPr>
              <w:t>Max considering high grade raw starch</w:t>
            </w:r>
            <w:r w:rsidRPr="008F4A58">
              <w:rPr>
                <w:i/>
                <w:sz w:val="18"/>
              </w:rPr>
              <w:fldChar w:fldCharType="begin"/>
            </w:r>
            <w:r w:rsidR="008C451C">
              <w:rPr>
                <w:i/>
                <w:sz w:val="18"/>
              </w:rPr>
              <w:instrText xml:space="preserve"> ADDIN ZOTERO_ITEM CSL_CITATION {"citationID":"OGC2fG9B","properties":{"formattedCitation":"\\super 48\\nosupersub{}","plainCitation":"48","noteIndex":0},"citationItems":[{"id":13212,"uris":["http://zotero.org/users/6423791/items/ANAMP6NH"],"itemData":{"id":13212,"type":"webpage","language":"en-US","title":"ecoinvent databases","URL":"https://ecoinvent.org/","author":[{"literal":"ecoinvent"}],"accessed":{"date-parts":[["2022",5,1]]},"issued":{"date-parts":[["2022"]]}}}],"schema":"https://github.com/citation-style-language/schema/raw/master/csl-citation.json"} </w:instrText>
            </w:r>
            <w:r w:rsidRPr="008F4A58">
              <w:rPr>
                <w:i/>
                <w:sz w:val="18"/>
              </w:rPr>
              <w:fldChar w:fldCharType="separate"/>
            </w:r>
            <w:r w:rsidR="008C451C" w:rsidRPr="008C451C">
              <w:rPr>
                <w:rFonts w:ascii="Calibri" w:hAnsi="Calibri" w:cs="Calibri"/>
                <w:sz w:val="18"/>
                <w:szCs w:val="24"/>
                <w:vertAlign w:val="superscript"/>
              </w:rPr>
              <w:t>48</w:t>
            </w:r>
            <w:r w:rsidRPr="008F4A58">
              <w:rPr>
                <w:i/>
                <w:sz w:val="18"/>
              </w:rPr>
              <w:fldChar w:fldCharType="end"/>
            </w:r>
            <w:r w:rsidRPr="008F4A58">
              <w:rPr>
                <w:i/>
                <w:sz w:val="18"/>
              </w:rPr>
              <w:t>, range for difficulties linked to heterogeneous substrates and different proportions of amylose / amylopectins</w:t>
            </w:r>
            <w:r w:rsidRPr="008F4A58">
              <w:rPr>
                <w:i/>
                <w:sz w:val="18"/>
              </w:rPr>
              <w:fldChar w:fldCharType="begin"/>
            </w:r>
            <w:r w:rsidR="005413B4">
              <w:rPr>
                <w:i/>
                <w:sz w:val="18"/>
              </w:rPr>
              <w:instrText xml:space="preserve"> ADDIN ZOTERO_ITEM CSL_CITATION {"citationID":"BzS0uucy","properties":{"formattedCitation":"\\super 172\\nosupersub{}","plainCitation":"172","noteIndex":0},"citationItems":[{"id":13576,"uris":["http://zotero.org/users/6423791/items/379F7AQM"],"itemData":{"id":13576,"type":"article-journal","abstract":"Starches from various botanical sources, having different amylose–amylopectin levels, were treated with 95% (v/v) dimethylsulphoxide and then dissolved by microwave heating in a high pressure vessel (MWHPV). This procedure led to an almost complete dissolution of the starch sample when it was subsequently taken up in water. Various treatment times were tested, and optimal conditions corresponded to 35 s heating time in MWHPV (maximum temperature 143 °C). Under these conditions, degradation of the polymers was not noticeable and the degree of solubilisation of starch in the samples was in the range 87 to 100%. High-performance size exclusion chromatography (HPSEC) in tandem with multi-angle laser light scattering and refractive index detection was used to investigate apparent weight-average molar mass (Mw) and z-average gyration radius (RG) of the starch components. Apparent Mwand RGvalues for samples with different amylose contents (between ≈0 and 65·8%) were between 2·2±0·2×108and 2·4±0·2×107g/mol and between 250±10 and 163±5 nm, respectively. These values were higher than those reported previously1,2probably due to our more complete but less severe solubilisation procedure. When the heating time was increased from 35 to 90 s (maximum temperature 211°C), the Mwand RGdecreased, demonstrating possible polymer degradation due to temperature. Partial precipitation of high amylose samples after 24 h storage was detected by modifications in chromatograms, compared with freshly prepared samples.","container-title":"Journal of Cereal Science","DOI":"10.1006/jcrs.1998.0186","ISSN":"0733-5210","issue":"3","journalAbbreviation":"Journal of Cereal Science","language":"en","page":"267-278","source":"ScienceDirect","title":"Macromolecular Features of Starches Determined by Aqueous High-performance Size Exclusion Chromatography","volume":"27","author":[{"family":"Bello-Pérez","given":"L. A"},{"family":"Roger","given":"P"},{"family":"Baud","given":"B"},{"family":"Colonna","given":"P"}],"issued":{"date-parts":[["1998",5,1]]}}}],"schema":"https://github.com/citation-style-language/schema/raw/master/csl-citation.json"} </w:instrText>
            </w:r>
            <w:r w:rsidRPr="008F4A58">
              <w:rPr>
                <w:i/>
                <w:sz w:val="18"/>
              </w:rPr>
              <w:fldChar w:fldCharType="separate"/>
            </w:r>
            <w:r w:rsidR="005413B4" w:rsidRPr="005413B4">
              <w:rPr>
                <w:rFonts w:ascii="Calibri" w:hAnsi="Calibri" w:cs="Calibri"/>
                <w:sz w:val="18"/>
                <w:szCs w:val="24"/>
                <w:vertAlign w:val="superscript"/>
              </w:rPr>
              <w:t>172</w:t>
            </w:r>
            <w:r w:rsidRPr="008F4A58">
              <w:rPr>
                <w:i/>
                <w:sz w:val="18"/>
              </w:rPr>
              <w:fldChar w:fldCharType="end"/>
            </w:r>
          </w:p>
        </w:tc>
      </w:tr>
      <w:tr w:rsidR="00512EC8" w:rsidRPr="008F4A58" w14:paraId="2F124BE0"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6"/>
          </w:tcPr>
          <w:p w14:paraId="3B0E4FA5" w14:textId="0086F08F" w:rsidR="00512EC8" w:rsidRPr="008F4A58" w:rsidRDefault="00512EC8" w:rsidP="006D537D">
            <w:pPr>
              <w:rPr>
                <w:b w:val="0"/>
                <w:i/>
                <w:sz w:val="18"/>
              </w:rPr>
            </w:pPr>
            <w:r w:rsidRPr="008F4A58">
              <w:rPr>
                <w:b w:val="0"/>
                <w:i/>
                <w:sz w:val="18"/>
              </w:rPr>
              <w:t>Evaporator modeled as for IL pretreatment, see</w:t>
            </w:r>
            <w:r w:rsidR="00965628" w:rsidRPr="008F4A58">
              <w:rPr>
                <w:i/>
                <w:sz w:val="18"/>
              </w:rPr>
              <w:t xml:space="preserve"> </w:t>
            </w:r>
            <w:r w:rsidR="00965628" w:rsidRPr="008F4A58">
              <w:rPr>
                <w:i/>
                <w:sz w:val="18"/>
              </w:rPr>
              <w:fldChar w:fldCharType="begin"/>
            </w:r>
            <w:r w:rsidR="00965628" w:rsidRPr="008F4A58">
              <w:rPr>
                <w:i/>
                <w:sz w:val="18"/>
              </w:rPr>
              <w:instrText xml:space="preserve"> REF _Ref144807107 \h  \* MERGEFORMAT </w:instrText>
            </w:r>
            <w:r w:rsidR="00965628" w:rsidRPr="008F4A58">
              <w:rPr>
                <w:i/>
                <w:sz w:val="18"/>
              </w:rPr>
            </w:r>
            <w:r w:rsidR="00965628" w:rsidRPr="008F4A58">
              <w:rPr>
                <w:i/>
                <w:sz w:val="18"/>
              </w:rPr>
              <w:fldChar w:fldCharType="separate"/>
            </w:r>
            <w:r w:rsidR="00F25F8C" w:rsidRPr="008F4A58">
              <w:rPr>
                <w:i/>
                <w:sz w:val="18"/>
              </w:rPr>
              <w:t xml:space="preserve">Table SI. </w:t>
            </w:r>
            <w:r w:rsidR="00F25F8C" w:rsidRPr="008F4A58">
              <w:rPr>
                <w:i/>
                <w:noProof/>
                <w:sz w:val="18"/>
              </w:rPr>
              <w:t>43</w:t>
            </w:r>
            <w:r w:rsidR="00965628" w:rsidRPr="008F4A58">
              <w:rPr>
                <w:i/>
                <w:sz w:val="18"/>
              </w:rPr>
              <w:fldChar w:fldCharType="end"/>
            </w:r>
            <w:r w:rsidRPr="008F4A58">
              <w:rPr>
                <w:b w:val="0"/>
                <w:i/>
                <w:sz w:val="18"/>
              </w:rPr>
              <w:t>.</w:t>
            </w:r>
          </w:p>
        </w:tc>
      </w:tr>
    </w:tbl>
    <w:p w14:paraId="6BF5AF88" w14:textId="78355549" w:rsidR="00512EC8" w:rsidRPr="003F5DA8" w:rsidRDefault="00512EC8" w:rsidP="006B5342">
      <w:pPr>
        <w:rPr>
          <w:rFonts w:cs="Times New Roman"/>
          <w:sz w:val="18"/>
        </w:rPr>
      </w:pPr>
      <w:r w:rsidRPr="003F5DA8">
        <w:rPr>
          <w:rFonts w:cs="Times New Roman"/>
          <w:sz w:val="18"/>
        </w:rPr>
        <w:t xml:space="preserve">More details provided </w:t>
      </w:r>
      <w:r w:rsidR="008F4A58">
        <w:rPr>
          <w:rFonts w:cs="Times New Roman"/>
          <w:sz w:val="18"/>
        </w:rPr>
        <w:t xml:space="preserve">in </w:t>
      </w:r>
      <w:proofErr w:type="gramStart"/>
      <w:r w:rsidR="008F4A58" w:rsidRPr="008F4A58">
        <w:rPr>
          <w:rFonts w:cs="Times New Roman"/>
          <w:i/>
          <w:sz w:val="18"/>
        </w:rPr>
        <w:t>B.myco</w:t>
      </w:r>
      <w:proofErr w:type="gramEnd"/>
      <w:r w:rsidR="008F4A58" w:rsidRPr="008F4A58">
        <w:rPr>
          <w:rFonts w:cs="Times New Roman"/>
          <w:i/>
          <w:sz w:val="18"/>
        </w:rPr>
        <w:t>_module spreadsheet</w:t>
      </w:r>
      <w:r w:rsidRPr="003F5DA8">
        <w:rPr>
          <w:rFonts w:cs="Times New Roman"/>
          <w:sz w:val="18"/>
        </w:rPr>
        <w:t>.</w:t>
      </w:r>
    </w:p>
    <w:p w14:paraId="4B5BE878" w14:textId="3CB4A1E8" w:rsidR="00512EC8" w:rsidRDefault="00512EC8" w:rsidP="00512EC8">
      <w:pPr>
        <w:jc w:val="both"/>
      </w:pPr>
      <w:r w:rsidRPr="003F5DA8">
        <w:t xml:space="preserve">Notably, the infrastructure of this starch variant was proxied exactly as performed in the glucose production inventory of ecoinvent with the “chemical factory construction, RER” process (0.013 </w:t>
      </w:r>
      <w:proofErr w:type="gramStart"/>
      <w:r w:rsidRPr="003F5DA8">
        <w:t>kg</w:t>
      </w:r>
      <w:r w:rsidRPr="003F5DA8">
        <w:rPr>
          <w:vertAlign w:val="subscript"/>
        </w:rPr>
        <w:t>facto</w:t>
      </w:r>
      <w:r w:rsidRPr="003F5DA8">
        <w:t>.kg</w:t>
      </w:r>
      <w:r w:rsidRPr="003F5DA8">
        <w:rPr>
          <w:vertAlign w:val="subscript"/>
        </w:rPr>
        <w:t>sugars</w:t>
      </w:r>
      <w:proofErr w:type="gramEnd"/>
      <w:r w:rsidRPr="003F5DA8">
        <w:rPr>
          <w:vertAlign w:val="superscript"/>
        </w:rPr>
        <w:t>-1</w:t>
      </w:r>
      <w:r w:rsidRPr="003F5DA8">
        <w:t>).</w:t>
      </w:r>
    </w:p>
    <w:p w14:paraId="78B42156" w14:textId="77777777" w:rsidR="008F4A58" w:rsidRDefault="008F4A58" w:rsidP="00512EC8">
      <w:pPr>
        <w:jc w:val="both"/>
      </w:pPr>
    </w:p>
    <w:p w14:paraId="2876A4F1" w14:textId="699875A5" w:rsidR="00512EC8" w:rsidRPr="00512EC8" w:rsidRDefault="00512EC8" w:rsidP="00965628">
      <w:pPr>
        <w:pStyle w:val="Titre3"/>
      </w:pPr>
      <w:bookmarkStart w:id="216" w:name="_Ref144828611"/>
      <w:bookmarkStart w:id="217" w:name="_Toc145069122"/>
      <w:r w:rsidRPr="00512EC8">
        <w:t>Unit operation design and assumptions – Mycoproteins production</w:t>
      </w:r>
      <w:bookmarkEnd w:id="216"/>
      <w:bookmarkEnd w:id="217"/>
    </w:p>
    <w:p w14:paraId="78D5CC7B" w14:textId="1DCAD572" w:rsidR="00512EC8" w:rsidRDefault="00512EC8" w:rsidP="00965628">
      <w:pPr>
        <w:ind w:firstLine="360"/>
        <w:jc w:val="both"/>
      </w:pPr>
      <w:r w:rsidRPr="003F5DA8">
        <w:t>The unit operations described below are common to both the lignocellulosic and starch variants. For its modular design, this model can also directly be supplied with sugar-rich streams (e.g. molasses), without any pretreatment requirements, but this option was not contemplated in this study.</w:t>
      </w:r>
    </w:p>
    <w:p w14:paraId="3D1279F4" w14:textId="77777777" w:rsidR="00512EC8" w:rsidRPr="00512EC8" w:rsidRDefault="00512EC8" w:rsidP="00965628">
      <w:pPr>
        <w:pStyle w:val="Titre4"/>
      </w:pPr>
      <w:r w:rsidRPr="00512EC8">
        <w:t>Bioreactor</w:t>
      </w:r>
    </w:p>
    <w:p w14:paraId="08DD5571" w14:textId="7708C273" w:rsidR="00512EC8" w:rsidRPr="003F5DA8" w:rsidRDefault="00512EC8" w:rsidP="00965628">
      <w:pPr>
        <w:ind w:firstLine="360"/>
        <w:jc w:val="both"/>
      </w:pPr>
      <w:r w:rsidRPr="00965628">
        <w:t>This section and every related unit operation were mostly derived from Upcraft et al., 2021</w:t>
      </w:r>
      <w:r w:rsidRPr="00965628">
        <w:fldChar w:fldCharType="begin"/>
      </w:r>
      <w:r w:rsidR="005413B4">
        <w:instrText xml:space="preserve"> ADDIN ZOTERO_ITEM CSL_CITATION {"citationID":"q4D3rtVs","properties":{"formattedCitation":"\\super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965628">
        <w:fldChar w:fldCharType="separate"/>
      </w:r>
      <w:r w:rsidR="005413B4" w:rsidRPr="005413B4">
        <w:rPr>
          <w:rFonts w:ascii="Calibri" w:hAnsi="Calibri" w:cs="Calibri"/>
          <w:szCs w:val="24"/>
          <w:vertAlign w:val="superscript"/>
        </w:rPr>
        <w:t>131</w:t>
      </w:r>
      <w:r w:rsidRPr="00965628">
        <w:fldChar w:fldCharType="end"/>
      </w:r>
      <w:r w:rsidRPr="00965628">
        <w:t xml:space="preserve"> </w:t>
      </w:r>
      <w:r w:rsidR="005413B4">
        <w:t>and Risner et al., 2023</w:t>
      </w:r>
      <w:r w:rsidR="005413B4" w:rsidRPr="005413B4">
        <w:fldChar w:fldCharType="begin"/>
      </w:r>
      <w:r w:rsidR="005413B4">
        <w:instrText xml:space="preserve"> ADDIN ZOTERO_ITEM CSL_CITATION {"citationID":"ai7nmi1n80","properties":{"formattedCitation":"\\super 142\\nosupersub{}","plainCitation":"142","noteIndex":0},"citationItems":[{"id":14220,"uris":["http://zotero.org/users/6423791/items/EQXQCB5P"],"itemData":{"id":14220,"type":"article-journal","abstract":"Predicted famines due to population increase created an interest in the development of protein alternatives during the 1950s. Currently, a renewed interest in protein alternatives has developed as a potential strategy to decrease the environmental impact of protein production and meet the global demand for protein as the population increases. Fusarium venenatum A3/5/3, the organism used for mycoprotein production has been commercially available since the 1980s, however new fungal protein companies are currently interested in scaling up production. To aid guide efforts in this domain, we created an economic model with over 340 inputs that examines the continuous production of mycoprotein utilizing airlift bioreactors. Utilizing a sensitivity analysis, we identified critical processing inputs and then developed a user-friendly Excel model that allows for the exploration of customized production scenarios for interested stakeholders. Our findings indicate that mycoprotein can be cost competitive with beef on a price per protein basis. The findings also indicate that mycoprotein may not be an economically competitive alternative for other types of commodity meats (chicken) or for inexpensive meat-derived products (pet food) that utilize offal or meat byproducts not traditionally consumed in the modern western diet.","container-title":"Frontiers in Sustainable Food Systems","ISSN":"2571-581X","journalAbbreviation":"Front. Sustain. Food Syst.","source":"Frontiers","title":"A techno-economic model of mycoprotein production: achieving price parity with beef protein","title-short":"A techno-economic model of mycoprotein production","URL":"https://www.frontiersin.org/articles/10.3389/fsufs.2023.1204307","volume":"7","author":[{"family":"Risner","given":"Derrick"},{"family":"McDonald","given":"Karen A."},{"family":"Jones","given":"Carl"},{"family":"Spang","given":"Edward S."}],"accessed":{"date-parts":[["2023",7,27]]},"issued":{"date-parts":[["2023"]]}}}],"schema":"https://github.com/citation-style-language/schema/raw/master/csl-citation.json"} </w:instrText>
      </w:r>
      <w:r w:rsidR="005413B4" w:rsidRPr="005413B4">
        <w:fldChar w:fldCharType="separate"/>
      </w:r>
      <w:r w:rsidR="005413B4" w:rsidRPr="005413B4">
        <w:rPr>
          <w:rFonts w:ascii="Calibri" w:hAnsi="Calibri" w:cs="Calibri"/>
          <w:szCs w:val="24"/>
          <w:vertAlign w:val="superscript"/>
        </w:rPr>
        <w:t>142</w:t>
      </w:r>
      <w:r w:rsidR="005413B4" w:rsidRPr="005413B4">
        <w:fldChar w:fldCharType="end"/>
      </w:r>
      <w:r w:rsidR="005413B4">
        <w:t xml:space="preserve"> </w:t>
      </w:r>
      <w:r w:rsidRPr="00965628">
        <w:t>who build on the already existing mycoproteins production (Quorn; industrial scale), but was adapted to be homogeneous with MP production mode</w:t>
      </w:r>
      <w:r w:rsidR="00655BBB">
        <w:t>l</w:t>
      </w:r>
      <w:r w:rsidRPr="00965628">
        <w:t>. Indeed, both fungi and bacteria selected in this study are aerobics cultured in similar bioreactors (airlifts and U-loops). Quorn development was forecasted to reach a 250 m</w:t>
      </w:r>
      <w:r w:rsidRPr="00965628">
        <w:rPr>
          <w:vertAlign w:val="superscript"/>
        </w:rPr>
        <w:t>3</w:t>
      </w:r>
      <w:r w:rsidRPr="00965628">
        <w:t xml:space="preserve"> continuous airlift-bioreactor (50m height), including a 25% extra-volume</w:t>
      </w:r>
      <w:r w:rsidRPr="00965628">
        <w:fldChar w:fldCharType="begin"/>
      </w:r>
      <w:r w:rsidR="005413B4">
        <w:instrText xml:space="preserve"> ADDIN ZOTERO_ITEM CSL_CITATION {"citationID":"e2lqNXYC","properties":{"formattedCitation":"\\super 173\\nosupersub{}","plainCitation":"173","noteIndex":0},"citationItems":[{"id":10967,"uris":["http://zotero.org/users/6423791/items/P67XNRD9"],"itemData":{"id":10967,"type":"report","abstract":"UK The overall aim was to investigate if soybean products from South American can be replaced by protein sources produced in Europe in a sustainable way. Based on data from literature, and based on the systematics of the FeedPrint programme, the nutritional value and the carbon footprint (CFP) of these protein sources is determined. These protein sources are used in feed optimizations of a starter diet for pigs, thereby maintaining the nutritional value of the diet. Subsequently, the CFP of the grower diet is calculated. The results and conclusions will be discussed in this report.","collection-title":"Wageningen UR Livestock Research","event-place":"Lelystad","language":"en","number":"819","page":"47","publisher":"Wageningen","publisher-place":"Lelystad","source":"Zotero","title":"Replacement of soybean meal in compound feed by European protein sources","author":[{"family":"Boer","given":"H C","non-dropping-particle":"de"},{"family":"Krimpen","given":"M M","non-dropping-particle":"van"},{"family":"Blonk","given":"H"},{"family":"Tyszler","given":"M"}],"issued":{"date-parts":[["2014"]]}}}],"schema":"https://github.com/citation-style-language/schema/raw/master/csl-citation.json"} </w:instrText>
      </w:r>
      <w:r w:rsidRPr="00965628">
        <w:fldChar w:fldCharType="separate"/>
      </w:r>
      <w:r w:rsidR="005413B4" w:rsidRPr="005413B4">
        <w:rPr>
          <w:rFonts w:ascii="Calibri" w:hAnsi="Calibri" w:cs="Calibri"/>
          <w:szCs w:val="24"/>
          <w:vertAlign w:val="superscript"/>
        </w:rPr>
        <w:t>173</w:t>
      </w:r>
      <w:r w:rsidRPr="00965628">
        <w:fldChar w:fldCharType="end"/>
      </w:r>
      <w:r w:rsidRPr="00965628">
        <w:t>. The same plant availability than for the lignocellulosic facility was assumed (8000 h.y</w:t>
      </w:r>
      <w:r w:rsidRPr="00965628">
        <w:rPr>
          <w:vertAlign w:val="superscript"/>
        </w:rPr>
        <w:t>-1</w:t>
      </w:r>
      <w:r w:rsidRPr="00965628">
        <w:t>), and both plants were considered synergistically integrated within the same industrial complex. Seed production was neglected in front of the large production cycles, and no formation of extra-cellular compounds were considered. Effects of the hydrolysate’s impurities on culture were also neglected, and the sterilization was assumed to already have been performed during the hydrolysate’s concentration stage so no specific process was modeled. Accordingly, the present design relies on the optimistic assumption that mycoproteins production performances on low-refined C</w:t>
      </w:r>
      <w:r w:rsidRPr="00965628">
        <w:rPr>
          <w:vertAlign w:val="subscript"/>
        </w:rPr>
        <w:t>5</w:t>
      </w:r>
      <w:r w:rsidRPr="00965628">
        <w:t>-C</w:t>
      </w:r>
      <w:r w:rsidRPr="00965628">
        <w:rPr>
          <w:vertAlign w:val="subscript"/>
        </w:rPr>
        <w:t>6</w:t>
      </w:r>
      <w:r w:rsidRPr="00965628">
        <w:t xml:space="preserve"> mix hydrolysates are as good as on current tailored substrates.</w:t>
      </w:r>
    </w:p>
    <w:p w14:paraId="2E2394B0" w14:textId="77777777" w:rsidR="00512EC8" w:rsidRPr="00512EC8" w:rsidRDefault="00512EC8" w:rsidP="00965628">
      <w:pPr>
        <w:pStyle w:val="Titre4"/>
      </w:pPr>
      <w:r w:rsidRPr="00512EC8">
        <w:t>Microbial strains</w:t>
      </w:r>
    </w:p>
    <w:p w14:paraId="260BE61A" w14:textId="44A7EE3F" w:rsidR="008F4A58" w:rsidRDefault="00512EC8" w:rsidP="00965628">
      <w:pPr>
        <w:ind w:firstLine="360"/>
        <w:jc w:val="both"/>
      </w:pPr>
      <w:r w:rsidRPr="003F5DA8">
        <w:t xml:space="preserve">As </w:t>
      </w:r>
      <w:r w:rsidR="00965628">
        <w:t>argued</w:t>
      </w:r>
      <w:r w:rsidRPr="00965628">
        <w:t xml:space="preserve"> in</w:t>
      </w:r>
      <w:r w:rsidR="00965628" w:rsidRPr="00965628">
        <w:t xml:space="preserve"> the main manuscript</w:t>
      </w:r>
      <w:r w:rsidRPr="00965628">
        <w:t>, the</w:t>
      </w:r>
      <w:r w:rsidRPr="003F5DA8">
        <w:t xml:space="preserve"> strain </w:t>
      </w:r>
      <w:r w:rsidRPr="003F5DA8">
        <w:rPr>
          <w:i/>
        </w:rPr>
        <w:t>Fusarium Venenatum</w:t>
      </w:r>
      <w:r w:rsidRPr="003F5DA8">
        <w:t xml:space="preserve"> was selected to represent mycoproteins, the microbial biomass (X; ash-free) was modeled as C</w:t>
      </w:r>
      <w:r w:rsidRPr="003F5DA8">
        <w:rPr>
          <w:vertAlign w:val="subscript"/>
        </w:rPr>
        <w:t>5.8</w:t>
      </w:r>
      <w:r w:rsidRPr="003F5DA8">
        <w:t>H</w:t>
      </w:r>
      <w:r w:rsidRPr="003F5DA8">
        <w:rPr>
          <w:vertAlign w:val="subscript"/>
        </w:rPr>
        <w:t>11.5</w:t>
      </w:r>
      <w:r w:rsidRPr="003F5DA8">
        <w:t>O</w:t>
      </w:r>
      <w:r w:rsidRPr="003F5DA8">
        <w:rPr>
          <w:vertAlign w:val="subscript"/>
        </w:rPr>
        <w:t>3.7</w:t>
      </w:r>
      <w:r w:rsidRPr="003F5DA8">
        <w:t>N</w:t>
      </w:r>
      <w:r w:rsidRPr="003F5DA8">
        <w:fldChar w:fldCharType="begin"/>
      </w:r>
      <w:r w:rsidR="005413B4">
        <w:instrText xml:space="preserve"> ADDIN ZOTERO_ITEM CSL_CITATION {"citationID":"axTY2s5J","properties":{"formattedCitation":"\\super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3F5DA8">
        <w:fldChar w:fldCharType="separate"/>
      </w:r>
      <w:r w:rsidR="005413B4" w:rsidRPr="005413B4">
        <w:rPr>
          <w:rFonts w:ascii="Calibri" w:hAnsi="Calibri" w:cs="Calibri"/>
          <w:szCs w:val="24"/>
          <w:vertAlign w:val="superscript"/>
        </w:rPr>
        <w:t>131</w:t>
      </w:r>
      <w:r w:rsidRPr="003F5DA8">
        <w:fldChar w:fldCharType="end"/>
      </w:r>
      <w:r w:rsidRPr="003F5DA8">
        <w:t xml:space="preserve">. </w:t>
      </w:r>
      <w:r w:rsidR="00965628" w:rsidRPr="00965628">
        <w:rPr>
          <w:b/>
        </w:rPr>
        <w:fldChar w:fldCharType="begin"/>
      </w:r>
      <w:r w:rsidR="00965628" w:rsidRPr="00965628">
        <w:rPr>
          <w:b/>
        </w:rPr>
        <w:instrText xml:space="preserve"> REF _Ref144819721 \h </w:instrText>
      </w:r>
      <w:r w:rsidR="00965628">
        <w:rPr>
          <w:b/>
        </w:rPr>
        <w:instrText xml:space="preserve"> \* MERGEFORMAT </w:instrText>
      </w:r>
      <w:r w:rsidR="00965628" w:rsidRPr="00965628">
        <w:rPr>
          <w:b/>
        </w:rPr>
      </w:r>
      <w:r w:rsidR="00965628" w:rsidRPr="00965628">
        <w:rPr>
          <w:b/>
        </w:rPr>
        <w:fldChar w:fldCharType="separate"/>
      </w:r>
      <w:r w:rsidR="00F25F8C" w:rsidRPr="00F25F8C">
        <w:rPr>
          <w:b/>
        </w:rPr>
        <w:t xml:space="preserve">Table SI. </w:t>
      </w:r>
      <w:r w:rsidR="00F25F8C" w:rsidRPr="00F25F8C">
        <w:rPr>
          <w:b/>
          <w:noProof/>
        </w:rPr>
        <w:t>49</w:t>
      </w:r>
      <w:r w:rsidR="00965628" w:rsidRPr="00965628">
        <w:rPr>
          <w:b/>
        </w:rPr>
        <w:fldChar w:fldCharType="end"/>
      </w:r>
      <w:r w:rsidR="00965628">
        <w:t xml:space="preserve"> </w:t>
      </w:r>
      <w:r w:rsidRPr="003F5DA8">
        <w:t>summarizes the main assumptions and indicators considered regarding microbial biomass production.</w:t>
      </w:r>
    </w:p>
    <w:p w14:paraId="12142987" w14:textId="77777777" w:rsidR="008F4A58" w:rsidRDefault="008F4A58">
      <w:r>
        <w:br w:type="page"/>
      </w:r>
    </w:p>
    <w:p w14:paraId="318735D5" w14:textId="0ACD407F" w:rsidR="00512EC8" w:rsidRPr="00493870" w:rsidRDefault="00874128" w:rsidP="006B5342">
      <w:pPr>
        <w:pStyle w:val="Lgende"/>
        <w:jc w:val="left"/>
        <w:rPr>
          <w:b w:val="0"/>
          <w:i/>
        </w:rPr>
      </w:pPr>
      <w:bookmarkStart w:id="218" w:name="_Ref144819721"/>
      <w:bookmarkStart w:id="219" w:name="_Toc134537660"/>
      <w:bookmarkStart w:id="220" w:name="_Toc151967933"/>
      <w:r>
        <w:lastRenderedPageBreak/>
        <w:t>Table SI.</w:t>
      </w:r>
      <w:r w:rsidR="00512EC8">
        <w:t xml:space="preserve"> </w:t>
      </w:r>
      <w:r>
        <w:fldChar w:fldCharType="begin"/>
      </w:r>
      <w:r>
        <w:instrText xml:space="preserve"> SEQ Table_SI. \* ARABIC </w:instrText>
      </w:r>
      <w:r>
        <w:fldChar w:fldCharType="separate"/>
      </w:r>
      <w:r w:rsidR="00F25F8C">
        <w:rPr>
          <w:noProof/>
        </w:rPr>
        <w:t>49</w:t>
      </w:r>
      <w:r>
        <w:fldChar w:fldCharType="end"/>
      </w:r>
      <w:bookmarkEnd w:id="218"/>
      <w:r w:rsidR="00512EC8">
        <w:t xml:space="preserve"> </w:t>
      </w:r>
      <w:r w:rsidR="00512EC8" w:rsidRPr="00B56B39">
        <w:t xml:space="preserve">– </w:t>
      </w:r>
      <w:r w:rsidR="00512EC8">
        <w:t>R</w:t>
      </w:r>
      <w:r w:rsidR="00512EC8" w:rsidRPr="00B56B39">
        <w:t>eview and calculation of mycoproteins growth performances</w:t>
      </w:r>
      <w:bookmarkEnd w:id="219"/>
      <w:bookmarkEnd w:id="220"/>
    </w:p>
    <w:tbl>
      <w:tblPr>
        <w:tblStyle w:val="Tableausimple2"/>
        <w:tblW w:w="0" w:type="auto"/>
        <w:tblLook w:val="04A0" w:firstRow="1" w:lastRow="0" w:firstColumn="1" w:lastColumn="0" w:noHBand="0" w:noVBand="1"/>
      </w:tblPr>
      <w:tblGrid>
        <w:gridCol w:w="1403"/>
        <w:gridCol w:w="995"/>
        <w:gridCol w:w="643"/>
        <w:gridCol w:w="910"/>
        <w:gridCol w:w="3827"/>
      </w:tblGrid>
      <w:tr w:rsidR="00512EC8" w:rsidRPr="008F4A58" w14:paraId="4762F407" w14:textId="77777777" w:rsidTr="006B5342">
        <w:trPr>
          <w:cnfStyle w:val="100000000000" w:firstRow="1" w:lastRow="0" w:firstColumn="0" w:lastColumn="0" w:oddVBand="0" w:evenVBand="0" w:oddHBand="0" w:evenHBand="0" w:firstRowFirstColumn="0" w:firstRowLastColumn="0" w:lastRowFirstColumn="0" w:lastRowLastColumn="0"/>
          <w:trHeight w:val="469"/>
        </w:trPr>
        <w:tc>
          <w:tcPr>
            <w:cnfStyle w:val="001000000000" w:firstRow="0" w:lastRow="0" w:firstColumn="1" w:lastColumn="0" w:oddVBand="0" w:evenVBand="0" w:oddHBand="0" w:evenHBand="0" w:firstRowFirstColumn="0" w:firstRowLastColumn="0" w:lastRowFirstColumn="0" w:lastRowLastColumn="0"/>
            <w:tcW w:w="1403" w:type="dxa"/>
          </w:tcPr>
          <w:p w14:paraId="2B2903AC" w14:textId="77777777" w:rsidR="00512EC8" w:rsidRPr="008F4A58" w:rsidRDefault="00512EC8" w:rsidP="006D537D">
            <w:pPr>
              <w:jc w:val="right"/>
              <w:rPr>
                <w:sz w:val="18"/>
                <w:szCs w:val="18"/>
              </w:rPr>
            </w:pPr>
            <w:r w:rsidRPr="008F4A58">
              <w:rPr>
                <w:sz w:val="18"/>
                <w:szCs w:val="18"/>
              </w:rPr>
              <w:t>Performance indicators</w:t>
            </w:r>
          </w:p>
        </w:tc>
        <w:tc>
          <w:tcPr>
            <w:tcW w:w="995" w:type="dxa"/>
          </w:tcPr>
          <w:p w14:paraId="5F7EA869"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Unit</w:t>
            </w:r>
          </w:p>
        </w:tc>
        <w:tc>
          <w:tcPr>
            <w:tcW w:w="0" w:type="auto"/>
          </w:tcPr>
          <w:p w14:paraId="190FB690"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Value</w:t>
            </w:r>
          </w:p>
        </w:tc>
        <w:tc>
          <w:tcPr>
            <w:tcW w:w="0" w:type="auto"/>
          </w:tcPr>
          <w:p w14:paraId="0ADB73CE"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Range</w:t>
            </w:r>
          </w:p>
        </w:tc>
        <w:tc>
          <w:tcPr>
            <w:tcW w:w="3827" w:type="dxa"/>
          </w:tcPr>
          <w:p w14:paraId="1FF64FDF" w14:textId="77777777" w:rsidR="00512EC8" w:rsidRPr="008F4A58" w:rsidRDefault="00512EC8" w:rsidP="00965628">
            <w:pPr>
              <w:cnfStyle w:val="100000000000" w:firstRow="1" w:lastRow="0" w:firstColumn="0" w:lastColumn="0" w:oddVBand="0" w:evenVBand="0" w:oddHBand="0" w:evenHBand="0" w:firstRowFirstColumn="0" w:firstRowLastColumn="0" w:lastRowFirstColumn="0" w:lastRowLastColumn="0"/>
              <w:rPr>
                <w:i/>
                <w:sz w:val="18"/>
                <w:szCs w:val="18"/>
              </w:rPr>
            </w:pPr>
            <w:r w:rsidRPr="008F4A58">
              <w:rPr>
                <w:i/>
                <w:sz w:val="18"/>
                <w:szCs w:val="18"/>
              </w:rPr>
              <w:t>Comment</w:t>
            </w:r>
          </w:p>
        </w:tc>
      </w:tr>
      <w:tr w:rsidR="00512EC8" w:rsidRPr="008F4A58" w14:paraId="04FE14A9" w14:textId="77777777" w:rsidTr="006B5342">
        <w:trPr>
          <w:cnfStyle w:val="000000100000" w:firstRow="0" w:lastRow="0" w:firstColumn="0" w:lastColumn="0" w:oddVBand="0" w:evenVBand="0" w:oddHBand="1" w:evenHBand="0" w:firstRowFirstColumn="0" w:firstRowLastColumn="0" w:lastRowFirstColumn="0" w:lastRowLastColumn="0"/>
          <w:trHeight w:val="313"/>
        </w:trPr>
        <w:tc>
          <w:tcPr>
            <w:cnfStyle w:val="001000000000" w:firstRow="0" w:lastRow="0" w:firstColumn="1" w:lastColumn="0" w:oddVBand="0" w:evenVBand="0" w:oddHBand="0" w:evenHBand="0" w:firstRowFirstColumn="0" w:firstRowLastColumn="0" w:lastRowFirstColumn="0" w:lastRowLastColumn="0"/>
            <w:tcW w:w="1403" w:type="dxa"/>
          </w:tcPr>
          <w:p w14:paraId="3A389E77" w14:textId="77777777" w:rsidR="00512EC8" w:rsidRPr="008F4A58" w:rsidRDefault="00512EC8" w:rsidP="006D537D">
            <w:pPr>
              <w:jc w:val="right"/>
              <w:rPr>
                <w:sz w:val="18"/>
                <w:szCs w:val="18"/>
              </w:rPr>
            </w:pPr>
            <w:r w:rsidRPr="008F4A58">
              <w:rPr>
                <w:sz w:val="18"/>
                <w:szCs w:val="18"/>
              </w:rPr>
              <w:t>C</w:t>
            </w:r>
            <w:r w:rsidRPr="008F4A58">
              <w:rPr>
                <w:sz w:val="18"/>
                <w:szCs w:val="18"/>
                <w:vertAlign w:val="subscript"/>
              </w:rPr>
              <w:t>6</w:t>
            </w:r>
            <w:r w:rsidRPr="008F4A58">
              <w:rPr>
                <w:sz w:val="18"/>
                <w:szCs w:val="18"/>
              </w:rPr>
              <w:t xml:space="preserve"> yield (Y</w:t>
            </w:r>
            <w:r w:rsidRPr="008F4A58">
              <w:rPr>
                <w:sz w:val="18"/>
                <w:szCs w:val="18"/>
                <w:vertAlign w:val="subscript"/>
              </w:rPr>
              <w:t>x/s</w:t>
            </w:r>
            <w:r w:rsidRPr="008F4A58">
              <w:rPr>
                <w:sz w:val="18"/>
                <w:szCs w:val="18"/>
              </w:rPr>
              <w:t>)</w:t>
            </w:r>
          </w:p>
        </w:tc>
        <w:tc>
          <w:tcPr>
            <w:tcW w:w="995" w:type="dxa"/>
          </w:tcPr>
          <w:p w14:paraId="2924009E"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8F4A58">
              <w:rPr>
                <w:color w:val="000000"/>
                <w:sz w:val="18"/>
                <w:szCs w:val="18"/>
              </w:rPr>
              <w:t>g</w:t>
            </w:r>
            <w:r w:rsidRPr="008F4A58">
              <w:rPr>
                <w:color w:val="000000"/>
                <w:sz w:val="18"/>
                <w:szCs w:val="18"/>
                <w:vertAlign w:val="subscript"/>
              </w:rPr>
              <w:t>X</w:t>
            </w:r>
            <w:r w:rsidRPr="008F4A58">
              <w:rPr>
                <w:color w:val="000000"/>
                <w:sz w:val="18"/>
                <w:szCs w:val="18"/>
              </w:rPr>
              <w:t>.g</w:t>
            </w:r>
            <w:r w:rsidRPr="008F4A58">
              <w:rPr>
                <w:color w:val="000000"/>
                <w:sz w:val="18"/>
                <w:szCs w:val="18"/>
                <w:vertAlign w:val="subscript"/>
              </w:rPr>
              <w:t>S</w:t>
            </w:r>
            <w:proofErr w:type="gramEnd"/>
            <w:r w:rsidRPr="008F4A58">
              <w:rPr>
                <w:color w:val="000000"/>
                <w:sz w:val="18"/>
                <w:szCs w:val="18"/>
                <w:vertAlign w:val="superscript"/>
              </w:rPr>
              <w:t>-1</w:t>
            </w:r>
          </w:p>
        </w:tc>
        <w:tc>
          <w:tcPr>
            <w:tcW w:w="0" w:type="auto"/>
          </w:tcPr>
          <w:p w14:paraId="65386884"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b/>
                <w:sz w:val="18"/>
                <w:szCs w:val="18"/>
              </w:rPr>
            </w:pPr>
            <w:r w:rsidRPr="008F4A58">
              <w:rPr>
                <w:b/>
                <w:sz w:val="18"/>
                <w:szCs w:val="18"/>
              </w:rPr>
              <w:t>0.29</w:t>
            </w:r>
          </w:p>
        </w:tc>
        <w:tc>
          <w:tcPr>
            <w:tcW w:w="0" w:type="auto"/>
          </w:tcPr>
          <w:p w14:paraId="400E75DB"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0.26-0.36</w:t>
            </w:r>
          </w:p>
        </w:tc>
        <w:tc>
          <w:tcPr>
            <w:tcW w:w="3827" w:type="dxa"/>
            <w:vMerge w:val="restart"/>
          </w:tcPr>
          <w:p w14:paraId="05CC2D9A" w14:textId="2E8B1B25" w:rsidR="00512EC8" w:rsidRPr="008F4A58" w:rsidRDefault="00512EC8" w:rsidP="006D537D">
            <w:pPr>
              <w:jc w:val="both"/>
              <w:cnfStyle w:val="000000100000" w:firstRow="0" w:lastRow="0" w:firstColumn="0" w:lastColumn="0" w:oddVBand="0" w:evenVBand="0" w:oddHBand="1" w:evenHBand="0" w:firstRowFirstColumn="0" w:firstRowLastColumn="0" w:lastRowFirstColumn="0" w:lastRowLastColumn="0"/>
              <w:rPr>
                <w:i/>
                <w:sz w:val="18"/>
                <w:szCs w:val="18"/>
              </w:rPr>
            </w:pPr>
            <w:r w:rsidRPr="008F4A58">
              <w:rPr>
                <w:b/>
                <w:i/>
                <w:sz w:val="18"/>
                <w:szCs w:val="18"/>
              </w:rPr>
              <w:t>Parameters</w:t>
            </w:r>
            <w:r w:rsidRPr="008F4A58">
              <w:rPr>
                <w:i/>
                <w:sz w:val="18"/>
                <w:szCs w:val="18"/>
              </w:rPr>
              <w:t>: Baseline values as Upcraft et al., 2021</w:t>
            </w:r>
            <w:r w:rsidRPr="008F4A58">
              <w:rPr>
                <w:i/>
                <w:sz w:val="18"/>
                <w:szCs w:val="18"/>
              </w:rPr>
              <w:fldChar w:fldCharType="begin"/>
            </w:r>
            <w:r w:rsidR="005413B4">
              <w:rPr>
                <w:i/>
                <w:sz w:val="18"/>
                <w:szCs w:val="18"/>
              </w:rPr>
              <w:instrText xml:space="preserve"> ADDIN ZOTERO_ITEM CSL_CITATION {"citationID":"jNqCNqqL","properties":{"formattedCitation":"\\super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131</w:t>
            </w:r>
            <w:r w:rsidRPr="008F4A58">
              <w:rPr>
                <w:i/>
                <w:sz w:val="18"/>
                <w:szCs w:val="18"/>
              </w:rPr>
              <w:fldChar w:fldCharType="end"/>
            </w:r>
            <w:r w:rsidRPr="008F4A58">
              <w:rPr>
                <w:i/>
                <w:sz w:val="18"/>
                <w:szCs w:val="18"/>
              </w:rPr>
              <w:t>. C</w:t>
            </w:r>
            <w:r w:rsidRPr="008F4A58">
              <w:rPr>
                <w:i/>
                <w:sz w:val="18"/>
                <w:szCs w:val="18"/>
                <w:vertAlign w:val="subscript"/>
              </w:rPr>
              <w:t>6</w:t>
            </w:r>
            <w:r w:rsidRPr="008F4A58">
              <w:rPr>
                <w:i/>
                <w:sz w:val="18"/>
                <w:szCs w:val="18"/>
              </w:rPr>
              <w:t xml:space="preserve"> higher range mentioned for Torula</w:t>
            </w:r>
            <w:r w:rsidRPr="008F4A58">
              <w:rPr>
                <w:i/>
                <w:sz w:val="18"/>
                <w:szCs w:val="18"/>
              </w:rPr>
              <w:fldChar w:fldCharType="begin"/>
            </w:r>
            <w:r w:rsidR="005413B4">
              <w:rPr>
                <w:i/>
                <w:sz w:val="18"/>
                <w:szCs w:val="18"/>
              </w:rPr>
              <w:instrText xml:space="preserve"> ADDIN ZOTERO_ITEM CSL_CITATION {"citationID":"hSg7ICAy","properties":{"formattedCitation":"\\super 132\\nosupersub{}","plainCitation":"132","noteIndex":0},"citationItems":[{"id":9392,"uris":["http://zotero.org/users/6423791/items/5M6ND2Q5"],"itemData":{"id":9392,"type":"article-journal","abstract":"In recent years, the cellular agriculture concept has been proposed as an option to replace livestock proteins. This study presents a conceptual level techno-economic analysis of four concepts where food is produced by microorganisms based on wheat straw. Three single-cell proteins and one recombinant protein process were conceptualized. The process included steam explosion pretreatment, enzymatic hydrolysis, fermentation, and downstream processing. The enzymatic hydrolysis was optimized to minimize the production costs. The minimum protein selling price was determined by net present value using the discounted cash-flow method, which was compared to respective animal and plant proteins. The minimum protein selling prices were 5160–9007 €/ton proposing the processes to be in the feasible range, but the processes still require further development. The sensitivity of the parameters was estimated by sensitivity analysis, which revealed the most critical components in the production to be capacity, investment, interest, and enzyme and raw material costs.","container-title":"Bioresource Technology Reports","DOI":"10.1016/j.biteb.2021.100683","ISSN":"2589-014X","journalAbbreviation":"Bioresour. Technol. Rep.","language":"en","page":"100683","source":"ScienceDirect","title":"Economic comparison of food protein production with single-cell organisms from lignocellulose side-streams","volume":"14","author":[{"family":"Voutilainen","given":"Eveliina"},{"family":"Pihlajaniemi","given":"Ville"},{"family":"Parviainen","given":"Tuure"}],"issued":{"date-parts":[["2021",3,18]]}}}],"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132</w:t>
            </w:r>
            <w:r w:rsidRPr="008F4A58">
              <w:rPr>
                <w:i/>
                <w:sz w:val="18"/>
                <w:szCs w:val="18"/>
              </w:rPr>
              <w:fldChar w:fldCharType="end"/>
            </w:r>
            <w:r w:rsidRPr="008F4A58">
              <w:rPr>
                <w:i/>
                <w:sz w:val="18"/>
                <w:szCs w:val="18"/>
              </w:rPr>
              <w:t>, while C</w:t>
            </w:r>
            <w:r w:rsidRPr="008F4A58">
              <w:rPr>
                <w:i/>
                <w:sz w:val="18"/>
                <w:szCs w:val="18"/>
                <w:vertAlign w:val="subscript"/>
              </w:rPr>
              <w:t>5</w:t>
            </w:r>
            <w:r w:rsidRPr="008F4A58">
              <w:rPr>
                <w:i/>
                <w:sz w:val="18"/>
                <w:szCs w:val="18"/>
              </w:rPr>
              <w:t xml:space="preserve"> lower range if not possible.</w:t>
            </w:r>
          </w:p>
        </w:tc>
      </w:tr>
      <w:tr w:rsidR="00512EC8" w:rsidRPr="008F4A58" w14:paraId="0F5E1A8C" w14:textId="77777777" w:rsidTr="006B5342">
        <w:tc>
          <w:tcPr>
            <w:cnfStyle w:val="001000000000" w:firstRow="0" w:lastRow="0" w:firstColumn="1" w:lastColumn="0" w:oddVBand="0" w:evenVBand="0" w:oddHBand="0" w:evenHBand="0" w:firstRowFirstColumn="0" w:firstRowLastColumn="0" w:lastRowFirstColumn="0" w:lastRowLastColumn="0"/>
            <w:tcW w:w="1403" w:type="dxa"/>
          </w:tcPr>
          <w:p w14:paraId="226B5536" w14:textId="77777777" w:rsidR="00512EC8" w:rsidRPr="008F4A58" w:rsidRDefault="00512EC8" w:rsidP="006D537D">
            <w:pPr>
              <w:jc w:val="right"/>
              <w:rPr>
                <w:sz w:val="18"/>
                <w:szCs w:val="18"/>
              </w:rPr>
            </w:pPr>
            <w:r w:rsidRPr="008F4A58">
              <w:rPr>
                <w:sz w:val="18"/>
                <w:szCs w:val="18"/>
              </w:rPr>
              <w:t>C</w:t>
            </w:r>
            <w:r w:rsidRPr="008F4A58">
              <w:rPr>
                <w:sz w:val="18"/>
                <w:szCs w:val="18"/>
                <w:vertAlign w:val="subscript"/>
              </w:rPr>
              <w:t>5</w:t>
            </w:r>
            <w:r w:rsidRPr="008F4A58">
              <w:rPr>
                <w:sz w:val="18"/>
                <w:szCs w:val="18"/>
              </w:rPr>
              <w:t xml:space="preserve"> yield (Y</w:t>
            </w:r>
            <w:r w:rsidRPr="008F4A58">
              <w:rPr>
                <w:sz w:val="18"/>
                <w:szCs w:val="18"/>
                <w:vertAlign w:val="subscript"/>
              </w:rPr>
              <w:t>x/s</w:t>
            </w:r>
            <w:r w:rsidRPr="008F4A58">
              <w:rPr>
                <w:sz w:val="18"/>
                <w:szCs w:val="18"/>
              </w:rPr>
              <w:t>)</w:t>
            </w:r>
          </w:p>
        </w:tc>
        <w:tc>
          <w:tcPr>
            <w:tcW w:w="995" w:type="dxa"/>
          </w:tcPr>
          <w:p w14:paraId="0AB0CCD7"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color w:val="000000"/>
                <w:sz w:val="18"/>
                <w:szCs w:val="18"/>
              </w:rPr>
            </w:pPr>
            <w:proofErr w:type="gramStart"/>
            <w:r w:rsidRPr="008F4A58">
              <w:rPr>
                <w:color w:val="000000"/>
                <w:sz w:val="18"/>
                <w:szCs w:val="18"/>
              </w:rPr>
              <w:t>g</w:t>
            </w:r>
            <w:r w:rsidRPr="008F4A58">
              <w:rPr>
                <w:color w:val="000000"/>
                <w:sz w:val="18"/>
                <w:szCs w:val="18"/>
                <w:vertAlign w:val="subscript"/>
              </w:rPr>
              <w:t>X</w:t>
            </w:r>
            <w:r w:rsidRPr="008F4A58">
              <w:rPr>
                <w:color w:val="000000"/>
                <w:sz w:val="18"/>
                <w:szCs w:val="18"/>
              </w:rPr>
              <w:t>.g</w:t>
            </w:r>
            <w:r w:rsidRPr="008F4A58">
              <w:rPr>
                <w:color w:val="000000"/>
                <w:sz w:val="18"/>
                <w:szCs w:val="18"/>
                <w:vertAlign w:val="subscript"/>
              </w:rPr>
              <w:t>S</w:t>
            </w:r>
            <w:proofErr w:type="gramEnd"/>
            <w:r w:rsidRPr="008F4A58">
              <w:rPr>
                <w:color w:val="000000"/>
                <w:sz w:val="18"/>
                <w:szCs w:val="18"/>
                <w:vertAlign w:val="superscript"/>
              </w:rPr>
              <w:t>-1</w:t>
            </w:r>
          </w:p>
        </w:tc>
        <w:tc>
          <w:tcPr>
            <w:tcW w:w="0" w:type="auto"/>
          </w:tcPr>
          <w:p w14:paraId="3BAF0DE0"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b/>
                <w:sz w:val="18"/>
                <w:szCs w:val="18"/>
              </w:rPr>
            </w:pPr>
            <w:r w:rsidRPr="008F4A58">
              <w:rPr>
                <w:b/>
                <w:sz w:val="18"/>
                <w:szCs w:val="18"/>
              </w:rPr>
              <w:t>0.29</w:t>
            </w:r>
          </w:p>
        </w:tc>
        <w:tc>
          <w:tcPr>
            <w:tcW w:w="0" w:type="auto"/>
          </w:tcPr>
          <w:p w14:paraId="45B425F0"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0-0.30</w:t>
            </w:r>
          </w:p>
        </w:tc>
        <w:tc>
          <w:tcPr>
            <w:tcW w:w="3827" w:type="dxa"/>
            <w:vMerge/>
          </w:tcPr>
          <w:p w14:paraId="2B2040AE" w14:textId="77777777" w:rsidR="00512EC8" w:rsidRPr="008F4A58" w:rsidRDefault="00512EC8" w:rsidP="006D537D">
            <w:pPr>
              <w:jc w:val="both"/>
              <w:cnfStyle w:val="000000000000" w:firstRow="0" w:lastRow="0" w:firstColumn="0" w:lastColumn="0" w:oddVBand="0" w:evenVBand="0" w:oddHBand="0" w:evenHBand="0" w:firstRowFirstColumn="0" w:firstRowLastColumn="0" w:lastRowFirstColumn="0" w:lastRowLastColumn="0"/>
              <w:rPr>
                <w:b/>
                <w:i/>
                <w:sz w:val="18"/>
                <w:szCs w:val="18"/>
              </w:rPr>
            </w:pPr>
          </w:p>
        </w:tc>
      </w:tr>
      <w:tr w:rsidR="00512EC8" w:rsidRPr="008F4A58" w14:paraId="335B985E"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tcPr>
          <w:p w14:paraId="282D1D57" w14:textId="77777777" w:rsidR="00512EC8" w:rsidRPr="008F4A58" w:rsidRDefault="00512EC8" w:rsidP="006D537D">
            <w:pPr>
              <w:jc w:val="right"/>
              <w:rPr>
                <w:sz w:val="18"/>
                <w:szCs w:val="18"/>
              </w:rPr>
            </w:pPr>
            <w:r w:rsidRPr="008F4A58">
              <w:rPr>
                <w:sz w:val="18"/>
                <w:szCs w:val="18"/>
              </w:rPr>
              <w:t>Biomass concentration</w:t>
            </w:r>
          </w:p>
        </w:tc>
        <w:tc>
          <w:tcPr>
            <w:tcW w:w="995" w:type="dxa"/>
          </w:tcPr>
          <w:p w14:paraId="65CB5A16"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8F4A58">
              <w:rPr>
                <w:color w:val="000000"/>
                <w:sz w:val="18"/>
                <w:szCs w:val="18"/>
              </w:rPr>
              <w:t>g</w:t>
            </w:r>
            <w:r w:rsidRPr="008F4A58">
              <w:rPr>
                <w:color w:val="000000"/>
                <w:sz w:val="18"/>
                <w:szCs w:val="18"/>
                <w:vertAlign w:val="subscript"/>
              </w:rPr>
              <w:t>X</w:t>
            </w:r>
            <w:r w:rsidRPr="008F4A58">
              <w:rPr>
                <w:color w:val="000000"/>
                <w:sz w:val="18"/>
                <w:szCs w:val="18"/>
              </w:rPr>
              <w:t>.L</w:t>
            </w:r>
            <w:proofErr w:type="gramEnd"/>
            <w:r w:rsidRPr="008F4A58">
              <w:rPr>
                <w:color w:val="000000"/>
                <w:sz w:val="18"/>
                <w:szCs w:val="18"/>
                <w:vertAlign w:val="superscript"/>
              </w:rPr>
              <w:t>-1</w:t>
            </w:r>
          </w:p>
        </w:tc>
        <w:tc>
          <w:tcPr>
            <w:tcW w:w="0" w:type="auto"/>
          </w:tcPr>
          <w:p w14:paraId="454BE2C5"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b/>
                <w:sz w:val="18"/>
                <w:szCs w:val="18"/>
              </w:rPr>
            </w:pPr>
            <w:r w:rsidRPr="008F4A58">
              <w:rPr>
                <w:b/>
                <w:sz w:val="18"/>
                <w:szCs w:val="18"/>
              </w:rPr>
              <w:t>30</w:t>
            </w:r>
          </w:p>
        </w:tc>
        <w:tc>
          <w:tcPr>
            <w:tcW w:w="0" w:type="auto"/>
          </w:tcPr>
          <w:p w14:paraId="0B47852C"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20-40</w:t>
            </w:r>
          </w:p>
        </w:tc>
        <w:tc>
          <w:tcPr>
            <w:tcW w:w="3827" w:type="dxa"/>
          </w:tcPr>
          <w:p w14:paraId="51CCA826" w14:textId="4CA215CC" w:rsidR="00512EC8" w:rsidRPr="008F4A58" w:rsidRDefault="00512EC8" w:rsidP="006D537D">
            <w:pPr>
              <w:jc w:val="both"/>
              <w:cnfStyle w:val="000000100000" w:firstRow="0" w:lastRow="0" w:firstColumn="0" w:lastColumn="0" w:oddVBand="0" w:evenVBand="0" w:oddHBand="1" w:evenHBand="0" w:firstRowFirstColumn="0" w:firstRowLastColumn="0" w:lastRowFirstColumn="0" w:lastRowLastColumn="0"/>
              <w:rPr>
                <w:i/>
                <w:sz w:val="18"/>
                <w:szCs w:val="18"/>
              </w:rPr>
            </w:pPr>
            <w:r w:rsidRPr="008F4A58">
              <w:rPr>
                <w:b/>
                <w:i/>
                <w:sz w:val="18"/>
                <w:szCs w:val="18"/>
              </w:rPr>
              <w:t>Parameter</w:t>
            </w:r>
            <w:r w:rsidRPr="008F4A58">
              <w:rPr>
                <w:i/>
                <w:sz w:val="18"/>
                <w:szCs w:val="18"/>
              </w:rPr>
              <w:t>: commonly assumed for all submerged microbial production</w:t>
            </w:r>
            <w:r w:rsidRPr="008F4A58">
              <w:rPr>
                <w:i/>
                <w:sz w:val="18"/>
                <w:szCs w:val="18"/>
              </w:rPr>
              <w:fldChar w:fldCharType="begin"/>
            </w:r>
            <w:r w:rsidR="005413B4">
              <w:rPr>
                <w:i/>
                <w:sz w:val="18"/>
                <w:szCs w:val="18"/>
              </w:rPr>
              <w:instrText xml:space="preserve"> ADDIN ZOTERO_ITEM CSL_CITATION {"citationID":"J9vxaoN1","properties":{"formattedCitation":"\\super 131,173\\nosupersub{}","plainCitation":"131,173","noteIndex":0},"citationItems":[{"id":10967,"uris":["http://zotero.org/users/6423791/items/P67XNRD9"],"itemData":{"id":10967,"type":"report","abstract":"UK The overall aim was to investigate if soybean products from South American can be replaced by protein sources produced in Europe in a sustainable way. Based on data from literature, and based on the systematics of the FeedPrint programme, the nutritional value and the carbon footprint (CFP) of these protein sources is determined. These protein sources are used in feed optimizations of a starter diet for pigs, thereby maintaining the nutritional value of the diet. Subsequently, the CFP of the grower diet is calculated. The results and conclusions will be discussed in this report.","collection-title":"Wageningen UR Livestock Research","event-place":"Lelystad","language":"en","number":"819","page":"47","publisher":"Wageningen","publisher-place":"Lelystad","source":"Zotero","title":"Replacement of soybean meal in compound feed by European protein sources","author":[{"family":"Boer","given":"H C","non-dropping-particle":"de"},{"family":"Krimpen","given":"M M","non-dropping-particle":"van"},{"family":"Blonk","given":"H"},{"family":"Tyszler","given":"M"}],"issued":{"date-parts":[["2014"]]}}},{"id":11801,"uris":["http://zotero.org/users/6423791/items/AE6CHBJC"],"itemData":{"id":11801,"type":"article-journal","container-title":"Green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131,173</w:t>
            </w:r>
            <w:r w:rsidRPr="008F4A58">
              <w:rPr>
                <w:i/>
                <w:sz w:val="18"/>
                <w:szCs w:val="18"/>
              </w:rPr>
              <w:fldChar w:fldCharType="end"/>
            </w:r>
          </w:p>
        </w:tc>
      </w:tr>
      <w:tr w:rsidR="00512EC8" w:rsidRPr="008F4A58" w14:paraId="128ECD18" w14:textId="77777777" w:rsidTr="006B5342">
        <w:tc>
          <w:tcPr>
            <w:cnfStyle w:val="001000000000" w:firstRow="0" w:lastRow="0" w:firstColumn="1" w:lastColumn="0" w:oddVBand="0" w:evenVBand="0" w:oddHBand="0" w:evenHBand="0" w:firstRowFirstColumn="0" w:firstRowLastColumn="0" w:lastRowFirstColumn="0" w:lastRowLastColumn="0"/>
            <w:tcW w:w="1403" w:type="dxa"/>
          </w:tcPr>
          <w:p w14:paraId="5BF10A77" w14:textId="77777777" w:rsidR="00512EC8" w:rsidRPr="008F4A58" w:rsidRDefault="00512EC8" w:rsidP="006D537D">
            <w:pPr>
              <w:jc w:val="right"/>
              <w:rPr>
                <w:sz w:val="18"/>
                <w:szCs w:val="18"/>
              </w:rPr>
            </w:pPr>
            <w:r w:rsidRPr="008F4A58">
              <w:rPr>
                <w:sz w:val="18"/>
                <w:szCs w:val="18"/>
              </w:rPr>
              <w:t>Dilution rate</w:t>
            </w:r>
          </w:p>
        </w:tc>
        <w:tc>
          <w:tcPr>
            <w:tcW w:w="995" w:type="dxa"/>
          </w:tcPr>
          <w:p w14:paraId="492B5989"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color w:val="000000"/>
                <w:sz w:val="18"/>
                <w:szCs w:val="18"/>
              </w:rPr>
              <w:t>h</w:t>
            </w:r>
            <w:r w:rsidRPr="008F4A58">
              <w:rPr>
                <w:color w:val="000000"/>
                <w:sz w:val="18"/>
                <w:szCs w:val="18"/>
                <w:vertAlign w:val="superscript"/>
              </w:rPr>
              <w:t>-1</w:t>
            </w:r>
          </w:p>
        </w:tc>
        <w:tc>
          <w:tcPr>
            <w:tcW w:w="0" w:type="auto"/>
          </w:tcPr>
          <w:p w14:paraId="1F16C299"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b/>
                <w:sz w:val="18"/>
                <w:szCs w:val="18"/>
              </w:rPr>
            </w:pPr>
            <w:r w:rsidRPr="008F4A58">
              <w:rPr>
                <w:b/>
                <w:sz w:val="18"/>
                <w:szCs w:val="18"/>
              </w:rPr>
              <w:t>0.2</w:t>
            </w:r>
          </w:p>
        </w:tc>
        <w:tc>
          <w:tcPr>
            <w:tcW w:w="0" w:type="auto"/>
          </w:tcPr>
          <w:p w14:paraId="47343BA7"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0.17-0.25</w:t>
            </w:r>
          </w:p>
        </w:tc>
        <w:tc>
          <w:tcPr>
            <w:tcW w:w="3827" w:type="dxa"/>
          </w:tcPr>
          <w:p w14:paraId="39E147DD" w14:textId="04AD7947" w:rsidR="00512EC8" w:rsidRPr="008F4A58" w:rsidRDefault="00512EC8" w:rsidP="006D537D">
            <w:pPr>
              <w:jc w:val="both"/>
              <w:cnfStyle w:val="000000000000" w:firstRow="0" w:lastRow="0" w:firstColumn="0" w:lastColumn="0" w:oddVBand="0" w:evenVBand="0" w:oddHBand="0" w:evenHBand="0" w:firstRowFirstColumn="0" w:firstRowLastColumn="0" w:lastRowFirstColumn="0" w:lastRowLastColumn="0"/>
              <w:rPr>
                <w:i/>
                <w:sz w:val="18"/>
                <w:szCs w:val="18"/>
              </w:rPr>
            </w:pPr>
            <w:r w:rsidRPr="008F4A58">
              <w:rPr>
                <w:b/>
                <w:i/>
                <w:sz w:val="18"/>
                <w:szCs w:val="18"/>
              </w:rPr>
              <w:t>Parameter</w:t>
            </w:r>
            <w:r w:rsidRPr="008F4A58">
              <w:rPr>
                <w:i/>
                <w:sz w:val="18"/>
                <w:szCs w:val="18"/>
              </w:rPr>
              <w:t>: range lower than µ</w:t>
            </w:r>
            <w:r w:rsidRPr="008F4A58">
              <w:rPr>
                <w:i/>
                <w:sz w:val="18"/>
                <w:szCs w:val="18"/>
                <w:vertAlign w:val="subscript"/>
              </w:rPr>
              <w:t>max</w:t>
            </w:r>
            <w:r w:rsidRPr="008F4A58">
              <w:rPr>
                <w:i/>
                <w:sz w:val="18"/>
                <w:szCs w:val="18"/>
              </w:rPr>
              <w:t xml:space="preserve"> (0.28)</w:t>
            </w:r>
            <w:r w:rsidRPr="008F4A58">
              <w:rPr>
                <w:i/>
                <w:sz w:val="18"/>
                <w:szCs w:val="18"/>
              </w:rPr>
              <w:fldChar w:fldCharType="begin"/>
            </w:r>
            <w:r w:rsidR="005413B4">
              <w:rPr>
                <w:i/>
                <w:sz w:val="18"/>
                <w:szCs w:val="18"/>
              </w:rPr>
              <w:instrText xml:space="preserve"> ADDIN ZOTERO_ITEM CSL_CITATION {"citationID":"edv8O1rZ","properties":{"formattedCitation":"\\super 132,173\\nosupersub{}","plainCitation":"132,173","noteIndex":0},"citationItems":[{"id":10967,"uris":["http://zotero.org/users/6423791/items/P67XNRD9"],"itemData":{"id":10967,"type":"report","abstract":"UK The overall aim was to investigate if soybean products from South American can be replaced by protein sources produced in Europe in a sustainable way. Based on data from literature, and based on the systematics of the FeedPrint programme, the nutritional value and the carbon footprint (CFP) of these protein sources is determined. These protein sources are used in feed optimizations of a starter diet for pigs, thereby maintaining the nutritional value of the diet. Subsequently, the CFP of the grower diet is calculated. The results and conclusions will be discussed in this report.","collection-title":"Wageningen UR Livestock Research","event-place":"Lelystad","language":"en","number":"819","page":"47","publisher":"Wageningen","publisher-place":"Lelystad","source":"Zotero","title":"Replacement of soybean meal in compound feed by European protein sources","author":[{"family":"Boer","given":"H C","non-dropping-particle":"de"},{"family":"Krimpen","given":"M M","non-dropping-particle":"van"},{"family":"Blonk","given":"H"},{"family":"Tyszler","given":"M"}],"issued":{"date-parts":[["2014"]]}}},{"id":9392,"uris":["http://zotero.org/users/6423791/items/5M6ND2Q5"],"itemData":{"id":9392,"type":"article-journal","abstract":"In recent years, the cellular agriculture concept has been proposed as an option to replace livestock proteins. This study presents a conceptual level techno-economic analysis of four concepts where food is produced by microorganisms based on wheat straw. Three single-cell proteins and one recombinant protein process were conceptualized. The process included steam explosion pretreatment, enzymatic hydrolysis, fermentation, and downstream processing. The enzymatic hydrolysis was optimized to minimize the production costs. The minimum protein selling price was determined by net present value using the discounted cash-flow method, which was compared to respective animal and plant proteins. The minimum protein selling prices were 5160–9007 €/ton proposing the processes to be in the feasible range, but the processes still require further development. The sensitivity of the parameters was estimated by sensitivity analysis, which revealed the most critical components in the production to be capacity, investment, interest, and enzyme and raw material costs.","container-title":"Bioresource Technology Reports","DOI":"10.1016/j.biteb.2021.100683","ISSN":"2589-014X","journalAbbreviation":"Bioresour. Technol. Rep.","language":"en","page":"100683","source":"ScienceDirect","title":"Economic comparison of food protein production with single-cell organisms from lignocellulose side-streams","volume":"14","author":[{"family":"Voutilainen","given":"Eveliina"},{"family":"Pihlajaniemi","given":"Ville"},{"family":"Parviainen","given":"Tuure"}],"issued":{"date-parts":[["2021",3,18]]}}}],"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132,173</w:t>
            </w:r>
            <w:r w:rsidRPr="008F4A58">
              <w:rPr>
                <w:i/>
                <w:sz w:val="18"/>
                <w:szCs w:val="18"/>
              </w:rPr>
              <w:fldChar w:fldCharType="end"/>
            </w:r>
          </w:p>
        </w:tc>
      </w:tr>
      <w:tr w:rsidR="00512EC8" w:rsidRPr="008F4A58" w14:paraId="4BB5EAEA"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tcPr>
          <w:p w14:paraId="0B5EC31A" w14:textId="77777777" w:rsidR="00512EC8" w:rsidRPr="008F4A58" w:rsidRDefault="00512EC8" w:rsidP="006D537D">
            <w:pPr>
              <w:jc w:val="right"/>
              <w:rPr>
                <w:sz w:val="18"/>
                <w:szCs w:val="18"/>
              </w:rPr>
            </w:pPr>
            <w:r w:rsidRPr="008F4A58">
              <w:rPr>
                <w:sz w:val="18"/>
                <w:szCs w:val="18"/>
              </w:rPr>
              <w:t>Productivity</w:t>
            </w:r>
          </w:p>
        </w:tc>
        <w:tc>
          <w:tcPr>
            <w:tcW w:w="995" w:type="dxa"/>
          </w:tcPr>
          <w:p w14:paraId="4D6F6475"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color w:val="000000"/>
                <w:sz w:val="18"/>
                <w:szCs w:val="18"/>
              </w:rPr>
              <w:t>kg.m</w:t>
            </w:r>
            <w:r w:rsidRPr="008F4A58">
              <w:rPr>
                <w:color w:val="000000"/>
                <w:sz w:val="18"/>
                <w:szCs w:val="18"/>
                <w:vertAlign w:val="superscript"/>
              </w:rPr>
              <w:t>-3</w:t>
            </w:r>
            <w:r w:rsidRPr="008F4A58">
              <w:rPr>
                <w:color w:val="000000"/>
                <w:sz w:val="18"/>
                <w:szCs w:val="18"/>
              </w:rPr>
              <w:t>.h</w:t>
            </w:r>
            <w:r w:rsidRPr="008F4A58">
              <w:rPr>
                <w:color w:val="000000"/>
                <w:sz w:val="18"/>
                <w:szCs w:val="18"/>
                <w:vertAlign w:val="superscript"/>
              </w:rPr>
              <w:t>-1</w:t>
            </w:r>
          </w:p>
        </w:tc>
        <w:tc>
          <w:tcPr>
            <w:tcW w:w="0" w:type="auto"/>
          </w:tcPr>
          <w:p w14:paraId="456DB631"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b/>
                <w:sz w:val="18"/>
                <w:szCs w:val="18"/>
              </w:rPr>
            </w:pPr>
            <w:r w:rsidRPr="008F4A58">
              <w:rPr>
                <w:b/>
                <w:sz w:val="18"/>
                <w:szCs w:val="18"/>
              </w:rPr>
              <w:t>6</w:t>
            </w:r>
          </w:p>
        </w:tc>
        <w:tc>
          <w:tcPr>
            <w:tcW w:w="0" w:type="auto"/>
          </w:tcPr>
          <w:p w14:paraId="1CF35FE7"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4-8</w:t>
            </w:r>
          </w:p>
        </w:tc>
        <w:tc>
          <w:tcPr>
            <w:tcW w:w="3827" w:type="dxa"/>
            <w:vMerge w:val="restart"/>
          </w:tcPr>
          <w:p w14:paraId="3FB2DC30" w14:textId="77777777" w:rsidR="00512EC8" w:rsidRPr="008F4A58" w:rsidRDefault="00512EC8" w:rsidP="006D537D">
            <w:pPr>
              <w:jc w:val="both"/>
              <w:cnfStyle w:val="000000100000" w:firstRow="0" w:lastRow="0" w:firstColumn="0" w:lastColumn="0" w:oddVBand="0" w:evenVBand="0" w:oddHBand="1" w:evenHBand="0" w:firstRowFirstColumn="0" w:firstRowLastColumn="0" w:lastRowFirstColumn="0" w:lastRowLastColumn="0"/>
              <w:rPr>
                <w:i/>
                <w:sz w:val="18"/>
                <w:szCs w:val="18"/>
              </w:rPr>
            </w:pPr>
            <w:r w:rsidRPr="008F4A58">
              <w:rPr>
                <w:b/>
                <w:i/>
                <w:sz w:val="18"/>
                <w:szCs w:val="18"/>
              </w:rPr>
              <w:t>Calculated</w:t>
            </w:r>
          </w:p>
        </w:tc>
      </w:tr>
      <w:tr w:rsidR="00512EC8" w:rsidRPr="008F4A58" w14:paraId="0F4E4E75" w14:textId="77777777" w:rsidTr="006B5342">
        <w:tc>
          <w:tcPr>
            <w:cnfStyle w:val="001000000000" w:firstRow="0" w:lastRow="0" w:firstColumn="1" w:lastColumn="0" w:oddVBand="0" w:evenVBand="0" w:oddHBand="0" w:evenHBand="0" w:firstRowFirstColumn="0" w:firstRowLastColumn="0" w:lastRowFirstColumn="0" w:lastRowLastColumn="0"/>
            <w:tcW w:w="1403" w:type="dxa"/>
          </w:tcPr>
          <w:p w14:paraId="1D01E5CE" w14:textId="77777777" w:rsidR="00512EC8" w:rsidRPr="008F4A58" w:rsidRDefault="00512EC8" w:rsidP="006D537D">
            <w:pPr>
              <w:jc w:val="right"/>
              <w:rPr>
                <w:sz w:val="18"/>
                <w:szCs w:val="18"/>
              </w:rPr>
            </w:pPr>
            <w:r w:rsidRPr="008F4A58">
              <w:rPr>
                <w:sz w:val="18"/>
                <w:szCs w:val="18"/>
              </w:rPr>
              <w:t>Production</w:t>
            </w:r>
          </w:p>
        </w:tc>
        <w:tc>
          <w:tcPr>
            <w:tcW w:w="995" w:type="dxa"/>
          </w:tcPr>
          <w:p w14:paraId="6CD9DEA8"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color w:val="000000"/>
                <w:sz w:val="18"/>
                <w:szCs w:val="18"/>
              </w:rPr>
              <w:t>kg.h</w:t>
            </w:r>
            <w:r w:rsidRPr="008F4A58">
              <w:rPr>
                <w:color w:val="000000"/>
                <w:sz w:val="18"/>
                <w:szCs w:val="18"/>
                <w:vertAlign w:val="superscript"/>
              </w:rPr>
              <w:t>-1</w:t>
            </w:r>
          </w:p>
        </w:tc>
        <w:tc>
          <w:tcPr>
            <w:tcW w:w="0" w:type="auto"/>
          </w:tcPr>
          <w:p w14:paraId="7D3FD687"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b/>
                <w:sz w:val="18"/>
                <w:szCs w:val="18"/>
              </w:rPr>
            </w:pPr>
            <w:r w:rsidRPr="008F4A58">
              <w:rPr>
                <w:b/>
                <w:sz w:val="18"/>
                <w:szCs w:val="18"/>
              </w:rPr>
              <w:t>1125</w:t>
            </w:r>
          </w:p>
        </w:tc>
        <w:tc>
          <w:tcPr>
            <w:tcW w:w="0" w:type="auto"/>
          </w:tcPr>
          <w:p w14:paraId="1515F0DB"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p>
        </w:tc>
        <w:tc>
          <w:tcPr>
            <w:tcW w:w="3827" w:type="dxa"/>
            <w:vMerge/>
          </w:tcPr>
          <w:p w14:paraId="05C5C61F" w14:textId="77777777" w:rsidR="00512EC8" w:rsidRPr="008F4A58" w:rsidRDefault="00512EC8" w:rsidP="006D537D">
            <w:pPr>
              <w:jc w:val="both"/>
              <w:cnfStyle w:val="000000000000" w:firstRow="0" w:lastRow="0" w:firstColumn="0" w:lastColumn="0" w:oddVBand="0" w:evenVBand="0" w:oddHBand="0" w:evenHBand="0" w:firstRowFirstColumn="0" w:firstRowLastColumn="0" w:lastRowFirstColumn="0" w:lastRowLastColumn="0"/>
              <w:rPr>
                <w:i/>
                <w:sz w:val="18"/>
                <w:szCs w:val="18"/>
              </w:rPr>
            </w:pPr>
          </w:p>
        </w:tc>
      </w:tr>
      <w:tr w:rsidR="00512EC8" w:rsidRPr="008F4A58" w14:paraId="13C23A81"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tcPr>
          <w:p w14:paraId="4A24A503" w14:textId="77777777" w:rsidR="00512EC8" w:rsidRPr="008F4A58" w:rsidRDefault="00512EC8" w:rsidP="006D537D">
            <w:pPr>
              <w:jc w:val="right"/>
              <w:rPr>
                <w:sz w:val="18"/>
                <w:szCs w:val="18"/>
              </w:rPr>
            </w:pPr>
            <w:r w:rsidRPr="008F4A58">
              <w:rPr>
                <w:sz w:val="18"/>
                <w:szCs w:val="18"/>
              </w:rPr>
              <w:t>Temperature</w:t>
            </w:r>
          </w:p>
        </w:tc>
        <w:tc>
          <w:tcPr>
            <w:tcW w:w="995" w:type="dxa"/>
          </w:tcPr>
          <w:p w14:paraId="7ADB3B01"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8F4A58">
              <w:rPr>
                <w:color w:val="000000"/>
                <w:sz w:val="18"/>
                <w:szCs w:val="18"/>
              </w:rPr>
              <w:t>°C</w:t>
            </w:r>
          </w:p>
        </w:tc>
        <w:tc>
          <w:tcPr>
            <w:tcW w:w="0" w:type="auto"/>
          </w:tcPr>
          <w:p w14:paraId="47738A2D"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b/>
                <w:sz w:val="18"/>
                <w:szCs w:val="18"/>
              </w:rPr>
            </w:pPr>
            <w:r w:rsidRPr="008F4A58">
              <w:rPr>
                <w:b/>
                <w:sz w:val="18"/>
                <w:szCs w:val="18"/>
              </w:rPr>
              <w:t>30</w:t>
            </w:r>
          </w:p>
        </w:tc>
        <w:tc>
          <w:tcPr>
            <w:tcW w:w="0" w:type="auto"/>
          </w:tcPr>
          <w:p w14:paraId="3688C115"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n.a.</w:t>
            </w:r>
          </w:p>
        </w:tc>
        <w:tc>
          <w:tcPr>
            <w:tcW w:w="3827" w:type="dxa"/>
          </w:tcPr>
          <w:p w14:paraId="37640936" w14:textId="77777777" w:rsidR="00512EC8" w:rsidRPr="008F4A58" w:rsidRDefault="00512EC8" w:rsidP="006D537D">
            <w:pPr>
              <w:jc w:val="both"/>
              <w:cnfStyle w:val="000000100000" w:firstRow="0" w:lastRow="0" w:firstColumn="0" w:lastColumn="0" w:oddVBand="0" w:evenVBand="0" w:oddHBand="1" w:evenHBand="0" w:firstRowFirstColumn="0" w:firstRowLastColumn="0" w:lastRowFirstColumn="0" w:lastRowLastColumn="0"/>
              <w:rPr>
                <w:i/>
                <w:sz w:val="18"/>
                <w:szCs w:val="18"/>
              </w:rPr>
            </w:pPr>
            <w:r w:rsidRPr="008F4A58">
              <w:rPr>
                <w:b/>
                <w:i/>
                <w:sz w:val="18"/>
                <w:szCs w:val="18"/>
              </w:rPr>
              <w:t>Set value</w:t>
            </w:r>
            <w:r w:rsidRPr="008F4A58">
              <w:rPr>
                <w:i/>
                <w:sz w:val="18"/>
                <w:szCs w:val="18"/>
              </w:rPr>
              <w:t>: Reported Quorn value</w:t>
            </w:r>
          </w:p>
        </w:tc>
      </w:tr>
      <w:tr w:rsidR="00512EC8" w:rsidRPr="008F4A58" w14:paraId="6332F203" w14:textId="77777777" w:rsidTr="006B5342">
        <w:tc>
          <w:tcPr>
            <w:cnfStyle w:val="001000000000" w:firstRow="0" w:lastRow="0" w:firstColumn="1" w:lastColumn="0" w:oddVBand="0" w:evenVBand="0" w:oddHBand="0" w:evenHBand="0" w:firstRowFirstColumn="0" w:firstRowLastColumn="0" w:lastRowFirstColumn="0" w:lastRowLastColumn="0"/>
            <w:tcW w:w="1403" w:type="dxa"/>
          </w:tcPr>
          <w:p w14:paraId="1D4B3132" w14:textId="77777777" w:rsidR="00512EC8" w:rsidRPr="008F4A58" w:rsidRDefault="00512EC8" w:rsidP="006D537D">
            <w:pPr>
              <w:jc w:val="right"/>
              <w:rPr>
                <w:sz w:val="18"/>
                <w:szCs w:val="18"/>
              </w:rPr>
            </w:pPr>
            <w:r w:rsidRPr="008F4A58">
              <w:rPr>
                <w:sz w:val="18"/>
                <w:szCs w:val="18"/>
              </w:rPr>
              <w:t>Metabolic heat</w:t>
            </w:r>
          </w:p>
        </w:tc>
        <w:tc>
          <w:tcPr>
            <w:tcW w:w="995" w:type="dxa"/>
          </w:tcPr>
          <w:p w14:paraId="68AB05D5"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color w:val="000000"/>
                <w:sz w:val="18"/>
                <w:szCs w:val="18"/>
              </w:rPr>
            </w:pPr>
            <w:proofErr w:type="gramStart"/>
            <w:r w:rsidRPr="008F4A58">
              <w:rPr>
                <w:color w:val="000000"/>
                <w:sz w:val="18"/>
                <w:szCs w:val="18"/>
              </w:rPr>
              <w:t>kJ.molC</w:t>
            </w:r>
            <w:r w:rsidRPr="008F4A58">
              <w:rPr>
                <w:color w:val="000000"/>
                <w:sz w:val="18"/>
                <w:szCs w:val="18"/>
                <w:vertAlign w:val="subscript"/>
              </w:rPr>
              <w:t>X</w:t>
            </w:r>
            <w:proofErr w:type="gramEnd"/>
            <w:r w:rsidRPr="008F4A58">
              <w:rPr>
                <w:color w:val="000000"/>
                <w:sz w:val="18"/>
                <w:szCs w:val="18"/>
                <w:vertAlign w:val="superscript"/>
              </w:rPr>
              <w:t>-1</w:t>
            </w:r>
          </w:p>
        </w:tc>
        <w:tc>
          <w:tcPr>
            <w:tcW w:w="0" w:type="auto"/>
          </w:tcPr>
          <w:p w14:paraId="040B9ED7"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b/>
                <w:sz w:val="18"/>
                <w:szCs w:val="18"/>
              </w:rPr>
            </w:pPr>
            <w:r w:rsidRPr="008F4A58">
              <w:rPr>
                <w:b/>
                <w:sz w:val="18"/>
                <w:szCs w:val="18"/>
              </w:rPr>
              <w:t>250</w:t>
            </w:r>
          </w:p>
        </w:tc>
        <w:tc>
          <w:tcPr>
            <w:tcW w:w="0" w:type="auto"/>
          </w:tcPr>
          <w:p w14:paraId="4CD94525"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160-332</w:t>
            </w:r>
          </w:p>
        </w:tc>
        <w:tc>
          <w:tcPr>
            <w:tcW w:w="3827" w:type="dxa"/>
          </w:tcPr>
          <w:p w14:paraId="463E6845" w14:textId="665E63C7" w:rsidR="00512EC8" w:rsidRPr="008F4A58" w:rsidRDefault="00512EC8" w:rsidP="006D537D">
            <w:pPr>
              <w:jc w:val="both"/>
              <w:cnfStyle w:val="000000000000" w:firstRow="0" w:lastRow="0" w:firstColumn="0" w:lastColumn="0" w:oddVBand="0" w:evenVBand="0" w:oddHBand="0" w:evenHBand="0" w:firstRowFirstColumn="0" w:firstRowLastColumn="0" w:lastRowFirstColumn="0" w:lastRowLastColumn="0"/>
              <w:rPr>
                <w:i/>
                <w:sz w:val="18"/>
                <w:szCs w:val="18"/>
              </w:rPr>
            </w:pPr>
            <w:r w:rsidRPr="008F4A58">
              <w:rPr>
                <w:b/>
                <w:i/>
                <w:sz w:val="18"/>
                <w:szCs w:val="18"/>
              </w:rPr>
              <w:t>Parameter</w:t>
            </w:r>
            <w:r w:rsidRPr="008F4A58">
              <w:rPr>
                <w:i/>
                <w:sz w:val="18"/>
                <w:szCs w:val="18"/>
              </w:rPr>
              <w:t>: thermodynamic balance range review (various strains)</w:t>
            </w:r>
            <w:r w:rsidRPr="008F4A58">
              <w:rPr>
                <w:i/>
                <w:sz w:val="18"/>
                <w:szCs w:val="18"/>
              </w:rPr>
              <w:fldChar w:fldCharType="begin"/>
            </w:r>
            <w:r w:rsidR="005413B4">
              <w:rPr>
                <w:i/>
                <w:sz w:val="18"/>
                <w:szCs w:val="18"/>
              </w:rPr>
              <w:instrText xml:space="preserve"> ADDIN ZOTERO_ITEM CSL_CITATION {"citationID":"1lsrIiOp","properties":{"formattedCitation":"\\super 131,174\\nosupersub{}","plainCitation":"131,174","noteIndex":0},"citationItems":[{"id":11801,"uris":["http://zotero.org/users/6423791/items/AE6CHBJC"],"itemData":{"id":11801,"type":"article-journal","container-title":"Green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Van"},{"family":"Hallett","given":"Jason"},{"family":"Guo","given":"Miao"}],"issued":{"date-parts":[["2021"]]}}},{"id":13509,"uris":["http://zotero.org/users/6423791/items/32UA52TQ"],"itemData":{"id":13509,"type":"article-journal","abstract":"Schrödinger stated in his landmark book, What is Life?, that life feeds on negative entropy. In this contribution, the validity of this statement is discussed through a careful thermodynamic analysis of microbial growth processes. In principle, both feeding on negative entropy, i.e. yielding products of higher entropy than the substrates, and generating heat can be used by microorganisms to rid themselves of internal entropy production resulting from maintenance and growth processes. Literature data are reviewed in order to compare these two mechanisms. It is shown that entropy-neutral, entropy-driven, and entropy-retarded growth exist. The analysis of some particularly interesting microorganisms shows that enthalpy-retarded microbial growth may also exist, which would signify a net uptake of heat during growth. However, the existence of endothermic life has never been demonstrated in a calorimeter. The internal entropy production in live cells also reflects itself in the Gibbs energy dissipation accompanying growth, which is related quantitatively to the biomass yield. An empirical correlation of the Gibbs energy dissipation in terms of the physico-chemical nature of the growth substrate has been proposed in the literature and can be used to predict the biomass yield approximately. The ratio of enthalpy change and Gibbs energy change can also be predicted since it is shown to be approximately equal to the same ratio of the relevant catabolic process alone.","container-title":"Biochimica et Biophysica Acta (BBA) - Bioenergetics","DOI":"10.1016/S0005-2728(99)00065-1","ISSN":"0005-2728","issue":"3","journalAbbreviation":"Biochimica et Biophysica Acta (BBA) - Bioenergetics","language":"en","page":"191-211","source":"ScienceDirect","title":"Does microbial life always feed on negative entropy? Thermodynamic analysis of microbial growth","title-short":"Does microbial life always feed on negative entropy?","volume":"1412","author":[{"family":"Stockar","given":"U.","non-dropping-particle":"von"},{"family":"Liu","given":"J. -S."}],"issued":{"date-parts":[["1999",8,4]]}}}],"schema":"https://github.com/citation-style-language/schema/raw/master/csl-citation.json"}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131,174</w:t>
            </w:r>
            <w:r w:rsidRPr="008F4A58">
              <w:rPr>
                <w:i/>
                <w:sz w:val="18"/>
                <w:szCs w:val="18"/>
              </w:rPr>
              <w:fldChar w:fldCharType="end"/>
            </w:r>
          </w:p>
        </w:tc>
      </w:tr>
    </w:tbl>
    <w:p w14:paraId="347B39DA" w14:textId="77777777" w:rsidR="00512EC8" w:rsidRPr="003F5DA8" w:rsidRDefault="00512EC8" w:rsidP="006B5342">
      <w:pPr>
        <w:jc w:val="both"/>
        <w:rPr>
          <w:sz w:val="18"/>
          <w:vertAlign w:val="superscript"/>
        </w:rPr>
      </w:pPr>
      <w:r w:rsidRPr="003F5DA8">
        <w:rPr>
          <w:sz w:val="18"/>
        </w:rPr>
        <w:t xml:space="preserve">Calculation developed with baseline values for technology parameters. </w:t>
      </w:r>
    </w:p>
    <w:p w14:paraId="76673516" w14:textId="538514AE" w:rsidR="00512EC8" w:rsidRPr="003F5DA8" w:rsidRDefault="00512EC8" w:rsidP="00512EC8">
      <w:pPr>
        <w:jc w:val="both"/>
      </w:pPr>
      <w:r w:rsidRPr="003F5DA8">
        <w:t xml:space="preserve">From the growth parameters, the stoichiometric biomass growth equations were derived. </w:t>
      </w:r>
      <w:r w:rsidR="00965628">
        <w:fldChar w:fldCharType="begin"/>
      </w:r>
      <w:r w:rsidR="00965628">
        <w:instrText xml:space="preserve"> REF _Ref144819769 \h </w:instrText>
      </w:r>
      <w:r w:rsidR="00965628">
        <w:fldChar w:fldCharType="separate"/>
      </w:r>
      <w:r w:rsidR="00F25F8C">
        <w:t xml:space="preserve">Equation </w:t>
      </w:r>
      <w:r w:rsidR="00F25F8C">
        <w:rPr>
          <w:noProof/>
        </w:rPr>
        <w:t>6</w:t>
      </w:r>
      <w:r w:rsidR="00965628">
        <w:fldChar w:fldCharType="end"/>
      </w:r>
      <w:r w:rsidR="00965628">
        <w:t xml:space="preserve"> and </w:t>
      </w:r>
      <w:r w:rsidR="00965628">
        <w:fldChar w:fldCharType="begin"/>
      </w:r>
      <w:r w:rsidR="00965628">
        <w:instrText xml:space="preserve"> REF _Ref144819774 \h </w:instrText>
      </w:r>
      <w:r w:rsidR="00965628">
        <w:fldChar w:fldCharType="separate"/>
      </w:r>
      <w:r w:rsidR="00F25F8C">
        <w:t xml:space="preserve">Equation </w:t>
      </w:r>
      <w:r w:rsidR="00F25F8C">
        <w:rPr>
          <w:noProof/>
        </w:rPr>
        <w:t>7</w:t>
      </w:r>
      <w:r w:rsidR="00965628">
        <w:fldChar w:fldCharType="end"/>
      </w:r>
      <w:r w:rsidR="00965628">
        <w:t xml:space="preserve"> </w:t>
      </w:r>
      <w:r w:rsidRPr="003F5DA8">
        <w:t>display their baseline version (using values from</w:t>
      </w:r>
      <w:r w:rsidR="00965628">
        <w:t xml:space="preserve"> </w:t>
      </w:r>
      <w:r w:rsidR="00965628" w:rsidRPr="00965628">
        <w:rPr>
          <w:b/>
        </w:rPr>
        <w:fldChar w:fldCharType="begin"/>
      </w:r>
      <w:r w:rsidR="00965628" w:rsidRPr="00965628">
        <w:rPr>
          <w:b/>
        </w:rPr>
        <w:instrText xml:space="preserve"> REF _Ref144819721 \h </w:instrText>
      </w:r>
      <w:r w:rsidR="00965628">
        <w:rPr>
          <w:b/>
        </w:rPr>
        <w:instrText xml:space="preserve"> \* MERGEFORMAT </w:instrText>
      </w:r>
      <w:r w:rsidR="00965628" w:rsidRPr="00965628">
        <w:rPr>
          <w:b/>
        </w:rPr>
      </w:r>
      <w:r w:rsidR="00965628" w:rsidRPr="00965628">
        <w:rPr>
          <w:b/>
        </w:rPr>
        <w:fldChar w:fldCharType="separate"/>
      </w:r>
      <w:r w:rsidR="00F25F8C" w:rsidRPr="00F25F8C">
        <w:rPr>
          <w:b/>
        </w:rPr>
        <w:t xml:space="preserve">Table SI. </w:t>
      </w:r>
      <w:r w:rsidR="00F25F8C" w:rsidRPr="00F25F8C">
        <w:rPr>
          <w:b/>
          <w:noProof/>
        </w:rPr>
        <w:t>49</w:t>
      </w:r>
      <w:r w:rsidR="00965628" w:rsidRPr="00965628">
        <w:rPr>
          <w:b/>
        </w:rPr>
        <w:fldChar w:fldCharType="end"/>
      </w:r>
      <w:r w:rsidRPr="003F5DA8">
        <w:t>), which are in line with the one used by Upcraft et al., 2021</w:t>
      </w:r>
      <w:r w:rsidRPr="003F5DA8">
        <w:fldChar w:fldCharType="begin"/>
      </w:r>
      <w:r w:rsidR="005413B4">
        <w:instrText xml:space="preserve"> ADDIN ZOTERO_ITEM CSL_CITATION {"citationID":"pHs7HJbq","properties":{"formattedCitation":"\\super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3F5DA8">
        <w:fldChar w:fldCharType="separate"/>
      </w:r>
      <w:r w:rsidR="005413B4" w:rsidRPr="005413B4">
        <w:rPr>
          <w:rFonts w:ascii="Calibri" w:hAnsi="Calibri" w:cs="Calibri"/>
          <w:szCs w:val="24"/>
          <w:vertAlign w:val="superscript"/>
        </w:rPr>
        <w:t>131</w:t>
      </w:r>
      <w:r w:rsidRPr="003F5DA8">
        <w:fldChar w:fldCharType="end"/>
      </w:r>
      <w:r w:rsidRPr="003F5DA8">
        <w:t>.</w:t>
      </w:r>
    </w:p>
    <w:p w14:paraId="706C8579" w14:textId="44A09BDE" w:rsidR="00512EC8" w:rsidRDefault="00874128" w:rsidP="006B5342">
      <w:pPr>
        <w:pStyle w:val="Lgende"/>
        <w:jc w:val="left"/>
        <w:rPr>
          <w:b w:val="0"/>
        </w:rPr>
      </w:pPr>
      <w:bookmarkStart w:id="221" w:name="_Ref144819769"/>
      <w:r>
        <w:t>Equation</w:t>
      </w:r>
      <w:r w:rsidR="00512EC8">
        <w:t xml:space="preserve"> </w:t>
      </w:r>
      <w:r>
        <w:fldChar w:fldCharType="begin"/>
      </w:r>
      <w:r>
        <w:instrText xml:space="preserve"> SEQ Equation \* ARABIC </w:instrText>
      </w:r>
      <w:r>
        <w:fldChar w:fldCharType="separate"/>
      </w:r>
      <w:r w:rsidR="00F25F8C">
        <w:rPr>
          <w:noProof/>
        </w:rPr>
        <w:t>6</w:t>
      </w:r>
      <w:r>
        <w:fldChar w:fldCharType="end"/>
      </w:r>
      <w:bookmarkEnd w:id="221"/>
    </w:p>
    <w:p w14:paraId="0E497629" w14:textId="77777777" w:rsidR="00512EC8" w:rsidRPr="00B56B39" w:rsidRDefault="00512EC8" w:rsidP="006B5342">
      <w:pPr>
        <w:rPr>
          <w:sz w:val="20"/>
        </w:rPr>
      </w:pPr>
      <w:r w:rsidRPr="00B56B39">
        <w:rPr>
          <w:b/>
          <w:sz w:val="20"/>
        </w:rPr>
        <w:t>Mycoproteins on glucose, baseline value</w:t>
      </w:r>
    </w:p>
    <w:p w14:paraId="3B1FA890" w14:textId="08578AD5" w:rsidR="00512EC8" w:rsidRPr="000C6C37" w:rsidRDefault="00827449" w:rsidP="006B5342">
      <w:pPr>
        <w:rPr>
          <w:rFonts w:eastAsiaTheme="minorEastAsia"/>
        </w:rPr>
      </w:pPr>
      <m:oMathPara>
        <m:oMathParaPr>
          <m:jc m:val="left"/>
        </m:oMathParaPr>
        <m:oMath>
          <m:sSub>
            <m:sSubPr>
              <m:ctrlPr>
                <w:rPr>
                  <w:rFonts w:ascii="Cambria Math" w:hAnsi="Cambria Math"/>
                  <w:i/>
                </w:rPr>
              </m:ctrlPr>
            </m:sSubPr>
            <m:e>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12</m:t>
                  </m:r>
                </m:sub>
              </m:sSub>
              <m:r>
                <w:rPr>
                  <w:rFonts w:ascii="Cambria Math" w:hAnsi="Cambria Math"/>
                </w:rPr>
                <m:t>O</m:t>
              </m:r>
            </m:e>
            <m:sub>
              <m:r>
                <w:rPr>
                  <w:rFonts w:ascii="Cambria Math" w:hAnsi="Cambria Math"/>
                </w:rPr>
                <m:t>6</m:t>
              </m:r>
            </m:sub>
          </m:sSub>
          <m:r>
            <w:rPr>
              <w:rFonts w:ascii="Cambria Math" w:hAnsi="Cambria Math"/>
            </w:rPr>
            <m:t>+</m:t>
          </m:r>
          <m:sSub>
            <m:sSubPr>
              <m:ctrlPr>
                <w:rPr>
                  <w:rFonts w:ascii="Cambria Math" w:hAnsi="Cambria Math"/>
                  <w:i/>
                </w:rPr>
              </m:ctrlPr>
            </m:sSubPr>
            <m:e>
              <m:r>
                <w:rPr>
                  <w:rFonts w:ascii="Cambria Math" w:hAnsi="Cambria Math"/>
                </w:rPr>
                <m:t>3.95O</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0.34NH</m:t>
              </m:r>
            </m:e>
            <m:sub>
              <m:r>
                <w:rPr>
                  <w:rFonts w:ascii="Cambria Math" w:hAnsi="Cambria Math"/>
                </w:rPr>
                <m:t>3</m:t>
              </m:r>
            </m:sub>
          </m:sSub>
          <m:r>
            <w:rPr>
              <w:rFonts w:ascii="Cambria Math" w:hAnsi="Cambria Math"/>
            </w:rPr>
            <m:t>=0.34X+</m:t>
          </m:r>
          <m:sSub>
            <m:sSubPr>
              <m:ctrlPr>
                <w:rPr>
                  <w:rFonts w:ascii="Cambria Math" w:hAnsi="Cambria Math"/>
                  <w:i/>
                </w:rPr>
              </m:ctrlPr>
            </m:sSubPr>
            <m:e>
              <m:r>
                <w:rPr>
                  <w:rFonts w:ascii="Cambria Math" w:hAnsi="Cambria Math"/>
                </w:rPr>
                <m:t>4.03CO</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4.56H</m:t>
              </m:r>
            </m:e>
            <m:sub>
              <m:r>
                <w:rPr>
                  <w:rFonts w:ascii="Cambria Math" w:hAnsi="Cambria Math"/>
                </w:rPr>
                <m:t>2</m:t>
              </m:r>
            </m:sub>
          </m:sSub>
          <m:r>
            <w:rPr>
              <w:rFonts w:ascii="Cambria Math" w:hAnsi="Cambria Math"/>
            </w:rPr>
            <m:t>O</m:t>
          </m:r>
        </m:oMath>
      </m:oMathPara>
    </w:p>
    <w:p w14:paraId="48927567" w14:textId="23FBFA0C" w:rsidR="00512EC8" w:rsidRPr="00874128" w:rsidRDefault="00874128" w:rsidP="006B5342">
      <w:pPr>
        <w:pStyle w:val="Lgende"/>
        <w:jc w:val="left"/>
        <w:rPr>
          <w:b w:val="0"/>
        </w:rPr>
      </w:pPr>
      <w:bookmarkStart w:id="222" w:name="_Ref144819774"/>
      <w:r>
        <w:t>Equation</w:t>
      </w:r>
      <w:r w:rsidR="00512EC8">
        <w:t xml:space="preserve"> </w:t>
      </w:r>
      <w:r>
        <w:fldChar w:fldCharType="begin"/>
      </w:r>
      <w:r>
        <w:instrText xml:space="preserve"> SEQ Equation \* ARABIC </w:instrText>
      </w:r>
      <w:r>
        <w:fldChar w:fldCharType="separate"/>
      </w:r>
      <w:r w:rsidR="00F25F8C">
        <w:rPr>
          <w:noProof/>
        </w:rPr>
        <w:t>7</w:t>
      </w:r>
      <w:r>
        <w:fldChar w:fldCharType="end"/>
      </w:r>
      <w:bookmarkEnd w:id="222"/>
    </w:p>
    <w:p w14:paraId="35AEC922" w14:textId="77777777" w:rsidR="00512EC8" w:rsidRPr="00874128" w:rsidRDefault="00512EC8" w:rsidP="006B5342">
      <w:pPr>
        <w:rPr>
          <w:sz w:val="20"/>
        </w:rPr>
      </w:pPr>
      <w:r w:rsidRPr="00874128">
        <w:rPr>
          <w:b/>
          <w:sz w:val="20"/>
        </w:rPr>
        <w:t>Mycoproteins on xylose, baseline value</w:t>
      </w:r>
    </w:p>
    <w:p w14:paraId="0D66F997" w14:textId="77777777" w:rsidR="00512EC8" w:rsidRPr="000C6C37" w:rsidRDefault="00827449" w:rsidP="006B5342">
      <m:oMathPara>
        <m:oMathParaPr>
          <m:jc m:val="left"/>
        </m:oMathParaPr>
        <m:oMath>
          <m:sSub>
            <m:sSubPr>
              <m:ctrlPr>
                <w:rPr>
                  <w:rFonts w:ascii="Cambria Math" w:hAnsi="Cambria Math"/>
                  <w:i/>
                </w:rPr>
              </m:ctrlPr>
            </m:sSubPr>
            <m:e>
              <m:sSub>
                <m:sSubPr>
                  <m:ctrlPr>
                    <w:rPr>
                      <w:rFonts w:ascii="Cambria Math" w:hAnsi="Cambria Math"/>
                      <w:i/>
                    </w:rPr>
                  </m:ctrlPr>
                </m:sSubPr>
                <m:e>
                  <m:r>
                    <w:rPr>
                      <w:rFonts w:ascii="Cambria Math" w:hAnsi="Cambria Math"/>
                    </w:rPr>
                    <m:t>C</m:t>
                  </m:r>
                </m:e>
                <m:sub>
                  <m:r>
                    <w:rPr>
                      <w:rFonts w:ascii="Cambria Math" w:hAnsi="Cambria Math"/>
                    </w:rPr>
                    <m:t>5</m:t>
                  </m:r>
                </m:sub>
              </m:sSub>
              <m:sSub>
                <m:sSubPr>
                  <m:ctrlPr>
                    <w:rPr>
                      <w:rFonts w:ascii="Cambria Math" w:hAnsi="Cambria Math"/>
                      <w:i/>
                    </w:rPr>
                  </m:ctrlPr>
                </m:sSubPr>
                <m:e>
                  <m:r>
                    <w:rPr>
                      <w:rFonts w:ascii="Cambria Math" w:hAnsi="Cambria Math"/>
                    </w:rPr>
                    <m:t>H</m:t>
                  </m:r>
                </m:e>
                <m:sub>
                  <m:r>
                    <w:rPr>
                      <w:rFonts w:ascii="Cambria Math" w:hAnsi="Cambria Math"/>
                    </w:rPr>
                    <m:t>10</m:t>
                  </m:r>
                </m:sub>
              </m:sSub>
              <m:r>
                <w:rPr>
                  <w:rFonts w:ascii="Cambria Math" w:hAnsi="Cambria Math"/>
                </w:rPr>
                <m:t>O</m:t>
              </m:r>
            </m:e>
            <m:sub>
              <m:r>
                <w:rPr>
                  <w:rFonts w:ascii="Cambria Math" w:hAnsi="Cambria Math"/>
                </w:rPr>
                <m:t>5</m:t>
              </m:r>
            </m:sub>
          </m:sSub>
          <m:r>
            <w:rPr>
              <w:rFonts w:ascii="Cambria Math" w:hAnsi="Cambria Math"/>
            </w:rPr>
            <m:t>+</m:t>
          </m:r>
          <m:sSub>
            <m:sSubPr>
              <m:ctrlPr>
                <w:rPr>
                  <w:rFonts w:ascii="Cambria Math" w:hAnsi="Cambria Math"/>
                  <w:i/>
                </w:rPr>
              </m:ctrlPr>
            </m:sSubPr>
            <m:e>
              <m:r>
                <w:rPr>
                  <w:rFonts w:ascii="Cambria Math" w:hAnsi="Cambria Math"/>
                </w:rPr>
                <m:t>3.29O</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0.28NH</m:t>
              </m:r>
            </m:e>
            <m:sub>
              <m:r>
                <w:rPr>
                  <w:rFonts w:ascii="Cambria Math" w:hAnsi="Cambria Math"/>
                </w:rPr>
                <m:t>3</m:t>
              </m:r>
            </m:sub>
          </m:sSub>
          <m:r>
            <w:rPr>
              <w:rFonts w:ascii="Cambria Math" w:hAnsi="Cambria Math"/>
            </w:rPr>
            <m:t>=0.28X+</m:t>
          </m:r>
          <m:sSub>
            <m:sSubPr>
              <m:ctrlPr>
                <w:rPr>
                  <w:rFonts w:ascii="Cambria Math" w:hAnsi="Cambria Math"/>
                  <w:i/>
                </w:rPr>
              </m:ctrlPr>
            </m:sSubPr>
            <m:e>
              <m:r>
                <w:rPr>
                  <w:rFonts w:ascii="Cambria Math" w:hAnsi="Cambria Math"/>
                </w:rPr>
                <m:t>3.36CO</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3.80H</m:t>
              </m:r>
            </m:e>
            <m:sub>
              <m:r>
                <w:rPr>
                  <w:rFonts w:ascii="Cambria Math" w:hAnsi="Cambria Math"/>
                </w:rPr>
                <m:t>2</m:t>
              </m:r>
            </m:sub>
          </m:sSub>
          <m:r>
            <w:rPr>
              <w:rFonts w:ascii="Cambria Math" w:hAnsi="Cambria Math"/>
            </w:rPr>
            <m:t>O</m:t>
          </m:r>
        </m:oMath>
      </m:oMathPara>
    </w:p>
    <w:p w14:paraId="4281E056" w14:textId="77777777" w:rsidR="00512EC8" w:rsidRPr="00493870" w:rsidRDefault="00512EC8" w:rsidP="006B5342">
      <w:pPr>
        <w:jc w:val="both"/>
        <w:rPr>
          <w:sz w:val="18"/>
        </w:rPr>
      </w:pPr>
      <w:r w:rsidRPr="00493870">
        <w:rPr>
          <w:sz w:val="18"/>
        </w:rPr>
        <w:t>With X: C</w:t>
      </w:r>
      <w:r w:rsidRPr="00493870">
        <w:rPr>
          <w:sz w:val="18"/>
          <w:vertAlign w:val="subscript"/>
        </w:rPr>
        <w:t>5.8</w:t>
      </w:r>
      <w:r w:rsidRPr="00493870">
        <w:rPr>
          <w:sz w:val="18"/>
        </w:rPr>
        <w:t>H</w:t>
      </w:r>
      <w:r w:rsidRPr="00493870">
        <w:rPr>
          <w:sz w:val="18"/>
          <w:vertAlign w:val="subscript"/>
        </w:rPr>
        <w:t>11.5</w:t>
      </w:r>
      <w:r w:rsidRPr="00493870">
        <w:rPr>
          <w:sz w:val="18"/>
        </w:rPr>
        <w:t>O</w:t>
      </w:r>
      <w:r w:rsidRPr="00493870">
        <w:rPr>
          <w:sz w:val="18"/>
          <w:vertAlign w:val="subscript"/>
        </w:rPr>
        <w:t>3.7</w:t>
      </w:r>
      <w:r w:rsidRPr="00493870">
        <w:rPr>
          <w:sz w:val="18"/>
        </w:rPr>
        <w:t>N being the fixed mycoprotein elemental composition (ash-free). Xylose was considered as the proxy for all C</w:t>
      </w:r>
      <w:r w:rsidRPr="00493870">
        <w:rPr>
          <w:sz w:val="18"/>
          <w:vertAlign w:val="subscript"/>
        </w:rPr>
        <w:t>5</w:t>
      </w:r>
      <w:r w:rsidRPr="00493870">
        <w:rPr>
          <w:sz w:val="18"/>
        </w:rPr>
        <w:t xml:space="preserve"> sugars. Two-digits rounding.</w:t>
      </w:r>
    </w:p>
    <w:p w14:paraId="0B880BDA" w14:textId="2D96CD80" w:rsidR="00512EC8" w:rsidRPr="003F5DA8" w:rsidRDefault="00512EC8" w:rsidP="00512EC8">
      <w:pPr>
        <w:jc w:val="both"/>
        <w:rPr>
          <w:rFonts w:cs="Times New Roman"/>
        </w:rPr>
      </w:pPr>
      <w:r w:rsidRPr="003F5DA8">
        <w:rPr>
          <w:rFonts w:cs="Times New Roman"/>
        </w:rPr>
        <w:t>It is important to note that no evidences were found during the literature review to support the suitability of mycoprotein production on C</w:t>
      </w:r>
      <w:r w:rsidRPr="003F5DA8">
        <w:rPr>
          <w:rFonts w:cs="Times New Roman"/>
          <w:vertAlign w:val="subscript"/>
        </w:rPr>
        <w:t>5</w:t>
      </w:r>
      <w:r w:rsidRPr="003F5DA8">
        <w:rPr>
          <w:rFonts w:cs="Times New Roman"/>
        </w:rPr>
        <w:t xml:space="preserve"> sugars, so this possibility rather represents an optimistic future development. Additionally, xylose is the C</w:t>
      </w:r>
      <w:r w:rsidRPr="003F5DA8">
        <w:rPr>
          <w:rFonts w:cs="Times New Roman"/>
          <w:vertAlign w:val="subscript"/>
        </w:rPr>
        <w:t>5</w:t>
      </w:r>
      <w:r w:rsidRPr="003F5DA8">
        <w:rPr>
          <w:rFonts w:cs="Times New Roman"/>
        </w:rPr>
        <w:t xml:space="preserve"> sugars the most affected by pretreatment. Here no details on the C</w:t>
      </w:r>
      <w:r w:rsidRPr="003F5DA8">
        <w:rPr>
          <w:rFonts w:cs="Times New Roman"/>
          <w:vertAlign w:val="subscript"/>
        </w:rPr>
        <w:t>5</w:t>
      </w:r>
      <w:r w:rsidRPr="003F5DA8">
        <w:rPr>
          <w:rFonts w:cs="Times New Roman"/>
        </w:rPr>
        <w:t xml:space="preserve"> sugars specific composition were assessed (input-dependent), so xylose was considered as a proxy for all C</w:t>
      </w:r>
      <w:r w:rsidRPr="003F5DA8">
        <w:rPr>
          <w:rFonts w:cs="Times New Roman"/>
          <w:vertAlign w:val="subscript"/>
        </w:rPr>
        <w:t>5</w:t>
      </w:r>
      <w:r w:rsidRPr="003F5DA8">
        <w:rPr>
          <w:rFonts w:cs="Times New Roman"/>
        </w:rPr>
        <w:t xml:space="preserve"> sugars. Accordingly, this model estimates the ideal higher range achievable by mycoprotein technologies, but the performances are likely strongly sensitive to xylose’s use rate by fungi</w:t>
      </w:r>
      <w:r w:rsidRPr="003F5DA8">
        <w:rPr>
          <w:rFonts w:cs="Times New Roman"/>
        </w:rPr>
        <w:fldChar w:fldCharType="begin"/>
      </w:r>
      <w:r w:rsidR="005413B4">
        <w:rPr>
          <w:rFonts w:cs="Times New Roman"/>
        </w:rPr>
        <w:instrText xml:space="preserve"> ADDIN ZOTERO_ITEM CSL_CITATION {"citationID":"dUOSoNGI","properties":{"formattedCitation":"\\super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3F5DA8">
        <w:rPr>
          <w:rFonts w:cs="Times New Roman"/>
        </w:rPr>
        <w:fldChar w:fldCharType="separate"/>
      </w:r>
      <w:r w:rsidR="005413B4" w:rsidRPr="005413B4">
        <w:rPr>
          <w:rFonts w:ascii="Calibri" w:hAnsi="Calibri" w:cs="Calibri"/>
          <w:szCs w:val="24"/>
          <w:vertAlign w:val="superscript"/>
        </w:rPr>
        <w:t>131</w:t>
      </w:r>
      <w:r w:rsidRPr="003F5DA8">
        <w:rPr>
          <w:rFonts w:cs="Times New Roman"/>
        </w:rPr>
        <w:fldChar w:fldCharType="end"/>
      </w:r>
      <w:r w:rsidRPr="003F5DA8">
        <w:rPr>
          <w:rFonts w:cs="Times New Roman"/>
        </w:rPr>
        <w:t xml:space="preserve"> (here defined as a parameter).</w:t>
      </w:r>
    </w:p>
    <w:p w14:paraId="7D3B5E0B" w14:textId="77777777" w:rsidR="00512EC8" w:rsidRPr="00512EC8" w:rsidRDefault="00512EC8" w:rsidP="00965628">
      <w:pPr>
        <w:pStyle w:val="Titre4"/>
      </w:pPr>
      <w:r w:rsidRPr="00512EC8">
        <w:t>Gases supply and off-gases reuse</w:t>
      </w:r>
    </w:p>
    <w:p w14:paraId="6993C082" w14:textId="128B7E0E" w:rsidR="00512EC8" w:rsidRPr="003F5DA8" w:rsidRDefault="00512EC8" w:rsidP="00965628">
      <w:pPr>
        <w:ind w:firstLine="360"/>
        <w:jc w:val="both"/>
      </w:pPr>
      <w:r w:rsidRPr="003F5DA8">
        <w:t xml:space="preserve">The exact same modeling as for MP gas injection, oxygen and nitrogen supplies were considered here, </w:t>
      </w:r>
      <w:r w:rsidRPr="008F4A58">
        <w:t xml:space="preserve">see </w:t>
      </w:r>
      <w:r w:rsidR="00907A87" w:rsidRPr="008F4A58">
        <w:rPr>
          <w:b/>
        </w:rPr>
        <w:t>section</w:t>
      </w:r>
      <w:r w:rsidR="008F4A58" w:rsidRPr="008F4A58">
        <w:rPr>
          <w:b/>
        </w:rPr>
        <w:t xml:space="preserve"> </w:t>
      </w:r>
      <w:r w:rsidR="000C6C37">
        <w:rPr>
          <w:b/>
        </w:rPr>
        <w:t xml:space="preserve">SI. </w:t>
      </w:r>
      <w:r w:rsidR="008F4A58" w:rsidRPr="008F4A58">
        <w:rPr>
          <w:b/>
        </w:rPr>
        <w:t>4.6.4</w:t>
      </w:r>
      <w:r w:rsidRPr="008F4A58">
        <w:t>.</w:t>
      </w:r>
      <w:r w:rsidRPr="003F5DA8">
        <w:t xml:space="preserve"> Mycoproteins production do</w:t>
      </w:r>
      <w:r w:rsidR="00042BF3">
        <w:t>es</w:t>
      </w:r>
      <w:r w:rsidRPr="003F5DA8">
        <w:t xml:space="preserve"> not face the flammable gas mixture challenge, and off-gases are mostly inert (unused O</w:t>
      </w:r>
      <w:r w:rsidRPr="003F5DA8">
        <w:rPr>
          <w:vertAlign w:val="subscript"/>
        </w:rPr>
        <w:t>2</w:t>
      </w:r>
      <w:r w:rsidRPr="003F5DA8">
        <w:t xml:space="preserve"> and NH</w:t>
      </w:r>
      <w:r w:rsidRPr="003F5DA8">
        <w:rPr>
          <w:vertAlign w:val="subscript"/>
        </w:rPr>
        <w:t>3</w:t>
      </w:r>
      <w:r w:rsidRPr="003F5DA8">
        <w:t>, metabolic CO</w:t>
      </w:r>
      <w:r w:rsidRPr="003F5DA8">
        <w:rPr>
          <w:vertAlign w:val="subscript"/>
        </w:rPr>
        <w:t>2</w:t>
      </w:r>
      <w:r w:rsidRPr="003F5DA8">
        <w:t>, and N</w:t>
      </w:r>
      <w:r w:rsidRPr="003F5DA8">
        <w:rPr>
          <w:vertAlign w:val="subscript"/>
        </w:rPr>
        <w:t>2</w:t>
      </w:r>
      <w:r w:rsidRPr="003F5DA8">
        <w:t xml:space="preserve">). </w:t>
      </w:r>
      <w:r w:rsidRPr="00042BF3">
        <w:t>These were assumed directly vented to the atmosphere after passing through biofilters to oxidize ammonia</w:t>
      </w:r>
      <w:r w:rsidRPr="00042BF3">
        <w:fldChar w:fldCharType="begin"/>
      </w:r>
      <w:r w:rsidR="008C451C">
        <w:instrText xml:space="preserve"> ADDIN ZOTERO_ITEM CSL_CITATION {"citationID":"gXrzd339","properties":{"formattedCitation":"\\super 65\\nosupersub{}","plainCitation":"65","noteIndex":0},"citationItems":[{"id":12392,"uris":["http://zotero.org/users/6423791/items/PS7WU774"],"itemData":{"id":12392,"type":"article-journal","abstract":"In an endeavor to make Europe carbon-neutral, and to foster a circular economy, improving food waste management has been identified by the European Union (EU) as a key factor. In this study, we consider 21 pathways, covering: (i) prevention; (ii) reuse for both human consumption and animal feed; (iii) material recycling as an input into the food and chemical industries; (iv) nutrient recycling; and (v) energy/fuel recovery. To include all types of impact, a sustainability assessment, encompassing environmental, economic, and social pillars, is performed and complemented with societal life cycle costing. The results indicate that after prevention, reuse for human consumption and animal feed is the most preferred option, and, in most cases, nutrient recycling and energy recovery are favored over material recycling for chemical production. While highlighting that the food waste management hierarchy should be supported with quantitative sustainability analyses, the findings also illustrate that biochemical pathways should be improved to be competitive despite the fact that food waste valorization has the potential to satisfy the EU demand for the chemicals investigated. Yet, the results clearly show that the potential benefits of improving emerging technologies would still not eclipse the benefits related to food waste prevention and its redistribution.","container-title":"Environmental Science &amp; Technology","journalAbbreviation":"Environ. Sci. Technol.","note":"publisher: American Chemical Society","source":"ACS Publications","title":"A Quantitative Sustainability Assessment of Food Waste Management in the European Union","URL":"https://doi.org/10.1021/acs.est.1c03940","author":[{"family":"Albizzati","given":"Paola Federica"},{"family":"Tonini","given":"Davide"},{"family":"Astrup","given":"Thomas F."}],"accessed":{"date-parts":[["2021",11,18]]},"issued":{"date-parts":[["2021",11,16]]}}}],"schema":"https://github.com/citation-style-language/schema/raw/master/csl-citation.json"} </w:instrText>
      </w:r>
      <w:r w:rsidRPr="00042BF3">
        <w:fldChar w:fldCharType="separate"/>
      </w:r>
      <w:r w:rsidR="008C451C" w:rsidRPr="008C451C">
        <w:rPr>
          <w:rFonts w:ascii="Calibri" w:hAnsi="Calibri" w:cs="Calibri"/>
          <w:szCs w:val="24"/>
          <w:vertAlign w:val="superscript"/>
        </w:rPr>
        <w:t>65</w:t>
      </w:r>
      <w:r w:rsidRPr="00042BF3">
        <w:fldChar w:fldCharType="end"/>
      </w:r>
      <w:r w:rsidRPr="00042BF3">
        <w:t>.</w:t>
      </w:r>
    </w:p>
    <w:p w14:paraId="644D2672" w14:textId="77777777" w:rsidR="00512EC8" w:rsidRPr="00512EC8" w:rsidRDefault="00512EC8" w:rsidP="00042BF3">
      <w:pPr>
        <w:pStyle w:val="Titre4"/>
      </w:pPr>
      <w:r w:rsidRPr="00512EC8">
        <w:t>Metabolic heat</w:t>
      </w:r>
    </w:p>
    <w:p w14:paraId="7EC8E0D7" w14:textId="55708905" w:rsidR="00512EC8" w:rsidRPr="003F5DA8" w:rsidRDefault="00512EC8" w:rsidP="00042BF3">
      <w:pPr>
        <w:ind w:firstLine="360"/>
        <w:jc w:val="both"/>
        <w:rPr>
          <w:highlight w:val="yellow"/>
        </w:rPr>
      </w:pPr>
      <w:r w:rsidRPr="003F5DA8">
        <w:t>Cooling is required to maintain mesophilic conditions (here, 30°C) in the bioreactor, due to the exothermic mycoproteins growth (</w:t>
      </w:r>
      <w:r w:rsidR="00042BF3" w:rsidRPr="00042BF3">
        <w:rPr>
          <w:b/>
        </w:rPr>
        <w:fldChar w:fldCharType="begin"/>
      </w:r>
      <w:r w:rsidR="00042BF3" w:rsidRPr="00042BF3">
        <w:rPr>
          <w:b/>
        </w:rPr>
        <w:instrText xml:space="preserve"> REF _Ref144819721 \h </w:instrText>
      </w:r>
      <w:r w:rsidR="00042BF3">
        <w:rPr>
          <w:b/>
        </w:rPr>
        <w:instrText xml:space="preserve"> \* MERGEFORMAT </w:instrText>
      </w:r>
      <w:r w:rsidR="00042BF3" w:rsidRPr="00042BF3">
        <w:rPr>
          <w:b/>
        </w:rPr>
      </w:r>
      <w:r w:rsidR="00042BF3" w:rsidRPr="00042BF3">
        <w:rPr>
          <w:b/>
        </w:rPr>
        <w:fldChar w:fldCharType="separate"/>
      </w:r>
      <w:r w:rsidR="00F25F8C" w:rsidRPr="00F25F8C">
        <w:rPr>
          <w:b/>
        </w:rPr>
        <w:t xml:space="preserve">Table SI. </w:t>
      </w:r>
      <w:r w:rsidR="00F25F8C" w:rsidRPr="00F25F8C">
        <w:rPr>
          <w:b/>
          <w:noProof/>
        </w:rPr>
        <w:t>49</w:t>
      </w:r>
      <w:r w:rsidR="00042BF3" w:rsidRPr="00042BF3">
        <w:rPr>
          <w:b/>
        </w:rPr>
        <w:fldChar w:fldCharType="end"/>
      </w:r>
      <w:r w:rsidRPr="003F5DA8">
        <w:t xml:space="preserve">). For homogeneity, the same assumptions that for MP were adopted, see </w:t>
      </w:r>
      <w:r w:rsidR="008F4A58" w:rsidRPr="008F4A58">
        <w:rPr>
          <w:b/>
        </w:rPr>
        <w:t xml:space="preserve">section </w:t>
      </w:r>
      <w:r w:rsidR="000C6C37">
        <w:rPr>
          <w:b/>
        </w:rPr>
        <w:t xml:space="preserve">SI. </w:t>
      </w:r>
      <w:r w:rsidR="008F4A58" w:rsidRPr="008F4A58">
        <w:rPr>
          <w:b/>
        </w:rPr>
        <w:t>4.6.4</w:t>
      </w:r>
      <w:r w:rsidR="008F4A58" w:rsidRPr="008F4A58">
        <w:t>.</w:t>
      </w:r>
    </w:p>
    <w:p w14:paraId="7B669ADA" w14:textId="77777777" w:rsidR="00512EC8" w:rsidRPr="00512EC8" w:rsidRDefault="00512EC8" w:rsidP="00042BF3">
      <w:pPr>
        <w:pStyle w:val="Titre4"/>
      </w:pPr>
      <w:r w:rsidRPr="00512EC8">
        <w:lastRenderedPageBreak/>
        <w:t>Cleaning requirements and infrastructure</w:t>
      </w:r>
    </w:p>
    <w:p w14:paraId="2A4F9C0D" w14:textId="09CCFA32" w:rsidR="00512EC8" w:rsidRPr="003F5DA8" w:rsidRDefault="00512EC8" w:rsidP="00042BF3">
      <w:pPr>
        <w:ind w:firstLine="360"/>
        <w:jc w:val="both"/>
      </w:pPr>
      <w:r w:rsidRPr="003F5DA8">
        <w:t xml:space="preserve">Having in common most of unit operations and production capacity, the cleaning requirements of mycoproteins production were modeled as for MP (see </w:t>
      </w:r>
      <w:r w:rsidR="008F4A58" w:rsidRPr="008F4A58">
        <w:rPr>
          <w:b/>
        </w:rPr>
        <w:t xml:space="preserve">section </w:t>
      </w:r>
      <w:r w:rsidR="000C6C37">
        <w:rPr>
          <w:b/>
        </w:rPr>
        <w:t xml:space="preserve">SI. </w:t>
      </w:r>
      <w:r w:rsidR="008F4A58" w:rsidRPr="008F4A58">
        <w:rPr>
          <w:b/>
        </w:rPr>
        <w:t>4.6.4</w:t>
      </w:r>
      <w:r w:rsidRPr="003F5DA8">
        <w:t>), only adapting the frequency (see</w:t>
      </w:r>
      <w:r w:rsidR="00042BF3">
        <w:t xml:space="preserve"> </w:t>
      </w:r>
      <w:r w:rsidR="00042BF3" w:rsidRPr="00042BF3">
        <w:rPr>
          <w:b/>
        </w:rPr>
        <w:fldChar w:fldCharType="begin"/>
      </w:r>
      <w:r w:rsidR="00042BF3" w:rsidRPr="00042BF3">
        <w:rPr>
          <w:b/>
        </w:rPr>
        <w:instrText xml:space="preserve"> REF _Ref144820206 \h </w:instrText>
      </w:r>
      <w:r w:rsidR="00042BF3">
        <w:rPr>
          <w:b/>
        </w:rPr>
        <w:instrText xml:space="preserve"> \* MERGEFORMAT </w:instrText>
      </w:r>
      <w:r w:rsidR="00042BF3" w:rsidRPr="00042BF3">
        <w:rPr>
          <w:b/>
        </w:rPr>
      </w:r>
      <w:r w:rsidR="00042BF3" w:rsidRPr="00042BF3">
        <w:rPr>
          <w:b/>
        </w:rPr>
        <w:fldChar w:fldCharType="separate"/>
      </w:r>
      <w:r w:rsidR="00F25F8C" w:rsidRPr="00F25F8C">
        <w:rPr>
          <w:b/>
        </w:rPr>
        <w:t xml:space="preserve">Table SI. </w:t>
      </w:r>
      <w:r w:rsidR="00F25F8C" w:rsidRPr="00F25F8C">
        <w:rPr>
          <w:b/>
          <w:noProof/>
        </w:rPr>
        <w:t>53</w:t>
      </w:r>
      <w:r w:rsidR="00042BF3" w:rsidRPr="00042BF3">
        <w:rPr>
          <w:b/>
        </w:rPr>
        <w:fldChar w:fldCharType="end"/>
      </w:r>
      <w:r w:rsidRPr="003F5DA8">
        <w:t>). Related infrastructure was also modeled through the same proxy than for MP (see</w:t>
      </w:r>
      <w:r w:rsidR="00042BF3">
        <w:t xml:space="preserve"> </w:t>
      </w:r>
      <w:r w:rsidR="00042BF3" w:rsidRPr="00042BF3">
        <w:rPr>
          <w:b/>
        </w:rPr>
        <w:fldChar w:fldCharType="begin"/>
      </w:r>
      <w:r w:rsidR="00042BF3" w:rsidRPr="00042BF3">
        <w:rPr>
          <w:b/>
        </w:rPr>
        <w:instrText xml:space="preserve"> REF _Ref144820217 \h </w:instrText>
      </w:r>
      <w:r w:rsidR="00042BF3">
        <w:rPr>
          <w:b/>
        </w:rPr>
        <w:instrText xml:space="preserve"> \* MERGEFORMAT </w:instrText>
      </w:r>
      <w:r w:rsidR="00042BF3" w:rsidRPr="00042BF3">
        <w:rPr>
          <w:b/>
        </w:rPr>
      </w:r>
      <w:r w:rsidR="00042BF3" w:rsidRPr="00042BF3">
        <w:rPr>
          <w:b/>
        </w:rPr>
        <w:fldChar w:fldCharType="separate"/>
      </w:r>
      <w:r w:rsidR="00F25F8C" w:rsidRPr="00F25F8C">
        <w:rPr>
          <w:b/>
        </w:rPr>
        <w:t xml:space="preserve">Table SI. </w:t>
      </w:r>
      <w:r w:rsidR="00F25F8C" w:rsidRPr="00F25F8C">
        <w:rPr>
          <w:b/>
          <w:noProof/>
        </w:rPr>
        <w:t>54</w:t>
      </w:r>
      <w:r w:rsidR="00042BF3" w:rsidRPr="00042BF3">
        <w:rPr>
          <w:b/>
        </w:rPr>
        <w:fldChar w:fldCharType="end"/>
      </w:r>
      <w:r w:rsidRPr="003F5DA8">
        <w:t>).</w:t>
      </w:r>
    </w:p>
    <w:p w14:paraId="4B226621" w14:textId="77777777" w:rsidR="00512EC8" w:rsidRPr="00512EC8" w:rsidRDefault="00512EC8" w:rsidP="00042BF3">
      <w:pPr>
        <w:pStyle w:val="Titre4"/>
      </w:pPr>
      <w:r w:rsidRPr="00512EC8">
        <w:t>Medium preparation</w:t>
      </w:r>
    </w:p>
    <w:p w14:paraId="12ADC4D6" w14:textId="60A46483" w:rsidR="00512EC8" w:rsidRDefault="00512EC8" w:rsidP="00042BF3">
      <w:pPr>
        <w:ind w:firstLine="360"/>
        <w:jc w:val="both"/>
        <w:rPr>
          <w:rFonts w:cs="Times New Roman"/>
        </w:rPr>
      </w:pPr>
      <w:r w:rsidRPr="003F5DA8">
        <w:rPr>
          <w:rFonts w:cs="Times New Roman"/>
        </w:rPr>
        <w:t>Other nutrients and micronutrients necessary for fungal growth were included, based on values specifically reported for the target strain (</w:t>
      </w:r>
      <w:r w:rsidR="00042BF3" w:rsidRPr="00042BF3">
        <w:rPr>
          <w:rFonts w:cs="Times New Roman"/>
          <w:b/>
        </w:rPr>
        <w:fldChar w:fldCharType="begin"/>
      </w:r>
      <w:r w:rsidR="00042BF3" w:rsidRPr="00042BF3">
        <w:rPr>
          <w:rFonts w:cs="Times New Roman"/>
          <w:b/>
        </w:rPr>
        <w:instrText xml:space="preserve"> REF _Ref144820255 \h </w:instrText>
      </w:r>
      <w:r w:rsidR="00042BF3">
        <w:rPr>
          <w:rFonts w:cs="Times New Roman"/>
          <w:b/>
        </w:rPr>
        <w:instrText xml:space="preserve"> \* MERGEFORMAT </w:instrText>
      </w:r>
      <w:r w:rsidR="00042BF3" w:rsidRPr="00042BF3">
        <w:rPr>
          <w:rFonts w:cs="Times New Roman"/>
          <w:b/>
        </w:rPr>
      </w:r>
      <w:r w:rsidR="00042BF3" w:rsidRPr="00042BF3">
        <w:rPr>
          <w:rFonts w:cs="Times New Roman"/>
          <w:b/>
        </w:rPr>
        <w:fldChar w:fldCharType="separate"/>
      </w:r>
      <w:r w:rsidR="00F25F8C" w:rsidRPr="00F25F8C">
        <w:rPr>
          <w:b/>
        </w:rPr>
        <w:t xml:space="preserve">Table SI. </w:t>
      </w:r>
      <w:r w:rsidR="00F25F8C" w:rsidRPr="00F25F8C">
        <w:rPr>
          <w:b/>
          <w:noProof/>
        </w:rPr>
        <w:t>50</w:t>
      </w:r>
      <w:r w:rsidR="00042BF3" w:rsidRPr="00042BF3">
        <w:rPr>
          <w:rFonts w:cs="Times New Roman"/>
          <w:b/>
        </w:rPr>
        <w:fldChar w:fldCharType="end"/>
      </w:r>
      <w:r w:rsidRPr="003F5DA8">
        <w:rPr>
          <w:rFonts w:cs="Times New Roman"/>
        </w:rPr>
        <w:t>). Make-up water was limited as hydrolysates were already supplied at the target moisture content. Similarly modeled in Van Peteghem et al., 2022</w:t>
      </w:r>
      <w:r w:rsidRPr="003F5DA8">
        <w:rPr>
          <w:rFonts w:cs="Times New Roman"/>
        </w:rPr>
        <w:fldChar w:fldCharType="begin"/>
      </w:r>
      <w:r w:rsidR="00827449">
        <w:rPr>
          <w:rFonts w:cs="Times New Roman"/>
        </w:rPr>
        <w:instrText xml:space="preserve"> ADDIN ZOTERO_ITEM CSL_CITATION {"citationID":"2BL0X7rw","properties":{"formattedCitation":"\\super 41\\nosupersub{}","plainCitation":"41","noteIndex":0},"citationItems":[{"id":13068,"uris":["http://zotero.org/users/6423791/items/RK8J2DQC"],"itemData":{"id":13068,"type":"article-journal","abstract":"Alternative protein sources such as microbial protein (MP) are currently considered to alleviate the burden that food production exerts on the environment. Even though MP production is highly efficient in land and nutrient utilization, their carbon footprint should be improved. Here we propose the use of CCU as a driver for heterotrophic MP production. By comparing different MP production routes starting from liquid substrates derived from CO2 (i.e., formate, acetate, methanol, and ethanol) and their respective metabolic pathways, the potential of this concept as a carbon–neutral food or feed production process was estimated. Acetate and ethanol appear to be the most beneficial substrates for the integrated CCU-to-MP process in terms of electricity demand (acetate: 25 – 54 kWh/kgproduct, ethanol: 28 – 56 kWh/kgproduct). Moreover, recycling CO2 enables a carbon-negative protein production process by 2030 (considering the projected CO2 emissions from electricity in the EU: 0.096 kgCO2-eq/kWh) for formate, acetate, and ethanol (-1.1 up to 13 kgCO2-eq/kgproduct).","container-title":"Bioresource Technology","DOI":"10.1016/j.biortech.2022.126853","ISSN":"0960-8524","journalAbbreviation":"Bioresour. Technol.","language":"en","page":"126853","source":"ScienceDirect","title":"Towards new carbon–neutral food systems: Combining carbon capture and utilization with microbial protein production","title-short":"Towards new carbon–neutral food systems","volume":"349","author":[{"family":"Van Peteghem","given":"L."},{"family":"Sakarika","given":"M."},{"family":"Matassa","given":"S."},{"family":"Pikaar","given":"I."},{"family":"Ganigué","given":"R."},{"family":"Rabaey","given":"K."}],"issued":{"date-parts":[["2022",4,1]]}}}],"schema":"https://github.com/citation-style-language/schema/raw/master/csl-citation.json"} </w:instrText>
      </w:r>
      <w:r w:rsidRPr="003F5DA8">
        <w:rPr>
          <w:rFonts w:cs="Times New Roman"/>
        </w:rPr>
        <w:fldChar w:fldCharType="separate"/>
      </w:r>
      <w:r w:rsidR="008C451C" w:rsidRPr="008C451C">
        <w:rPr>
          <w:rFonts w:ascii="Calibri" w:hAnsi="Calibri" w:cs="Calibri"/>
          <w:szCs w:val="24"/>
          <w:vertAlign w:val="superscript"/>
        </w:rPr>
        <w:t>41</w:t>
      </w:r>
      <w:r w:rsidRPr="003F5DA8">
        <w:rPr>
          <w:rFonts w:cs="Times New Roman"/>
        </w:rPr>
        <w:fldChar w:fldCharType="end"/>
      </w:r>
      <w:r w:rsidRPr="003F5DA8">
        <w:rPr>
          <w:rFonts w:cs="Times New Roman"/>
        </w:rPr>
        <w:t>, missing nutrients were mixed with make-up water and further sterilized at 120°C, before being pumped towards the bioreactor, following the main heat balance and modeling than for MP medium (</w:t>
      </w:r>
      <w:r w:rsidR="008F4A58" w:rsidRPr="008F4A58">
        <w:rPr>
          <w:b/>
        </w:rPr>
        <w:t xml:space="preserve">section </w:t>
      </w:r>
      <w:r w:rsidR="000C6C37">
        <w:rPr>
          <w:b/>
        </w:rPr>
        <w:t xml:space="preserve">SI. </w:t>
      </w:r>
      <w:r w:rsidR="008F4A58" w:rsidRPr="008F4A58">
        <w:rPr>
          <w:b/>
        </w:rPr>
        <w:t>4.6.4</w:t>
      </w:r>
      <w:r w:rsidRPr="003F5DA8">
        <w:rPr>
          <w:rFonts w:cs="Times New Roman"/>
        </w:rPr>
        <w:t>)</w:t>
      </w:r>
      <w:r>
        <w:rPr>
          <w:rFonts w:cs="Times New Roman"/>
        </w:rPr>
        <w:t>.</w:t>
      </w:r>
    </w:p>
    <w:p w14:paraId="2F650489" w14:textId="60F4B4FC" w:rsidR="00512EC8" w:rsidRPr="00493870" w:rsidRDefault="00874128" w:rsidP="006B5342">
      <w:pPr>
        <w:pStyle w:val="Lgende"/>
        <w:jc w:val="left"/>
        <w:rPr>
          <w:b w:val="0"/>
          <w:i/>
        </w:rPr>
      </w:pPr>
      <w:bookmarkStart w:id="223" w:name="_Ref144820255"/>
      <w:bookmarkStart w:id="224" w:name="_Toc134537661"/>
      <w:bookmarkStart w:id="225" w:name="_Toc151967934"/>
      <w:r>
        <w:t>Table SI.</w:t>
      </w:r>
      <w:r w:rsidR="00512EC8">
        <w:t xml:space="preserve"> </w:t>
      </w:r>
      <w:r>
        <w:fldChar w:fldCharType="begin"/>
      </w:r>
      <w:r>
        <w:instrText xml:space="preserve"> SEQ Table_SI. \* ARABIC </w:instrText>
      </w:r>
      <w:r>
        <w:fldChar w:fldCharType="separate"/>
      </w:r>
      <w:r w:rsidR="00F25F8C">
        <w:rPr>
          <w:noProof/>
        </w:rPr>
        <w:t>50</w:t>
      </w:r>
      <w:r>
        <w:fldChar w:fldCharType="end"/>
      </w:r>
      <w:bookmarkEnd w:id="223"/>
      <w:r w:rsidR="00512EC8">
        <w:t xml:space="preserve"> </w:t>
      </w:r>
      <w:r w:rsidR="00512EC8" w:rsidRPr="00B56B39">
        <w:t>– Medium formulation modeling parameters</w:t>
      </w:r>
      <w:bookmarkEnd w:id="224"/>
      <w:bookmarkEnd w:id="225"/>
    </w:p>
    <w:tbl>
      <w:tblPr>
        <w:tblStyle w:val="Tableausimple2"/>
        <w:tblW w:w="0" w:type="auto"/>
        <w:tblLook w:val="04A0" w:firstRow="1" w:lastRow="0" w:firstColumn="1" w:lastColumn="0" w:noHBand="0" w:noVBand="1"/>
      </w:tblPr>
      <w:tblGrid>
        <w:gridCol w:w="2112"/>
        <w:gridCol w:w="1134"/>
        <w:gridCol w:w="708"/>
        <w:gridCol w:w="4237"/>
      </w:tblGrid>
      <w:tr w:rsidR="00512EC8" w:rsidRPr="008F4A58" w14:paraId="281F8B01"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516BCE7D" w14:textId="77777777" w:rsidR="00512EC8" w:rsidRPr="008F4A58" w:rsidRDefault="00512EC8" w:rsidP="006D537D">
            <w:pPr>
              <w:jc w:val="right"/>
              <w:rPr>
                <w:sz w:val="18"/>
              </w:rPr>
            </w:pPr>
            <w:r w:rsidRPr="008F4A58">
              <w:rPr>
                <w:sz w:val="18"/>
              </w:rPr>
              <w:t>Compounds</w:t>
            </w:r>
          </w:p>
        </w:tc>
        <w:tc>
          <w:tcPr>
            <w:tcW w:w="1134" w:type="dxa"/>
          </w:tcPr>
          <w:p w14:paraId="2FDD7FA2"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rPr>
            </w:pPr>
            <w:r w:rsidRPr="008F4A58">
              <w:rPr>
                <w:sz w:val="18"/>
              </w:rPr>
              <w:t>Unit</w:t>
            </w:r>
          </w:p>
        </w:tc>
        <w:tc>
          <w:tcPr>
            <w:tcW w:w="708" w:type="dxa"/>
          </w:tcPr>
          <w:p w14:paraId="5F7624BE"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rPr>
            </w:pPr>
            <w:r w:rsidRPr="008F4A58">
              <w:rPr>
                <w:sz w:val="18"/>
              </w:rPr>
              <w:t>Value</w:t>
            </w:r>
          </w:p>
        </w:tc>
        <w:tc>
          <w:tcPr>
            <w:tcW w:w="4237" w:type="dxa"/>
          </w:tcPr>
          <w:p w14:paraId="526C8462" w14:textId="77777777" w:rsidR="00512EC8" w:rsidRPr="008F4A58" w:rsidRDefault="00512EC8" w:rsidP="00042BF3">
            <w:pPr>
              <w:cnfStyle w:val="100000000000" w:firstRow="1" w:lastRow="0" w:firstColumn="0" w:lastColumn="0" w:oddVBand="0" w:evenVBand="0" w:oddHBand="0" w:evenHBand="0" w:firstRowFirstColumn="0" w:firstRowLastColumn="0" w:lastRowFirstColumn="0" w:lastRowLastColumn="0"/>
              <w:rPr>
                <w:i/>
                <w:sz w:val="18"/>
              </w:rPr>
            </w:pPr>
            <w:r w:rsidRPr="008F4A58">
              <w:rPr>
                <w:i/>
                <w:sz w:val="18"/>
              </w:rPr>
              <w:t>Comment</w:t>
            </w:r>
          </w:p>
        </w:tc>
      </w:tr>
      <w:tr w:rsidR="00512EC8" w:rsidRPr="008F4A58" w14:paraId="46BD60AF"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5D247250" w14:textId="77777777" w:rsidR="00512EC8" w:rsidRPr="008F4A58" w:rsidRDefault="00512EC8" w:rsidP="006D537D">
            <w:pPr>
              <w:jc w:val="right"/>
              <w:rPr>
                <w:b w:val="0"/>
                <w:sz w:val="18"/>
              </w:rPr>
            </w:pPr>
            <w:r w:rsidRPr="008F4A58">
              <w:rPr>
                <w:b w:val="0"/>
                <w:sz w:val="18"/>
              </w:rPr>
              <w:t>P</w:t>
            </w:r>
          </w:p>
        </w:tc>
        <w:tc>
          <w:tcPr>
            <w:tcW w:w="1134" w:type="dxa"/>
            <w:vMerge w:val="restart"/>
          </w:tcPr>
          <w:p w14:paraId="5A4255CE"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rPr>
            </w:pPr>
            <w:proofErr w:type="gramStart"/>
            <w:r w:rsidRPr="008F4A58">
              <w:rPr>
                <w:sz w:val="18"/>
              </w:rPr>
              <w:t>mg.g</w:t>
            </w:r>
            <w:r w:rsidRPr="008F4A58">
              <w:rPr>
                <w:sz w:val="18"/>
                <w:vertAlign w:val="subscript"/>
              </w:rPr>
              <w:t>X</w:t>
            </w:r>
            <w:proofErr w:type="gramEnd"/>
            <w:r w:rsidRPr="008F4A58">
              <w:rPr>
                <w:sz w:val="18"/>
                <w:vertAlign w:val="superscript"/>
              </w:rPr>
              <w:t>-1</w:t>
            </w:r>
          </w:p>
        </w:tc>
        <w:tc>
          <w:tcPr>
            <w:tcW w:w="708" w:type="dxa"/>
          </w:tcPr>
          <w:p w14:paraId="3DE2AB82"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rPr>
            </w:pPr>
            <w:r w:rsidRPr="008F4A58">
              <w:rPr>
                <w:sz w:val="18"/>
              </w:rPr>
              <w:t>17.5</w:t>
            </w:r>
          </w:p>
        </w:tc>
        <w:tc>
          <w:tcPr>
            <w:tcW w:w="4237" w:type="dxa"/>
          </w:tcPr>
          <w:p w14:paraId="3BDA74BE" w14:textId="0967347E" w:rsidR="00512EC8" w:rsidRPr="008F4A58" w:rsidRDefault="00512EC8" w:rsidP="00042BF3">
            <w:pPr>
              <w:cnfStyle w:val="000000100000" w:firstRow="0" w:lastRow="0" w:firstColumn="0" w:lastColumn="0" w:oddVBand="0" w:evenVBand="0" w:oddHBand="1" w:evenHBand="0" w:firstRowFirstColumn="0" w:firstRowLastColumn="0" w:lastRowFirstColumn="0" w:lastRowLastColumn="0"/>
              <w:rPr>
                <w:i/>
                <w:sz w:val="18"/>
              </w:rPr>
            </w:pPr>
            <w:r w:rsidRPr="008F4A58">
              <w:rPr>
                <w:i/>
                <w:sz w:val="18"/>
              </w:rPr>
              <w:fldChar w:fldCharType="begin"/>
            </w:r>
            <w:r w:rsidR="005413B4">
              <w:rPr>
                <w:i/>
                <w:sz w:val="18"/>
              </w:rPr>
              <w:instrText xml:space="preserve"> ADDIN ZOTERO_ITEM CSL_CITATION {"citationID":"mduqRcJ8","properties":{"formattedCitation":"\\super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8F4A58">
              <w:rPr>
                <w:i/>
                <w:sz w:val="18"/>
              </w:rPr>
              <w:fldChar w:fldCharType="separate"/>
            </w:r>
            <w:r w:rsidR="005413B4" w:rsidRPr="005413B4">
              <w:rPr>
                <w:rFonts w:ascii="Calibri" w:hAnsi="Calibri" w:cs="Calibri"/>
                <w:sz w:val="18"/>
                <w:szCs w:val="24"/>
                <w:vertAlign w:val="superscript"/>
              </w:rPr>
              <w:t>131</w:t>
            </w:r>
            <w:r w:rsidRPr="008F4A58">
              <w:rPr>
                <w:i/>
                <w:sz w:val="18"/>
              </w:rPr>
              <w:fldChar w:fldCharType="end"/>
            </w:r>
          </w:p>
        </w:tc>
      </w:tr>
      <w:tr w:rsidR="00512EC8" w:rsidRPr="008F4A58" w14:paraId="2F05EF4C" w14:textId="77777777" w:rsidTr="006B5342">
        <w:tc>
          <w:tcPr>
            <w:cnfStyle w:val="001000000000" w:firstRow="0" w:lastRow="0" w:firstColumn="1" w:lastColumn="0" w:oddVBand="0" w:evenVBand="0" w:oddHBand="0" w:evenHBand="0" w:firstRowFirstColumn="0" w:firstRowLastColumn="0" w:lastRowFirstColumn="0" w:lastRowLastColumn="0"/>
            <w:tcW w:w="2112" w:type="dxa"/>
          </w:tcPr>
          <w:p w14:paraId="6A32F43C" w14:textId="77777777" w:rsidR="00512EC8" w:rsidRPr="008F4A58" w:rsidRDefault="00512EC8" w:rsidP="006D537D">
            <w:pPr>
              <w:jc w:val="right"/>
              <w:rPr>
                <w:b w:val="0"/>
                <w:sz w:val="18"/>
              </w:rPr>
            </w:pPr>
            <w:r w:rsidRPr="008F4A58">
              <w:rPr>
                <w:b w:val="0"/>
                <w:sz w:val="18"/>
              </w:rPr>
              <w:t>K</w:t>
            </w:r>
          </w:p>
        </w:tc>
        <w:tc>
          <w:tcPr>
            <w:tcW w:w="1134" w:type="dxa"/>
            <w:vMerge/>
          </w:tcPr>
          <w:p w14:paraId="3FD099C2"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rPr>
            </w:pPr>
          </w:p>
        </w:tc>
        <w:tc>
          <w:tcPr>
            <w:tcW w:w="708" w:type="dxa"/>
          </w:tcPr>
          <w:p w14:paraId="40A779E6"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rPr>
            </w:pPr>
            <w:r w:rsidRPr="008F4A58">
              <w:rPr>
                <w:sz w:val="18"/>
              </w:rPr>
              <w:t>19</w:t>
            </w:r>
          </w:p>
        </w:tc>
        <w:tc>
          <w:tcPr>
            <w:tcW w:w="4237" w:type="dxa"/>
          </w:tcPr>
          <w:p w14:paraId="73FC3EE6" w14:textId="21A5C34E" w:rsidR="00512EC8" w:rsidRPr="008F4A58" w:rsidRDefault="00512EC8" w:rsidP="00042BF3">
            <w:pPr>
              <w:cnfStyle w:val="000000000000" w:firstRow="0" w:lastRow="0" w:firstColumn="0" w:lastColumn="0" w:oddVBand="0" w:evenVBand="0" w:oddHBand="0" w:evenHBand="0" w:firstRowFirstColumn="0" w:firstRowLastColumn="0" w:lastRowFirstColumn="0" w:lastRowLastColumn="0"/>
              <w:rPr>
                <w:i/>
                <w:sz w:val="18"/>
                <w:szCs w:val="18"/>
              </w:rPr>
            </w:pPr>
            <w:r w:rsidRPr="008F4A58">
              <w:rPr>
                <w:i/>
                <w:sz w:val="18"/>
              </w:rPr>
              <w:fldChar w:fldCharType="begin"/>
            </w:r>
            <w:r w:rsidR="005413B4">
              <w:rPr>
                <w:i/>
                <w:sz w:val="18"/>
              </w:rPr>
              <w:instrText xml:space="preserve"> ADDIN ZOTERO_ITEM CSL_CITATION {"citationID":"plMBs5UK","properties":{"formattedCitation":"\\super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8F4A58">
              <w:rPr>
                <w:i/>
                <w:sz w:val="18"/>
              </w:rPr>
              <w:fldChar w:fldCharType="separate"/>
            </w:r>
            <w:r w:rsidR="005413B4" w:rsidRPr="005413B4">
              <w:rPr>
                <w:rFonts w:ascii="Calibri" w:hAnsi="Calibri" w:cs="Calibri"/>
                <w:sz w:val="18"/>
                <w:szCs w:val="24"/>
                <w:vertAlign w:val="superscript"/>
              </w:rPr>
              <w:t>131</w:t>
            </w:r>
            <w:r w:rsidRPr="008F4A58">
              <w:rPr>
                <w:i/>
                <w:sz w:val="18"/>
              </w:rPr>
              <w:fldChar w:fldCharType="end"/>
            </w:r>
          </w:p>
        </w:tc>
      </w:tr>
      <w:tr w:rsidR="00512EC8" w:rsidRPr="008F4A58" w14:paraId="00479768"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11BA0643" w14:textId="77777777" w:rsidR="00512EC8" w:rsidRPr="008F4A58" w:rsidRDefault="00512EC8" w:rsidP="006D537D">
            <w:pPr>
              <w:jc w:val="right"/>
              <w:rPr>
                <w:b w:val="0"/>
                <w:sz w:val="18"/>
              </w:rPr>
            </w:pPr>
            <w:r w:rsidRPr="008F4A58">
              <w:rPr>
                <w:b w:val="0"/>
                <w:sz w:val="18"/>
              </w:rPr>
              <w:t>MgSO</w:t>
            </w:r>
            <w:r w:rsidRPr="008F4A58">
              <w:rPr>
                <w:b w:val="0"/>
                <w:sz w:val="18"/>
                <w:vertAlign w:val="subscript"/>
              </w:rPr>
              <w:t>4</w:t>
            </w:r>
          </w:p>
        </w:tc>
        <w:tc>
          <w:tcPr>
            <w:tcW w:w="1134" w:type="dxa"/>
            <w:vMerge/>
          </w:tcPr>
          <w:p w14:paraId="288EEF0A"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rPr>
            </w:pPr>
          </w:p>
        </w:tc>
        <w:tc>
          <w:tcPr>
            <w:tcW w:w="708" w:type="dxa"/>
          </w:tcPr>
          <w:p w14:paraId="0E751D0A"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rPr>
            </w:pPr>
            <w:r w:rsidRPr="008F4A58">
              <w:rPr>
                <w:sz w:val="18"/>
              </w:rPr>
              <w:t>17.4</w:t>
            </w:r>
          </w:p>
        </w:tc>
        <w:tc>
          <w:tcPr>
            <w:tcW w:w="4237" w:type="dxa"/>
          </w:tcPr>
          <w:p w14:paraId="3DE7CA45" w14:textId="5846B898" w:rsidR="00512EC8" w:rsidRPr="008F4A58" w:rsidRDefault="00512EC8" w:rsidP="00042BF3">
            <w:pPr>
              <w:cnfStyle w:val="000000100000" w:firstRow="0" w:lastRow="0" w:firstColumn="0" w:lastColumn="0" w:oddVBand="0" w:evenVBand="0" w:oddHBand="1" w:evenHBand="0" w:firstRowFirstColumn="0" w:firstRowLastColumn="0" w:lastRowFirstColumn="0" w:lastRowLastColumn="0"/>
              <w:rPr>
                <w:i/>
                <w:sz w:val="18"/>
              </w:rPr>
            </w:pPr>
            <w:r w:rsidRPr="008F4A58">
              <w:rPr>
                <w:i/>
                <w:sz w:val="18"/>
              </w:rPr>
              <w:fldChar w:fldCharType="begin"/>
            </w:r>
            <w:r w:rsidR="005413B4">
              <w:rPr>
                <w:i/>
                <w:sz w:val="18"/>
              </w:rPr>
              <w:instrText xml:space="preserve"> ADDIN ZOTERO_ITEM CSL_CITATION {"citationID":"AKubHaI7","properties":{"formattedCitation":"\\super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8F4A58">
              <w:rPr>
                <w:i/>
                <w:sz w:val="18"/>
              </w:rPr>
              <w:fldChar w:fldCharType="separate"/>
            </w:r>
            <w:r w:rsidR="005413B4" w:rsidRPr="005413B4">
              <w:rPr>
                <w:rFonts w:ascii="Calibri" w:hAnsi="Calibri" w:cs="Calibri"/>
                <w:sz w:val="18"/>
                <w:szCs w:val="24"/>
                <w:vertAlign w:val="superscript"/>
              </w:rPr>
              <w:t>131</w:t>
            </w:r>
            <w:r w:rsidRPr="008F4A58">
              <w:rPr>
                <w:i/>
                <w:sz w:val="18"/>
              </w:rPr>
              <w:fldChar w:fldCharType="end"/>
            </w:r>
            <w:r w:rsidRPr="008F4A58">
              <w:rPr>
                <w:i/>
                <w:sz w:val="18"/>
              </w:rPr>
              <w:t xml:space="preserve"> “Market for magnesium sulfate, GLO”</w:t>
            </w:r>
          </w:p>
        </w:tc>
      </w:tr>
      <w:tr w:rsidR="00512EC8" w:rsidRPr="008F4A58" w14:paraId="1DF86F42" w14:textId="77777777" w:rsidTr="006B5342">
        <w:tc>
          <w:tcPr>
            <w:cnfStyle w:val="001000000000" w:firstRow="0" w:lastRow="0" w:firstColumn="1" w:lastColumn="0" w:oddVBand="0" w:evenVBand="0" w:oddHBand="0" w:evenHBand="0" w:firstRowFirstColumn="0" w:firstRowLastColumn="0" w:lastRowFirstColumn="0" w:lastRowLastColumn="0"/>
            <w:tcW w:w="2112" w:type="dxa"/>
          </w:tcPr>
          <w:p w14:paraId="55881831" w14:textId="77777777" w:rsidR="00512EC8" w:rsidRPr="008F4A58" w:rsidRDefault="00512EC8" w:rsidP="006D537D">
            <w:pPr>
              <w:jc w:val="right"/>
              <w:rPr>
                <w:b w:val="0"/>
                <w:sz w:val="18"/>
              </w:rPr>
            </w:pPr>
            <w:r w:rsidRPr="008F4A58">
              <w:rPr>
                <w:b w:val="0"/>
                <w:sz w:val="18"/>
              </w:rPr>
              <w:t>CuSO</w:t>
            </w:r>
            <w:r w:rsidRPr="008F4A58">
              <w:rPr>
                <w:b w:val="0"/>
                <w:sz w:val="18"/>
                <w:vertAlign w:val="subscript"/>
              </w:rPr>
              <w:t>4</w:t>
            </w:r>
          </w:p>
        </w:tc>
        <w:tc>
          <w:tcPr>
            <w:tcW w:w="1134" w:type="dxa"/>
            <w:vMerge/>
          </w:tcPr>
          <w:p w14:paraId="6114FE78"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rPr>
            </w:pPr>
          </w:p>
        </w:tc>
        <w:tc>
          <w:tcPr>
            <w:tcW w:w="708" w:type="dxa"/>
          </w:tcPr>
          <w:p w14:paraId="7D7334AE"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rPr>
            </w:pPr>
            <w:r w:rsidRPr="008F4A58">
              <w:rPr>
                <w:sz w:val="18"/>
              </w:rPr>
              <w:t>0.15</w:t>
            </w:r>
          </w:p>
        </w:tc>
        <w:tc>
          <w:tcPr>
            <w:tcW w:w="4237" w:type="dxa"/>
          </w:tcPr>
          <w:p w14:paraId="47B8F76A" w14:textId="71D608DE" w:rsidR="00512EC8" w:rsidRPr="008F4A58" w:rsidRDefault="00512EC8" w:rsidP="00042BF3">
            <w:pPr>
              <w:cnfStyle w:val="000000000000" w:firstRow="0" w:lastRow="0" w:firstColumn="0" w:lastColumn="0" w:oddVBand="0" w:evenVBand="0" w:oddHBand="0" w:evenHBand="0" w:firstRowFirstColumn="0" w:firstRowLastColumn="0" w:lastRowFirstColumn="0" w:lastRowLastColumn="0"/>
              <w:rPr>
                <w:i/>
                <w:sz w:val="18"/>
              </w:rPr>
            </w:pPr>
            <w:r w:rsidRPr="008F4A58">
              <w:rPr>
                <w:i/>
                <w:sz w:val="18"/>
              </w:rPr>
              <w:fldChar w:fldCharType="begin"/>
            </w:r>
            <w:r w:rsidR="005413B4">
              <w:rPr>
                <w:i/>
                <w:sz w:val="18"/>
              </w:rPr>
              <w:instrText xml:space="preserve"> ADDIN ZOTERO_ITEM CSL_CITATION {"citationID":"4g4UKVnC","properties":{"formattedCitation":"\\super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8F4A58">
              <w:rPr>
                <w:i/>
                <w:sz w:val="18"/>
              </w:rPr>
              <w:fldChar w:fldCharType="separate"/>
            </w:r>
            <w:r w:rsidR="005413B4" w:rsidRPr="005413B4">
              <w:rPr>
                <w:rFonts w:ascii="Calibri" w:hAnsi="Calibri" w:cs="Calibri"/>
                <w:sz w:val="18"/>
                <w:szCs w:val="24"/>
                <w:vertAlign w:val="superscript"/>
              </w:rPr>
              <w:t>131</w:t>
            </w:r>
            <w:r w:rsidRPr="008F4A58">
              <w:rPr>
                <w:i/>
                <w:sz w:val="18"/>
              </w:rPr>
              <w:fldChar w:fldCharType="end"/>
            </w:r>
            <w:r w:rsidRPr="008F4A58">
              <w:rPr>
                <w:i/>
                <w:sz w:val="18"/>
              </w:rPr>
              <w:t xml:space="preserve"> “Market for copper sulfate, GLO”</w:t>
            </w:r>
          </w:p>
        </w:tc>
      </w:tr>
      <w:tr w:rsidR="00512EC8" w:rsidRPr="008F4A58" w14:paraId="40619481"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5ED0F0F8" w14:textId="77777777" w:rsidR="00512EC8" w:rsidRPr="008F4A58" w:rsidRDefault="00512EC8" w:rsidP="006D537D">
            <w:pPr>
              <w:jc w:val="right"/>
              <w:rPr>
                <w:b w:val="0"/>
                <w:sz w:val="18"/>
              </w:rPr>
            </w:pPr>
            <w:r w:rsidRPr="008F4A58">
              <w:rPr>
                <w:b w:val="0"/>
                <w:sz w:val="18"/>
              </w:rPr>
              <w:t>MnSO</w:t>
            </w:r>
            <w:r w:rsidRPr="008F4A58">
              <w:rPr>
                <w:b w:val="0"/>
                <w:sz w:val="18"/>
                <w:vertAlign w:val="subscript"/>
              </w:rPr>
              <w:t>4</w:t>
            </w:r>
          </w:p>
        </w:tc>
        <w:tc>
          <w:tcPr>
            <w:tcW w:w="1134" w:type="dxa"/>
            <w:vMerge/>
          </w:tcPr>
          <w:p w14:paraId="10B94A90"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rPr>
            </w:pPr>
          </w:p>
        </w:tc>
        <w:tc>
          <w:tcPr>
            <w:tcW w:w="708" w:type="dxa"/>
          </w:tcPr>
          <w:p w14:paraId="2F6E4271"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rPr>
            </w:pPr>
            <w:r w:rsidRPr="008F4A58">
              <w:rPr>
                <w:sz w:val="18"/>
              </w:rPr>
              <w:t>0.35</w:t>
            </w:r>
          </w:p>
        </w:tc>
        <w:tc>
          <w:tcPr>
            <w:tcW w:w="4237" w:type="dxa"/>
          </w:tcPr>
          <w:p w14:paraId="33F7B182" w14:textId="4FD96A5B" w:rsidR="00512EC8" w:rsidRPr="008F4A58" w:rsidRDefault="00512EC8" w:rsidP="00042BF3">
            <w:pPr>
              <w:cnfStyle w:val="000000100000" w:firstRow="0" w:lastRow="0" w:firstColumn="0" w:lastColumn="0" w:oddVBand="0" w:evenVBand="0" w:oddHBand="1" w:evenHBand="0" w:firstRowFirstColumn="0" w:firstRowLastColumn="0" w:lastRowFirstColumn="0" w:lastRowLastColumn="0"/>
              <w:rPr>
                <w:i/>
                <w:sz w:val="18"/>
              </w:rPr>
            </w:pPr>
            <w:r w:rsidRPr="008F4A58">
              <w:rPr>
                <w:i/>
                <w:sz w:val="18"/>
              </w:rPr>
              <w:fldChar w:fldCharType="begin"/>
            </w:r>
            <w:r w:rsidR="005413B4">
              <w:rPr>
                <w:i/>
                <w:sz w:val="18"/>
              </w:rPr>
              <w:instrText xml:space="preserve"> ADDIN ZOTERO_ITEM CSL_CITATION {"citationID":"B13KqWEJ","properties":{"formattedCitation":"\\super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8F4A58">
              <w:rPr>
                <w:i/>
                <w:sz w:val="18"/>
              </w:rPr>
              <w:fldChar w:fldCharType="separate"/>
            </w:r>
            <w:r w:rsidR="005413B4" w:rsidRPr="005413B4">
              <w:rPr>
                <w:rFonts w:ascii="Calibri" w:hAnsi="Calibri" w:cs="Calibri"/>
                <w:sz w:val="18"/>
                <w:szCs w:val="24"/>
                <w:vertAlign w:val="superscript"/>
              </w:rPr>
              <w:t>131</w:t>
            </w:r>
            <w:r w:rsidRPr="008F4A58">
              <w:rPr>
                <w:i/>
                <w:sz w:val="18"/>
              </w:rPr>
              <w:fldChar w:fldCharType="end"/>
            </w:r>
            <w:r w:rsidRPr="008F4A58">
              <w:rPr>
                <w:i/>
                <w:sz w:val="18"/>
              </w:rPr>
              <w:t xml:space="preserve"> “Market or manganese sulfate, GLO”</w:t>
            </w:r>
          </w:p>
        </w:tc>
      </w:tr>
      <w:tr w:rsidR="00512EC8" w:rsidRPr="008F4A58" w14:paraId="73042CAD" w14:textId="77777777" w:rsidTr="006B5342">
        <w:tc>
          <w:tcPr>
            <w:cnfStyle w:val="001000000000" w:firstRow="0" w:lastRow="0" w:firstColumn="1" w:lastColumn="0" w:oddVBand="0" w:evenVBand="0" w:oddHBand="0" w:evenHBand="0" w:firstRowFirstColumn="0" w:firstRowLastColumn="0" w:lastRowFirstColumn="0" w:lastRowLastColumn="0"/>
            <w:tcW w:w="2112" w:type="dxa"/>
          </w:tcPr>
          <w:p w14:paraId="7A8AEF41" w14:textId="77777777" w:rsidR="00512EC8" w:rsidRPr="008F4A58" w:rsidRDefault="00512EC8" w:rsidP="006D537D">
            <w:pPr>
              <w:jc w:val="right"/>
              <w:rPr>
                <w:b w:val="0"/>
                <w:sz w:val="18"/>
              </w:rPr>
            </w:pPr>
            <w:r w:rsidRPr="008F4A58">
              <w:rPr>
                <w:b w:val="0"/>
                <w:sz w:val="18"/>
              </w:rPr>
              <w:t>FeSO</w:t>
            </w:r>
            <w:r w:rsidRPr="008F4A58">
              <w:rPr>
                <w:b w:val="0"/>
                <w:sz w:val="18"/>
                <w:vertAlign w:val="subscript"/>
              </w:rPr>
              <w:t>4</w:t>
            </w:r>
          </w:p>
        </w:tc>
        <w:tc>
          <w:tcPr>
            <w:tcW w:w="1134" w:type="dxa"/>
            <w:vMerge/>
          </w:tcPr>
          <w:p w14:paraId="3F097B03"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rPr>
            </w:pPr>
          </w:p>
        </w:tc>
        <w:tc>
          <w:tcPr>
            <w:tcW w:w="708" w:type="dxa"/>
          </w:tcPr>
          <w:p w14:paraId="69C0F93B"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rPr>
            </w:pPr>
            <w:r w:rsidRPr="008F4A58">
              <w:rPr>
                <w:sz w:val="18"/>
              </w:rPr>
              <w:t>0.26</w:t>
            </w:r>
          </w:p>
        </w:tc>
        <w:tc>
          <w:tcPr>
            <w:tcW w:w="4237" w:type="dxa"/>
          </w:tcPr>
          <w:p w14:paraId="2B262FCA" w14:textId="3F12D677" w:rsidR="00512EC8" w:rsidRPr="008F4A58" w:rsidRDefault="00512EC8" w:rsidP="00042BF3">
            <w:pPr>
              <w:cnfStyle w:val="000000000000" w:firstRow="0" w:lastRow="0" w:firstColumn="0" w:lastColumn="0" w:oddVBand="0" w:evenVBand="0" w:oddHBand="0" w:evenHBand="0" w:firstRowFirstColumn="0" w:firstRowLastColumn="0" w:lastRowFirstColumn="0" w:lastRowLastColumn="0"/>
              <w:rPr>
                <w:i/>
                <w:sz w:val="18"/>
              </w:rPr>
            </w:pPr>
            <w:r w:rsidRPr="008F4A58">
              <w:rPr>
                <w:i/>
                <w:sz w:val="18"/>
              </w:rPr>
              <w:fldChar w:fldCharType="begin"/>
            </w:r>
            <w:r w:rsidR="005413B4">
              <w:rPr>
                <w:i/>
                <w:sz w:val="18"/>
              </w:rPr>
              <w:instrText xml:space="preserve"> ADDIN ZOTERO_ITEM CSL_CITATION {"citationID":"4dqYZUNf","properties":{"formattedCitation":"\\super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8F4A58">
              <w:rPr>
                <w:i/>
                <w:sz w:val="18"/>
              </w:rPr>
              <w:fldChar w:fldCharType="separate"/>
            </w:r>
            <w:r w:rsidR="005413B4" w:rsidRPr="005413B4">
              <w:rPr>
                <w:rFonts w:ascii="Calibri" w:hAnsi="Calibri" w:cs="Calibri"/>
                <w:sz w:val="18"/>
                <w:szCs w:val="24"/>
                <w:vertAlign w:val="superscript"/>
              </w:rPr>
              <w:t>131</w:t>
            </w:r>
            <w:r w:rsidRPr="008F4A58">
              <w:rPr>
                <w:i/>
                <w:sz w:val="18"/>
              </w:rPr>
              <w:fldChar w:fldCharType="end"/>
            </w:r>
            <w:r w:rsidRPr="008F4A58">
              <w:rPr>
                <w:i/>
                <w:sz w:val="18"/>
              </w:rPr>
              <w:t xml:space="preserve"> “Market for </w:t>
            </w:r>
            <w:proofErr w:type="gramStart"/>
            <w:r w:rsidRPr="008F4A58">
              <w:rPr>
                <w:i/>
                <w:sz w:val="18"/>
              </w:rPr>
              <w:t>iron(</w:t>
            </w:r>
            <w:proofErr w:type="gramEnd"/>
            <w:r w:rsidRPr="008F4A58">
              <w:rPr>
                <w:i/>
                <w:sz w:val="18"/>
              </w:rPr>
              <w:t>III) sulfate, without water, RoW”</w:t>
            </w:r>
          </w:p>
        </w:tc>
      </w:tr>
      <w:tr w:rsidR="00512EC8" w:rsidRPr="008F4A58" w14:paraId="1EC450F1"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0232CFF4" w14:textId="77777777" w:rsidR="00512EC8" w:rsidRPr="008F4A58" w:rsidRDefault="00512EC8" w:rsidP="006D537D">
            <w:pPr>
              <w:jc w:val="right"/>
              <w:rPr>
                <w:b w:val="0"/>
                <w:sz w:val="18"/>
              </w:rPr>
            </w:pPr>
            <w:r w:rsidRPr="008F4A58">
              <w:rPr>
                <w:b w:val="0"/>
                <w:sz w:val="18"/>
              </w:rPr>
              <w:t>ZnSO</w:t>
            </w:r>
            <w:r w:rsidRPr="008F4A58">
              <w:rPr>
                <w:b w:val="0"/>
                <w:sz w:val="18"/>
                <w:vertAlign w:val="subscript"/>
              </w:rPr>
              <w:t>4</w:t>
            </w:r>
          </w:p>
        </w:tc>
        <w:tc>
          <w:tcPr>
            <w:tcW w:w="1134" w:type="dxa"/>
            <w:vMerge/>
          </w:tcPr>
          <w:p w14:paraId="726074B7"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rPr>
            </w:pPr>
          </w:p>
        </w:tc>
        <w:tc>
          <w:tcPr>
            <w:tcW w:w="708" w:type="dxa"/>
          </w:tcPr>
          <w:p w14:paraId="796A8FB5"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rPr>
            </w:pPr>
            <w:r w:rsidRPr="008F4A58">
              <w:rPr>
                <w:sz w:val="18"/>
              </w:rPr>
              <w:t>1.17</w:t>
            </w:r>
          </w:p>
        </w:tc>
        <w:tc>
          <w:tcPr>
            <w:tcW w:w="4237" w:type="dxa"/>
          </w:tcPr>
          <w:p w14:paraId="08181402" w14:textId="62515BE0" w:rsidR="00512EC8" w:rsidRPr="008F4A58" w:rsidRDefault="00512EC8" w:rsidP="00042BF3">
            <w:pPr>
              <w:cnfStyle w:val="000000100000" w:firstRow="0" w:lastRow="0" w:firstColumn="0" w:lastColumn="0" w:oddVBand="0" w:evenVBand="0" w:oddHBand="1" w:evenHBand="0" w:firstRowFirstColumn="0" w:firstRowLastColumn="0" w:lastRowFirstColumn="0" w:lastRowLastColumn="0"/>
              <w:rPr>
                <w:i/>
                <w:sz w:val="18"/>
              </w:rPr>
            </w:pPr>
            <w:r w:rsidRPr="008F4A58">
              <w:rPr>
                <w:i/>
                <w:sz w:val="18"/>
              </w:rPr>
              <w:fldChar w:fldCharType="begin"/>
            </w:r>
            <w:r w:rsidR="005413B4">
              <w:rPr>
                <w:i/>
                <w:sz w:val="18"/>
              </w:rPr>
              <w:instrText xml:space="preserve"> ADDIN ZOTERO_ITEM CSL_CITATION {"citationID":"n1whjsFI","properties":{"formattedCitation":"\\super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8F4A58">
              <w:rPr>
                <w:i/>
                <w:sz w:val="18"/>
              </w:rPr>
              <w:fldChar w:fldCharType="separate"/>
            </w:r>
            <w:r w:rsidR="005413B4" w:rsidRPr="005413B4">
              <w:rPr>
                <w:rFonts w:ascii="Calibri" w:hAnsi="Calibri" w:cs="Calibri"/>
                <w:sz w:val="18"/>
                <w:szCs w:val="24"/>
                <w:vertAlign w:val="superscript"/>
              </w:rPr>
              <w:t>131</w:t>
            </w:r>
            <w:r w:rsidRPr="008F4A58">
              <w:rPr>
                <w:i/>
                <w:sz w:val="18"/>
              </w:rPr>
              <w:fldChar w:fldCharType="end"/>
            </w:r>
            <w:r w:rsidRPr="008F4A58">
              <w:rPr>
                <w:i/>
                <w:sz w:val="18"/>
              </w:rPr>
              <w:t xml:space="preserve"> “Market for zinc monosulfate, RER”</w:t>
            </w:r>
          </w:p>
        </w:tc>
      </w:tr>
      <w:tr w:rsidR="00512EC8" w:rsidRPr="008F4A58" w14:paraId="0CAC2122" w14:textId="77777777" w:rsidTr="006B5342">
        <w:tc>
          <w:tcPr>
            <w:cnfStyle w:val="001000000000" w:firstRow="0" w:lastRow="0" w:firstColumn="1" w:lastColumn="0" w:oddVBand="0" w:evenVBand="0" w:oddHBand="0" w:evenHBand="0" w:firstRowFirstColumn="0" w:firstRowLastColumn="0" w:lastRowFirstColumn="0" w:lastRowLastColumn="0"/>
            <w:tcW w:w="2112" w:type="dxa"/>
          </w:tcPr>
          <w:p w14:paraId="6C61FA93" w14:textId="77777777" w:rsidR="00512EC8" w:rsidRPr="008F4A58" w:rsidRDefault="00512EC8" w:rsidP="006D537D">
            <w:pPr>
              <w:jc w:val="right"/>
              <w:rPr>
                <w:b w:val="0"/>
                <w:sz w:val="18"/>
              </w:rPr>
            </w:pPr>
            <w:r w:rsidRPr="008F4A58">
              <w:rPr>
                <w:b w:val="0"/>
                <w:sz w:val="18"/>
              </w:rPr>
              <w:t>CaCl</w:t>
            </w:r>
            <w:r w:rsidRPr="008F4A58">
              <w:rPr>
                <w:b w:val="0"/>
                <w:sz w:val="18"/>
                <w:vertAlign w:val="subscript"/>
              </w:rPr>
              <w:t>2</w:t>
            </w:r>
          </w:p>
        </w:tc>
        <w:tc>
          <w:tcPr>
            <w:tcW w:w="1134" w:type="dxa"/>
            <w:vMerge/>
          </w:tcPr>
          <w:p w14:paraId="05D6CF1E"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rPr>
            </w:pPr>
          </w:p>
        </w:tc>
        <w:tc>
          <w:tcPr>
            <w:tcW w:w="708" w:type="dxa"/>
          </w:tcPr>
          <w:p w14:paraId="1CD4732A"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rPr>
            </w:pPr>
            <w:r w:rsidRPr="008F4A58">
              <w:rPr>
                <w:sz w:val="18"/>
              </w:rPr>
              <w:t>2.8</w:t>
            </w:r>
          </w:p>
        </w:tc>
        <w:tc>
          <w:tcPr>
            <w:tcW w:w="4237" w:type="dxa"/>
          </w:tcPr>
          <w:p w14:paraId="1D52CDC1" w14:textId="1E1650AA" w:rsidR="00512EC8" w:rsidRPr="008F4A58" w:rsidRDefault="00512EC8" w:rsidP="00042BF3">
            <w:pPr>
              <w:cnfStyle w:val="000000000000" w:firstRow="0" w:lastRow="0" w:firstColumn="0" w:lastColumn="0" w:oddVBand="0" w:evenVBand="0" w:oddHBand="0" w:evenHBand="0" w:firstRowFirstColumn="0" w:firstRowLastColumn="0" w:lastRowFirstColumn="0" w:lastRowLastColumn="0"/>
              <w:rPr>
                <w:i/>
                <w:sz w:val="18"/>
              </w:rPr>
            </w:pPr>
            <w:r w:rsidRPr="008F4A58">
              <w:rPr>
                <w:i/>
                <w:sz w:val="18"/>
              </w:rPr>
              <w:fldChar w:fldCharType="begin"/>
            </w:r>
            <w:r w:rsidR="005413B4">
              <w:rPr>
                <w:i/>
                <w:sz w:val="18"/>
              </w:rPr>
              <w:instrText xml:space="preserve"> ADDIN ZOTERO_ITEM CSL_CITATION {"citationID":"EBwdSQTc","properties":{"formattedCitation":"\\super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8F4A58">
              <w:rPr>
                <w:i/>
                <w:sz w:val="18"/>
              </w:rPr>
              <w:fldChar w:fldCharType="separate"/>
            </w:r>
            <w:r w:rsidR="005413B4" w:rsidRPr="005413B4">
              <w:rPr>
                <w:rFonts w:ascii="Calibri" w:hAnsi="Calibri" w:cs="Calibri"/>
                <w:sz w:val="18"/>
                <w:szCs w:val="24"/>
                <w:vertAlign w:val="superscript"/>
              </w:rPr>
              <w:t>131</w:t>
            </w:r>
            <w:r w:rsidRPr="008F4A58">
              <w:rPr>
                <w:i/>
                <w:sz w:val="18"/>
              </w:rPr>
              <w:fldChar w:fldCharType="end"/>
            </w:r>
            <w:r w:rsidRPr="008F4A58">
              <w:rPr>
                <w:i/>
                <w:sz w:val="18"/>
              </w:rPr>
              <w:t xml:space="preserve"> “Market for calcium carbonate, precipitated, RER”</w:t>
            </w:r>
          </w:p>
        </w:tc>
      </w:tr>
      <w:tr w:rsidR="00512EC8" w:rsidRPr="008F4A58" w14:paraId="45E96822"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427FDBC9" w14:textId="77777777" w:rsidR="00512EC8" w:rsidRPr="008F4A58" w:rsidRDefault="00512EC8" w:rsidP="006D537D">
            <w:pPr>
              <w:jc w:val="right"/>
              <w:rPr>
                <w:b w:val="0"/>
                <w:sz w:val="18"/>
              </w:rPr>
            </w:pPr>
            <w:r w:rsidRPr="008F4A58">
              <w:rPr>
                <w:b w:val="0"/>
                <w:sz w:val="18"/>
              </w:rPr>
              <w:t>NaOH</w:t>
            </w:r>
          </w:p>
        </w:tc>
        <w:tc>
          <w:tcPr>
            <w:tcW w:w="1134" w:type="dxa"/>
            <w:vMerge/>
          </w:tcPr>
          <w:p w14:paraId="3E1F7DF8"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rPr>
            </w:pPr>
          </w:p>
        </w:tc>
        <w:tc>
          <w:tcPr>
            <w:tcW w:w="708" w:type="dxa"/>
          </w:tcPr>
          <w:p w14:paraId="593065AA"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rPr>
            </w:pPr>
            <w:r w:rsidRPr="008F4A58">
              <w:rPr>
                <w:sz w:val="18"/>
              </w:rPr>
              <w:t>8.2</w:t>
            </w:r>
          </w:p>
        </w:tc>
        <w:tc>
          <w:tcPr>
            <w:tcW w:w="4237" w:type="dxa"/>
          </w:tcPr>
          <w:p w14:paraId="30B90B0B" w14:textId="5A1E6841" w:rsidR="00512EC8" w:rsidRPr="008F4A58" w:rsidRDefault="00512EC8" w:rsidP="00042BF3">
            <w:pPr>
              <w:cnfStyle w:val="000000100000" w:firstRow="0" w:lastRow="0" w:firstColumn="0" w:lastColumn="0" w:oddVBand="0" w:evenVBand="0" w:oddHBand="1" w:evenHBand="0" w:firstRowFirstColumn="0" w:firstRowLastColumn="0" w:lastRowFirstColumn="0" w:lastRowLastColumn="0"/>
              <w:rPr>
                <w:i/>
                <w:sz w:val="18"/>
              </w:rPr>
            </w:pPr>
            <w:r w:rsidRPr="008F4A58">
              <w:rPr>
                <w:i/>
                <w:sz w:val="18"/>
              </w:rPr>
              <w:fldChar w:fldCharType="begin"/>
            </w:r>
            <w:r w:rsidR="005413B4">
              <w:rPr>
                <w:i/>
                <w:sz w:val="18"/>
              </w:rPr>
              <w:instrText xml:space="preserve"> ADDIN ZOTERO_ITEM CSL_CITATION {"citationID":"1GaACrpT","properties":{"formattedCitation":"\\super 133\\nosupersub{}","plainCitation":"133","noteIndex":0},"citationItems":[{"id":13146,"uris":["http://zotero.org/users/6423791/items/ZY3SRR3R"],"itemData":{"id":13146,"type":"article-journal","abstract":"The aim of this study was to analyse the sustainability of pig production based on a diet containing yeast as a protein source. The yeast is produced from sugar, and the sugar can be produced from hydrolysed wood through a biorefinery process. This study included yeast from two different biorefinery processes: 1) a domestic demo plant in connection with a complex biorefinery, and 2) a small-scale wood refinery process largely based on wood residues. In the yeast diets, the yeast replaced soybean meal as a protein source and the two yeast diets were compared with a standard diet. The environmental impacts from the pig production systems were assessed by using life cycle assessment (LCA), and the functional unit was 1 kg carcass weight of pork at the farm gate. The results from the study show that yeast replacing imported feed protein sources used in pig production gives a lower impact for biodiversity loss, climate change (including LUC) and eutrophication. The lower impact was created by the replacement of soybean meal with yeast from wood sugar in the feed recipe. Also, the scenarios with yeast diets gave a land use ratio below 1, indicating an improved land use efficiency regarding producing human digestible protein. Even though the forest land used for deriving wood sugar constitutes a greater area than the corresponding area for soybean meal production, the forest land does not occupy areas suitable for food production. The reference case, representing current pig production and feeding system, had a land use ratio of 1.24, meaning that the feed production was directly competing for the area suitable for food production. The overall conclusion was that the utilisation of yeast from wood sugar appears to avoid feed-food competition and at the same time to be an environmentally sustainable solution for future feed protein employed in pig production.","container-title":"Livestock Science","DOI":"10.1016/j.livsci.2022.104925","ISSN":"1871-1413","journalAbbreviation":"Livest. Sci.","language":"en","page":"104925","source":"ScienceDirect","title":"Local non-food yeast protein in pig production - environmental impacts and land use efficiency","author":[{"family":"Møller","given":"Hanne"},{"family":"Samsonstuen","given":"Stine"},{"family":"Øverland","given":"Margareth"},{"family":"Modahl","given":"Ingunn Saur"},{"family":"Olsen","given":"Hanne Fjerdingby"}],"issued":{"date-parts":[["2022",4,4]]}}}],"schema":"https://github.com/citation-style-language/schema/raw/master/csl-citation.json"} </w:instrText>
            </w:r>
            <w:r w:rsidRPr="008F4A58">
              <w:rPr>
                <w:i/>
                <w:sz w:val="18"/>
              </w:rPr>
              <w:fldChar w:fldCharType="separate"/>
            </w:r>
            <w:r w:rsidR="005413B4" w:rsidRPr="005413B4">
              <w:rPr>
                <w:rFonts w:ascii="Calibri" w:hAnsi="Calibri" w:cs="Calibri"/>
                <w:sz w:val="18"/>
                <w:szCs w:val="24"/>
                <w:vertAlign w:val="superscript"/>
              </w:rPr>
              <w:t>133</w:t>
            </w:r>
            <w:r w:rsidRPr="008F4A58">
              <w:rPr>
                <w:i/>
                <w:sz w:val="18"/>
              </w:rPr>
              <w:fldChar w:fldCharType="end"/>
            </w:r>
            <w:r w:rsidRPr="008F4A58">
              <w:rPr>
                <w:i/>
                <w:sz w:val="18"/>
              </w:rPr>
              <w:t>“Market for sodium hydroxide (50%), GLO</w:t>
            </w:r>
          </w:p>
        </w:tc>
      </w:tr>
    </w:tbl>
    <w:p w14:paraId="264CB09A" w14:textId="4DC90C76" w:rsidR="00512EC8" w:rsidRPr="003F5DA8" w:rsidRDefault="00512EC8" w:rsidP="00042BF3">
      <w:pPr>
        <w:jc w:val="both"/>
      </w:pPr>
      <w:r w:rsidRPr="003F5DA8">
        <w:rPr>
          <w:sz w:val="18"/>
        </w:rPr>
        <w:t xml:space="preserve">The parameters present in this table were not retained in the sensitivity analysis, these were considered as constants. X: microbial biomass. Antifoam was neglected. P &amp; K requirements LCI were modeled </w:t>
      </w:r>
      <w:r w:rsidR="00042BF3">
        <w:rPr>
          <w:sz w:val="18"/>
        </w:rPr>
        <w:t>as</w:t>
      </w:r>
      <w:r w:rsidRPr="003F5DA8">
        <w:rPr>
          <w:sz w:val="18"/>
        </w:rPr>
        <w:t xml:space="preserve"> fertilizers</w:t>
      </w:r>
      <w:r w:rsidR="00042BF3">
        <w:rPr>
          <w:sz w:val="18"/>
        </w:rPr>
        <w:t xml:space="preserve"> services</w:t>
      </w:r>
      <w:r w:rsidRPr="003F5DA8">
        <w:rPr>
          <w:sz w:val="18"/>
        </w:rPr>
        <w:t>.</w:t>
      </w:r>
    </w:p>
    <w:p w14:paraId="671FCC06" w14:textId="77777777" w:rsidR="00512EC8" w:rsidRPr="00512EC8" w:rsidRDefault="00512EC8" w:rsidP="00042BF3">
      <w:pPr>
        <w:pStyle w:val="Titre4"/>
      </w:pPr>
      <w:r w:rsidRPr="00512EC8">
        <w:t>Post-treatments</w:t>
      </w:r>
    </w:p>
    <w:p w14:paraId="49E2F857" w14:textId="3050D34D" w:rsidR="00512EC8" w:rsidRPr="003F5DA8" w:rsidRDefault="00512EC8" w:rsidP="00042BF3">
      <w:pPr>
        <w:ind w:firstLine="360"/>
        <w:jc w:val="both"/>
      </w:pPr>
      <w:r w:rsidRPr="003F5DA8">
        <w:t xml:space="preserve">The post-treatment workflow slightly differs compared to MP production due to the filamentous aspect of the selected fungal strain, and the end market. It was selected to correspond to proxy Quorn design. </w:t>
      </w:r>
      <w:r w:rsidRPr="003F5DA8">
        <w:rPr>
          <w:i/>
        </w:rPr>
        <w:t>Fusarium Venenatum</w:t>
      </w:r>
      <w:r w:rsidRPr="003F5DA8">
        <w:t xml:space="preserve"> also presents </w:t>
      </w:r>
      <w:r w:rsidR="00042BF3">
        <w:t>ribonucleic acid (</w:t>
      </w:r>
      <w:r w:rsidRPr="003F5DA8">
        <w:t>RNA</w:t>
      </w:r>
      <w:r w:rsidR="00042BF3">
        <w:t>)</w:t>
      </w:r>
      <w:r w:rsidRPr="003F5DA8">
        <w:t xml:space="preserve"> content (</w:t>
      </w:r>
      <w:r w:rsidR="00042BF3" w:rsidRPr="00042BF3">
        <w:rPr>
          <w:b/>
        </w:rPr>
        <w:fldChar w:fldCharType="begin"/>
      </w:r>
      <w:r w:rsidR="00042BF3" w:rsidRPr="00042BF3">
        <w:rPr>
          <w:b/>
        </w:rPr>
        <w:instrText xml:space="preserve"> REF _Ref144820344 \h </w:instrText>
      </w:r>
      <w:r w:rsidR="00042BF3">
        <w:rPr>
          <w:b/>
        </w:rPr>
        <w:instrText xml:space="preserve"> \* MERGEFORMAT </w:instrText>
      </w:r>
      <w:r w:rsidR="00042BF3" w:rsidRPr="00042BF3">
        <w:rPr>
          <w:b/>
        </w:rPr>
      </w:r>
      <w:r w:rsidR="00042BF3" w:rsidRPr="00042BF3">
        <w:rPr>
          <w:b/>
        </w:rPr>
        <w:fldChar w:fldCharType="separate"/>
      </w:r>
      <w:r w:rsidR="00F25F8C" w:rsidRPr="00F25F8C">
        <w:rPr>
          <w:b/>
        </w:rPr>
        <w:t xml:space="preserve">Table SI. </w:t>
      </w:r>
      <w:r w:rsidR="00F25F8C" w:rsidRPr="00F25F8C">
        <w:rPr>
          <w:b/>
          <w:noProof/>
        </w:rPr>
        <w:t>51</w:t>
      </w:r>
      <w:r w:rsidR="00042BF3" w:rsidRPr="00042BF3">
        <w:rPr>
          <w:b/>
        </w:rPr>
        <w:fldChar w:fldCharType="end"/>
      </w:r>
      <w:r w:rsidRPr="00042BF3">
        <w:t>), which is removed as the final ingredient targets food markets. Many technics exist</w:t>
      </w:r>
      <w:r w:rsidRPr="00042BF3">
        <w:fldChar w:fldCharType="begin"/>
      </w:r>
      <w:r w:rsidR="005413B4">
        <w:instrText xml:space="preserve"> ADDIN ZOTERO_ITEM CSL_CITATION {"citationID":"oLCmSGyy","properties":{"formattedCitation":"\\super 41,175\\nosupersub{}","plainCitation":"41,175","noteIndex":0},"citationItems":[{"id":13068,"uris":["http://zotero.org/users/6423791/items/RK8J2DQC"],"itemData":{"id":13068,"type":"article-journal","abstract":"Alternative protein sources such as microbial protein (MP) are currently considered to alleviate the burden that food production exerts on the environment. Even though MP production is highly efficient in land and nutrient utilization, their carbon footprint should be improved. Here we propose the use of CCU as a driver for heterotrophic MP production. By comparing different MP production routes starting from liquid substrates derived from CO2 (i.e., formate, acetate, methanol, and ethanol) and their respective metabolic pathways, the potential of this concept as a carbon–neutral food or feed production process was estimated. Acetate and ethanol appear to be the most beneficial substrates for the integrated CCU-to-MP process in terms of electricity demand (acetate: 25 – 54 kWh/kgproduct, ethanol: 28 – 56 kWh/kgproduct). Moreover, recycling CO2 enables a carbon-negative protein production process by 2030 (considering the projected CO2 emissions from electricity in the EU: 0.096 kgCO2-eq/kWh) for formate, acetate, and ethanol (-1.1 up to 13 kgCO2-eq/kgproduct).","container-title":"Bioresource Technology","DOI":"10.1016/j.biortech.2022.126853","ISSN":"0960-8524","journalAbbreviation":"Bioresour. Technol.","language":"en","page":"126853","source":"ScienceDirect","title":"Towards new carbon–neutral food systems: Combining carbon capture and utilization with microbial protein production","title-short":"Towards new carbon–neutral food systems","volume":"349","author":[{"family":"Van Peteghem","given":"L."},{"family":"Sakarika","given":"M."},{"family":"Matassa","given":"S."},{"family":"Pikaar","given":"I."},{"family":"Ganigué","given":"R."},{"family":"Rabaey","given":"K."}],"issued":{"date-parts":[["2022",4,1]]}}},{"id":11540,"uris":["http://zotero.org/users/6423791/items/L9NYDA2K"],"itemData":{"id":11540,"type":"article-journal","abstract":"Population growth and changes in dietary patterns place an ever-growing pressure on the environment. Feeding the world within sustainable boundaries therefore requires revolutionizing the way we harness natural resources. Microbial biomass can be cultivated to yield protein-rich feed and food supplements, collectively termed single-cell protein (SCP). Yet, we still lack a quantitative comparison between traditional agriculture and photovoltaic-driven SCP systems in terms of land use and energetic efficiency. Here, we analyze the energetic efficiency of harnessing solar energy to produce SCP from air and water. Our model includes photovoltaic electricity generation, direct air capture of carbon dioxide, electrosynthesis of an electron donor and/or carbon source for microbial growth (hydrogen, formate, or methanol), microbial cultivation, and the processing of biomass and proteins. We show that, per unit of land, SCP production can reach an over 10-fold higher protein yield and at least twice the caloric yield compared with any staple crop. Altogether, this quantitative analysis offers an assessment of the future potential of photovoltaic-driven microbial foods to supplement conventional agricultural production and support resource-efficient protein supply on a global scale.","container-title":"Proceedings of the National Academy of Sciences","DOI":"10.1073/pnas.2015025118","ISSN":"0027-8424, 1091-6490","issue":"26","journalAbbreviation":"Proc Natl Acad Sci USA","language":"en","page":"e2015025118","source":"DOI.org (Crossref)","title":"Photovoltaic-driven microbial protein production can use land and sunlight more efficiently than conventional crops","volume":"118","author":[{"family":"Leger","given":"Dorian"},{"family":"Matassa","given":"Silvio"},{"family":"Noor","given":"Elad"},{"family":"Shepon","given":"Alon"},{"family":"Milo","given":"Ron"},{"family":"Bar-Even","given":"Arren"}],"issued":{"date-parts":[["2021",6,29]]}}}],"schema":"https://github.com/citation-style-language/schema/raw/master/csl-citation.json"} </w:instrText>
      </w:r>
      <w:r w:rsidRPr="00042BF3">
        <w:fldChar w:fldCharType="separate"/>
      </w:r>
      <w:r w:rsidR="005413B4" w:rsidRPr="005413B4">
        <w:rPr>
          <w:rFonts w:ascii="Calibri" w:hAnsi="Calibri" w:cs="Calibri"/>
          <w:szCs w:val="24"/>
          <w:vertAlign w:val="superscript"/>
        </w:rPr>
        <w:t>41,175</w:t>
      </w:r>
      <w:r w:rsidRPr="00042BF3">
        <w:fldChar w:fldCharType="end"/>
      </w:r>
      <w:r w:rsidRPr="00042BF3">
        <w:t>, but the filamentous aspect of fungi to preserve (organoleptic and texturization properties) led to the implementation of a heat treatment (70°C, 5 bars)</w:t>
      </w:r>
      <w:bookmarkStart w:id="226" w:name="_Hlk141369936"/>
      <w:r w:rsidRPr="00042BF3">
        <w:fldChar w:fldCharType="begin"/>
      </w:r>
      <w:r w:rsidR="005413B4">
        <w:instrText xml:space="preserve"> ADDIN ZOTERO_ITEM CSL_CITATION {"citationID":"EeXzbT4V","properties":{"formattedCitation":"\\super 131,176\\nosupersub{}","plainCitation":"131,176","noteIndex":0},"citationItems":[{"id":11801,"uris":["http://zotero.org/users/6423791/items/AE6CHBJC"],"itemData":{"id":11801,"type":"article-journal","container-title":"Green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Van"},{"family":"Hallett","given":"Jason"},{"family":"Guo","given":"Miao"}],"issued":{"date-parts":[["2021"]]}}},{"id":3251,"uris":["http://zotero.org/users/6423791/items/NK57ZUEE"],"itemData":{"id":3251,"type":"chapter","abstract":"Mycoprotein is a foodstuff produced from the RNA-depleted mycelium of the ascomycete fungus Fusarium venenatum by Quorn Foods. It is used to make a range of meat-free foods with various dietary and environmental benefits. The development of the industrial biotechnology process and the product has been ongoing since the 1960s, yet it was only in 1985 that the first Quorn product appeared on supermarket shelves, in the UK. The production process has required innovative approaches, driving development of airlift fermentation technologies to achieve microbial fermentations on a grand scale as well as the assembly of fibre-gel composites that exploit the filamentous nature of the mycelium and create authentic meat-like textures. In this chapter, we aim to describe the path of development that mycoprotein has taken since the initiation of the venture. The importance of mycoprotein will be placed in historical context of the wider single-cell protein (SCP) landscape, with comparative processes mentioned in brief. A description of the modern biotechnological industrial production process is then made, alongside a discussion of its strengths and weaknesses highlighting issues such as impact of carbon source, nucleic acid treatment, morphological variants, and mycotoxin production. Finally, future biotechnological research challenges are discussed.","collection-title":"Grand Challenges in Biology and Biotechnology","container-title":"Grand Challenges in Fungal Biotechnology","event-place":"Cham","ISBN":"978-3-030-29541-7","language":"en","note":"DOI: 10.1007/978-3-030-29541-7_3","page":"59-79","publisher":"Springer International Publishing","publisher-place":"Cham","source":"Springer Link","title":"The Biotechnology of Quorn Mycoprotein: Past, Present and Future Challenges","title-short":"The Biotechnology of Quorn Mycoprotein","URL":"https://doi.org/10.1007/978-3-030-29541-7_3","author":[{"family":"Whittaker","given":"Jack A."},{"family":"Johnson","given":"Robert I."},{"family":"Finnigan","given":"Tim J. A."},{"family":"Avery","given":"Simon V."},{"family":"Dyer","given":"Paul S."}],"editor":[{"family":"Nevalainen","given":"Helena"}],"accessed":{"date-parts":[["2021",1,14]]},"issued":{"date-parts":[["2020"]]}}}],"schema":"https://github.com/citation-style-language/schema/raw/master/csl-citation.json"} </w:instrText>
      </w:r>
      <w:r w:rsidRPr="00042BF3">
        <w:fldChar w:fldCharType="separate"/>
      </w:r>
      <w:r w:rsidR="005413B4" w:rsidRPr="005413B4">
        <w:rPr>
          <w:rFonts w:ascii="Calibri" w:hAnsi="Calibri" w:cs="Calibri"/>
          <w:szCs w:val="24"/>
          <w:vertAlign w:val="superscript"/>
        </w:rPr>
        <w:t>131,176</w:t>
      </w:r>
      <w:r w:rsidRPr="00042BF3">
        <w:fldChar w:fldCharType="end"/>
      </w:r>
      <w:r w:rsidRPr="00042BF3">
        <w:t>.</w:t>
      </w:r>
      <w:bookmarkEnd w:id="226"/>
      <w:r w:rsidRPr="00042BF3">
        <w:t xml:space="preserve"> Pasteurization was then performed until the centrifugation stage, where resulting supernatant (mycoproteins at 30%</w:t>
      </w:r>
      <w:r w:rsidRPr="00042BF3">
        <w:rPr>
          <w:vertAlign w:val="subscript"/>
        </w:rPr>
        <w:t>DM</w:t>
      </w:r>
      <w:r w:rsidRPr="00042BF3">
        <w:t>) was further cooled, texturized, and</w:t>
      </w:r>
      <w:r w:rsidRPr="003F5DA8">
        <w:t xml:space="preserve"> enters the cold supply chain (4°C) as a fresh meat-analogue product (myco_food variant). Accordingly, the modeling of mycoproteins post-treatments was based on MP post-treatments, removing UF and final drying. To simplify, given the temperatures involved, RNA heat shocks were assumed to not require any additional energy compared to the subsequent pasteurization stage (as the broth needs to be heated anyway). This is a rather optimistic assumption as heat shocks are reported to be performed with a 268°C steam injection</w:t>
      </w:r>
      <w:r w:rsidRPr="003F5DA8">
        <w:fldChar w:fldCharType="begin"/>
      </w:r>
      <w:r w:rsidR="005413B4">
        <w:instrText xml:space="preserve"> ADDIN ZOTERO_ITEM CSL_CITATION {"citationID":"IrSf4qIx","properties":{"formattedCitation":"\\super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3F5DA8">
        <w:fldChar w:fldCharType="separate"/>
      </w:r>
      <w:r w:rsidR="005413B4" w:rsidRPr="005413B4">
        <w:rPr>
          <w:rFonts w:ascii="Calibri" w:hAnsi="Calibri" w:cs="Calibri"/>
          <w:szCs w:val="24"/>
          <w:vertAlign w:val="superscript"/>
        </w:rPr>
        <w:t>131</w:t>
      </w:r>
      <w:r w:rsidRPr="003F5DA8">
        <w:fldChar w:fldCharType="end"/>
      </w:r>
      <w:r w:rsidRPr="003F5DA8">
        <w:t>. Here, pasteurized wastewater (after centrifuge) was used to prewarm the broth, and was further cooled to 30°C through LT WHR (se</w:t>
      </w:r>
      <w:r>
        <w:t xml:space="preserve">e </w:t>
      </w:r>
      <w:r w:rsidR="00042BF3">
        <w:rPr>
          <w:b/>
        </w:rPr>
        <w:t xml:space="preserve">section </w:t>
      </w:r>
      <w:r w:rsidR="000C6C37">
        <w:rPr>
          <w:b/>
        </w:rPr>
        <w:t xml:space="preserve">SI. </w:t>
      </w:r>
      <w:r w:rsidR="00042BF3">
        <w:rPr>
          <w:b/>
        </w:rPr>
        <w:fldChar w:fldCharType="begin"/>
      </w:r>
      <w:r w:rsidR="00042BF3">
        <w:rPr>
          <w:b/>
        </w:rPr>
        <w:instrText xml:space="preserve"> REF _Ref144807454 \r \h </w:instrText>
      </w:r>
      <w:r w:rsidR="00042BF3">
        <w:rPr>
          <w:b/>
        </w:rPr>
      </w:r>
      <w:r w:rsidR="00042BF3">
        <w:rPr>
          <w:b/>
        </w:rPr>
        <w:fldChar w:fldCharType="separate"/>
      </w:r>
      <w:r w:rsidR="00F25F8C">
        <w:rPr>
          <w:b/>
        </w:rPr>
        <w:t>4.1.6</w:t>
      </w:r>
      <w:r w:rsidR="00042BF3">
        <w:rPr>
          <w:b/>
        </w:rPr>
        <w:fldChar w:fldCharType="end"/>
      </w:r>
      <w:r w:rsidRPr="00042BF3">
        <w:t xml:space="preserve">). </w:t>
      </w:r>
      <w:bookmarkStart w:id="227" w:name="_Hlk141369762"/>
      <w:r w:rsidRPr="00042BF3">
        <w:t>Due to the amount of water brought by the hydrolysates, no water looping system was implemented, it was assumed treated in a WWTP</w:t>
      </w:r>
      <w:bookmarkEnd w:id="227"/>
      <w:r w:rsidRPr="00042BF3">
        <w:t xml:space="preserve"> (see</w:t>
      </w:r>
      <w:r w:rsidR="00042BF3">
        <w:t xml:space="preserve"> </w:t>
      </w:r>
      <w:r w:rsidR="00042BF3" w:rsidRPr="00042BF3">
        <w:rPr>
          <w:b/>
        </w:rPr>
        <w:fldChar w:fldCharType="begin"/>
      </w:r>
      <w:r w:rsidR="00042BF3" w:rsidRPr="00042BF3">
        <w:rPr>
          <w:b/>
        </w:rPr>
        <w:instrText xml:space="preserve"> REF _Ref144820217 \h </w:instrText>
      </w:r>
      <w:r w:rsidR="00042BF3">
        <w:rPr>
          <w:b/>
        </w:rPr>
        <w:instrText xml:space="preserve"> \* MERGEFORMAT </w:instrText>
      </w:r>
      <w:r w:rsidR="00042BF3" w:rsidRPr="00042BF3">
        <w:rPr>
          <w:b/>
        </w:rPr>
      </w:r>
      <w:r w:rsidR="00042BF3" w:rsidRPr="00042BF3">
        <w:rPr>
          <w:b/>
        </w:rPr>
        <w:fldChar w:fldCharType="separate"/>
      </w:r>
      <w:r w:rsidR="00F25F8C" w:rsidRPr="00F25F8C">
        <w:rPr>
          <w:b/>
        </w:rPr>
        <w:t xml:space="preserve">Table SI. </w:t>
      </w:r>
      <w:r w:rsidR="00F25F8C" w:rsidRPr="00F25F8C">
        <w:rPr>
          <w:b/>
          <w:noProof/>
        </w:rPr>
        <w:t>54</w:t>
      </w:r>
      <w:r w:rsidR="00042BF3" w:rsidRPr="00042BF3">
        <w:rPr>
          <w:b/>
        </w:rPr>
        <w:fldChar w:fldCharType="end"/>
      </w:r>
      <w:r w:rsidRPr="00042BF3">
        <w:t>). Accordingly, the case where mycoproteins target feed markets (myco_feed variant) was modeled almost identically than when targeting food. The only difference is the additionally induced mass loss when RNA removal is performed (myco_food</w:t>
      </w:r>
      <w:r w:rsidRPr="003F5DA8">
        <w:t>; see</w:t>
      </w:r>
      <w:r w:rsidR="00042BF3">
        <w:t xml:space="preserve"> main manuscript</w:t>
      </w:r>
      <w:r w:rsidRPr="003F5DA8">
        <w:t xml:space="preserve">). </w:t>
      </w:r>
    </w:p>
    <w:p w14:paraId="235E0C9B" w14:textId="77777777" w:rsidR="00512EC8" w:rsidRPr="00512EC8" w:rsidRDefault="00512EC8" w:rsidP="00042BF3">
      <w:pPr>
        <w:pStyle w:val="Titre4"/>
      </w:pPr>
      <w:r w:rsidRPr="00512EC8">
        <w:lastRenderedPageBreak/>
        <w:t>Final ingredient</w:t>
      </w:r>
    </w:p>
    <w:p w14:paraId="764CDC57" w14:textId="094419E1" w:rsidR="00512EC8" w:rsidRDefault="00512EC8" w:rsidP="00042BF3">
      <w:pPr>
        <w:ind w:firstLine="360"/>
        <w:jc w:val="both"/>
      </w:pPr>
      <w:r w:rsidRPr="003F5DA8">
        <w:t>Mycoproteins were not dried. The meat-analogue texturization of Quorn currently relies on the addition of egg white, among others. Yet, even if recent advances could partly remove this necessity</w:t>
      </w:r>
      <w:r w:rsidRPr="003F5DA8">
        <w:fldChar w:fldCharType="begin"/>
      </w:r>
      <w:r w:rsidR="005413B4">
        <w:instrText xml:space="preserve"> ADDIN ZOTERO_ITEM CSL_CITATION {"citationID":"r0Ni7sks","properties":{"formattedCitation":"\\super 177\\nosupersub{}","plainCitation":"177","noteIndex":0},"citationItems":[{"id":13469,"uris":["http://zotero.org/users/6423791/items/YWPXFB8H"],"itemData":{"id":13469,"type":"article-journal","abstract":"The production of mycoprotein biomass by Marlow Foods for use in their meat alternative brand Quorn is a potential source of sustainable alternatives to functional ingredients of animal origin for the food industry. The conversion of this viscoelastic biomass into the Quorn meat-like texture relies on functional synergy with egg white (EW), effectively forming a fibre gel composite. In a previous study, we reported that an extract (retentate 100 or R100) obtained from the Quorn fermentation co-product (centrate) via ultrafiltration displayed good foaming, emulsifying, and rheological properties. This current study investigated if a possible similar synergy between EW and R100 could be exploited to partially replace EW as foaming and/or gelling ingredient. The large hyphal structures characteristic of R100 solutions were observed in EW–R100 mixtures, while EW–R100 gels showed dense networks of entangled hyphal aggregates and filaments. R100 foams prepared by frothing proved less stable than EW ones; however, a 75/25 w/w EW–R100 mixture displayed a similar foam stability to EW. Simlarly, R100 hydrogels proved less viscoelastic than EW ones; however, the viscoelasticity of gels prepared with 50/50 w/w and 75/25 w/w EW–R100 proved similar to those of EW gels, while 75/25 w/w EW–R100 gels displayed similar hardness to EW ones. Both results highlighted a functional synergy between the R100 material and EW proteins. In parallel tensiometry measurements highlighted the presence of surface-active material in EW–R100 mixtures contributing to their high foaming properties. These results highlighted the potential of functional extracts from the Quorn fermentation process for partial EW replacement as foaming and gelling agent, and the complex nature of the functional profile of EW–R100 mixtures, with contributions reported for both hyphal structures and surface-active material.","container-title":"European Food Research and Technology","DOI":"10.1007/s00217-019-03390-1","ISSN":"1438-2385","issue":"1","journalAbbreviation":"Eur Food Res Technol","language":"en","page":"69-80","source":"Springer Link","title":"Functional fungal extracts from the Quorn fermentation co-product as novel partial egg white replacers","volume":"246","author":[{"family":"Lonchamp","given":"J."},{"family":"Akintoye","given":"M."},{"family":"Clegg","given":"P. S."},{"family":"Euston","given":"S. R."}],"issued":{"date-parts":[["2020",1,1]]}}}],"schema":"https://github.com/citation-style-language/schema/raw/master/csl-citation.json"} </w:instrText>
      </w:r>
      <w:r w:rsidRPr="003F5DA8">
        <w:fldChar w:fldCharType="separate"/>
      </w:r>
      <w:r w:rsidR="005413B4" w:rsidRPr="005413B4">
        <w:rPr>
          <w:rFonts w:ascii="Calibri" w:hAnsi="Calibri" w:cs="Calibri"/>
          <w:szCs w:val="24"/>
          <w:vertAlign w:val="superscript"/>
        </w:rPr>
        <w:t>177</w:t>
      </w:r>
      <w:r w:rsidRPr="003F5DA8">
        <w:fldChar w:fldCharType="end"/>
      </w:r>
      <w:r w:rsidRPr="003F5DA8">
        <w:t>,  the organoleptic properties of mycoproteins would likely still be linked with texturization and additives incorporation</w:t>
      </w:r>
      <w:r w:rsidRPr="003F5DA8">
        <w:fldChar w:fldCharType="begin"/>
      </w:r>
      <w:r w:rsidR="005413B4">
        <w:instrText xml:space="preserve"> ADDIN ZOTERO_ITEM CSL_CITATION {"citationID":"1PhU6c5x","properties":{"formattedCitation":"\\super 60,178\\nosupersub{}","plainCitation":"60,178","noteIndex":0},"citationItems":[{"id":13518,"uris":["http://zotero.org/users/6423791/items/4ZK2BYTR"],"itemData":{"id":13518,"type":"article-journal","abstract":"Due to environmental and ethical concerns, meat analogs represent an emerging trend to replace traditional animal meat. However, meat analogs lacking specific sensory properties (flavor, texture, color) would directly affect consumers' acceptance and purchasing behavior. In this review, we discussed the typical sensory characteristics of animal meat products from texture, flavor, color aspects, and sensory perception during oral processing. The related strategies were detailed to improve meat-like sensory properties for meat analogs. However, the upscaling productions of meat analogs still face many challenges (e.g.: sensory stability of plant-based meat, 3D scaffolds in cultured meat, etc.). Producing safe, low cost and sustainable meat analogs would be a hot topic in food science in the next decades. To realize these promising outcomes, reliable robust devices with automatic processing should also be considered. This review aims at providing the latest progress to improve the sensory properties of meat analogs and meet consumers’ requirements.","container-title":"Biomaterials","DOI":"10.1016/j.biomaterials.2022.121648","ISSN":"0142-9612","journalAbbreviation":"Biomaterials","language":"en","page":"121648","source":"ScienceDirect","title":"Strategies to improve meat-like properties of meat analogs meeting consumers’ expectations","author":[{"family":"Ping","given":"Chen Yan"},{"family":"Xi","given":"Feng"},{"family":"Blank","given":"Imre"},{"family":"Yuan","given":"Liu"}],"issued":{"date-parts":[["2022",6,25]]}}},{"id":11256,"uris":["http://zotero.org/users/6423791/items/BZ9ELZZV"],"itemData":{"id":11256,"type":"article-journal","abstract":"Substitution of beef with alternative proteins is one practical trend taken by industry and consumers to reduce the negative impact of convenience products on the environment. Numerous products based on plant, insect and fungi proteins compete to replace beef burgers in an environmentally friendly and healthy way. At the same time, there is a lack of studies which assess different options from environmental impact perspective but also with consideration of production scales, recipes, nutritional values, and sensory properties. Therefore, the current study aimed to perform a holistic assessment (Life Cycle Assessment, sensory properties, and nutritional profile) of beef burgers in comparison to selected, alternative burgers, available on the market in Germany. The results indicated that alternative burgers based on plant, insect and mycoprotein biomass would be more environmentally friendly than beef burgers, but only a couple of them (insect-based and soy-based) have satisfying sensory or nutritional properties. Pea-based and mycoprotein-based burgers were perceived as average burgers from an environmental and sensorial perspective. The study demonstrated a sustainability differentiation system of meat analogs in convenience products using the multicriteria framework with inclusion of nutrient scoring, sensorial testing and Life Cycle Assessment.","container-title":"Future Foods","DOI":"10.1016/j.fufo.2021.100042","ISSN":"2666-8335","journalAbbreviation":"Future Foods","language":"en","page":"100042","source":"ScienceDirect","title":"Meat substitution in burgers: nutritional scoring, sensorial testing, and Life Cycle Assessment","title-short":"Meat substitution in burgers","author":[{"family":"Smetana","given":""},{"family":"Profeta","given":"Adriano"},{"family":"Voigt","given":"Rieke"},{"family":"Kircher","given":"Christian"},{"family":"Heinz","given":"Volker"}],"issued":{"date-parts":[["2021",5,1]]}}}],"schema":"https://github.com/citation-style-language/schema/raw/master/csl-citation.json"} </w:instrText>
      </w:r>
      <w:r w:rsidRPr="003F5DA8">
        <w:fldChar w:fldCharType="separate"/>
      </w:r>
      <w:r w:rsidR="005413B4" w:rsidRPr="005413B4">
        <w:rPr>
          <w:rFonts w:ascii="Calibri" w:hAnsi="Calibri" w:cs="Calibri"/>
          <w:szCs w:val="24"/>
          <w:vertAlign w:val="superscript"/>
        </w:rPr>
        <w:t>60,178</w:t>
      </w:r>
      <w:r w:rsidRPr="003F5DA8">
        <w:fldChar w:fldCharType="end"/>
      </w:r>
      <w:r w:rsidRPr="003F5DA8">
        <w:t>. As an additional optimistic assumption, it was considered that mycoproteins could directly be texturized in a meat-analogue product without any additives. Texturization was simply modeled with an additional electricity consumption (assumed as pelletizing in the CF pathway). The composition of mycoproteins are displayed</w:t>
      </w:r>
      <w:r w:rsidR="00042BF3">
        <w:t xml:space="preserve"> in </w:t>
      </w:r>
      <w:r w:rsidR="00042BF3" w:rsidRPr="00042BF3">
        <w:rPr>
          <w:b/>
        </w:rPr>
        <w:fldChar w:fldCharType="begin"/>
      </w:r>
      <w:r w:rsidR="00042BF3" w:rsidRPr="00042BF3">
        <w:rPr>
          <w:b/>
        </w:rPr>
        <w:instrText xml:space="preserve"> REF _Ref144820344 \h </w:instrText>
      </w:r>
      <w:r w:rsidR="00042BF3">
        <w:rPr>
          <w:b/>
        </w:rPr>
        <w:instrText xml:space="preserve"> \* MERGEFORMAT </w:instrText>
      </w:r>
      <w:r w:rsidR="00042BF3" w:rsidRPr="00042BF3">
        <w:rPr>
          <w:b/>
        </w:rPr>
      </w:r>
      <w:r w:rsidR="00042BF3" w:rsidRPr="00042BF3">
        <w:rPr>
          <w:b/>
        </w:rPr>
        <w:fldChar w:fldCharType="separate"/>
      </w:r>
      <w:r w:rsidR="00F25F8C" w:rsidRPr="00F25F8C">
        <w:rPr>
          <w:b/>
        </w:rPr>
        <w:t xml:space="preserve">Table SI. </w:t>
      </w:r>
      <w:r w:rsidR="00F25F8C" w:rsidRPr="00F25F8C">
        <w:rPr>
          <w:b/>
          <w:noProof/>
        </w:rPr>
        <w:t>51</w:t>
      </w:r>
      <w:r w:rsidR="00042BF3" w:rsidRPr="00042BF3">
        <w:rPr>
          <w:b/>
        </w:rPr>
        <w:fldChar w:fldCharType="end"/>
      </w:r>
      <w:r w:rsidRPr="003F5DA8">
        <w:t>.</w:t>
      </w:r>
    </w:p>
    <w:p w14:paraId="7DADF342" w14:textId="6C9A6E48" w:rsidR="00512EC8" w:rsidRPr="009C2210" w:rsidRDefault="00874128" w:rsidP="006B5342">
      <w:pPr>
        <w:pStyle w:val="Lgende"/>
        <w:jc w:val="left"/>
        <w:rPr>
          <w:b w:val="0"/>
          <w:i/>
        </w:rPr>
      </w:pPr>
      <w:bookmarkStart w:id="228" w:name="_Ref144820344"/>
      <w:bookmarkStart w:id="229" w:name="_Toc134537662"/>
      <w:bookmarkStart w:id="230" w:name="_Toc151967935"/>
      <w:r>
        <w:t>Table SI.</w:t>
      </w:r>
      <w:r w:rsidR="00512EC8">
        <w:t xml:space="preserve"> </w:t>
      </w:r>
      <w:r>
        <w:fldChar w:fldCharType="begin"/>
      </w:r>
      <w:r>
        <w:instrText xml:space="preserve"> SEQ Table_SI. \* ARABIC </w:instrText>
      </w:r>
      <w:r>
        <w:fldChar w:fldCharType="separate"/>
      </w:r>
      <w:r w:rsidR="00F25F8C">
        <w:rPr>
          <w:noProof/>
        </w:rPr>
        <w:t>51</w:t>
      </w:r>
      <w:r>
        <w:fldChar w:fldCharType="end"/>
      </w:r>
      <w:bookmarkEnd w:id="228"/>
      <w:r w:rsidR="00512EC8">
        <w:t xml:space="preserve"> </w:t>
      </w:r>
      <w:r w:rsidR="00512EC8" w:rsidRPr="00B56B39">
        <w:t>– Mycoproteins composition</w:t>
      </w:r>
      <w:bookmarkEnd w:id="229"/>
      <w:bookmarkEnd w:id="230"/>
    </w:p>
    <w:tbl>
      <w:tblPr>
        <w:tblStyle w:val="Tableausimple2"/>
        <w:tblW w:w="5000" w:type="pct"/>
        <w:tblLook w:val="04A0" w:firstRow="1" w:lastRow="0" w:firstColumn="1" w:lastColumn="0" w:noHBand="0" w:noVBand="1"/>
      </w:tblPr>
      <w:tblGrid>
        <w:gridCol w:w="2132"/>
        <w:gridCol w:w="5238"/>
        <w:gridCol w:w="1702"/>
      </w:tblGrid>
      <w:tr w:rsidR="00512EC8" w:rsidRPr="008F4A58" w14:paraId="52D6653E"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5" w:type="pct"/>
          </w:tcPr>
          <w:p w14:paraId="155A1C59" w14:textId="77777777" w:rsidR="00512EC8" w:rsidRPr="008F4A58" w:rsidRDefault="00512EC8" w:rsidP="006D537D">
            <w:pPr>
              <w:jc w:val="right"/>
              <w:rPr>
                <w:sz w:val="18"/>
                <w:szCs w:val="18"/>
              </w:rPr>
            </w:pPr>
            <w:r w:rsidRPr="008F4A58">
              <w:rPr>
                <w:sz w:val="18"/>
                <w:szCs w:val="18"/>
              </w:rPr>
              <w:t>Composition (%</w:t>
            </w:r>
            <w:r w:rsidRPr="008F4A58">
              <w:rPr>
                <w:sz w:val="18"/>
                <w:szCs w:val="18"/>
                <w:vertAlign w:val="subscript"/>
              </w:rPr>
              <w:t>DM</w:t>
            </w:r>
            <w:r w:rsidRPr="008F4A58">
              <w:rPr>
                <w:sz w:val="18"/>
                <w:szCs w:val="18"/>
              </w:rPr>
              <w:t>)</w:t>
            </w:r>
          </w:p>
        </w:tc>
        <w:tc>
          <w:tcPr>
            <w:tcW w:w="2887" w:type="pct"/>
          </w:tcPr>
          <w:p w14:paraId="3CFE2F11"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Without RNA removal</w:t>
            </w:r>
          </w:p>
        </w:tc>
        <w:tc>
          <w:tcPr>
            <w:tcW w:w="938" w:type="pct"/>
          </w:tcPr>
          <w:p w14:paraId="7E606382" w14:textId="77777777" w:rsidR="00512EC8" w:rsidRPr="008F4A58" w:rsidRDefault="00512EC8" w:rsidP="006D537D">
            <w:pPr>
              <w:cnfStyle w:val="100000000000" w:firstRow="1" w:lastRow="0" w:firstColumn="0" w:lastColumn="0" w:oddVBand="0" w:evenVBand="0" w:oddHBand="0" w:evenHBand="0" w:firstRowFirstColumn="0" w:firstRowLastColumn="0" w:lastRowFirstColumn="0" w:lastRowLastColumn="0"/>
              <w:rPr>
                <w:sz w:val="18"/>
                <w:szCs w:val="18"/>
              </w:rPr>
            </w:pPr>
            <w:r w:rsidRPr="008F4A58">
              <w:rPr>
                <w:sz w:val="18"/>
                <w:szCs w:val="18"/>
              </w:rPr>
              <w:t>With RNA removal</w:t>
            </w:r>
          </w:p>
        </w:tc>
      </w:tr>
      <w:tr w:rsidR="00512EC8" w:rsidRPr="008F4A58" w14:paraId="52EA3BC3"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5" w:type="pct"/>
          </w:tcPr>
          <w:p w14:paraId="05F6CE79" w14:textId="77777777" w:rsidR="00512EC8" w:rsidRPr="008F4A58" w:rsidRDefault="00512EC8" w:rsidP="006D537D">
            <w:pPr>
              <w:jc w:val="right"/>
              <w:rPr>
                <w:b w:val="0"/>
                <w:sz w:val="18"/>
                <w:szCs w:val="18"/>
              </w:rPr>
            </w:pPr>
            <w:r w:rsidRPr="008F4A58">
              <w:rPr>
                <w:b w:val="0"/>
                <w:sz w:val="18"/>
                <w:szCs w:val="18"/>
              </w:rPr>
              <w:t>Proteins</w:t>
            </w:r>
          </w:p>
        </w:tc>
        <w:tc>
          <w:tcPr>
            <w:tcW w:w="2887" w:type="pct"/>
          </w:tcPr>
          <w:p w14:paraId="685BAE5A"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41.4%</w:t>
            </w:r>
          </w:p>
        </w:tc>
        <w:tc>
          <w:tcPr>
            <w:tcW w:w="938" w:type="pct"/>
          </w:tcPr>
          <w:p w14:paraId="203CADF4"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45.0%</w:t>
            </w:r>
          </w:p>
        </w:tc>
      </w:tr>
      <w:tr w:rsidR="00512EC8" w:rsidRPr="008F4A58" w14:paraId="1CEAFBDA" w14:textId="77777777" w:rsidTr="006B5342">
        <w:tc>
          <w:tcPr>
            <w:cnfStyle w:val="001000000000" w:firstRow="0" w:lastRow="0" w:firstColumn="1" w:lastColumn="0" w:oddVBand="0" w:evenVBand="0" w:oddHBand="0" w:evenHBand="0" w:firstRowFirstColumn="0" w:firstRowLastColumn="0" w:lastRowFirstColumn="0" w:lastRowLastColumn="0"/>
            <w:tcW w:w="1175" w:type="pct"/>
          </w:tcPr>
          <w:p w14:paraId="7F0384AC" w14:textId="77777777" w:rsidR="00512EC8" w:rsidRPr="008F4A58" w:rsidRDefault="00512EC8" w:rsidP="006D537D">
            <w:pPr>
              <w:jc w:val="right"/>
              <w:rPr>
                <w:b w:val="0"/>
                <w:sz w:val="18"/>
                <w:szCs w:val="18"/>
              </w:rPr>
            </w:pPr>
            <w:r w:rsidRPr="008F4A58">
              <w:rPr>
                <w:b w:val="0"/>
                <w:sz w:val="18"/>
                <w:szCs w:val="18"/>
              </w:rPr>
              <w:t>Lipids</w:t>
            </w:r>
          </w:p>
        </w:tc>
        <w:tc>
          <w:tcPr>
            <w:tcW w:w="2887" w:type="pct"/>
          </w:tcPr>
          <w:p w14:paraId="4505BCB6"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10.7%</w:t>
            </w:r>
          </w:p>
        </w:tc>
        <w:tc>
          <w:tcPr>
            <w:tcW w:w="938" w:type="pct"/>
          </w:tcPr>
          <w:p w14:paraId="08256045"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11.6%</w:t>
            </w:r>
          </w:p>
        </w:tc>
      </w:tr>
      <w:tr w:rsidR="00512EC8" w:rsidRPr="008F4A58" w14:paraId="5A7E0D6A"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5" w:type="pct"/>
          </w:tcPr>
          <w:p w14:paraId="7DCCAA4A" w14:textId="77777777" w:rsidR="00512EC8" w:rsidRPr="008F4A58" w:rsidRDefault="00512EC8" w:rsidP="006D537D">
            <w:pPr>
              <w:jc w:val="right"/>
              <w:rPr>
                <w:b w:val="0"/>
                <w:sz w:val="18"/>
                <w:szCs w:val="18"/>
              </w:rPr>
            </w:pPr>
            <w:r w:rsidRPr="008F4A58">
              <w:rPr>
                <w:b w:val="0"/>
                <w:sz w:val="18"/>
                <w:szCs w:val="18"/>
              </w:rPr>
              <w:t>Carbohydrates</w:t>
            </w:r>
          </w:p>
        </w:tc>
        <w:tc>
          <w:tcPr>
            <w:tcW w:w="2887" w:type="pct"/>
          </w:tcPr>
          <w:p w14:paraId="2FADDFC1"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9.2%</w:t>
            </w:r>
          </w:p>
        </w:tc>
        <w:tc>
          <w:tcPr>
            <w:tcW w:w="938" w:type="pct"/>
          </w:tcPr>
          <w:p w14:paraId="3C6DC728"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10.0%</w:t>
            </w:r>
          </w:p>
        </w:tc>
      </w:tr>
      <w:tr w:rsidR="00512EC8" w:rsidRPr="008F4A58" w14:paraId="2ED3E924" w14:textId="77777777" w:rsidTr="006B5342">
        <w:tc>
          <w:tcPr>
            <w:cnfStyle w:val="001000000000" w:firstRow="0" w:lastRow="0" w:firstColumn="1" w:lastColumn="0" w:oddVBand="0" w:evenVBand="0" w:oddHBand="0" w:evenHBand="0" w:firstRowFirstColumn="0" w:firstRowLastColumn="0" w:lastRowFirstColumn="0" w:lastRowLastColumn="0"/>
            <w:tcW w:w="1175" w:type="pct"/>
          </w:tcPr>
          <w:p w14:paraId="30D58B14" w14:textId="77777777" w:rsidR="00512EC8" w:rsidRPr="008F4A58" w:rsidRDefault="00512EC8" w:rsidP="006D537D">
            <w:pPr>
              <w:jc w:val="right"/>
              <w:rPr>
                <w:b w:val="0"/>
                <w:sz w:val="18"/>
                <w:szCs w:val="18"/>
              </w:rPr>
            </w:pPr>
            <w:r w:rsidRPr="008F4A58">
              <w:rPr>
                <w:b w:val="0"/>
                <w:sz w:val="18"/>
                <w:szCs w:val="18"/>
              </w:rPr>
              <w:t>Sugars</w:t>
            </w:r>
          </w:p>
        </w:tc>
        <w:tc>
          <w:tcPr>
            <w:tcW w:w="2887" w:type="pct"/>
          </w:tcPr>
          <w:p w14:paraId="0B454381"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1.8%</w:t>
            </w:r>
          </w:p>
        </w:tc>
        <w:tc>
          <w:tcPr>
            <w:tcW w:w="938" w:type="pct"/>
          </w:tcPr>
          <w:p w14:paraId="7B3B590B"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2.0%</w:t>
            </w:r>
          </w:p>
        </w:tc>
      </w:tr>
      <w:tr w:rsidR="00512EC8" w:rsidRPr="008F4A58" w14:paraId="3683C8D0"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5" w:type="pct"/>
          </w:tcPr>
          <w:p w14:paraId="12A3E485" w14:textId="77777777" w:rsidR="00512EC8" w:rsidRPr="008F4A58" w:rsidRDefault="00512EC8" w:rsidP="006D537D">
            <w:pPr>
              <w:jc w:val="right"/>
              <w:rPr>
                <w:b w:val="0"/>
                <w:sz w:val="18"/>
                <w:szCs w:val="18"/>
              </w:rPr>
            </w:pPr>
            <w:r w:rsidRPr="008F4A58">
              <w:rPr>
                <w:b w:val="0"/>
                <w:sz w:val="18"/>
                <w:szCs w:val="18"/>
              </w:rPr>
              <w:t>Fibers</w:t>
            </w:r>
          </w:p>
        </w:tc>
        <w:tc>
          <w:tcPr>
            <w:tcW w:w="2887" w:type="pct"/>
          </w:tcPr>
          <w:p w14:paraId="34827F02"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22.1%</w:t>
            </w:r>
          </w:p>
        </w:tc>
        <w:tc>
          <w:tcPr>
            <w:tcW w:w="938" w:type="pct"/>
          </w:tcPr>
          <w:p w14:paraId="0D4F4E84"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24.0%</w:t>
            </w:r>
          </w:p>
        </w:tc>
      </w:tr>
      <w:tr w:rsidR="00512EC8" w:rsidRPr="008F4A58" w14:paraId="65BA8BCF" w14:textId="77777777" w:rsidTr="006B5342">
        <w:tc>
          <w:tcPr>
            <w:cnfStyle w:val="001000000000" w:firstRow="0" w:lastRow="0" w:firstColumn="1" w:lastColumn="0" w:oddVBand="0" w:evenVBand="0" w:oddHBand="0" w:evenHBand="0" w:firstRowFirstColumn="0" w:firstRowLastColumn="0" w:lastRowFirstColumn="0" w:lastRowLastColumn="0"/>
            <w:tcW w:w="1175" w:type="pct"/>
          </w:tcPr>
          <w:p w14:paraId="78BBA981" w14:textId="77777777" w:rsidR="00512EC8" w:rsidRPr="008F4A58" w:rsidRDefault="00512EC8" w:rsidP="006D537D">
            <w:pPr>
              <w:jc w:val="right"/>
              <w:rPr>
                <w:b w:val="0"/>
                <w:sz w:val="18"/>
                <w:szCs w:val="18"/>
              </w:rPr>
            </w:pPr>
            <w:r w:rsidRPr="008F4A58">
              <w:rPr>
                <w:b w:val="0"/>
                <w:sz w:val="18"/>
                <w:szCs w:val="18"/>
              </w:rPr>
              <w:t>Ashes</w:t>
            </w:r>
          </w:p>
        </w:tc>
        <w:tc>
          <w:tcPr>
            <w:tcW w:w="2887" w:type="pct"/>
          </w:tcPr>
          <w:p w14:paraId="5262A0D0"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3.1%</w:t>
            </w:r>
          </w:p>
        </w:tc>
        <w:tc>
          <w:tcPr>
            <w:tcW w:w="938" w:type="pct"/>
          </w:tcPr>
          <w:p w14:paraId="2CC03B95"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3.4%</w:t>
            </w:r>
          </w:p>
        </w:tc>
      </w:tr>
      <w:tr w:rsidR="00512EC8" w:rsidRPr="008F4A58" w14:paraId="2FF595AB"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5" w:type="pct"/>
          </w:tcPr>
          <w:p w14:paraId="40926562" w14:textId="77777777" w:rsidR="00512EC8" w:rsidRPr="008F4A58" w:rsidRDefault="00512EC8" w:rsidP="006D537D">
            <w:pPr>
              <w:jc w:val="right"/>
              <w:rPr>
                <w:b w:val="0"/>
                <w:sz w:val="18"/>
                <w:szCs w:val="18"/>
              </w:rPr>
            </w:pPr>
            <w:r w:rsidRPr="008F4A58">
              <w:rPr>
                <w:b w:val="0"/>
                <w:sz w:val="18"/>
                <w:szCs w:val="18"/>
              </w:rPr>
              <w:t>RNA/DNA</w:t>
            </w:r>
          </w:p>
        </w:tc>
        <w:tc>
          <w:tcPr>
            <w:tcW w:w="2887" w:type="pct"/>
          </w:tcPr>
          <w:p w14:paraId="4B482AA1"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9.0% (ranging 7-11%)</w:t>
            </w:r>
          </w:p>
        </w:tc>
        <w:tc>
          <w:tcPr>
            <w:tcW w:w="938" w:type="pct"/>
          </w:tcPr>
          <w:p w14:paraId="2A984E03"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1.0%</w:t>
            </w:r>
          </w:p>
        </w:tc>
      </w:tr>
      <w:tr w:rsidR="00512EC8" w:rsidRPr="008F4A58" w14:paraId="2BF72CB1" w14:textId="77777777" w:rsidTr="006B5342">
        <w:tc>
          <w:tcPr>
            <w:cnfStyle w:val="001000000000" w:firstRow="0" w:lastRow="0" w:firstColumn="1" w:lastColumn="0" w:oddVBand="0" w:evenVBand="0" w:oddHBand="0" w:evenHBand="0" w:firstRowFirstColumn="0" w:firstRowLastColumn="0" w:lastRowFirstColumn="0" w:lastRowLastColumn="0"/>
            <w:tcW w:w="1175" w:type="pct"/>
          </w:tcPr>
          <w:p w14:paraId="7B7B8D05" w14:textId="77777777" w:rsidR="00512EC8" w:rsidRPr="008F4A58" w:rsidRDefault="00512EC8" w:rsidP="006D537D">
            <w:pPr>
              <w:jc w:val="right"/>
              <w:rPr>
                <w:b w:val="0"/>
                <w:sz w:val="18"/>
                <w:szCs w:val="18"/>
              </w:rPr>
            </w:pPr>
            <w:r w:rsidRPr="008F4A58">
              <w:rPr>
                <w:b w:val="0"/>
                <w:sz w:val="18"/>
                <w:szCs w:val="18"/>
              </w:rPr>
              <w:t>Others</w:t>
            </w:r>
          </w:p>
        </w:tc>
        <w:tc>
          <w:tcPr>
            <w:tcW w:w="2887" w:type="pct"/>
          </w:tcPr>
          <w:p w14:paraId="4DDDF918"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2.8%</w:t>
            </w:r>
          </w:p>
        </w:tc>
        <w:tc>
          <w:tcPr>
            <w:tcW w:w="938" w:type="pct"/>
          </w:tcPr>
          <w:p w14:paraId="57A9E65C"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3.0%</w:t>
            </w:r>
          </w:p>
        </w:tc>
      </w:tr>
      <w:tr w:rsidR="00512EC8" w:rsidRPr="008F4A58" w14:paraId="778229E3"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5" w:type="pct"/>
          </w:tcPr>
          <w:p w14:paraId="447A50E7" w14:textId="77777777" w:rsidR="00512EC8" w:rsidRPr="008F4A58" w:rsidRDefault="00512EC8" w:rsidP="006D537D">
            <w:pPr>
              <w:jc w:val="right"/>
              <w:rPr>
                <w:b w:val="0"/>
                <w:sz w:val="18"/>
                <w:szCs w:val="18"/>
              </w:rPr>
            </w:pPr>
            <w:r w:rsidRPr="008F4A58">
              <w:rPr>
                <w:b w:val="0"/>
                <w:sz w:val="18"/>
                <w:szCs w:val="18"/>
              </w:rPr>
              <w:t>Digestibility (%</w:t>
            </w:r>
            <w:r w:rsidRPr="008F4A58">
              <w:rPr>
                <w:b w:val="0"/>
                <w:sz w:val="18"/>
                <w:szCs w:val="18"/>
                <w:vertAlign w:val="subscript"/>
              </w:rPr>
              <w:t>OM</w:t>
            </w:r>
            <w:r w:rsidRPr="008F4A58">
              <w:rPr>
                <w:b w:val="0"/>
                <w:sz w:val="18"/>
                <w:szCs w:val="18"/>
              </w:rPr>
              <w:t>)</w:t>
            </w:r>
          </w:p>
        </w:tc>
        <w:tc>
          <w:tcPr>
            <w:tcW w:w="2887" w:type="pct"/>
          </w:tcPr>
          <w:p w14:paraId="237E7627"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88% (ranging 85%-93%)</w:t>
            </w:r>
          </w:p>
        </w:tc>
        <w:tc>
          <w:tcPr>
            <w:tcW w:w="938" w:type="pct"/>
            <w:vMerge w:val="restart"/>
          </w:tcPr>
          <w:p w14:paraId="45876D8A"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n.a.</w:t>
            </w:r>
          </w:p>
        </w:tc>
      </w:tr>
      <w:tr w:rsidR="00512EC8" w:rsidRPr="008F4A58" w14:paraId="037FEFCA" w14:textId="77777777" w:rsidTr="006B5342">
        <w:tc>
          <w:tcPr>
            <w:cnfStyle w:val="001000000000" w:firstRow="0" w:lastRow="0" w:firstColumn="1" w:lastColumn="0" w:oddVBand="0" w:evenVBand="0" w:oddHBand="0" w:evenHBand="0" w:firstRowFirstColumn="0" w:firstRowLastColumn="0" w:lastRowFirstColumn="0" w:lastRowLastColumn="0"/>
            <w:tcW w:w="1175" w:type="pct"/>
          </w:tcPr>
          <w:p w14:paraId="578DD2BD" w14:textId="77777777" w:rsidR="00512EC8" w:rsidRPr="008F4A58" w:rsidRDefault="00512EC8" w:rsidP="006D537D">
            <w:pPr>
              <w:jc w:val="right"/>
              <w:rPr>
                <w:b w:val="0"/>
                <w:sz w:val="18"/>
                <w:szCs w:val="18"/>
              </w:rPr>
            </w:pPr>
            <w:r w:rsidRPr="008F4A58">
              <w:rPr>
                <w:b w:val="0"/>
                <w:sz w:val="18"/>
                <w:szCs w:val="18"/>
              </w:rPr>
              <w:t>Crude fibers</w:t>
            </w:r>
          </w:p>
        </w:tc>
        <w:tc>
          <w:tcPr>
            <w:tcW w:w="2887" w:type="pct"/>
          </w:tcPr>
          <w:p w14:paraId="76DA7E70"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r w:rsidRPr="008F4A58">
              <w:rPr>
                <w:sz w:val="18"/>
                <w:szCs w:val="18"/>
              </w:rPr>
              <w:t>5.0%</w:t>
            </w:r>
          </w:p>
        </w:tc>
        <w:tc>
          <w:tcPr>
            <w:tcW w:w="938" w:type="pct"/>
            <w:vMerge/>
          </w:tcPr>
          <w:p w14:paraId="37319077" w14:textId="77777777"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sz w:val="18"/>
                <w:szCs w:val="18"/>
              </w:rPr>
            </w:pPr>
          </w:p>
        </w:tc>
      </w:tr>
      <w:tr w:rsidR="00512EC8" w:rsidRPr="008F4A58" w14:paraId="4E882B1E"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75" w:type="pct"/>
          </w:tcPr>
          <w:p w14:paraId="5E1EC198" w14:textId="77777777" w:rsidR="00512EC8" w:rsidRPr="008F4A58" w:rsidRDefault="00512EC8" w:rsidP="006D537D">
            <w:pPr>
              <w:jc w:val="right"/>
              <w:rPr>
                <w:b w:val="0"/>
                <w:sz w:val="18"/>
                <w:szCs w:val="18"/>
              </w:rPr>
            </w:pPr>
            <w:r w:rsidRPr="008F4A58">
              <w:rPr>
                <w:b w:val="0"/>
                <w:sz w:val="18"/>
                <w:szCs w:val="18"/>
              </w:rPr>
              <w:t>SFU.kg</w:t>
            </w:r>
            <w:r w:rsidRPr="008F4A58">
              <w:rPr>
                <w:b w:val="0"/>
                <w:sz w:val="18"/>
                <w:szCs w:val="18"/>
                <w:vertAlign w:val="subscript"/>
              </w:rPr>
              <w:t>DM</w:t>
            </w:r>
            <w:r w:rsidRPr="008F4A58">
              <w:rPr>
                <w:b w:val="0"/>
                <w:sz w:val="18"/>
                <w:szCs w:val="18"/>
                <w:vertAlign w:val="superscript"/>
              </w:rPr>
              <w:t>-1</w:t>
            </w:r>
          </w:p>
        </w:tc>
        <w:tc>
          <w:tcPr>
            <w:tcW w:w="2887" w:type="pct"/>
          </w:tcPr>
          <w:p w14:paraId="5CF5BA4F"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r w:rsidRPr="008F4A58">
              <w:rPr>
                <w:sz w:val="18"/>
                <w:szCs w:val="18"/>
              </w:rPr>
              <w:t>1.47</w:t>
            </w:r>
          </w:p>
        </w:tc>
        <w:tc>
          <w:tcPr>
            <w:tcW w:w="938" w:type="pct"/>
            <w:vMerge/>
          </w:tcPr>
          <w:p w14:paraId="59F95D96" w14:textId="77777777" w:rsidR="00512EC8" w:rsidRPr="008F4A58" w:rsidRDefault="00512EC8" w:rsidP="006D537D">
            <w:pPr>
              <w:cnfStyle w:val="000000100000" w:firstRow="0" w:lastRow="0" w:firstColumn="0" w:lastColumn="0" w:oddVBand="0" w:evenVBand="0" w:oddHBand="1" w:evenHBand="0" w:firstRowFirstColumn="0" w:firstRowLastColumn="0" w:lastRowFirstColumn="0" w:lastRowLastColumn="0"/>
              <w:rPr>
                <w:sz w:val="18"/>
                <w:szCs w:val="18"/>
              </w:rPr>
            </w:pPr>
          </w:p>
        </w:tc>
      </w:tr>
      <w:tr w:rsidR="00512EC8" w:rsidRPr="008F4A58" w14:paraId="11FC3FFE" w14:textId="77777777" w:rsidTr="006B5342">
        <w:tc>
          <w:tcPr>
            <w:cnfStyle w:val="001000000000" w:firstRow="0" w:lastRow="0" w:firstColumn="1" w:lastColumn="0" w:oddVBand="0" w:evenVBand="0" w:oddHBand="0" w:evenHBand="0" w:firstRowFirstColumn="0" w:firstRowLastColumn="0" w:lastRowFirstColumn="0" w:lastRowLastColumn="0"/>
            <w:tcW w:w="1175" w:type="pct"/>
          </w:tcPr>
          <w:p w14:paraId="58EAFFC1" w14:textId="77777777" w:rsidR="00512EC8" w:rsidRPr="008F4A58" w:rsidRDefault="00512EC8" w:rsidP="006D537D">
            <w:pPr>
              <w:jc w:val="right"/>
              <w:rPr>
                <w:b w:val="0"/>
                <w:i/>
                <w:sz w:val="18"/>
                <w:szCs w:val="18"/>
              </w:rPr>
            </w:pPr>
            <w:r w:rsidRPr="008F4A58">
              <w:rPr>
                <w:b w:val="0"/>
                <w:i/>
                <w:sz w:val="18"/>
                <w:szCs w:val="18"/>
              </w:rPr>
              <w:t>Comments</w:t>
            </w:r>
          </w:p>
        </w:tc>
        <w:tc>
          <w:tcPr>
            <w:tcW w:w="2887" w:type="pct"/>
          </w:tcPr>
          <w:p w14:paraId="4A62717E" w14:textId="236B1777" w:rsidR="00512EC8" w:rsidRPr="008F4A58" w:rsidRDefault="00512EC8" w:rsidP="006D537D">
            <w:pPr>
              <w:jc w:val="both"/>
              <w:cnfStyle w:val="000000000000" w:firstRow="0" w:lastRow="0" w:firstColumn="0" w:lastColumn="0" w:oddVBand="0" w:evenVBand="0" w:oddHBand="0" w:evenHBand="0" w:firstRowFirstColumn="0" w:firstRowLastColumn="0" w:lastRowFirstColumn="0" w:lastRowLastColumn="0"/>
              <w:rPr>
                <w:i/>
                <w:sz w:val="18"/>
                <w:szCs w:val="18"/>
              </w:rPr>
            </w:pPr>
            <w:r w:rsidRPr="008F4A58">
              <w:rPr>
                <w:i/>
                <w:sz w:val="18"/>
                <w:szCs w:val="18"/>
              </w:rPr>
              <w:t>Base as Quorn</w:t>
            </w:r>
            <w:r w:rsidRPr="008F4A58">
              <w:rPr>
                <w:i/>
                <w:sz w:val="18"/>
                <w:szCs w:val="18"/>
              </w:rPr>
              <w:fldChar w:fldCharType="begin"/>
            </w:r>
            <w:r w:rsidR="005413B4">
              <w:rPr>
                <w:i/>
                <w:sz w:val="18"/>
                <w:szCs w:val="18"/>
              </w:rPr>
              <w:instrText xml:space="preserve"> ADDIN ZOTERO_ITEM CSL_CITATION {"citationID":"Ys9fIP5o","properties":{"formattedCitation":"\\super 176\\nosupersub{}","plainCitation":"176","noteIndex":0},"citationItems":[{"id":3251,"uris":["http://zotero.org/users/6423791/items/NK57ZUEE"],"itemData":{"id":3251,"type":"chapter","abstract":"Mycoprotein is a foodstuff produced from the RNA-depleted mycelium of the ascomycete fungus Fusarium venenatum by Quorn Foods. It is used to make a range of meat-free foods with various dietary and environmental benefits. The development of the industrial biotechnology process and the product has been ongoing since the 1960s, yet it was only in 1985 that the first Quorn product appeared on supermarket shelves, in the UK. The production process has required innovative approaches, driving development of airlift fermentation technologies to achieve microbial fermentations on a grand scale as well as the assembly of fibre-gel composites that exploit the filamentous nature of the mycelium and create authentic meat-like textures. In this chapter, we aim to describe the path of development that mycoprotein has taken since the initiation of the venture. The importance of mycoprotein will be placed in historical context of the wider single-cell protein (SCP) landscape, with comparative processes mentioned in brief. A description of the modern biotechnological industrial production process is then made, alongside a discussion of its strengths and weaknesses highlighting issues such as impact of carbon source, nucleic acid treatment, morphological variants, and mycotoxin production. Finally, future biotechnological research challenges are discussed.","collection-title":"Grand Challenges in Biology and Biotechnology","container-title":"Grand Challenges in Fungal Biotechnology","event-place":"Cham","ISBN":"978-3-030-29541-7","language":"en","note":"DOI: 10.1007/978-3-030-29541-7_3","page":"59-79","publisher":"Springer International Publishing","publisher-place":"Cham","source":"Springer Link","title":"The Biotechnology of Quorn Mycoprotein: Past, Present and Future Challenges","title-short":"The Biotechnology of Quorn Mycoprotein","URL":"https://doi.org/10.1007/978-3-030-29541-7_3","author":[{"family":"Whittaker","given":"Jack A."},{"family":"Johnson","given":"Robert I."},{"family":"Finnigan","given":"Tim J. A."},{"family":"Avery","given":"Simon V."},{"family":"Dyer","given":"Paul S."}],"editor":[{"family":"Nevalainen","given":"Helena"}],"accessed":{"date-parts":[["2021",1,14]]},"issued":{"date-parts":[["2020"]]}}}],"schema":"https://github.com/citation-style-language/schema/raw/master/csl-citation.json"}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176</w:t>
            </w:r>
            <w:r w:rsidRPr="008F4A58">
              <w:rPr>
                <w:i/>
                <w:sz w:val="18"/>
                <w:szCs w:val="18"/>
              </w:rPr>
              <w:fldChar w:fldCharType="end"/>
            </w:r>
            <w:r w:rsidRPr="008F4A58">
              <w:rPr>
                <w:i/>
                <w:sz w:val="18"/>
                <w:szCs w:val="18"/>
              </w:rPr>
              <w:t>, but adaptable to variable RNA content covering range for fungi/yeast. Reviewed feed value range for yeast</w:t>
            </w:r>
            <w:r w:rsidRPr="008F4A58">
              <w:rPr>
                <w:i/>
                <w:sz w:val="18"/>
                <w:szCs w:val="18"/>
              </w:rPr>
              <w:fldChar w:fldCharType="begin"/>
            </w:r>
            <w:r w:rsidR="005413B4">
              <w:rPr>
                <w:i/>
                <w:sz w:val="18"/>
                <w:szCs w:val="18"/>
              </w:rPr>
              <w:instrText xml:space="preserve"> ADDIN ZOTERO_ITEM CSL_CITATION {"citationID":"4yfmGuP4","properties":{"formattedCitation":"\\super 179\\nosupersub{}","plainCitation":"179","noteIndex":0},"citationItems":[{"id":1775,"uris":["http://zotero.org/users/6423791/items/FIWSKIW8"],"itemData":{"id":1775,"type":"article-journal","abstract":"The global expansion in aquaculture production implies an emerging need of suitable and sustainable protein sources. Currently, the fish feed industry is dependent on high-quality protein sources of marine and plant origin. Yeast derived from processing of low-value and non-food lignocellulosic biomass is a potential sustainable source of protein in fish diets. Following enzymatic hydrolysis, the hexose and pentose sugars of lignocellulosic substrates and supplementary nutrients can be converted into protein-rich yeast biomass by fermentation. Studies have shown that yeasts such as Saccharomyces cerevisiae, Candida utilis and Kluyveromyces marxianus have favourable amino acid composition and excellent properties as protein sources in diets for fish, including carnivorous species such as Atlantic salmon and rainbow trout. Suitable downstream processing of the biomass to disrupt cell walls is required to secure high nutrient digestibility. A number of studies have shown various immunological and health benefits from feeding fish low levels of yeast and yeast-derived cell wall fractions. This review summarises current literature on the potential of yeast from lignocellulosic biomass as an alternative protein source for the aquaculture industry. It is concluded that further research and development within yeast production can be important to secure the future sustainability and economic viability of intensive aquaculture. © 2016 Society of Chemical Industry","container-title":"Journal of the Science of Food and Agriculture","DOI":"10.1002/jsfa.8007","ISSN":"1097-0010","issue":"3","journalAbbreviation":"J. Sci. Food Agric.","language":"en","license":"© 2016 Society of Chemical Industry","note":"_eprint: https://onlinelibrary.wiley.com/doi/pdf/10.1002/jsfa.8007","page":"733-742","source":"Wiley Online Library","title":"Yeast derived from lignocellulosic biomass as a sustainable feed resource for use in aquaculture","volume":"97","author":[{"family":"Øverland","given":"Margareth"},{"family":"Skrede","given":"Anders"}],"issued":{"date-parts":[["2017"]]}}}],"schema":"https://github.com/citation-style-language/schema/raw/master/csl-citation.json"}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179</w:t>
            </w:r>
            <w:r w:rsidRPr="008F4A58">
              <w:rPr>
                <w:i/>
                <w:sz w:val="18"/>
                <w:szCs w:val="18"/>
              </w:rPr>
              <w:fldChar w:fldCharType="end"/>
            </w:r>
          </w:p>
        </w:tc>
        <w:tc>
          <w:tcPr>
            <w:tcW w:w="938" w:type="pct"/>
          </w:tcPr>
          <w:p w14:paraId="3DA8DB92" w14:textId="4DF417D1" w:rsidR="00512EC8" w:rsidRPr="008F4A58" w:rsidRDefault="00512EC8" w:rsidP="006D537D">
            <w:pPr>
              <w:cnfStyle w:val="000000000000" w:firstRow="0" w:lastRow="0" w:firstColumn="0" w:lastColumn="0" w:oddVBand="0" w:evenVBand="0" w:oddHBand="0" w:evenHBand="0" w:firstRowFirstColumn="0" w:firstRowLastColumn="0" w:lastRowFirstColumn="0" w:lastRowLastColumn="0"/>
              <w:rPr>
                <w:i/>
                <w:sz w:val="18"/>
                <w:szCs w:val="18"/>
              </w:rPr>
            </w:pPr>
            <w:r w:rsidRPr="008F4A58">
              <w:rPr>
                <w:i/>
                <w:sz w:val="18"/>
                <w:szCs w:val="18"/>
              </w:rPr>
              <w:fldChar w:fldCharType="begin"/>
            </w:r>
            <w:r w:rsidR="005413B4">
              <w:rPr>
                <w:i/>
                <w:sz w:val="18"/>
                <w:szCs w:val="18"/>
              </w:rPr>
              <w:instrText xml:space="preserve"> ADDIN ZOTERO_ITEM CSL_CITATION {"citationID":"8RJ2TAXC","properties":{"formattedCitation":"\\super 180,181\\nosupersub{}","plainCitation":"180,181","noteIndex":0},"citationItems":[{"id":2969,"uris":["http://zotero.org/users/6423791/items/G9JESAFS"],"itemData":{"id":2969,"type":"article-journal","language":"en","page":"21","source":"Zotero","title":"Chapter 19. Mycoprotein: A Healthy New Protein With a Low Environmental Impact","author":[{"family":"Finnigan","given":"T"},{"family":"Needham","given":"L"},{"family":"Abbott","given":"C"}],"issued":{"date-parts":[["2017"]]}}},{"id":12916,"uris":["http://zotero.org/users/6423791/items/2W2UK5GK"],"itemData":{"id":12916,"type":"article-journal","abstract":"Background\nWorldwide, the demand for healthier protein is rapidly increasing due to the population growth and health concerns associated with the consumption of red meat. Animal welfare, disease prevention and environmental challenges are the key driving factors for the development of meat analogues. Mycoprotein is a fungal-derived protein source that has been introduced as a more sustainable and healthier meat alternative due to its fibrous structure and unique functional profile.\nScope and approach\nIn this review, the historical perspective of mycoprotein development, nutritional composition, and the functional properties of mycoprotein are discussed. Next, the extraction of mycoprotein from agro-industrial waste by using different strains of microorganisms via submerged fermentation (SmF), solid-state fermentation (SSF) and surface culture method is summarized. Lastly, the health aspects of mycoprotein consumption including effects on energy intake, appetite regulation, glycemic response, total blood cholesterol, and muscle protein synthesis are also highlighted.\nKey findings and conclusions\nRecent studies have concluded that the mycoprotein has a higher nutritional value, meat-like texture and diverse functional properties which make it a promising source of protein to replace plant-based as well as animal-based meat proteins. By using various microbial strains on a diverse array of substrates under different conditions (pH, temperature, moisture, relative humidity (RH), and inoculum size and age), the extracted biomasses of mycoproteins have shown significantly higher yield and nutritional value via SmF fermentation. Finally, the intake of mycoprotein improves the lipid profile, lowers the energy intake, and stimulates muscle protein synthesis.","container-title":"Trends in Food Science &amp; Technology","DOI":"10.1016/j.tifs.2022.01.027","ISSN":"0924-2244","journalAbbreviation":"Trends in Food Science &amp; Technology","language":"en","page":"14-29","source":"ScienceDirect","title":"A review on mycoprotein: History, nutritional composition, production methods, and health benefits","title-short":"A review on mycoprotein","volume":"121","author":[{"family":"Ahmad","given":"Muhammad Ijaz"},{"family":"Farooq","given":"Shahzad"},{"family":"Alhamoud","given":"Yasmin"},{"family":"Li","given":"Chunbao"},{"family":"Zhang","given":"Hui"}],"issued":{"date-parts":[["2022",3,1]]}}}],"schema":"https://github.com/citation-style-language/schema/raw/master/csl-citation.json"} </w:instrText>
            </w:r>
            <w:r w:rsidRPr="008F4A58">
              <w:rPr>
                <w:i/>
                <w:sz w:val="18"/>
                <w:szCs w:val="18"/>
              </w:rPr>
              <w:fldChar w:fldCharType="separate"/>
            </w:r>
            <w:r w:rsidR="005413B4" w:rsidRPr="005413B4">
              <w:rPr>
                <w:rFonts w:ascii="Calibri" w:hAnsi="Calibri" w:cs="Calibri"/>
                <w:sz w:val="18"/>
                <w:szCs w:val="24"/>
                <w:vertAlign w:val="superscript"/>
              </w:rPr>
              <w:t>180,181</w:t>
            </w:r>
            <w:r w:rsidRPr="008F4A58">
              <w:rPr>
                <w:i/>
                <w:sz w:val="18"/>
                <w:szCs w:val="18"/>
              </w:rPr>
              <w:fldChar w:fldCharType="end"/>
            </w:r>
          </w:p>
        </w:tc>
      </w:tr>
    </w:tbl>
    <w:p w14:paraId="152F9F7C" w14:textId="77777777" w:rsidR="00512EC8" w:rsidRPr="003F5DA8" w:rsidRDefault="00512EC8" w:rsidP="006B5342">
      <w:pPr>
        <w:jc w:val="both"/>
      </w:pPr>
      <w:r w:rsidRPr="003F5DA8">
        <w:rPr>
          <w:sz w:val="18"/>
        </w:rPr>
        <w:t xml:space="preserve"> Values displayed in the baseline configuration. SFU: Scandinavian feed unit. Fibers mostly composed by chitin and beta-glucans.</w:t>
      </w:r>
    </w:p>
    <w:p w14:paraId="5F0611F7" w14:textId="57853137" w:rsidR="00512EC8" w:rsidRPr="003F5DA8" w:rsidRDefault="00512EC8" w:rsidP="00512EC8">
      <w:pPr>
        <w:jc w:val="both"/>
      </w:pPr>
      <w:r w:rsidRPr="003F5DA8">
        <w:t>When targeting feed markets, mycoproteins was assumed to directly supply the CF supply chain, but without any drying. Accordingly, fresh or wet feed markets (e.g. as petfood) are targeted. Accordingly, either when targeting food or feed markets, cooling to 4°C was performed through refrigeration (see</w:t>
      </w:r>
      <w:r w:rsidR="00042BF3">
        <w:t xml:space="preserve"> </w:t>
      </w:r>
      <w:r w:rsidR="00042BF3" w:rsidRPr="00042BF3">
        <w:rPr>
          <w:b/>
        </w:rPr>
        <w:fldChar w:fldCharType="begin"/>
      </w:r>
      <w:r w:rsidR="00042BF3" w:rsidRPr="00042BF3">
        <w:rPr>
          <w:b/>
        </w:rPr>
        <w:instrText xml:space="preserve"> REF _Ref144820206 \h </w:instrText>
      </w:r>
      <w:r w:rsidR="00042BF3">
        <w:rPr>
          <w:b/>
        </w:rPr>
        <w:instrText xml:space="preserve"> \* MERGEFORMAT </w:instrText>
      </w:r>
      <w:r w:rsidR="00042BF3" w:rsidRPr="00042BF3">
        <w:rPr>
          <w:b/>
        </w:rPr>
      </w:r>
      <w:r w:rsidR="00042BF3" w:rsidRPr="00042BF3">
        <w:rPr>
          <w:b/>
        </w:rPr>
        <w:fldChar w:fldCharType="separate"/>
      </w:r>
      <w:r w:rsidR="00F25F8C" w:rsidRPr="00F25F8C">
        <w:rPr>
          <w:b/>
        </w:rPr>
        <w:t xml:space="preserve">Table SI. </w:t>
      </w:r>
      <w:r w:rsidR="00F25F8C" w:rsidRPr="00F25F8C">
        <w:rPr>
          <w:b/>
          <w:noProof/>
        </w:rPr>
        <w:t>53</w:t>
      </w:r>
      <w:r w:rsidR="00042BF3" w:rsidRPr="00042BF3">
        <w:rPr>
          <w:b/>
        </w:rPr>
        <w:fldChar w:fldCharType="end"/>
      </w:r>
      <w:r w:rsidRPr="003F5DA8">
        <w:t>), and all downstream transportation developed with refrigerated lorry (see</w:t>
      </w:r>
      <w:r w:rsidR="00042BF3">
        <w:t xml:space="preserve"> </w:t>
      </w:r>
      <w:r w:rsidR="00042BF3" w:rsidRPr="00042BF3">
        <w:rPr>
          <w:b/>
        </w:rPr>
        <w:fldChar w:fldCharType="begin"/>
      </w:r>
      <w:r w:rsidR="00042BF3" w:rsidRPr="00042BF3">
        <w:rPr>
          <w:b/>
        </w:rPr>
        <w:instrText xml:space="preserve"> REF _Ref144820217 \h </w:instrText>
      </w:r>
      <w:r w:rsidR="00042BF3">
        <w:rPr>
          <w:b/>
        </w:rPr>
        <w:instrText xml:space="preserve"> \* MERGEFORMAT </w:instrText>
      </w:r>
      <w:r w:rsidR="00042BF3" w:rsidRPr="00042BF3">
        <w:rPr>
          <w:b/>
        </w:rPr>
      </w:r>
      <w:r w:rsidR="00042BF3" w:rsidRPr="00042BF3">
        <w:rPr>
          <w:b/>
        </w:rPr>
        <w:fldChar w:fldCharType="separate"/>
      </w:r>
      <w:r w:rsidR="00F25F8C" w:rsidRPr="00F25F8C">
        <w:rPr>
          <w:b/>
        </w:rPr>
        <w:t xml:space="preserve">Table SI. </w:t>
      </w:r>
      <w:r w:rsidR="00F25F8C" w:rsidRPr="00F25F8C">
        <w:rPr>
          <w:b/>
          <w:noProof/>
        </w:rPr>
        <w:t>54</w:t>
      </w:r>
      <w:r w:rsidR="00042BF3" w:rsidRPr="00042BF3">
        <w:rPr>
          <w:b/>
        </w:rPr>
        <w:fldChar w:fldCharType="end"/>
      </w:r>
      <w:r w:rsidRPr="003F5DA8">
        <w:t>).</w:t>
      </w:r>
    </w:p>
    <w:p w14:paraId="06EC1A3C" w14:textId="43EE83D1" w:rsidR="00512EC8" w:rsidRPr="00512EC8" w:rsidRDefault="00512EC8" w:rsidP="00042BF3">
      <w:pPr>
        <w:pStyle w:val="Titre4"/>
      </w:pPr>
      <w:r w:rsidRPr="00512EC8">
        <w:t xml:space="preserve">Mycoproteins production </w:t>
      </w:r>
      <w:r w:rsidR="00042BF3">
        <w:t>heat integration</w:t>
      </w:r>
    </w:p>
    <w:p w14:paraId="2AB719AF" w14:textId="2DD571BB" w:rsidR="00512EC8" w:rsidRPr="003F5DA8" w:rsidRDefault="00042BF3" w:rsidP="00042BF3">
      <w:pPr>
        <w:ind w:firstLine="360"/>
        <w:jc w:val="both"/>
      </w:pPr>
      <w:r>
        <w:t>While the</w:t>
      </w:r>
      <w:r w:rsidR="00512EC8" w:rsidRPr="003F5DA8">
        <w:t xml:space="preserve"> main outcomes of the mycoproteins production </w:t>
      </w:r>
      <w:r>
        <w:t xml:space="preserve">LCI </w:t>
      </w:r>
      <w:r w:rsidR="00512EC8" w:rsidRPr="003F5DA8">
        <w:t>model</w:t>
      </w:r>
      <w:r>
        <w:t xml:space="preserve"> was already discussed and compared with b</w:t>
      </w:r>
      <w:r w:rsidR="00512EC8" w:rsidRPr="003F5DA8">
        <w:t>enchmarked literature</w:t>
      </w:r>
      <w:r>
        <w:t xml:space="preserve"> in the main manuscript, the main hypothesis regarding heat integration are summarized in t</w:t>
      </w:r>
      <w:r w:rsidR="00512EC8" w:rsidRPr="003F5DA8">
        <w:t xml:space="preserve">he </w:t>
      </w:r>
      <w:r w:rsidRPr="00042BF3">
        <w:rPr>
          <w:b/>
        </w:rPr>
        <w:fldChar w:fldCharType="begin"/>
      </w:r>
      <w:r w:rsidRPr="00042BF3">
        <w:rPr>
          <w:b/>
        </w:rPr>
        <w:instrText xml:space="preserve"> REF _Ref144820771 \h </w:instrText>
      </w:r>
      <w:r>
        <w:rPr>
          <w:b/>
        </w:rPr>
        <w:instrText xml:space="preserve"> \* MERGEFORMAT </w:instrText>
      </w:r>
      <w:r w:rsidRPr="00042BF3">
        <w:rPr>
          <w:b/>
        </w:rPr>
      </w:r>
      <w:r w:rsidRPr="00042BF3">
        <w:rPr>
          <w:b/>
        </w:rPr>
        <w:fldChar w:fldCharType="separate"/>
      </w:r>
      <w:r w:rsidR="00F25F8C" w:rsidRPr="00F25F8C">
        <w:rPr>
          <w:b/>
        </w:rPr>
        <w:t xml:space="preserve">Table SI. </w:t>
      </w:r>
      <w:r w:rsidR="00F25F8C" w:rsidRPr="00F25F8C">
        <w:rPr>
          <w:b/>
          <w:noProof/>
        </w:rPr>
        <w:t>52</w:t>
      </w:r>
      <w:r w:rsidRPr="00042BF3">
        <w:rPr>
          <w:b/>
        </w:rPr>
        <w:fldChar w:fldCharType="end"/>
      </w:r>
      <w:r w:rsidR="00512EC8" w:rsidRPr="003F5DA8">
        <w:t>.</w:t>
      </w:r>
    </w:p>
    <w:p w14:paraId="4D6116A8" w14:textId="23101652" w:rsidR="00512EC8" w:rsidRPr="009C2210" w:rsidRDefault="00874128" w:rsidP="006B5342">
      <w:pPr>
        <w:pStyle w:val="Lgende"/>
        <w:jc w:val="left"/>
        <w:rPr>
          <w:b w:val="0"/>
          <w:i/>
        </w:rPr>
      </w:pPr>
      <w:bookmarkStart w:id="231" w:name="_Ref144820771"/>
      <w:bookmarkStart w:id="232" w:name="_Toc134537663"/>
      <w:bookmarkStart w:id="233" w:name="_Toc151967936"/>
      <w:r>
        <w:t>Table SI.</w:t>
      </w:r>
      <w:r w:rsidR="00512EC8">
        <w:t xml:space="preserve"> </w:t>
      </w:r>
      <w:r>
        <w:fldChar w:fldCharType="begin"/>
      </w:r>
      <w:r>
        <w:instrText xml:space="preserve"> SEQ Table_SI. \* ARABIC </w:instrText>
      </w:r>
      <w:r>
        <w:fldChar w:fldCharType="separate"/>
      </w:r>
      <w:r w:rsidR="00F25F8C">
        <w:rPr>
          <w:noProof/>
        </w:rPr>
        <w:t>52</w:t>
      </w:r>
      <w:r>
        <w:fldChar w:fldCharType="end"/>
      </w:r>
      <w:bookmarkEnd w:id="231"/>
      <w:r w:rsidR="00512EC8">
        <w:t xml:space="preserve"> </w:t>
      </w:r>
      <w:r w:rsidR="00512EC8" w:rsidRPr="00B56B39">
        <w:t>– Heat recovery modeling involved in mycoproteins production and post-treatments</w:t>
      </w:r>
      <w:bookmarkEnd w:id="232"/>
      <w:bookmarkEnd w:id="233"/>
    </w:p>
    <w:tbl>
      <w:tblPr>
        <w:tblStyle w:val="Tableausimple2"/>
        <w:tblW w:w="0" w:type="auto"/>
        <w:tblLook w:val="04A0" w:firstRow="1" w:lastRow="0" w:firstColumn="1" w:lastColumn="0" w:noHBand="0" w:noVBand="1"/>
      </w:tblPr>
      <w:tblGrid>
        <w:gridCol w:w="2138"/>
        <w:gridCol w:w="2276"/>
        <w:gridCol w:w="1718"/>
        <w:gridCol w:w="2400"/>
      </w:tblGrid>
      <w:tr w:rsidR="00512EC8" w:rsidRPr="00142FE3" w14:paraId="355F2642"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0AEFAD5" w14:textId="77777777" w:rsidR="00512EC8" w:rsidRPr="00142FE3" w:rsidRDefault="00512EC8" w:rsidP="006D537D">
            <w:pPr>
              <w:rPr>
                <w:sz w:val="18"/>
              </w:rPr>
            </w:pPr>
            <w:r w:rsidRPr="00142FE3">
              <w:rPr>
                <w:sz w:val="18"/>
              </w:rPr>
              <w:t>Unit operation</w:t>
            </w:r>
          </w:p>
        </w:tc>
        <w:tc>
          <w:tcPr>
            <w:tcW w:w="0" w:type="auto"/>
          </w:tcPr>
          <w:p w14:paraId="73D98203" w14:textId="77777777" w:rsidR="00512EC8" w:rsidRPr="00142FE3" w:rsidRDefault="00512EC8" w:rsidP="006D537D">
            <w:pPr>
              <w:cnfStyle w:val="100000000000" w:firstRow="1" w:lastRow="0" w:firstColumn="0" w:lastColumn="0" w:oddVBand="0" w:evenVBand="0" w:oddHBand="0" w:evenHBand="0" w:firstRowFirstColumn="0" w:firstRowLastColumn="0" w:lastRowFirstColumn="0" w:lastRowLastColumn="0"/>
              <w:rPr>
                <w:sz w:val="18"/>
              </w:rPr>
            </w:pPr>
            <w:r w:rsidRPr="00142FE3">
              <w:rPr>
                <w:sz w:val="18"/>
              </w:rPr>
              <w:t>Heat recovery</w:t>
            </w:r>
          </w:p>
        </w:tc>
        <w:tc>
          <w:tcPr>
            <w:tcW w:w="0" w:type="auto"/>
          </w:tcPr>
          <w:p w14:paraId="7A5D959D" w14:textId="77777777" w:rsidR="00512EC8" w:rsidRPr="00142FE3" w:rsidRDefault="00512EC8" w:rsidP="006D537D">
            <w:pPr>
              <w:cnfStyle w:val="100000000000" w:firstRow="1" w:lastRow="0" w:firstColumn="0" w:lastColumn="0" w:oddVBand="0" w:evenVBand="0" w:oddHBand="0" w:evenHBand="0" w:firstRowFirstColumn="0" w:firstRowLastColumn="0" w:lastRowFirstColumn="0" w:lastRowLastColumn="0"/>
              <w:rPr>
                <w:sz w:val="18"/>
              </w:rPr>
            </w:pPr>
            <w:r w:rsidRPr="00142FE3">
              <w:rPr>
                <w:sz w:val="18"/>
              </w:rPr>
              <w:t>Temperatures</w:t>
            </w:r>
          </w:p>
        </w:tc>
        <w:tc>
          <w:tcPr>
            <w:tcW w:w="0" w:type="auto"/>
          </w:tcPr>
          <w:p w14:paraId="734190DB" w14:textId="77777777" w:rsidR="00512EC8" w:rsidRPr="00142FE3" w:rsidRDefault="00512EC8" w:rsidP="006D537D">
            <w:pPr>
              <w:cnfStyle w:val="100000000000" w:firstRow="1" w:lastRow="0" w:firstColumn="0" w:lastColumn="0" w:oddVBand="0" w:evenVBand="0" w:oddHBand="0" w:evenHBand="0" w:firstRowFirstColumn="0" w:firstRowLastColumn="0" w:lastRowFirstColumn="0" w:lastRowLastColumn="0"/>
              <w:rPr>
                <w:sz w:val="18"/>
              </w:rPr>
            </w:pPr>
            <w:r w:rsidRPr="00142FE3">
              <w:rPr>
                <w:sz w:val="18"/>
              </w:rPr>
              <w:t>Modeling</w:t>
            </w:r>
          </w:p>
        </w:tc>
      </w:tr>
      <w:tr w:rsidR="00512EC8" w:rsidRPr="00142FE3" w14:paraId="175BF04A"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E4B7FD4" w14:textId="77777777" w:rsidR="00512EC8" w:rsidRPr="00142FE3" w:rsidRDefault="00512EC8" w:rsidP="006D537D">
            <w:pPr>
              <w:jc w:val="right"/>
              <w:rPr>
                <w:b w:val="0"/>
                <w:sz w:val="18"/>
              </w:rPr>
            </w:pPr>
            <w:r w:rsidRPr="00142FE3">
              <w:rPr>
                <w:b w:val="0"/>
                <w:sz w:val="18"/>
              </w:rPr>
              <w:t>Mycoproteins production</w:t>
            </w:r>
          </w:p>
        </w:tc>
        <w:tc>
          <w:tcPr>
            <w:tcW w:w="0" w:type="auto"/>
          </w:tcPr>
          <w:p w14:paraId="5173B74A" w14:textId="77777777" w:rsidR="00512EC8" w:rsidRPr="00142FE3" w:rsidRDefault="00512EC8" w:rsidP="006D537D">
            <w:pPr>
              <w:cnfStyle w:val="000000100000" w:firstRow="0" w:lastRow="0" w:firstColumn="0" w:lastColumn="0" w:oddVBand="0" w:evenVBand="0" w:oddHBand="1" w:evenHBand="0" w:firstRowFirstColumn="0" w:firstRowLastColumn="0" w:lastRowFirstColumn="0" w:lastRowLastColumn="0"/>
              <w:rPr>
                <w:sz w:val="18"/>
              </w:rPr>
            </w:pPr>
            <w:r w:rsidRPr="00142FE3">
              <w:rPr>
                <w:sz w:val="18"/>
              </w:rPr>
              <w:t>Metabolic heat</w:t>
            </w:r>
          </w:p>
        </w:tc>
        <w:tc>
          <w:tcPr>
            <w:tcW w:w="0" w:type="auto"/>
          </w:tcPr>
          <w:p w14:paraId="5F4B7277" w14:textId="77777777" w:rsidR="00512EC8" w:rsidRPr="00142FE3" w:rsidRDefault="00512EC8" w:rsidP="006D537D">
            <w:pPr>
              <w:cnfStyle w:val="000000100000" w:firstRow="0" w:lastRow="0" w:firstColumn="0" w:lastColumn="0" w:oddVBand="0" w:evenVBand="0" w:oddHBand="1" w:evenHBand="0" w:firstRowFirstColumn="0" w:firstRowLastColumn="0" w:lastRowFirstColumn="0" w:lastRowLastColumn="0"/>
              <w:rPr>
                <w:sz w:val="18"/>
              </w:rPr>
            </w:pPr>
            <w:r w:rsidRPr="00142FE3">
              <w:rPr>
                <w:sz w:val="18"/>
              </w:rPr>
              <w:t>30°C</w:t>
            </w:r>
          </w:p>
        </w:tc>
        <w:tc>
          <w:tcPr>
            <w:tcW w:w="0" w:type="auto"/>
          </w:tcPr>
          <w:p w14:paraId="6C731E3D" w14:textId="77777777" w:rsidR="00512EC8" w:rsidRPr="00142FE3" w:rsidRDefault="00512EC8" w:rsidP="006D537D">
            <w:pPr>
              <w:cnfStyle w:val="000000100000" w:firstRow="0" w:lastRow="0" w:firstColumn="0" w:lastColumn="0" w:oddVBand="0" w:evenVBand="0" w:oddHBand="1" w:evenHBand="0" w:firstRowFirstColumn="0" w:firstRowLastColumn="0" w:lastRowFirstColumn="0" w:lastRowLastColumn="0"/>
              <w:rPr>
                <w:sz w:val="18"/>
              </w:rPr>
            </w:pPr>
            <w:r w:rsidRPr="00142FE3">
              <w:rPr>
                <w:sz w:val="18"/>
              </w:rPr>
              <w:t>LT WHR</w:t>
            </w:r>
          </w:p>
        </w:tc>
      </w:tr>
      <w:tr w:rsidR="00512EC8" w:rsidRPr="00142FE3" w14:paraId="5901BD07"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3D1E108A" w14:textId="77777777" w:rsidR="00512EC8" w:rsidRPr="00142FE3" w:rsidRDefault="00512EC8" w:rsidP="006D537D">
            <w:pPr>
              <w:jc w:val="right"/>
              <w:rPr>
                <w:b w:val="0"/>
                <w:sz w:val="18"/>
              </w:rPr>
            </w:pPr>
            <w:r w:rsidRPr="00142FE3">
              <w:rPr>
                <w:b w:val="0"/>
                <w:sz w:val="18"/>
              </w:rPr>
              <w:t>Sterilization</w:t>
            </w:r>
          </w:p>
        </w:tc>
        <w:tc>
          <w:tcPr>
            <w:tcW w:w="0" w:type="auto"/>
          </w:tcPr>
          <w:p w14:paraId="456D46D0" w14:textId="77777777" w:rsidR="00512EC8" w:rsidRPr="00142FE3" w:rsidRDefault="00512EC8" w:rsidP="006D537D">
            <w:pPr>
              <w:cnfStyle w:val="000000000000" w:firstRow="0" w:lastRow="0" w:firstColumn="0" w:lastColumn="0" w:oddVBand="0" w:evenVBand="0" w:oddHBand="0" w:evenHBand="0" w:firstRowFirstColumn="0" w:firstRowLastColumn="0" w:lastRowFirstColumn="0" w:lastRowLastColumn="0"/>
              <w:rPr>
                <w:sz w:val="18"/>
              </w:rPr>
            </w:pPr>
            <w:r w:rsidRPr="00142FE3">
              <w:rPr>
                <w:sz w:val="18"/>
              </w:rPr>
              <w:t>Medium cooling</w:t>
            </w:r>
          </w:p>
        </w:tc>
        <w:tc>
          <w:tcPr>
            <w:tcW w:w="0" w:type="auto"/>
          </w:tcPr>
          <w:p w14:paraId="0C427ABF" w14:textId="77777777" w:rsidR="00512EC8" w:rsidRPr="00142FE3" w:rsidRDefault="00512EC8" w:rsidP="006D537D">
            <w:pPr>
              <w:cnfStyle w:val="000000000000" w:firstRow="0" w:lastRow="0" w:firstColumn="0" w:lastColumn="0" w:oddVBand="0" w:evenVBand="0" w:oddHBand="0" w:evenHBand="0" w:firstRowFirstColumn="0" w:firstRowLastColumn="0" w:lastRowFirstColumn="0" w:lastRowLastColumn="0"/>
              <w:rPr>
                <w:sz w:val="18"/>
              </w:rPr>
            </w:pPr>
            <w:r w:rsidRPr="00142FE3">
              <w:rPr>
                <w:sz w:val="18"/>
              </w:rPr>
              <w:t>66°C to 30°C</w:t>
            </w:r>
          </w:p>
        </w:tc>
        <w:tc>
          <w:tcPr>
            <w:tcW w:w="0" w:type="auto"/>
          </w:tcPr>
          <w:p w14:paraId="6D6BBB6A" w14:textId="77777777" w:rsidR="00512EC8" w:rsidRPr="00142FE3" w:rsidRDefault="00512EC8" w:rsidP="006D537D">
            <w:pPr>
              <w:cnfStyle w:val="000000000000" w:firstRow="0" w:lastRow="0" w:firstColumn="0" w:lastColumn="0" w:oddVBand="0" w:evenVBand="0" w:oddHBand="0" w:evenHBand="0" w:firstRowFirstColumn="0" w:firstRowLastColumn="0" w:lastRowFirstColumn="0" w:lastRowLastColumn="0"/>
              <w:rPr>
                <w:sz w:val="18"/>
              </w:rPr>
            </w:pPr>
            <w:r w:rsidRPr="00142FE3">
              <w:rPr>
                <w:sz w:val="18"/>
              </w:rPr>
              <w:t>LT WHR (after heat exchange)</w:t>
            </w:r>
          </w:p>
        </w:tc>
      </w:tr>
      <w:tr w:rsidR="00512EC8" w:rsidRPr="00142FE3" w14:paraId="522177B0"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2BDA88F" w14:textId="77777777" w:rsidR="00512EC8" w:rsidRPr="00142FE3" w:rsidRDefault="00512EC8" w:rsidP="006D537D">
            <w:pPr>
              <w:jc w:val="right"/>
              <w:rPr>
                <w:b w:val="0"/>
                <w:sz w:val="18"/>
              </w:rPr>
            </w:pPr>
            <w:r w:rsidRPr="00142FE3">
              <w:rPr>
                <w:b w:val="0"/>
                <w:sz w:val="18"/>
              </w:rPr>
              <w:t>Centrifuge (starch variant)</w:t>
            </w:r>
          </w:p>
        </w:tc>
        <w:tc>
          <w:tcPr>
            <w:tcW w:w="0" w:type="auto"/>
          </w:tcPr>
          <w:p w14:paraId="30F848D2" w14:textId="77777777" w:rsidR="00512EC8" w:rsidRPr="00142FE3" w:rsidRDefault="00512EC8" w:rsidP="006D537D">
            <w:pPr>
              <w:cnfStyle w:val="000000100000" w:firstRow="0" w:lastRow="0" w:firstColumn="0" w:lastColumn="0" w:oddVBand="0" w:evenVBand="0" w:oddHBand="1" w:evenHBand="0" w:firstRowFirstColumn="0" w:firstRowLastColumn="0" w:lastRowFirstColumn="0" w:lastRowLastColumn="0"/>
              <w:rPr>
                <w:sz w:val="18"/>
              </w:rPr>
            </w:pPr>
            <w:r w:rsidRPr="00142FE3">
              <w:rPr>
                <w:sz w:val="18"/>
              </w:rPr>
              <w:t>Wastewater cooling</w:t>
            </w:r>
          </w:p>
        </w:tc>
        <w:tc>
          <w:tcPr>
            <w:tcW w:w="0" w:type="auto"/>
          </w:tcPr>
          <w:p w14:paraId="400E7615" w14:textId="77777777" w:rsidR="00512EC8" w:rsidRPr="00142FE3" w:rsidRDefault="00512EC8" w:rsidP="006D537D">
            <w:pPr>
              <w:cnfStyle w:val="000000100000" w:firstRow="0" w:lastRow="0" w:firstColumn="0" w:lastColumn="0" w:oddVBand="0" w:evenVBand="0" w:oddHBand="1" w:evenHBand="0" w:firstRowFirstColumn="0" w:firstRowLastColumn="0" w:lastRowFirstColumn="0" w:lastRowLastColumn="0"/>
              <w:rPr>
                <w:sz w:val="18"/>
              </w:rPr>
            </w:pPr>
            <w:r w:rsidRPr="00142FE3">
              <w:rPr>
                <w:sz w:val="18"/>
              </w:rPr>
              <w:t>72°C to 30°C</w:t>
            </w:r>
          </w:p>
        </w:tc>
        <w:tc>
          <w:tcPr>
            <w:tcW w:w="0" w:type="auto"/>
          </w:tcPr>
          <w:p w14:paraId="05D4DCA6" w14:textId="77777777" w:rsidR="00512EC8" w:rsidRPr="00142FE3" w:rsidRDefault="00512EC8" w:rsidP="006D537D">
            <w:pPr>
              <w:cnfStyle w:val="000000100000" w:firstRow="0" w:lastRow="0" w:firstColumn="0" w:lastColumn="0" w:oddVBand="0" w:evenVBand="0" w:oddHBand="1" w:evenHBand="0" w:firstRowFirstColumn="0" w:firstRowLastColumn="0" w:lastRowFirstColumn="0" w:lastRowLastColumn="0"/>
              <w:rPr>
                <w:sz w:val="18"/>
              </w:rPr>
            </w:pPr>
            <w:r w:rsidRPr="00142FE3">
              <w:rPr>
                <w:sz w:val="18"/>
              </w:rPr>
              <w:t>LT WHR (after heat exchange)</w:t>
            </w:r>
          </w:p>
        </w:tc>
      </w:tr>
      <w:tr w:rsidR="00512EC8" w:rsidRPr="00142FE3" w14:paraId="793C3D20"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68F97B4B" w14:textId="20C504A6" w:rsidR="00512EC8" w:rsidRPr="00142FE3" w:rsidRDefault="00512EC8" w:rsidP="006D537D">
            <w:pPr>
              <w:rPr>
                <w:b w:val="0"/>
                <w:i/>
                <w:sz w:val="18"/>
              </w:rPr>
            </w:pPr>
          </w:p>
        </w:tc>
        <w:tc>
          <w:tcPr>
            <w:tcW w:w="0" w:type="auto"/>
            <w:gridSpan w:val="2"/>
          </w:tcPr>
          <w:p w14:paraId="45FBDCB7" w14:textId="77777777" w:rsidR="00512EC8" w:rsidRPr="00142FE3" w:rsidRDefault="00512EC8" w:rsidP="006D537D">
            <w:pPr>
              <w:cnfStyle w:val="000000000000" w:firstRow="0" w:lastRow="0" w:firstColumn="0" w:lastColumn="0" w:oddVBand="0" w:evenVBand="0" w:oddHBand="0" w:evenHBand="0" w:firstRowFirstColumn="0" w:firstRowLastColumn="0" w:lastRowFirstColumn="0" w:lastRowLastColumn="0"/>
              <w:rPr>
                <w:i/>
                <w:sz w:val="18"/>
              </w:rPr>
            </w:pPr>
            <w:r w:rsidRPr="00142FE3">
              <w:rPr>
                <w:i/>
                <w:sz w:val="18"/>
              </w:rPr>
              <w:t>Only processes linked with mycoproteins production</w:t>
            </w:r>
          </w:p>
        </w:tc>
        <w:tc>
          <w:tcPr>
            <w:tcW w:w="0" w:type="auto"/>
          </w:tcPr>
          <w:p w14:paraId="6A4F249B" w14:textId="75CF3DF8" w:rsidR="00512EC8" w:rsidRPr="00142FE3" w:rsidRDefault="00512EC8" w:rsidP="006D537D">
            <w:pPr>
              <w:cnfStyle w:val="000000000000" w:firstRow="0" w:lastRow="0" w:firstColumn="0" w:lastColumn="0" w:oddVBand="0" w:evenVBand="0" w:oddHBand="0" w:evenHBand="0" w:firstRowFirstColumn="0" w:firstRowLastColumn="0" w:lastRowFirstColumn="0" w:lastRowLastColumn="0"/>
              <w:rPr>
                <w:i/>
                <w:sz w:val="18"/>
              </w:rPr>
            </w:pPr>
            <w:r w:rsidRPr="00142FE3">
              <w:rPr>
                <w:i/>
                <w:sz w:val="18"/>
              </w:rPr>
              <w:t xml:space="preserve">See </w:t>
            </w:r>
            <w:r w:rsidRPr="00142FE3">
              <w:rPr>
                <w:b/>
                <w:i/>
                <w:sz w:val="18"/>
              </w:rPr>
              <w:t xml:space="preserve">section </w:t>
            </w:r>
            <w:r w:rsidR="000C6C37">
              <w:rPr>
                <w:b/>
                <w:i/>
                <w:sz w:val="18"/>
              </w:rPr>
              <w:t xml:space="preserve">SI. </w:t>
            </w:r>
            <w:r w:rsidR="00042BF3" w:rsidRPr="00142FE3">
              <w:rPr>
                <w:b/>
                <w:i/>
                <w:sz w:val="18"/>
              </w:rPr>
              <w:fldChar w:fldCharType="begin"/>
            </w:r>
            <w:r w:rsidR="00042BF3" w:rsidRPr="00142FE3">
              <w:rPr>
                <w:b/>
                <w:i/>
                <w:sz w:val="18"/>
              </w:rPr>
              <w:instrText xml:space="preserve"> REF _Ref144802667 \r \h </w:instrText>
            </w:r>
            <w:r w:rsidR="00142FE3" w:rsidRPr="00142FE3">
              <w:rPr>
                <w:b/>
                <w:i/>
                <w:sz w:val="18"/>
              </w:rPr>
              <w:instrText xml:space="preserve"> \* MERGEFORMAT </w:instrText>
            </w:r>
            <w:r w:rsidR="00042BF3" w:rsidRPr="00142FE3">
              <w:rPr>
                <w:b/>
                <w:i/>
                <w:sz w:val="18"/>
              </w:rPr>
            </w:r>
            <w:r w:rsidR="00042BF3" w:rsidRPr="00142FE3">
              <w:rPr>
                <w:b/>
                <w:i/>
                <w:sz w:val="18"/>
              </w:rPr>
              <w:fldChar w:fldCharType="separate"/>
            </w:r>
            <w:r w:rsidR="00F25F8C" w:rsidRPr="00142FE3">
              <w:rPr>
                <w:b/>
                <w:i/>
                <w:sz w:val="18"/>
              </w:rPr>
              <w:t>4.1</w:t>
            </w:r>
            <w:r w:rsidR="00042BF3" w:rsidRPr="00142FE3">
              <w:rPr>
                <w:b/>
                <w:i/>
                <w:sz w:val="18"/>
              </w:rPr>
              <w:fldChar w:fldCharType="end"/>
            </w:r>
          </w:p>
        </w:tc>
      </w:tr>
    </w:tbl>
    <w:p w14:paraId="1701E745" w14:textId="77777777" w:rsidR="00512EC8" w:rsidRPr="003F5DA8" w:rsidRDefault="00512EC8" w:rsidP="00512EC8">
      <w:pPr>
        <w:jc w:val="both"/>
        <w:rPr>
          <w:highlight w:val="yellow"/>
        </w:rPr>
      </w:pPr>
    </w:p>
    <w:p w14:paraId="620FFC3B" w14:textId="395E627A" w:rsidR="008031AE" w:rsidRPr="008031AE" w:rsidRDefault="008031AE" w:rsidP="00042BF3">
      <w:pPr>
        <w:pStyle w:val="Titre3"/>
      </w:pPr>
      <w:bookmarkStart w:id="234" w:name="_Toc145069123"/>
      <w:r w:rsidRPr="008031AE">
        <w:t>Technology parameters and background processes</w:t>
      </w:r>
      <w:r w:rsidR="00042BF3">
        <w:t xml:space="preserve"> </w:t>
      </w:r>
      <w:r w:rsidR="00042BF3" w:rsidRPr="00512EC8">
        <w:t>– Mycoproteins production</w:t>
      </w:r>
      <w:r w:rsidR="00042BF3">
        <w:t xml:space="preserve"> stage</w:t>
      </w:r>
      <w:bookmarkEnd w:id="234"/>
    </w:p>
    <w:p w14:paraId="1A4C485D" w14:textId="6C0CCD00" w:rsidR="00142FE3" w:rsidRDefault="008031AE" w:rsidP="008031AE">
      <w:pPr>
        <w:jc w:val="both"/>
      </w:pPr>
      <w:r w:rsidRPr="003F5DA8">
        <w:t>The technology parameters retained for mycoproteins production pathways modeling (excluding pretreatment operations, already detailed earlier), are displayed in the</w:t>
      </w:r>
      <w:r w:rsidR="00042BF3">
        <w:t xml:space="preserve"> </w:t>
      </w:r>
      <w:r w:rsidR="00042BF3" w:rsidRPr="00042BF3">
        <w:rPr>
          <w:b/>
        </w:rPr>
        <w:fldChar w:fldCharType="begin"/>
      </w:r>
      <w:r w:rsidR="00042BF3" w:rsidRPr="00042BF3">
        <w:rPr>
          <w:b/>
        </w:rPr>
        <w:instrText xml:space="preserve"> REF _Ref144820206 \h </w:instrText>
      </w:r>
      <w:r w:rsidR="00042BF3">
        <w:rPr>
          <w:b/>
        </w:rPr>
        <w:instrText xml:space="preserve"> \* MERGEFORMAT </w:instrText>
      </w:r>
      <w:r w:rsidR="00042BF3" w:rsidRPr="00042BF3">
        <w:rPr>
          <w:b/>
        </w:rPr>
      </w:r>
      <w:r w:rsidR="00042BF3" w:rsidRPr="00042BF3">
        <w:rPr>
          <w:b/>
        </w:rPr>
        <w:fldChar w:fldCharType="separate"/>
      </w:r>
      <w:r w:rsidR="00F25F8C" w:rsidRPr="00F25F8C">
        <w:rPr>
          <w:b/>
        </w:rPr>
        <w:t xml:space="preserve">Table SI. </w:t>
      </w:r>
      <w:r w:rsidR="00F25F8C" w:rsidRPr="00F25F8C">
        <w:rPr>
          <w:b/>
          <w:noProof/>
        </w:rPr>
        <w:t>53</w:t>
      </w:r>
      <w:r w:rsidR="00042BF3" w:rsidRPr="00042BF3">
        <w:rPr>
          <w:b/>
        </w:rPr>
        <w:fldChar w:fldCharType="end"/>
      </w:r>
      <w:r w:rsidRPr="003F5DA8">
        <w:t>.</w:t>
      </w:r>
    </w:p>
    <w:p w14:paraId="42216186" w14:textId="77777777" w:rsidR="00142FE3" w:rsidRDefault="00142FE3">
      <w:r>
        <w:br w:type="page"/>
      </w:r>
    </w:p>
    <w:p w14:paraId="7B80E4F5" w14:textId="59EA4982" w:rsidR="008031AE" w:rsidRPr="009C2210" w:rsidRDefault="00874128" w:rsidP="006B5342">
      <w:pPr>
        <w:pStyle w:val="Lgende"/>
        <w:jc w:val="left"/>
        <w:rPr>
          <w:b w:val="0"/>
          <w:i/>
        </w:rPr>
      </w:pPr>
      <w:bookmarkStart w:id="235" w:name="_Ref144820206"/>
      <w:bookmarkStart w:id="236" w:name="_Toc134537665"/>
      <w:bookmarkStart w:id="237" w:name="_Toc151967937"/>
      <w:r>
        <w:lastRenderedPageBreak/>
        <w:t>Table SI.</w:t>
      </w:r>
      <w:r w:rsidR="008031AE">
        <w:t xml:space="preserve"> </w:t>
      </w:r>
      <w:r>
        <w:fldChar w:fldCharType="begin"/>
      </w:r>
      <w:r>
        <w:instrText xml:space="preserve"> SEQ Table_SI. \* ARABIC </w:instrText>
      </w:r>
      <w:r>
        <w:fldChar w:fldCharType="separate"/>
      </w:r>
      <w:r w:rsidR="00F25F8C">
        <w:rPr>
          <w:noProof/>
        </w:rPr>
        <w:t>53</w:t>
      </w:r>
      <w:r>
        <w:fldChar w:fldCharType="end"/>
      </w:r>
      <w:bookmarkEnd w:id="235"/>
      <w:r w:rsidR="008031AE">
        <w:t xml:space="preserve"> </w:t>
      </w:r>
      <w:r w:rsidR="008031AE" w:rsidRPr="00B56B39">
        <w:t>– Parameters specific to mycoproteins production stage and downstream operations</w:t>
      </w:r>
      <w:bookmarkEnd w:id="236"/>
      <w:bookmarkEnd w:id="237"/>
    </w:p>
    <w:tbl>
      <w:tblPr>
        <w:tblStyle w:val="Tableausimple2"/>
        <w:tblW w:w="0" w:type="auto"/>
        <w:tblLook w:val="04A0" w:firstRow="1" w:lastRow="0" w:firstColumn="1" w:lastColumn="0" w:noHBand="0" w:noVBand="1"/>
      </w:tblPr>
      <w:tblGrid>
        <w:gridCol w:w="492"/>
        <w:gridCol w:w="2478"/>
        <w:gridCol w:w="994"/>
        <w:gridCol w:w="853"/>
        <w:gridCol w:w="994"/>
        <w:gridCol w:w="3253"/>
      </w:tblGrid>
      <w:tr w:rsidR="008031AE" w:rsidRPr="00142FE3" w14:paraId="5F67E479"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ADC8EA8" w14:textId="77777777" w:rsidR="008031AE" w:rsidRPr="00142FE3" w:rsidRDefault="008031AE" w:rsidP="006D537D">
            <w:pPr>
              <w:rPr>
                <w:sz w:val="18"/>
                <w:szCs w:val="18"/>
              </w:rPr>
            </w:pPr>
            <w:r w:rsidRPr="00142FE3">
              <w:rPr>
                <w:sz w:val="18"/>
                <w:szCs w:val="18"/>
              </w:rPr>
              <w:t>n°</w:t>
            </w:r>
          </w:p>
        </w:tc>
        <w:tc>
          <w:tcPr>
            <w:tcW w:w="2472" w:type="dxa"/>
          </w:tcPr>
          <w:p w14:paraId="1A597C0E" w14:textId="77777777" w:rsidR="008031AE" w:rsidRPr="00142FE3" w:rsidRDefault="008031AE" w:rsidP="006D537D">
            <w:pPr>
              <w:jc w:val="right"/>
              <w:cnfStyle w:val="100000000000" w:firstRow="1" w:lastRow="0" w:firstColumn="0" w:lastColumn="0" w:oddVBand="0" w:evenVBand="0" w:oddHBand="0" w:evenHBand="0" w:firstRowFirstColumn="0" w:firstRowLastColumn="0" w:lastRowFirstColumn="0" w:lastRowLastColumn="0"/>
              <w:rPr>
                <w:sz w:val="18"/>
                <w:szCs w:val="18"/>
              </w:rPr>
            </w:pPr>
            <w:r w:rsidRPr="00142FE3">
              <w:rPr>
                <w:sz w:val="18"/>
                <w:szCs w:val="18"/>
              </w:rPr>
              <w:t>Parameter</w:t>
            </w:r>
          </w:p>
        </w:tc>
        <w:tc>
          <w:tcPr>
            <w:tcW w:w="992" w:type="dxa"/>
          </w:tcPr>
          <w:p w14:paraId="75F8E153" w14:textId="77777777" w:rsidR="008031AE" w:rsidRPr="00142FE3" w:rsidRDefault="008031AE" w:rsidP="006D537D">
            <w:pPr>
              <w:cnfStyle w:val="100000000000" w:firstRow="1" w:lastRow="0" w:firstColumn="0" w:lastColumn="0" w:oddVBand="0" w:evenVBand="0" w:oddHBand="0" w:evenHBand="0" w:firstRowFirstColumn="0" w:firstRowLastColumn="0" w:lastRowFirstColumn="0" w:lastRowLastColumn="0"/>
              <w:rPr>
                <w:sz w:val="18"/>
                <w:szCs w:val="18"/>
              </w:rPr>
            </w:pPr>
            <w:r w:rsidRPr="00142FE3">
              <w:rPr>
                <w:sz w:val="18"/>
                <w:szCs w:val="18"/>
              </w:rPr>
              <w:t>Unit</w:t>
            </w:r>
          </w:p>
        </w:tc>
        <w:tc>
          <w:tcPr>
            <w:tcW w:w="851" w:type="dxa"/>
          </w:tcPr>
          <w:p w14:paraId="67E92EDA" w14:textId="77777777" w:rsidR="008031AE" w:rsidRPr="00142FE3" w:rsidRDefault="008031AE" w:rsidP="006D537D">
            <w:pPr>
              <w:cnfStyle w:val="100000000000" w:firstRow="1" w:lastRow="0" w:firstColumn="0" w:lastColumn="0" w:oddVBand="0" w:evenVBand="0" w:oddHBand="0" w:evenHBand="0" w:firstRowFirstColumn="0" w:firstRowLastColumn="0" w:lastRowFirstColumn="0" w:lastRowLastColumn="0"/>
              <w:rPr>
                <w:sz w:val="18"/>
                <w:szCs w:val="18"/>
              </w:rPr>
            </w:pPr>
            <w:r w:rsidRPr="00142FE3">
              <w:rPr>
                <w:sz w:val="18"/>
                <w:szCs w:val="18"/>
              </w:rPr>
              <w:t>Baseline value</w:t>
            </w:r>
          </w:p>
        </w:tc>
        <w:tc>
          <w:tcPr>
            <w:tcW w:w="992" w:type="dxa"/>
          </w:tcPr>
          <w:p w14:paraId="77B74B37" w14:textId="77777777" w:rsidR="008031AE" w:rsidRPr="00142FE3" w:rsidRDefault="008031AE" w:rsidP="006D537D">
            <w:pPr>
              <w:cnfStyle w:val="100000000000" w:firstRow="1" w:lastRow="0" w:firstColumn="0" w:lastColumn="0" w:oddVBand="0" w:evenVBand="0" w:oddHBand="0" w:evenHBand="0" w:firstRowFirstColumn="0" w:firstRowLastColumn="0" w:lastRowFirstColumn="0" w:lastRowLastColumn="0"/>
              <w:rPr>
                <w:sz w:val="18"/>
                <w:szCs w:val="18"/>
              </w:rPr>
            </w:pPr>
            <w:r w:rsidRPr="00142FE3">
              <w:rPr>
                <w:sz w:val="18"/>
                <w:szCs w:val="18"/>
              </w:rPr>
              <w:t>Variation range</w:t>
            </w:r>
          </w:p>
        </w:tc>
        <w:tc>
          <w:tcPr>
            <w:tcW w:w="3245" w:type="dxa"/>
          </w:tcPr>
          <w:p w14:paraId="4DCD7E02" w14:textId="77777777" w:rsidR="008031AE" w:rsidRPr="00142FE3" w:rsidRDefault="008031AE" w:rsidP="006D537D">
            <w:pPr>
              <w:cnfStyle w:val="100000000000" w:firstRow="1" w:lastRow="0" w:firstColumn="0" w:lastColumn="0" w:oddVBand="0" w:evenVBand="0" w:oddHBand="0" w:evenHBand="0" w:firstRowFirstColumn="0" w:firstRowLastColumn="0" w:lastRowFirstColumn="0" w:lastRowLastColumn="0"/>
              <w:rPr>
                <w:i/>
                <w:sz w:val="18"/>
                <w:szCs w:val="18"/>
              </w:rPr>
            </w:pPr>
            <w:r w:rsidRPr="00142FE3">
              <w:rPr>
                <w:i/>
                <w:sz w:val="18"/>
                <w:szCs w:val="18"/>
              </w:rPr>
              <w:t>Comment</w:t>
            </w:r>
          </w:p>
        </w:tc>
      </w:tr>
      <w:tr w:rsidR="008031AE" w:rsidRPr="00142FE3" w14:paraId="478EAB88"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6"/>
          </w:tcPr>
          <w:p w14:paraId="2FB4D651" w14:textId="6933FE68" w:rsidR="008031AE" w:rsidRPr="00142FE3" w:rsidRDefault="008031AE" w:rsidP="006D537D">
            <w:pPr>
              <w:rPr>
                <w:b w:val="0"/>
                <w:sz w:val="18"/>
                <w:szCs w:val="18"/>
              </w:rPr>
            </w:pPr>
            <w:r w:rsidRPr="00142FE3">
              <w:rPr>
                <w:b w:val="0"/>
                <w:i/>
                <w:sz w:val="18"/>
                <w:szCs w:val="18"/>
              </w:rPr>
              <w:t xml:space="preserve">Parameters linked to lignocellulosic pretreatment are available in </w:t>
            </w:r>
            <w:r w:rsidR="00042BF3" w:rsidRPr="00142FE3">
              <w:rPr>
                <w:i/>
                <w:sz w:val="18"/>
                <w:szCs w:val="18"/>
              </w:rPr>
              <w:fldChar w:fldCharType="begin"/>
            </w:r>
            <w:r w:rsidR="00042BF3" w:rsidRPr="00142FE3">
              <w:rPr>
                <w:b w:val="0"/>
                <w:i/>
                <w:sz w:val="18"/>
                <w:szCs w:val="18"/>
              </w:rPr>
              <w:instrText xml:space="preserve"> REF _Ref144808243 \h </w:instrText>
            </w:r>
            <w:r w:rsidR="00042BF3" w:rsidRPr="00142FE3">
              <w:rPr>
                <w:i/>
                <w:sz w:val="18"/>
                <w:szCs w:val="18"/>
              </w:rPr>
              <w:instrText xml:space="preserve"> \* MERGEFORMAT </w:instrText>
            </w:r>
            <w:r w:rsidR="00042BF3" w:rsidRPr="00142FE3">
              <w:rPr>
                <w:i/>
                <w:sz w:val="18"/>
                <w:szCs w:val="18"/>
              </w:rPr>
            </w:r>
            <w:r w:rsidR="00042BF3" w:rsidRPr="00142FE3">
              <w:rPr>
                <w:i/>
                <w:sz w:val="18"/>
                <w:szCs w:val="18"/>
              </w:rPr>
              <w:fldChar w:fldCharType="separate"/>
            </w:r>
            <w:r w:rsidR="00F25F8C" w:rsidRPr="00142FE3">
              <w:rPr>
                <w:i/>
                <w:sz w:val="18"/>
                <w:szCs w:val="18"/>
              </w:rPr>
              <w:t xml:space="preserve">Table SI. </w:t>
            </w:r>
            <w:r w:rsidR="00F25F8C" w:rsidRPr="00142FE3">
              <w:rPr>
                <w:i/>
                <w:noProof/>
                <w:sz w:val="18"/>
                <w:szCs w:val="18"/>
              </w:rPr>
              <w:t>46</w:t>
            </w:r>
            <w:r w:rsidR="00042BF3" w:rsidRPr="00142FE3">
              <w:rPr>
                <w:i/>
                <w:sz w:val="18"/>
                <w:szCs w:val="18"/>
              </w:rPr>
              <w:fldChar w:fldCharType="end"/>
            </w:r>
            <w:r w:rsidR="00042BF3" w:rsidRPr="00142FE3">
              <w:rPr>
                <w:i/>
                <w:sz w:val="18"/>
                <w:szCs w:val="18"/>
              </w:rPr>
              <w:t xml:space="preserve"> </w:t>
            </w:r>
            <w:r w:rsidRPr="00142FE3">
              <w:rPr>
                <w:b w:val="0"/>
                <w:i/>
                <w:sz w:val="18"/>
                <w:szCs w:val="18"/>
              </w:rPr>
              <w:t>and for starch pretreatment in</w:t>
            </w:r>
            <w:r w:rsidR="00042BF3" w:rsidRPr="00142FE3">
              <w:rPr>
                <w:i/>
                <w:sz w:val="18"/>
                <w:szCs w:val="18"/>
              </w:rPr>
              <w:t xml:space="preserve"> </w:t>
            </w:r>
            <w:r w:rsidR="00042BF3" w:rsidRPr="00142FE3">
              <w:rPr>
                <w:i/>
                <w:sz w:val="18"/>
                <w:szCs w:val="18"/>
              </w:rPr>
              <w:fldChar w:fldCharType="begin"/>
            </w:r>
            <w:r w:rsidR="00042BF3" w:rsidRPr="00142FE3">
              <w:rPr>
                <w:i/>
                <w:sz w:val="18"/>
                <w:szCs w:val="18"/>
              </w:rPr>
              <w:instrText xml:space="preserve"> REF _Ref144819435 \h  \* MERGEFORMAT </w:instrText>
            </w:r>
            <w:r w:rsidR="00042BF3" w:rsidRPr="00142FE3">
              <w:rPr>
                <w:i/>
                <w:sz w:val="18"/>
                <w:szCs w:val="18"/>
              </w:rPr>
            </w:r>
            <w:r w:rsidR="00042BF3" w:rsidRPr="00142FE3">
              <w:rPr>
                <w:i/>
                <w:sz w:val="18"/>
                <w:szCs w:val="18"/>
              </w:rPr>
              <w:fldChar w:fldCharType="separate"/>
            </w:r>
            <w:r w:rsidR="00F25F8C" w:rsidRPr="00142FE3">
              <w:rPr>
                <w:i/>
                <w:sz w:val="18"/>
                <w:szCs w:val="18"/>
              </w:rPr>
              <w:t xml:space="preserve">Table SI. </w:t>
            </w:r>
            <w:r w:rsidR="00F25F8C" w:rsidRPr="00142FE3">
              <w:rPr>
                <w:i/>
                <w:noProof/>
                <w:sz w:val="18"/>
                <w:szCs w:val="18"/>
              </w:rPr>
              <w:t>48</w:t>
            </w:r>
            <w:r w:rsidR="00042BF3" w:rsidRPr="00142FE3">
              <w:rPr>
                <w:i/>
                <w:sz w:val="18"/>
                <w:szCs w:val="18"/>
              </w:rPr>
              <w:fldChar w:fldCharType="end"/>
            </w:r>
            <w:r w:rsidRPr="00142FE3">
              <w:rPr>
                <w:b w:val="0"/>
                <w:sz w:val="18"/>
                <w:szCs w:val="18"/>
              </w:rPr>
              <w:t>.</w:t>
            </w:r>
          </w:p>
        </w:tc>
      </w:tr>
      <w:tr w:rsidR="008031AE" w:rsidRPr="00142FE3" w14:paraId="3E320C48"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47574C89" w14:textId="77777777" w:rsidR="008031AE" w:rsidRPr="00142FE3" w:rsidRDefault="008031AE" w:rsidP="006D537D">
            <w:pPr>
              <w:rPr>
                <w:sz w:val="18"/>
                <w:szCs w:val="18"/>
              </w:rPr>
            </w:pPr>
            <w:r w:rsidRPr="00142FE3">
              <w:rPr>
                <w:sz w:val="18"/>
                <w:szCs w:val="18"/>
              </w:rPr>
              <w:t>111</w:t>
            </w:r>
          </w:p>
        </w:tc>
        <w:tc>
          <w:tcPr>
            <w:tcW w:w="2472" w:type="dxa"/>
          </w:tcPr>
          <w:p w14:paraId="7B1FEC39" w14:textId="77777777" w:rsidR="008031AE" w:rsidRPr="00142FE3" w:rsidRDefault="008031AE" w:rsidP="006D537D">
            <w:pPr>
              <w:jc w:val="right"/>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Sugars use efficiency</w:t>
            </w:r>
          </w:p>
        </w:tc>
        <w:tc>
          <w:tcPr>
            <w:tcW w:w="992" w:type="dxa"/>
          </w:tcPr>
          <w:p w14:paraId="12B6395A" w14:textId="77777777" w:rsidR="008031AE" w:rsidRPr="00142FE3"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w:t>
            </w:r>
            <w:r w:rsidRPr="00142FE3">
              <w:rPr>
                <w:sz w:val="18"/>
                <w:szCs w:val="18"/>
                <w:vertAlign w:val="subscript"/>
              </w:rPr>
              <w:t>in</w:t>
            </w:r>
          </w:p>
        </w:tc>
        <w:tc>
          <w:tcPr>
            <w:tcW w:w="851" w:type="dxa"/>
          </w:tcPr>
          <w:p w14:paraId="73C2E1DF" w14:textId="77777777" w:rsidR="008031AE" w:rsidRPr="00142FE3"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95%</w:t>
            </w:r>
          </w:p>
        </w:tc>
        <w:tc>
          <w:tcPr>
            <w:tcW w:w="992" w:type="dxa"/>
          </w:tcPr>
          <w:p w14:paraId="16602059" w14:textId="77777777" w:rsidR="008031AE" w:rsidRPr="00142FE3"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90-99%</w:t>
            </w:r>
          </w:p>
        </w:tc>
        <w:tc>
          <w:tcPr>
            <w:tcW w:w="3245" w:type="dxa"/>
          </w:tcPr>
          <w:p w14:paraId="00C5C563" w14:textId="1D8D1C4D" w:rsidR="008031AE" w:rsidRPr="00142FE3" w:rsidRDefault="008031AE" w:rsidP="006D537D">
            <w:pPr>
              <w:jc w:val="both"/>
              <w:cnfStyle w:val="000000000000" w:firstRow="0" w:lastRow="0" w:firstColumn="0" w:lastColumn="0" w:oddVBand="0" w:evenVBand="0" w:oddHBand="0" w:evenHBand="0" w:firstRowFirstColumn="0" w:firstRowLastColumn="0" w:lastRowFirstColumn="0" w:lastRowLastColumn="0"/>
              <w:rPr>
                <w:i/>
                <w:sz w:val="18"/>
                <w:szCs w:val="18"/>
              </w:rPr>
            </w:pPr>
            <w:r w:rsidRPr="00142FE3">
              <w:rPr>
                <w:i/>
                <w:sz w:val="18"/>
                <w:szCs w:val="18"/>
              </w:rPr>
              <w:t>In between ideal value</w:t>
            </w:r>
            <w:r w:rsidRPr="00142FE3">
              <w:rPr>
                <w:i/>
                <w:sz w:val="18"/>
                <w:szCs w:val="18"/>
              </w:rPr>
              <w:fldChar w:fldCharType="begin"/>
            </w:r>
            <w:r w:rsidR="005413B4">
              <w:rPr>
                <w:i/>
                <w:sz w:val="18"/>
                <w:szCs w:val="18"/>
              </w:rPr>
              <w:instrText xml:space="preserve"> ADDIN ZOTERO_ITEM CSL_CITATION {"citationID":"bHR4QHtg","properties":{"formattedCitation":"\\super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Pr="00142FE3">
              <w:rPr>
                <w:i/>
                <w:sz w:val="18"/>
                <w:szCs w:val="18"/>
              </w:rPr>
              <w:fldChar w:fldCharType="separate"/>
            </w:r>
            <w:r w:rsidR="005413B4" w:rsidRPr="005413B4">
              <w:rPr>
                <w:rFonts w:ascii="Calibri" w:hAnsi="Calibri" w:cs="Calibri"/>
                <w:sz w:val="18"/>
                <w:szCs w:val="24"/>
                <w:vertAlign w:val="superscript"/>
              </w:rPr>
              <w:t>131</w:t>
            </w:r>
            <w:r w:rsidRPr="00142FE3">
              <w:rPr>
                <w:i/>
                <w:sz w:val="18"/>
                <w:szCs w:val="18"/>
              </w:rPr>
              <w:fldChar w:fldCharType="end"/>
            </w:r>
            <w:r w:rsidRPr="00142FE3">
              <w:rPr>
                <w:i/>
                <w:sz w:val="18"/>
                <w:szCs w:val="18"/>
              </w:rPr>
              <w:t xml:space="preserve"> and currently achieved</w:t>
            </w:r>
            <w:r w:rsidRPr="00142FE3">
              <w:rPr>
                <w:i/>
                <w:sz w:val="18"/>
                <w:szCs w:val="18"/>
              </w:rPr>
              <w:fldChar w:fldCharType="begin"/>
            </w:r>
            <w:r w:rsidR="005413B4">
              <w:rPr>
                <w:i/>
                <w:sz w:val="18"/>
                <w:szCs w:val="18"/>
              </w:rPr>
              <w:instrText xml:space="preserve"> ADDIN ZOTERO_ITEM CSL_CITATION {"citationID":"gwRjMfxn","properties":{"formattedCitation":"\\super 132\\nosupersub{}","plainCitation":"132","noteIndex":0},"citationItems":[{"id":9392,"uris":["http://zotero.org/users/6423791/items/5M6ND2Q5"],"itemData":{"id":9392,"type":"article-journal","abstract":"In recent years, the cellular agriculture concept has been proposed as an option to replace livestock proteins. This study presents a conceptual level techno-economic analysis of four concepts where food is produced by microorganisms based on wheat straw. Three single-cell proteins and one recombinant protein process were conceptualized. The process included steam explosion pretreatment, enzymatic hydrolysis, fermentation, and downstream processing. The enzymatic hydrolysis was optimized to minimize the production costs. The minimum protein selling price was determined by net present value using the discounted cash-flow method, which was compared to respective animal and plant proteins. The minimum protein selling prices were 5160–9007 €/ton proposing the processes to be in the feasible range, but the processes still require further development. The sensitivity of the parameters was estimated by sensitivity analysis, which revealed the most critical components in the production to be capacity, investment, interest, and enzyme and raw material costs.","container-title":"Bioresource Technology Reports","DOI":"10.1016/j.biteb.2021.100683","ISSN":"2589-014X","journalAbbreviation":"Bioresour. Technol. Rep.","language":"en","page":"100683","source":"ScienceDirect","title":"Economic comparison of food protein production with single-cell organisms from lignocellulose side-streams","volume":"14","author":[{"family":"Voutilainen","given":"Eveliina"},{"family":"Pihlajaniemi","given":"Ville"},{"family":"Parviainen","given":"Tuure"}],"issued":{"date-parts":[["2021",3,18]]}}}],"schema":"https://github.com/citation-style-language/schema/raw/master/csl-citation.json"} </w:instrText>
            </w:r>
            <w:r w:rsidRPr="00142FE3">
              <w:rPr>
                <w:i/>
                <w:sz w:val="18"/>
                <w:szCs w:val="18"/>
              </w:rPr>
              <w:fldChar w:fldCharType="separate"/>
            </w:r>
            <w:r w:rsidR="005413B4" w:rsidRPr="005413B4">
              <w:rPr>
                <w:rFonts w:ascii="Calibri" w:hAnsi="Calibri" w:cs="Calibri"/>
                <w:sz w:val="18"/>
                <w:szCs w:val="24"/>
                <w:vertAlign w:val="superscript"/>
              </w:rPr>
              <w:t>132</w:t>
            </w:r>
            <w:r w:rsidRPr="00142FE3">
              <w:rPr>
                <w:i/>
                <w:sz w:val="18"/>
                <w:szCs w:val="18"/>
              </w:rPr>
              <w:fldChar w:fldCharType="end"/>
            </w:r>
          </w:p>
        </w:tc>
      </w:tr>
      <w:tr w:rsidR="008031AE" w:rsidRPr="00142FE3" w14:paraId="164089F9"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10DEB2B" w14:textId="77777777" w:rsidR="008031AE" w:rsidRPr="00142FE3" w:rsidRDefault="008031AE" w:rsidP="006D537D">
            <w:pPr>
              <w:rPr>
                <w:sz w:val="18"/>
                <w:szCs w:val="18"/>
              </w:rPr>
            </w:pPr>
            <w:r w:rsidRPr="00142FE3">
              <w:rPr>
                <w:sz w:val="18"/>
                <w:szCs w:val="18"/>
              </w:rPr>
              <w:t>112</w:t>
            </w:r>
          </w:p>
        </w:tc>
        <w:tc>
          <w:tcPr>
            <w:tcW w:w="2472" w:type="dxa"/>
          </w:tcPr>
          <w:p w14:paraId="2E039ABA" w14:textId="77777777" w:rsidR="008031AE" w:rsidRPr="00142FE3" w:rsidRDefault="008031AE" w:rsidP="006D537D">
            <w:pPr>
              <w:jc w:val="right"/>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 xml:space="preserve"> Myco C</w:t>
            </w:r>
            <w:r w:rsidRPr="00142FE3">
              <w:rPr>
                <w:sz w:val="18"/>
                <w:szCs w:val="18"/>
                <w:vertAlign w:val="subscript"/>
              </w:rPr>
              <w:t>6</w:t>
            </w:r>
            <w:r w:rsidRPr="00142FE3">
              <w:rPr>
                <w:sz w:val="18"/>
                <w:szCs w:val="18"/>
              </w:rPr>
              <w:t xml:space="preserve"> yield</w:t>
            </w:r>
          </w:p>
        </w:tc>
        <w:tc>
          <w:tcPr>
            <w:tcW w:w="992" w:type="dxa"/>
          </w:tcPr>
          <w:p w14:paraId="5B539DB2" w14:textId="77777777" w:rsidR="008031AE" w:rsidRPr="00142FE3"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142FE3">
              <w:rPr>
                <w:color w:val="000000"/>
                <w:sz w:val="18"/>
                <w:szCs w:val="18"/>
              </w:rPr>
              <w:t>g</w:t>
            </w:r>
            <w:r w:rsidRPr="00142FE3">
              <w:rPr>
                <w:color w:val="000000"/>
                <w:sz w:val="18"/>
                <w:szCs w:val="18"/>
                <w:vertAlign w:val="subscript"/>
              </w:rPr>
              <w:t>X</w:t>
            </w:r>
            <w:r w:rsidRPr="00142FE3">
              <w:rPr>
                <w:color w:val="000000"/>
                <w:sz w:val="18"/>
                <w:szCs w:val="18"/>
              </w:rPr>
              <w:t>.g</w:t>
            </w:r>
            <w:r w:rsidRPr="00142FE3">
              <w:rPr>
                <w:color w:val="000000"/>
                <w:sz w:val="18"/>
                <w:szCs w:val="18"/>
                <w:vertAlign w:val="subscript"/>
              </w:rPr>
              <w:t>S</w:t>
            </w:r>
            <w:proofErr w:type="gramEnd"/>
            <w:r w:rsidRPr="00142FE3">
              <w:rPr>
                <w:color w:val="000000"/>
                <w:sz w:val="18"/>
                <w:szCs w:val="18"/>
                <w:vertAlign w:val="superscript"/>
              </w:rPr>
              <w:t>-1</w:t>
            </w:r>
          </w:p>
        </w:tc>
        <w:tc>
          <w:tcPr>
            <w:tcW w:w="851" w:type="dxa"/>
          </w:tcPr>
          <w:p w14:paraId="31D5A47C" w14:textId="77777777" w:rsidR="008031AE" w:rsidRPr="00142FE3"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0.29</w:t>
            </w:r>
          </w:p>
        </w:tc>
        <w:tc>
          <w:tcPr>
            <w:tcW w:w="992" w:type="dxa"/>
          </w:tcPr>
          <w:p w14:paraId="6C13F552" w14:textId="77777777" w:rsidR="008031AE" w:rsidRPr="00142FE3"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0.26-0.36</w:t>
            </w:r>
          </w:p>
        </w:tc>
        <w:tc>
          <w:tcPr>
            <w:tcW w:w="3245" w:type="dxa"/>
            <w:vMerge w:val="restart"/>
          </w:tcPr>
          <w:p w14:paraId="54B7478B" w14:textId="38E6F9FE" w:rsidR="008031AE" w:rsidRPr="00142FE3" w:rsidRDefault="008031AE" w:rsidP="006D537D">
            <w:pPr>
              <w:jc w:val="both"/>
              <w:cnfStyle w:val="000000100000" w:firstRow="0" w:lastRow="0" w:firstColumn="0" w:lastColumn="0" w:oddVBand="0" w:evenVBand="0" w:oddHBand="1" w:evenHBand="0" w:firstRowFirstColumn="0" w:firstRowLastColumn="0" w:lastRowFirstColumn="0" w:lastRowLastColumn="0"/>
              <w:rPr>
                <w:i/>
                <w:sz w:val="18"/>
                <w:szCs w:val="18"/>
              </w:rPr>
            </w:pPr>
            <w:r w:rsidRPr="00142FE3">
              <w:rPr>
                <w:i/>
                <w:sz w:val="18"/>
                <w:szCs w:val="18"/>
              </w:rPr>
              <w:t xml:space="preserve">See </w:t>
            </w:r>
            <w:r w:rsidR="00042BF3" w:rsidRPr="00142FE3">
              <w:rPr>
                <w:b/>
                <w:i/>
                <w:sz w:val="18"/>
                <w:szCs w:val="18"/>
              </w:rPr>
              <w:fldChar w:fldCharType="begin"/>
            </w:r>
            <w:r w:rsidR="00042BF3" w:rsidRPr="00142FE3">
              <w:rPr>
                <w:b/>
                <w:i/>
                <w:sz w:val="18"/>
                <w:szCs w:val="18"/>
              </w:rPr>
              <w:instrText xml:space="preserve"> REF _Ref144819721 \h  \* MERGEFORMAT </w:instrText>
            </w:r>
            <w:r w:rsidR="00042BF3" w:rsidRPr="00142FE3">
              <w:rPr>
                <w:b/>
                <w:i/>
                <w:sz w:val="18"/>
                <w:szCs w:val="18"/>
              </w:rPr>
            </w:r>
            <w:r w:rsidR="00042BF3" w:rsidRPr="00142FE3">
              <w:rPr>
                <w:b/>
                <w:i/>
                <w:sz w:val="18"/>
                <w:szCs w:val="18"/>
              </w:rPr>
              <w:fldChar w:fldCharType="separate"/>
            </w:r>
            <w:r w:rsidR="00F25F8C" w:rsidRPr="00142FE3">
              <w:rPr>
                <w:b/>
                <w:i/>
                <w:sz w:val="18"/>
                <w:szCs w:val="18"/>
              </w:rPr>
              <w:t xml:space="preserve">Table SI. </w:t>
            </w:r>
            <w:r w:rsidR="00F25F8C" w:rsidRPr="00142FE3">
              <w:rPr>
                <w:b/>
                <w:i/>
                <w:noProof/>
                <w:sz w:val="18"/>
                <w:szCs w:val="18"/>
              </w:rPr>
              <w:t>49</w:t>
            </w:r>
            <w:r w:rsidR="00042BF3" w:rsidRPr="00142FE3">
              <w:rPr>
                <w:b/>
                <w:i/>
                <w:sz w:val="18"/>
                <w:szCs w:val="18"/>
              </w:rPr>
              <w:fldChar w:fldCharType="end"/>
            </w:r>
          </w:p>
        </w:tc>
      </w:tr>
      <w:tr w:rsidR="008031AE" w:rsidRPr="00142FE3" w14:paraId="1B43A064"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44F9CD34" w14:textId="77777777" w:rsidR="008031AE" w:rsidRPr="00142FE3" w:rsidRDefault="008031AE" w:rsidP="006D537D">
            <w:pPr>
              <w:rPr>
                <w:sz w:val="18"/>
                <w:szCs w:val="18"/>
              </w:rPr>
            </w:pPr>
            <w:r w:rsidRPr="00142FE3">
              <w:rPr>
                <w:sz w:val="18"/>
                <w:szCs w:val="18"/>
              </w:rPr>
              <w:t>113</w:t>
            </w:r>
          </w:p>
        </w:tc>
        <w:tc>
          <w:tcPr>
            <w:tcW w:w="2472" w:type="dxa"/>
          </w:tcPr>
          <w:p w14:paraId="3E422320" w14:textId="77777777" w:rsidR="008031AE" w:rsidRPr="00142FE3" w:rsidRDefault="008031AE" w:rsidP="006D537D">
            <w:pPr>
              <w:jc w:val="right"/>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Myco C</w:t>
            </w:r>
            <w:r w:rsidRPr="00142FE3">
              <w:rPr>
                <w:sz w:val="18"/>
                <w:szCs w:val="18"/>
                <w:vertAlign w:val="subscript"/>
              </w:rPr>
              <w:t>5</w:t>
            </w:r>
            <w:r w:rsidRPr="00142FE3">
              <w:rPr>
                <w:sz w:val="18"/>
                <w:szCs w:val="18"/>
              </w:rPr>
              <w:t xml:space="preserve"> yield</w:t>
            </w:r>
          </w:p>
        </w:tc>
        <w:tc>
          <w:tcPr>
            <w:tcW w:w="992" w:type="dxa"/>
          </w:tcPr>
          <w:p w14:paraId="0A4A574C" w14:textId="77777777" w:rsidR="008031AE" w:rsidRPr="00142FE3"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142FE3">
              <w:rPr>
                <w:color w:val="000000"/>
                <w:sz w:val="18"/>
                <w:szCs w:val="18"/>
              </w:rPr>
              <w:t>g</w:t>
            </w:r>
            <w:r w:rsidRPr="00142FE3">
              <w:rPr>
                <w:color w:val="000000"/>
                <w:sz w:val="18"/>
                <w:szCs w:val="18"/>
                <w:vertAlign w:val="subscript"/>
              </w:rPr>
              <w:t>X</w:t>
            </w:r>
            <w:r w:rsidRPr="00142FE3">
              <w:rPr>
                <w:color w:val="000000"/>
                <w:sz w:val="18"/>
                <w:szCs w:val="18"/>
              </w:rPr>
              <w:t>.g</w:t>
            </w:r>
            <w:r w:rsidRPr="00142FE3">
              <w:rPr>
                <w:color w:val="000000"/>
                <w:sz w:val="18"/>
                <w:szCs w:val="18"/>
                <w:vertAlign w:val="subscript"/>
              </w:rPr>
              <w:t>S</w:t>
            </w:r>
            <w:proofErr w:type="gramEnd"/>
            <w:r w:rsidRPr="00142FE3">
              <w:rPr>
                <w:color w:val="000000"/>
                <w:sz w:val="18"/>
                <w:szCs w:val="18"/>
                <w:vertAlign w:val="superscript"/>
              </w:rPr>
              <w:t>-1</w:t>
            </w:r>
          </w:p>
        </w:tc>
        <w:tc>
          <w:tcPr>
            <w:tcW w:w="851" w:type="dxa"/>
          </w:tcPr>
          <w:p w14:paraId="6103BBD3" w14:textId="77777777" w:rsidR="008031AE" w:rsidRPr="00142FE3"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0.29</w:t>
            </w:r>
          </w:p>
        </w:tc>
        <w:tc>
          <w:tcPr>
            <w:tcW w:w="992" w:type="dxa"/>
          </w:tcPr>
          <w:p w14:paraId="674976D9" w14:textId="77777777" w:rsidR="008031AE" w:rsidRPr="00142FE3"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0-0.30</w:t>
            </w:r>
          </w:p>
        </w:tc>
        <w:tc>
          <w:tcPr>
            <w:tcW w:w="3245" w:type="dxa"/>
            <w:vMerge/>
          </w:tcPr>
          <w:p w14:paraId="086163F0" w14:textId="77777777" w:rsidR="008031AE" w:rsidRPr="00142FE3" w:rsidRDefault="008031AE" w:rsidP="006D537D">
            <w:pPr>
              <w:jc w:val="both"/>
              <w:cnfStyle w:val="000000000000" w:firstRow="0" w:lastRow="0" w:firstColumn="0" w:lastColumn="0" w:oddVBand="0" w:evenVBand="0" w:oddHBand="0" w:evenHBand="0" w:firstRowFirstColumn="0" w:firstRowLastColumn="0" w:lastRowFirstColumn="0" w:lastRowLastColumn="0"/>
              <w:rPr>
                <w:i/>
                <w:sz w:val="18"/>
                <w:szCs w:val="18"/>
              </w:rPr>
            </w:pPr>
          </w:p>
        </w:tc>
      </w:tr>
      <w:tr w:rsidR="008031AE" w:rsidRPr="00142FE3" w14:paraId="08556AAA"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C6CEAA2" w14:textId="77777777" w:rsidR="008031AE" w:rsidRPr="00142FE3" w:rsidRDefault="008031AE" w:rsidP="006D537D">
            <w:pPr>
              <w:rPr>
                <w:sz w:val="18"/>
                <w:szCs w:val="18"/>
              </w:rPr>
            </w:pPr>
            <w:r w:rsidRPr="00142FE3">
              <w:rPr>
                <w:sz w:val="18"/>
                <w:szCs w:val="18"/>
              </w:rPr>
              <w:t>114</w:t>
            </w:r>
          </w:p>
        </w:tc>
        <w:tc>
          <w:tcPr>
            <w:tcW w:w="2472" w:type="dxa"/>
          </w:tcPr>
          <w:p w14:paraId="4971F535" w14:textId="77777777" w:rsidR="008031AE" w:rsidRPr="00142FE3" w:rsidRDefault="008031AE" w:rsidP="006D537D">
            <w:pPr>
              <w:jc w:val="right"/>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Myco biomass concentration</w:t>
            </w:r>
          </w:p>
        </w:tc>
        <w:tc>
          <w:tcPr>
            <w:tcW w:w="992" w:type="dxa"/>
          </w:tcPr>
          <w:p w14:paraId="33D8E079" w14:textId="77777777" w:rsidR="008031AE" w:rsidRPr="00142FE3"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142FE3">
              <w:rPr>
                <w:color w:val="000000"/>
                <w:sz w:val="18"/>
                <w:szCs w:val="18"/>
              </w:rPr>
              <w:t>g</w:t>
            </w:r>
            <w:r w:rsidRPr="00142FE3">
              <w:rPr>
                <w:color w:val="000000"/>
                <w:sz w:val="18"/>
                <w:szCs w:val="18"/>
                <w:vertAlign w:val="subscript"/>
              </w:rPr>
              <w:t>X</w:t>
            </w:r>
            <w:r w:rsidRPr="00142FE3">
              <w:rPr>
                <w:color w:val="000000"/>
                <w:sz w:val="18"/>
                <w:szCs w:val="18"/>
              </w:rPr>
              <w:t>.L</w:t>
            </w:r>
            <w:proofErr w:type="gramEnd"/>
            <w:r w:rsidRPr="00142FE3">
              <w:rPr>
                <w:color w:val="000000"/>
                <w:sz w:val="18"/>
                <w:szCs w:val="18"/>
                <w:vertAlign w:val="superscript"/>
              </w:rPr>
              <w:t>-1</w:t>
            </w:r>
          </w:p>
        </w:tc>
        <w:tc>
          <w:tcPr>
            <w:tcW w:w="851" w:type="dxa"/>
          </w:tcPr>
          <w:p w14:paraId="22286337" w14:textId="77777777" w:rsidR="008031AE" w:rsidRPr="00142FE3"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30</w:t>
            </w:r>
          </w:p>
        </w:tc>
        <w:tc>
          <w:tcPr>
            <w:tcW w:w="992" w:type="dxa"/>
          </w:tcPr>
          <w:p w14:paraId="027305FB" w14:textId="77777777" w:rsidR="008031AE" w:rsidRPr="00142FE3"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20-40</w:t>
            </w:r>
          </w:p>
        </w:tc>
        <w:tc>
          <w:tcPr>
            <w:tcW w:w="3245" w:type="dxa"/>
            <w:vMerge/>
          </w:tcPr>
          <w:p w14:paraId="11B92F39" w14:textId="77777777" w:rsidR="008031AE" w:rsidRPr="00142FE3" w:rsidRDefault="008031AE" w:rsidP="006D537D">
            <w:pPr>
              <w:jc w:val="both"/>
              <w:cnfStyle w:val="000000100000" w:firstRow="0" w:lastRow="0" w:firstColumn="0" w:lastColumn="0" w:oddVBand="0" w:evenVBand="0" w:oddHBand="1" w:evenHBand="0" w:firstRowFirstColumn="0" w:firstRowLastColumn="0" w:lastRowFirstColumn="0" w:lastRowLastColumn="0"/>
              <w:rPr>
                <w:i/>
                <w:sz w:val="18"/>
                <w:szCs w:val="18"/>
              </w:rPr>
            </w:pPr>
          </w:p>
        </w:tc>
      </w:tr>
      <w:tr w:rsidR="008031AE" w:rsidRPr="00142FE3" w14:paraId="46317089"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4FE9B4C7" w14:textId="77777777" w:rsidR="008031AE" w:rsidRPr="00142FE3" w:rsidRDefault="008031AE" w:rsidP="006D537D">
            <w:pPr>
              <w:rPr>
                <w:sz w:val="18"/>
                <w:szCs w:val="18"/>
              </w:rPr>
            </w:pPr>
            <w:r w:rsidRPr="00142FE3">
              <w:rPr>
                <w:sz w:val="18"/>
                <w:szCs w:val="18"/>
              </w:rPr>
              <w:t>115</w:t>
            </w:r>
          </w:p>
        </w:tc>
        <w:tc>
          <w:tcPr>
            <w:tcW w:w="2472" w:type="dxa"/>
          </w:tcPr>
          <w:p w14:paraId="53C918E6" w14:textId="77777777" w:rsidR="008031AE" w:rsidRPr="00142FE3" w:rsidRDefault="008031AE" w:rsidP="006D537D">
            <w:pPr>
              <w:jc w:val="right"/>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Myco dilution rate</w:t>
            </w:r>
          </w:p>
        </w:tc>
        <w:tc>
          <w:tcPr>
            <w:tcW w:w="992" w:type="dxa"/>
          </w:tcPr>
          <w:p w14:paraId="64CD0AE4" w14:textId="77777777" w:rsidR="008031AE" w:rsidRPr="00142FE3"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r w:rsidRPr="00142FE3">
              <w:rPr>
                <w:color w:val="000000"/>
                <w:sz w:val="18"/>
                <w:szCs w:val="18"/>
              </w:rPr>
              <w:t>h</w:t>
            </w:r>
            <w:r w:rsidRPr="00142FE3">
              <w:rPr>
                <w:color w:val="000000"/>
                <w:sz w:val="18"/>
                <w:szCs w:val="18"/>
                <w:vertAlign w:val="superscript"/>
              </w:rPr>
              <w:t>-1</w:t>
            </w:r>
          </w:p>
        </w:tc>
        <w:tc>
          <w:tcPr>
            <w:tcW w:w="851" w:type="dxa"/>
          </w:tcPr>
          <w:p w14:paraId="2927B6C7" w14:textId="77777777" w:rsidR="008031AE" w:rsidRPr="00142FE3"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0.2</w:t>
            </w:r>
          </w:p>
        </w:tc>
        <w:tc>
          <w:tcPr>
            <w:tcW w:w="992" w:type="dxa"/>
          </w:tcPr>
          <w:p w14:paraId="739BC3FC" w14:textId="77777777" w:rsidR="008031AE" w:rsidRPr="00142FE3"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0.17-0.25</w:t>
            </w:r>
          </w:p>
        </w:tc>
        <w:tc>
          <w:tcPr>
            <w:tcW w:w="3245" w:type="dxa"/>
            <w:vMerge/>
          </w:tcPr>
          <w:p w14:paraId="39BA96A1" w14:textId="77777777" w:rsidR="008031AE" w:rsidRPr="00142FE3" w:rsidRDefault="008031AE" w:rsidP="006D537D">
            <w:pPr>
              <w:jc w:val="both"/>
              <w:cnfStyle w:val="000000000000" w:firstRow="0" w:lastRow="0" w:firstColumn="0" w:lastColumn="0" w:oddVBand="0" w:evenVBand="0" w:oddHBand="0" w:evenHBand="0" w:firstRowFirstColumn="0" w:firstRowLastColumn="0" w:lastRowFirstColumn="0" w:lastRowLastColumn="0"/>
              <w:rPr>
                <w:i/>
                <w:sz w:val="18"/>
                <w:szCs w:val="18"/>
              </w:rPr>
            </w:pPr>
          </w:p>
        </w:tc>
      </w:tr>
      <w:tr w:rsidR="008031AE" w:rsidRPr="00142FE3" w14:paraId="06638FAB"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1B70DA2" w14:textId="77777777" w:rsidR="008031AE" w:rsidRPr="00142FE3" w:rsidRDefault="008031AE" w:rsidP="006D537D">
            <w:pPr>
              <w:rPr>
                <w:sz w:val="18"/>
                <w:szCs w:val="18"/>
              </w:rPr>
            </w:pPr>
            <w:r w:rsidRPr="00142FE3">
              <w:rPr>
                <w:sz w:val="18"/>
                <w:szCs w:val="18"/>
              </w:rPr>
              <w:t>117</w:t>
            </w:r>
          </w:p>
        </w:tc>
        <w:tc>
          <w:tcPr>
            <w:tcW w:w="2472" w:type="dxa"/>
          </w:tcPr>
          <w:p w14:paraId="16930633" w14:textId="77777777" w:rsidR="008031AE" w:rsidRPr="00142FE3" w:rsidRDefault="008031AE" w:rsidP="006D537D">
            <w:pPr>
              <w:jc w:val="right"/>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Metabolic heat</w:t>
            </w:r>
          </w:p>
        </w:tc>
        <w:tc>
          <w:tcPr>
            <w:tcW w:w="992" w:type="dxa"/>
          </w:tcPr>
          <w:p w14:paraId="2161A03B" w14:textId="77777777" w:rsidR="008031AE" w:rsidRPr="00142FE3"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142FE3">
              <w:rPr>
                <w:color w:val="000000"/>
                <w:sz w:val="18"/>
                <w:szCs w:val="18"/>
              </w:rPr>
              <w:t>kJ.molC</w:t>
            </w:r>
            <w:r w:rsidRPr="00142FE3">
              <w:rPr>
                <w:color w:val="000000"/>
                <w:sz w:val="18"/>
                <w:szCs w:val="18"/>
                <w:vertAlign w:val="subscript"/>
              </w:rPr>
              <w:t>X</w:t>
            </w:r>
            <w:proofErr w:type="gramEnd"/>
            <w:r w:rsidRPr="00142FE3">
              <w:rPr>
                <w:color w:val="000000"/>
                <w:sz w:val="18"/>
                <w:szCs w:val="18"/>
                <w:vertAlign w:val="superscript"/>
              </w:rPr>
              <w:t>-1</w:t>
            </w:r>
          </w:p>
        </w:tc>
        <w:tc>
          <w:tcPr>
            <w:tcW w:w="851" w:type="dxa"/>
          </w:tcPr>
          <w:p w14:paraId="394CB8C6" w14:textId="77777777" w:rsidR="008031AE" w:rsidRPr="00142FE3"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250</w:t>
            </w:r>
          </w:p>
        </w:tc>
        <w:tc>
          <w:tcPr>
            <w:tcW w:w="992" w:type="dxa"/>
          </w:tcPr>
          <w:p w14:paraId="4F594664" w14:textId="77777777" w:rsidR="008031AE" w:rsidRPr="00142FE3"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160-332</w:t>
            </w:r>
          </w:p>
        </w:tc>
        <w:tc>
          <w:tcPr>
            <w:tcW w:w="3245" w:type="dxa"/>
            <w:vMerge/>
          </w:tcPr>
          <w:p w14:paraId="2EEE4897" w14:textId="77777777" w:rsidR="008031AE" w:rsidRPr="00142FE3" w:rsidRDefault="008031AE" w:rsidP="006D537D">
            <w:pPr>
              <w:jc w:val="both"/>
              <w:cnfStyle w:val="000000100000" w:firstRow="0" w:lastRow="0" w:firstColumn="0" w:lastColumn="0" w:oddVBand="0" w:evenVBand="0" w:oddHBand="1" w:evenHBand="0" w:firstRowFirstColumn="0" w:firstRowLastColumn="0" w:lastRowFirstColumn="0" w:lastRowLastColumn="0"/>
              <w:rPr>
                <w:i/>
                <w:sz w:val="18"/>
                <w:szCs w:val="18"/>
              </w:rPr>
            </w:pPr>
          </w:p>
        </w:tc>
      </w:tr>
      <w:tr w:rsidR="008031AE" w:rsidRPr="00142FE3" w14:paraId="6F0A4B6D"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348B3930" w14:textId="77777777" w:rsidR="008031AE" w:rsidRPr="00142FE3" w:rsidRDefault="008031AE" w:rsidP="006D537D">
            <w:pPr>
              <w:rPr>
                <w:sz w:val="18"/>
                <w:szCs w:val="18"/>
              </w:rPr>
            </w:pPr>
            <w:r w:rsidRPr="00142FE3">
              <w:rPr>
                <w:sz w:val="18"/>
                <w:szCs w:val="18"/>
              </w:rPr>
              <w:t>116</w:t>
            </w:r>
          </w:p>
        </w:tc>
        <w:tc>
          <w:tcPr>
            <w:tcW w:w="2472" w:type="dxa"/>
          </w:tcPr>
          <w:p w14:paraId="5C1DA467" w14:textId="77777777" w:rsidR="008031AE" w:rsidRPr="00142FE3" w:rsidRDefault="008031AE" w:rsidP="006D537D">
            <w:pPr>
              <w:jc w:val="right"/>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Myco gas use efficiency</w:t>
            </w:r>
          </w:p>
        </w:tc>
        <w:tc>
          <w:tcPr>
            <w:tcW w:w="992" w:type="dxa"/>
          </w:tcPr>
          <w:p w14:paraId="7838E592" w14:textId="77777777" w:rsidR="008031AE" w:rsidRPr="00142FE3"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w:t>
            </w:r>
            <w:r w:rsidRPr="00142FE3">
              <w:rPr>
                <w:sz w:val="18"/>
                <w:szCs w:val="18"/>
                <w:vertAlign w:val="subscript"/>
              </w:rPr>
              <w:t>in</w:t>
            </w:r>
          </w:p>
        </w:tc>
        <w:tc>
          <w:tcPr>
            <w:tcW w:w="851" w:type="dxa"/>
          </w:tcPr>
          <w:p w14:paraId="39CC104B" w14:textId="77777777" w:rsidR="008031AE" w:rsidRPr="00142FE3"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90%</w:t>
            </w:r>
          </w:p>
        </w:tc>
        <w:tc>
          <w:tcPr>
            <w:tcW w:w="992" w:type="dxa"/>
          </w:tcPr>
          <w:p w14:paraId="6499E9A1" w14:textId="77777777" w:rsidR="008031AE" w:rsidRPr="00142FE3"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80-92%</w:t>
            </w:r>
          </w:p>
        </w:tc>
        <w:tc>
          <w:tcPr>
            <w:tcW w:w="3245" w:type="dxa"/>
          </w:tcPr>
          <w:p w14:paraId="7FA4C443" w14:textId="17082035" w:rsidR="008031AE" w:rsidRPr="00142FE3" w:rsidRDefault="008031AE" w:rsidP="006D537D">
            <w:pPr>
              <w:jc w:val="both"/>
              <w:cnfStyle w:val="000000000000" w:firstRow="0" w:lastRow="0" w:firstColumn="0" w:lastColumn="0" w:oddVBand="0" w:evenVBand="0" w:oddHBand="0" w:evenHBand="0" w:firstRowFirstColumn="0" w:firstRowLastColumn="0" w:lastRowFirstColumn="0" w:lastRowLastColumn="0"/>
              <w:rPr>
                <w:i/>
                <w:sz w:val="18"/>
                <w:szCs w:val="18"/>
              </w:rPr>
            </w:pPr>
            <w:r w:rsidRPr="00142FE3">
              <w:rPr>
                <w:i/>
                <w:sz w:val="18"/>
                <w:szCs w:val="18"/>
              </w:rPr>
              <w:t>As for MP (similar bioreactor), but independent: other strain (</w:t>
            </w:r>
            <w:r w:rsidR="00142FE3" w:rsidRPr="00142FE3">
              <w:rPr>
                <w:b/>
                <w:i/>
                <w:sz w:val="18"/>
                <w:szCs w:val="18"/>
              </w:rPr>
              <w:fldChar w:fldCharType="begin"/>
            </w:r>
            <w:r w:rsidR="00142FE3" w:rsidRPr="00142FE3">
              <w:rPr>
                <w:b/>
                <w:i/>
                <w:sz w:val="18"/>
                <w:szCs w:val="18"/>
              </w:rPr>
              <w:instrText xml:space="preserve"> REF _Ref144829267 \h  \* MERGEFORMAT </w:instrText>
            </w:r>
            <w:r w:rsidR="00142FE3" w:rsidRPr="00142FE3">
              <w:rPr>
                <w:b/>
                <w:i/>
                <w:sz w:val="18"/>
                <w:szCs w:val="18"/>
              </w:rPr>
            </w:r>
            <w:r w:rsidR="00142FE3" w:rsidRPr="00142FE3">
              <w:rPr>
                <w:b/>
                <w:i/>
                <w:sz w:val="18"/>
                <w:szCs w:val="18"/>
              </w:rPr>
              <w:fldChar w:fldCharType="separate"/>
            </w:r>
            <w:r w:rsidR="00142FE3" w:rsidRPr="00142FE3">
              <w:rPr>
                <w:b/>
                <w:i/>
                <w:sz w:val="18"/>
                <w:szCs w:val="18"/>
              </w:rPr>
              <w:t xml:space="preserve">Table SI. </w:t>
            </w:r>
            <w:r w:rsidR="00142FE3" w:rsidRPr="00142FE3">
              <w:rPr>
                <w:b/>
                <w:i/>
                <w:noProof/>
                <w:sz w:val="18"/>
                <w:szCs w:val="18"/>
              </w:rPr>
              <w:t>81</w:t>
            </w:r>
            <w:r w:rsidR="00142FE3" w:rsidRPr="00142FE3">
              <w:rPr>
                <w:b/>
                <w:i/>
                <w:sz w:val="18"/>
                <w:szCs w:val="18"/>
              </w:rPr>
              <w:fldChar w:fldCharType="end"/>
            </w:r>
            <w:r w:rsidRPr="00142FE3">
              <w:rPr>
                <w:i/>
                <w:sz w:val="18"/>
                <w:szCs w:val="18"/>
              </w:rPr>
              <w:t>)</w:t>
            </w:r>
          </w:p>
        </w:tc>
      </w:tr>
      <w:tr w:rsidR="008031AE" w:rsidRPr="00142FE3" w14:paraId="603B1CE2"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8FC95FF" w14:textId="77777777" w:rsidR="008031AE" w:rsidRPr="00142FE3" w:rsidRDefault="008031AE" w:rsidP="006D537D">
            <w:pPr>
              <w:rPr>
                <w:sz w:val="18"/>
                <w:szCs w:val="18"/>
              </w:rPr>
            </w:pPr>
            <w:r w:rsidRPr="00142FE3">
              <w:rPr>
                <w:sz w:val="18"/>
                <w:szCs w:val="18"/>
              </w:rPr>
              <w:t>118</w:t>
            </w:r>
          </w:p>
        </w:tc>
        <w:tc>
          <w:tcPr>
            <w:tcW w:w="2472" w:type="dxa"/>
          </w:tcPr>
          <w:p w14:paraId="0D134C27" w14:textId="77777777" w:rsidR="008031AE" w:rsidRPr="00142FE3" w:rsidRDefault="008031AE" w:rsidP="006D537D">
            <w:pPr>
              <w:jc w:val="right"/>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Myco CIP frequence</w:t>
            </w:r>
          </w:p>
        </w:tc>
        <w:tc>
          <w:tcPr>
            <w:tcW w:w="992" w:type="dxa"/>
          </w:tcPr>
          <w:p w14:paraId="385D3907" w14:textId="77777777" w:rsidR="008031AE" w:rsidRPr="00142FE3"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year</w:t>
            </w:r>
            <w:r w:rsidRPr="00142FE3">
              <w:rPr>
                <w:sz w:val="18"/>
                <w:szCs w:val="18"/>
                <w:vertAlign w:val="superscript"/>
              </w:rPr>
              <w:t>-1</w:t>
            </w:r>
          </w:p>
        </w:tc>
        <w:tc>
          <w:tcPr>
            <w:tcW w:w="851" w:type="dxa"/>
          </w:tcPr>
          <w:p w14:paraId="6B61989B" w14:textId="77777777" w:rsidR="008031AE" w:rsidRPr="00142FE3"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8</w:t>
            </w:r>
          </w:p>
        </w:tc>
        <w:tc>
          <w:tcPr>
            <w:tcW w:w="992" w:type="dxa"/>
          </w:tcPr>
          <w:p w14:paraId="1A287510" w14:textId="77777777" w:rsidR="008031AE" w:rsidRPr="00142FE3"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7-9</w:t>
            </w:r>
          </w:p>
        </w:tc>
        <w:tc>
          <w:tcPr>
            <w:tcW w:w="3245" w:type="dxa"/>
          </w:tcPr>
          <w:p w14:paraId="1D1F98F1" w14:textId="2EF75D32" w:rsidR="008031AE" w:rsidRPr="00142FE3" w:rsidRDefault="008031AE" w:rsidP="006D537D">
            <w:pPr>
              <w:jc w:val="both"/>
              <w:cnfStyle w:val="000000100000" w:firstRow="0" w:lastRow="0" w:firstColumn="0" w:lastColumn="0" w:oddVBand="0" w:evenVBand="0" w:oddHBand="1" w:evenHBand="0" w:firstRowFirstColumn="0" w:firstRowLastColumn="0" w:lastRowFirstColumn="0" w:lastRowLastColumn="0"/>
              <w:rPr>
                <w:i/>
                <w:sz w:val="18"/>
                <w:szCs w:val="18"/>
              </w:rPr>
            </w:pPr>
            <w:r w:rsidRPr="00142FE3">
              <w:rPr>
                <w:i/>
                <w:sz w:val="18"/>
                <w:szCs w:val="18"/>
              </w:rPr>
              <w:t>As Quorn</w:t>
            </w:r>
            <w:r w:rsidRPr="00142FE3">
              <w:rPr>
                <w:i/>
                <w:sz w:val="18"/>
                <w:szCs w:val="18"/>
              </w:rPr>
              <w:fldChar w:fldCharType="begin"/>
            </w:r>
            <w:r w:rsidR="005413B4">
              <w:rPr>
                <w:i/>
                <w:sz w:val="18"/>
                <w:szCs w:val="18"/>
              </w:rPr>
              <w:instrText xml:space="preserve"> ADDIN ZOTERO_ITEM CSL_CITATION {"citationID":"JxjP9k5O","properties":{"formattedCitation":"\\super 176\\nosupersub{}","plainCitation":"176","noteIndex":0},"citationItems":[{"id":3251,"uris":["http://zotero.org/users/6423791/items/NK57ZUEE"],"itemData":{"id":3251,"type":"chapter","abstract":"Mycoprotein is a foodstuff produced from the RNA-depleted mycelium of the ascomycete fungus Fusarium venenatum by Quorn Foods. It is used to make a range of meat-free foods with various dietary and environmental benefits. The development of the industrial biotechnology process and the product has been ongoing since the 1960s, yet it was only in 1985 that the first Quorn product appeared on supermarket shelves, in the UK. The production process has required innovative approaches, driving development of airlift fermentation technologies to achieve microbial fermentations on a grand scale as well as the assembly of fibre-gel composites that exploit the filamentous nature of the mycelium and create authentic meat-like textures. In this chapter, we aim to describe the path of development that mycoprotein has taken since the initiation of the venture. The importance of mycoprotein will be placed in historical context of the wider single-cell protein (SCP) landscape, with comparative processes mentioned in brief. A description of the modern biotechnological industrial production process is then made, alongside a discussion of its strengths and weaknesses highlighting issues such as impact of carbon source, nucleic acid treatment, morphological variants, and mycotoxin production. Finally, future biotechnological research challenges are discussed.","collection-title":"Grand Challenges in Biology and Biotechnology","container-title":"Grand Challenges in Fungal Biotechnology","event-place":"Cham","ISBN":"978-3-030-29541-7","language":"en","note":"DOI: 10.1007/978-3-030-29541-7_3","page":"59-79","publisher":"Springer International Publishing","publisher-place":"Cham","source":"Springer Link","title":"The Biotechnology of Quorn Mycoprotein: Past, Present and Future Challenges","title-short":"The Biotechnology of Quorn Mycoprotein","URL":"https://doi.org/10.1007/978-3-030-29541-7_3","author":[{"family":"Whittaker","given":"Jack A."},{"family":"Johnson","given":"Robert I."},{"family":"Finnigan","given":"Tim J. A."},{"family":"Avery","given":"Simon V."},{"family":"Dyer","given":"Paul S."}],"editor":[{"family":"Nevalainen","given":"Helena"}],"accessed":{"date-parts":[["2021",1,14]]},"issued":{"date-parts":[["2020"]]}}}],"schema":"https://github.com/citation-style-language/schema/raw/master/csl-citation.json"} </w:instrText>
            </w:r>
            <w:r w:rsidRPr="00142FE3">
              <w:rPr>
                <w:i/>
                <w:sz w:val="18"/>
                <w:szCs w:val="18"/>
              </w:rPr>
              <w:fldChar w:fldCharType="separate"/>
            </w:r>
            <w:r w:rsidR="005413B4" w:rsidRPr="005413B4">
              <w:rPr>
                <w:rFonts w:ascii="Calibri" w:hAnsi="Calibri" w:cs="Calibri"/>
                <w:sz w:val="18"/>
                <w:szCs w:val="24"/>
                <w:vertAlign w:val="superscript"/>
              </w:rPr>
              <w:t>176</w:t>
            </w:r>
            <w:r w:rsidRPr="00142FE3">
              <w:rPr>
                <w:i/>
                <w:sz w:val="18"/>
                <w:szCs w:val="18"/>
              </w:rPr>
              <w:fldChar w:fldCharType="end"/>
            </w:r>
            <w:r w:rsidRPr="00142FE3">
              <w:rPr>
                <w:i/>
                <w:sz w:val="18"/>
                <w:szCs w:val="18"/>
              </w:rPr>
              <w:t xml:space="preserve">, assumed </w:t>
            </w:r>
            <w:r w:rsidRPr="00142FE3">
              <w:rPr>
                <w:rFonts w:cstheme="minorHAnsi"/>
                <w:i/>
                <w:sz w:val="18"/>
                <w:szCs w:val="18"/>
              </w:rPr>
              <w:t>±1</w:t>
            </w:r>
          </w:p>
        </w:tc>
      </w:tr>
      <w:tr w:rsidR="008031AE" w:rsidRPr="00142FE3" w14:paraId="4F9764CE"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56CFE0F1" w14:textId="77777777" w:rsidR="008031AE" w:rsidRPr="00142FE3" w:rsidRDefault="008031AE" w:rsidP="006D537D">
            <w:pPr>
              <w:rPr>
                <w:sz w:val="18"/>
                <w:szCs w:val="18"/>
              </w:rPr>
            </w:pPr>
            <w:r w:rsidRPr="00142FE3">
              <w:rPr>
                <w:sz w:val="18"/>
                <w:szCs w:val="18"/>
              </w:rPr>
              <w:t>119</w:t>
            </w:r>
          </w:p>
        </w:tc>
        <w:tc>
          <w:tcPr>
            <w:tcW w:w="2472" w:type="dxa"/>
          </w:tcPr>
          <w:p w14:paraId="7FF56B64" w14:textId="77777777" w:rsidR="008031AE" w:rsidRPr="00142FE3" w:rsidRDefault="008031AE" w:rsidP="006D537D">
            <w:pPr>
              <w:jc w:val="right"/>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Myco mineral medium use</w:t>
            </w:r>
          </w:p>
        </w:tc>
        <w:tc>
          <w:tcPr>
            <w:tcW w:w="992" w:type="dxa"/>
          </w:tcPr>
          <w:p w14:paraId="0525E679" w14:textId="77777777" w:rsidR="008031AE" w:rsidRPr="00142FE3"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w:t>
            </w:r>
            <w:r w:rsidRPr="00142FE3">
              <w:rPr>
                <w:sz w:val="18"/>
                <w:szCs w:val="18"/>
                <w:vertAlign w:val="subscript"/>
              </w:rPr>
              <w:t>supplied</w:t>
            </w:r>
          </w:p>
        </w:tc>
        <w:tc>
          <w:tcPr>
            <w:tcW w:w="851" w:type="dxa"/>
          </w:tcPr>
          <w:p w14:paraId="1A076F46" w14:textId="77777777" w:rsidR="008031AE" w:rsidRPr="00142FE3"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95%</w:t>
            </w:r>
          </w:p>
        </w:tc>
        <w:tc>
          <w:tcPr>
            <w:tcW w:w="992" w:type="dxa"/>
          </w:tcPr>
          <w:p w14:paraId="2A449690" w14:textId="77777777" w:rsidR="008031AE" w:rsidRPr="00142FE3"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80-95%</w:t>
            </w:r>
          </w:p>
        </w:tc>
        <w:tc>
          <w:tcPr>
            <w:tcW w:w="3245" w:type="dxa"/>
          </w:tcPr>
          <w:p w14:paraId="2450ECC1" w14:textId="11A4F2A1" w:rsidR="008031AE" w:rsidRPr="00142FE3" w:rsidRDefault="008031AE" w:rsidP="006D537D">
            <w:pPr>
              <w:jc w:val="both"/>
              <w:cnfStyle w:val="000000000000" w:firstRow="0" w:lastRow="0" w:firstColumn="0" w:lastColumn="0" w:oddVBand="0" w:evenVBand="0" w:oddHBand="0" w:evenHBand="0" w:firstRowFirstColumn="0" w:firstRowLastColumn="0" w:lastRowFirstColumn="0" w:lastRowLastColumn="0"/>
              <w:rPr>
                <w:i/>
                <w:sz w:val="18"/>
                <w:szCs w:val="18"/>
              </w:rPr>
            </w:pPr>
            <w:r w:rsidRPr="00142FE3">
              <w:rPr>
                <w:i/>
                <w:sz w:val="18"/>
                <w:szCs w:val="18"/>
              </w:rPr>
              <w:t>As for MP (similar bioreactor), but independent: other strain (</w:t>
            </w:r>
            <w:r w:rsidR="00142FE3" w:rsidRPr="00142FE3">
              <w:rPr>
                <w:b/>
                <w:i/>
                <w:sz w:val="18"/>
                <w:szCs w:val="18"/>
              </w:rPr>
              <w:fldChar w:fldCharType="begin"/>
            </w:r>
            <w:r w:rsidR="00142FE3" w:rsidRPr="00142FE3">
              <w:rPr>
                <w:b/>
                <w:i/>
                <w:sz w:val="18"/>
                <w:szCs w:val="18"/>
              </w:rPr>
              <w:instrText xml:space="preserve"> REF _Ref144829267 \h  \* MERGEFORMAT </w:instrText>
            </w:r>
            <w:r w:rsidR="00142FE3" w:rsidRPr="00142FE3">
              <w:rPr>
                <w:b/>
                <w:i/>
                <w:sz w:val="18"/>
                <w:szCs w:val="18"/>
              </w:rPr>
            </w:r>
            <w:r w:rsidR="00142FE3" w:rsidRPr="00142FE3">
              <w:rPr>
                <w:b/>
                <w:i/>
                <w:sz w:val="18"/>
                <w:szCs w:val="18"/>
              </w:rPr>
              <w:fldChar w:fldCharType="separate"/>
            </w:r>
            <w:r w:rsidR="00142FE3" w:rsidRPr="00142FE3">
              <w:rPr>
                <w:b/>
                <w:i/>
                <w:sz w:val="18"/>
                <w:szCs w:val="18"/>
              </w:rPr>
              <w:t xml:space="preserve">Table SI. </w:t>
            </w:r>
            <w:r w:rsidR="00142FE3" w:rsidRPr="00142FE3">
              <w:rPr>
                <w:b/>
                <w:i/>
                <w:noProof/>
                <w:sz w:val="18"/>
                <w:szCs w:val="18"/>
              </w:rPr>
              <w:t>81</w:t>
            </w:r>
            <w:r w:rsidR="00142FE3" w:rsidRPr="00142FE3">
              <w:rPr>
                <w:b/>
                <w:i/>
                <w:sz w:val="18"/>
                <w:szCs w:val="18"/>
              </w:rPr>
              <w:fldChar w:fldCharType="end"/>
            </w:r>
            <w:r w:rsidRPr="00142FE3">
              <w:rPr>
                <w:i/>
                <w:sz w:val="18"/>
                <w:szCs w:val="18"/>
              </w:rPr>
              <w:t>)</w:t>
            </w:r>
          </w:p>
        </w:tc>
      </w:tr>
      <w:tr w:rsidR="008031AE" w:rsidRPr="00142FE3" w14:paraId="21A65F56"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E03119E" w14:textId="77777777" w:rsidR="008031AE" w:rsidRPr="00142FE3" w:rsidRDefault="008031AE" w:rsidP="006D537D">
            <w:pPr>
              <w:rPr>
                <w:sz w:val="18"/>
                <w:szCs w:val="18"/>
              </w:rPr>
            </w:pPr>
            <w:r w:rsidRPr="00142FE3">
              <w:rPr>
                <w:sz w:val="18"/>
                <w:szCs w:val="18"/>
              </w:rPr>
              <w:t>120</w:t>
            </w:r>
          </w:p>
        </w:tc>
        <w:tc>
          <w:tcPr>
            <w:tcW w:w="2472" w:type="dxa"/>
          </w:tcPr>
          <w:p w14:paraId="56C7D1FC" w14:textId="77777777" w:rsidR="008031AE" w:rsidRPr="00142FE3" w:rsidRDefault="008031AE" w:rsidP="006D537D">
            <w:pPr>
              <w:jc w:val="right"/>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Myco RNA removal losses</w:t>
            </w:r>
          </w:p>
        </w:tc>
        <w:tc>
          <w:tcPr>
            <w:tcW w:w="992" w:type="dxa"/>
          </w:tcPr>
          <w:p w14:paraId="4ACF867D" w14:textId="77777777" w:rsidR="008031AE" w:rsidRPr="00142FE3"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w:t>
            </w:r>
            <w:r w:rsidRPr="00142FE3">
              <w:rPr>
                <w:sz w:val="18"/>
                <w:szCs w:val="18"/>
                <w:vertAlign w:val="subscript"/>
              </w:rPr>
              <w:t>DMin</w:t>
            </w:r>
          </w:p>
        </w:tc>
        <w:tc>
          <w:tcPr>
            <w:tcW w:w="851" w:type="dxa"/>
          </w:tcPr>
          <w:p w14:paraId="1667505D" w14:textId="77777777" w:rsidR="008031AE" w:rsidRPr="00142FE3"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28%</w:t>
            </w:r>
          </w:p>
        </w:tc>
        <w:tc>
          <w:tcPr>
            <w:tcW w:w="992" w:type="dxa"/>
          </w:tcPr>
          <w:p w14:paraId="1482C94B" w14:textId="77777777" w:rsidR="008031AE" w:rsidRPr="00142FE3"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23-30%</w:t>
            </w:r>
          </w:p>
        </w:tc>
        <w:tc>
          <w:tcPr>
            <w:tcW w:w="3245" w:type="dxa"/>
          </w:tcPr>
          <w:p w14:paraId="7870FCFD" w14:textId="1B4A833E" w:rsidR="008031AE" w:rsidRPr="00142FE3" w:rsidRDefault="008031AE" w:rsidP="006D537D">
            <w:pPr>
              <w:jc w:val="both"/>
              <w:cnfStyle w:val="000000100000" w:firstRow="0" w:lastRow="0" w:firstColumn="0" w:lastColumn="0" w:oddVBand="0" w:evenVBand="0" w:oddHBand="1" w:evenHBand="0" w:firstRowFirstColumn="0" w:firstRowLastColumn="0" w:lastRowFirstColumn="0" w:lastRowLastColumn="0"/>
              <w:rPr>
                <w:i/>
                <w:sz w:val="18"/>
                <w:szCs w:val="18"/>
              </w:rPr>
            </w:pPr>
            <w:r w:rsidRPr="00142FE3">
              <w:rPr>
                <w:i/>
                <w:sz w:val="18"/>
                <w:szCs w:val="18"/>
              </w:rPr>
              <w:t>Reviewed range, base value current Quorn</w:t>
            </w:r>
            <w:r w:rsidRPr="00142FE3">
              <w:rPr>
                <w:i/>
                <w:sz w:val="18"/>
                <w:szCs w:val="18"/>
              </w:rPr>
              <w:fldChar w:fldCharType="begin"/>
            </w:r>
            <w:r w:rsidR="005413B4">
              <w:rPr>
                <w:i/>
                <w:sz w:val="18"/>
                <w:szCs w:val="18"/>
              </w:rPr>
              <w:instrText xml:space="preserve"> ADDIN ZOTERO_ITEM CSL_CITATION {"citationID":"gdU72PlZ","properties":{"formattedCitation":"\\super 41,131,132\\nosupersub{}","plainCitation":"41,131,132","noteIndex":0},"citationItems":[{"id":13068,"uris":["http://zotero.org/users/6423791/items/RK8J2DQC"],"itemData":{"id":13068,"type":"article-journal","abstract":"Alternative protein sources such as microbial protein (MP) are currently considered to alleviate the burden that food production exerts on the environment. Even though MP production is highly efficient in land and nutrient utilization, their carbon footprint should be improved. Here we propose the use of CCU as a driver for heterotrophic MP production. By comparing different MP production routes starting from liquid substrates derived from CO2 (i.e., formate, acetate, methanol, and ethanol) and their respective metabolic pathways, the potential of this concept as a carbon–neutral food or feed production process was estimated. Acetate and ethanol appear to be the most beneficial substrates for the integrated CCU-to-MP process in terms of electricity demand (acetate: 25 – 54 kWh/kgproduct, ethanol: 28 – 56 kWh/kgproduct). Moreover, recycling CO2 enables a carbon-negative protein production process by 2030 (considering the projected CO2 emissions from electricity in the EU: 0.096 kgCO2-eq/kWh) for formate, acetate, and ethanol (-1.1 up to 13 kgCO2-eq/kgproduct).","container-title":"Bioresource Technology","DOI":"10.1016/j.biortech.2022.126853","ISSN":"0960-8524","journalAbbreviation":"Bioresour. Technol.","language":"en","page":"126853","source":"ScienceDirect","title":"Towards new carbon–neutral food systems: Combining carbon capture and utilization with microbial protein production","title-short":"Towards new carbon–neutral food systems","volume":"349","author":[{"family":"Van Peteghem","given":"L."},{"family":"Sakarika","given":"M."},{"family":"Matassa","given":"S."},{"family":"Pikaar","given":"I."},{"family":"Ganigué","given":"R."},{"family":"Rabaey","given":"K."}],"issued":{"date-parts":[["2022",4,1]]}}},{"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Van"},{"family":"Hallett","given":"Jason"},{"family":"Guo","given":"Miao"}],"issued":{"date-parts":[["2021"]]}}},{"id":9392,"uris":["http://zotero.org/users/6423791/items/5M6ND2Q5"],"itemData":{"id":9392,"type":"article-journal","abstract":"In recent years, the cellular agriculture concept has been proposed as an option to replace livestock proteins. This study presents a conceptual level techno-economic analysis of four concepts where food is produced by microorganisms based on wheat straw. Three single-cell proteins and one recombinant protein process were conceptualized. The process included steam explosion pretreatment, enzymatic hydrolysis, fermentation, and downstream processing. The enzymatic hydrolysis was optimized to minimize the production costs. The minimum protein selling price was determined by net present value using the discounted cash-flow method, which was compared to respective animal and plant proteins. The minimum protein selling prices were 5160–9007 €/ton proposing the processes to be in the feasible range, but the processes still require further development. The sensitivity of the parameters was estimated by sensitivity analysis, which revealed the most critical components in the production to be capacity, investment, interest, and enzyme and raw material costs.","container-title":"Bioresource Technology Reports","DOI":"10.1016/j.biteb.2021.100683","ISSN":"2589-014X","journalAbbreviation":"Bioresour. Technol. Rep.","language":"en","page":"100683","source":"ScienceDirect","title":"Economic comparison of food protein production with single-cell organisms from lignocellulose side-streams","volume":"14","author":[{"family":"Voutilainen","given":"Eveliina"},{"family":"Pihlajaniemi","given":"Ville"},{"family":"Parviainen","given":"Tuure"}],"issued":{"date-parts":[["2021",3,18]]}}}],"schema":"https://github.com/citation-style-language/schema/raw/master/csl-citation.json"} </w:instrText>
            </w:r>
            <w:r w:rsidRPr="00142FE3">
              <w:rPr>
                <w:i/>
                <w:sz w:val="18"/>
                <w:szCs w:val="18"/>
              </w:rPr>
              <w:fldChar w:fldCharType="separate"/>
            </w:r>
            <w:r w:rsidR="005413B4" w:rsidRPr="005413B4">
              <w:rPr>
                <w:rFonts w:ascii="Calibri" w:hAnsi="Calibri" w:cs="Calibri"/>
                <w:sz w:val="18"/>
                <w:szCs w:val="24"/>
                <w:vertAlign w:val="superscript"/>
              </w:rPr>
              <w:t>41,131,132</w:t>
            </w:r>
            <w:r w:rsidRPr="00142FE3">
              <w:rPr>
                <w:i/>
                <w:sz w:val="18"/>
                <w:szCs w:val="18"/>
              </w:rPr>
              <w:fldChar w:fldCharType="end"/>
            </w:r>
          </w:p>
        </w:tc>
      </w:tr>
      <w:tr w:rsidR="008031AE" w:rsidRPr="00142FE3" w14:paraId="07023878"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06A42F9A" w14:textId="77777777" w:rsidR="008031AE" w:rsidRPr="00142FE3" w:rsidRDefault="008031AE" w:rsidP="006D537D">
            <w:pPr>
              <w:rPr>
                <w:sz w:val="18"/>
                <w:szCs w:val="18"/>
              </w:rPr>
            </w:pPr>
            <w:r w:rsidRPr="00142FE3">
              <w:rPr>
                <w:sz w:val="18"/>
                <w:szCs w:val="18"/>
              </w:rPr>
              <w:t>121</w:t>
            </w:r>
          </w:p>
        </w:tc>
        <w:tc>
          <w:tcPr>
            <w:tcW w:w="2472" w:type="dxa"/>
          </w:tcPr>
          <w:p w14:paraId="63C2D3C0" w14:textId="77777777" w:rsidR="008031AE" w:rsidRPr="00142FE3" w:rsidRDefault="008031AE" w:rsidP="006D537D">
            <w:pPr>
              <w:jc w:val="right"/>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Myco RNA content</w:t>
            </w:r>
          </w:p>
        </w:tc>
        <w:tc>
          <w:tcPr>
            <w:tcW w:w="992" w:type="dxa"/>
          </w:tcPr>
          <w:p w14:paraId="44425E6B" w14:textId="77777777" w:rsidR="008031AE" w:rsidRPr="00142FE3"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w:t>
            </w:r>
            <w:r w:rsidRPr="00142FE3">
              <w:rPr>
                <w:sz w:val="18"/>
                <w:szCs w:val="18"/>
                <w:vertAlign w:val="subscript"/>
              </w:rPr>
              <w:t>DM</w:t>
            </w:r>
          </w:p>
        </w:tc>
        <w:tc>
          <w:tcPr>
            <w:tcW w:w="851" w:type="dxa"/>
          </w:tcPr>
          <w:p w14:paraId="412CF767" w14:textId="77777777" w:rsidR="008031AE" w:rsidRPr="00142FE3"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9%</w:t>
            </w:r>
          </w:p>
        </w:tc>
        <w:tc>
          <w:tcPr>
            <w:tcW w:w="992" w:type="dxa"/>
          </w:tcPr>
          <w:p w14:paraId="751BFDA9" w14:textId="77777777" w:rsidR="008031AE" w:rsidRPr="00142FE3"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7-11%</w:t>
            </w:r>
          </w:p>
        </w:tc>
        <w:tc>
          <w:tcPr>
            <w:tcW w:w="3245" w:type="dxa"/>
            <w:vMerge w:val="restart"/>
          </w:tcPr>
          <w:p w14:paraId="4DDF3507" w14:textId="471E4B8A" w:rsidR="008031AE" w:rsidRPr="00142FE3" w:rsidRDefault="008031AE" w:rsidP="006D537D">
            <w:pPr>
              <w:jc w:val="both"/>
              <w:cnfStyle w:val="000000000000" w:firstRow="0" w:lastRow="0" w:firstColumn="0" w:lastColumn="0" w:oddVBand="0" w:evenVBand="0" w:oddHBand="0" w:evenHBand="0" w:firstRowFirstColumn="0" w:firstRowLastColumn="0" w:lastRowFirstColumn="0" w:lastRowLastColumn="0"/>
              <w:rPr>
                <w:i/>
                <w:sz w:val="18"/>
                <w:szCs w:val="18"/>
              </w:rPr>
            </w:pPr>
            <w:r w:rsidRPr="00142FE3">
              <w:rPr>
                <w:i/>
                <w:sz w:val="18"/>
                <w:szCs w:val="18"/>
              </w:rPr>
              <w:t xml:space="preserve">See </w:t>
            </w:r>
            <w:r w:rsidR="00042BF3" w:rsidRPr="00142FE3">
              <w:rPr>
                <w:b/>
                <w:i/>
                <w:sz w:val="18"/>
                <w:szCs w:val="18"/>
              </w:rPr>
              <w:fldChar w:fldCharType="begin"/>
            </w:r>
            <w:r w:rsidR="00042BF3" w:rsidRPr="00142FE3">
              <w:rPr>
                <w:b/>
                <w:i/>
                <w:sz w:val="18"/>
                <w:szCs w:val="18"/>
              </w:rPr>
              <w:instrText xml:space="preserve"> REF _Ref144820344 \h  \* MERGEFORMAT </w:instrText>
            </w:r>
            <w:r w:rsidR="00042BF3" w:rsidRPr="00142FE3">
              <w:rPr>
                <w:b/>
                <w:i/>
                <w:sz w:val="18"/>
                <w:szCs w:val="18"/>
              </w:rPr>
            </w:r>
            <w:r w:rsidR="00042BF3" w:rsidRPr="00142FE3">
              <w:rPr>
                <w:b/>
                <w:i/>
                <w:sz w:val="18"/>
                <w:szCs w:val="18"/>
              </w:rPr>
              <w:fldChar w:fldCharType="separate"/>
            </w:r>
            <w:r w:rsidR="00F25F8C" w:rsidRPr="00142FE3">
              <w:rPr>
                <w:b/>
                <w:i/>
                <w:sz w:val="18"/>
                <w:szCs w:val="18"/>
              </w:rPr>
              <w:t xml:space="preserve">Table SI. </w:t>
            </w:r>
            <w:r w:rsidR="00F25F8C" w:rsidRPr="00142FE3">
              <w:rPr>
                <w:b/>
                <w:i/>
                <w:noProof/>
                <w:sz w:val="18"/>
                <w:szCs w:val="18"/>
              </w:rPr>
              <w:t>51</w:t>
            </w:r>
            <w:r w:rsidR="00042BF3" w:rsidRPr="00142FE3">
              <w:rPr>
                <w:b/>
                <w:i/>
                <w:sz w:val="18"/>
                <w:szCs w:val="18"/>
              </w:rPr>
              <w:fldChar w:fldCharType="end"/>
            </w:r>
          </w:p>
        </w:tc>
      </w:tr>
      <w:tr w:rsidR="008031AE" w:rsidRPr="00142FE3" w14:paraId="5E27D08F"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B3D0EC9" w14:textId="77777777" w:rsidR="008031AE" w:rsidRPr="00142FE3" w:rsidRDefault="008031AE" w:rsidP="006D537D">
            <w:pPr>
              <w:rPr>
                <w:sz w:val="18"/>
                <w:szCs w:val="18"/>
              </w:rPr>
            </w:pPr>
            <w:r w:rsidRPr="00142FE3">
              <w:rPr>
                <w:sz w:val="18"/>
                <w:szCs w:val="18"/>
              </w:rPr>
              <w:t>122</w:t>
            </w:r>
          </w:p>
        </w:tc>
        <w:tc>
          <w:tcPr>
            <w:tcW w:w="2472" w:type="dxa"/>
          </w:tcPr>
          <w:p w14:paraId="706D21E3" w14:textId="77777777" w:rsidR="008031AE" w:rsidRPr="00142FE3" w:rsidRDefault="008031AE" w:rsidP="006D537D">
            <w:pPr>
              <w:jc w:val="right"/>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Myco digestibility</w:t>
            </w:r>
          </w:p>
        </w:tc>
        <w:tc>
          <w:tcPr>
            <w:tcW w:w="992" w:type="dxa"/>
          </w:tcPr>
          <w:p w14:paraId="25B9FED2" w14:textId="77777777" w:rsidR="008031AE" w:rsidRPr="00142FE3"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w:t>
            </w:r>
            <w:r w:rsidRPr="00142FE3">
              <w:rPr>
                <w:sz w:val="18"/>
                <w:szCs w:val="18"/>
                <w:vertAlign w:val="subscript"/>
              </w:rPr>
              <w:t>OM</w:t>
            </w:r>
          </w:p>
        </w:tc>
        <w:tc>
          <w:tcPr>
            <w:tcW w:w="851" w:type="dxa"/>
          </w:tcPr>
          <w:p w14:paraId="6B7193C8" w14:textId="77777777" w:rsidR="008031AE" w:rsidRPr="00142FE3"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88%</w:t>
            </w:r>
          </w:p>
        </w:tc>
        <w:tc>
          <w:tcPr>
            <w:tcW w:w="992" w:type="dxa"/>
          </w:tcPr>
          <w:p w14:paraId="7F3F4328" w14:textId="77777777" w:rsidR="008031AE" w:rsidRPr="00142FE3"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85-93%</w:t>
            </w:r>
          </w:p>
        </w:tc>
        <w:tc>
          <w:tcPr>
            <w:tcW w:w="3245" w:type="dxa"/>
            <w:vMerge/>
          </w:tcPr>
          <w:p w14:paraId="39005E20" w14:textId="77777777" w:rsidR="008031AE" w:rsidRPr="00142FE3" w:rsidRDefault="008031AE" w:rsidP="006D537D">
            <w:pPr>
              <w:jc w:val="both"/>
              <w:cnfStyle w:val="000000100000" w:firstRow="0" w:lastRow="0" w:firstColumn="0" w:lastColumn="0" w:oddVBand="0" w:evenVBand="0" w:oddHBand="1" w:evenHBand="0" w:firstRowFirstColumn="0" w:firstRowLastColumn="0" w:lastRowFirstColumn="0" w:lastRowLastColumn="0"/>
              <w:rPr>
                <w:i/>
                <w:sz w:val="18"/>
                <w:szCs w:val="18"/>
              </w:rPr>
            </w:pPr>
          </w:p>
        </w:tc>
      </w:tr>
      <w:tr w:rsidR="008031AE" w:rsidRPr="00142FE3" w14:paraId="03EDEFFC"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3878DD1C" w14:textId="77777777" w:rsidR="008031AE" w:rsidRPr="00142FE3" w:rsidRDefault="008031AE" w:rsidP="006D537D">
            <w:pPr>
              <w:rPr>
                <w:sz w:val="18"/>
                <w:szCs w:val="18"/>
              </w:rPr>
            </w:pPr>
            <w:r w:rsidRPr="00142FE3">
              <w:rPr>
                <w:sz w:val="18"/>
                <w:szCs w:val="18"/>
              </w:rPr>
              <w:t>123</w:t>
            </w:r>
          </w:p>
        </w:tc>
        <w:tc>
          <w:tcPr>
            <w:tcW w:w="2472" w:type="dxa"/>
          </w:tcPr>
          <w:p w14:paraId="0FC748E0" w14:textId="77777777" w:rsidR="008031AE" w:rsidRPr="00142FE3" w:rsidRDefault="008031AE" w:rsidP="006D537D">
            <w:pPr>
              <w:jc w:val="right"/>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Myco crude fibers</w:t>
            </w:r>
          </w:p>
        </w:tc>
        <w:tc>
          <w:tcPr>
            <w:tcW w:w="992" w:type="dxa"/>
          </w:tcPr>
          <w:p w14:paraId="6B437AB6" w14:textId="77777777" w:rsidR="008031AE" w:rsidRPr="00142FE3"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w:t>
            </w:r>
            <w:r w:rsidRPr="00142FE3">
              <w:rPr>
                <w:sz w:val="18"/>
                <w:szCs w:val="18"/>
                <w:vertAlign w:val="subscript"/>
              </w:rPr>
              <w:t>DM</w:t>
            </w:r>
          </w:p>
        </w:tc>
        <w:tc>
          <w:tcPr>
            <w:tcW w:w="851" w:type="dxa"/>
          </w:tcPr>
          <w:p w14:paraId="16C780F2" w14:textId="77777777" w:rsidR="008031AE" w:rsidRPr="00142FE3"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5%</w:t>
            </w:r>
          </w:p>
        </w:tc>
        <w:tc>
          <w:tcPr>
            <w:tcW w:w="992" w:type="dxa"/>
          </w:tcPr>
          <w:p w14:paraId="7EAA7BE2" w14:textId="77777777" w:rsidR="008031AE" w:rsidRPr="00142FE3"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r w:rsidRPr="00142FE3">
              <w:rPr>
                <w:sz w:val="18"/>
                <w:szCs w:val="18"/>
              </w:rPr>
              <w:t>1-10%</w:t>
            </w:r>
          </w:p>
        </w:tc>
        <w:tc>
          <w:tcPr>
            <w:tcW w:w="3245" w:type="dxa"/>
            <w:vMerge/>
          </w:tcPr>
          <w:p w14:paraId="6D5F813D" w14:textId="77777777" w:rsidR="008031AE" w:rsidRPr="00142FE3" w:rsidRDefault="008031AE" w:rsidP="006D537D">
            <w:pPr>
              <w:jc w:val="both"/>
              <w:cnfStyle w:val="000000000000" w:firstRow="0" w:lastRow="0" w:firstColumn="0" w:lastColumn="0" w:oddVBand="0" w:evenVBand="0" w:oddHBand="0" w:evenHBand="0" w:firstRowFirstColumn="0" w:firstRowLastColumn="0" w:lastRowFirstColumn="0" w:lastRowLastColumn="0"/>
              <w:rPr>
                <w:i/>
                <w:sz w:val="18"/>
                <w:szCs w:val="18"/>
              </w:rPr>
            </w:pPr>
          </w:p>
        </w:tc>
      </w:tr>
      <w:tr w:rsidR="008031AE" w:rsidRPr="00142FE3" w14:paraId="27420708"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A1C3C89" w14:textId="77777777" w:rsidR="008031AE" w:rsidRPr="00142FE3" w:rsidRDefault="008031AE" w:rsidP="006D537D">
            <w:pPr>
              <w:rPr>
                <w:sz w:val="18"/>
                <w:szCs w:val="18"/>
              </w:rPr>
            </w:pPr>
            <w:r w:rsidRPr="00142FE3">
              <w:rPr>
                <w:sz w:val="18"/>
                <w:szCs w:val="18"/>
              </w:rPr>
              <w:t>23</w:t>
            </w:r>
          </w:p>
        </w:tc>
        <w:tc>
          <w:tcPr>
            <w:tcW w:w="2472" w:type="dxa"/>
          </w:tcPr>
          <w:p w14:paraId="084B3122" w14:textId="77777777" w:rsidR="008031AE" w:rsidRPr="00142FE3" w:rsidRDefault="008031AE" w:rsidP="006D537D">
            <w:pPr>
              <w:jc w:val="right"/>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COP frigo</w:t>
            </w:r>
          </w:p>
        </w:tc>
        <w:tc>
          <w:tcPr>
            <w:tcW w:w="992" w:type="dxa"/>
          </w:tcPr>
          <w:p w14:paraId="47A8A544" w14:textId="77777777" w:rsidR="008031AE" w:rsidRPr="00142FE3"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142FE3">
              <w:rPr>
                <w:sz w:val="18"/>
                <w:szCs w:val="18"/>
              </w:rPr>
              <w:t>kW.kWe</w:t>
            </w:r>
            <w:proofErr w:type="gramEnd"/>
            <w:r w:rsidRPr="00142FE3">
              <w:rPr>
                <w:sz w:val="18"/>
                <w:szCs w:val="18"/>
                <w:vertAlign w:val="superscript"/>
              </w:rPr>
              <w:t>-1</w:t>
            </w:r>
          </w:p>
        </w:tc>
        <w:tc>
          <w:tcPr>
            <w:tcW w:w="851" w:type="dxa"/>
          </w:tcPr>
          <w:p w14:paraId="2BD8F939" w14:textId="77777777" w:rsidR="008031AE" w:rsidRPr="00142FE3"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3.5</w:t>
            </w:r>
          </w:p>
        </w:tc>
        <w:tc>
          <w:tcPr>
            <w:tcW w:w="992" w:type="dxa"/>
          </w:tcPr>
          <w:p w14:paraId="3DDDB92D" w14:textId="77777777" w:rsidR="008031AE" w:rsidRPr="00142FE3"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r w:rsidRPr="00142FE3">
              <w:rPr>
                <w:sz w:val="18"/>
                <w:szCs w:val="18"/>
              </w:rPr>
              <w:t>3-4</w:t>
            </w:r>
          </w:p>
        </w:tc>
        <w:tc>
          <w:tcPr>
            <w:tcW w:w="3245" w:type="dxa"/>
          </w:tcPr>
          <w:p w14:paraId="7E15D966" w14:textId="77777777" w:rsidR="008031AE" w:rsidRPr="00142FE3" w:rsidRDefault="008031AE" w:rsidP="006D537D">
            <w:pPr>
              <w:jc w:val="both"/>
              <w:cnfStyle w:val="000000100000" w:firstRow="0" w:lastRow="0" w:firstColumn="0" w:lastColumn="0" w:oddVBand="0" w:evenVBand="0" w:oddHBand="1" w:evenHBand="0" w:firstRowFirstColumn="0" w:firstRowLastColumn="0" w:lastRowFirstColumn="0" w:lastRowLastColumn="0"/>
              <w:rPr>
                <w:i/>
                <w:sz w:val="18"/>
                <w:szCs w:val="18"/>
              </w:rPr>
            </w:pPr>
            <w:r w:rsidRPr="00142FE3">
              <w:rPr>
                <w:i/>
                <w:sz w:val="18"/>
                <w:szCs w:val="18"/>
              </w:rPr>
              <w:t>Common refrigeration systems.</w:t>
            </w:r>
          </w:p>
        </w:tc>
      </w:tr>
      <w:tr w:rsidR="008031AE" w:rsidRPr="00142FE3" w14:paraId="4D11AE75" w14:textId="77777777" w:rsidTr="006B5342">
        <w:tc>
          <w:tcPr>
            <w:cnfStyle w:val="001000000000" w:firstRow="0" w:lastRow="0" w:firstColumn="1" w:lastColumn="0" w:oddVBand="0" w:evenVBand="0" w:oddHBand="0" w:evenHBand="0" w:firstRowFirstColumn="0" w:firstRowLastColumn="0" w:lastRowFirstColumn="0" w:lastRowLastColumn="0"/>
            <w:tcW w:w="0" w:type="auto"/>
            <w:gridSpan w:val="6"/>
          </w:tcPr>
          <w:p w14:paraId="2B1483D1" w14:textId="187F4980" w:rsidR="008031AE" w:rsidRPr="00142FE3" w:rsidRDefault="00042BF3" w:rsidP="006D537D">
            <w:pPr>
              <w:rPr>
                <w:b w:val="0"/>
                <w:i/>
                <w:sz w:val="18"/>
                <w:szCs w:val="18"/>
              </w:rPr>
            </w:pPr>
            <w:r w:rsidRPr="00142FE3">
              <w:rPr>
                <w:b w:val="0"/>
                <w:i/>
                <w:sz w:val="18"/>
                <w:szCs w:val="18"/>
              </w:rPr>
              <w:t xml:space="preserve">Other common parameters in </w:t>
            </w:r>
            <w:r w:rsidRPr="00142FE3">
              <w:rPr>
                <w:i/>
                <w:sz w:val="18"/>
                <w:szCs w:val="18"/>
              </w:rPr>
              <w:t xml:space="preserve">section </w:t>
            </w:r>
            <w:r w:rsidR="00C913E1">
              <w:rPr>
                <w:i/>
                <w:sz w:val="18"/>
                <w:szCs w:val="18"/>
              </w:rPr>
              <w:t xml:space="preserve">SI. </w:t>
            </w:r>
            <w:r w:rsidRPr="00142FE3">
              <w:rPr>
                <w:i/>
                <w:sz w:val="18"/>
                <w:szCs w:val="18"/>
              </w:rPr>
              <w:fldChar w:fldCharType="begin"/>
            </w:r>
            <w:r w:rsidRPr="00142FE3">
              <w:rPr>
                <w:i/>
                <w:sz w:val="18"/>
                <w:szCs w:val="18"/>
              </w:rPr>
              <w:instrText xml:space="preserve"> REF _Ref144802667 \r \h </w:instrText>
            </w:r>
            <w:r w:rsidR="00142FE3" w:rsidRPr="00142FE3">
              <w:rPr>
                <w:i/>
                <w:sz w:val="18"/>
                <w:szCs w:val="18"/>
              </w:rPr>
              <w:instrText xml:space="preserve"> \* MERGEFORMAT </w:instrText>
            </w:r>
            <w:r w:rsidRPr="00142FE3">
              <w:rPr>
                <w:i/>
                <w:sz w:val="18"/>
                <w:szCs w:val="18"/>
              </w:rPr>
            </w:r>
            <w:r w:rsidRPr="00142FE3">
              <w:rPr>
                <w:i/>
                <w:sz w:val="18"/>
                <w:szCs w:val="18"/>
              </w:rPr>
              <w:fldChar w:fldCharType="separate"/>
            </w:r>
            <w:r w:rsidR="00F25F8C" w:rsidRPr="00142FE3">
              <w:rPr>
                <w:i/>
                <w:sz w:val="18"/>
                <w:szCs w:val="18"/>
              </w:rPr>
              <w:t>4.1</w:t>
            </w:r>
            <w:r w:rsidRPr="00142FE3">
              <w:rPr>
                <w:i/>
                <w:sz w:val="18"/>
                <w:szCs w:val="18"/>
              </w:rPr>
              <w:fldChar w:fldCharType="end"/>
            </w:r>
            <w:r w:rsidRPr="00142FE3">
              <w:rPr>
                <w:b w:val="0"/>
                <w:i/>
                <w:sz w:val="18"/>
                <w:szCs w:val="18"/>
              </w:rPr>
              <w:t>.</w:t>
            </w:r>
          </w:p>
        </w:tc>
      </w:tr>
    </w:tbl>
    <w:p w14:paraId="3A5EADEC" w14:textId="61AA1A09" w:rsidR="008031AE" w:rsidRPr="003F5DA8" w:rsidRDefault="008031AE" w:rsidP="006B5342">
      <w:pPr>
        <w:jc w:val="both"/>
        <w:rPr>
          <w:sz w:val="18"/>
        </w:rPr>
      </w:pPr>
      <w:r w:rsidRPr="003F5DA8">
        <w:rPr>
          <w:sz w:val="18"/>
        </w:rPr>
        <w:t xml:space="preserve">Numbering of parameters corresponds to the one </w:t>
      </w:r>
      <w:r w:rsidRPr="00142FE3">
        <w:rPr>
          <w:sz w:val="18"/>
        </w:rPr>
        <w:t xml:space="preserve">of </w:t>
      </w:r>
      <w:r w:rsidR="00877BEE" w:rsidRPr="00142FE3">
        <w:rPr>
          <w:b/>
          <w:sz w:val="18"/>
          <w:szCs w:val="18"/>
        </w:rPr>
        <w:fldChar w:fldCharType="begin"/>
      </w:r>
      <w:r w:rsidR="00877BEE" w:rsidRPr="00142FE3">
        <w:rPr>
          <w:b/>
          <w:sz w:val="18"/>
          <w:szCs w:val="18"/>
        </w:rPr>
        <w:instrText xml:space="preserve"> REF _Ref144914839 \h  \* MERGEFORMAT </w:instrText>
      </w:r>
      <w:r w:rsidR="00877BEE" w:rsidRPr="00142FE3">
        <w:rPr>
          <w:b/>
          <w:sz w:val="18"/>
          <w:szCs w:val="18"/>
        </w:rPr>
      </w:r>
      <w:r w:rsidR="00877BEE" w:rsidRPr="00142FE3">
        <w:rPr>
          <w:b/>
          <w:sz w:val="18"/>
          <w:szCs w:val="18"/>
        </w:rPr>
        <w:fldChar w:fldCharType="separate"/>
      </w:r>
      <w:r w:rsidR="00877BEE" w:rsidRPr="00142FE3">
        <w:rPr>
          <w:b/>
          <w:sz w:val="18"/>
          <w:szCs w:val="18"/>
        </w:rPr>
        <w:t xml:space="preserve">Table SI. </w:t>
      </w:r>
      <w:r w:rsidR="00877BEE" w:rsidRPr="00142FE3">
        <w:rPr>
          <w:b/>
          <w:noProof/>
          <w:sz w:val="18"/>
          <w:szCs w:val="18"/>
        </w:rPr>
        <w:t>103</w:t>
      </w:r>
      <w:r w:rsidR="00877BEE" w:rsidRPr="00142FE3">
        <w:rPr>
          <w:b/>
          <w:sz w:val="18"/>
          <w:szCs w:val="18"/>
        </w:rPr>
        <w:fldChar w:fldCharType="end"/>
      </w:r>
      <w:r w:rsidRPr="003F5DA8">
        <w:rPr>
          <w:sz w:val="18"/>
        </w:rPr>
        <w:t>. Parameters specific to mycoproteins production stage but not mentioned in this table were assumed as constants. Transportation requirements in</w:t>
      </w:r>
      <w:r w:rsidR="00042BF3">
        <w:rPr>
          <w:sz w:val="18"/>
        </w:rPr>
        <w:t xml:space="preserve"> </w:t>
      </w:r>
      <w:r w:rsidR="00042BF3" w:rsidRPr="00042BF3">
        <w:rPr>
          <w:b/>
          <w:sz w:val="18"/>
          <w:szCs w:val="18"/>
        </w:rPr>
        <w:fldChar w:fldCharType="begin"/>
      </w:r>
      <w:r w:rsidR="00042BF3" w:rsidRPr="00042BF3">
        <w:rPr>
          <w:b/>
          <w:sz w:val="18"/>
          <w:szCs w:val="18"/>
        </w:rPr>
        <w:instrText xml:space="preserve"> REF _Ref144738047 \h  \* MERGEFORMAT </w:instrText>
      </w:r>
      <w:r w:rsidR="00042BF3" w:rsidRPr="00042BF3">
        <w:rPr>
          <w:b/>
          <w:sz w:val="18"/>
          <w:szCs w:val="18"/>
        </w:rPr>
      </w:r>
      <w:r w:rsidR="00042BF3" w:rsidRPr="00042BF3">
        <w:rPr>
          <w:b/>
          <w:sz w:val="18"/>
          <w:szCs w:val="18"/>
        </w:rPr>
        <w:fldChar w:fldCharType="separate"/>
      </w:r>
      <w:r w:rsidR="00F25F8C" w:rsidRPr="00F25F8C">
        <w:rPr>
          <w:b/>
          <w:sz w:val="18"/>
          <w:szCs w:val="18"/>
        </w:rPr>
        <w:t xml:space="preserve">Table SI. </w:t>
      </w:r>
      <w:r w:rsidR="00F25F8C" w:rsidRPr="00F25F8C">
        <w:rPr>
          <w:b/>
          <w:noProof/>
          <w:sz w:val="18"/>
          <w:szCs w:val="18"/>
        </w:rPr>
        <w:t>15</w:t>
      </w:r>
      <w:r w:rsidR="00042BF3" w:rsidRPr="00042BF3">
        <w:rPr>
          <w:b/>
          <w:sz w:val="18"/>
          <w:szCs w:val="18"/>
        </w:rPr>
        <w:fldChar w:fldCharType="end"/>
      </w:r>
      <w:r w:rsidRPr="003F5DA8">
        <w:rPr>
          <w:sz w:val="18"/>
        </w:rPr>
        <w:t>.</w:t>
      </w:r>
    </w:p>
    <w:p w14:paraId="5D431465" w14:textId="68A706B5" w:rsidR="008031AE" w:rsidRDefault="008031AE" w:rsidP="008031AE">
      <w:pPr>
        <w:jc w:val="both"/>
      </w:pPr>
      <w:r w:rsidRPr="003F5DA8">
        <w:t>The background processes used specific</w:t>
      </w:r>
      <w:r w:rsidR="00142FE3">
        <w:t>ally for</w:t>
      </w:r>
      <w:r w:rsidRPr="003F5DA8">
        <w:t xml:space="preserve"> this </w:t>
      </w:r>
      <w:r w:rsidR="00142FE3">
        <w:t xml:space="preserve">LCI </w:t>
      </w:r>
      <w:r w:rsidRPr="003F5DA8">
        <w:t>model are gathered in</w:t>
      </w:r>
      <w:r w:rsidR="00042BF3">
        <w:rPr>
          <w:b/>
        </w:rPr>
        <w:t xml:space="preserve"> </w:t>
      </w:r>
      <w:r w:rsidR="00042BF3" w:rsidRPr="00042BF3">
        <w:rPr>
          <w:b/>
        </w:rPr>
        <w:fldChar w:fldCharType="begin"/>
      </w:r>
      <w:r w:rsidR="00042BF3" w:rsidRPr="00042BF3">
        <w:rPr>
          <w:b/>
        </w:rPr>
        <w:instrText xml:space="preserve"> REF _Ref144820217 \h  \* MERGEFORMAT </w:instrText>
      </w:r>
      <w:r w:rsidR="00042BF3" w:rsidRPr="00042BF3">
        <w:rPr>
          <w:b/>
        </w:rPr>
      </w:r>
      <w:r w:rsidR="00042BF3" w:rsidRPr="00042BF3">
        <w:rPr>
          <w:b/>
        </w:rPr>
        <w:fldChar w:fldCharType="separate"/>
      </w:r>
      <w:r w:rsidR="00F25F8C" w:rsidRPr="00F25F8C">
        <w:rPr>
          <w:b/>
        </w:rPr>
        <w:t xml:space="preserve">Table SI. </w:t>
      </w:r>
      <w:r w:rsidR="00F25F8C" w:rsidRPr="00F25F8C">
        <w:rPr>
          <w:b/>
          <w:noProof/>
        </w:rPr>
        <w:t>54</w:t>
      </w:r>
      <w:r w:rsidR="00042BF3" w:rsidRPr="00042BF3">
        <w:rPr>
          <w:b/>
        </w:rPr>
        <w:fldChar w:fldCharType="end"/>
      </w:r>
      <w:r w:rsidRPr="003F5DA8">
        <w:t>.</w:t>
      </w:r>
    </w:p>
    <w:p w14:paraId="476D2FB7" w14:textId="1F417D44" w:rsidR="008031AE" w:rsidRPr="0029531F" w:rsidRDefault="00874128" w:rsidP="006B5342">
      <w:pPr>
        <w:pStyle w:val="Lgende"/>
        <w:jc w:val="left"/>
        <w:rPr>
          <w:b w:val="0"/>
          <w:i/>
        </w:rPr>
      </w:pPr>
      <w:bookmarkStart w:id="238" w:name="_Ref144820217"/>
      <w:bookmarkStart w:id="239" w:name="_Toc134537666"/>
      <w:bookmarkStart w:id="240" w:name="_Toc151967938"/>
      <w:r>
        <w:t>Table SI.</w:t>
      </w:r>
      <w:r w:rsidR="008031AE">
        <w:t xml:space="preserve"> </w:t>
      </w:r>
      <w:r>
        <w:fldChar w:fldCharType="begin"/>
      </w:r>
      <w:r>
        <w:instrText xml:space="preserve"> SEQ Table_SI. \* ARABIC </w:instrText>
      </w:r>
      <w:r>
        <w:fldChar w:fldCharType="separate"/>
      </w:r>
      <w:r w:rsidR="00F25F8C">
        <w:rPr>
          <w:noProof/>
        </w:rPr>
        <w:t>54</w:t>
      </w:r>
      <w:r>
        <w:fldChar w:fldCharType="end"/>
      </w:r>
      <w:bookmarkEnd w:id="238"/>
      <w:r w:rsidR="008031AE">
        <w:t xml:space="preserve"> </w:t>
      </w:r>
      <w:r w:rsidR="008031AE" w:rsidRPr="00B56B39">
        <w:t>– Background processes used specifically for mycoproteins production</w:t>
      </w:r>
      <w:bookmarkEnd w:id="239"/>
      <w:bookmarkEnd w:id="240"/>
    </w:p>
    <w:tbl>
      <w:tblPr>
        <w:tblStyle w:val="Tableausimple2"/>
        <w:tblW w:w="0" w:type="auto"/>
        <w:tblLook w:val="04A0" w:firstRow="1" w:lastRow="0" w:firstColumn="1" w:lastColumn="0" w:noHBand="0" w:noVBand="1"/>
      </w:tblPr>
      <w:tblGrid>
        <w:gridCol w:w="3909"/>
        <w:gridCol w:w="1220"/>
        <w:gridCol w:w="3913"/>
      </w:tblGrid>
      <w:tr w:rsidR="008031AE" w:rsidRPr="006B5342" w14:paraId="0A585E7B"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09" w:type="dxa"/>
          </w:tcPr>
          <w:p w14:paraId="42CC60D0" w14:textId="77777777" w:rsidR="008031AE" w:rsidRPr="006B5342" w:rsidRDefault="008031AE" w:rsidP="006D537D">
            <w:pPr>
              <w:jc w:val="right"/>
              <w:rPr>
                <w:sz w:val="18"/>
                <w:szCs w:val="18"/>
              </w:rPr>
            </w:pPr>
            <w:r w:rsidRPr="006B5342">
              <w:rPr>
                <w:sz w:val="18"/>
                <w:szCs w:val="18"/>
              </w:rPr>
              <w:t>Background process</w:t>
            </w:r>
          </w:p>
        </w:tc>
        <w:tc>
          <w:tcPr>
            <w:tcW w:w="1220" w:type="dxa"/>
          </w:tcPr>
          <w:p w14:paraId="35AAE387" w14:textId="77777777" w:rsidR="008031AE" w:rsidRPr="006B5342" w:rsidRDefault="008031AE" w:rsidP="006D537D">
            <w:pPr>
              <w:cnfStyle w:val="100000000000" w:firstRow="1" w:lastRow="0" w:firstColumn="0" w:lastColumn="0" w:oddVBand="0" w:evenVBand="0" w:oddHBand="0" w:evenHBand="0" w:firstRowFirstColumn="0" w:firstRowLastColumn="0" w:lastRowFirstColumn="0" w:lastRowLastColumn="0"/>
              <w:rPr>
                <w:sz w:val="18"/>
                <w:szCs w:val="18"/>
              </w:rPr>
            </w:pPr>
            <w:r w:rsidRPr="006B5342">
              <w:rPr>
                <w:sz w:val="18"/>
                <w:szCs w:val="18"/>
              </w:rPr>
              <w:t>Unit operation</w:t>
            </w:r>
          </w:p>
        </w:tc>
        <w:tc>
          <w:tcPr>
            <w:tcW w:w="3913" w:type="dxa"/>
          </w:tcPr>
          <w:p w14:paraId="77E79552" w14:textId="77777777" w:rsidR="008031AE" w:rsidRPr="006B5342" w:rsidRDefault="008031AE" w:rsidP="006D537D">
            <w:pPr>
              <w:cnfStyle w:val="100000000000" w:firstRow="1" w:lastRow="0" w:firstColumn="0" w:lastColumn="0" w:oddVBand="0" w:evenVBand="0" w:oddHBand="0" w:evenHBand="0" w:firstRowFirstColumn="0" w:firstRowLastColumn="0" w:lastRowFirstColumn="0" w:lastRowLastColumn="0"/>
              <w:rPr>
                <w:i/>
                <w:sz w:val="18"/>
                <w:szCs w:val="18"/>
              </w:rPr>
            </w:pPr>
            <w:r w:rsidRPr="006B5342">
              <w:rPr>
                <w:i/>
                <w:sz w:val="18"/>
                <w:szCs w:val="18"/>
              </w:rPr>
              <w:t>Comment</w:t>
            </w:r>
          </w:p>
        </w:tc>
      </w:tr>
      <w:tr w:rsidR="008031AE" w:rsidRPr="006B5342" w14:paraId="01691B30"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09" w:type="dxa"/>
          </w:tcPr>
          <w:p w14:paraId="7B2D598A" w14:textId="77777777" w:rsidR="008031AE" w:rsidRPr="006B5342" w:rsidRDefault="008031AE" w:rsidP="006D537D">
            <w:pPr>
              <w:jc w:val="right"/>
              <w:rPr>
                <w:b w:val="0"/>
                <w:sz w:val="18"/>
                <w:szCs w:val="18"/>
              </w:rPr>
            </w:pPr>
            <w:r w:rsidRPr="006B5342">
              <w:rPr>
                <w:b w:val="0"/>
                <w:sz w:val="18"/>
                <w:szCs w:val="18"/>
              </w:rPr>
              <w:t>Market for sodium hydroxide (50%), GLO</w:t>
            </w:r>
          </w:p>
        </w:tc>
        <w:tc>
          <w:tcPr>
            <w:tcW w:w="1220" w:type="dxa"/>
            <w:vMerge w:val="restart"/>
          </w:tcPr>
          <w:p w14:paraId="15D10091" w14:textId="77777777" w:rsidR="008031AE" w:rsidRPr="006B5342"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r w:rsidRPr="006B5342">
              <w:rPr>
                <w:sz w:val="18"/>
                <w:szCs w:val="18"/>
              </w:rPr>
              <w:t>Cleaning</w:t>
            </w:r>
          </w:p>
        </w:tc>
        <w:tc>
          <w:tcPr>
            <w:tcW w:w="3913" w:type="dxa"/>
            <w:vMerge w:val="restart"/>
          </w:tcPr>
          <w:p w14:paraId="0E0F70DA" w14:textId="1ABCBBC7" w:rsidR="008031AE" w:rsidRPr="006B5342" w:rsidRDefault="008031AE" w:rsidP="006D537D">
            <w:pPr>
              <w:jc w:val="both"/>
              <w:cnfStyle w:val="000000100000" w:firstRow="0" w:lastRow="0" w:firstColumn="0" w:lastColumn="0" w:oddVBand="0" w:evenVBand="0" w:oddHBand="1" w:evenHBand="0" w:firstRowFirstColumn="0" w:firstRowLastColumn="0" w:lastRowFirstColumn="0" w:lastRowLastColumn="0"/>
              <w:rPr>
                <w:i/>
                <w:sz w:val="18"/>
                <w:szCs w:val="18"/>
              </w:rPr>
            </w:pPr>
            <w:r w:rsidRPr="006B5342">
              <w:rPr>
                <w:i/>
                <w:sz w:val="18"/>
                <w:szCs w:val="18"/>
              </w:rPr>
              <w:t xml:space="preserve">As for MP production, see </w:t>
            </w:r>
            <w:r w:rsidR="00142FE3" w:rsidRPr="006B5342">
              <w:rPr>
                <w:b/>
                <w:i/>
                <w:sz w:val="18"/>
                <w:szCs w:val="18"/>
              </w:rPr>
              <w:fldChar w:fldCharType="begin"/>
            </w:r>
            <w:r w:rsidR="00142FE3" w:rsidRPr="006B5342">
              <w:rPr>
                <w:b/>
                <w:i/>
                <w:sz w:val="18"/>
                <w:szCs w:val="18"/>
              </w:rPr>
              <w:instrText xml:space="preserve"> REF _Ref144830503 \h  \* MERGEFORMAT </w:instrText>
            </w:r>
            <w:r w:rsidR="00142FE3" w:rsidRPr="006B5342">
              <w:rPr>
                <w:b/>
                <w:i/>
                <w:sz w:val="18"/>
                <w:szCs w:val="18"/>
              </w:rPr>
            </w:r>
            <w:r w:rsidR="00142FE3" w:rsidRPr="006B5342">
              <w:rPr>
                <w:b/>
                <w:i/>
                <w:sz w:val="18"/>
                <w:szCs w:val="18"/>
              </w:rPr>
              <w:fldChar w:fldCharType="separate"/>
            </w:r>
            <w:r w:rsidR="00142FE3" w:rsidRPr="006B5342">
              <w:rPr>
                <w:b/>
                <w:i/>
                <w:sz w:val="18"/>
                <w:szCs w:val="18"/>
              </w:rPr>
              <w:t xml:space="preserve">Table SI. </w:t>
            </w:r>
            <w:r w:rsidR="00142FE3" w:rsidRPr="006B5342">
              <w:rPr>
                <w:b/>
                <w:i/>
                <w:noProof/>
                <w:sz w:val="18"/>
                <w:szCs w:val="18"/>
              </w:rPr>
              <w:t>82</w:t>
            </w:r>
            <w:r w:rsidR="00142FE3" w:rsidRPr="006B5342">
              <w:rPr>
                <w:b/>
                <w:i/>
                <w:sz w:val="18"/>
                <w:szCs w:val="18"/>
              </w:rPr>
              <w:fldChar w:fldCharType="end"/>
            </w:r>
          </w:p>
        </w:tc>
      </w:tr>
      <w:tr w:rsidR="008031AE" w:rsidRPr="006B5342" w14:paraId="2C24C7F5" w14:textId="77777777" w:rsidTr="006B5342">
        <w:tc>
          <w:tcPr>
            <w:cnfStyle w:val="001000000000" w:firstRow="0" w:lastRow="0" w:firstColumn="1" w:lastColumn="0" w:oddVBand="0" w:evenVBand="0" w:oddHBand="0" w:evenHBand="0" w:firstRowFirstColumn="0" w:firstRowLastColumn="0" w:lastRowFirstColumn="0" w:lastRowLastColumn="0"/>
            <w:tcW w:w="3909" w:type="dxa"/>
          </w:tcPr>
          <w:p w14:paraId="3844B88F" w14:textId="77777777" w:rsidR="008031AE" w:rsidRPr="006B5342" w:rsidRDefault="008031AE" w:rsidP="006D537D">
            <w:pPr>
              <w:jc w:val="right"/>
              <w:rPr>
                <w:b w:val="0"/>
                <w:sz w:val="18"/>
                <w:szCs w:val="18"/>
              </w:rPr>
            </w:pPr>
            <w:r w:rsidRPr="006B5342">
              <w:rPr>
                <w:b w:val="0"/>
                <w:sz w:val="18"/>
                <w:szCs w:val="18"/>
              </w:rPr>
              <w:t>Market for tap water, CH</w:t>
            </w:r>
          </w:p>
        </w:tc>
        <w:tc>
          <w:tcPr>
            <w:tcW w:w="1220" w:type="dxa"/>
            <w:vMerge/>
          </w:tcPr>
          <w:p w14:paraId="3F6921AA" w14:textId="77777777" w:rsidR="008031AE" w:rsidRPr="006B5342"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p>
        </w:tc>
        <w:tc>
          <w:tcPr>
            <w:tcW w:w="3913" w:type="dxa"/>
            <w:vMerge/>
          </w:tcPr>
          <w:p w14:paraId="3F3D4249" w14:textId="77777777" w:rsidR="008031AE" w:rsidRPr="006B5342" w:rsidRDefault="008031AE" w:rsidP="006D537D">
            <w:pPr>
              <w:cnfStyle w:val="000000000000" w:firstRow="0" w:lastRow="0" w:firstColumn="0" w:lastColumn="0" w:oddVBand="0" w:evenVBand="0" w:oddHBand="0" w:evenHBand="0" w:firstRowFirstColumn="0" w:firstRowLastColumn="0" w:lastRowFirstColumn="0" w:lastRowLastColumn="0"/>
              <w:rPr>
                <w:i/>
                <w:sz w:val="18"/>
                <w:szCs w:val="18"/>
              </w:rPr>
            </w:pPr>
          </w:p>
        </w:tc>
      </w:tr>
      <w:tr w:rsidR="008031AE" w:rsidRPr="006B5342" w14:paraId="0D020386"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09" w:type="dxa"/>
          </w:tcPr>
          <w:p w14:paraId="1A17C8E4" w14:textId="77777777" w:rsidR="008031AE" w:rsidRPr="006B5342" w:rsidRDefault="008031AE" w:rsidP="006D537D">
            <w:pPr>
              <w:jc w:val="right"/>
              <w:rPr>
                <w:b w:val="0"/>
                <w:sz w:val="18"/>
                <w:szCs w:val="18"/>
              </w:rPr>
            </w:pPr>
            <w:r w:rsidRPr="006B5342">
              <w:rPr>
                <w:b w:val="0"/>
                <w:sz w:val="18"/>
                <w:szCs w:val="18"/>
              </w:rPr>
              <w:t>Market for nitric acid, without water (50%), RoW</w:t>
            </w:r>
          </w:p>
        </w:tc>
        <w:tc>
          <w:tcPr>
            <w:tcW w:w="1220" w:type="dxa"/>
            <w:vMerge/>
          </w:tcPr>
          <w:p w14:paraId="1D827FDD" w14:textId="77777777" w:rsidR="008031AE" w:rsidRPr="006B5342"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p>
        </w:tc>
        <w:tc>
          <w:tcPr>
            <w:tcW w:w="3913" w:type="dxa"/>
            <w:vMerge/>
          </w:tcPr>
          <w:p w14:paraId="326FFB22" w14:textId="77777777" w:rsidR="008031AE" w:rsidRPr="006B5342" w:rsidRDefault="008031AE" w:rsidP="006D537D">
            <w:pPr>
              <w:cnfStyle w:val="000000100000" w:firstRow="0" w:lastRow="0" w:firstColumn="0" w:lastColumn="0" w:oddVBand="0" w:evenVBand="0" w:oddHBand="1" w:evenHBand="0" w:firstRowFirstColumn="0" w:firstRowLastColumn="0" w:lastRowFirstColumn="0" w:lastRowLastColumn="0"/>
              <w:rPr>
                <w:i/>
                <w:sz w:val="18"/>
                <w:szCs w:val="18"/>
              </w:rPr>
            </w:pPr>
          </w:p>
        </w:tc>
      </w:tr>
      <w:tr w:rsidR="008031AE" w:rsidRPr="006B5342" w14:paraId="303EF895" w14:textId="77777777" w:rsidTr="006B5342">
        <w:tc>
          <w:tcPr>
            <w:cnfStyle w:val="001000000000" w:firstRow="0" w:lastRow="0" w:firstColumn="1" w:lastColumn="0" w:oddVBand="0" w:evenVBand="0" w:oddHBand="0" w:evenHBand="0" w:firstRowFirstColumn="0" w:firstRowLastColumn="0" w:lastRowFirstColumn="0" w:lastRowLastColumn="0"/>
            <w:tcW w:w="3909" w:type="dxa"/>
          </w:tcPr>
          <w:p w14:paraId="214DD9B0" w14:textId="77777777" w:rsidR="008031AE" w:rsidRPr="006B5342" w:rsidRDefault="008031AE" w:rsidP="006D537D">
            <w:pPr>
              <w:jc w:val="right"/>
              <w:rPr>
                <w:b w:val="0"/>
                <w:sz w:val="18"/>
                <w:szCs w:val="18"/>
              </w:rPr>
            </w:pPr>
            <w:r w:rsidRPr="006B5342">
              <w:rPr>
                <w:b w:val="0"/>
                <w:sz w:val="18"/>
                <w:szCs w:val="18"/>
              </w:rPr>
              <w:t>Treatment of wastewater from maize starch production, CH</w:t>
            </w:r>
          </w:p>
        </w:tc>
        <w:tc>
          <w:tcPr>
            <w:tcW w:w="1220" w:type="dxa"/>
            <w:vMerge/>
          </w:tcPr>
          <w:p w14:paraId="42A4FCA5" w14:textId="77777777" w:rsidR="008031AE" w:rsidRPr="006B5342"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p>
        </w:tc>
        <w:tc>
          <w:tcPr>
            <w:tcW w:w="3913" w:type="dxa"/>
            <w:vMerge/>
          </w:tcPr>
          <w:p w14:paraId="4E7D1943" w14:textId="77777777" w:rsidR="008031AE" w:rsidRPr="006B5342" w:rsidRDefault="008031AE" w:rsidP="006D537D">
            <w:pPr>
              <w:cnfStyle w:val="000000000000" w:firstRow="0" w:lastRow="0" w:firstColumn="0" w:lastColumn="0" w:oddVBand="0" w:evenVBand="0" w:oddHBand="0" w:evenHBand="0" w:firstRowFirstColumn="0" w:firstRowLastColumn="0" w:lastRowFirstColumn="0" w:lastRowLastColumn="0"/>
              <w:rPr>
                <w:i/>
                <w:sz w:val="18"/>
                <w:szCs w:val="18"/>
              </w:rPr>
            </w:pPr>
          </w:p>
        </w:tc>
      </w:tr>
      <w:tr w:rsidR="008031AE" w:rsidRPr="006B5342" w14:paraId="125BD8DE"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42" w:type="dxa"/>
            <w:gridSpan w:val="3"/>
          </w:tcPr>
          <w:p w14:paraId="7AD32C6A" w14:textId="0C301BFA" w:rsidR="008031AE" w:rsidRPr="006B5342" w:rsidRDefault="008031AE" w:rsidP="006D537D">
            <w:pPr>
              <w:rPr>
                <w:b w:val="0"/>
                <w:i/>
                <w:sz w:val="18"/>
                <w:szCs w:val="18"/>
              </w:rPr>
            </w:pPr>
            <w:r w:rsidRPr="006B5342">
              <w:rPr>
                <w:b w:val="0"/>
                <w:i/>
                <w:sz w:val="18"/>
                <w:szCs w:val="18"/>
              </w:rPr>
              <w:t>Background inventory for mineral medium already detailed in</w:t>
            </w:r>
            <w:r w:rsidR="00A72F74" w:rsidRPr="006B5342">
              <w:rPr>
                <w:b w:val="0"/>
                <w:i/>
                <w:sz w:val="18"/>
                <w:szCs w:val="18"/>
              </w:rPr>
              <w:t xml:space="preserve"> </w:t>
            </w:r>
            <w:r w:rsidR="00A72F74" w:rsidRPr="006B5342">
              <w:rPr>
                <w:i/>
                <w:sz w:val="18"/>
                <w:szCs w:val="18"/>
              </w:rPr>
              <w:fldChar w:fldCharType="begin"/>
            </w:r>
            <w:r w:rsidR="00A72F74" w:rsidRPr="006B5342">
              <w:rPr>
                <w:b w:val="0"/>
                <w:i/>
                <w:sz w:val="18"/>
                <w:szCs w:val="18"/>
              </w:rPr>
              <w:instrText xml:space="preserve"> REF _Ref144820255 \h  \* MERGEFORMAT </w:instrText>
            </w:r>
            <w:r w:rsidR="00A72F74" w:rsidRPr="006B5342">
              <w:rPr>
                <w:i/>
                <w:sz w:val="18"/>
                <w:szCs w:val="18"/>
              </w:rPr>
            </w:r>
            <w:r w:rsidR="00A72F74" w:rsidRPr="006B5342">
              <w:rPr>
                <w:i/>
                <w:sz w:val="18"/>
                <w:szCs w:val="18"/>
              </w:rPr>
              <w:fldChar w:fldCharType="separate"/>
            </w:r>
            <w:r w:rsidR="00F25F8C" w:rsidRPr="006B5342">
              <w:rPr>
                <w:i/>
                <w:sz w:val="18"/>
                <w:szCs w:val="18"/>
              </w:rPr>
              <w:t xml:space="preserve">Table SI. </w:t>
            </w:r>
            <w:r w:rsidR="00F25F8C" w:rsidRPr="006B5342">
              <w:rPr>
                <w:i/>
                <w:noProof/>
                <w:sz w:val="18"/>
                <w:szCs w:val="18"/>
              </w:rPr>
              <w:t>50</w:t>
            </w:r>
            <w:r w:rsidR="00A72F74" w:rsidRPr="006B5342">
              <w:rPr>
                <w:i/>
                <w:sz w:val="18"/>
                <w:szCs w:val="18"/>
              </w:rPr>
              <w:fldChar w:fldCharType="end"/>
            </w:r>
            <w:r w:rsidRPr="006B5342">
              <w:rPr>
                <w:b w:val="0"/>
                <w:i/>
                <w:sz w:val="18"/>
                <w:szCs w:val="18"/>
              </w:rPr>
              <w:t>.</w:t>
            </w:r>
          </w:p>
        </w:tc>
      </w:tr>
      <w:tr w:rsidR="008031AE" w:rsidRPr="006B5342" w14:paraId="53FB0CB4" w14:textId="77777777" w:rsidTr="006B5342">
        <w:tc>
          <w:tcPr>
            <w:cnfStyle w:val="001000000000" w:firstRow="0" w:lastRow="0" w:firstColumn="1" w:lastColumn="0" w:oddVBand="0" w:evenVBand="0" w:oddHBand="0" w:evenHBand="0" w:firstRowFirstColumn="0" w:firstRowLastColumn="0" w:lastRowFirstColumn="0" w:lastRowLastColumn="0"/>
            <w:tcW w:w="3909" w:type="dxa"/>
          </w:tcPr>
          <w:p w14:paraId="689B87F3" w14:textId="77777777" w:rsidR="008031AE" w:rsidRPr="006B5342" w:rsidRDefault="008031AE" w:rsidP="006D537D">
            <w:pPr>
              <w:jc w:val="right"/>
              <w:rPr>
                <w:b w:val="0"/>
                <w:sz w:val="18"/>
                <w:szCs w:val="18"/>
              </w:rPr>
            </w:pPr>
            <w:r w:rsidRPr="006B5342">
              <w:rPr>
                <w:b w:val="0"/>
                <w:sz w:val="18"/>
                <w:szCs w:val="18"/>
              </w:rPr>
              <w:t>Treatment of wastewater from anaerobic digestion of whey, CH</w:t>
            </w:r>
          </w:p>
        </w:tc>
        <w:tc>
          <w:tcPr>
            <w:tcW w:w="1220" w:type="dxa"/>
          </w:tcPr>
          <w:p w14:paraId="31BB642C" w14:textId="77777777" w:rsidR="008031AE" w:rsidRPr="006B5342"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r w:rsidRPr="006B5342">
              <w:rPr>
                <w:sz w:val="18"/>
                <w:szCs w:val="18"/>
              </w:rPr>
              <w:t>Centrifuge (myco_food)</w:t>
            </w:r>
          </w:p>
        </w:tc>
        <w:tc>
          <w:tcPr>
            <w:tcW w:w="3913" w:type="dxa"/>
          </w:tcPr>
          <w:p w14:paraId="7CFEBF3A" w14:textId="2AA2CD07" w:rsidR="008031AE" w:rsidRPr="006B5342" w:rsidRDefault="008031AE" w:rsidP="006D537D">
            <w:pPr>
              <w:jc w:val="both"/>
              <w:cnfStyle w:val="000000000000" w:firstRow="0" w:lastRow="0" w:firstColumn="0" w:lastColumn="0" w:oddVBand="0" w:evenVBand="0" w:oddHBand="0" w:evenHBand="0" w:firstRowFirstColumn="0" w:firstRowLastColumn="0" w:lastRowFirstColumn="0" w:lastRowLastColumn="0"/>
              <w:rPr>
                <w:i/>
                <w:sz w:val="18"/>
                <w:szCs w:val="18"/>
              </w:rPr>
            </w:pPr>
            <w:r w:rsidRPr="006B5342">
              <w:rPr>
                <w:i/>
                <w:sz w:val="18"/>
                <w:szCs w:val="18"/>
              </w:rPr>
              <w:t>Closest proxy of reject wastewater treatment (ca. 18 g</w:t>
            </w:r>
            <w:r w:rsidRPr="006B5342">
              <w:rPr>
                <w:i/>
                <w:sz w:val="18"/>
                <w:szCs w:val="18"/>
                <w:vertAlign w:val="subscript"/>
              </w:rPr>
              <w:t>COD</w:t>
            </w:r>
            <w:r w:rsidRPr="006B5342">
              <w:rPr>
                <w:i/>
                <w:sz w:val="18"/>
                <w:szCs w:val="18"/>
              </w:rPr>
              <w:t>.L</w:t>
            </w:r>
            <w:r w:rsidRPr="006B5342">
              <w:rPr>
                <w:i/>
                <w:sz w:val="18"/>
                <w:szCs w:val="18"/>
                <w:vertAlign w:val="superscript"/>
              </w:rPr>
              <w:t>-1</w:t>
            </w:r>
            <w:r w:rsidRPr="006B5342">
              <w:rPr>
                <w:i/>
                <w:sz w:val="18"/>
                <w:szCs w:val="18"/>
              </w:rPr>
              <w:t xml:space="preserve"> based on</w:t>
            </w:r>
            <w:r w:rsidR="00A72F74" w:rsidRPr="006B5342">
              <w:rPr>
                <w:i/>
                <w:sz w:val="18"/>
                <w:szCs w:val="18"/>
              </w:rPr>
              <w:t xml:space="preserve"> </w:t>
            </w:r>
            <w:r w:rsidR="00A72F74" w:rsidRPr="006B5342">
              <w:rPr>
                <w:b/>
                <w:i/>
                <w:sz w:val="18"/>
                <w:szCs w:val="18"/>
              </w:rPr>
              <w:fldChar w:fldCharType="begin"/>
            </w:r>
            <w:r w:rsidR="00A72F74" w:rsidRPr="006B5342">
              <w:rPr>
                <w:b/>
                <w:i/>
                <w:sz w:val="18"/>
                <w:szCs w:val="18"/>
              </w:rPr>
              <w:instrText xml:space="preserve"> REF _Ref144739643 \h  \* MERGEFORMAT </w:instrText>
            </w:r>
            <w:r w:rsidR="00A72F74" w:rsidRPr="006B5342">
              <w:rPr>
                <w:b/>
                <w:i/>
                <w:sz w:val="18"/>
                <w:szCs w:val="18"/>
              </w:rPr>
            </w:r>
            <w:r w:rsidR="00A72F74" w:rsidRPr="006B5342">
              <w:rPr>
                <w:b/>
                <w:i/>
                <w:sz w:val="18"/>
                <w:szCs w:val="18"/>
              </w:rPr>
              <w:fldChar w:fldCharType="separate"/>
            </w:r>
            <w:r w:rsidR="00F25F8C" w:rsidRPr="006B5342">
              <w:rPr>
                <w:b/>
                <w:i/>
                <w:sz w:val="18"/>
                <w:szCs w:val="18"/>
              </w:rPr>
              <w:t xml:space="preserve">Table SI. </w:t>
            </w:r>
            <w:r w:rsidR="00F25F8C" w:rsidRPr="006B5342">
              <w:rPr>
                <w:b/>
                <w:i/>
                <w:noProof/>
                <w:sz w:val="18"/>
                <w:szCs w:val="18"/>
              </w:rPr>
              <w:t>18</w:t>
            </w:r>
            <w:r w:rsidR="00A72F74" w:rsidRPr="006B5342">
              <w:rPr>
                <w:b/>
                <w:i/>
                <w:sz w:val="18"/>
                <w:szCs w:val="18"/>
              </w:rPr>
              <w:fldChar w:fldCharType="end"/>
            </w:r>
            <w:r w:rsidRPr="006B5342">
              <w:rPr>
                <w:i/>
                <w:sz w:val="18"/>
                <w:szCs w:val="18"/>
              </w:rPr>
              <w:t xml:space="preserve">). Background electricity was replaced by the one of this study as treatment assumed to take place in France. </w:t>
            </w:r>
          </w:p>
        </w:tc>
      </w:tr>
      <w:tr w:rsidR="008031AE" w:rsidRPr="006B5342" w14:paraId="5A5BADFB"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09" w:type="dxa"/>
          </w:tcPr>
          <w:p w14:paraId="61234050" w14:textId="77777777" w:rsidR="008031AE" w:rsidRPr="006B5342" w:rsidRDefault="008031AE" w:rsidP="006D537D">
            <w:pPr>
              <w:jc w:val="right"/>
              <w:rPr>
                <w:b w:val="0"/>
                <w:sz w:val="18"/>
                <w:szCs w:val="18"/>
              </w:rPr>
            </w:pPr>
            <w:r w:rsidRPr="006B5342">
              <w:rPr>
                <w:b w:val="0"/>
                <w:sz w:val="18"/>
                <w:szCs w:val="18"/>
              </w:rPr>
              <w:t>Treatment of wastewater from maize starch production, CH</w:t>
            </w:r>
          </w:p>
        </w:tc>
        <w:tc>
          <w:tcPr>
            <w:tcW w:w="1220" w:type="dxa"/>
          </w:tcPr>
          <w:p w14:paraId="20671E9F" w14:textId="77777777" w:rsidR="008031AE" w:rsidRPr="006B5342"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r w:rsidRPr="006B5342">
              <w:rPr>
                <w:sz w:val="18"/>
                <w:szCs w:val="18"/>
              </w:rPr>
              <w:t>Centrifuge (myco_feed)</w:t>
            </w:r>
          </w:p>
        </w:tc>
        <w:tc>
          <w:tcPr>
            <w:tcW w:w="3913" w:type="dxa"/>
          </w:tcPr>
          <w:p w14:paraId="2F0E8045" w14:textId="05189021" w:rsidR="008031AE" w:rsidRPr="006B5342" w:rsidRDefault="008031AE" w:rsidP="006D537D">
            <w:pPr>
              <w:jc w:val="both"/>
              <w:cnfStyle w:val="000000100000" w:firstRow="0" w:lastRow="0" w:firstColumn="0" w:lastColumn="0" w:oddVBand="0" w:evenVBand="0" w:oddHBand="1" w:evenHBand="0" w:firstRowFirstColumn="0" w:firstRowLastColumn="0" w:lastRowFirstColumn="0" w:lastRowLastColumn="0"/>
              <w:rPr>
                <w:i/>
                <w:sz w:val="18"/>
                <w:szCs w:val="18"/>
              </w:rPr>
            </w:pPr>
            <w:r w:rsidRPr="006B5342">
              <w:rPr>
                <w:i/>
                <w:sz w:val="18"/>
                <w:szCs w:val="18"/>
              </w:rPr>
              <w:t>Closest proxy of reject wastewater treatment (ca. 9 g</w:t>
            </w:r>
            <w:r w:rsidRPr="006B5342">
              <w:rPr>
                <w:i/>
                <w:sz w:val="18"/>
                <w:szCs w:val="18"/>
                <w:vertAlign w:val="subscript"/>
              </w:rPr>
              <w:t>COD</w:t>
            </w:r>
            <w:r w:rsidRPr="006B5342">
              <w:rPr>
                <w:i/>
                <w:sz w:val="18"/>
                <w:szCs w:val="18"/>
              </w:rPr>
              <w:t>.L</w:t>
            </w:r>
            <w:r w:rsidRPr="006B5342">
              <w:rPr>
                <w:i/>
                <w:sz w:val="18"/>
                <w:szCs w:val="18"/>
                <w:vertAlign w:val="superscript"/>
              </w:rPr>
              <w:t>-1</w:t>
            </w:r>
            <w:r w:rsidRPr="006B5342">
              <w:rPr>
                <w:i/>
                <w:sz w:val="18"/>
                <w:szCs w:val="18"/>
              </w:rPr>
              <w:t xml:space="preserve"> based on </w:t>
            </w:r>
            <w:r w:rsidR="00A72F74" w:rsidRPr="006B5342">
              <w:rPr>
                <w:b/>
                <w:i/>
                <w:sz w:val="18"/>
                <w:szCs w:val="18"/>
              </w:rPr>
              <w:fldChar w:fldCharType="begin"/>
            </w:r>
            <w:r w:rsidR="00A72F74" w:rsidRPr="006B5342">
              <w:rPr>
                <w:b/>
                <w:i/>
                <w:sz w:val="18"/>
                <w:szCs w:val="18"/>
              </w:rPr>
              <w:instrText xml:space="preserve"> REF _Ref144739643 \h  \* MERGEFORMAT </w:instrText>
            </w:r>
            <w:r w:rsidR="00A72F74" w:rsidRPr="006B5342">
              <w:rPr>
                <w:b/>
                <w:i/>
                <w:sz w:val="18"/>
                <w:szCs w:val="18"/>
              </w:rPr>
            </w:r>
            <w:r w:rsidR="00A72F74" w:rsidRPr="006B5342">
              <w:rPr>
                <w:b/>
                <w:i/>
                <w:sz w:val="18"/>
                <w:szCs w:val="18"/>
              </w:rPr>
              <w:fldChar w:fldCharType="separate"/>
            </w:r>
            <w:r w:rsidR="00F25F8C" w:rsidRPr="006B5342">
              <w:rPr>
                <w:b/>
                <w:i/>
                <w:sz w:val="18"/>
                <w:szCs w:val="18"/>
              </w:rPr>
              <w:t xml:space="preserve">Table SI. </w:t>
            </w:r>
            <w:r w:rsidR="00F25F8C" w:rsidRPr="006B5342">
              <w:rPr>
                <w:b/>
                <w:i/>
                <w:noProof/>
                <w:sz w:val="18"/>
                <w:szCs w:val="18"/>
              </w:rPr>
              <w:t>18</w:t>
            </w:r>
            <w:r w:rsidR="00A72F74" w:rsidRPr="006B5342">
              <w:rPr>
                <w:b/>
                <w:i/>
                <w:sz w:val="18"/>
                <w:szCs w:val="18"/>
              </w:rPr>
              <w:fldChar w:fldCharType="end"/>
            </w:r>
            <w:r w:rsidRPr="006B5342">
              <w:rPr>
                <w:i/>
                <w:sz w:val="18"/>
                <w:szCs w:val="18"/>
              </w:rPr>
              <w:t>). (different than myco_food because no RNA induced losses)</w:t>
            </w:r>
          </w:p>
        </w:tc>
      </w:tr>
      <w:tr w:rsidR="008031AE" w:rsidRPr="006B5342" w14:paraId="17DC44B7" w14:textId="77777777" w:rsidTr="006B5342">
        <w:tc>
          <w:tcPr>
            <w:cnfStyle w:val="001000000000" w:firstRow="0" w:lastRow="0" w:firstColumn="1" w:lastColumn="0" w:oddVBand="0" w:evenVBand="0" w:oddHBand="0" w:evenHBand="0" w:firstRowFirstColumn="0" w:firstRowLastColumn="0" w:lastRowFirstColumn="0" w:lastRowLastColumn="0"/>
            <w:tcW w:w="3909" w:type="dxa"/>
          </w:tcPr>
          <w:p w14:paraId="0A2E6B00" w14:textId="77777777" w:rsidR="008031AE" w:rsidRPr="006B5342" w:rsidRDefault="008031AE" w:rsidP="006D537D">
            <w:pPr>
              <w:jc w:val="right"/>
              <w:rPr>
                <w:b w:val="0"/>
                <w:sz w:val="18"/>
                <w:szCs w:val="18"/>
              </w:rPr>
            </w:pPr>
            <w:r w:rsidRPr="006B5342">
              <w:rPr>
                <w:b w:val="0"/>
                <w:sz w:val="18"/>
                <w:szCs w:val="18"/>
              </w:rPr>
              <w:t>Transport, freight, lorry with refrigeration machine, 7.5-16 ton, EURO6, GLO</w:t>
            </w:r>
          </w:p>
        </w:tc>
        <w:tc>
          <w:tcPr>
            <w:tcW w:w="1220" w:type="dxa"/>
          </w:tcPr>
          <w:p w14:paraId="31CB994C" w14:textId="77777777" w:rsidR="008031AE" w:rsidRPr="006B5342" w:rsidRDefault="008031AE" w:rsidP="006D537D">
            <w:pPr>
              <w:cnfStyle w:val="000000000000" w:firstRow="0" w:lastRow="0" w:firstColumn="0" w:lastColumn="0" w:oddVBand="0" w:evenVBand="0" w:oddHBand="0" w:evenHBand="0" w:firstRowFirstColumn="0" w:firstRowLastColumn="0" w:lastRowFirstColumn="0" w:lastRowLastColumn="0"/>
              <w:rPr>
                <w:sz w:val="18"/>
                <w:szCs w:val="18"/>
              </w:rPr>
            </w:pPr>
            <w:r w:rsidRPr="006B5342">
              <w:rPr>
                <w:sz w:val="18"/>
                <w:szCs w:val="18"/>
              </w:rPr>
              <w:t>n.a.</w:t>
            </w:r>
          </w:p>
        </w:tc>
        <w:tc>
          <w:tcPr>
            <w:tcW w:w="3913" w:type="dxa"/>
          </w:tcPr>
          <w:p w14:paraId="6AC4B839" w14:textId="77777777" w:rsidR="008031AE" w:rsidRPr="006B5342" w:rsidRDefault="008031AE" w:rsidP="006D537D">
            <w:pPr>
              <w:jc w:val="both"/>
              <w:cnfStyle w:val="000000000000" w:firstRow="0" w:lastRow="0" w:firstColumn="0" w:lastColumn="0" w:oddVBand="0" w:evenVBand="0" w:oddHBand="0" w:evenHBand="0" w:firstRowFirstColumn="0" w:firstRowLastColumn="0" w:lastRowFirstColumn="0" w:lastRowLastColumn="0"/>
              <w:rPr>
                <w:i/>
                <w:sz w:val="18"/>
                <w:szCs w:val="18"/>
              </w:rPr>
            </w:pPr>
            <w:r w:rsidRPr="006B5342">
              <w:rPr>
                <w:i/>
                <w:sz w:val="18"/>
                <w:szCs w:val="18"/>
              </w:rPr>
              <w:t>Proxy of cold chain transportation, replaced conventional transport data where required.</w:t>
            </w:r>
          </w:p>
        </w:tc>
      </w:tr>
      <w:tr w:rsidR="008031AE" w:rsidRPr="006B5342" w14:paraId="017F83F6"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09" w:type="dxa"/>
          </w:tcPr>
          <w:p w14:paraId="7844EA6E" w14:textId="77777777" w:rsidR="008031AE" w:rsidRPr="006B5342" w:rsidRDefault="008031AE" w:rsidP="006D537D">
            <w:pPr>
              <w:jc w:val="right"/>
              <w:rPr>
                <w:b w:val="0"/>
                <w:sz w:val="18"/>
                <w:szCs w:val="18"/>
              </w:rPr>
            </w:pPr>
            <w:r w:rsidRPr="006B5342">
              <w:rPr>
                <w:b w:val="0"/>
                <w:sz w:val="18"/>
                <w:szCs w:val="18"/>
              </w:rPr>
              <w:t>Chemical factory construction, RER</w:t>
            </w:r>
          </w:p>
        </w:tc>
        <w:tc>
          <w:tcPr>
            <w:tcW w:w="1220" w:type="dxa"/>
          </w:tcPr>
          <w:p w14:paraId="06E288E2" w14:textId="77777777" w:rsidR="008031AE" w:rsidRPr="006B5342" w:rsidRDefault="008031AE" w:rsidP="006D537D">
            <w:pPr>
              <w:cnfStyle w:val="000000100000" w:firstRow="0" w:lastRow="0" w:firstColumn="0" w:lastColumn="0" w:oddVBand="0" w:evenVBand="0" w:oddHBand="1" w:evenHBand="0" w:firstRowFirstColumn="0" w:firstRowLastColumn="0" w:lastRowFirstColumn="0" w:lastRowLastColumn="0"/>
              <w:rPr>
                <w:sz w:val="18"/>
                <w:szCs w:val="18"/>
              </w:rPr>
            </w:pPr>
            <w:r w:rsidRPr="006B5342">
              <w:rPr>
                <w:sz w:val="18"/>
                <w:szCs w:val="18"/>
              </w:rPr>
              <w:t>n.a.</w:t>
            </w:r>
          </w:p>
        </w:tc>
        <w:tc>
          <w:tcPr>
            <w:tcW w:w="3913" w:type="dxa"/>
          </w:tcPr>
          <w:p w14:paraId="3BA9F096" w14:textId="231AE91E" w:rsidR="008031AE" w:rsidRPr="006B5342" w:rsidRDefault="008031AE" w:rsidP="006D537D">
            <w:pPr>
              <w:jc w:val="both"/>
              <w:cnfStyle w:val="000000100000" w:firstRow="0" w:lastRow="0" w:firstColumn="0" w:lastColumn="0" w:oddVBand="0" w:evenVBand="0" w:oddHBand="1" w:evenHBand="0" w:firstRowFirstColumn="0" w:firstRowLastColumn="0" w:lastRowFirstColumn="0" w:lastRowLastColumn="0"/>
              <w:rPr>
                <w:i/>
                <w:sz w:val="18"/>
                <w:szCs w:val="18"/>
              </w:rPr>
            </w:pPr>
            <w:r w:rsidRPr="006B5342">
              <w:rPr>
                <w:i/>
                <w:sz w:val="18"/>
                <w:szCs w:val="18"/>
              </w:rPr>
              <w:t xml:space="preserve">Proxy of the mycoproteins production facility. Adapted to this plant’s production capacity and lifetime: 3.6 </w:t>
            </w:r>
            <w:proofErr w:type="gramStart"/>
            <w:r w:rsidRPr="006B5342">
              <w:rPr>
                <w:i/>
                <w:sz w:val="18"/>
                <w:szCs w:val="18"/>
              </w:rPr>
              <w:t>g.kg</w:t>
            </w:r>
            <w:r w:rsidRPr="006B5342">
              <w:rPr>
                <w:i/>
                <w:sz w:val="18"/>
                <w:szCs w:val="18"/>
                <w:vertAlign w:val="subscript"/>
              </w:rPr>
              <w:t>DM</w:t>
            </w:r>
            <w:proofErr w:type="gramEnd"/>
            <w:r w:rsidRPr="006B5342">
              <w:rPr>
                <w:i/>
                <w:sz w:val="18"/>
                <w:szCs w:val="18"/>
                <w:vertAlign w:val="superscript"/>
              </w:rPr>
              <w:t>-1</w:t>
            </w:r>
            <w:r w:rsidRPr="006B5342">
              <w:rPr>
                <w:i/>
                <w:sz w:val="18"/>
                <w:szCs w:val="18"/>
              </w:rPr>
              <w:t>.</w:t>
            </w:r>
          </w:p>
        </w:tc>
      </w:tr>
      <w:tr w:rsidR="008031AE" w:rsidRPr="006B5342" w14:paraId="64B12328" w14:textId="77777777" w:rsidTr="006B5342">
        <w:tc>
          <w:tcPr>
            <w:cnfStyle w:val="001000000000" w:firstRow="0" w:lastRow="0" w:firstColumn="1" w:lastColumn="0" w:oddVBand="0" w:evenVBand="0" w:oddHBand="0" w:evenHBand="0" w:firstRowFirstColumn="0" w:firstRowLastColumn="0" w:lastRowFirstColumn="0" w:lastRowLastColumn="0"/>
            <w:tcW w:w="9042" w:type="dxa"/>
            <w:gridSpan w:val="3"/>
          </w:tcPr>
          <w:p w14:paraId="13F62333" w14:textId="433CF219" w:rsidR="008031AE" w:rsidRPr="006B5342" w:rsidRDefault="008031AE" w:rsidP="006D537D">
            <w:pPr>
              <w:rPr>
                <w:b w:val="0"/>
                <w:i/>
                <w:sz w:val="18"/>
                <w:szCs w:val="18"/>
              </w:rPr>
            </w:pPr>
            <w:r w:rsidRPr="006B5342">
              <w:rPr>
                <w:b w:val="0"/>
                <w:i/>
                <w:sz w:val="18"/>
                <w:szCs w:val="18"/>
              </w:rPr>
              <w:t>Rest of background processes used for mycoproteins pathways were displayed in</w:t>
            </w:r>
            <w:r w:rsidR="00A72F74" w:rsidRPr="006B5342">
              <w:rPr>
                <w:b w:val="0"/>
                <w:i/>
                <w:sz w:val="18"/>
                <w:szCs w:val="18"/>
              </w:rPr>
              <w:t xml:space="preserve"> </w:t>
            </w:r>
            <w:r w:rsidR="00A72F74" w:rsidRPr="006B5342">
              <w:rPr>
                <w:i/>
                <w:sz w:val="18"/>
                <w:szCs w:val="18"/>
              </w:rPr>
              <w:fldChar w:fldCharType="begin"/>
            </w:r>
            <w:r w:rsidR="00A72F74" w:rsidRPr="006B5342">
              <w:rPr>
                <w:b w:val="0"/>
                <w:i/>
                <w:sz w:val="18"/>
                <w:szCs w:val="18"/>
              </w:rPr>
              <w:instrText xml:space="preserve"> REF _Ref144808412 \h  \* MERGEFORMAT </w:instrText>
            </w:r>
            <w:r w:rsidR="00A72F74" w:rsidRPr="006B5342">
              <w:rPr>
                <w:i/>
                <w:sz w:val="18"/>
                <w:szCs w:val="18"/>
              </w:rPr>
            </w:r>
            <w:r w:rsidR="00A72F74" w:rsidRPr="006B5342">
              <w:rPr>
                <w:i/>
                <w:sz w:val="18"/>
                <w:szCs w:val="18"/>
              </w:rPr>
              <w:fldChar w:fldCharType="separate"/>
            </w:r>
            <w:r w:rsidR="00F25F8C" w:rsidRPr="006B5342">
              <w:rPr>
                <w:i/>
                <w:sz w:val="18"/>
                <w:szCs w:val="18"/>
              </w:rPr>
              <w:t xml:space="preserve">Table SI. </w:t>
            </w:r>
            <w:r w:rsidR="00F25F8C" w:rsidRPr="006B5342">
              <w:rPr>
                <w:i/>
                <w:noProof/>
                <w:sz w:val="18"/>
                <w:szCs w:val="18"/>
              </w:rPr>
              <w:t>47</w:t>
            </w:r>
            <w:r w:rsidR="00A72F74" w:rsidRPr="006B5342">
              <w:rPr>
                <w:i/>
                <w:sz w:val="18"/>
                <w:szCs w:val="18"/>
              </w:rPr>
              <w:fldChar w:fldCharType="end"/>
            </w:r>
            <w:r w:rsidRPr="006B5342">
              <w:rPr>
                <w:b w:val="0"/>
                <w:i/>
                <w:sz w:val="18"/>
                <w:szCs w:val="18"/>
              </w:rPr>
              <w:t>.</w:t>
            </w:r>
          </w:p>
        </w:tc>
      </w:tr>
    </w:tbl>
    <w:p w14:paraId="7A9EB3BF" w14:textId="15156BBA" w:rsidR="008031AE" w:rsidRPr="003F5DA8" w:rsidRDefault="008031AE" w:rsidP="006B5342">
      <w:pPr>
        <w:jc w:val="both"/>
        <w:rPr>
          <w:sz w:val="18"/>
        </w:rPr>
      </w:pPr>
      <w:r w:rsidRPr="003F5DA8">
        <w:rPr>
          <w:sz w:val="18"/>
        </w:rPr>
        <w:t>All processes are from the ecoinvent 3.8 consequential database. Direct flows to biosphere are displayed in</w:t>
      </w:r>
      <w:r w:rsidR="00142FE3">
        <w:rPr>
          <w:sz w:val="18"/>
        </w:rPr>
        <w:t xml:space="preserve"> </w:t>
      </w:r>
      <w:proofErr w:type="gramStart"/>
      <w:r w:rsidR="00142FE3" w:rsidRPr="00142FE3">
        <w:rPr>
          <w:i/>
          <w:sz w:val="18"/>
        </w:rPr>
        <w:t>B.Myco</w:t>
      </w:r>
      <w:proofErr w:type="gramEnd"/>
      <w:r w:rsidR="00142FE3" w:rsidRPr="00142FE3">
        <w:rPr>
          <w:i/>
          <w:sz w:val="18"/>
        </w:rPr>
        <w:t>_module spreadsheet</w:t>
      </w:r>
      <w:r w:rsidRPr="003F5DA8">
        <w:rPr>
          <w:sz w:val="18"/>
        </w:rPr>
        <w:t>.</w:t>
      </w:r>
    </w:p>
    <w:p w14:paraId="3E26CFF9" w14:textId="3AD0145A" w:rsidR="00142FE3" w:rsidRDefault="00A72F74" w:rsidP="00142FE3">
      <w:pPr>
        <w:jc w:val="both"/>
      </w:pPr>
      <w:r w:rsidRPr="003F5DA8">
        <w:t>Background processes and technology parameters associated with transversal unit operations between many mod</w:t>
      </w:r>
      <w:r w:rsidR="00655BBB">
        <w:t>el</w:t>
      </w:r>
      <w:r w:rsidRPr="003F5DA8">
        <w:t xml:space="preserve">s (e.g. pretreatments, transportation, etc.) are displayed in the </w:t>
      </w:r>
      <w:r w:rsidRPr="00B825DA">
        <w:t>common</w:t>
      </w:r>
      <w:r>
        <w:rPr>
          <w:b/>
        </w:rPr>
        <w:t xml:space="preserve"> section </w:t>
      </w:r>
      <w:r w:rsidR="000C6C37">
        <w:rPr>
          <w:b/>
        </w:rPr>
        <w:t xml:space="preserve">SI. </w:t>
      </w:r>
      <w:r>
        <w:rPr>
          <w:b/>
        </w:rPr>
        <w:fldChar w:fldCharType="begin"/>
      </w:r>
      <w:r>
        <w:rPr>
          <w:b/>
        </w:rPr>
        <w:instrText xml:space="preserve"> REF _Ref144802667 \r \h </w:instrText>
      </w:r>
      <w:r>
        <w:rPr>
          <w:b/>
        </w:rPr>
      </w:r>
      <w:r>
        <w:rPr>
          <w:b/>
        </w:rPr>
        <w:fldChar w:fldCharType="separate"/>
      </w:r>
      <w:r w:rsidR="00F25F8C">
        <w:rPr>
          <w:b/>
        </w:rPr>
        <w:t>4.1</w:t>
      </w:r>
      <w:r>
        <w:rPr>
          <w:b/>
        </w:rPr>
        <w:fldChar w:fldCharType="end"/>
      </w:r>
      <w:r w:rsidRPr="00B825DA">
        <w:t>.</w:t>
      </w:r>
      <w:r w:rsidRPr="002002AA">
        <w:t xml:space="preserve"> </w:t>
      </w:r>
      <w:r w:rsidRPr="003F5DA8">
        <w:t>Rest of modeling details (e.g. all biosphere flows) are available directly within corresponding excel mod</w:t>
      </w:r>
      <w:r w:rsidR="00655BBB">
        <w:t>el</w:t>
      </w:r>
      <w:r>
        <w:t>.</w:t>
      </w:r>
      <w:r w:rsidR="00142FE3">
        <w:br w:type="page"/>
      </w:r>
    </w:p>
    <w:p w14:paraId="34E43FDF" w14:textId="17E06806" w:rsidR="00512EC8" w:rsidRDefault="006D537D" w:rsidP="00A72F74">
      <w:pPr>
        <w:pStyle w:val="Titre2"/>
      </w:pPr>
      <w:bookmarkStart w:id="241" w:name="_Ref144911893"/>
      <w:bookmarkStart w:id="242" w:name="_Toc145069124"/>
      <w:r>
        <w:lastRenderedPageBreak/>
        <w:t>Microbial proteins production</w:t>
      </w:r>
      <w:r w:rsidR="009F7DBC">
        <w:t xml:space="preserve"> from residual-based gases LCI mode</w:t>
      </w:r>
      <w:bookmarkEnd w:id="241"/>
      <w:bookmarkEnd w:id="242"/>
      <w:r w:rsidR="00655BBB">
        <w:t>l</w:t>
      </w:r>
    </w:p>
    <w:p w14:paraId="7272F860" w14:textId="2E1DDC67" w:rsidR="00FF3A0C" w:rsidRDefault="006B7E52" w:rsidP="0047239E">
      <w:pPr>
        <w:ind w:firstLine="360"/>
        <w:jc w:val="both"/>
      </w:pPr>
      <w:r w:rsidRPr="003F5DA8">
        <w:t xml:space="preserve">This </w:t>
      </w:r>
      <w:r>
        <w:t>section</w:t>
      </w:r>
      <w:r w:rsidRPr="003F5DA8">
        <w:t xml:space="preserve"> presents the details (including assumptions, choice rationales, calculations and data sources) of the microbial proteins (MP)</w:t>
      </w:r>
      <w:r>
        <w:t xml:space="preserve"> </w:t>
      </w:r>
      <w:r w:rsidRPr="003F5DA8">
        <w:t xml:space="preserve">production life cycle inventory (LCI) model, </w:t>
      </w:r>
      <w:r>
        <w:t>with the objective to</w:t>
      </w:r>
      <w:r w:rsidRPr="003F5DA8">
        <w:t xml:space="preserve"> </w:t>
      </w:r>
      <w:r>
        <w:t>perform</w:t>
      </w:r>
      <w:r w:rsidRPr="003F5DA8">
        <w:t xml:space="preserve"> the LCA of</w:t>
      </w:r>
      <w:r>
        <w:t xml:space="preserve"> </w:t>
      </w:r>
      <w:r w:rsidR="00FF3A0C" w:rsidRPr="003F5DA8">
        <w:t>transforming residual biomass streams into edible microorganisms.</w:t>
      </w:r>
      <w:r w:rsidR="0047239E">
        <w:t xml:space="preserve"> </w:t>
      </w:r>
      <w:r w:rsidR="00FF3A0C" w:rsidRPr="003F5DA8">
        <w:t>The objective of this model is to build on already established worked, summarizing the recent advances and expanding possibilities offered by methane-oxidizing bacteria (MOB) and hydrogen-oxidizing bacteria (HOB). Albeit scaling, with already planned industrial projects, open-access primary data on HOB and MOB production largely remain at the experimental scale</w:t>
      </w:r>
      <w:r w:rsidR="002F7540" w:rsidRPr="002F7540">
        <w:fldChar w:fldCharType="begin"/>
      </w:r>
      <w:r w:rsidR="005413B4">
        <w:instrText xml:space="preserve"> ADDIN ZOTERO_ITEM CSL_CITATION {"citationID":"a25nma70bbr","properties":{"formattedCitation":"\\super 182\\nosupersub{}","plainCitation":"182","noteIndex":0},"citationItems":[{"id":14242,"uris":["http://zotero.org/users/6423791/items/5RV3RC6E"],"itemData":{"id":14242,"type":"article-journal","abstract":"The development of novel, sustainable, and robust food production technologies represents one of the major pillars to address the most significant challenges humanity is going to face on earth in the upcoming decades – climate change, population growth, and resource depletion. The implementation of microfoods, i.e., foods formulated with ingredients from microbial cultivation, into the food supply chain has a huge potential to contribute towards energy-efficient and nutritious food manufacturing and represents a means to sustainably feed a growing world population. This review recapitulates and assesses the current state in the establishment and usage of gas fermenting bacteria as an innovative feedstock for protein production. In particular, we focus on the most promising representatives of this taxon: the hydrogen-oxidizing bacteria (hydrogenotrophs) and the methane-oxidizing bacteria (methanotrophs). These unicellular microorganisms can aerobically metabolize gaseous hydrogen and methane, respectively, to provide the required energy for building up cell material. A protein yield over 70% in the dry matter cell mass can be reached with no need for arable land and organic substrates making it a promising alternative to plant- and animal-based protein sources. We illuminate the holistic approach to incorporate protein extracts obtained from the cultivation of gas fermenting bacteria into microfoods. Herein, the fundamental properties of the bacteria, cultivation methods, downstream processing, and potential food applications are discussed. Moreover, this review covers existing and future challenges as well as sustainability aspects associated with the production of microbial protein through gas fermentation.","container-title":"Biotechnology Advances","DOI":"10.1016/j.biotechadv.2023.108240","ISSN":"0734-9750","journalAbbreviation":"Biotechnol. Adv.","page":"108240","source":"ScienceDirect","title":"Microbial gas fermentation technology for sustainable food protein production","author":[{"family":"Woern","given":"Carlos"},{"family":"Grossmann","given":"Lutz"}],"issued":{"date-parts":[["2023",8,28]]}}}],"schema":"https://github.com/citation-style-language/schema/raw/master/csl-citation.json"} </w:instrText>
      </w:r>
      <w:r w:rsidR="002F7540" w:rsidRPr="002F7540">
        <w:fldChar w:fldCharType="separate"/>
      </w:r>
      <w:r w:rsidR="005413B4" w:rsidRPr="005413B4">
        <w:rPr>
          <w:rFonts w:ascii="Calibri" w:hAnsi="Calibri" w:cs="Calibri"/>
          <w:szCs w:val="24"/>
          <w:vertAlign w:val="superscript"/>
        </w:rPr>
        <w:t>182</w:t>
      </w:r>
      <w:r w:rsidR="002F7540" w:rsidRPr="002F7540">
        <w:fldChar w:fldCharType="end"/>
      </w:r>
      <w:r w:rsidR="00FF3A0C" w:rsidRPr="002F7540">
        <w:t>.</w:t>
      </w:r>
      <w:r w:rsidR="00FF3A0C" w:rsidRPr="003F5DA8">
        <w:t xml:space="preserve"> A review of the modeling assumptions used in already published LCA and TEA (techno-economic analysis) was developed (</w:t>
      </w:r>
      <w:r w:rsidR="00FF3A0C" w:rsidRPr="001C16B9">
        <w:t>list in</w:t>
      </w:r>
      <w:r>
        <w:t xml:space="preserve"> </w:t>
      </w:r>
      <w:r w:rsidRPr="006B7E52">
        <w:rPr>
          <w:b/>
        </w:rPr>
        <w:fldChar w:fldCharType="begin"/>
      </w:r>
      <w:r w:rsidRPr="006B7E52">
        <w:rPr>
          <w:b/>
        </w:rPr>
        <w:instrText xml:space="preserve"> REF _Ref144822902 \h </w:instrText>
      </w:r>
      <w:r>
        <w:rPr>
          <w:b/>
        </w:rPr>
        <w:instrText xml:space="preserve"> \* MERGEFORMAT </w:instrText>
      </w:r>
      <w:r w:rsidRPr="006B7E52">
        <w:rPr>
          <w:b/>
        </w:rPr>
      </w:r>
      <w:r w:rsidRPr="006B7E52">
        <w:rPr>
          <w:b/>
        </w:rPr>
        <w:fldChar w:fldCharType="separate"/>
      </w:r>
      <w:r w:rsidR="00F25F8C" w:rsidRPr="00F25F8C">
        <w:rPr>
          <w:b/>
        </w:rPr>
        <w:t xml:space="preserve">Table SI. </w:t>
      </w:r>
      <w:r w:rsidR="00F25F8C" w:rsidRPr="00F25F8C">
        <w:rPr>
          <w:b/>
          <w:noProof/>
        </w:rPr>
        <w:t>55</w:t>
      </w:r>
      <w:r w:rsidRPr="006B7E52">
        <w:rPr>
          <w:b/>
        </w:rPr>
        <w:fldChar w:fldCharType="end"/>
      </w:r>
      <w:r w:rsidR="00FF3A0C" w:rsidRPr="001C16B9">
        <w:t>) and</w:t>
      </w:r>
      <w:r w:rsidR="00FF3A0C" w:rsidRPr="003F5DA8">
        <w:t xml:space="preserve"> showed that these mostly rely in the same primary data.</w:t>
      </w:r>
      <w:r w:rsidR="0063035F">
        <w:t xml:space="preserve"> </w:t>
      </w:r>
      <w:r w:rsidR="00FF3A0C" w:rsidRPr="003F5DA8">
        <w:t>LCA results are shown to be primarily dependent on the background context in which such technologies are implemented (e.g. electricity mix</w:t>
      </w:r>
      <w:r w:rsidR="00FF3A0C" w:rsidRPr="003F5DA8">
        <w:fldChar w:fldCharType="begin"/>
      </w:r>
      <w:r w:rsidR="005413B4">
        <w:instrText xml:space="preserve"> ADDIN ZOTERO_ITEM CSL_CITATION {"citationID":"BVvkpJvF","properties":{"formattedCitation":"\\super 183\\nosupersub{}","plainCitation":"183","noteIndex":0},"citationItems":[{"id":5124,"uris":["http://zotero.org/users/6423791/items/QSN5G6WV"],"itemData":{"id":5124,"type":"article-journal","container-title":"Science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L."}],"issued":{"date-parts":[["2021",2]]}}}],"schema":"https://github.com/citation-style-language/schema/raw/master/csl-citation.json"} </w:instrText>
      </w:r>
      <w:r w:rsidR="00FF3A0C" w:rsidRPr="003F5DA8">
        <w:fldChar w:fldCharType="separate"/>
      </w:r>
      <w:r w:rsidR="005413B4" w:rsidRPr="005413B4">
        <w:rPr>
          <w:rFonts w:ascii="Calibri" w:hAnsi="Calibri" w:cs="Calibri"/>
          <w:szCs w:val="24"/>
          <w:vertAlign w:val="superscript"/>
        </w:rPr>
        <w:t>183</w:t>
      </w:r>
      <w:r w:rsidR="00FF3A0C" w:rsidRPr="003F5DA8">
        <w:fldChar w:fldCharType="end"/>
      </w:r>
      <w:r w:rsidR="00FF3A0C" w:rsidRPr="003F5DA8">
        <w:t>); comprehensive parametric assessments are missing</w:t>
      </w:r>
      <w:r w:rsidR="00FF3A0C" w:rsidRPr="003F5DA8">
        <w:fldChar w:fldCharType="begin"/>
      </w:r>
      <w:r w:rsidR="005413B4">
        <w:instrText xml:space="preserve"> ADDIN ZOTERO_ITEM CSL_CITATION {"citationID":"gt2nYB8s","properties":{"formattedCitation":"\\super 184\\nosupersub{}","plainCitation":"184","noteIndex":0},"citationItems":[{"id":12428,"uris":["http://zotero.org/users/6423791/items/6T57THSK"],"itemData":{"id":12428,"type":"thesis","number-of-pages":"149","publisher":"Standford University","title":"Engineering the Dark Food Chain:the Role of Methanotrophic Bacteria Infood Production and Climate Change Mitigation","URL":"https://stacks.stanford.edu/file/druid:bg967bh2013/ElAbbadi_dissertation_2021-07-19-augmented.pdf","author":[{"family":"El Abbadi","given":"Sahar H."}],"accessed":{"date-parts":[["2021",11,30]]},"issued":{"date-parts":[["2021",7]]}}}],"schema":"https://github.com/citation-style-language/schema/raw/master/csl-citation.json"} </w:instrText>
      </w:r>
      <w:r w:rsidR="00FF3A0C" w:rsidRPr="003F5DA8">
        <w:fldChar w:fldCharType="separate"/>
      </w:r>
      <w:r w:rsidR="005413B4" w:rsidRPr="005413B4">
        <w:rPr>
          <w:rFonts w:ascii="Calibri" w:hAnsi="Calibri" w:cs="Calibri"/>
          <w:szCs w:val="24"/>
          <w:vertAlign w:val="superscript"/>
        </w:rPr>
        <w:t>184</w:t>
      </w:r>
      <w:r w:rsidR="00FF3A0C" w:rsidRPr="003F5DA8">
        <w:fldChar w:fldCharType="end"/>
      </w:r>
      <w:r w:rsidR="00FF3A0C" w:rsidRPr="003F5DA8">
        <w:t>.</w:t>
      </w:r>
      <w:r w:rsidR="00FF3A0C">
        <w:t xml:space="preserve"> </w:t>
      </w:r>
      <w:r w:rsidR="00FF3A0C" w:rsidRPr="003F5DA8">
        <w:t>In a nutshell, while most of published assessments aim to answer how to best produce HOB and MOB, the present study rather aims to answer if it a good idea (environmentally speaking) to produce HOB and MOB.</w:t>
      </w:r>
      <w:r w:rsidR="00FF3A0C">
        <w:t xml:space="preserve"> </w:t>
      </w:r>
      <w:r w:rsidR="00FF3A0C" w:rsidRPr="003F5DA8">
        <w:t>To do so, the aforementioned benchmark review (</w:t>
      </w:r>
      <w:r w:rsidRPr="0047239E">
        <w:rPr>
          <w:b/>
        </w:rPr>
        <w:fldChar w:fldCharType="begin"/>
      </w:r>
      <w:r w:rsidRPr="0047239E">
        <w:rPr>
          <w:b/>
        </w:rPr>
        <w:instrText xml:space="preserve"> REF _Ref144822902 \h  \* MERGEFORMAT </w:instrText>
      </w:r>
      <w:r w:rsidRPr="0047239E">
        <w:rPr>
          <w:b/>
        </w:rPr>
      </w:r>
      <w:r w:rsidRPr="0047239E">
        <w:rPr>
          <w:b/>
        </w:rPr>
        <w:fldChar w:fldCharType="separate"/>
      </w:r>
      <w:r w:rsidR="00F25F8C" w:rsidRPr="0047239E">
        <w:rPr>
          <w:b/>
        </w:rPr>
        <w:t xml:space="preserve">Table SI. </w:t>
      </w:r>
      <w:r w:rsidR="00F25F8C" w:rsidRPr="0047239E">
        <w:rPr>
          <w:b/>
          <w:noProof/>
        </w:rPr>
        <w:t>55</w:t>
      </w:r>
      <w:r w:rsidRPr="0047239E">
        <w:rPr>
          <w:b/>
        </w:rPr>
        <w:fldChar w:fldCharType="end"/>
      </w:r>
      <w:r w:rsidR="00FF3A0C" w:rsidRPr="003F5DA8">
        <w:t>) allowed to screen the wide panel of set-ups, data available and calculation strategies already implemented.</w:t>
      </w:r>
    </w:p>
    <w:p w14:paraId="1B895792" w14:textId="2FA1C254" w:rsidR="00FF3A0C" w:rsidRPr="00DD7BCD" w:rsidRDefault="00874128" w:rsidP="006B5342">
      <w:pPr>
        <w:pStyle w:val="Lgende"/>
        <w:jc w:val="left"/>
        <w:rPr>
          <w:b w:val="0"/>
          <w:i/>
        </w:rPr>
      </w:pPr>
      <w:bookmarkStart w:id="243" w:name="_Ref144822902"/>
      <w:bookmarkStart w:id="244" w:name="_Toc134537626"/>
      <w:bookmarkStart w:id="245" w:name="_Toc151967939"/>
      <w:r>
        <w:t>Table SI.</w:t>
      </w:r>
      <w:r w:rsidR="00FF3A0C">
        <w:t xml:space="preserve"> </w:t>
      </w:r>
      <w:r>
        <w:fldChar w:fldCharType="begin"/>
      </w:r>
      <w:r>
        <w:instrText xml:space="preserve"> SEQ Table_SI. \* ARABIC </w:instrText>
      </w:r>
      <w:r>
        <w:fldChar w:fldCharType="separate"/>
      </w:r>
      <w:r w:rsidR="00F25F8C">
        <w:rPr>
          <w:noProof/>
        </w:rPr>
        <w:t>55</w:t>
      </w:r>
      <w:r>
        <w:fldChar w:fldCharType="end"/>
      </w:r>
      <w:bookmarkEnd w:id="243"/>
      <w:r w:rsidR="00FF3A0C">
        <w:t xml:space="preserve"> </w:t>
      </w:r>
      <w:r w:rsidR="00FF3A0C" w:rsidRPr="007C2AE0">
        <w:t>– MP production assessment review, to date</w:t>
      </w:r>
      <w:bookmarkEnd w:id="244"/>
      <w:bookmarkEnd w:id="245"/>
    </w:p>
    <w:tbl>
      <w:tblPr>
        <w:tblStyle w:val="Tableausimple2"/>
        <w:tblW w:w="0" w:type="auto"/>
        <w:tblLayout w:type="fixed"/>
        <w:tblLook w:val="04A0" w:firstRow="1" w:lastRow="0" w:firstColumn="1" w:lastColumn="0" w:noHBand="0" w:noVBand="1"/>
      </w:tblPr>
      <w:tblGrid>
        <w:gridCol w:w="2694"/>
        <w:gridCol w:w="1260"/>
        <w:gridCol w:w="1008"/>
        <w:gridCol w:w="15"/>
        <w:gridCol w:w="4095"/>
      </w:tblGrid>
      <w:tr w:rsidR="00FF3A0C" w:rsidRPr="0077667E" w14:paraId="22D04B96"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7EF14D68" w14:textId="77777777" w:rsidR="00FF3A0C" w:rsidRPr="0077667E" w:rsidRDefault="00FF3A0C" w:rsidP="003B1307">
            <w:pPr>
              <w:jc w:val="right"/>
              <w:rPr>
                <w:sz w:val="18"/>
                <w:szCs w:val="18"/>
              </w:rPr>
            </w:pPr>
            <w:r w:rsidRPr="0077667E">
              <w:rPr>
                <w:sz w:val="18"/>
                <w:szCs w:val="18"/>
              </w:rPr>
              <w:t>Study</w:t>
            </w:r>
          </w:p>
        </w:tc>
        <w:tc>
          <w:tcPr>
            <w:tcW w:w="1260" w:type="dxa"/>
          </w:tcPr>
          <w:p w14:paraId="0A339907" w14:textId="77777777" w:rsidR="00FF3A0C" w:rsidRPr="0077667E" w:rsidRDefault="00FF3A0C" w:rsidP="003B1307">
            <w:pPr>
              <w:cnfStyle w:val="100000000000" w:firstRow="1" w:lastRow="0" w:firstColumn="0" w:lastColumn="0" w:oddVBand="0" w:evenVBand="0" w:oddHBand="0" w:evenHBand="0" w:firstRowFirstColumn="0" w:firstRowLastColumn="0" w:lastRowFirstColumn="0" w:lastRowLastColumn="0"/>
              <w:rPr>
                <w:sz w:val="18"/>
                <w:szCs w:val="18"/>
              </w:rPr>
            </w:pPr>
            <w:r w:rsidRPr="0077667E">
              <w:rPr>
                <w:sz w:val="18"/>
                <w:szCs w:val="18"/>
              </w:rPr>
              <w:t>Type</w:t>
            </w:r>
          </w:p>
        </w:tc>
        <w:tc>
          <w:tcPr>
            <w:tcW w:w="1008" w:type="dxa"/>
          </w:tcPr>
          <w:p w14:paraId="788259F6" w14:textId="77777777" w:rsidR="00FF3A0C" w:rsidRPr="0077667E" w:rsidRDefault="00FF3A0C" w:rsidP="003B1307">
            <w:pPr>
              <w:cnfStyle w:val="100000000000" w:firstRow="1" w:lastRow="0" w:firstColumn="0" w:lastColumn="0" w:oddVBand="0" w:evenVBand="0" w:oddHBand="0" w:evenHBand="0" w:firstRowFirstColumn="0" w:firstRowLastColumn="0" w:lastRowFirstColumn="0" w:lastRowLastColumn="0"/>
              <w:rPr>
                <w:sz w:val="18"/>
                <w:szCs w:val="18"/>
              </w:rPr>
            </w:pPr>
            <w:r w:rsidRPr="0077667E">
              <w:rPr>
                <w:sz w:val="18"/>
                <w:szCs w:val="18"/>
              </w:rPr>
              <w:t>Microbe</w:t>
            </w:r>
          </w:p>
        </w:tc>
        <w:tc>
          <w:tcPr>
            <w:tcW w:w="4110" w:type="dxa"/>
            <w:gridSpan w:val="2"/>
          </w:tcPr>
          <w:p w14:paraId="3BC229F4" w14:textId="77777777" w:rsidR="00FF3A0C" w:rsidRPr="0077667E" w:rsidRDefault="00FF3A0C" w:rsidP="006B7E52">
            <w:pPr>
              <w:cnfStyle w:val="100000000000" w:firstRow="1" w:lastRow="0" w:firstColumn="0" w:lastColumn="0" w:oddVBand="0" w:evenVBand="0" w:oddHBand="0" w:evenHBand="0" w:firstRowFirstColumn="0" w:firstRowLastColumn="0" w:lastRowFirstColumn="0" w:lastRowLastColumn="0"/>
              <w:rPr>
                <w:i/>
                <w:sz w:val="18"/>
                <w:szCs w:val="18"/>
              </w:rPr>
            </w:pPr>
            <w:r w:rsidRPr="0077667E">
              <w:rPr>
                <w:i/>
                <w:sz w:val="18"/>
                <w:szCs w:val="18"/>
              </w:rPr>
              <w:t>Comment</w:t>
            </w:r>
          </w:p>
        </w:tc>
      </w:tr>
      <w:tr w:rsidR="00FF3A0C" w:rsidRPr="0077667E" w14:paraId="1E6846BE"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2BF07A15" w14:textId="577EB460" w:rsidR="00FF3A0C" w:rsidRPr="0077667E" w:rsidRDefault="00FF3A0C" w:rsidP="003B1307">
            <w:pPr>
              <w:jc w:val="right"/>
              <w:rPr>
                <w:b w:val="0"/>
                <w:sz w:val="18"/>
                <w:szCs w:val="18"/>
              </w:rPr>
            </w:pPr>
            <w:r w:rsidRPr="0077667E">
              <w:rPr>
                <w:b w:val="0"/>
                <w:sz w:val="18"/>
                <w:szCs w:val="18"/>
              </w:rPr>
              <w:t>de Boer et al., 2014</w:t>
            </w:r>
            <w:r w:rsidRPr="0077667E">
              <w:rPr>
                <w:sz w:val="18"/>
                <w:szCs w:val="18"/>
              </w:rPr>
              <w:fldChar w:fldCharType="begin"/>
            </w:r>
            <w:r w:rsidR="005413B4">
              <w:rPr>
                <w:b w:val="0"/>
                <w:sz w:val="18"/>
                <w:szCs w:val="18"/>
              </w:rPr>
              <w:instrText xml:space="preserve"> ADDIN ZOTERO_ITEM CSL_CITATION {"citationID":"ui6T66XQ","properties":{"formattedCitation":"\\super 173\\nosupersub{}","plainCitation":"173","noteIndex":0},"citationItems":[{"id":10967,"uris":["http://zotero.org/users/6423791/items/P67XNRD9"],"itemData":{"id":10967,"type":"report","abstract":"UK The overall aim was to investigate if soybean products from South American can be replaced by protein sources produced in Europe in a sustainable way. Based on data from literature, and based on the systematics of the FeedPrint programme, the nutritional value and the carbon footprint (CFP) of these protein sources is determined. These protein sources are used in feed optimizations of a starter diet for pigs, thereby maintaining the nutritional value of the diet. Subsequently, the CFP of the grower diet is calculated. The results and conclusions will be discussed in this report.","collection-title":"Wageningen UR Livestock Research","event-place":"Lelystad","language":"en","number":"819","page":"47","publisher":"Wageningen","publisher-place":"Lelystad","source":"Zotero","title":"Replacement of soybean meal in compound feed by European protein sources","author":[{"family":"Boer","given":"H C","non-dropping-particle":"de"},{"family":"Krimpen","given":"M M","non-dropping-particle":"van"},{"family":"Blonk","given":"H"},{"family":"Tyszler","given":"M"}],"issued":{"date-parts":[["2014"]]}}}],"schema":"https://github.com/citation-style-language/schema/raw/master/csl-citation.json"} </w:instrText>
            </w:r>
            <w:r w:rsidRPr="0077667E">
              <w:rPr>
                <w:sz w:val="18"/>
                <w:szCs w:val="18"/>
              </w:rPr>
              <w:fldChar w:fldCharType="separate"/>
            </w:r>
            <w:r w:rsidR="005413B4" w:rsidRPr="005413B4">
              <w:rPr>
                <w:rFonts w:ascii="Calibri" w:hAnsi="Calibri" w:cs="Calibri"/>
                <w:sz w:val="18"/>
                <w:szCs w:val="24"/>
                <w:vertAlign w:val="superscript"/>
              </w:rPr>
              <w:t>173</w:t>
            </w:r>
            <w:r w:rsidRPr="0077667E">
              <w:rPr>
                <w:sz w:val="18"/>
                <w:szCs w:val="18"/>
              </w:rPr>
              <w:fldChar w:fldCharType="end"/>
            </w:r>
          </w:p>
        </w:tc>
        <w:tc>
          <w:tcPr>
            <w:tcW w:w="1260" w:type="dxa"/>
          </w:tcPr>
          <w:p w14:paraId="43884122" w14:textId="77777777" w:rsidR="00FF3A0C" w:rsidRPr="0077667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77667E">
              <w:rPr>
                <w:sz w:val="18"/>
                <w:szCs w:val="18"/>
              </w:rPr>
              <w:t>aLCA</w:t>
            </w:r>
          </w:p>
        </w:tc>
        <w:tc>
          <w:tcPr>
            <w:tcW w:w="1023" w:type="dxa"/>
            <w:gridSpan w:val="2"/>
          </w:tcPr>
          <w:p w14:paraId="5D379675" w14:textId="77777777" w:rsidR="00FF3A0C" w:rsidRPr="0077667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77667E">
              <w:rPr>
                <w:sz w:val="18"/>
                <w:szCs w:val="18"/>
              </w:rPr>
              <w:t>MOB</w:t>
            </w:r>
          </w:p>
        </w:tc>
        <w:tc>
          <w:tcPr>
            <w:tcW w:w="4095" w:type="dxa"/>
          </w:tcPr>
          <w:p w14:paraId="3893EFEE" w14:textId="77777777" w:rsidR="00FF3A0C" w:rsidRPr="0077667E"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77667E">
              <w:rPr>
                <w:i/>
                <w:sz w:val="18"/>
                <w:szCs w:val="18"/>
              </w:rPr>
              <w:t>Novel feed comparison, including NG-based MOB production (Unibio)</w:t>
            </w:r>
          </w:p>
        </w:tc>
      </w:tr>
      <w:tr w:rsidR="00FF3A0C" w:rsidRPr="0077667E" w14:paraId="071F90F8" w14:textId="77777777" w:rsidTr="006B5342">
        <w:tc>
          <w:tcPr>
            <w:cnfStyle w:val="001000000000" w:firstRow="0" w:lastRow="0" w:firstColumn="1" w:lastColumn="0" w:oddVBand="0" w:evenVBand="0" w:oddHBand="0" w:evenHBand="0" w:firstRowFirstColumn="0" w:firstRowLastColumn="0" w:lastRowFirstColumn="0" w:lastRowLastColumn="0"/>
            <w:tcW w:w="2694" w:type="dxa"/>
          </w:tcPr>
          <w:p w14:paraId="216EB33A" w14:textId="348A0A30" w:rsidR="00FF3A0C" w:rsidRPr="0077667E" w:rsidRDefault="00FF3A0C" w:rsidP="003B1307">
            <w:pPr>
              <w:jc w:val="right"/>
              <w:rPr>
                <w:b w:val="0"/>
                <w:sz w:val="18"/>
                <w:szCs w:val="18"/>
              </w:rPr>
            </w:pPr>
            <w:r w:rsidRPr="0077667E">
              <w:rPr>
                <w:b w:val="0"/>
                <w:sz w:val="18"/>
                <w:szCs w:val="18"/>
              </w:rPr>
              <w:t>Cumberlege et al., 2016</w:t>
            </w:r>
            <w:r w:rsidRPr="0077667E">
              <w:rPr>
                <w:sz w:val="18"/>
                <w:szCs w:val="18"/>
              </w:rPr>
              <w:fldChar w:fldCharType="begin"/>
            </w:r>
            <w:r w:rsidR="005413B4">
              <w:rPr>
                <w:b w:val="0"/>
                <w:sz w:val="18"/>
                <w:szCs w:val="18"/>
              </w:rPr>
              <w:instrText xml:space="preserve"> ADDIN ZOTERO_ITEM CSL_CITATION {"citationID":"ua8mEBvs","properties":{"formattedCitation":"\\super 185\\nosupersub{}","plainCitation":"185","noteIndex":0},"citationItems":[{"id":12893,"uris":["http://zotero.org/users/6423791/items/2YZQIHB4"],"itemData":{"id":12893,"type":"report","event-place":"London","page":"26","publisher":"Carbon Trust","publisher-place":"London","title":"Assessment of environmental footprint of FeedKind protein","author":[{"family":"Cumberlege","given":"Tom"},{"family":"Blenkinsopp","given":"Tom"},{"family":"Clark","given":"Jamie"}],"issued":{"date-parts":[["2016"]]}}}],"schema":"https://github.com/citation-style-language/schema/raw/master/csl-citation.json"} </w:instrText>
            </w:r>
            <w:r w:rsidRPr="0077667E">
              <w:rPr>
                <w:sz w:val="18"/>
                <w:szCs w:val="18"/>
              </w:rPr>
              <w:fldChar w:fldCharType="separate"/>
            </w:r>
            <w:r w:rsidR="005413B4" w:rsidRPr="005413B4">
              <w:rPr>
                <w:rFonts w:ascii="Calibri" w:hAnsi="Calibri" w:cs="Calibri"/>
                <w:sz w:val="18"/>
                <w:szCs w:val="24"/>
                <w:vertAlign w:val="superscript"/>
              </w:rPr>
              <w:t>185</w:t>
            </w:r>
            <w:r w:rsidRPr="0077667E">
              <w:rPr>
                <w:sz w:val="18"/>
                <w:szCs w:val="18"/>
              </w:rPr>
              <w:fldChar w:fldCharType="end"/>
            </w:r>
          </w:p>
        </w:tc>
        <w:tc>
          <w:tcPr>
            <w:tcW w:w="1260" w:type="dxa"/>
          </w:tcPr>
          <w:p w14:paraId="2EDE877F" w14:textId="77777777" w:rsidR="00FF3A0C" w:rsidRPr="0077667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77667E">
              <w:rPr>
                <w:sz w:val="18"/>
                <w:szCs w:val="18"/>
              </w:rPr>
              <w:t>aLCA</w:t>
            </w:r>
          </w:p>
        </w:tc>
        <w:tc>
          <w:tcPr>
            <w:tcW w:w="1023" w:type="dxa"/>
            <w:gridSpan w:val="2"/>
          </w:tcPr>
          <w:p w14:paraId="2A00DB4B" w14:textId="77777777" w:rsidR="00FF3A0C" w:rsidRPr="0077667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77667E">
              <w:rPr>
                <w:sz w:val="18"/>
                <w:szCs w:val="18"/>
              </w:rPr>
              <w:t>MOB</w:t>
            </w:r>
          </w:p>
        </w:tc>
        <w:tc>
          <w:tcPr>
            <w:tcW w:w="4095" w:type="dxa"/>
          </w:tcPr>
          <w:p w14:paraId="7DE9A302" w14:textId="77777777" w:rsidR="00FF3A0C" w:rsidRPr="0077667E" w:rsidRDefault="00FF3A0C" w:rsidP="003B1307">
            <w:pPr>
              <w:jc w:val="both"/>
              <w:cnfStyle w:val="000000000000" w:firstRow="0" w:lastRow="0" w:firstColumn="0" w:lastColumn="0" w:oddVBand="0" w:evenVBand="0" w:oddHBand="0" w:evenHBand="0" w:firstRowFirstColumn="0" w:firstRowLastColumn="0" w:lastRowFirstColumn="0" w:lastRowLastColumn="0"/>
              <w:rPr>
                <w:i/>
                <w:sz w:val="18"/>
                <w:szCs w:val="18"/>
              </w:rPr>
            </w:pPr>
            <w:r w:rsidRPr="0077667E">
              <w:rPr>
                <w:i/>
                <w:sz w:val="18"/>
                <w:szCs w:val="18"/>
              </w:rPr>
              <w:t>LCA of Calysta proteins</w:t>
            </w:r>
          </w:p>
        </w:tc>
      </w:tr>
      <w:tr w:rsidR="00FF3A0C" w:rsidRPr="0077667E" w14:paraId="7052316D"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61093CB4" w14:textId="0E92E6FD" w:rsidR="00FF3A0C" w:rsidRPr="0077667E" w:rsidRDefault="00FF3A0C" w:rsidP="003B1307">
            <w:pPr>
              <w:jc w:val="right"/>
              <w:rPr>
                <w:b w:val="0"/>
                <w:sz w:val="18"/>
                <w:szCs w:val="18"/>
              </w:rPr>
            </w:pPr>
            <w:r w:rsidRPr="0077667E">
              <w:rPr>
                <w:b w:val="0"/>
                <w:sz w:val="18"/>
                <w:szCs w:val="18"/>
              </w:rPr>
              <w:t>Levett et al., 2016</w:t>
            </w:r>
            <w:r w:rsidRPr="0077667E">
              <w:rPr>
                <w:sz w:val="18"/>
                <w:szCs w:val="18"/>
              </w:rPr>
              <w:fldChar w:fldCharType="begin"/>
            </w:r>
            <w:r w:rsidR="005413B4">
              <w:rPr>
                <w:b w:val="0"/>
                <w:sz w:val="18"/>
                <w:szCs w:val="18"/>
              </w:rPr>
              <w:instrText xml:space="preserve"> ADDIN ZOTERO_ITEM CSL_CITATION {"citationID":"Vco2VQDs","properties":{"formattedCitation":"\\super 186\\nosupersub{}","plainCitation":"186","noteIndex":0},"citationItems":[{"id":12881,"uris":["http://zotero.org/users/6423791/items/XFWA5FUP"],"itemData":{"id":12881,"type":"article-journal","abstract":"A major obstacle preventing the large scale production of polyhydroxyalkanoates (PHAs) has been the lack of a reliable, low cost, large volume feedstock. The abundance and relatively low price of methane therefore marks it as a substrate of interest. This paper presents a techno-economic assessment of the production of poly-3-hydroxybutyrate (PHB) from methane. ASPEN Plus was used for process design and simulation. The design and economic evaluation is presented for production of 100,000t/a PHB through methanotrophic fermentation and acetone-water solvent extraction. Production costs were estimated at $4.1–$6.8/kg PHA, which compares against a median price of $7.5/kg from other studies. Raw material costs are reduced from 30 to 50% of production for sugar feedstocks, to 22% of production for methane. A feature of the work is the revelation that heat removal from the two-stage bioreactor process contributes 28% of the operating cost. Thermophilic methanotrophs could allow the use of cooling water instead of refrigerant, reducing production costs to $3.2–5.4/kg PHA; it is noted that PHB producing thermophilic methanotrophs are yet to be isolated. Energy consumption for air compression and biomass drying were also identified as significant capital and operating costs and therefore optimisation of bioreactor height and pressure and biomass moisture content should be considered in future research.","container-title":"Journal of Environmental Chemical Engineering","DOI":"10.1016/j.jece.2016.07.033","ISSN":"2213-3437","issue":"4, Part A","journalAbbreviation":"J. Environ. Chem. Eng.","language":"en","page":"3724-3733","source":"ScienceDirect","title":"Techno-economic assessment of poly-3-hydroxybutyrate (PHB) production from methane—The case for thermophilic bioprocessing","volume":"4","author":[{"family":"Levett","given":"Ian"},{"family":"Birkett","given":"Greg"},{"family":"Davies","given":"Nick"},{"family":"Bell","given":"Aidan"},{"family":"Langford","given":"Alexandra"},{"family":"Laycock","given":"Bronwyn"},{"family":"Lant","given":"Paul"},{"family":"Pratt","given":"Steven"}],"issued":{"date-parts":[["2016",12,1]]}}}],"schema":"https://github.com/citation-style-language/schema/raw/master/csl-citation.json"} </w:instrText>
            </w:r>
            <w:r w:rsidRPr="0077667E">
              <w:rPr>
                <w:sz w:val="18"/>
                <w:szCs w:val="18"/>
              </w:rPr>
              <w:fldChar w:fldCharType="separate"/>
            </w:r>
            <w:r w:rsidR="005413B4" w:rsidRPr="005413B4">
              <w:rPr>
                <w:rFonts w:ascii="Calibri" w:hAnsi="Calibri" w:cs="Calibri"/>
                <w:sz w:val="18"/>
                <w:szCs w:val="24"/>
                <w:vertAlign w:val="superscript"/>
              </w:rPr>
              <w:t>186</w:t>
            </w:r>
            <w:r w:rsidRPr="0077667E">
              <w:rPr>
                <w:sz w:val="18"/>
                <w:szCs w:val="18"/>
              </w:rPr>
              <w:fldChar w:fldCharType="end"/>
            </w:r>
          </w:p>
        </w:tc>
        <w:tc>
          <w:tcPr>
            <w:tcW w:w="1260" w:type="dxa"/>
          </w:tcPr>
          <w:p w14:paraId="3A6AB196" w14:textId="77777777" w:rsidR="00FF3A0C" w:rsidRPr="0077667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77667E">
              <w:rPr>
                <w:sz w:val="18"/>
                <w:szCs w:val="18"/>
              </w:rPr>
              <w:t>TEA</w:t>
            </w:r>
          </w:p>
        </w:tc>
        <w:tc>
          <w:tcPr>
            <w:tcW w:w="1023" w:type="dxa"/>
            <w:gridSpan w:val="2"/>
          </w:tcPr>
          <w:p w14:paraId="2A2BAC6C" w14:textId="77777777" w:rsidR="00FF3A0C" w:rsidRPr="0077667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77667E">
              <w:rPr>
                <w:sz w:val="18"/>
                <w:szCs w:val="18"/>
              </w:rPr>
              <w:t>MOB</w:t>
            </w:r>
          </w:p>
        </w:tc>
        <w:tc>
          <w:tcPr>
            <w:tcW w:w="4095" w:type="dxa"/>
          </w:tcPr>
          <w:p w14:paraId="68827869" w14:textId="5EF747C2" w:rsidR="00FF3A0C" w:rsidRPr="0077667E"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77667E">
              <w:rPr>
                <w:i/>
                <w:sz w:val="18"/>
                <w:szCs w:val="18"/>
              </w:rPr>
              <w:t>Modeling of a MP route to produce PHB (non-feed)</w:t>
            </w:r>
          </w:p>
        </w:tc>
      </w:tr>
      <w:tr w:rsidR="00FF3A0C" w:rsidRPr="0077667E" w14:paraId="72DD9CFF" w14:textId="77777777" w:rsidTr="006B5342">
        <w:tc>
          <w:tcPr>
            <w:cnfStyle w:val="001000000000" w:firstRow="0" w:lastRow="0" w:firstColumn="1" w:lastColumn="0" w:oddVBand="0" w:evenVBand="0" w:oddHBand="0" w:evenHBand="0" w:firstRowFirstColumn="0" w:firstRowLastColumn="0" w:lastRowFirstColumn="0" w:lastRowLastColumn="0"/>
            <w:tcW w:w="2694" w:type="dxa"/>
          </w:tcPr>
          <w:p w14:paraId="1C3F2846" w14:textId="7D39E7B0" w:rsidR="00FF3A0C" w:rsidRPr="0077667E" w:rsidRDefault="00FF3A0C" w:rsidP="003B1307">
            <w:pPr>
              <w:jc w:val="right"/>
              <w:rPr>
                <w:b w:val="0"/>
                <w:sz w:val="18"/>
                <w:szCs w:val="18"/>
              </w:rPr>
            </w:pPr>
            <w:r w:rsidRPr="0077667E">
              <w:rPr>
                <w:b w:val="0"/>
                <w:sz w:val="18"/>
                <w:szCs w:val="18"/>
              </w:rPr>
              <w:t>Pikaar et al., 2018</w:t>
            </w:r>
            <w:r w:rsidRPr="0077667E">
              <w:rPr>
                <w:sz w:val="18"/>
                <w:szCs w:val="18"/>
              </w:rPr>
              <w:fldChar w:fldCharType="begin"/>
            </w:r>
            <w:r w:rsidR="005413B4">
              <w:rPr>
                <w:b w:val="0"/>
                <w:sz w:val="18"/>
                <w:szCs w:val="18"/>
              </w:rPr>
              <w:instrText xml:space="preserve"> ADDIN ZOTERO_ITEM CSL_CITATION {"citationID":"j4TXntEM","properties":{"formattedCitation":"\\super 187\\nosupersub{}","plainCitation":"187","noteIndex":0},"citationItems":[{"id":558,"uris":["http://zotero.org/users/6423791/items/YPK9LCXF"],"itemData":{"id":558,"type":"article-journal","abstract":"One of the main challenges for the 21st century is to balance the increasing demand for high-quality proteins while mitigating environmental impacts. In particular, cropland-based production of protein-rich animal feed for livestock rearing results in large-scale agricultural land-expansion, nitrogen pollution, and greenhouse gas emissions. Here we propose and analyze the longterm potential of alternative animal feed supply routes based on industrial production of microbial proteins (MP). Our analysis reveals that by 2050, MP can replace, depending on socioeconomic development and MP production pathways, between 10−19% of conventional crop-based animal feed protein demand. As a result, global cropland area, global nitrogen losses from croplands and agricultural greenhouse gas emissions can be decreased by 6% (0−13%), 8% (−3−8%), and 7% (−6−9%), respectively. Interestingly, the technology to industrially produce MP at competitive costs is directly accessible for implementation and has the potential to cause a major structural change in the agro-food system.","container-title":"Environmental Science &amp; Technology","DOI":"10.1021/acs.est.8b00216","ISSN":"0013-936X, 1520-5851","issue":"13","journalAbbreviation":"Environ. Sci. Technol.","language":"en","page":"7351-7359","source":"DOI.org (Crossref)","title":"Decoupling Livestock from Land Use through Industrial Feed Production Pathways","volume":"52","author":[{"family":"Pikaar","given":"Ilje"},{"family":"Matassa","given":"Silvio"},{"family":"Bodirsky","given":"Benjamin L."},{"family":"Weindl","given":"Isabelle"},{"family":"Humpenöder","given":"Florian"},{"family":"Rabaey","given":"Korneel"},{"family":"Boon","given":"Nico"},{"family":"Bruschi","given":"Michele"},{"family":"Yuan","given":"Zhiguo"},{"family":"Zanten","given":"Hannah","non-dropping-particle":"van"},{"family":"Herrero","given":"Mario"},{"family":"Verstraete","given":"Willy"},{"family":"Popp","given":"Alexander"}],"issued":{"date-parts":[["2018",7,3]]}}}],"schema":"https://github.com/citation-style-language/schema/raw/master/csl-citation.json"} </w:instrText>
            </w:r>
            <w:r w:rsidRPr="0077667E">
              <w:rPr>
                <w:sz w:val="18"/>
                <w:szCs w:val="18"/>
              </w:rPr>
              <w:fldChar w:fldCharType="separate"/>
            </w:r>
            <w:r w:rsidR="005413B4" w:rsidRPr="005413B4">
              <w:rPr>
                <w:rFonts w:ascii="Calibri" w:hAnsi="Calibri" w:cs="Calibri"/>
                <w:sz w:val="18"/>
                <w:szCs w:val="24"/>
                <w:vertAlign w:val="superscript"/>
              </w:rPr>
              <w:t>187</w:t>
            </w:r>
            <w:r w:rsidRPr="0077667E">
              <w:rPr>
                <w:sz w:val="18"/>
                <w:szCs w:val="18"/>
              </w:rPr>
              <w:fldChar w:fldCharType="end"/>
            </w:r>
          </w:p>
        </w:tc>
        <w:tc>
          <w:tcPr>
            <w:tcW w:w="1260" w:type="dxa"/>
          </w:tcPr>
          <w:p w14:paraId="3DF8BAB4" w14:textId="77777777" w:rsidR="00FF3A0C" w:rsidRPr="0077667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77667E">
              <w:rPr>
                <w:sz w:val="18"/>
                <w:szCs w:val="18"/>
              </w:rPr>
              <w:t>CO</w:t>
            </w:r>
            <w:r w:rsidRPr="0077667E">
              <w:rPr>
                <w:sz w:val="18"/>
                <w:szCs w:val="18"/>
                <w:vertAlign w:val="subscript"/>
              </w:rPr>
              <w:t>2</w:t>
            </w:r>
            <w:r w:rsidRPr="0077667E">
              <w:rPr>
                <w:sz w:val="18"/>
                <w:szCs w:val="18"/>
              </w:rPr>
              <w:t xml:space="preserve"> and land use only</w:t>
            </w:r>
          </w:p>
        </w:tc>
        <w:tc>
          <w:tcPr>
            <w:tcW w:w="1023" w:type="dxa"/>
            <w:gridSpan w:val="2"/>
          </w:tcPr>
          <w:p w14:paraId="0A1F6ADA" w14:textId="77777777" w:rsidR="00FF3A0C" w:rsidRPr="0077667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77667E">
              <w:rPr>
                <w:sz w:val="18"/>
                <w:szCs w:val="18"/>
              </w:rPr>
              <w:t>HOB &amp; MOB</w:t>
            </w:r>
          </w:p>
        </w:tc>
        <w:tc>
          <w:tcPr>
            <w:tcW w:w="4095" w:type="dxa"/>
          </w:tcPr>
          <w:p w14:paraId="7252F067" w14:textId="77777777" w:rsidR="00FF3A0C" w:rsidRPr="0077667E" w:rsidRDefault="00FF3A0C" w:rsidP="003B1307">
            <w:pPr>
              <w:jc w:val="both"/>
              <w:cnfStyle w:val="000000000000" w:firstRow="0" w:lastRow="0" w:firstColumn="0" w:lastColumn="0" w:oddVBand="0" w:evenVBand="0" w:oddHBand="0" w:evenHBand="0" w:firstRowFirstColumn="0" w:firstRowLastColumn="0" w:lastRowFirstColumn="0" w:lastRowLastColumn="0"/>
              <w:rPr>
                <w:i/>
                <w:sz w:val="18"/>
                <w:szCs w:val="18"/>
              </w:rPr>
            </w:pPr>
            <w:r w:rsidRPr="0077667E">
              <w:rPr>
                <w:i/>
                <w:sz w:val="18"/>
                <w:szCs w:val="18"/>
              </w:rPr>
              <w:t>Production potential assessment and implications of various MP pathways</w:t>
            </w:r>
          </w:p>
        </w:tc>
      </w:tr>
      <w:tr w:rsidR="00FF3A0C" w:rsidRPr="0077667E" w14:paraId="7024A9AE"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3ADCCCF6" w14:textId="196EE788" w:rsidR="00FF3A0C" w:rsidRPr="0077667E" w:rsidRDefault="00FF3A0C" w:rsidP="003B1307">
            <w:pPr>
              <w:jc w:val="right"/>
              <w:rPr>
                <w:b w:val="0"/>
                <w:sz w:val="18"/>
                <w:szCs w:val="18"/>
              </w:rPr>
            </w:pPr>
            <w:r w:rsidRPr="0077667E">
              <w:rPr>
                <w:b w:val="0"/>
                <w:sz w:val="18"/>
                <w:szCs w:val="18"/>
              </w:rPr>
              <w:t>Tallentire et al., 2018</w:t>
            </w:r>
            <w:r w:rsidRPr="0077667E">
              <w:rPr>
                <w:sz w:val="18"/>
                <w:szCs w:val="18"/>
              </w:rPr>
              <w:fldChar w:fldCharType="begin"/>
            </w:r>
            <w:r w:rsidR="005413B4">
              <w:rPr>
                <w:b w:val="0"/>
                <w:sz w:val="18"/>
                <w:szCs w:val="18"/>
              </w:rPr>
              <w:instrText xml:space="preserve"> ADDIN ZOTERO_ITEM CSL_CITATION {"citationID":"nUMhePE5","properties":{"formattedCitation":"\\super 188\\nosupersub{}","plainCitation":"188","noteIndex":0},"citationItems":[{"id":255,"uris":["http://zotero.org/users/6423791/items/LZRJFQL2"],"itemData":{"id":255,"type":"article-journal","container-title":"Journal of Cleaner Production","DOI":"10.1016/j.jclepro.2018.03.212","ISSN":"09596526","journalAbbreviation":"J. Clean. Prod.","language":"en","page":"338-347","source":"DOI.org (Crossref)","title":"Can novel ingredients replace soybeans and reduce the environmental burdens of European livestock systems in the future?","volume":"187","author":[{"family":"Tallentire","given":"C.W."},{"family":"Mackenzie","given":"S.G."},{"family":"Kyriazakis","given":"I."}],"issued":{"date-parts":[["2018",6]]}}}],"schema":"https://github.com/citation-style-language/schema/raw/master/csl-citation.json"} </w:instrText>
            </w:r>
            <w:r w:rsidRPr="0077667E">
              <w:rPr>
                <w:sz w:val="18"/>
                <w:szCs w:val="18"/>
              </w:rPr>
              <w:fldChar w:fldCharType="separate"/>
            </w:r>
            <w:r w:rsidR="005413B4" w:rsidRPr="005413B4">
              <w:rPr>
                <w:rFonts w:ascii="Calibri" w:hAnsi="Calibri" w:cs="Calibri"/>
                <w:sz w:val="18"/>
                <w:szCs w:val="24"/>
                <w:vertAlign w:val="superscript"/>
              </w:rPr>
              <w:t>188</w:t>
            </w:r>
            <w:r w:rsidRPr="0077667E">
              <w:rPr>
                <w:sz w:val="18"/>
                <w:szCs w:val="18"/>
              </w:rPr>
              <w:fldChar w:fldCharType="end"/>
            </w:r>
          </w:p>
        </w:tc>
        <w:tc>
          <w:tcPr>
            <w:tcW w:w="1260" w:type="dxa"/>
          </w:tcPr>
          <w:p w14:paraId="43AFC99E" w14:textId="77777777" w:rsidR="00FF3A0C" w:rsidRPr="0077667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77667E">
              <w:rPr>
                <w:sz w:val="18"/>
                <w:szCs w:val="18"/>
              </w:rPr>
              <w:t>aLCA</w:t>
            </w:r>
          </w:p>
        </w:tc>
        <w:tc>
          <w:tcPr>
            <w:tcW w:w="1023" w:type="dxa"/>
            <w:gridSpan w:val="2"/>
          </w:tcPr>
          <w:p w14:paraId="49D67A7B" w14:textId="77777777" w:rsidR="00FF3A0C" w:rsidRPr="0077667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77667E">
              <w:rPr>
                <w:sz w:val="18"/>
                <w:szCs w:val="18"/>
              </w:rPr>
              <w:t>MOB</w:t>
            </w:r>
          </w:p>
        </w:tc>
        <w:tc>
          <w:tcPr>
            <w:tcW w:w="4095" w:type="dxa"/>
          </w:tcPr>
          <w:p w14:paraId="4425907B" w14:textId="77777777" w:rsidR="00FF3A0C" w:rsidRPr="0077667E"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77667E">
              <w:rPr>
                <w:i/>
                <w:sz w:val="18"/>
                <w:szCs w:val="18"/>
              </w:rPr>
              <w:t>Includes estimation of Unibio process LCA</w:t>
            </w:r>
          </w:p>
        </w:tc>
      </w:tr>
      <w:tr w:rsidR="00FF3A0C" w:rsidRPr="0077667E" w14:paraId="071F7A95" w14:textId="77777777" w:rsidTr="006B5342">
        <w:tc>
          <w:tcPr>
            <w:cnfStyle w:val="001000000000" w:firstRow="0" w:lastRow="0" w:firstColumn="1" w:lastColumn="0" w:oddVBand="0" w:evenVBand="0" w:oddHBand="0" w:evenHBand="0" w:firstRowFirstColumn="0" w:firstRowLastColumn="0" w:lastRowFirstColumn="0" w:lastRowLastColumn="0"/>
            <w:tcW w:w="2694" w:type="dxa"/>
          </w:tcPr>
          <w:p w14:paraId="498E60BC" w14:textId="616652EB" w:rsidR="00FF3A0C" w:rsidRPr="0077667E" w:rsidRDefault="00FF3A0C" w:rsidP="003B1307">
            <w:pPr>
              <w:jc w:val="right"/>
              <w:rPr>
                <w:b w:val="0"/>
                <w:sz w:val="18"/>
                <w:szCs w:val="18"/>
              </w:rPr>
            </w:pPr>
            <w:r w:rsidRPr="0077667E">
              <w:rPr>
                <w:b w:val="0"/>
                <w:sz w:val="18"/>
                <w:szCs w:val="18"/>
              </w:rPr>
              <w:t>Couture et al., 2019</w:t>
            </w:r>
            <w:r w:rsidRPr="0077667E">
              <w:rPr>
                <w:sz w:val="18"/>
                <w:szCs w:val="18"/>
              </w:rPr>
              <w:fldChar w:fldCharType="begin"/>
            </w:r>
            <w:r w:rsidR="005413B4">
              <w:rPr>
                <w:b w:val="0"/>
                <w:sz w:val="18"/>
                <w:szCs w:val="18"/>
              </w:rPr>
              <w:instrText xml:space="preserve"> ADDIN ZOTERO_ITEM CSL_CITATION {"citationID":"SPOzFRPC","properties":{"formattedCitation":"\\super 189\\nosupersub{}","plainCitation":"189","noteIndex":0},"citationItems":[{"id":12878,"uris":["http://zotero.org/users/6423791/items/Y483YE54"],"itemData":{"id":12878,"type":"article-journal","abstract":"Global population growth and changing diets increase the importance, and challenges, of reducing the environmental impacts of food production. Farmed seafood is a relatively efficient way to produce protein and has already overtaken wild fisheries. The use of protein-rich food crops, such as soy, instead of fishmeal in aquaculture feed diverts these important protein sources away from direct human consumption and creates new environmental challenges. Single cell proteins (SCPs), including bacteria and yeast, have recently emerged as replacements for plant-based proteins in salmon feeds. Attributional life cycle assessment is used to compare salmon feeds based on protein from soy, methanotrophic bacteria, and yeast ingredients. All ingredients are modeled at the industrial production scale and compared based on seven resource use and emissions indicators. Yeast protein concentrate showed drastically lower impacts in all categories compared to soy protein concentrate. Bacteria meal also had lower impacts than soy protein concentrate for five of the seven indicators. When these target meals were incorporated into complete feeds the relative trends remain fairly constant, but benefits of the novel ingredients are dampened by high impacts from the nontarget ingredients. Particularly, primary production requirements (PPR) are about equal and constant across all feeds for both analyses since PPR was driven by fishmeal and oil. The bacteria-based feed has the highest climate change impacts due to the use of methane to feed the bacteria who then release carbon dioxide. Overall, the results of this study suggest that incorporating SCP ingredients into salmon feeds can help reduce the environmental impacts of salmon production. Continued improvements in SCP production would further increase the sustainability of salmon farming.","container-title":"Environmental Science &amp; Technology","DOI":"10.1021/acs.est.8b03832","ISSN":"0013-936X","issue":"4","journalAbbreviation":"Environ. Sci. Technol.","note":"publisher: American Chemical Society","page":"1967-1975","source":"ACS Publications","title":"Environmental Benefits of Novel Nonhuman Food Inputs to Salmon Feeds","volume":"53","author":[{"family":"Couture","given":"Jessica L."},{"family":"Geyer","given":"Roland"},{"family":"Hansen","given":"Jon Øvrum"},{"family":"Kuczenski","given":"Brandon"},{"family":"Øverland","given":"Margareth"},{"family":"Palazzo","given":"Joseph"},{"family":"Sahlmann","given":"Christian"},{"family":"Lenihan","given":"Hunter"}],"issued":{"date-parts":[["2019",2,19]]}}}],"schema":"https://github.com/citation-style-language/schema/raw/master/csl-citation.json"} </w:instrText>
            </w:r>
            <w:r w:rsidRPr="0077667E">
              <w:rPr>
                <w:sz w:val="18"/>
                <w:szCs w:val="18"/>
              </w:rPr>
              <w:fldChar w:fldCharType="separate"/>
            </w:r>
            <w:r w:rsidR="005413B4" w:rsidRPr="005413B4">
              <w:rPr>
                <w:rFonts w:ascii="Calibri" w:hAnsi="Calibri" w:cs="Calibri"/>
                <w:sz w:val="18"/>
                <w:szCs w:val="24"/>
                <w:vertAlign w:val="superscript"/>
              </w:rPr>
              <w:t>189</w:t>
            </w:r>
            <w:r w:rsidRPr="0077667E">
              <w:rPr>
                <w:sz w:val="18"/>
                <w:szCs w:val="18"/>
              </w:rPr>
              <w:fldChar w:fldCharType="end"/>
            </w:r>
          </w:p>
        </w:tc>
        <w:tc>
          <w:tcPr>
            <w:tcW w:w="1260" w:type="dxa"/>
          </w:tcPr>
          <w:p w14:paraId="7621F51E" w14:textId="77777777" w:rsidR="00FF3A0C" w:rsidRPr="0077667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77667E">
              <w:rPr>
                <w:sz w:val="18"/>
                <w:szCs w:val="18"/>
              </w:rPr>
              <w:t>aLCA</w:t>
            </w:r>
          </w:p>
        </w:tc>
        <w:tc>
          <w:tcPr>
            <w:tcW w:w="1023" w:type="dxa"/>
            <w:gridSpan w:val="2"/>
          </w:tcPr>
          <w:p w14:paraId="0FC58486" w14:textId="77777777" w:rsidR="00FF3A0C" w:rsidRPr="0077667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77667E">
              <w:rPr>
                <w:sz w:val="18"/>
                <w:szCs w:val="18"/>
              </w:rPr>
              <w:t>MOB</w:t>
            </w:r>
          </w:p>
        </w:tc>
        <w:tc>
          <w:tcPr>
            <w:tcW w:w="4095" w:type="dxa"/>
          </w:tcPr>
          <w:p w14:paraId="2779CFA3" w14:textId="77777777" w:rsidR="00FF3A0C" w:rsidRPr="0077667E" w:rsidRDefault="00FF3A0C" w:rsidP="003B1307">
            <w:pPr>
              <w:jc w:val="both"/>
              <w:cnfStyle w:val="000000000000" w:firstRow="0" w:lastRow="0" w:firstColumn="0" w:lastColumn="0" w:oddVBand="0" w:evenVBand="0" w:oddHBand="0" w:evenHBand="0" w:firstRowFirstColumn="0" w:firstRowLastColumn="0" w:lastRowFirstColumn="0" w:lastRowLastColumn="0"/>
              <w:rPr>
                <w:i/>
                <w:sz w:val="18"/>
                <w:szCs w:val="18"/>
              </w:rPr>
            </w:pPr>
            <w:r w:rsidRPr="0077667E">
              <w:rPr>
                <w:i/>
                <w:sz w:val="18"/>
                <w:szCs w:val="18"/>
              </w:rPr>
              <w:t>Comparison of alternative salmons feed, including MP</w:t>
            </w:r>
          </w:p>
        </w:tc>
      </w:tr>
      <w:tr w:rsidR="00FF3A0C" w:rsidRPr="0077667E" w14:paraId="11721050"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5DAE5BDA" w14:textId="6DE3FE57" w:rsidR="00FF3A0C" w:rsidRPr="0077667E" w:rsidRDefault="00FF3A0C" w:rsidP="003B1307">
            <w:pPr>
              <w:jc w:val="right"/>
              <w:rPr>
                <w:b w:val="0"/>
                <w:sz w:val="18"/>
                <w:szCs w:val="18"/>
              </w:rPr>
            </w:pPr>
            <w:r w:rsidRPr="0077667E">
              <w:rPr>
                <w:b w:val="0"/>
                <w:sz w:val="18"/>
                <w:szCs w:val="18"/>
              </w:rPr>
              <w:t>Sillman et al., 2019, 2020</w:t>
            </w:r>
            <w:r w:rsidRPr="0077667E">
              <w:rPr>
                <w:sz w:val="18"/>
                <w:szCs w:val="18"/>
              </w:rPr>
              <w:fldChar w:fldCharType="begin"/>
            </w:r>
            <w:r w:rsidR="005413B4">
              <w:rPr>
                <w:b w:val="0"/>
                <w:sz w:val="18"/>
                <w:szCs w:val="18"/>
              </w:rPr>
              <w:instrText xml:space="preserve"> ADDIN ZOTERO_ITEM CSL_CITATION {"citationID":"t042NVk3","properties":{"formattedCitation":"\\super 190,191\\nosupersub{}","plainCitation":"190,191","noteIndex":0},"citationItems":[{"id":354,"uris":["http://zotero.org/users/6423791/items/CFQ57W29"],"itemData":{"id":354,"type":"article-journal","abstract":"The global food demand is projected to significantly increase. To maintain global food security in the future, protein production needs to become more efficient regarding the use of limited land and water resources. Protein-rich biomass can be produced via direct air capture of CO2 with the help of H2-oxidizing bacteria and renewable electricity in a closed, climate-independent system. This quantitative literature review conservatively estimated the direct land and water use of bacterial protein production relying on secondary data for the components of the technology and for the reference protein sources. A several times higher potential protein yield per land area can be achieved by this technology with approximately one-tenth of the water use compared to that required for soybean production.","container-title":"Global Food Security","DOI":"10.1016/j.gfs.2019.09.007","ISSN":"2211-9124","journalAbbreviation":"Glob. Food Sec.","language":"en","page":"25-32","source":"ScienceDirect","title":"Bacterial protein for food and feed generated via renewable energy and direct air capture of CO2: Can it reduce land and water use?","title-short":"Bacterial protein for food and feed generated via renewable energy and direct air capture of CO2","volume":"22","author":[{"family":"Sillman","given":"Jani"},{"family":"Nygren","given":"Lauri"},{"family":"Kahiluoto","given":"Helena"},{"family":"Ruuskanen","given":"Vesa"},{"family":"Tamminen","given":"Anu"},{"family":"Bajamundi","given":"Cyril"},{"family":"Nappa","given":"Marja"},{"family":"Wuokko","given":"Mikko"},{"family":"Lindh","given":"Tuomo"},{"family":"Vainikka","given":"Pasi"},{"family":"Pitkänen","given":"Juha-Pekka"},{"family":"Ahola","given":"Jero"}],"issued":{"date-parts":[["2019",9,1]]}}},{"id":9416,"uris":["http://zotero.org/users/6423791/items/QMGX9TUZ"],"itemData":{"id":9416,"type":"article-journal","abstract":"Purpose Renewable energy produced from wind turbines and solar photovoltaics (PV) has rapidly increased its share in global energy markets. At the same time, interest in producing hydrocarbons via power-to-X (PtX) approaches using renewables has grown as the technology has matured. However, there exist knowledge gaps related to environmental impacts of some PtX approaches. Power-to-food (PtF) application is one of those approaches. To evaluate the environmental impacts of different PtF approaches, life cycle assessment was performed.\nMethods The theoretical environmental potential of a novel concept of PtX technologies was investigated. Because PtX approaches have usually multiple technological solutions, such as the studied PtF application can have, several technological setups were chosen for the study. PtF application is seen as potentially being able to alleviate concerns about the sustainability of the global food sector, for example, as regards the land and water use impacts of food production. This study investigated four different environmental impact categories for microbial protein (MP) production via different technological setups of PtF from a cradle-to-gate perspective. The investigated impact categories include global warming potential, blue-water use, land use, and eutrophication. The research was carried out using a life cycle impact assessment method.\nResults and discussion The results for PtF processes were compared with the impacts of other MP production technologies and soybean production. The results indicate that significantly lower environmental impact can be achieved with PtF compared with the other protein production processes studied. The best-case PtF technology setups cause considerably lower land occupation, eutrophication, and blue-water consumption impacts compared with soybean production. However, the energy source used and the electricity-to-biomass efficiency of the bioreactor greatly affect the sustainability of the PtF approach. Some energy sources and technological choices result in higher environmental impacts than other MP and soybean production. When designing PtF production facilities, special attention should thus be given to the technology used.\nConclusions With some qualifications, PtF can be considered an option for improving global food security at minimal environmental impact. If the MP via the introduced application substitutes the most harmful practices of production other protein sources, the saved resources could be used to, for example, mitigation purposes or to improve food security elsewhere. However, there still exist challenges, such as food safety–related issues, to be solved before PtF application can be used for commercial use.","container-title":"The International Journal of Life Cycle Assessment","DOI":"10.1007/s11367-020-01771-3","ISSN":"0948-3349, 1614-7502","issue":"11","journalAbbreviation":"Int. J. Life Cycle Assess.","language":"en","page":"2190-2203","source":"DOI.org (Crossref)","title":"A life cycle environmental sustainability analysis of microbial protein production via power-to-food approaches","volume":"25","author":[{"family":"Sillman","given":"J."},{"family":"Uusitalo","given":"V."},{"family":"Ruuskanen","given":"V."},{"family":"Ojala","given":"L."},{"family":"Kahiluoto","given":"H."},{"family":"Soukka","given":"R."},{"family":"Ahola","given":"J."}],"issued":{"date-parts":[["2020",11]]}}}],"schema":"https://github.com/citation-style-language/schema/raw/master/csl-citation.json"} </w:instrText>
            </w:r>
            <w:r w:rsidRPr="0077667E">
              <w:rPr>
                <w:sz w:val="18"/>
                <w:szCs w:val="18"/>
              </w:rPr>
              <w:fldChar w:fldCharType="separate"/>
            </w:r>
            <w:r w:rsidR="005413B4" w:rsidRPr="005413B4">
              <w:rPr>
                <w:rFonts w:ascii="Calibri" w:hAnsi="Calibri" w:cs="Calibri"/>
                <w:sz w:val="18"/>
                <w:szCs w:val="24"/>
                <w:vertAlign w:val="superscript"/>
              </w:rPr>
              <w:t>190,191</w:t>
            </w:r>
            <w:r w:rsidRPr="0077667E">
              <w:rPr>
                <w:sz w:val="18"/>
                <w:szCs w:val="18"/>
              </w:rPr>
              <w:fldChar w:fldCharType="end"/>
            </w:r>
          </w:p>
        </w:tc>
        <w:tc>
          <w:tcPr>
            <w:tcW w:w="1260" w:type="dxa"/>
          </w:tcPr>
          <w:p w14:paraId="05069D1B" w14:textId="77777777" w:rsidR="00FF3A0C" w:rsidRPr="0077667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77667E">
              <w:rPr>
                <w:sz w:val="18"/>
                <w:szCs w:val="18"/>
              </w:rPr>
              <w:t>aLCA</w:t>
            </w:r>
          </w:p>
        </w:tc>
        <w:tc>
          <w:tcPr>
            <w:tcW w:w="1023" w:type="dxa"/>
            <w:gridSpan w:val="2"/>
          </w:tcPr>
          <w:p w14:paraId="69C5BF4A" w14:textId="77777777" w:rsidR="00FF3A0C" w:rsidRPr="0077667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77667E">
              <w:rPr>
                <w:sz w:val="18"/>
                <w:szCs w:val="18"/>
              </w:rPr>
              <w:t>HOB</w:t>
            </w:r>
          </w:p>
        </w:tc>
        <w:tc>
          <w:tcPr>
            <w:tcW w:w="4095" w:type="dxa"/>
          </w:tcPr>
          <w:p w14:paraId="624879B5" w14:textId="77777777" w:rsidR="00FF3A0C" w:rsidRPr="0077667E"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77667E">
              <w:rPr>
                <w:i/>
                <w:sz w:val="18"/>
                <w:szCs w:val="18"/>
              </w:rPr>
              <w:t>Drivers for electrolysis-based HOB production (similar to Solar Food set-up)</w:t>
            </w:r>
          </w:p>
        </w:tc>
      </w:tr>
      <w:tr w:rsidR="00FF3A0C" w:rsidRPr="0077667E" w14:paraId="3624D35D" w14:textId="77777777" w:rsidTr="006B5342">
        <w:tc>
          <w:tcPr>
            <w:cnfStyle w:val="001000000000" w:firstRow="0" w:lastRow="0" w:firstColumn="1" w:lastColumn="0" w:oddVBand="0" w:evenVBand="0" w:oddHBand="0" w:evenHBand="0" w:firstRowFirstColumn="0" w:firstRowLastColumn="0" w:lastRowFirstColumn="0" w:lastRowLastColumn="0"/>
            <w:tcW w:w="2694" w:type="dxa"/>
          </w:tcPr>
          <w:p w14:paraId="5FE894B1" w14:textId="378451C3" w:rsidR="00FF3A0C" w:rsidRPr="0077667E" w:rsidRDefault="00FF3A0C" w:rsidP="003B1307">
            <w:pPr>
              <w:jc w:val="right"/>
              <w:rPr>
                <w:b w:val="0"/>
                <w:sz w:val="18"/>
                <w:szCs w:val="18"/>
              </w:rPr>
            </w:pPr>
            <w:r w:rsidRPr="0077667E">
              <w:rPr>
                <w:b w:val="0"/>
                <w:sz w:val="18"/>
                <w:szCs w:val="18"/>
              </w:rPr>
              <w:t>Spiller et al., 2020</w:t>
            </w:r>
            <w:r w:rsidRPr="0077667E">
              <w:rPr>
                <w:sz w:val="18"/>
                <w:szCs w:val="18"/>
              </w:rPr>
              <w:fldChar w:fldCharType="begin"/>
            </w:r>
            <w:r w:rsidR="005413B4">
              <w:rPr>
                <w:b w:val="0"/>
                <w:sz w:val="18"/>
                <w:szCs w:val="18"/>
              </w:rPr>
              <w:instrText xml:space="preserve"> ADDIN ZOTERO_ITEM CSL_CITATION {"citationID":"C29IQdg1","properties":{"formattedCitation":"\\super 192\\nosupersub{}","plainCitation":"192","noteIndex":0},"citationItems":[{"id":1887,"uris":["http://zotero.org/users/6423791/items/NZSWK259"],"itemData":{"id":1887,"type":"article-journal","abstract":"Livestock production is utilizing large amounts of protein-rich feed ingredients such as soybean meal. The proven negative environmental impacts of soybean meal production incentivize the search for alternative protein sources. One promising alternative is Microbial Protein (MP), i.e. dried microbial biomass. To date, only few life cycle assessments (LCAs) for MP have been carried out, none of which has used a consequential modelling approach nor has been investigating the production of MP on food and beverage wastewater. Therefore, the objective of this study is to evaluate the environmental impact of MP production on a food and beverage effluent as a substitute for soybean meal using a consequential modelling approach. Three different types of MP production were analysed, namely consortia containing Aerobic Heterotrophic Bacteria (AHB), Microalgae and AHB (MaB), and Purple Non-Sulfur Bacteria (PNSB). The production of MP was modelled for high-strength potato wastewater (COD = 10 kg/m3) at a flow rate of 1,000 m3/day. LCA results were compared against soybean meal production for the endpoint impact categories human health, ecosystems, and resources. Soybean meal showed up to 52% higher impact on human health and up to 87% higher impact on ecosystems than MP. However, energy-related aspects resulted in an 8–88% higher resource exploitation for MP. A comparison between the MP production systems showed that MaB performed best when considering ecosystems (between 13 and 14% better) and resource (between 71 and 80% better) impact categories, while AHB and PNSB had lower values for the impact category human health (8–12%). The sensitivity analysis suggests that the conclusions drawn are robust as in the majority of 1,000 Monte Carlo runs the initial results are confirmed. In conclusion, it is suggested that MP is an alternative protein source of comparatively low environmental impact that should play a role in the future protein transition, in particular when further process improvements can be implemented and more renewable or waste energy sources will be used.","container-title":"Water Research","DOI":"10.1016/j.watres.2019.115406","ISSN":"0043-1354","journalAbbreviation":"Water Res.","language":"en","page":"115406","source":"ScienceDirect","title":"Environmental impact of microbial protein from potato wastewater as feed ingredient: Comparative consequential life cycle assessment of three production systems and soybean meal","title-short":"Environmental impact of microbial protein from potato wastewater as feed ingredient","volume":"171","author":[{"family":"Spiller","given":"Marc"},{"family":"Muys","given":"Maarten"},{"family":"Papini","given":"Gustavo"},{"family":"Sakarika","given":"Myrsini"},{"family":"Buyle","given":"Matthias"},{"family":"Vlaeminck","given":"Siegfried E."}],"issued":{"date-parts":[["2020",3,15]]}}}],"schema":"https://github.com/citation-style-language/schema/raw/master/csl-citation.json"} </w:instrText>
            </w:r>
            <w:r w:rsidRPr="0077667E">
              <w:rPr>
                <w:sz w:val="18"/>
                <w:szCs w:val="18"/>
              </w:rPr>
              <w:fldChar w:fldCharType="separate"/>
            </w:r>
            <w:r w:rsidR="005413B4" w:rsidRPr="005413B4">
              <w:rPr>
                <w:rFonts w:ascii="Calibri" w:hAnsi="Calibri" w:cs="Calibri"/>
                <w:sz w:val="18"/>
                <w:szCs w:val="24"/>
                <w:vertAlign w:val="superscript"/>
              </w:rPr>
              <w:t>192</w:t>
            </w:r>
            <w:r w:rsidRPr="0077667E">
              <w:rPr>
                <w:sz w:val="18"/>
                <w:szCs w:val="18"/>
              </w:rPr>
              <w:fldChar w:fldCharType="end"/>
            </w:r>
          </w:p>
        </w:tc>
        <w:tc>
          <w:tcPr>
            <w:tcW w:w="1260" w:type="dxa"/>
          </w:tcPr>
          <w:p w14:paraId="789D3D03" w14:textId="77777777" w:rsidR="00FF3A0C" w:rsidRPr="0077667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77667E">
              <w:rPr>
                <w:sz w:val="18"/>
                <w:szCs w:val="18"/>
              </w:rPr>
              <w:t>cLCA</w:t>
            </w:r>
          </w:p>
        </w:tc>
        <w:tc>
          <w:tcPr>
            <w:tcW w:w="1023" w:type="dxa"/>
            <w:gridSpan w:val="2"/>
          </w:tcPr>
          <w:p w14:paraId="433A9FD0" w14:textId="77777777" w:rsidR="00FF3A0C" w:rsidRPr="0077667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77667E">
              <w:rPr>
                <w:sz w:val="18"/>
                <w:szCs w:val="18"/>
              </w:rPr>
              <w:t>PB &amp; microalgae</w:t>
            </w:r>
          </w:p>
        </w:tc>
        <w:tc>
          <w:tcPr>
            <w:tcW w:w="4095" w:type="dxa"/>
          </w:tcPr>
          <w:p w14:paraId="3B11D4FD" w14:textId="77777777" w:rsidR="00FF3A0C" w:rsidRPr="0077667E" w:rsidRDefault="00FF3A0C" w:rsidP="003B1307">
            <w:pPr>
              <w:jc w:val="both"/>
              <w:cnfStyle w:val="000000000000" w:firstRow="0" w:lastRow="0" w:firstColumn="0" w:lastColumn="0" w:oddVBand="0" w:evenVBand="0" w:oddHBand="0" w:evenHBand="0" w:firstRowFirstColumn="0" w:firstRowLastColumn="0" w:lastRowFirstColumn="0" w:lastRowLastColumn="0"/>
              <w:rPr>
                <w:i/>
                <w:sz w:val="18"/>
                <w:szCs w:val="18"/>
              </w:rPr>
            </w:pPr>
            <w:r w:rsidRPr="0077667E">
              <w:rPr>
                <w:i/>
                <w:sz w:val="18"/>
                <w:szCs w:val="18"/>
              </w:rPr>
              <w:t>Comparison of feed-oriented valorization of potato wastewater</w:t>
            </w:r>
          </w:p>
        </w:tc>
      </w:tr>
      <w:tr w:rsidR="00FF3A0C" w:rsidRPr="0077667E" w14:paraId="5A846440"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3DCD6E60" w14:textId="7D0A1659" w:rsidR="00FF3A0C" w:rsidRPr="0077667E" w:rsidRDefault="00FF3A0C" w:rsidP="003B1307">
            <w:pPr>
              <w:jc w:val="right"/>
              <w:rPr>
                <w:b w:val="0"/>
                <w:sz w:val="18"/>
                <w:szCs w:val="18"/>
              </w:rPr>
            </w:pPr>
            <w:r w:rsidRPr="0077667E">
              <w:rPr>
                <w:b w:val="0"/>
                <w:sz w:val="18"/>
                <w:szCs w:val="18"/>
              </w:rPr>
              <w:t>Khoshnevisan et al., 2020</w:t>
            </w:r>
            <w:r w:rsidRPr="0077667E">
              <w:rPr>
                <w:sz w:val="18"/>
                <w:szCs w:val="18"/>
              </w:rPr>
              <w:fldChar w:fldCharType="begin"/>
            </w:r>
            <w:r w:rsidR="005413B4">
              <w:rPr>
                <w:b w:val="0"/>
                <w:sz w:val="18"/>
                <w:szCs w:val="18"/>
              </w:rPr>
              <w:instrText xml:space="preserve"> ADDIN ZOTERO_ITEM CSL_CITATION {"citationID":"QPOZbQpi","properties":{"formattedCitation":"\\super 193\\nosupersub{}","plainCitation":"193","noteIndex":0},"citationItems":[{"id":1872,"uris":["http://zotero.org/users/6423791/items/ATV4BJ8B"],"itemData":{"id":1872,"type":"article-journal","abstract":"The progressive exhaustion of fossil energy resources and the environmental problems provoked by the excessive use of these resources have driven us to transit from a fossil fuel dependent economy to a more bio-based economy. In this regard, exploiting the organic fraction of municipal solid waste (OFMSW) for producing high value bioproducts and bioenergy under a biorefinery approach has attracted great interest. This paper presents the state of the art of urban biowaste biorefinery concepts. Accordingly, different novel valorization pathways, namely single cell protein, biosuccinic acid, and lactic acid, as well as bioenergy production were consolidated into some scenarios. Moreover, successfully tested hydrogen-assisted biological biogas upgrading was also incorporated into some scenarios as energy source for methanotrophs to upcycle nitrogen rich digestate into single cell protein. Upon the successful lab-scale experiments, different biorefinery platforms were developed and their sustainability was environmentally scrutinized using consequential life cycle assessment. The results obtained herein demonstrated that despite having different net environmental benefits, all the developed scenarios were eco-friendly solutions for valorizing biowaste into bioproducts and bioenergy. Scenarios including microbial protein production led to a saving of −58 to −147 kg CO2,eq/t biopulp in Climate change category, depending on the biorefining pathway. The net saving in Climate change category achieved for Succinic acid- and Lactic acid-based biorefinery was estimated at −73 and −173 kg CO2,eq/t biopulp, respectively. Biological biogas upgrading, if implemented, could increase energy payback by 9724 MJ/t biopulp and contribute more to the sustainability of other developed scenarios. Although scenarios with the main focus on bioenergy production outperformed others in terms of environmental sustainability, some complementary factors such as policy decisions, energy directives, economic issues, and carbon trade schemes must be taken into account in order to introduce the best valorization pathway.","container-title":"Renewable and Sustainable Energy Reviews","DOI":"10.1016/j.rser.2019.109493","ISSN":"1364-0321","journalAbbreviation":"Renewable and Sustainable Energy Reviews","language":"en","page":"109493","source":"ScienceDirect","title":"Environmental life cycle assessment of different biorefinery platforms valorizing municipal solid waste to bioenergy, microbial protein, lactic and succinic acid","volume":"117","author":[{"family":"Khoshnevisan","given":"Benyamin"},{"family":"Tabatabaei","given":"Meisam"},{"family":"Tsapekos","given":"Panagiotis"},{"family":"Rafiee","given":"Shahin"},{"family":"Aghbashlo","given":"Mortaza"},{"family":"Lindeneg","given":"Susanne"},{"family":"Angelidaki","given":"Irini"}],"issued":{"date-parts":[["2020",1,1]]}}}],"schema":"https://github.com/citation-style-language/schema/raw/master/csl-citation.json"} </w:instrText>
            </w:r>
            <w:r w:rsidRPr="0077667E">
              <w:rPr>
                <w:sz w:val="18"/>
                <w:szCs w:val="18"/>
              </w:rPr>
              <w:fldChar w:fldCharType="separate"/>
            </w:r>
            <w:r w:rsidR="005413B4" w:rsidRPr="005413B4">
              <w:rPr>
                <w:rFonts w:ascii="Calibri" w:hAnsi="Calibri" w:cs="Calibri"/>
                <w:sz w:val="18"/>
                <w:szCs w:val="24"/>
                <w:vertAlign w:val="superscript"/>
              </w:rPr>
              <w:t>193</w:t>
            </w:r>
            <w:r w:rsidRPr="0077667E">
              <w:rPr>
                <w:sz w:val="18"/>
                <w:szCs w:val="18"/>
              </w:rPr>
              <w:fldChar w:fldCharType="end"/>
            </w:r>
          </w:p>
        </w:tc>
        <w:tc>
          <w:tcPr>
            <w:tcW w:w="1260" w:type="dxa"/>
          </w:tcPr>
          <w:p w14:paraId="0D103FAE" w14:textId="77777777" w:rsidR="00FF3A0C" w:rsidRPr="0077667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77667E">
              <w:rPr>
                <w:sz w:val="18"/>
                <w:szCs w:val="18"/>
              </w:rPr>
              <w:t>cLCA</w:t>
            </w:r>
          </w:p>
        </w:tc>
        <w:tc>
          <w:tcPr>
            <w:tcW w:w="1023" w:type="dxa"/>
            <w:gridSpan w:val="2"/>
          </w:tcPr>
          <w:p w14:paraId="4367B1C7" w14:textId="77777777" w:rsidR="00FF3A0C" w:rsidRPr="0077667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77667E">
              <w:rPr>
                <w:sz w:val="18"/>
                <w:szCs w:val="18"/>
              </w:rPr>
              <w:t>MOB</w:t>
            </w:r>
          </w:p>
        </w:tc>
        <w:tc>
          <w:tcPr>
            <w:tcW w:w="4095" w:type="dxa"/>
          </w:tcPr>
          <w:p w14:paraId="7C1C08A4" w14:textId="77777777" w:rsidR="00FF3A0C" w:rsidRPr="0077667E"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77667E">
              <w:rPr>
                <w:i/>
                <w:sz w:val="18"/>
                <w:szCs w:val="18"/>
              </w:rPr>
              <w:t>Screening the best options to manage biowaste</w:t>
            </w:r>
          </w:p>
        </w:tc>
      </w:tr>
      <w:tr w:rsidR="00FF3A0C" w:rsidRPr="0077667E" w14:paraId="180C33E9" w14:textId="77777777" w:rsidTr="006B5342">
        <w:tc>
          <w:tcPr>
            <w:cnfStyle w:val="001000000000" w:firstRow="0" w:lastRow="0" w:firstColumn="1" w:lastColumn="0" w:oddVBand="0" w:evenVBand="0" w:oddHBand="0" w:evenHBand="0" w:firstRowFirstColumn="0" w:firstRowLastColumn="0" w:lastRowFirstColumn="0" w:lastRowLastColumn="0"/>
            <w:tcW w:w="2694" w:type="dxa"/>
          </w:tcPr>
          <w:p w14:paraId="2406E203" w14:textId="3CD46AA7" w:rsidR="00FF3A0C" w:rsidRPr="0077667E" w:rsidRDefault="00FF3A0C" w:rsidP="003B1307">
            <w:pPr>
              <w:jc w:val="right"/>
              <w:rPr>
                <w:b w:val="0"/>
                <w:sz w:val="18"/>
                <w:szCs w:val="18"/>
              </w:rPr>
            </w:pPr>
            <w:r w:rsidRPr="0077667E">
              <w:rPr>
                <w:b w:val="0"/>
                <w:sz w:val="18"/>
                <w:szCs w:val="18"/>
              </w:rPr>
              <w:t>Matassa et al., 2020</w:t>
            </w:r>
            <w:r w:rsidRPr="0077667E">
              <w:rPr>
                <w:sz w:val="18"/>
                <w:szCs w:val="18"/>
              </w:rPr>
              <w:fldChar w:fldCharType="begin"/>
            </w:r>
            <w:r w:rsidR="005413B4">
              <w:rPr>
                <w:b w:val="0"/>
                <w:sz w:val="18"/>
                <w:szCs w:val="18"/>
              </w:rPr>
              <w:instrText xml:space="preserve"> ADDIN ZOTERO_ITEM CSL_CITATION {"citationID":"JNIxsy4k","properties":{"formattedCitation":"\\super 194\\nosupersub{}","plainCitation":"194","noteIndex":0},"citationItems":[{"id":2354,"uris":["http://zotero.org/users/6423791/items/E7ZZWGWS"],"itemData":{"id":2354,"type":"article-journal","container-title":"Green Chem.","DOI":"10.1039/D0GC01382J","issue":"15","journalAbbreviation":"Green Chem.","language":"en","note":"publisher: Royal Society of Chemistry","page":"4912-4929","source":"pubs-rsc-org.gorgone.univ-toulouse.fr","title":"Upcycling of biowaste carbon and nutrients in line with consumer confidence: the “full gas” route to single cell protein","title-short":"Upcycling of biowaste carbon and nutrients in line with consumer confidence","volume":"22","author":[{"family":"Matassa","given":"Silvio"},{"family":"Papirio","given":"Stefano"},{"family":"Pikaar","given":"Ilje"},{"family":"Hülsen","given":"Tim"},{"family":"Leijenhorst","given":"Evert"},{"family":"Esposito","given":"Giovanni"},{"family":"Pirozzi","given":"Francesco"},{"family":"Verstraete","given":"Willy"}],"issued":{"date-parts":[["2020"]]}}}],"schema":"https://github.com/citation-style-language/schema/raw/master/csl-citation.json"} </w:instrText>
            </w:r>
            <w:r w:rsidRPr="0077667E">
              <w:rPr>
                <w:sz w:val="18"/>
                <w:szCs w:val="18"/>
              </w:rPr>
              <w:fldChar w:fldCharType="separate"/>
            </w:r>
            <w:r w:rsidR="005413B4" w:rsidRPr="005413B4">
              <w:rPr>
                <w:rFonts w:ascii="Calibri" w:hAnsi="Calibri" w:cs="Calibri"/>
                <w:sz w:val="18"/>
                <w:szCs w:val="24"/>
                <w:vertAlign w:val="superscript"/>
              </w:rPr>
              <w:t>194</w:t>
            </w:r>
            <w:r w:rsidRPr="0077667E">
              <w:rPr>
                <w:sz w:val="18"/>
                <w:szCs w:val="18"/>
              </w:rPr>
              <w:fldChar w:fldCharType="end"/>
            </w:r>
          </w:p>
        </w:tc>
        <w:tc>
          <w:tcPr>
            <w:tcW w:w="1260" w:type="dxa"/>
          </w:tcPr>
          <w:p w14:paraId="3719631C" w14:textId="77777777" w:rsidR="00FF3A0C" w:rsidRPr="0077667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77667E">
              <w:rPr>
                <w:sz w:val="18"/>
                <w:szCs w:val="18"/>
              </w:rPr>
              <w:t>Mass, energy balances</w:t>
            </w:r>
          </w:p>
        </w:tc>
        <w:tc>
          <w:tcPr>
            <w:tcW w:w="1023" w:type="dxa"/>
            <w:gridSpan w:val="2"/>
          </w:tcPr>
          <w:p w14:paraId="63FBF0BA" w14:textId="77777777" w:rsidR="00FF3A0C" w:rsidRPr="0077667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77667E">
              <w:rPr>
                <w:sz w:val="18"/>
                <w:szCs w:val="18"/>
              </w:rPr>
              <w:t>HOB &amp; MOB</w:t>
            </w:r>
          </w:p>
        </w:tc>
        <w:tc>
          <w:tcPr>
            <w:tcW w:w="4095" w:type="dxa"/>
          </w:tcPr>
          <w:p w14:paraId="534EFB51" w14:textId="5C34C6EF" w:rsidR="00FF3A0C" w:rsidRPr="0077667E" w:rsidRDefault="00FF3A0C" w:rsidP="003B1307">
            <w:pPr>
              <w:jc w:val="both"/>
              <w:cnfStyle w:val="000000000000" w:firstRow="0" w:lastRow="0" w:firstColumn="0" w:lastColumn="0" w:oddVBand="0" w:evenVBand="0" w:oddHBand="0" w:evenHBand="0" w:firstRowFirstColumn="0" w:firstRowLastColumn="0" w:lastRowFirstColumn="0" w:lastRowLastColumn="0"/>
              <w:rPr>
                <w:i/>
                <w:sz w:val="18"/>
                <w:szCs w:val="18"/>
              </w:rPr>
            </w:pPr>
            <w:r w:rsidRPr="0077667E">
              <w:rPr>
                <w:i/>
                <w:sz w:val="18"/>
                <w:szCs w:val="18"/>
              </w:rPr>
              <w:t xml:space="preserve">Concept study about scaling and quantifying potential for bio-based MP production from various </w:t>
            </w:r>
            <w:r w:rsidR="002F7540">
              <w:rPr>
                <w:i/>
                <w:sz w:val="18"/>
                <w:szCs w:val="18"/>
              </w:rPr>
              <w:t>residues</w:t>
            </w:r>
          </w:p>
        </w:tc>
      </w:tr>
      <w:tr w:rsidR="00FF3A0C" w:rsidRPr="0077667E" w14:paraId="441F4828"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27303130" w14:textId="59FBD23A" w:rsidR="00FF3A0C" w:rsidRPr="0077667E" w:rsidRDefault="00FF3A0C" w:rsidP="003B1307">
            <w:pPr>
              <w:jc w:val="right"/>
              <w:rPr>
                <w:b w:val="0"/>
                <w:sz w:val="18"/>
                <w:szCs w:val="18"/>
              </w:rPr>
            </w:pPr>
            <w:r w:rsidRPr="0077667E">
              <w:rPr>
                <w:b w:val="0"/>
                <w:sz w:val="18"/>
                <w:szCs w:val="18"/>
              </w:rPr>
              <w:t>Verbeeck et al., 2020</w:t>
            </w:r>
            <w:r w:rsidRPr="0077667E">
              <w:rPr>
                <w:sz w:val="18"/>
                <w:szCs w:val="18"/>
              </w:rPr>
              <w:fldChar w:fldCharType="begin"/>
            </w:r>
            <w:r w:rsidR="005413B4">
              <w:rPr>
                <w:b w:val="0"/>
                <w:sz w:val="18"/>
                <w:szCs w:val="18"/>
              </w:rPr>
              <w:instrText xml:space="preserve"> ADDIN ZOTERO_ITEM CSL_CITATION {"citationID":"G6LMloy1","properties":{"formattedCitation":"\\super 195\\nosupersub{}","plainCitation":"195","noteIndex":0},"citationItems":[{"id":1878,"uris":["http://zotero.org/users/6423791/items/J32BCSLB"],"itemData":{"id":1878,"type":"article-journal","abstract":"Anaerobic digesters produce biogas, a mixture of predominantly CH4 and CO2, which is typically incinerated to recover electrical and/or thermal energy. In a context of circular economy, the CH4 and CO2 could be used as chemical feedstock in combination with ammonium from the digestate. Their combination into protein-rich bacterial, used as animal feed additive, could contribute to the ever growing global demand for nutritive protein sources and improve the overall nitrogen efficiency of the current agro- feed/food chain. In this concept, renewable CH4 and H2 can serve as carbon-neutral energy sources for the production of protein-rich cellular biomass, while assimilating and upgrading recovered ammonia from the digestate. This study evaluated the potential of producing sustainable high-quality protein additives in a decentralized way through coupling anaerobic digestion and microbial protein production using methanotrophic and hydrogenotrophic bacteria in an on-farm bioreactor. We show that a practical case digester handling liquid piggery manure, of which the energy content is supplemented for 30% with co-substrates, provides sufficient biogas to allow the subsequent microbial protein as feed production for about 37% of the number of pigs from which the manure was derived. Overall, producing microbial protein on the farm from available methane and ammonia liberated by anaerobic digesters treating manure appears economically and technically feasible within the current range of market prices existing for high-quality protein. The case of producing biomethane for grid injection and upgrading the CO2 with electrolytic hydrogen to microbial protein by means of hydrogen-oxidizing bacteria was also examined but found less attractive at the current production prices of renewable hydrogen. Our calculations show that this route is only of commercial interest if the protein value equals the value of high-value protein additives like fishmeal and if the avoided costs for nutrient removal from the digestate are taken into consideration.","container-title":"Microbial Biotechnology","DOI":"10.1111/1751-7915.13600","ISSN":"1751-7915","issue":"3","journalAbbreviation":"Microb. Biotechnol.","language":"en","license":"© 2020 The Authors. Microbial Biotechnology  published by John Wiley &amp; Sons Ltd and Society for Applied Microbiology.","note":"_eprint: https://onlinelibrary.wiley.com/doi/pdf/10.1111/1751-7915.13600","page":"897-910","source":"Wiley Online Library","title":"Assessing the potential for up-cycling recovered resources from anaerobic digestion through microbial protein production","volume":"14","author":[{"family":"Verbeeck","given":"Kristof"},{"family":"Vrieze","given":"Jo De"},{"family":"Pikaar","given":"Ilje"},{"family":"Verstraete","given":"Willy"},{"family":"Rabaey","given":"Korneel"}],"issued":{"date-parts":[["2020"]]}}}],"schema":"https://github.com/citation-style-language/schema/raw/master/csl-citation.json"} </w:instrText>
            </w:r>
            <w:r w:rsidRPr="0077667E">
              <w:rPr>
                <w:sz w:val="18"/>
                <w:szCs w:val="18"/>
              </w:rPr>
              <w:fldChar w:fldCharType="separate"/>
            </w:r>
            <w:r w:rsidR="005413B4" w:rsidRPr="005413B4">
              <w:rPr>
                <w:rFonts w:ascii="Calibri" w:hAnsi="Calibri" w:cs="Calibri"/>
                <w:sz w:val="18"/>
                <w:szCs w:val="24"/>
                <w:vertAlign w:val="superscript"/>
              </w:rPr>
              <w:t>195</w:t>
            </w:r>
            <w:r w:rsidRPr="0077667E">
              <w:rPr>
                <w:sz w:val="18"/>
                <w:szCs w:val="18"/>
              </w:rPr>
              <w:fldChar w:fldCharType="end"/>
            </w:r>
          </w:p>
        </w:tc>
        <w:tc>
          <w:tcPr>
            <w:tcW w:w="1260" w:type="dxa"/>
          </w:tcPr>
          <w:p w14:paraId="7EDBB31C" w14:textId="77777777" w:rsidR="00FF3A0C" w:rsidRPr="0077667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77667E">
              <w:rPr>
                <w:sz w:val="18"/>
                <w:szCs w:val="18"/>
              </w:rPr>
              <w:t>TEA</w:t>
            </w:r>
          </w:p>
        </w:tc>
        <w:tc>
          <w:tcPr>
            <w:tcW w:w="1023" w:type="dxa"/>
            <w:gridSpan w:val="2"/>
          </w:tcPr>
          <w:p w14:paraId="4D732D9C" w14:textId="77777777" w:rsidR="00FF3A0C" w:rsidRPr="0077667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77667E">
              <w:rPr>
                <w:sz w:val="18"/>
                <w:szCs w:val="18"/>
              </w:rPr>
              <w:t>HOB &amp; MOB</w:t>
            </w:r>
          </w:p>
        </w:tc>
        <w:tc>
          <w:tcPr>
            <w:tcW w:w="4095" w:type="dxa"/>
          </w:tcPr>
          <w:p w14:paraId="56A99E00" w14:textId="77777777" w:rsidR="00FF3A0C" w:rsidRPr="0077667E"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77667E">
              <w:rPr>
                <w:i/>
                <w:sz w:val="18"/>
                <w:szCs w:val="18"/>
              </w:rPr>
              <w:t>Integration of MP production within the anaerobic digestion of agricultural residues</w:t>
            </w:r>
          </w:p>
        </w:tc>
      </w:tr>
      <w:tr w:rsidR="00FF3A0C" w:rsidRPr="0077667E" w14:paraId="40A4F5AA" w14:textId="77777777" w:rsidTr="006B5342">
        <w:tc>
          <w:tcPr>
            <w:cnfStyle w:val="001000000000" w:firstRow="0" w:lastRow="0" w:firstColumn="1" w:lastColumn="0" w:oddVBand="0" w:evenVBand="0" w:oddHBand="0" w:evenHBand="0" w:firstRowFirstColumn="0" w:firstRowLastColumn="0" w:lastRowFirstColumn="0" w:lastRowLastColumn="0"/>
            <w:tcW w:w="2694" w:type="dxa"/>
          </w:tcPr>
          <w:p w14:paraId="7F1FFE6B" w14:textId="46760686" w:rsidR="00FF3A0C" w:rsidRPr="0077667E" w:rsidRDefault="00FF3A0C" w:rsidP="003B1307">
            <w:pPr>
              <w:jc w:val="right"/>
              <w:rPr>
                <w:b w:val="0"/>
                <w:sz w:val="18"/>
                <w:szCs w:val="18"/>
              </w:rPr>
            </w:pPr>
            <w:r w:rsidRPr="0077667E">
              <w:rPr>
                <w:b w:val="0"/>
                <w:sz w:val="18"/>
                <w:szCs w:val="18"/>
              </w:rPr>
              <w:t>Nappa et al., 2020</w:t>
            </w:r>
            <w:r w:rsidRPr="0077667E">
              <w:rPr>
                <w:sz w:val="18"/>
                <w:szCs w:val="18"/>
              </w:rPr>
              <w:fldChar w:fldCharType="begin"/>
            </w:r>
            <w:r w:rsidR="005413B4">
              <w:rPr>
                <w:b w:val="0"/>
                <w:sz w:val="18"/>
                <w:szCs w:val="18"/>
              </w:rPr>
              <w:instrText xml:space="preserve"> ADDIN ZOTERO_ITEM CSL_CITATION {"citationID":"5sbaAFu7","properties":{"formattedCitation":"\\super 196\\nosupersub{}","plainCitation":"196","noteIndex":0},"citationItems":[{"id":12839,"uris":["http://zotero.org/users/6423791/items/Z8P5BF6M"],"itemData":{"id":12839,"type":"article-journal","abstract":"This study evaluates the techno-economic feasibility of five solar-powered concepts for the production of autotrophic microorganisms for food and feed production; the main focus is on three concepts based on hydrogen-oxidizing bacteria (HOB), which are further compared to two microalgae-related concepts. Two locations with markedly different solar conditions are considered (Finland and Morocco), in which Morocco was found to be the most economically competitive for the cultivation of microalgae in open ponds and closed systems (1.4 and 1.9 € kg–1, respectively). Biomass production by combined water electrolysis and HOB cultivation results in higher costs for all three considered concepts. Among these, the lowest production cost of 5.3 € kg–1 is associated with grid-assisted electricity use in Finland, while the highest production cost of &gt;9.1 € kg–1 is determined for concepts using solely photovoltaics and/or photoelectrochemical technology for on-site electricity production and solar-energy conversion to H2 by water electrolysis. All assessed concepts are capital intensive. Furthermore, a sensitivity analysis suggests that the production costs of HOB biomass can be lowered down to 2.1 € kg–1 by optimization of the process parameters among which volumetric productivity, electricity strategy, and electricity costs have the highest cost-saving potentials. The study reveals that continuously available electricity and H2 supply are essential for the development of a viable HOB concept due to the capital intensity of the needed technologies. In addition, volumetric productivity is the key parameter that needs to be optimized to increase the economic competitiveness of HOB production.","container-title":"ACS Omega","DOI":"10.1021/acsomega.0c04926","issue":"51","note":"publisher: American Chemical Society","page":"33242-33252","source":"ACS Publications","title":"Solar-Powered Carbon Fixation for Food and Feed Production Using Microorganisms—A Comparative Techno-Economic Analysis","volume":"5","author":[{"family":"Nappa","given":"Marja"},{"family":"Lienemann","given":"Michael"},{"family":"Tossi","given":"Camilla"},{"family":"Blomberg","given":"Peter"},{"family":"Jäntti","given":"Jussi"},{"family":"Tittonen","given":"Ilkka Juhani"},{"family":"Penttilä","given":"Merja"}],"issued":{"date-parts":[["2020",12,29]]}}}],"schema":"https://github.com/citation-style-language/schema/raw/master/csl-citation.json"} </w:instrText>
            </w:r>
            <w:r w:rsidRPr="0077667E">
              <w:rPr>
                <w:sz w:val="18"/>
                <w:szCs w:val="18"/>
              </w:rPr>
              <w:fldChar w:fldCharType="separate"/>
            </w:r>
            <w:r w:rsidR="005413B4" w:rsidRPr="005413B4">
              <w:rPr>
                <w:rFonts w:ascii="Calibri" w:hAnsi="Calibri" w:cs="Calibri"/>
                <w:sz w:val="18"/>
                <w:szCs w:val="24"/>
                <w:vertAlign w:val="superscript"/>
              </w:rPr>
              <w:t>196</w:t>
            </w:r>
            <w:r w:rsidRPr="0077667E">
              <w:rPr>
                <w:sz w:val="18"/>
                <w:szCs w:val="18"/>
              </w:rPr>
              <w:fldChar w:fldCharType="end"/>
            </w:r>
          </w:p>
        </w:tc>
        <w:tc>
          <w:tcPr>
            <w:tcW w:w="1260" w:type="dxa"/>
          </w:tcPr>
          <w:p w14:paraId="0970518D" w14:textId="77777777" w:rsidR="00FF3A0C" w:rsidRPr="0077667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77667E">
              <w:rPr>
                <w:sz w:val="18"/>
                <w:szCs w:val="18"/>
              </w:rPr>
              <w:t>TEA</w:t>
            </w:r>
          </w:p>
        </w:tc>
        <w:tc>
          <w:tcPr>
            <w:tcW w:w="1023" w:type="dxa"/>
            <w:gridSpan w:val="2"/>
          </w:tcPr>
          <w:p w14:paraId="34F5394F" w14:textId="77777777" w:rsidR="00FF3A0C" w:rsidRPr="0077667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77667E">
              <w:rPr>
                <w:sz w:val="18"/>
                <w:szCs w:val="18"/>
              </w:rPr>
              <w:t>HOB</w:t>
            </w:r>
          </w:p>
        </w:tc>
        <w:tc>
          <w:tcPr>
            <w:tcW w:w="4095" w:type="dxa"/>
          </w:tcPr>
          <w:p w14:paraId="3EA4502F" w14:textId="77777777" w:rsidR="00FF3A0C" w:rsidRPr="0077667E" w:rsidRDefault="00FF3A0C" w:rsidP="003B1307">
            <w:pPr>
              <w:jc w:val="both"/>
              <w:cnfStyle w:val="000000000000" w:firstRow="0" w:lastRow="0" w:firstColumn="0" w:lastColumn="0" w:oddVBand="0" w:evenVBand="0" w:oddHBand="0" w:evenHBand="0" w:firstRowFirstColumn="0" w:firstRowLastColumn="0" w:lastRowFirstColumn="0" w:lastRowLastColumn="0"/>
              <w:rPr>
                <w:i/>
                <w:sz w:val="18"/>
                <w:szCs w:val="18"/>
              </w:rPr>
            </w:pPr>
            <w:r w:rsidRPr="0077667E">
              <w:rPr>
                <w:i/>
                <w:sz w:val="18"/>
                <w:szCs w:val="18"/>
              </w:rPr>
              <w:t>Comparison of solar-to-nutrition conversion efficiency applied to bacteria and microalgae</w:t>
            </w:r>
          </w:p>
        </w:tc>
      </w:tr>
      <w:tr w:rsidR="00FF3A0C" w:rsidRPr="0077667E" w14:paraId="0EFEE685"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13714564" w14:textId="623E0830" w:rsidR="00FF3A0C" w:rsidRPr="0077667E" w:rsidRDefault="00FF3A0C" w:rsidP="003B1307">
            <w:pPr>
              <w:jc w:val="right"/>
              <w:rPr>
                <w:b w:val="0"/>
                <w:sz w:val="18"/>
                <w:szCs w:val="18"/>
              </w:rPr>
            </w:pPr>
            <w:r w:rsidRPr="0077667E">
              <w:rPr>
                <w:b w:val="0"/>
                <w:sz w:val="18"/>
                <w:szCs w:val="18"/>
              </w:rPr>
              <w:t>Järviö et al., 2021</w:t>
            </w:r>
            <w:r w:rsidRPr="0077667E">
              <w:rPr>
                <w:sz w:val="18"/>
                <w:szCs w:val="18"/>
              </w:rPr>
              <w:fldChar w:fldCharType="begin"/>
            </w:r>
            <w:r w:rsidR="005413B4">
              <w:rPr>
                <w:b w:val="0"/>
                <w:sz w:val="18"/>
                <w:szCs w:val="18"/>
              </w:rPr>
              <w:instrText xml:space="preserve"> ADDIN ZOTERO_ITEM CSL_CITATION {"citationID":"ME7EDY5u","properties":{"formattedCitation":"\\super 183\\nosupersub{}","plainCitation":"183","noteIndex":0},"citationItems":[{"id":5124,"uris":["http://zotero.org/users/6423791/items/QSN5G6WV"],"itemData":{"id":5124,"type":"article-journal","container-title":"Science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L."}],"issued":{"date-parts":[["2021",2]]}}}],"schema":"https://github.com/citation-style-language/schema/raw/master/csl-citation.json"} </w:instrText>
            </w:r>
            <w:r w:rsidRPr="0077667E">
              <w:rPr>
                <w:sz w:val="18"/>
                <w:szCs w:val="18"/>
              </w:rPr>
              <w:fldChar w:fldCharType="separate"/>
            </w:r>
            <w:r w:rsidR="005413B4" w:rsidRPr="005413B4">
              <w:rPr>
                <w:rFonts w:ascii="Calibri" w:hAnsi="Calibri" w:cs="Calibri"/>
                <w:sz w:val="18"/>
                <w:szCs w:val="24"/>
                <w:vertAlign w:val="superscript"/>
              </w:rPr>
              <w:t>183</w:t>
            </w:r>
            <w:r w:rsidRPr="0077667E">
              <w:rPr>
                <w:sz w:val="18"/>
                <w:szCs w:val="18"/>
              </w:rPr>
              <w:fldChar w:fldCharType="end"/>
            </w:r>
          </w:p>
        </w:tc>
        <w:tc>
          <w:tcPr>
            <w:tcW w:w="1260" w:type="dxa"/>
          </w:tcPr>
          <w:p w14:paraId="7B7FBD81" w14:textId="77777777" w:rsidR="00FF3A0C" w:rsidRPr="0077667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77667E">
              <w:rPr>
                <w:sz w:val="18"/>
                <w:szCs w:val="18"/>
              </w:rPr>
              <w:t>aLCA</w:t>
            </w:r>
          </w:p>
        </w:tc>
        <w:tc>
          <w:tcPr>
            <w:tcW w:w="1023" w:type="dxa"/>
            <w:gridSpan w:val="2"/>
          </w:tcPr>
          <w:p w14:paraId="6E95F632" w14:textId="77777777" w:rsidR="00FF3A0C" w:rsidRPr="0077667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77667E">
              <w:rPr>
                <w:sz w:val="18"/>
                <w:szCs w:val="18"/>
              </w:rPr>
              <w:t>HOB</w:t>
            </w:r>
          </w:p>
        </w:tc>
        <w:tc>
          <w:tcPr>
            <w:tcW w:w="4095" w:type="dxa"/>
          </w:tcPr>
          <w:p w14:paraId="0A12D195" w14:textId="77777777" w:rsidR="00FF3A0C" w:rsidRPr="0077667E"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77667E">
              <w:rPr>
                <w:i/>
                <w:sz w:val="18"/>
                <w:szCs w:val="18"/>
              </w:rPr>
              <w:t>Case study assessment of Solar Food concept and eco-design considerations</w:t>
            </w:r>
          </w:p>
        </w:tc>
      </w:tr>
      <w:tr w:rsidR="00FF3A0C" w:rsidRPr="0077667E" w14:paraId="6C471A16" w14:textId="77777777" w:rsidTr="006B5342">
        <w:tc>
          <w:tcPr>
            <w:cnfStyle w:val="001000000000" w:firstRow="0" w:lastRow="0" w:firstColumn="1" w:lastColumn="0" w:oddVBand="0" w:evenVBand="0" w:oddHBand="0" w:evenHBand="0" w:firstRowFirstColumn="0" w:firstRowLastColumn="0" w:lastRowFirstColumn="0" w:lastRowLastColumn="0"/>
            <w:tcW w:w="2694" w:type="dxa"/>
          </w:tcPr>
          <w:p w14:paraId="63DE484B" w14:textId="35142DBB" w:rsidR="00FF3A0C" w:rsidRPr="0077667E" w:rsidRDefault="00FF3A0C" w:rsidP="003B1307">
            <w:pPr>
              <w:jc w:val="right"/>
              <w:rPr>
                <w:b w:val="0"/>
                <w:sz w:val="18"/>
                <w:szCs w:val="18"/>
              </w:rPr>
            </w:pPr>
            <w:r w:rsidRPr="0077667E">
              <w:rPr>
                <w:b w:val="0"/>
                <w:sz w:val="18"/>
                <w:szCs w:val="18"/>
              </w:rPr>
              <w:t>Leger et al., 2021</w:t>
            </w:r>
            <w:r w:rsidRPr="0077667E">
              <w:rPr>
                <w:sz w:val="18"/>
                <w:szCs w:val="18"/>
              </w:rPr>
              <w:fldChar w:fldCharType="begin"/>
            </w:r>
            <w:r w:rsidR="005413B4">
              <w:rPr>
                <w:b w:val="0"/>
                <w:sz w:val="18"/>
                <w:szCs w:val="18"/>
              </w:rPr>
              <w:instrText xml:space="preserve"> ADDIN ZOTERO_ITEM CSL_CITATION {"citationID":"eyVdsAcD","properties":{"formattedCitation":"\\super 175\\nosupersub{}","plainCitation":"175","noteIndex":0},"citationItems":[{"id":11540,"uris":["http://zotero.org/users/6423791/items/L9NYDA2K"],"itemData":{"id":11540,"type":"article-journal","abstract":"Population growth and changes in dietary patterns place an ever-growing pressure on the environment. Feeding the world within sustainable boundaries therefore requires revolutionizing the way we harness natural resources. Microbial biomass can be cultivated to yield protein-rich feed and food supplements, collectively termed single-cell protein (SCP). Yet, we still lack a quantitative comparison between traditional agriculture and photovoltaic-driven SCP systems in terms of land use and energetic efficiency. Here, we analyze the energetic efficiency of harnessing solar energy to produce SCP from air and water. Our model includes photovoltaic electricity generation, direct air capture of carbon dioxide, electrosynthesis of an electron donor and/or carbon source for microbial growth (hydrogen, formate, or methanol), microbial cultivation, and the processing of biomass and proteins. We show that, per unit of land, SCP production can reach an over 10-fold higher protein yield and at least twice the caloric yield compared with any staple crop. Altogether, this quantitative analysis offers an assessment of the future potential of photovoltaic-driven microbial foods to supplement conventional agricultural production and support resource-efficient protein supply on a global scale.","container-title":"Proceedings of the National Academy of Sciences","DOI":"10.1073/pnas.2015025118","ISSN":"0027-8424, 1091-6490","issue":"26","journalAbbreviation":"Proc Natl Acad Sci USA","language":"en","page":"e2015025118","source":"DOI.org (Crossref)","title":"Photovoltaic-driven microbial protein production can use land and sunlight more efficiently than conventional crops","volume":"118","author":[{"family":"Leger","given":"Dorian"},{"family":"Matassa","given":"Silvio"},{"family":"Noor","given":"Elad"},{"family":"Shepon","given":"Alon"},{"family":"Milo","given":"Ron"},{"family":"Bar-Even","given":"Arren"}],"issued":{"date-parts":[["2021",6,29]]}}}],"schema":"https://github.com/citation-style-language/schema/raw/master/csl-citation.json"} </w:instrText>
            </w:r>
            <w:r w:rsidRPr="0077667E">
              <w:rPr>
                <w:sz w:val="18"/>
                <w:szCs w:val="18"/>
              </w:rPr>
              <w:fldChar w:fldCharType="separate"/>
            </w:r>
            <w:r w:rsidR="005413B4" w:rsidRPr="005413B4">
              <w:rPr>
                <w:rFonts w:ascii="Calibri" w:hAnsi="Calibri" w:cs="Calibri"/>
                <w:sz w:val="18"/>
                <w:szCs w:val="24"/>
                <w:vertAlign w:val="superscript"/>
              </w:rPr>
              <w:t>175</w:t>
            </w:r>
            <w:r w:rsidRPr="0077667E">
              <w:rPr>
                <w:sz w:val="18"/>
                <w:szCs w:val="18"/>
              </w:rPr>
              <w:fldChar w:fldCharType="end"/>
            </w:r>
          </w:p>
        </w:tc>
        <w:tc>
          <w:tcPr>
            <w:tcW w:w="1260" w:type="dxa"/>
          </w:tcPr>
          <w:p w14:paraId="61884620" w14:textId="77777777" w:rsidR="00FF3A0C" w:rsidRPr="0077667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77667E">
              <w:rPr>
                <w:sz w:val="18"/>
                <w:szCs w:val="18"/>
              </w:rPr>
              <w:t>Efficiency analysis</w:t>
            </w:r>
          </w:p>
        </w:tc>
        <w:tc>
          <w:tcPr>
            <w:tcW w:w="1023" w:type="dxa"/>
            <w:gridSpan w:val="2"/>
          </w:tcPr>
          <w:p w14:paraId="43F73482" w14:textId="77777777" w:rsidR="00FF3A0C" w:rsidRPr="0077667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77667E">
              <w:rPr>
                <w:sz w:val="18"/>
                <w:szCs w:val="18"/>
              </w:rPr>
              <w:t>HOB</w:t>
            </w:r>
          </w:p>
        </w:tc>
        <w:tc>
          <w:tcPr>
            <w:tcW w:w="4095" w:type="dxa"/>
          </w:tcPr>
          <w:p w14:paraId="7DA634DE" w14:textId="77777777" w:rsidR="00FF3A0C" w:rsidRPr="0077667E" w:rsidRDefault="00FF3A0C" w:rsidP="003B1307">
            <w:pPr>
              <w:jc w:val="both"/>
              <w:cnfStyle w:val="000000000000" w:firstRow="0" w:lastRow="0" w:firstColumn="0" w:lastColumn="0" w:oddVBand="0" w:evenVBand="0" w:oddHBand="0" w:evenHBand="0" w:firstRowFirstColumn="0" w:firstRowLastColumn="0" w:lastRowFirstColumn="0" w:lastRowLastColumn="0"/>
              <w:rPr>
                <w:i/>
                <w:sz w:val="18"/>
                <w:szCs w:val="18"/>
              </w:rPr>
            </w:pPr>
            <w:r w:rsidRPr="0077667E">
              <w:rPr>
                <w:i/>
                <w:sz w:val="18"/>
                <w:szCs w:val="18"/>
              </w:rPr>
              <w:t>Comparison of CO</w:t>
            </w:r>
            <w:r w:rsidRPr="0077667E">
              <w:rPr>
                <w:i/>
                <w:sz w:val="18"/>
                <w:szCs w:val="18"/>
                <w:vertAlign w:val="subscript"/>
              </w:rPr>
              <w:t>2</w:t>
            </w:r>
            <w:r w:rsidRPr="0077667E">
              <w:rPr>
                <w:i/>
                <w:sz w:val="18"/>
                <w:szCs w:val="18"/>
              </w:rPr>
              <w:t xml:space="preserve"> to nutrition conversion efficiency between microbial proteins and conventional crops</w:t>
            </w:r>
          </w:p>
        </w:tc>
      </w:tr>
      <w:tr w:rsidR="00FF3A0C" w:rsidRPr="0077667E" w14:paraId="438BCB16"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7EC0BE7E" w14:textId="04724262" w:rsidR="00FF3A0C" w:rsidRPr="0077667E" w:rsidRDefault="00FF3A0C" w:rsidP="003B1307">
            <w:pPr>
              <w:jc w:val="right"/>
              <w:rPr>
                <w:b w:val="0"/>
                <w:sz w:val="18"/>
                <w:szCs w:val="18"/>
              </w:rPr>
            </w:pPr>
            <w:r w:rsidRPr="0077667E">
              <w:rPr>
                <w:b w:val="0"/>
                <w:sz w:val="18"/>
                <w:szCs w:val="18"/>
              </w:rPr>
              <w:t>El Abbadi et al., 2021</w:t>
            </w:r>
            <w:r w:rsidRPr="0077667E">
              <w:rPr>
                <w:sz w:val="18"/>
                <w:szCs w:val="18"/>
              </w:rPr>
              <w:fldChar w:fldCharType="begin"/>
            </w:r>
            <w:r w:rsidR="008C451C">
              <w:rPr>
                <w:b w:val="0"/>
                <w:sz w:val="18"/>
                <w:szCs w:val="18"/>
              </w:rPr>
              <w:instrText xml:space="preserve"> ADDIN ZOTERO_ITEM CSL_CITATION {"citationID":"rbyuNuZp","properties":{"formattedCitation":"\\super 40\\nosupersub{}","plainCitation":"40","noteIndex":0},"citationItems":[{"id":12853,"uris":["http://zotero.org/users/6423791/items/NHUWJREK"],"itemData":{"id":12853,"type":"article-journal","abstract":"Methane emitted and flared from industrial sources across the United States is a major contributor to global climate change. Methanotrophic bacteria can transform this methane into useful protein-rich biomass, already approved for inclusion into animal feed. In the rapidly growing aquaculture industry, methanotrophic additives have a favourable amino acid profile and can offset ocean-caught fishmeal, reducing demands on over-harvested fisheries. Here we analyse the economic potential of producing methanotrophic microbial protein from stranded methane produced at wastewater treatment plants, landfills, and oil and gas facilities. Our results show that current technology can enable production, in the United States alone, equivalent to 14% of the global fishmeal market at prices at or below the current cost of fishmeal (roughly US$1,600 per metric ton). A sensitivity analysis highlights technically and economically feasible cost reductions (such as reduced cooling or labour requirements), which could allow stranded methane from the United States alone to satisfy global fishmeal demand.","container-title":"Nature Sustainability","DOI":"10.1038/s41893-021-00796-2","ISSN":"2398-9629","journalAbbreviation":"Nat. Sustain.","language":"en","license":"2021 The Author(s), under exclusive licence to Springer Nature Limited","note":"Bandiera_abtest: a\nCg_type: Nature Research Journals\nPrimary_atype: Research\npublisher: Nature Publishing Group\nSubject_term: Environmental biotechnology;Environmental economics\nSubject_term_id: environmental-biotechnology;environmental-economics","page":"1-10","source":"www.nature.com","title":"Displacing fishmeal with protein derived from stranded methane","author":[{"family":"El Abbadi","given":"Sahar H."},{"family":"Sherwin","given":"Evan D."},{"family":"Brandt","given":"Adam R."},{"family":"Luby","given":"Stephen P."},{"family":"Criddle","given":"Craig S."}],"issued":{"date-parts":[["2021",11,22]]}}}],"schema":"https://github.com/citation-style-language/schema/raw/master/csl-citation.json"} </w:instrText>
            </w:r>
            <w:r w:rsidRPr="0077667E">
              <w:rPr>
                <w:sz w:val="18"/>
                <w:szCs w:val="18"/>
              </w:rPr>
              <w:fldChar w:fldCharType="separate"/>
            </w:r>
            <w:r w:rsidR="008C451C" w:rsidRPr="008C451C">
              <w:rPr>
                <w:rFonts w:ascii="Calibri" w:hAnsi="Calibri" w:cs="Calibri"/>
                <w:sz w:val="18"/>
                <w:szCs w:val="24"/>
                <w:vertAlign w:val="superscript"/>
              </w:rPr>
              <w:t>40</w:t>
            </w:r>
            <w:r w:rsidRPr="0077667E">
              <w:rPr>
                <w:sz w:val="18"/>
                <w:szCs w:val="18"/>
              </w:rPr>
              <w:fldChar w:fldCharType="end"/>
            </w:r>
          </w:p>
        </w:tc>
        <w:tc>
          <w:tcPr>
            <w:tcW w:w="1260" w:type="dxa"/>
          </w:tcPr>
          <w:p w14:paraId="4358D565" w14:textId="77777777" w:rsidR="00FF3A0C" w:rsidRPr="0077667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77667E">
              <w:rPr>
                <w:sz w:val="18"/>
                <w:szCs w:val="18"/>
              </w:rPr>
              <w:t>TEA</w:t>
            </w:r>
          </w:p>
        </w:tc>
        <w:tc>
          <w:tcPr>
            <w:tcW w:w="1023" w:type="dxa"/>
            <w:gridSpan w:val="2"/>
          </w:tcPr>
          <w:p w14:paraId="41FF53A4" w14:textId="77777777" w:rsidR="00FF3A0C" w:rsidRPr="0077667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77667E">
              <w:rPr>
                <w:sz w:val="18"/>
                <w:szCs w:val="18"/>
              </w:rPr>
              <w:t>MOB</w:t>
            </w:r>
          </w:p>
        </w:tc>
        <w:tc>
          <w:tcPr>
            <w:tcW w:w="4095" w:type="dxa"/>
          </w:tcPr>
          <w:p w14:paraId="7B388D25" w14:textId="77777777" w:rsidR="00FF3A0C" w:rsidRPr="0077667E"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77667E">
              <w:rPr>
                <w:i/>
                <w:sz w:val="18"/>
                <w:szCs w:val="18"/>
              </w:rPr>
              <w:t>Estimation of MP production from flared industrial gases in the USA</w:t>
            </w:r>
          </w:p>
        </w:tc>
      </w:tr>
      <w:tr w:rsidR="00FF3A0C" w:rsidRPr="0077667E" w14:paraId="704B7F14" w14:textId="77777777" w:rsidTr="006B5342">
        <w:tc>
          <w:tcPr>
            <w:cnfStyle w:val="001000000000" w:firstRow="0" w:lastRow="0" w:firstColumn="1" w:lastColumn="0" w:oddVBand="0" w:evenVBand="0" w:oddHBand="0" w:evenHBand="0" w:firstRowFirstColumn="0" w:firstRowLastColumn="0" w:lastRowFirstColumn="0" w:lastRowLastColumn="0"/>
            <w:tcW w:w="2694" w:type="dxa"/>
          </w:tcPr>
          <w:p w14:paraId="64FAF490" w14:textId="57C6E8F1" w:rsidR="00FF3A0C" w:rsidRPr="0077667E" w:rsidRDefault="00FF3A0C" w:rsidP="003B1307">
            <w:pPr>
              <w:jc w:val="right"/>
              <w:rPr>
                <w:b w:val="0"/>
                <w:sz w:val="18"/>
                <w:szCs w:val="18"/>
              </w:rPr>
            </w:pPr>
            <w:r w:rsidRPr="0077667E">
              <w:rPr>
                <w:b w:val="0"/>
                <w:sz w:val="18"/>
                <w:szCs w:val="18"/>
              </w:rPr>
              <w:t>García Martínez et al., 2021, 2022</w:t>
            </w:r>
            <w:r w:rsidRPr="0077667E">
              <w:rPr>
                <w:sz w:val="18"/>
                <w:szCs w:val="18"/>
              </w:rPr>
              <w:fldChar w:fldCharType="begin"/>
            </w:r>
            <w:r w:rsidR="005413B4">
              <w:rPr>
                <w:b w:val="0"/>
                <w:sz w:val="18"/>
                <w:szCs w:val="18"/>
              </w:rPr>
              <w:instrText xml:space="preserve"> ADDIN ZOTERO_ITEM CSL_CITATION {"citationID":"SUl4Uxl2","properties":{"formattedCitation":"\\super 197,198\\nosupersub{}","plainCitation":"197,198","noteIndex":0},"citationItems":[{"id":2363,"uris":["http://zotero.org/users/6423791/items/RHD6WXUH"],"itemData":{"id":2363,"type":"article-journal","abstract":"Human civilization's food production system is currently unprepared for catastrophes that would reduce global food production by 10% or more, such as nuclear winter, supervolcanic eruptions or asteroid impacts. Alternative foods that do not require much or any sunlight have been proposed as a more cost-effective solution than increasing food stockpiles, given the long duration of many global catastrophic risks (GCRs) that could hamper conventional agriculture for 5 to 10 years. Microbial food from single cell protein (SCP) produced via hydrogen from both gasification and electrolysis is analyzed in this study as alternative food for the most severe food shock scenario: a sun-blocking catastrophe. Capital costs, resource requirements and ramp up rates are quantified to determine its viability. Potential bottlenecks to fast deployment of the technology are reviewed. The ramp up speed of food production for 24/7 construction of the facilities over 6 years is estimated to be lower than other alternatives (3-10% of the global protein requirements could be fulfilled at end of first year), but the nutritional quality of the microbial protein is higher than for most other alternative foods for catastrophes. Results suggest that investment in SCP ramp up should be limited to the production capacity that is needed to fulfill only the minimum recommended protein requirements of humanity during the catastrophe. Further research is needed into more uncertain concerns such as transferability of labor and equipment production. This could help reduce the negative impact of potential food-related GCRs.","container-title":"Sustainable Production and Consumption","DOI":"10.1016/j.spc.2020.08.011","ISSN":"2352-5509","journalAbbreviation":"Sustain. Prod. Consum.","language":"en","page":"234-247","source":"ScienceDirect","title":"Potential of microbial protein from hydrogen for preventing mass starvation in catastrophic scenarios","volume":"25","author":[{"family":"García Martínez","given":"Juan B."},{"family":"Egbejimba","given":"Joseph"},{"family":"Throup","given":"James"},{"family":"Matassa","given":"Silvio"},{"family":"Pearce","given":"Joshua M."},{"family":"Denkenberger","given":"David C."}],"issued":{"date-parts":[["2021",1,1]]}}},{"id":13590,"uris":["http://zotero.org/users/6423791/items/UYTMXFFD"],"itemData":{"id":13590,"type":"article-journal","abstract":"Global catastrophes such as a supervolcanic eruption, asteroid impact, or nuclear winter could cause global agricultural collapse due to reduced sunlight reaching the Earth’s surface. The human civilization’s food production system is unprepared to respond to such events, but methane single cell protein (SCP) could be a key part of the solution. Current preparedness centers around food stockpiling, an excessively expensive solution given that an abrupt sunlight reduction scenario (ASRS) could hamper conventional agriculture for 5–10 years. Instead, it is more cost-effective to consider resilient food production techniques requiring little to no sunlight. This study analyses the potential of SCP produced from methane (natural gas and biogas) as a resilient food source for global catastrophic food shocks from ASRS. The following are quantified: global production potential of methane SCP, capital costs, material and energy requirements, ramp-up rates, and retail prices. In addition, potential bottlenecks for fast deployment are considered. While providing a more valuable, protein-rich product than its alternatives, the production capacity could be slower to ramp up. Based on 24/7 construction of facilities, 7%–11% of the global protein requirements could be fulfilled at the end of the first year. Despite significant remaining uncertainties, methane SCP shows significant potential to prevent global protein starvation during an ASRS at an affordable price—US$3–5/kg dry.","container-title":"Frontiers in Bioengineering and Biotechnology","ISSN":"2296-4185","journalAbbreviation":"Front. Bioeng. Biotechnol.","source":"Frontiers","title":"Methane Single Cell Protein: Potential to Secure a Global Protein Supply Against Catastrophic Food Shocks","title-short":"Methane Single Cell Protein","URL":"https://www.frontiersin.org/articles/10.3389/fbioe.2022.906704","volume":"10","author":[{"family":"García Martínez","given":"Juan B."},{"family":"Pearce","given":"Joshua M."},{"family":"Throup","given":"James"},{"family":"Cates","given":"Jacob"},{"family":"Lackner","given":"Maximilian"},{"family":"Denkenberger","given":"David C."}],"accessed":{"date-parts":[["2022",7,27]]},"issued":{"date-parts":[["2022"]]}}}],"schema":"https://github.com/citation-style-language/schema/raw/master/csl-citation.json"} </w:instrText>
            </w:r>
            <w:r w:rsidRPr="0077667E">
              <w:rPr>
                <w:sz w:val="18"/>
                <w:szCs w:val="18"/>
              </w:rPr>
              <w:fldChar w:fldCharType="separate"/>
            </w:r>
            <w:r w:rsidR="005413B4" w:rsidRPr="005413B4">
              <w:rPr>
                <w:rFonts w:ascii="Calibri" w:hAnsi="Calibri" w:cs="Calibri"/>
                <w:sz w:val="18"/>
                <w:szCs w:val="24"/>
                <w:vertAlign w:val="superscript"/>
              </w:rPr>
              <w:t>197,198</w:t>
            </w:r>
            <w:r w:rsidRPr="0077667E">
              <w:rPr>
                <w:sz w:val="18"/>
                <w:szCs w:val="18"/>
              </w:rPr>
              <w:fldChar w:fldCharType="end"/>
            </w:r>
          </w:p>
        </w:tc>
        <w:tc>
          <w:tcPr>
            <w:tcW w:w="1260" w:type="dxa"/>
          </w:tcPr>
          <w:p w14:paraId="0A8535E5" w14:textId="77777777" w:rsidR="00FF3A0C" w:rsidRPr="0077667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77667E">
              <w:rPr>
                <w:sz w:val="18"/>
                <w:szCs w:val="18"/>
              </w:rPr>
              <w:t>TEA</w:t>
            </w:r>
          </w:p>
        </w:tc>
        <w:tc>
          <w:tcPr>
            <w:tcW w:w="1023" w:type="dxa"/>
            <w:gridSpan w:val="2"/>
          </w:tcPr>
          <w:p w14:paraId="33715627" w14:textId="77777777" w:rsidR="00FF3A0C" w:rsidRPr="0077667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77667E">
              <w:rPr>
                <w:sz w:val="18"/>
                <w:szCs w:val="18"/>
              </w:rPr>
              <w:t>HOB &amp; MOB</w:t>
            </w:r>
          </w:p>
        </w:tc>
        <w:tc>
          <w:tcPr>
            <w:tcW w:w="4095" w:type="dxa"/>
          </w:tcPr>
          <w:p w14:paraId="1E02E658" w14:textId="77777777" w:rsidR="00FF3A0C" w:rsidRPr="0077667E" w:rsidRDefault="00FF3A0C" w:rsidP="003B1307">
            <w:pPr>
              <w:jc w:val="both"/>
              <w:cnfStyle w:val="000000000000" w:firstRow="0" w:lastRow="0" w:firstColumn="0" w:lastColumn="0" w:oddVBand="0" w:evenVBand="0" w:oddHBand="0" w:evenHBand="0" w:firstRowFirstColumn="0" w:firstRowLastColumn="0" w:lastRowFirstColumn="0" w:lastRowLastColumn="0"/>
              <w:rPr>
                <w:i/>
                <w:sz w:val="18"/>
                <w:szCs w:val="18"/>
              </w:rPr>
            </w:pPr>
            <w:r w:rsidRPr="0077667E">
              <w:rPr>
                <w:i/>
                <w:sz w:val="18"/>
                <w:szCs w:val="18"/>
              </w:rPr>
              <w:t>Implementation costs and economic feasibility of quick MP production scaling in times of disasters</w:t>
            </w:r>
          </w:p>
        </w:tc>
      </w:tr>
      <w:tr w:rsidR="00FF3A0C" w:rsidRPr="0077667E" w14:paraId="40B90442"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1B571C8D" w14:textId="7AFA51A7" w:rsidR="00FF3A0C" w:rsidRPr="0077667E" w:rsidRDefault="00FF3A0C" w:rsidP="003B1307">
            <w:pPr>
              <w:jc w:val="right"/>
              <w:rPr>
                <w:b w:val="0"/>
                <w:sz w:val="18"/>
                <w:szCs w:val="18"/>
              </w:rPr>
            </w:pPr>
            <w:r w:rsidRPr="0077667E">
              <w:rPr>
                <w:b w:val="0"/>
                <w:sz w:val="18"/>
                <w:szCs w:val="18"/>
              </w:rPr>
              <w:t>Marami et al., 2022 a, b</w:t>
            </w:r>
            <w:r w:rsidRPr="0077667E">
              <w:rPr>
                <w:sz w:val="18"/>
                <w:szCs w:val="18"/>
              </w:rPr>
              <w:fldChar w:fldCharType="begin"/>
            </w:r>
            <w:r w:rsidR="005413B4">
              <w:rPr>
                <w:b w:val="0"/>
                <w:sz w:val="18"/>
                <w:szCs w:val="18"/>
              </w:rPr>
              <w:instrText xml:space="preserve"> ADDIN ZOTERO_ITEM CSL_CITATION {"citationID":"6vyO5aFJ","properties":{"formattedCitation":"\\super 31,199\\nosupersub{}","plainCitation":"31,199","noteIndex":0},"citationItems":[{"id":13120,"uris":["http://zotero.org/users/6423791/items/5MY5B6KQ"],"itemData":{"id":13120,"type":"article-journal","abstract":"Wastewater treatment plants (WWTP) have extensive energy processes that undermine their economic and environmental performance. In this context, the integration of wastewater treatment with other biochemical processes such as co-digestion of sludge with organic wastes, and production of value-added products at their downstream processes will shift conventional WWTPs into biorefinery platforms with better sustainability performance. The sustainability of such a biorefinery platform has been investigated herein using economic and life cycle assessment approach. This WWTP-based biorefinery treats wastewater from Copenhagen municipality, co-digests the source sorted organic fraction of municipal solid waste and sludge, and upgrades biogas into biomethane using hydrogen-assisted upgrading method. Apart from bioenergy, this biorefinery also produces microbial protein (MP) using recovered nutrients from WWTP's reject water. The net environmental savings achieved in two damage categories, i.e., −1.07E−02 species.yr/FU in ecosystem quality and −1.68E+06 USD/FU in resource scarcity damage categories along with high potential windows for the further environmental profile improvements make this biorefinery platform so encouraging. Despite being promising in terms of environmental performance, the high capital expenditure and low gross profit have undermined the economic performance of the proposed biorefinery. Technological improvements, process optimization, and encouraging incentives/subsidies are still needed to make this platform economically feasible.","container-title":"Water Science and Technology","DOI":"10.2166/wst.2022.096","ISSN":"0273-1223","journalAbbreviation":"Water Science and Technology","page":"wst2022096","source":"Silverchair","title":"Going beyond conventional wastewater treatment plants within circular bioeconomy concept – a sustainability assessment study","author":[{"family":"Marami","given":"Hadis"},{"family":"Tsapekos","given":"Panagiotis"},{"family":"Khoshnevisan","given":"Benyamin"},{"family":"Madsen","given":"Jeanette Agertved"},{"family":"Andersen","given":"Jacob Kragh"},{"family":"Rafiee","given":"Shahin"},{"family":"Angelidaki","given":"Irini"}],"issued":{"date-parts":[["2022",3,18]]}}},{"id":12866,"uris":["http://zotero.org/users/6423791/items/26C4AHVP"],"itemData":{"id":12866,"type":"article-journal","abstract":"The growing population and the consequent protein scarcity have led to innovation in proteinaceous feed production methods. In this regard, the upcycling of nitrogen rich effluents into microbial protein (MP)/single cell protein (SCP) is considered as an innovative solution. This paper aims to employ life cycle assessment to identify the most environmentally friendly strategy to upcycle nitrogen (N) and carbon (C) flows from wastewater treatment plant (WWTP) into MP. Accordingly, several pathways for integrating WWTP and MP production facility were evaluated, in terms of C source (i.e., biogas or biomethane) and the pretreatment method applied to the reject water (RW) (i.e., centrifugation + filtration + pasteurization, electrochemical extraction, bio-electrochemical extraction). The results indicated that electrochemical and bio-electrochemical N recovery not only safely extracted N from RW but also led to promising solution for MP production from WWTP effluents. The pathway including bio-electrochemical N recovery and use of biologically upgraded biogas for MP had 42.17%, 195.95%, and 172.03% better environmental performance regarding human health, ecosystem quality, and resource scarcity, respectively, compared with standalone WWTP without MP production. However, the electrochemical N recovery outperformed other scenarios in the human health damage category with a net impact of 2.72 DALY/FU and in ecosystem quality damage category with a saving of −0.033 Species/FU. The results reported herein indicated that the use of chemical nutrients to enrich the cultivation medium had significant impacts on the overall environmental performance of the suggested biorefinery. Decreasing the consumption of synthetic nutrients and improving N to protein conversion efficiency by 20% can make the established pathway much more competitive with conventional proteinaceous feed sources such as soybean meal.","container-title":"Renewable and Sustainable Energy Reviews","DOI":"10.1016/j.rser.2021.111895","ISSN":"1364-0321","journalAbbreviation":"Renew. Sust. Energ. Rev.","language":"en","page":"111895","source":"ScienceDirect","title":"Bridging to circular bioeconomy through a novel biorefinery platform on a wastewater treatment plant","volume":"154","author":[{"family":"Marami","given":"Hadis"},{"family":"He","given":"Li"},{"family":"Rafiee","given":"Shahin"},{"family":"Khoshnevisan","given":"Benyamin"},{"family":"Tsapekos","given":"Panagiotis"},{"family":"Mobli","given":"Hossein"},{"family":"Elyasi","given":"Seyedeh Nashmin"},{"family":"Liu","given":"Hongbin"},{"family":"Angelidaki","given":"Irini"}],"issued":{"date-parts":[["2022",2,1]]}}}],"schema":"https://github.com/citation-style-language/schema/raw/master/csl-citation.json"} </w:instrText>
            </w:r>
            <w:r w:rsidRPr="0077667E">
              <w:rPr>
                <w:sz w:val="18"/>
                <w:szCs w:val="18"/>
              </w:rPr>
              <w:fldChar w:fldCharType="separate"/>
            </w:r>
            <w:r w:rsidR="005413B4" w:rsidRPr="005413B4">
              <w:rPr>
                <w:rFonts w:ascii="Calibri" w:hAnsi="Calibri" w:cs="Calibri"/>
                <w:sz w:val="18"/>
                <w:szCs w:val="24"/>
                <w:vertAlign w:val="superscript"/>
              </w:rPr>
              <w:t>31,199</w:t>
            </w:r>
            <w:r w:rsidRPr="0077667E">
              <w:rPr>
                <w:sz w:val="18"/>
                <w:szCs w:val="18"/>
              </w:rPr>
              <w:fldChar w:fldCharType="end"/>
            </w:r>
          </w:p>
        </w:tc>
        <w:tc>
          <w:tcPr>
            <w:tcW w:w="1260" w:type="dxa"/>
          </w:tcPr>
          <w:p w14:paraId="77EF117B" w14:textId="77777777" w:rsidR="00FF3A0C" w:rsidRPr="0077667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77667E">
              <w:rPr>
                <w:sz w:val="18"/>
                <w:szCs w:val="18"/>
              </w:rPr>
              <w:t>cLCA</w:t>
            </w:r>
          </w:p>
        </w:tc>
        <w:tc>
          <w:tcPr>
            <w:tcW w:w="1023" w:type="dxa"/>
            <w:gridSpan w:val="2"/>
          </w:tcPr>
          <w:p w14:paraId="297E87BB" w14:textId="77777777" w:rsidR="00FF3A0C" w:rsidRPr="0077667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77667E">
              <w:rPr>
                <w:sz w:val="18"/>
                <w:szCs w:val="18"/>
              </w:rPr>
              <w:t>MOB</w:t>
            </w:r>
          </w:p>
        </w:tc>
        <w:tc>
          <w:tcPr>
            <w:tcW w:w="4095" w:type="dxa"/>
          </w:tcPr>
          <w:p w14:paraId="7629E812" w14:textId="77777777" w:rsidR="00FF3A0C" w:rsidRPr="0077667E"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77667E">
              <w:rPr>
                <w:i/>
                <w:sz w:val="18"/>
                <w:szCs w:val="18"/>
              </w:rPr>
              <w:t>Integration of MP production within WWTP</w:t>
            </w:r>
          </w:p>
        </w:tc>
      </w:tr>
      <w:tr w:rsidR="00FF3A0C" w:rsidRPr="0077667E" w14:paraId="43E07EC2" w14:textId="77777777" w:rsidTr="006B5342">
        <w:tc>
          <w:tcPr>
            <w:cnfStyle w:val="001000000000" w:firstRow="0" w:lastRow="0" w:firstColumn="1" w:lastColumn="0" w:oddVBand="0" w:evenVBand="0" w:oddHBand="0" w:evenHBand="0" w:firstRowFirstColumn="0" w:firstRowLastColumn="0" w:lastRowFirstColumn="0" w:lastRowLastColumn="0"/>
            <w:tcW w:w="2694" w:type="dxa"/>
          </w:tcPr>
          <w:p w14:paraId="14E52C6C" w14:textId="056C1097" w:rsidR="00FF3A0C" w:rsidRPr="0077667E" w:rsidRDefault="00FF3A0C" w:rsidP="003B1307">
            <w:pPr>
              <w:jc w:val="right"/>
              <w:rPr>
                <w:b w:val="0"/>
                <w:sz w:val="18"/>
                <w:szCs w:val="18"/>
              </w:rPr>
            </w:pPr>
            <w:r w:rsidRPr="0077667E">
              <w:rPr>
                <w:b w:val="0"/>
                <w:sz w:val="18"/>
                <w:szCs w:val="18"/>
              </w:rPr>
              <w:t>Van Peteghem et al., 2022</w:t>
            </w:r>
            <w:r w:rsidRPr="0077667E">
              <w:rPr>
                <w:sz w:val="18"/>
                <w:szCs w:val="18"/>
              </w:rPr>
              <w:fldChar w:fldCharType="begin"/>
            </w:r>
            <w:r w:rsidR="00827449">
              <w:rPr>
                <w:b w:val="0"/>
                <w:sz w:val="18"/>
                <w:szCs w:val="18"/>
              </w:rPr>
              <w:instrText xml:space="preserve"> ADDIN ZOTERO_ITEM CSL_CITATION {"citationID":"YpGCsRyk","properties":{"formattedCitation":"\\super 41\\nosupersub{}","plainCitation":"41","noteIndex":0},"citationItems":[{"id":13068,"uris":["http://zotero.org/users/6423791/items/RK8J2DQC"],"itemData":{"id":13068,"type":"article-journal","abstract":"Alternative protein sources such as microbial protein (MP) are currently considered to alleviate the burden that food production exerts on the environment. Even though MP production is highly efficient in land and nutrient utilization, their carbon footprint should be improved. Here we propose the use of CCU as a driver for heterotrophic MP production. By comparing different MP production routes starting from liquid substrates derived from CO2 (i.e., formate, acetate, methanol, and ethanol) and their respective metabolic pathways, the potential of this concept as a carbon–neutral food or feed production process was estimated. Acetate and ethanol appear to be the most beneficial substrates for the integrated CCU-to-MP process in terms of electricity demand (acetate: 25 – 54 kWh/kgproduct, ethanol: 28 – 56 kWh/kgproduct). Moreover, recycling CO2 enables a carbon-negative protein production process by 2030 (considering the projected CO2 emissions from electricity in the EU: 0.096 kgCO2-eq/kWh) for formate, acetate, and ethanol (-1.1 up to 13 kgCO2-eq/kgproduct).","container-title":"Bioresource Technology","DOI":"10.1016/j.biortech.2022.126853","ISSN":"0960-8524","journalAbbreviation":"Bioresour. Technol.","language":"en","page":"126853","source":"ScienceDirect","title":"Towards new carbon–neutral food systems: Combining carbon capture and utilization with microbial protein production","title-short":"Towards new carbon–neutral food systems","volume":"349","author":[{"family":"Van Peteghem","given":"L."},{"family":"Sakarika","given":"M."},{"family":"Matassa","given":"S."},{"family":"Pikaar","given":"I."},{"family":"Ganigué","given":"R."},{"family":"Rabaey","given":"K."}],"issued":{"date-parts":[["2022",4,1]]}}}],"schema":"https://github.com/citation-style-language/schema/raw/master/csl-citation.json"} </w:instrText>
            </w:r>
            <w:r w:rsidRPr="0077667E">
              <w:rPr>
                <w:sz w:val="18"/>
                <w:szCs w:val="18"/>
              </w:rPr>
              <w:fldChar w:fldCharType="separate"/>
            </w:r>
            <w:r w:rsidR="008C451C" w:rsidRPr="008C451C">
              <w:rPr>
                <w:rFonts w:ascii="Calibri" w:hAnsi="Calibri" w:cs="Calibri"/>
                <w:sz w:val="18"/>
                <w:szCs w:val="24"/>
                <w:vertAlign w:val="superscript"/>
              </w:rPr>
              <w:t>41</w:t>
            </w:r>
            <w:r w:rsidRPr="0077667E">
              <w:rPr>
                <w:sz w:val="18"/>
                <w:szCs w:val="18"/>
              </w:rPr>
              <w:fldChar w:fldCharType="end"/>
            </w:r>
          </w:p>
        </w:tc>
        <w:tc>
          <w:tcPr>
            <w:tcW w:w="1260" w:type="dxa"/>
          </w:tcPr>
          <w:p w14:paraId="36E5F9E9" w14:textId="77777777" w:rsidR="00FF3A0C" w:rsidRPr="0077667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77667E">
              <w:rPr>
                <w:sz w:val="18"/>
                <w:szCs w:val="18"/>
              </w:rPr>
              <w:t>Efficiency analysis</w:t>
            </w:r>
          </w:p>
        </w:tc>
        <w:tc>
          <w:tcPr>
            <w:tcW w:w="1023" w:type="dxa"/>
            <w:gridSpan w:val="2"/>
          </w:tcPr>
          <w:p w14:paraId="2FB12ED8" w14:textId="77777777" w:rsidR="00FF3A0C" w:rsidRPr="0077667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77667E">
              <w:rPr>
                <w:sz w:val="18"/>
                <w:szCs w:val="18"/>
              </w:rPr>
              <w:t>Diverse</w:t>
            </w:r>
          </w:p>
        </w:tc>
        <w:tc>
          <w:tcPr>
            <w:tcW w:w="4095" w:type="dxa"/>
          </w:tcPr>
          <w:p w14:paraId="3B5EEE15" w14:textId="235B0042" w:rsidR="00FF3A0C" w:rsidRPr="0077667E" w:rsidRDefault="00FF3A0C" w:rsidP="003B1307">
            <w:pPr>
              <w:jc w:val="both"/>
              <w:cnfStyle w:val="000000000000" w:firstRow="0" w:lastRow="0" w:firstColumn="0" w:lastColumn="0" w:oddVBand="0" w:evenVBand="0" w:oddHBand="0" w:evenHBand="0" w:firstRowFirstColumn="0" w:firstRowLastColumn="0" w:lastRowFirstColumn="0" w:lastRowLastColumn="0"/>
              <w:rPr>
                <w:i/>
                <w:sz w:val="18"/>
                <w:szCs w:val="18"/>
              </w:rPr>
            </w:pPr>
            <w:r w:rsidRPr="0077667E">
              <w:rPr>
                <w:i/>
                <w:sz w:val="18"/>
                <w:szCs w:val="18"/>
              </w:rPr>
              <w:t>Comparison of MP production routes based on CO</w:t>
            </w:r>
            <w:r w:rsidRPr="0077667E">
              <w:rPr>
                <w:i/>
                <w:sz w:val="18"/>
                <w:szCs w:val="18"/>
                <w:vertAlign w:val="subscript"/>
              </w:rPr>
              <w:t>2</w:t>
            </w:r>
            <w:r w:rsidRPr="0077667E">
              <w:rPr>
                <w:i/>
                <w:sz w:val="18"/>
                <w:szCs w:val="18"/>
              </w:rPr>
              <w:t xml:space="preserve"> and </w:t>
            </w:r>
            <w:r w:rsidR="0047239E">
              <w:rPr>
                <w:i/>
                <w:sz w:val="18"/>
                <w:szCs w:val="18"/>
              </w:rPr>
              <w:t>power</w:t>
            </w:r>
            <w:r w:rsidRPr="0077667E">
              <w:rPr>
                <w:i/>
                <w:sz w:val="18"/>
                <w:szCs w:val="18"/>
              </w:rPr>
              <w:t xml:space="preserve"> (using C</w:t>
            </w:r>
            <w:r w:rsidRPr="0077667E">
              <w:rPr>
                <w:i/>
                <w:sz w:val="18"/>
                <w:szCs w:val="18"/>
                <w:vertAlign w:val="subscript"/>
              </w:rPr>
              <w:t>1</w:t>
            </w:r>
            <w:r w:rsidRPr="0077667E">
              <w:rPr>
                <w:i/>
                <w:sz w:val="18"/>
                <w:szCs w:val="18"/>
              </w:rPr>
              <w:t>-C</w:t>
            </w:r>
            <w:r w:rsidRPr="0077667E">
              <w:rPr>
                <w:i/>
                <w:sz w:val="18"/>
                <w:szCs w:val="18"/>
                <w:vertAlign w:val="subscript"/>
              </w:rPr>
              <w:t>2</w:t>
            </w:r>
            <w:r w:rsidRPr="0077667E">
              <w:rPr>
                <w:i/>
                <w:sz w:val="18"/>
                <w:szCs w:val="18"/>
              </w:rPr>
              <w:t xml:space="preserve"> substrates as intermediates)</w:t>
            </w:r>
          </w:p>
        </w:tc>
      </w:tr>
      <w:tr w:rsidR="00FF3A0C" w:rsidRPr="0077667E" w14:paraId="6B853D7F"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166BBE3B" w14:textId="6D2AA4D7" w:rsidR="00FF3A0C" w:rsidRPr="0077667E" w:rsidRDefault="00FF3A0C" w:rsidP="003B1307">
            <w:pPr>
              <w:jc w:val="right"/>
              <w:rPr>
                <w:b w:val="0"/>
                <w:sz w:val="18"/>
                <w:szCs w:val="18"/>
              </w:rPr>
            </w:pPr>
            <w:r w:rsidRPr="0077667E">
              <w:rPr>
                <w:b w:val="0"/>
                <w:sz w:val="18"/>
                <w:szCs w:val="18"/>
              </w:rPr>
              <w:t>Li et al., 2023</w:t>
            </w:r>
            <w:r w:rsidRPr="0077667E">
              <w:rPr>
                <w:sz w:val="18"/>
                <w:szCs w:val="18"/>
              </w:rPr>
              <w:fldChar w:fldCharType="begin"/>
            </w:r>
            <w:r w:rsidR="005413B4">
              <w:rPr>
                <w:b w:val="0"/>
                <w:sz w:val="18"/>
                <w:szCs w:val="18"/>
              </w:rPr>
              <w:instrText xml:space="preserve"> ADDIN ZOTERO_ITEM CSL_CITATION {"citationID":"lBx0dbxl","properties":{"formattedCitation":"\\super 200\\nosupersub{}","plainCitation":"200","noteIndex":0},"citationItems":[{"id":14222,"uris":["http://zotero.org/users/6423791/items/BMN7ZLT3"],"itemData":{"id":14222,"type":"article-journal","abstract":"The accumulation of a large amount of organic solid waste and the lack of sufficient protein supply worldwide are two major challenges caused by rapid population growth. Anaerobic digestion is the main force of organic waste treatment, and the high-value utilization of its products (biogas and digestate) has been widely concerned. These products can be used as nutrients and energy sources for microorganisms such as microalgae, yeast, methane-oxidizing bacteria(MOB), and hydrogen-oxidizing bacteria(HOB) to produce single cell protein(SCP), which contributes to the achievement of sustainable development goals. This new model of energy conversion can construct a bioeconomic cycle from waste to nutritional products, which treats waste without additional carbon emissions and can harvest high-value biomass. Techno-economic analysis shows that the SCP from biogas and digestate has higher profit than biogas electricity generation, and its production cost is lower than the SCP using special raw materials as the substrate. In this review, the case of SCP-rich microorganisms using anaerobic digestion products for growth was investigated. Some of the challenges faced by the process and the latest developments were analyzed, and their potential economic and environmental value was verified.","container-title":"Water Research","DOI":"10.1016/j.watres.2023.120417","ISSN":"0043-1354","journalAbbreviation":"Water Research","language":"en","page":"120417","source":"ScienceDirect","title":"From anaerobic digestion to single cell protein synthesis: A promising route beyond biogas utilization","title-short":"From anaerobic digestion to single cell protein synthesis","volume":"243","author":[{"family":"Li","given":"Rui"},{"family":"Fan","given":"XiaoLei"},{"family":"Jiang","given":"YuFeng"},{"family":"Wang","given":"RuoNan"},{"family":"Guo","given":"RongBo"},{"family":"Zhang","given":"Yifeng"},{"family":"Fu","given":"ShanFei"}],"issued":{"date-parts":[["2023",9,1]]}}}],"schema":"https://github.com/citation-style-language/schema/raw/master/csl-citation.json"} </w:instrText>
            </w:r>
            <w:r w:rsidRPr="0077667E">
              <w:rPr>
                <w:sz w:val="18"/>
                <w:szCs w:val="18"/>
              </w:rPr>
              <w:fldChar w:fldCharType="separate"/>
            </w:r>
            <w:r w:rsidR="005413B4" w:rsidRPr="005413B4">
              <w:rPr>
                <w:rFonts w:ascii="Calibri" w:hAnsi="Calibri" w:cs="Calibri"/>
                <w:sz w:val="18"/>
                <w:szCs w:val="24"/>
                <w:vertAlign w:val="superscript"/>
              </w:rPr>
              <w:t>200</w:t>
            </w:r>
            <w:r w:rsidRPr="0077667E">
              <w:rPr>
                <w:sz w:val="18"/>
                <w:szCs w:val="18"/>
              </w:rPr>
              <w:fldChar w:fldCharType="end"/>
            </w:r>
          </w:p>
        </w:tc>
        <w:tc>
          <w:tcPr>
            <w:tcW w:w="1260" w:type="dxa"/>
          </w:tcPr>
          <w:p w14:paraId="3E6DAA89" w14:textId="77777777" w:rsidR="00FF3A0C" w:rsidRPr="0077667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77667E">
              <w:rPr>
                <w:sz w:val="18"/>
                <w:szCs w:val="18"/>
              </w:rPr>
              <w:t>TEA</w:t>
            </w:r>
          </w:p>
        </w:tc>
        <w:tc>
          <w:tcPr>
            <w:tcW w:w="1023" w:type="dxa"/>
            <w:gridSpan w:val="2"/>
          </w:tcPr>
          <w:p w14:paraId="10342017" w14:textId="77777777" w:rsidR="00FF3A0C" w:rsidRPr="0077667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77667E">
              <w:rPr>
                <w:sz w:val="18"/>
                <w:szCs w:val="18"/>
              </w:rPr>
              <w:t>MOB</w:t>
            </w:r>
          </w:p>
        </w:tc>
        <w:tc>
          <w:tcPr>
            <w:tcW w:w="4095" w:type="dxa"/>
          </w:tcPr>
          <w:p w14:paraId="3ABFCF6C" w14:textId="77777777" w:rsidR="00FF3A0C" w:rsidRPr="0077667E"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77667E">
              <w:rPr>
                <w:i/>
                <w:sz w:val="18"/>
                <w:szCs w:val="18"/>
              </w:rPr>
              <w:t>Comparison of different biogas utilization options for energy and SCP production.</w:t>
            </w:r>
          </w:p>
        </w:tc>
      </w:tr>
      <w:tr w:rsidR="006F2AE4" w:rsidRPr="0077667E" w14:paraId="616C6278" w14:textId="77777777" w:rsidTr="006B5342">
        <w:tc>
          <w:tcPr>
            <w:cnfStyle w:val="001000000000" w:firstRow="0" w:lastRow="0" w:firstColumn="1" w:lastColumn="0" w:oddVBand="0" w:evenVBand="0" w:oddHBand="0" w:evenHBand="0" w:firstRowFirstColumn="0" w:firstRowLastColumn="0" w:lastRowFirstColumn="0" w:lastRowLastColumn="0"/>
            <w:tcW w:w="2694" w:type="dxa"/>
          </w:tcPr>
          <w:p w14:paraId="114B6F30" w14:textId="55F24790" w:rsidR="006F2AE4" w:rsidRPr="0077667E" w:rsidRDefault="006F2AE4" w:rsidP="003B1307">
            <w:pPr>
              <w:jc w:val="right"/>
              <w:rPr>
                <w:b w:val="0"/>
                <w:sz w:val="18"/>
                <w:szCs w:val="18"/>
              </w:rPr>
            </w:pPr>
            <w:r w:rsidRPr="0077667E">
              <w:rPr>
                <w:b w:val="0"/>
                <w:sz w:val="18"/>
                <w:szCs w:val="18"/>
              </w:rPr>
              <w:t>Vlaeminck et al., 2023</w:t>
            </w:r>
            <w:r w:rsidR="00631821" w:rsidRPr="0077667E">
              <w:rPr>
                <w:sz w:val="18"/>
                <w:szCs w:val="18"/>
              </w:rPr>
              <w:fldChar w:fldCharType="begin"/>
            </w:r>
            <w:r w:rsidR="005413B4">
              <w:rPr>
                <w:b w:val="0"/>
                <w:sz w:val="18"/>
                <w:szCs w:val="18"/>
              </w:rPr>
              <w:instrText xml:space="preserve"> ADDIN ZOTERO_ITEM CSL_CITATION {"citationID":"wSKUGJqa","properties":{"formattedCitation":"\\super 201\\nosupersub{}","plainCitation":"201","noteIndex":0},"citationItems":[{"id":14239,"uris":["http://zotero.org/users/6423791/items/Y47UUZTE"],"itemData":{"id":14239,"type":"article-journal","abstract":"Third-generation (3G) bioreﬁneries harnessing industrial off-gases have received significant attention in the transition towards a sustainable circular economy. However, uncertainties surrounding their techno-economic feasibility are hampering widespread commercialization to date. This study investigates the production of single-cell protein (SCP), a sustainable alternative food and feed protein, from steel mill off-gas through an efﬁcient coupled fermentation approach utilizing acetate as an intermediate. A comprehensive model that comprises both the gas-to-acetate and the acetate-to-SCP fermentation processes, as well as gas pretreatment and downstream processing (DSP) operations, was developed and used to perform a techno-economic analysis (TEA). Sensitivity analyses demonstrated that signiﬁcant cost reductions can be achieved by the process intensiﬁcation of the gas-to-acetate fermentation. As such, an increase in the acetate concentration to 45 g/L and productivity to 4 g/L/h could lead to a potential cost reduction from 4.15 to 2.78 USD/kg. In addition, the inﬂuence of the production scale and other economic considerations towards the commercialization of off-gas-based SCPs are discussed. Conclusively, this research sheds light on the practical viability of a coupled fermentation process for SCP production by identifying key cost-inﬂuencing factors and providing targets for further optimization of the acetate platform, fostering sustainable and economically feasible bio-based innovations.","container-title":"Fermentation","DOI":"10.3390/fermentation9080771","ISSN":"2311-5637","issue":"8","journalAbbreviation":"Fermentation","language":"en","page":"771","source":"DOI.org (Crossref)","title":"Single-Cell Protein Production from Industrial Off-Gas through Acetate: Techno-Economic Analysis for a Coupled Fermentation Approach","title-short":"Single-Cell Protein Production from Industrial Off-Gas through Acetate","volume":"9","author":[{"family":"Vlaeminck","given":"Elodie"},{"family":"Uitterhaegen","given":"Evelien"},{"family":"Quataert","given":"Koen"},{"family":"Delmulle","given":"Tom"},{"family":"Kontovas","given":"Stoilas-Stylianos"},{"family":"Misailidis","given":"Nikiforos"},{"family":"Ferreira","given":"Rafael G."},{"family":"Petrides","given":"Demetri"},{"family":"De Winter","given":"Karel"},{"family":"Soetaert","given":"Wim K."}],"issued":{"date-parts":[["2023",8,18]]}}}],"schema":"https://github.com/citation-style-language/schema/raw/master/csl-citation.json"} </w:instrText>
            </w:r>
            <w:r w:rsidR="00631821" w:rsidRPr="0077667E">
              <w:rPr>
                <w:sz w:val="18"/>
                <w:szCs w:val="18"/>
              </w:rPr>
              <w:fldChar w:fldCharType="separate"/>
            </w:r>
            <w:r w:rsidR="005413B4" w:rsidRPr="005413B4">
              <w:rPr>
                <w:rFonts w:ascii="Calibri" w:hAnsi="Calibri" w:cs="Calibri"/>
                <w:sz w:val="18"/>
                <w:szCs w:val="24"/>
                <w:vertAlign w:val="superscript"/>
              </w:rPr>
              <w:t>201</w:t>
            </w:r>
            <w:r w:rsidR="00631821" w:rsidRPr="0077667E">
              <w:rPr>
                <w:sz w:val="18"/>
                <w:szCs w:val="18"/>
              </w:rPr>
              <w:fldChar w:fldCharType="end"/>
            </w:r>
          </w:p>
        </w:tc>
        <w:tc>
          <w:tcPr>
            <w:tcW w:w="1260" w:type="dxa"/>
          </w:tcPr>
          <w:p w14:paraId="15F54375" w14:textId="55F23427" w:rsidR="006F2AE4" w:rsidRPr="0077667E" w:rsidRDefault="006F2AE4" w:rsidP="003B1307">
            <w:pPr>
              <w:cnfStyle w:val="000000000000" w:firstRow="0" w:lastRow="0" w:firstColumn="0" w:lastColumn="0" w:oddVBand="0" w:evenVBand="0" w:oddHBand="0" w:evenHBand="0" w:firstRowFirstColumn="0" w:firstRowLastColumn="0" w:lastRowFirstColumn="0" w:lastRowLastColumn="0"/>
              <w:rPr>
                <w:sz w:val="18"/>
                <w:szCs w:val="18"/>
              </w:rPr>
            </w:pPr>
            <w:r w:rsidRPr="0077667E">
              <w:rPr>
                <w:sz w:val="18"/>
                <w:szCs w:val="18"/>
              </w:rPr>
              <w:t>TEA</w:t>
            </w:r>
          </w:p>
        </w:tc>
        <w:tc>
          <w:tcPr>
            <w:tcW w:w="1023" w:type="dxa"/>
            <w:gridSpan w:val="2"/>
          </w:tcPr>
          <w:p w14:paraId="7D2989C3" w14:textId="1F754B35" w:rsidR="006F2AE4" w:rsidRPr="0077667E" w:rsidRDefault="008864B2" w:rsidP="003B1307">
            <w:pPr>
              <w:cnfStyle w:val="000000000000" w:firstRow="0" w:lastRow="0" w:firstColumn="0" w:lastColumn="0" w:oddVBand="0" w:evenVBand="0" w:oddHBand="0" w:evenHBand="0" w:firstRowFirstColumn="0" w:firstRowLastColumn="0" w:lastRowFirstColumn="0" w:lastRowLastColumn="0"/>
              <w:rPr>
                <w:sz w:val="18"/>
                <w:szCs w:val="18"/>
              </w:rPr>
            </w:pPr>
            <w:r w:rsidRPr="0077667E">
              <w:rPr>
                <w:sz w:val="18"/>
                <w:szCs w:val="18"/>
              </w:rPr>
              <w:t>Diverse</w:t>
            </w:r>
          </w:p>
        </w:tc>
        <w:tc>
          <w:tcPr>
            <w:tcW w:w="4095" w:type="dxa"/>
          </w:tcPr>
          <w:p w14:paraId="3D96E8C3" w14:textId="37AAF98C" w:rsidR="006F2AE4" w:rsidRPr="0077667E" w:rsidRDefault="0047239E" w:rsidP="003B1307">
            <w:pPr>
              <w:jc w:val="both"/>
              <w:cnfStyle w:val="000000000000" w:firstRow="0" w:lastRow="0" w:firstColumn="0" w:lastColumn="0" w:oddVBand="0" w:evenVBand="0" w:oddHBand="0" w:evenHBand="0" w:firstRowFirstColumn="0" w:firstRowLastColumn="0" w:lastRowFirstColumn="0" w:lastRowLastColumn="0"/>
              <w:rPr>
                <w:i/>
                <w:sz w:val="18"/>
                <w:szCs w:val="18"/>
              </w:rPr>
            </w:pPr>
            <w:r>
              <w:rPr>
                <w:i/>
                <w:sz w:val="18"/>
                <w:szCs w:val="18"/>
              </w:rPr>
              <w:t>A</w:t>
            </w:r>
            <w:r w:rsidR="006F2AE4" w:rsidRPr="0077667E">
              <w:rPr>
                <w:i/>
                <w:sz w:val="18"/>
                <w:szCs w:val="18"/>
              </w:rPr>
              <w:t>cetate as</w:t>
            </w:r>
            <w:r>
              <w:rPr>
                <w:i/>
                <w:sz w:val="18"/>
                <w:szCs w:val="18"/>
              </w:rPr>
              <w:t xml:space="preserve"> </w:t>
            </w:r>
            <w:r w:rsidR="006F2AE4" w:rsidRPr="0077667E">
              <w:rPr>
                <w:i/>
                <w:sz w:val="18"/>
                <w:szCs w:val="18"/>
              </w:rPr>
              <w:t>intermediate, steel industrial off-gases</w:t>
            </w:r>
          </w:p>
        </w:tc>
      </w:tr>
      <w:tr w:rsidR="001B39E9" w:rsidRPr="0077667E" w14:paraId="39CA38F4"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4" w:type="dxa"/>
          </w:tcPr>
          <w:p w14:paraId="45622F0D" w14:textId="49063196" w:rsidR="001B39E9" w:rsidRPr="00827449" w:rsidRDefault="001B39E9" w:rsidP="003B1307">
            <w:pPr>
              <w:jc w:val="right"/>
              <w:rPr>
                <w:b w:val="0"/>
                <w:sz w:val="18"/>
                <w:szCs w:val="18"/>
              </w:rPr>
            </w:pPr>
            <w:r w:rsidRPr="00827449">
              <w:rPr>
                <w:b w:val="0"/>
                <w:sz w:val="18"/>
                <w:szCs w:val="18"/>
              </w:rPr>
              <w:t xml:space="preserve">Jean et Brown, </w:t>
            </w:r>
            <w:r w:rsidR="00827449" w:rsidRPr="00827449">
              <w:rPr>
                <w:b w:val="0"/>
                <w:sz w:val="18"/>
                <w:szCs w:val="18"/>
              </w:rPr>
              <w:t>202</w:t>
            </w:r>
            <w:r w:rsidR="00827449" w:rsidRPr="00827449">
              <w:rPr>
                <w:b w:val="0"/>
                <w:sz w:val="18"/>
                <w:szCs w:val="18"/>
                <w:u w:val="single"/>
              </w:rPr>
              <w:t>4</w:t>
            </w:r>
            <w:r w:rsidR="00827449" w:rsidRPr="00827449">
              <w:rPr>
                <w:b w:val="0"/>
                <w:sz w:val="18"/>
                <w:szCs w:val="18"/>
                <w:u w:val="single"/>
              </w:rPr>
              <w:fldChar w:fldCharType="begin"/>
            </w:r>
            <w:r w:rsidR="005413B4">
              <w:rPr>
                <w:b w:val="0"/>
                <w:sz w:val="18"/>
                <w:szCs w:val="18"/>
                <w:u w:val="single"/>
              </w:rPr>
              <w:instrText xml:space="preserve"> ADDIN ZOTERO_ITEM CSL_CITATION {"citationID":"a221lrtckme","properties":{"formattedCitation":"\\super 202\\nosupersub{}","plainCitation":"202","noteIndex":0},"citationItems":[{"id":14577,"uris":["http://zotero.org/users/6423791/items/M8RDXNS4"],"itemData":{"id":14577,"type":"article-journal","abstract":"Despite the large carbon footprint of livestock production, animal protein consumption has grown over the past several decades, necessitating new approaches to sustainable animal protein production. In this techno-economic analysis, single cell protein (SCP) produced via gas fermentation of carbon dioxide, oxygen, and hydrogen is studied as an animal feed source to replace fishmeal or soybean meal. Using wind-powered water electrolysis to produce hydrogen and oxygen with carbon dioxide captured from corn ethanol, the minimum selling price (MSP) of SCP is determined to be $2070 per metric ton. An emissions comparison between SCP, fishmeal, and soybean meal shows that SCP has a carbon intensity as low as 0.73 kg CO2-equiv/kg protein, while fishmeal and soybean meal have an average carbon intensity of 2.72 kg CO2-equiv/kg protein and 0.85 kg CO2-equiv/kg protein, respectively. Moreover, SCP production would occupy 0.4% of the land per ton of protein produced compared to soybean meal and would disturb less than 0.1% of the marine ecosystem currently disturbed by fishmeal harvesting practices. These results show promise for the future economic viability of SCP as a protein source in animal feed and indicate significant environmental benefits compared to other animal feed protein sources.","container-title":"Environmental Science &amp; Technology","DOI":"10.1021/acs.est.3c10312","ISSN":"0013-936X","issue":"8","journalAbbreviation":"Environ. Sci. Technol.","note":"publisher: American Chemical Society","page":"3823-3829","source":"ACS Publications","title":"Techno-Economic Analysis of Gas Fermentation for the Production of Single Cell Protein","volume":"58","author":[{"family":"Jean","given":"Alexandra B."},{"family":"Brown","given":"Robert C."}],"issued":{"date-parts":[["2024",2,27]]}}}],"schema":"https://github.com/citation-style-language/schema/raw/master/csl-citation.json"} </w:instrText>
            </w:r>
            <w:r w:rsidR="00827449" w:rsidRPr="00827449">
              <w:rPr>
                <w:b w:val="0"/>
                <w:sz w:val="18"/>
                <w:szCs w:val="18"/>
                <w:u w:val="single"/>
              </w:rPr>
              <w:fldChar w:fldCharType="separate"/>
            </w:r>
            <w:r w:rsidR="005413B4" w:rsidRPr="005413B4">
              <w:rPr>
                <w:rFonts w:ascii="Calibri" w:hAnsi="Calibri" w:cs="Calibri"/>
                <w:sz w:val="18"/>
                <w:szCs w:val="24"/>
                <w:vertAlign w:val="superscript"/>
              </w:rPr>
              <w:t>202</w:t>
            </w:r>
            <w:r w:rsidR="00827449" w:rsidRPr="00827449">
              <w:rPr>
                <w:b w:val="0"/>
                <w:sz w:val="18"/>
                <w:szCs w:val="18"/>
                <w:u w:val="single"/>
              </w:rPr>
              <w:fldChar w:fldCharType="end"/>
            </w:r>
          </w:p>
        </w:tc>
        <w:tc>
          <w:tcPr>
            <w:tcW w:w="1260" w:type="dxa"/>
          </w:tcPr>
          <w:p w14:paraId="62B3CDA7" w14:textId="5A2A05F6" w:rsidR="001B39E9" w:rsidRPr="0077667E" w:rsidRDefault="00827449" w:rsidP="003B1307">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TEA</w:t>
            </w:r>
          </w:p>
        </w:tc>
        <w:tc>
          <w:tcPr>
            <w:tcW w:w="1023" w:type="dxa"/>
            <w:gridSpan w:val="2"/>
          </w:tcPr>
          <w:p w14:paraId="26E567E5" w14:textId="20CCF7C8" w:rsidR="001B39E9" w:rsidRPr="0077667E" w:rsidRDefault="00827449" w:rsidP="003B1307">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HOB</w:t>
            </w:r>
          </w:p>
        </w:tc>
        <w:tc>
          <w:tcPr>
            <w:tcW w:w="4095" w:type="dxa"/>
          </w:tcPr>
          <w:p w14:paraId="49CF8911" w14:textId="5FCC8C1B" w:rsidR="001B39E9" w:rsidRDefault="00827449"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Pr>
                <w:i/>
                <w:sz w:val="18"/>
                <w:szCs w:val="18"/>
              </w:rPr>
              <w:t>Reusing CO</w:t>
            </w:r>
            <w:r w:rsidRPr="00827449">
              <w:rPr>
                <w:i/>
                <w:sz w:val="18"/>
                <w:szCs w:val="18"/>
                <w:vertAlign w:val="subscript"/>
              </w:rPr>
              <w:t>2</w:t>
            </w:r>
            <w:r>
              <w:rPr>
                <w:i/>
                <w:sz w:val="18"/>
                <w:szCs w:val="18"/>
              </w:rPr>
              <w:t xml:space="preserve"> from a Corn ethanol facility</w:t>
            </w:r>
          </w:p>
        </w:tc>
      </w:tr>
    </w:tbl>
    <w:p w14:paraId="7195141D" w14:textId="77777777" w:rsidR="00FF3A0C" w:rsidRPr="003F5DA8" w:rsidRDefault="00FF3A0C" w:rsidP="006B5342">
      <w:pPr>
        <w:jc w:val="both"/>
        <w:rPr>
          <w:sz w:val="18"/>
        </w:rPr>
      </w:pPr>
      <w:r w:rsidRPr="003F5DA8">
        <w:rPr>
          <w:sz w:val="18"/>
        </w:rPr>
        <w:t>cLCA, consequential LCA; aLCA, attributional LCA; TEA, techno-economic analysis; NG, (fossil) natural gas; PB, purple (non sulphur) bacteria; WWTP, wastewater treatment plant.</w:t>
      </w:r>
    </w:p>
    <w:p w14:paraId="2D0C13C5" w14:textId="5F9AA796" w:rsidR="00FF3A0C" w:rsidRDefault="00FF3A0C" w:rsidP="006B7E52">
      <w:pPr>
        <w:jc w:val="both"/>
      </w:pPr>
      <w:r w:rsidRPr="00F91E49">
        <w:lastRenderedPageBreak/>
        <w:t xml:space="preserve">One of the key </w:t>
      </w:r>
      <w:bookmarkStart w:id="246" w:name="_Hlk141438889"/>
      <w:r w:rsidRPr="00F91E49">
        <w:t>differences between the reviewed HOB and MOB production pathways lies in the origin of the supplied elements, nutrients and energy required for microbial growth. This not only defines the scope of the study but the chain of unit operations required. The scope of possibilities reported in reviewed literature is summarized in</w:t>
      </w:r>
      <w:bookmarkEnd w:id="246"/>
      <w:r w:rsidR="006B7E52">
        <w:t xml:space="preserve"> </w:t>
      </w:r>
      <w:r w:rsidR="006B7E52" w:rsidRPr="006B7E52">
        <w:rPr>
          <w:b/>
        </w:rPr>
        <w:fldChar w:fldCharType="begin"/>
      </w:r>
      <w:r w:rsidR="006B7E52" w:rsidRPr="006B7E52">
        <w:rPr>
          <w:b/>
        </w:rPr>
        <w:instrText xml:space="preserve"> REF _Ref144822968 \h </w:instrText>
      </w:r>
      <w:r w:rsidR="006B7E52">
        <w:rPr>
          <w:b/>
        </w:rPr>
        <w:instrText xml:space="preserve"> \* MERGEFORMAT </w:instrText>
      </w:r>
      <w:r w:rsidR="006B7E52" w:rsidRPr="006B7E52">
        <w:rPr>
          <w:b/>
        </w:rPr>
      </w:r>
      <w:r w:rsidR="006B7E52" w:rsidRPr="006B7E52">
        <w:rPr>
          <w:b/>
        </w:rPr>
        <w:fldChar w:fldCharType="separate"/>
      </w:r>
      <w:r w:rsidR="00F25F8C" w:rsidRPr="00F25F8C">
        <w:rPr>
          <w:b/>
        </w:rPr>
        <w:t xml:space="preserve">Table SI. </w:t>
      </w:r>
      <w:r w:rsidR="00F25F8C" w:rsidRPr="00F25F8C">
        <w:rPr>
          <w:b/>
          <w:noProof/>
        </w:rPr>
        <w:t>56</w:t>
      </w:r>
      <w:r w:rsidR="006B7E52" w:rsidRPr="006B7E52">
        <w:rPr>
          <w:b/>
        </w:rPr>
        <w:fldChar w:fldCharType="end"/>
      </w:r>
      <w:r w:rsidRPr="00F91E49">
        <w:t>.</w:t>
      </w:r>
    </w:p>
    <w:p w14:paraId="435F450F" w14:textId="236A9C81" w:rsidR="00FF3A0C" w:rsidRPr="00DD7BCD" w:rsidRDefault="00874128" w:rsidP="006B5342">
      <w:pPr>
        <w:pStyle w:val="Lgende"/>
        <w:jc w:val="left"/>
        <w:rPr>
          <w:b w:val="0"/>
          <w:i/>
        </w:rPr>
      </w:pPr>
      <w:bookmarkStart w:id="247" w:name="_Ref144822968"/>
      <w:bookmarkStart w:id="248" w:name="_Toc134537627"/>
      <w:bookmarkStart w:id="249" w:name="_Toc151967940"/>
      <w:r>
        <w:t>Table SI.</w:t>
      </w:r>
      <w:r w:rsidR="00FF3A0C">
        <w:t xml:space="preserve"> </w:t>
      </w:r>
      <w:r>
        <w:fldChar w:fldCharType="begin"/>
      </w:r>
      <w:r>
        <w:instrText xml:space="preserve"> SEQ Table_SI. \* ARABIC </w:instrText>
      </w:r>
      <w:r>
        <w:fldChar w:fldCharType="separate"/>
      </w:r>
      <w:r w:rsidR="00F25F8C">
        <w:rPr>
          <w:noProof/>
        </w:rPr>
        <w:t>56</w:t>
      </w:r>
      <w:r>
        <w:fldChar w:fldCharType="end"/>
      </w:r>
      <w:bookmarkEnd w:id="247"/>
      <w:r w:rsidR="00FF3A0C">
        <w:t xml:space="preserve"> </w:t>
      </w:r>
      <w:r w:rsidR="00FF3A0C" w:rsidRPr="007C2AE0">
        <w:t>– Main gas origin for HOB and MOB production, review</w:t>
      </w:r>
      <w:bookmarkEnd w:id="248"/>
      <w:bookmarkEnd w:id="249"/>
    </w:p>
    <w:tbl>
      <w:tblPr>
        <w:tblStyle w:val="Tableausimple2"/>
        <w:tblW w:w="0" w:type="auto"/>
        <w:jc w:val="center"/>
        <w:tblLook w:val="04A0" w:firstRow="1" w:lastRow="0" w:firstColumn="1" w:lastColumn="0" w:noHBand="0" w:noVBand="1"/>
      </w:tblPr>
      <w:tblGrid>
        <w:gridCol w:w="1170"/>
        <w:gridCol w:w="1583"/>
        <w:gridCol w:w="4257"/>
        <w:gridCol w:w="2062"/>
      </w:tblGrid>
      <w:tr w:rsidR="00FF3A0C" w:rsidRPr="0047239E" w14:paraId="5FC3CEF8" w14:textId="77777777" w:rsidTr="0047239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38E917C8" w14:textId="77777777" w:rsidR="00FF3A0C" w:rsidRPr="0047239E" w:rsidRDefault="00FF3A0C" w:rsidP="006B7E52">
            <w:pPr>
              <w:rPr>
                <w:sz w:val="18"/>
                <w:szCs w:val="18"/>
              </w:rPr>
            </w:pPr>
            <w:r w:rsidRPr="0047239E">
              <w:rPr>
                <w:sz w:val="18"/>
                <w:szCs w:val="18"/>
              </w:rPr>
              <w:t>Gas required</w:t>
            </w:r>
          </w:p>
        </w:tc>
        <w:tc>
          <w:tcPr>
            <w:tcW w:w="0" w:type="auto"/>
          </w:tcPr>
          <w:p w14:paraId="61422A7F" w14:textId="77777777" w:rsidR="00FF3A0C" w:rsidRPr="0047239E" w:rsidRDefault="00FF3A0C" w:rsidP="006B7E52">
            <w:pPr>
              <w:cnfStyle w:val="100000000000" w:firstRow="1" w:lastRow="0" w:firstColumn="0" w:lastColumn="0" w:oddVBand="0" w:evenVBand="0" w:oddHBand="0" w:evenHBand="0" w:firstRowFirstColumn="0" w:firstRowLastColumn="0" w:lastRowFirstColumn="0" w:lastRowLastColumn="0"/>
              <w:rPr>
                <w:sz w:val="18"/>
                <w:szCs w:val="18"/>
              </w:rPr>
            </w:pPr>
            <w:r w:rsidRPr="0047239E">
              <w:rPr>
                <w:sz w:val="18"/>
                <w:szCs w:val="18"/>
              </w:rPr>
              <w:t>Supply</w:t>
            </w:r>
          </w:p>
        </w:tc>
        <w:tc>
          <w:tcPr>
            <w:tcW w:w="0" w:type="auto"/>
          </w:tcPr>
          <w:p w14:paraId="426537FB" w14:textId="77777777" w:rsidR="00FF3A0C" w:rsidRPr="0047239E" w:rsidRDefault="00FF3A0C" w:rsidP="006B7E52">
            <w:pPr>
              <w:cnfStyle w:val="100000000000" w:firstRow="1" w:lastRow="0" w:firstColumn="0" w:lastColumn="0" w:oddVBand="0" w:evenVBand="0" w:oddHBand="0" w:evenHBand="0" w:firstRowFirstColumn="0" w:firstRowLastColumn="0" w:lastRowFirstColumn="0" w:lastRowLastColumn="0"/>
              <w:rPr>
                <w:i/>
                <w:sz w:val="18"/>
                <w:szCs w:val="18"/>
              </w:rPr>
            </w:pPr>
            <w:r w:rsidRPr="0047239E">
              <w:rPr>
                <w:i/>
                <w:sz w:val="18"/>
                <w:szCs w:val="18"/>
              </w:rPr>
              <w:t>Comment</w:t>
            </w:r>
          </w:p>
        </w:tc>
        <w:tc>
          <w:tcPr>
            <w:tcW w:w="0" w:type="auto"/>
          </w:tcPr>
          <w:p w14:paraId="40217CF6" w14:textId="77777777" w:rsidR="00FF3A0C" w:rsidRPr="0047239E" w:rsidRDefault="00FF3A0C" w:rsidP="003B1307">
            <w:pPr>
              <w:cnfStyle w:val="100000000000" w:firstRow="1" w:lastRow="0" w:firstColumn="0" w:lastColumn="0" w:oddVBand="0" w:evenVBand="0" w:oddHBand="0" w:evenHBand="0" w:firstRowFirstColumn="0" w:firstRowLastColumn="0" w:lastRowFirstColumn="0" w:lastRowLastColumn="0"/>
              <w:rPr>
                <w:sz w:val="18"/>
                <w:szCs w:val="18"/>
              </w:rPr>
            </w:pPr>
            <w:r w:rsidRPr="0047239E">
              <w:rPr>
                <w:sz w:val="18"/>
                <w:szCs w:val="18"/>
              </w:rPr>
              <w:t>Used in</w:t>
            </w:r>
          </w:p>
        </w:tc>
      </w:tr>
      <w:tr w:rsidR="00FF3A0C" w:rsidRPr="0047239E" w14:paraId="2F3C752A" w14:textId="77777777" w:rsidTr="0047239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tcPr>
          <w:p w14:paraId="75E7E59E" w14:textId="77777777" w:rsidR="00FF3A0C" w:rsidRPr="0047239E" w:rsidRDefault="00FF3A0C" w:rsidP="006B7E52">
            <w:pPr>
              <w:rPr>
                <w:sz w:val="18"/>
                <w:szCs w:val="18"/>
              </w:rPr>
            </w:pPr>
            <w:r w:rsidRPr="0047239E">
              <w:rPr>
                <w:sz w:val="18"/>
                <w:szCs w:val="18"/>
              </w:rPr>
              <w:t>Oxygen</w:t>
            </w:r>
          </w:p>
        </w:tc>
        <w:tc>
          <w:tcPr>
            <w:tcW w:w="0" w:type="auto"/>
          </w:tcPr>
          <w:p w14:paraId="5C60E352" w14:textId="77777777" w:rsidR="00FF3A0C" w:rsidRPr="0047239E" w:rsidRDefault="00FF3A0C" w:rsidP="006B7E52">
            <w:pPr>
              <w:cnfStyle w:val="000000100000" w:firstRow="0" w:lastRow="0" w:firstColumn="0" w:lastColumn="0" w:oddVBand="0" w:evenVBand="0" w:oddHBand="1" w:evenHBand="0" w:firstRowFirstColumn="0" w:firstRowLastColumn="0" w:lastRowFirstColumn="0" w:lastRowLastColumn="0"/>
              <w:rPr>
                <w:b/>
                <w:sz w:val="18"/>
                <w:szCs w:val="18"/>
              </w:rPr>
            </w:pPr>
            <w:r w:rsidRPr="0047239E">
              <w:rPr>
                <w:b/>
                <w:sz w:val="18"/>
                <w:szCs w:val="18"/>
              </w:rPr>
              <w:t>Direct air blowing</w:t>
            </w:r>
          </w:p>
        </w:tc>
        <w:tc>
          <w:tcPr>
            <w:tcW w:w="0" w:type="auto"/>
          </w:tcPr>
          <w:p w14:paraId="0BFDA39F" w14:textId="77777777" w:rsidR="00FF3A0C" w:rsidRPr="0047239E"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47239E">
              <w:rPr>
                <w:i/>
                <w:sz w:val="18"/>
                <w:szCs w:val="18"/>
              </w:rPr>
              <w:t>Limit ATEX risks but increase pumping costs</w:t>
            </w:r>
          </w:p>
        </w:tc>
        <w:tc>
          <w:tcPr>
            <w:tcW w:w="0" w:type="auto"/>
          </w:tcPr>
          <w:p w14:paraId="1C7AD4A5" w14:textId="771C589A" w:rsidR="00FF3A0C" w:rsidRPr="0047239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47239E">
              <w:rPr>
                <w:sz w:val="18"/>
                <w:szCs w:val="18"/>
              </w:rPr>
              <w:fldChar w:fldCharType="begin"/>
            </w:r>
            <w:r w:rsidR="005413B4">
              <w:rPr>
                <w:sz w:val="18"/>
                <w:szCs w:val="18"/>
              </w:rPr>
              <w:instrText xml:space="preserve"> ADDIN ZOTERO_ITEM CSL_CITATION {"citationID":"Hj1V6i0L","properties":{"formattedCitation":"\\super 184,186,193\\nosupersub{}","plainCitation":"184,186,193","noteIndex":0},"citationItems":[{"id":12428,"uris":["http://zotero.org/users/6423791/items/6T57THSK"],"itemData":{"id":12428,"type":"thesis","number-of-pages":"149","publisher":"Standford University","title":"Engineering the Dark Food Chain:the Role of Methanotrophic Bacteria Infood Production and Climate Change Mitigation","URL":"https://stacks.stanford.edu/file/druid:bg967bh2013/ElAbbadi_dissertation_2021-07-19-augmented.pdf","author":[{"family":"El Abbadi","given":"Sahar H."}],"accessed":{"date-parts":[["2021",11,30]]},"issued":{"date-parts":[["2021",7]]}}},{"id":12881,"uris":["http://zotero.org/users/6423791/items/XFWA5FUP"],"itemData":{"id":12881,"type":"article-journal","abstract":"A major obstacle preventing the large scale production of polyhydroxyalkanoates (PHAs) has been the lack of a reliable, low cost, large volume feedstock. The abundance and relatively low price of methane therefore marks it as a substrate of interest. This paper presents a techno-economic assessment of the production of poly-3-hydroxybutyrate (PHB) from methane. ASPEN Plus was used for process design and simulation. The design and economic evaluation is presented for production of 100,000t/a PHB through methanotrophic fermentation and acetone-water solvent extraction. Production costs were estimated at $4.1–$6.8/kg PHA, which compares against a median price of $7.5/kg from other studies. Raw material costs are reduced from 30 to 50% of production for sugar feedstocks, to 22% of production for methane. A feature of the work is the revelation that heat removal from the two-stage bioreactor process contributes 28% of the operating cost. Thermophilic methanotrophs could allow the use of cooling water instead of refrigerant, reducing production costs to $3.2–5.4/kg PHA; it is noted that PHB producing thermophilic methanotrophs are yet to be isolated. Energy consumption for air compression and biomass drying were also identified as significant capital and operating costs and therefore optimisation of bioreactor height and pressure and biomass moisture content should be considered in future research.","container-title":"Journal of Environmental Chemical Engineering","DOI":"10.1016/j.jece.2016.07.033","ISSN":"2213-3437","issue":"4, Part A","journalAbbreviation":"J. Environ. Chem. Eng.","language":"en","page":"3724-3733","source":"ScienceDirect","title":"Techno-economic assessment of poly-3-hydroxybutyrate (PHB) production from methane—The case for thermophilic bioprocessing","volume":"4","author":[{"family":"Levett","given":"Ian"},{"family":"Birkett","given":"Greg"},{"family":"Davies","given":"Nick"},{"family":"Bell","given":"Aidan"},{"family":"Langford","given":"Alexandra"},{"family":"Laycock","given":"Bronwyn"},{"family":"Lant","given":"Paul"},{"family":"Pratt","given":"Steven"}],"issued":{"date-parts":[["2016",12,1]]}}},{"id":1872,"uris":["http://zotero.org/users/6423791/items/ATV4BJ8B"],"itemData":{"id":1872,"type":"article-journal","abstract":"The progressive exhaustion of fossil energy resources and the environmental problems provoked by the excessive use of these resources have driven us to transit from a fossil fuel dependent economy to a more bio-based economy. In this regard, exploiting the organic fraction of municipal solid waste (OFMSW) for producing high value bioproducts and bioenergy under a biorefinery approach has attracted great interest. This paper presents the state of the art of urban biowaste biorefinery concepts. Accordingly, different novel valorization pathways, namely single cell protein, biosuccinic acid, and lactic acid, as well as bioenergy production were consolidated into some scenarios. Moreover, successfully tested hydrogen-assisted biological biogas upgrading was also incorporated into some scenarios as energy source for methanotrophs to upcycle nitrogen rich digestate into single cell protein. Upon the successful lab-scale experiments, different biorefinery platforms were developed and their sustainability was environmentally scrutinized using consequential life cycle assessment. The results obtained herein demonstrated that despite having different net environmental benefits, all the developed scenarios were eco-friendly solutions for valorizing biowaste into bioproducts and bioenergy. Scenarios including microbial protein production led to a saving of −58 to −147 kg CO2,eq/t biopulp in Climate change category, depending on the biorefining pathway. The net saving in Climate change category achieved for Succinic acid- and Lactic acid-based biorefinery was estimated at −73 and −173 kg CO2,eq/t biopulp, respectively. Biological biogas upgrading, if implemented, could increase energy payback by 9724 MJ/t biopulp and contribute more to the sustainability of other developed scenarios. Although scenarios with the main focus on bioenergy production outperformed others in terms of environmental sustainability, some complementary factors such as policy decisions, energy directives, economic issues, and carbon trade schemes must be taken into account in order to introduce the best valorization pathway.","container-title":"Renewable and Sustainable Energy Reviews","DOI":"10.1016/j.rser.2019.109493","ISSN":"1364-0321","journalAbbreviation":"Renewable and Sustainable Energy Reviews","language":"en","page":"109493","source":"ScienceDirect","title":"Environmental life cycle assessment of different biorefinery platforms valorizing municipal solid waste to bioenergy, microbial protein, lactic and succinic acid","volume":"117","author":[{"family":"Khoshnevisan","given":"Benyamin"},{"family":"Tabatabaei","given":"Meisam"},{"family":"Tsapekos","given":"Panagiotis"},{"family":"Rafiee","given":"Shahin"},{"family":"Aghbashlo","given":"Mortaza"},{"family":"Lindeneg","given":"Susanne"},{"family":"Angelidaki","given":"Irini"}],"issued":{"date-parts":[["2020",1,1]]}}}],"schema":"https://github.com/citation-style-language/schema/raw/master/csl-citation.json"} </w:instrText>
            </w:r>
            <w:r w:rsidRPr="0047239E">
              <w:rPr>
                <w:sz w:val="18"/>
                <w:szCs w:val="18"/>
              </w:rPr>
              <w:fldChar w:fldCharType="separate"/>
            </w:r>
            <w:r w:rsidR="005413B4" w:rsidRPr="005413B4">
              <w:rPr>
                <w:rFonts w:ascii="Calibri" w:hAnsi="Calibri" w:cs="Calibri"/>
                <w:sz w:val="18"/>
                <w:szCs w:val="24"/>
                <w:vertAlign w:val="superscript"/>
              </w:rPr>
              <w:t>184,186,193</w:t>
            </w:r>
            <w:r w:rsidRPr="0047239E">
              <w:rPr>
                <w:sz w:val="18"/>
                <w:szCs w:val="18"/>
              </w:rPr>
              <w:fldChar w:fldCharType="end"/>
            </w:r>
          </w:p>
        </w:tc>
      </w:tr>
      <w:tr w:rsidR="00FF3A0C" w:rsidRPr="0047239E" w14:paraId="614E9A62" w14:textId="77777777" w:rsidTr="0047239E">
        <w:trPr>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3D67A114" w14:textId="77777777" w:rsidR="00FF3A0C" w:rsidRPr="0047239E" w:rsidRDefault="00FF3A0C" w:rsidP="006B7E52">
            <w:pPr>
              <w:rPr>
                <w:sz w:val="18"/>
                <w:szCs w:val="18"/>
              </w:rPr>
            </w:pPr>
          </w:p>
        </w:tc>
        <w:tc>
          <w:tcPr>
            <w:tcW w:w="0" w:type="auto"/>
          </w:tcPr>
          <w:p w14:paraId="4B9B476B" w14:textId="77777777" w:rsidR="00FF3A0C" w:rsidRPr="0047239E" w:rsidRDefault="00FF3A0C" w:rsidP="006B7E52">
            <w:pPr>
              <w:cnfStyle w:val="000000000000" w:firstRow="0" w:lastRow="0" w:firstColumn="0" w:lastColumn="0" w:oddVBand="0" w:evenVBand="0" w:oddHBand="0" w:evenHBand="0" w:firstRowFirstColumn="0" w:firstRowLastColumn="0" w:lastRowFirstColumn="0" w:lastRowLastColumn="0"/>
              <w:rPr>
                <w:b/>
                <w:sz w:val="18"/>
                <w:szCs w:val="18"/>
              </w:rPr>
            </w:pPr>
            <w:r w:rsidRPr="0047239E">
              <w:rPr>
                <w:b/>
                <w:sz w:val="18"/>
                <w:szCs w:val="18"/>
              </w:rPr>
              <w:t>Air separation unit</w:t>
            </w:r>
          </w:p>
        </w:tc>
        <w:tc>
          <w:tcPr>
            <w:tcW w:w="0" w:type="auto"/>
          </w:tcPr>
          <w:p w14:paraId="1F0FB4D5" w14:textId="77777777" w:rsidR="00FF3A0C" w:rsidRPr="0047239E" w:rsidRDefault="00FF3A0C" w:rsidP="003B1307">
            <w:pPr>
              <w:jc w:val="both"/>
              <w:cnfStyle w:val="000000000000" w:firstRow="0" w:lastRow="0" w:firstColumn="0" w:lastColumn="0" w:oddVBand="0" w:evenVBand="0" w:oddHBand="0" w:evenHBand="0" w:firstRowFirstColumn="0" w:firstRowLastColumn="0" w:lastRowFirstColumn="0" w:lastRowLastColumn="0"/>
              <w:rPr>
                <w:i/>
                <w:sz w:val="18"/>
                <w:szCs w:val="18"/>
              </w:rPr>
            </w:pPr>
            <w:r w:rsidRPr="0047239E">
              <w:rPr>
                <w:i/>
                <w:sz w:val="18"/>
                <w:szCs w:val="18"/>
              </w:rPr>
              <w:t>Cryogenic separation, pressure swing absorption (PSA), etc.</w:t>
            </w:r>
          </w:p>
        </w:tc>
        <w:tc>
          <w:tcPr>
            <w:tcW w:w="0" w:type="auto"/>
          </w:tcPr>
          <w:p w14:paraId="38990481" w14:textId="403A31DD" w:rsidR="00FF3A0C" w:rsidRPr="0047239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47239E">
              <w:rPr>
                <w:sz w:val="18"/>
                <w:szCs w:val="18"/>
              </w:rPr>
              <w:fldChar w:fldCharType="begin"/>
            </w:r>
            <w:r w:rsidR="005413B4">
              <w:rPr>
                <w:sz w:val="18"/>
                <w:szCs w:val="18"/>
              </w:rPr>
              <w:instrText xml:space="preserve"> ADDIN ZOTERO_ITEM CSL_CITATION {"citationID":"vtB7V7u9","properties":{"formattedCitation":"\\super 195,197,198,203\\nosupersub{}","plainCitation":"195,197,198,203","noteIndex":0},"citationItems":[{"id":1878,"uris":["http://zotero.org/users/6423791/items/J32BCSLB"],"itemData":{"id":1878,"type":"article-journal","abstract":"Anaerobic digesters produce biogas, a mixture of predominantly CH4 and CO2, which is typically incinerated to recover electrical and/or thermal energy. In a context of circular economy, the CH4 and CO2 could be used as chemical feedstock in combination with ammonium from the digestate. Their combination into protein-rich bacterial, used as animal feed additive, could contribute to the ever growing global demand for nutritive protein sources and improve the overall nitrogen efficiency of the current agro- feed/food chain. In this concept, renewable CH4 and H2 can serve as carbon-neutral energy sources for the production of protein-rich cellular biomass, while assimilating and upgrading recovered ammonia from the digestate. This study evaluated the potential of producing sustainable high-quality protein additives in a decentralized way through coupling anaerobic digestion and microbial protein production using methanotrophic and hydrogenotrophic bacteria in an on-farm bioreactor. We show that a practical case digester handling liquid piggery manure, of which the energy content is supplemented for 30% with co-substrates, provides sufficient biogas to allow the subsequent microbial protein as feed production for about 37% of the number of pigs from which the manure was derived. Overall, producing microbial protein on the farm from available methane and ammonia liberated by anaerobic digesters treating manure appears economically and technically feasible within the current range of market prices existing for high-quality protein. The case of producing biomethane for grid injection and upgrading the CO2 with electrolytic hydrogen to microbial protein by means of hydrogen-oxidizing bacteria was also examined but found less attractive at the current production prices of renewable hydrogen. Our calculations show that this route is only of commercial interest if the protein value equals the value of high-value protein additives like fishmeal and if the avoided costs for nutrient removal from the digestate are taken into consideration.","container-title":"Microbial Biotechnology","DOI":"10.1111/1751-7915.13600","ISSN":"1751-7915","issue":"3","journalAbbreviation":"Microb. Biotechnol.","language":"en","license":"© 2020 The Authors. Microbial Biotechnology  published by John Wiley &amp; Sons Ltd and Society for Applied Microbiology.","note":"_eprint: https://onlinelibrary.wiley.com/doi/pdf/10.1111/1751-7915.13600","page":"897-910","source":"Wiley Online Library","title":"Assessing the potential for up-cycling recovered resources from anaerobic digestion through microbial protein production","volume":"14","author":[{"family":"Verbeeck","given":"Kristof"},{"family":"Vrieze","given":"Jo De"},{"family":"Pikaar","given":"Ilje"},{"family":"Verstraete","given":"Willy"},{"family":"Rabaey","given":"Korneel"}],"issued":{"date-parts":[["2020"]]}}},{"id":2363,"uris":["http://zotero.org/users/6423791/items/RHD6WXUH"],"itemData":{"id":2363,"type":"article-journal","abstract":"Human civilization's food production system is currently unprepared for catastrophes that would reduce global food production by 10% or more, such as nuclear winter, supervolcanic eruptions or asteroid impacts. Alternative foods that do not require much or any sunlight have been proposed as a more cost-effective solution than increasing food stockpiles, given the long duration of many global catastrophic risks (GCRs) that could hamper conventional agriculture for 5 to 10 years. Microbial food from single cell protein (SCP) produced via hydrogen from both gasification and electrolysis is analyzed in this study as alternative food for the most severe food shock scenario: a sun-blocking catastrophe. Capital costs, resource requirements and ramp up rates are quantified to determine its viability. Potential bottlenecks to fast deployment of the technology are reviewed. The ramp up speed of food production for 24/7 construction of the facilities over 6 years is estimated to be lower than other alternatives (3-10% of the global protein requirements could be fulfilled at end of first year), but the nutritional quality of the microbial protein is higher than for most other alternative foods for catastrophes. Results suggest that investment in SCP ramp up should be limited to the production capacity that is needed to fulfill only the minimum recommended protein requirements of humanity during the catastrophe. Further research is needed into more uncertain concerns such as transferability of labor and equipment production. This could help reduce the negative impact of potential food-related GCRs.","container-title":"Sustainable Production and Consumption","DOI":"10.1016/j.spc.2020.08.011","ISSN":"2352-5509","journalAbbreviation":"Sustain. Prod. Consum.","language":"en","page":"234-247","source":"ScienceDirect","title":"Potential of microbial protein from hydrogen for preventing mass starvation in catastrophic scenarios","volume":"25","author":[{"family":"García Martínez","given":"Juan B."},{"family":"Egbejimba","given":"Joseph"},{"family":"Throup","given":"James"},{"family":"Matassa","given":"Silvio"},{"family":"Pearce","given":"Joshua M."},{"family":"Denkenberger","given":"David C."}],"issued":{"date-parts":[["2021",1,1]]}}},{"id":13590,"uris":["http://zotero.org/users/6423791/items/UYTMXFFD"],"itemData":{"id":13590,"type":"article-journal","abstract":"Global catastrophes such as a supervolcanic eruption, asteroid impact, or nuclear winter could cause global agricultural collapse due to reduced sunlight reaching the Earth’s surface. The human civilization’s food production system is unprepared to respond to such events, but methane single cell protein (SCP) could be a key part of the solution. Current preparedness centers around food stockpiling, an excessively expensive solution given that an abrupt sunlight reduction scenario (ASRS) could hamper conventional agriculture for 5–10 years. Instead, it is more cost-effective to consider resilient food production techniques requiring little to no sunlight. This study analyses the potential of SCP produced from methane (natural gas and biogas) as a resilient food source for global catastrophic food shocks from ASRS. The following are quantified: global production potential of methane SCP, capital costs, material and energy requirements, ramp-up rates, and retail prices. In addition, potential bottlenecks for fast deployment are considered. While providing a more valuable, protein-rich product than its alternatives, the production capacity could be slower to ramp up. Based on 24/7 construction of facilities, 7%–11% of the global protein requirements could be fulfilled at the end of the first year. Despite significant remaining uncertainties, methane SCP shows significant potential to prevent global protein starvation during an ASRS at an affordable price—US$3–5/kg dry.","container-title":"Frontiers in Bioengineering and Biotechnology","ISSN":"2296-4185","journalAbbreviation":"Front. Bioeng. Biotechnol.","source":"Frontiers","title":"Methane Single Cell Protein: Potential to Secure a Global Protein Supply Against Catastrophic Food Shocks","title-short":"Methane Single Cell Protein","URL":"https://www.frontiersin.org/articles/10.3389/fbioe.2022.906704","volume":"10","author":[{"family":"García Martínez","given":"Juan B."},{"family":"Pearce","given":"Joshua M."},{"family":"Throup","given":"James"},{"family":"Cates","given":"Jacob"},{"family":"Lackner","given":"Maximilian"},{"family":"Denkenberger","given":"David C."}],"accessed":{"date-parts":[["2022",7,27]]},"issued":{"date-parts":[["2022"]]}}},{"id":10970,"uris":["http://zotero.org/users/6423791/items/5E2YP43S"],"itemData":{"id":10970,"type":"report","abstract":"Het InnovatieNetwerk Groene Ruimte en Agrocluster heeft eerder een haalbaarheidsstudie laten opstellen voor het ontwerp van een nieuw visteeltsysteem op een schip of drijvende bak. Onderdeel hiervan is een eerste aanzet van een haalbaarheidsonderzoek van de productie op het schip van het eiwitrijke Single Cell Protein (SCP). In een voortgezette haalbaarheidsstudie is onderzoek gedaan naar de mogelijkheid van SCP-productie voor veevoeders in een centrale installatie om zo de import van soja te verminderen.","language":"nl","note":"OCLC: 1012527642","publisher":"InnovatieNetwerk","source":"Open WorldCat","title":"Single Cell Protein (SCP) als alternatief voor soja: een haalbaarheidsstudie","title-short":"Single Cell Protein (SCP) als alternatief voor soja","URL":"http://edepot.wur.nl/116725","author":[{"family":"Huizing","given":"H.J."}],"accessed":{"date-parts":[["2021",4,14]]},"issued":{"date-parts":[["2005"]]}}}],"schema":"https://github.com/citation-style-language/schema/raw/master/csl-citation.json"} </w:instrText>
            </w:r>
            <w:r w:rsidRPr="0047239E">
              <w:rPr>
                <w:sz w:val="18"/>
                <w:szCs w:val="18"/>
              </w:rPr>
              <w:fldChar w:fldCharType="separate"/>
            </w:r>
            <w:r w:rsidR="005413B4" w:rsidRPr="005413B4">
              <w:rPr>
                <w:rFonts w:ascii="Calibri" w:hAnsi="Calibri" w:cs="Calibri"/>
                <w:sz w:val="18"/>
                <w:szCs w:val="24"/>
                <w:vertAlign w:val="superscript"/>
              </w:rPr>
              <w:t>195,197,198,203</w:t>
            </w:r>
            <w:r w:rsidRPr="0047239E">
              <w:rPr>
                <w:sz w:val="18"/>
                <w:szCs w:val="18"/>
              </w:rPr>
              <w:fldChar w:fldCharType="end"/>
            </w:r>
          </w:p>
        </w:tc>
      </w:tr>
      <w:tr w:rsidR="00FF3A0C" w:rsidRPr="0047239E" w14:paraId="18A5C308" w14:textId="77777777" w:rsidTr="0047239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1F85936C" w14:textId="77777777" w:rsidR="00FF3A0C" w:rsidRPr="0047239E" w:rsidRDefault="00FF3A0C" w:rsidP="006B7E52">
            <w:pPr>
              <w:rPr>
                <w:sz w:val="18"/>
                <w:szCs w:val="18"/>
              </w:rPr>
            </w:pPr>
          </w:p>
        </w:tc>
        <w:tc>
          <w:tcPr>
            <w:tcW w:w="0" w:type="auto"/>
          </w:tcPr>
          <w:p w14:paraId="62754656" w14:textId="77777777" w:rsidR="00FF3A0C" w:rsidRPr="0047239E" w:rsidRDefault="00FF3A0C" w:rsidP="006B7E52">
            <w:pPr>
              <w:cnfStyle w:val="000000100000" w:firstRow="0" w:lastRow="0" w:firstColumn="0" w:lastColumn="0" w:oddVBand="0" w:evenVBand="0" w:oddHBand="1" w:evenHBand="0" w:firstRowFirstColumn="0" w:firstRowLastColumn="0" w:lastRowFirstColumn="0" w:lastRowLastColumn="0"/>
              <w:rPr>
                <w:b/>
                <w:sz w:val="18"/>
                <w:szCs w:val="18"/>
              </w:rPr>
            </w:pPr>
            <w:r w:rsidRPr="0047239E">
              <w:rPr>
                <w:b/>
                <w:sz w:val="18"/>
                <w:szCs w:val="18"/>
              </w:rPr>
              <w:t>Electrolysis</w:t>
            </w:r>
          </w:p>
        </w:tc>
        <w:tc>
          <w:tcPr>
            <w:tcW w:w="0" w:type="auto"/>
          </w:tcPr>
          <w:p w14:paraId="4818429C" w14:textId="77777777" w:rsidR="00FF3A0C" w:rsidRPr="0047239E"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47239E">
              <w:rPr>
                <w:i/>
                <w:sz w:val="18"/>
                <w:szCs w:val="18"/>
              </w:rPr>
              <w:t>Co-product of H</w:t>
            </w:r>
            <w:r w:rsidRPr="0047239E">
              <w:rPr>
                <w:i/>
                <w:sz w:val="18"/>
                <w:szCs w:val="18"/>
                <w:vertAlign w:val="subscript"/>
              </w:rPr>
              <w:t>2</w:t>
            </w:r>
            <w:r w:rsidRPr="0047239E">
              <w:rPr>
                <w:i/>
                <w:sz w:val="18"/>
                <w:szCs w:val="18"/>
              </w:rPr>
              <w:t xml:space="preserve"> production</w:t>
            </w:r>
          </w:p>
        </w:tc>
        <w:tc>
          <w:tcPr>
            <w:tcW w:w="0" w:type="auto"/>
          </w:tcPr>
          <w:p w14:paraId="65C02DB1" w14:textId="2D143AC4" w:rsidR="00FF3A0C" w:rsidRPr="0047239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47239E">
              <w:rPr>
                <w:sz w:val="18"/>
                <w:szCs w:val="18"/>
              </w:rPr>
              <w:fldChar w:fldCharType="begin"/>
            </w:r>
            <w:r w:rsidR="005413B4">
              <w:rPr>
                <w:sz w:val="18"/>
                <w:szCs w:val="18"/>
              </w:rPr>
              <w:instrText xml:space="preserve"> ADDIN ZOTERO_ITEM CSL_CITATION {"citationID":"VRgELhDS","properties":{"formattedCitation":"\\super 175,183,187,195\\uc0\\u8211{}197,199,204\\uc0\\u8211{}206\\nosupersub{}","plainCitation":"175,183,187,195–197,199,204–206","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L."}],"issued":{"date-parts":[["2021",2]]}}},{"id":558,"uris":["http://zotero.org/users/6423791/items/YPK9LCXF"],"itemData":{"id":558,"type":"article-journal","abstract":"One of the main challenges for the 21st century is to balance the increasing demand for high-quality proteins while mitigating environmental impacts. In particular, cropland-based production of protein-rich animal feed for livestock rearing results in large-scale agricultural land-expansion, nitrogen pollution, and greenhouse gas emissions. Here we propose and analyze the longterm potential of alternative animal feed supply routes based on industrial production of microbial proteins (MP). Our analysis reveals that by 2050, MP can replace, depending on socioeconomic development and MP production pathways, between 10−19% of conventional crop-based animal feed protein demand. As a result, global cropland area, global nitrogen losses from croplands and agricultural greenhouse gas emissions can be decreased by 6% (0−13%), 8% (−3−8%), and 7% (−6−9%), respectively. Interestingly, the technology to industrially produce MP at competitive costs is directly accessible for implementation and has the potential to cause a major structural change in the agro-food system.","container-title":"Environmental Science &amp; Technology","DOI":"10.1021/acs.est.8b00216","ISSN":"0013-936X, 1520-5851","issue":"13","journalAbbreviation":"Environ. Sci. Technol.","language":"en","page":"7351-7359","source":"DOI.org (Crossref)","title":"Decoupling Livestock from Land Use through Industrial Feed Production Pathways","volume":"52","author":[{"family":"Pikaar","given":"Ilje"},{"family":"Matassa","given":"Silvio"},{"family":"Bodirsky","given":"Benjamin L."},{"family":"Weindl","given":"Isabelle"},{"family":"Humpenöder","given":"Florian"},{"family":"Rabaey","given":"Korneel"},{"family":"Boon","given":"Nico"},{"family":"Bruschi","given":"Michele"},{"family":"Yuan","given":"Zhiguo"},{"family":"Zanten","given":"Hannah","non-dropping-particle":"van"},{"family":"Herrero","given":"Mario"},{"family":"Verstraete","given":"Willy"},{"family":"Popp","given":"Alexander"}],"issued":{"date-parts":[["2018",7,3]]}}},{"id":1878,"uris":["http://zotero.org/users/6423791/items/J32BCSLB"],"itemData":{"id":1878,"type":"article-journal","abstract":"Anaerobic digesters produce biogas, a mixture of predominantly CH4 and CO2, which is typically incinerated to recover electrical and/or thermal energy. In a context of circular economy, the CH4 and CO2 could be used as chemical feedstock in combination with ammonium from the digestate. Their combination into protein-rich bacterial, used as animal feed additive, could contribute to the ever growing global demand for nutritive protein sources and improve the overall nitrogen efficiency of the current agro- feed/food chain. In this concept, renewable CH4 and H2 can serve as carbon-neutral energy sources for the production of protein-rich cellular biomass, while assimilating and upgrading recovered ammonia from the digestate. This study evaluated the potential of producing sustainable high-quality protein additives in a decentralized way through coupling anaerobic digestion and microbial protein production using methanotrophic and hydrogenotrophic bacteria in an on-farm bioreactor. We show that a practical case digester handling liquid piggery manure, of which the energy content is supplemented for 30% with co-substrates, provides sufficient biogas to allow the subsequent microbial protein as feed production for about 37% of the number of pigs from which the manure was derived. Overall, producing microbial protein on the farm from available methane and ammonia liberated by anaerobic digesters treating manure appears economically and technically feasible within the current range of market prices existing for high-quality protein. The case of producing biomethane for grid injection and upgrading the CO2 with electrolytic hydrogen to microbial protein by means of hydrogen-oxidizing bacteria was also examined but found less attractive at the current production prices of renewable hydrogen. Our calculations show that this route is only of commercial interest if the protein value equals the value of high-value protein additives like fishmeal and if the avoided costs for nutrient removal from the digestate are taken into consideration.","container-title":"Microbial Biotechnology","DOI":"10.1111/1751-7915.13600","ISSN":"1751-7915","issue":"3","journalAbbreviation":"Microb. Biotechnol.","language":"en","license":"© 2020 The Authors. Microbial Biotechnology  published by John Wiley &amp; Sons Ltd and Society for Applied Microbiology.","note":"_eprint: https://onlinelibrary.wiley.com/doi/pdf/10.1111/1751-7915.13600","page":"897-910","source":"Wiley Online Library","title":"Assessing the potential for up-cycling recovered resources from anaerobic digestion through microbial protein production","volume":"14","author":[{"family":"Verbeeck","given":"Kristof"},{"family":"Vrieze","given":"Jo De"},{"family":"Pikaar","given":"Ilje"},{"family":"Verstraete","given":"Willy"},{"family":"Rabaey","given":"Korneel"}],"issued":{"date-parts":[["2020"]]}}},{"id":12839,"uris":["http://zotero.org/users/6423791/items/Z8P5BF6M"],"itemData":{"id":12839,"type":"article-journal","abstract":"This study evaluates the techno-economic feasibility of five solar-powered concepts for the production of autotrophic microorganisms for food and feed production; the main focus is on three concepts based on hydrogen-oxidizing bacteria (HOB), which are further compared to two microalgae-related concepts. Two locations with markedly different solar conditions are considered (Finland and Morocco), in which Morocco was found to be the most economically competitive for the cultivation of microalgae in open ponds and closed systems (1.4 and 1.9 € kg–1, respectively). Biomass production by combined water electrolysis and HOB cultivation results in higher costs for all three considered concepts. Among these, the lowest production cost of 5.3 € kg–1 is associated with grid-assisted electricity use in Finland, while the highest production cost of &gt;9.1 € kg–1 is determined for concepts using solely photovoltaics and/or photoelectrochemical technology for on-site electricity production and solar-energy conversion to H2 by water electrolysis. All assessed concepts are capital intensive. Furthermore, a sensitivity analysis suggests that the production costs of HOB biomass can be lowered down to 2.1 € kg–1 by optimization of the process parameters among which volumetric productivity, electricity strategy, and electricity costs have the highest cost-saving potentials. The study reveals that continuously available electricity and H2 supply are essential for the development of a viable HOB concept due to the capital intensity of the needed technologies. In addition, volumetric productivity is the key parameter that needs to be optimized to increase the economic competitiveness of HOB production.","container-title":"ACS Omega","DOI":"10.1021/acsomega.0c04926","issue":"51","note":"publisher: American Chemical Society","page":"33242-33252","source":"ACS Publications","title":"Solar-Powered Carbon Fixation for Food and Feed Production Using Microorganisms—A Comparative Techno-Economic Analysis","volume":"5","author":[{"family":"Nappa","given":"Marja"},{"family":"Lienemann","given":"Michael"},{"family":"Tossi","given":"Camilla"},{"family":"Blomberg","given":"Peter"},{"family":"Jäntti","given":"Jussi"},{"family":"Tittonen","given":"Ilkka Juhani"},{"family":"Penttilä","given":"Merja"}],"issued":{"date-parts":[["2020",12,29]]}}},{"id":11540,"uris":["http://zotero.org/users/6423791/items/L9NYDA2K"],"itemData":{"id":11540,"type":"article-journal","abstract":"Population growth and changes in dietary patterns place an ever-growing pressure on the environment. Feeding the world within sustainable boundaries therefore requires revolutionizing the way we harness natural resources. Microbial biomass can be cultivated to yield protein-rich feed and food supplements, collectively termed single-cell protein (SCP). Yet, we still lack a quantitative comparison between traditional agriculture and photovoltaic-driven SCP systems in terms of land use and energetic efficiency. Here, we analyze the energetic efficiency of harnessing solar energy to produce SCP from air and water. Our model includes photovoltaic electricity generation, direct air capture of carbon dioxide, electrosynthesis of an electron donor and/or carbon source for microbial growth (hydrogen, formate, or methanol), microbial cultivation, and the processing of biomass and proteins. We show that, per unit of land, SCP production can reach an over 10-fold higher protein yield and at least twice the caloric yield compared with any staple crop. Altogether, this quantitative analysis offers an assessment of the future potential of photovoltaic-driven microbial foods to supplement conventional agricultural production and support resource-efficient protein supply on a global scale.","container-title":"Proceedings of the National Academy of Sciences","DOI":"10.1073/pnas.2015025118","ISSN":"0027-8424, 1091-6490","issue":"26","journalAbbreviation":"Proc Natl Acad Sci USA","language":"en","page":"e2015025118","source":"DOI.org (Crossref)","title":"Photovoltaic-driven microbial protein production can use land and sunlight more efficiently than conventional crops","volume":"118","author":[{"family":"Leger","given":"Dorian"},{"family":"Matassa","given":"Silvio"},{"family":"Noor","given":"Elad"},{"family":"Shepon","given":"Alon"},{"family":"Milo","given":"Ron"},{"family":"Bar-Even","given":"Arren"}],"issued":{"date-parts":[["2021",6,29]]}}},{"id":2363,"uris":["http://zotero.org/users/6423791/items/RHD6WXUH"],"itemData":{"id":2363,"type":"article-journal","abstract":"Human civilization's food production system is currently unprepared for catastrophes that would reduce global food production by 10% or more, such as nuclear winter, supervolcanic eruptions or asteroid impacts. Alternative foods that do not require much or any sunlight have been proposed as a more cost-effective solution than increasing food stockpiles, given the long duration of many global catastrophic risks (GCRs) that could hamper conventional agriculture for 5 to 10 years. Microbial food from single cell protein (SCP) produced via hydrogen from both gasification and electrolysis is analyzed in this study as alternative food for the most severe food shock scenario: a sun-blocking catastrophe. Capital costs, resource requirements and ramp up rates are quantified to determine its viability. Potential bottlenecks to fast deployment of the technology are reviewed. The ramp up speed of food production for 24/7 construction of the facilities over 6 years is estimated to be lower than other alternatives (3-10% of the global protein requirements could be fulfilled at end of first year), but the nutritional quality of the microbial protein is higher than for most other alternative foods for catastrophes. Results suggest that investment in SCP ramp up should be limited to the production capacity that is needed to fulfill only the minimum recommended protein requirements of humanity during the catastrophe. Further research is needed into more uncertain concerns such as transferability of labor and equipment production. This could help reduce the negative impact of potential food-related GCRs.","container-title":"Sustainable Production and Consumption","DOI":"10.1016/j.spc.2020.08.011","ISSN":"2352-5509","journalAbbreviation":"Sustain. Prod. Consum.","language":"en","page":"234-247","source":"ScienceDirect","title":"Potential of microbial protein from hydrogen for preventing mass starvation in catastrophic scenarios","volume":"25","author":[{"family":"García Martínez","given":"Juan B."},{"family":"Egbejimba","given":"Joseph"},{"family":"Throup","given":"James"},{"family":"Matassa","given":"Silvio"},{"family":"Pearce","given":"Joshua M."},{"family":"Denkenberger","given":"David C."}],"issued":{"date-parts":[["2021",1,1]]}}},{"id":12866,"uris":["http://zotero.org/users/6423791/items/26C4AHVP"],"itemData":{"id":12866,"type":"article-journal","abstract":"The growing population and the consequent protein scarcity have led to innovation in proteinaceous feed production methods. In this regard, the upcycling of nitrogen rich effluents into microbial protein (MP)/single cell protein (SCP) is considered as an innovative solution. This paper aims to employ life cycle assessment to identify the most environmentally friendly strategy to upcycle nitrogen (N) and carbon (C) flows from wastewater treatment plant (WWTP) into MP. Accordingly, several pathways for integrating WWTP and MP production facility were evaluated, in terms of C source (i.e., biogas or biomethane) and the pretreatment method applied to the reject water (RW) (i.e., centrifugation + filtration + pasteurization, electrochemical extraction, bio-electrochemical extraction). The results indicated that electrochemical and bio-electrochemical N recovery not only safely extracted N from RW but also led to promising solution for MP production from WWTP effluents. The pathway including bio-electrochemical N recovery and use of biologically upgraded biogas for MP had 42.17%, 195.95%, and 172.03% better environmental performance regarding human health, ecosystem quality, and resource scarcity, respectively, compared with standalone WWTP without MP production. However, the electrochemical N recovery outperformed other scenarios in the human health damage category with a net impact of 2.72 DALY/FU and in ecosystem quality damage category with a saving of −0.033 Species/FU. The results reported herein indicated that the use of chemical nutrients to enrich the cultivation medium had significant impacts on the overall environmental performance of the suggested biorefinery. Decreasing the consumption of synthetic nutrients and improving N to protein conversion efficiency by 20% can make the established pathway much more competitive with conventional proteinaceous feed sources such as soybean meal.","container-title":"Renewable and Sustainable Energy Reviews","DOI":"10.1016/j.rser.2021.111895","ISSN":"1364-0321","journalAbbreviation":"Renew. Sust. Energ. Rev.","language":"en","page":"111895","source":"ScienceDirect","title":"Bridging to circular bioeconomy through a novel biorefinery platform on a wastewater treatment plant","volume":"154","author":[{"family":"Marami","given":"Hadis"},{"family":"He","given":"Li"},{"family":"Rafiee","given":"Shahin"},{"family":"Khoshnevisan","given":"Benyamin"},{"family":"Tsapekos","given":"Panagiotis"},{"family":"Mobli","given":"Hossein"},{"family":"Elyasi","given":"Seyedeh Nashmin"},{"family":"Liu","given":"Hongbin"},{"family":"Angelidaki","given":"Irini"}],"issued":{"date-parts":[["2022",2,1]]}}},{"id":3358,"uris":["http://zotero.org/users/6423791/items/6VK8VT52"],"itemData":{"id":3358,"type":"article-journal","abstract":"The cost of launching food into space is very high. An alternative is to make food during missions using methods such as artificial light photosynthesis, greenhouse, nonbiological synthesis of food, electric bacteria, and hydrogen oxidizing bacteria (HOB). This study compares prepackaged food, artificial light microalgae, and HOB. The dominant factor for each alternative is its relative mass due to high fuel cost needed to launch a payload into space. Thus, alternatives were evaluated using an equivalent system mass (ESM) technique developed by the National Aeronautics and Space Administration. Three distinct missions with a crew of 5 for a duration of 3 years were analyzed; including the International Space Station (ISS), the Moon, and Mars. The components of ESM considered were apparent mass, heat rejection, power, and pressurized volume. The selected power source for all systems was nuclear power. Electricity to biomass efficiencies were calculated for space to be 18% and 4.0% for HOB and microalgae, respectively. This study indicates that growing HOB is the least expensive alternative. The ESM of the HOB is on average a factor of 2.8 and 5.5 less than prepackaged food and microalgae, respectively. This alternative food study also relates to feeding Earth during a global agricultural catastrophe. Benefits of HOB include recycling wastes including CO2 and producing O2. Practical systems would involve a variety of food sources.","container-title":"Acta Astronautica","DOI":"10.1016/j.actaastro.2020.12.009","ISSN":"00945765","journalAbbreviation":"Acta Astronaut.","language":"en","page":"260-265","source":"DOI.org (Crossref)","title":"Food in space from hydrogen-oxidizing bacteria","volume":"180","author":[{"family":"Alvarado","given":"Kyle A."},{"family":"García Martínez","given":"Juan B."},{"family":"Matassa","given":"Silvio"},{"family":"Egbejimba","given":"Joseph"},{"family":"Denkenberger","given":"David"}],"issued":{"date-parts":[["2021",3]]}}},{"id":9385,"uris":["http://zotero.org/users/6423791/items/56V3QUZ2"],"itemData":{"id":9385,"type":"article-journal","abstract":"The production of edible microbial biomass in bioreactors is an attractive alternative to agriculture, which is a major consumer of fresh water, an emitter of greenhouse gases, and a cause of eutrophication. This study examines microbial food production by gas fermentation of two endotoxin-free Gram-positive H2-oxidizing autotrophic bacterial strains, Nocardioides nitrophenolicus KGS-27 and Rhodococcus opacus DSM 43205. The supply of the gaseous substrates H2 and O2 by in situ water electrolysis was investigated as an alternative to providing them from an external source. N. nitrophenolicus KGS-27 produced ≤9.9 ± 2.0 mg of biomass L–1 h–1 and was not affected by in situ water electrolysis, which potentially produces growth-inhibiting reactive oxygen species. With R. opacus DSM 43205, in turn, electrolysis slowed growth considerably and resulted in a volumetric productivity of 2.6 ± 0.8 mg of biomass L–1 h–1, which was a quarter of what was obtained with the gases supplied externally. The macromolecular compositions of biomasses produced by the two cultivation modes using the two bacterial strains were rather similar containing approximately 33–37% protein, 28–56% carbohydrates, and 4–5% fatty acids of the cell dry weight. Relatively high protein concentrations and balanced amino acid profiles, comparable to those of casein and soy protein, were achieved with both strains.","container-title":"ACS Food Science &amp; Technology","DOI":"10.1021/acsfoodscitech.0c00129","journalAbbreviation":"ACS Food Sci. Technol.","note":"publisher: American Chemical Society","source":"ACS Publications","title":"Production of Endotoxin-Free Microbial Biomass for Food Applications by Gas Fermentation of Gram-Positive H2-Oxidizing Bacteria","URL":"https://doi.org/10.1021/acsfoodscitech.0c00129","author":[{"family":"Nyyssölä","given":"Antti"},{"family":"Ojala","given":"Leo S."},{"family":"Wuokko","given":"Mikko"},{"family":"Peddinti","given":"Gopal"},{"family":"Tamminen","given":"Anu"},{"family":"Tsitko","given":"Irina"},{"family":"Nordlund","given":"Emilia"},{"family":"Lienemann","given":"Michael"}],"accessed":{"date-parts":[["2021",3,22]]},"issued":{"date-parts":[["2021",3,16]]}}},{"id":9418,"uris":["http://zotero.org/users/6423791/items/74ZJMVUU"],"itemData":{"id":9418,"type":"article-journal","abstract":"The pace at which the human population is growing raises serious concerns related to food security while at the same time conventional agriculture-based food production is becoming a major cause of environmental pollution and greenhouse gas emissions. Numerous solutions have been proposed to boost food production among which edible microbial biomass is considered a promising alternative to conventional sources of food and feed with lower environmental footprint. This work introduces the Neo-Carbon Food concept that is a pilot-scale hybrid biological–inorganic process suitable for the production of microbial biomass. The concept includes integrated hydrogen production by water electrolysis, direct air capture (DAC) of carbon dioxide, and its subsequent assimilation by autotrophic hydrogen-oxidizing bacteria (HOB). The hydrogen production with in situ electrolysis achieved specific energy consumption just below 100 kWh/kgH2 while the specific energy consumption of DAC was around 20 kWh/kgCO2.","container-title":"Journal of Cleaner Production","DOI":"10.1016/j.jclepro.2020.123423","ISSN":"0959-6526","journalAbbreviation":"Journal of Cleaner Production","language":"en","page":"123423","source":"ScienceDirect","title":"Neo-Carbon Food concept: A pilot-scale hybrid biological–inorganic system with direct air capture of carbon dioxide","title-short":"Neo-Carbon Food concept","volume":"278","author":[{"family":"Ruuskanen","given":"Vesa"},{"family":"Givirovskiy","given":"Georgy"},{"family":"Elfving","given":"Jere"},{"family":"Kokkonen","given":"Petteri"},{"family":"Karvinen","given":"Aku"},{"family":"Järvinen","given":"Lauri"},{"family":"Sillman","given":"Jani"},{"family":"Vainikka","given":"Miika"},{"family":"Ahola","given":"Jero"}],"issued":{"date-parts":[["2021",1,1]]}}}],"schema":"https://github.com/citation-style-language/schema/raw/master/csl-citation.json"} </w:instrText>
            </w:r>
            <w:r w:rsidRPr="0047239E">
              <w:rPr>
                <w:sz w:val="18"/>
                <w:szCs w:val="18"/>
              </w:rPr>
              <w:fldChar w:fldCharType="separate"/>
            </w:r>
            <w:r w:rsidR="005413B4" w:rsidRPr="005413B4">
              <w:rPr>
                <w:rFonts w:ascii="Calibri" w:hAnsi="Calibri" w:cs="Calibri"/>
                <w:sz w:val="18"/>
                <w:szCs w:val="24"/>
                <w:vertAlign w:val="superscript"/>
              </w:rPr>
              <w:t>175,183,187,195–197,199,204–206</w:t>
            </w:r>
            <w:r w:rsidRPr="0047239E">
              <w:rPr>
                <w:sz w:val="18"/>
                <w:szCs w:val="18"/>
              </w:rPr>
              <w:fldChar w:fldCharType="end"/>
            </w:r>
          </w:p>
        </w:tc>
      </w:tr>
      <w:tr w:rsidR="00FF3A0C" w:rsidRPr="0047239E" w14:paraId="31F14AFC" w14:textId="77777777" w:rsidTr="0047239E">
        <w:trPr>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2A37DAAE" w14:textId="77777777" w:rsidR="00FF3A0C" w:rsidRPr="0047239E" w:rsidRDefault="00FF3A0C" w:rsidP="006B7E52">
            <w:pPr>
              <w:rPr>
                <w:sz w:val="18"/>
                <w:szCs w:val="18"/>
              </w:rPr>
            </w:pPr>
          </w:p>
        </w:tc>
        <w:tc>
          <w:tcPr>
            <w:tcW w:w="0" w:type="auto"/>
          </w:tcPr>
          <w:p w14:paraId="3BCD17B5" w14:textId="77777777" w:rsidR="00FF3A0C" w:rsidRPr="0047239E" w:rsidRDefault="00FF3A0C" w:rsidP="006B7E52">
            <w:pPr>
              <w:cnfStyle w:val="000000000000" w:firstRow="0" w:lastRow="0" w:firstColumn="0" w:lastColumn="0" w:oddVBand="0" w:evenVBand="0" w:oddHBand="0" w:evenHBand="0" w:firstRowFirstColumn="0" w:firstRowLastColumn="0" w:lastRowFirstColumn="0" w:lastRowLastColumn="0"/>
              <w:rPr>
                <w:b/>
                <w:sz w:val="18"/>
                <w:szCs w:val="18"/>
              </w:rPr>
            </w:pPr>
            <w:r w:rsidRPr="0047239E">
              <w:rPr>
                <w:b/>
                <w:sz w:val="18"/>
                <w:szCs w:val="18"/>
              </w:rPr>
              <w:t>Other</w:t>
            </w:r>
          </w:p>
        </w:tc>
        <w:tc>
          <w:tcPr>
            <w:tcW w:w="0" w:type="auto"/>
          </w:tcPr>
          <w:p w14:paraId="46135412" w14:textId="77777777" w:rsidR="00FF3A0C" w:rsidRPr="0047239E" w:rsidRDefault="00FF3A0C" w:rsidP="003B1307">
            <w:pPr>
              <w:jc w:val="both"/>
              <w:cnfStyle w:val="000000000000" w:firstRow="0" w:lastRow="0" w:firstColumn="0" w:lastColumn="0" w:oddVBand="0" w:evenVBand="0" w:oddHBand="0" w:evenHBand="0" w:firstRowFirstColumn="0" w:firstRowLastColumn="0" w:lastRowFirstColumn="0" w:lastRowLastColumn="0"/>
              <w:rPr>
                <w:i/>
                <w:sz w:val="18"/>
                <w:szCs w:val="18"/>
              </w:rPr>
            </w:pPr>
            <w:r w:rsidRPr="0047239E">
              <w:rPr>
                <w:i/>
                <w:sz w:val="18"/>
                <w:szCs w:val="18"/>
              </w:rPr>
              <w:t>Electrochemical processes, etc.</w:t>
            </w:r>
          </w:p>
        </w:tc>
        <w:tc>
          <w:tcPr>
            <w:tcW w:w="0" w:type="auto"/>
          </w:tcPr>
          <w:p w14:paraId="6E8CFDCB" w14:textId="00922ACD" w:rsidR="00FF3A0C" w:rsidRPr="0047239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47239E">
              <w:rPr>
                <w:sz w:val="18"/>
                <w:szCs w:val="18"/>
              </w:rPr>
              <w:fldChar w:fldCharType="begin"/>
            </w:r>
            <w:r w:rsidR="005413B4">
              <w:rPr>
                <w:sz w:val="18"/>
                <w:szCs w:val="18"/>
              </w:rPr>
              <w:instrText xml:space="preserve"> ADDIN ZOTERO_ITEM CSL_CITATION {"citationID":"FiuJ6GAQ","properties":{"formattedCitation":"\\super 207\\nosupersub{}","plainCitation":"207","noteIndex":0},"citationItems":[{"id":2053,"uris":["http://zotero.org/users/6423791/items/2KAFGQYZ"],"itemData":{"id":2053,"type":"article-journal","abstract":"Microbial protein (MP) can alleviate the increasing pressure of food demand on agriculture and our environment. For its sustainable production, feedstocks such as biomethane or (bio)hydrogen are needed. Here, we coupled biogas produced from agricultural waste directly with electrochemical biogas upgrading to subsequently produce MP from methane, hydrogen or a mixture thereof. Biogas was produced from co-digestion of pumpkin and pig manure at production rates of 0.73 ± 0.24 Lbiogas L−1reactor day−1 (59% CH4) and 0.59 ± 0.29 Lbiogas L−1reactor day−1 (50% CH4). The biogas was directed to the cathode of an electrochemical cell. At current densities of 20 and 40 A m−2, CO2 removal efficiencies of 88 ± 14% and 99 ± 1% were achieved. Enrichments of MP (hydrogen- and methane oxidizing bacterial cultures) were cultivated on either raw biogas or gases obtained from the cathode (CH4, CO2, H2) and anode (CO2, O2) in batch mode with external supplementation of O2 and H2 when required. The best performance was obtained when the cathode off-gas was used in terms of biomass concentration (0.585 g CDW L−1), yield (0.150 g CDW g−1 COD), efficiency of COD conversion to protein (17%) volumetric biomass productivity (0.226 g CDW L−1 day−1) and volumetric protein productivity (0.181 g protein L−1 day−1). The protein content was similar when using anode and cathode off-gases (66.3 ± 7.3% of CDW) with raw biogas resulting in a 6% lower protein content. This proof of concept demonstrated that electrochemical biogas upgrading enables steering MP production.","container-title":"Chemical Engineering Journal","DOI":"10.1016/j.cej.2019.123625","ISSN":"1385-8947","journalAbbreviation":"Chem. Eng. J.","language":"en","page":"123625","source":"ScienceDirect","title":"Microbial protein production from methane via electrochemical biogas upgrading","volume":"391","author":[{"family":"Acosta","given":"Nayaret"},{"family":"Sakarika","given":"Myrsini"},{"family":"Kerckhof","given":"Frederiek-Maarten"},{"family":"Law","given":"Cindy Ka Y."},{"family":"De Vrieze","given":"Jo"},{"family":"Rabaey","given":"Korneel"}],"issued":{"date-parts":[["2020",7,1]]}}}],"schema":"https://github.com/citation-style-language/schema/raw/master/csl-citation.json"} </w:instrText>
            </w:r>
            <w:r w:rsidRPr="0047239E">
              <w:rPr>
                <w:sz w:val="18"/>
                <w:szCs w:val="18"/>
              </w:rPr>
              <w:fldChar w:fldCharType="separate"/>
            </w:r>
            <w:r w:rsidR="005413B4" w:rsidRPr="005413B4">
              <w:rPr>
                <w:rFonts w:ascii="Calibri" w:hAnsi="Calibri" w:cs="Calibri"/>
                <w:sz w:val="18"/>
                <w:szCs w:val="24"/>
                <w:vertAlign w:val="superscript"/>
              </w:rPr>
              <w:t>207</w:t>
            </w:r>
            <w:r w:rsidRPr="0047239E">
              <w:rPr>
                <w:sz w:val="18"/>
                <w:szCs w:val="18"/>
              </w:rPr>
              <w:fldChar w:fldCharType="end"/>
            </w:r>
          </w:p>
        </w:tc>
      </w:tr>
      <w:tr w:rsidR="00FF3A0C" w:rsidRPr="0047239E" w14:paraId="3474FA27" w14:textId="77777777" w:rsidTr="0047239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tcPr>
          <w:p w14:paraId="10D6714D" w14:textId="77777777" w:rsidR="00FF3A0C" w:rsidRPr="0047239E" w:rsidRDefault="00FF3A0C" w:rsidP="006B7E52">
            <w:pPr>
              <w:rPr>
                <w:sz w:val="18"/>
                <w:szCs w:val="18"/>
              </w:rPr>
            </w:pPr>
            <w:r w:rsidRPr="0047239E">
              <w:rPr>
                <w:sz w:val="18"/>
                <w:szCs w:val="18"/>
              </w:rPr>
              <w:t>Hydrogen</w:t>
            </w:r>
          </w:p>
        </w:tc>
        <w:tc>
          <w:tcPr>
            <w:tcW w:w="0" w:type="auto"/>
          </w:tcPr>
          <w:p w14:paraId="0DC562F4" w14:textId="77777777" w:rsidR="00FF3A0C" w:rsidRPr="0047239E" w:rsidRDefault="00FF3A0C" w:rsidP="006B7E52">
            <w:pPr>
              <w:cnfStyle w:val="000000100000" w:firstRow="0" w:lastRow="0" w:firstColumn="0" w:lastColumn="0" w:oddVBand="0" w:evenVBand="0" w:oddHBand="1" w:evenHBand="0" w:firstRowFirstColumn="0" w:firstRowLastColumn="0" w:lastRowFirstColumn="0" w:lastRowLastColumn="0"/>
              <w:rPr>
                <w:b/>
                <w:sz w:val="18"/>
                <w:szCs w:val="18"/>
              </w:rPr>
            </w:pPr>
            <w:r w:rsidRPr="0047239E">
              <w:rPr>
                <w:b/>
                <w:sz w:val="18"/>
                <w:szCs w:val="18"/>
              </w:rPr>
              <w:t>Electrolysis</w:t>
            </w:r>
          </w:p>
        </w:tc>
        <w:tc>
          <w:tcPr>
            <w:tcW w:w="0" w:type="auto"/>
          </w:tcPr>
          <w:p w14:paraId="6871E528" w14:textId="77777777" w:rsidR="00FF3A0C" w:rsidRPr="0047239E"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47239E">
              <w:rPr>
                <w:i/>
                <w:sz w:val="18"/>
                <w:szCs w:val="18"/>
              </w:rPr>
              <w:t>Either external supply or in-situ MP production (electrolysis within bioreactor)</w:t>
            </w:r>
          </w:p>
        </w:tc>
        <w:tc>
          <w:tcPr>
            <w:tcW w:w="0" w:type="auto"/>
          </w:tcPr>
          <w:p w14:paraId="74712A69" w14:textId="1DED6103" w:rsidR="00FF3A0C" w:rsidRPr="0047239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47239E">
              <w:rPr>
                <w:sz w:val="18"/>
                <w:szCs w:val="18"/>
              </w:rPr>
              <w:fldChar w:fldCharType="begin"/>
            </w:r>
            <w:r w:rsidR="005413B4">
              <w:rPr>
                <w:sz w:val="18"/>
                <w:szCs w:val="18"/>
              </w:rPr>
              <w:instrText xml:space="preserve"> ADDIN ZOTERO_ITEM CSL_CITATION {"citationID":"NT9KeBIK","properties":{"formattedCitation":"\\super 175,183,187,191,195\\uc0\\u8211{}197,199,204\\uc0\\u8211{}206,208\\nosupersub{}","plainCitation":"175,183,187,191,195–197,199,204–206,208","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L."}],"issued":{"date-parts":[["2021",2]]}}},{"id":558,"uris":["http://zotero.org/users/6423791/items/YPK9LCXF"],"itemData":{"id":558,"type":"article-journal","abstract":"One of the main challenges for the 21st century is to balance the increasing demand for high-quality proteins while mitigating environmental impacts. In particular, cropland-based production of protein-rich animal feed for livestock rearing results in large-scale agricultural land-expansion, nitrogen pollution, and greenhouse gas emissions. Here we propose and analyze the longterm potential of alternative animal feed supply routes based on industrial production of microbial proteins (MP). Our analysis reveals that by 2050, MP can replace, depending on socioeconomic development and MP production pathways, between 10−19% of conventional crop-based animal feed protein demand. As a result, global cropland area, global nitrogen losses from croplands and agricultural greenhouse gas emissions can be decreased by 6% (0−13%), 8% (−3−8%), and 7% (−6−9%), respectively. Interestingly, the technology to industrially produce MP at competitive costs is directly accessible for implementation and has the potential to cause a major structural change in the agro-food system.","container-title":"Environmental Science &amp; Technology","DOI":"10.1021/acs.est.8b00216","ISSN":"0013-936X, 1520-5851","issue":"13","journalAbbreviation":"Environ. Sci. Technol.","language":"en","page":"7351-7359","source":"DOI.org (Crossref)","title":"Decoupling Livestock from Land Use through Industrial Feed Production Pathways","volume":"52","author":[{"family":"Pikaar","given":"Ilje"},{"family":"Matassa","given":"Silvio"},{"family":"Bodirsky","given":"Benjamin L."},{"family":"Weindl","given":"Isabelle"},{"family":"Humpenöder","given":"Florian"},{"family":"Rabaey","given":"Korneel"},{"family":"Boon","given":"Nico"},{"family":"Bruschi","given":"Michele"},{"family":"Yuan","given":"Zhiguo"},{"family":"Zanten","given":"Hannah","non-dropping-particle":"van"},{"family":"Herrero","given":"Mario"},{"family":"Verstraete","given":"Willy"},{"family":"Popp","given":"Alexander"}],"issued":{"date-parts":[["2018",7,3]]}}},{"id":9416,"uris":["http://zotero.org/users/6423791/items/QMGX9TUZ"],"itemData":{"id":9416,"type":"article-journal","abstract":"Purpose Renewable energy produced from wind turbines and solar photovoltaics (PV) has rapidly increased its share in global energy markets. At the same time, interest in producing hydrocarbons via power-to-X (PtX) approaches using renewables has grown as the technology has matured. However, there exist knowledge gaps related to environmental impacts of some PtX approaches. Power-to-food (PtF) application is one of those approaches. To evaluate the environmental impacts of different PtF approaches, life cycle assessment was performed.\nMethods The theoretical environmental potential of a novel concept of PtX technologies was investigated. Because PtX approaches have usually multiple technological solutions, such as the studied PtF application can have, several technological setups were chosen for the study. PtF application is seen as potentially being able to alleviate concerns about the sustainability of the global food sector, for example, as regards the land and water use impacts of food production. This study investigated four different environmental impact categories for microbial protein (MP) production via different technological setups of PtF from a cradle-to-gate perspective. The investigated impact categories include global warming potential, blue-water use, land use, and eutrophication. The research was carried out using a life cycle impact assessment method.\nResults and discussion The results for PtF processes were compared with the impacts of other MP production technologies and soybean production. The results indicate that significantly lower environmental impact can be achieved with PtF compared with the other protein production processes studied. The best-case PtF technology setups cause considerably lower land occupation, eutrophication, and blue-water consumption impacts compared with soybean production. However, the energy source used and the electricity-to-biomass efficiency of the bioreactor greatly affect the sustainability of the PtF approach. Some energy sources and technological choices result in higher environmental impacts than other MP and soybean production. When designing PtF production facilities, special attention should thus be given to the technology used.\nConclusions With some qualifications, PtF can be considered an option for improving global food security at minimal environmental impact. If the MP via the introduced application substitutes the most harmful practices of production other protein sources, the saved resources could be used to, for example, mitigation purposes or to improve food security elsewhere. However, there still exist challenges, such as food safety–related issues, to be solved before PtF application can be used for commercial use.","container-title":"The International Journal of Life Cycle Assessment","DOI":"10.1007/s11367-020-01771-3","ISSN":"0948-3349, 1614-7502","issue":"11","journalAbbreviation":"Int. J. Life Cycle Assess.","language":"en","page":"2190-2203","source":"DOI.org (Crossref)","title":"A life cycle environmental sustainability analysis of microbial protein production via power-to-food approaches","volume":"25","author":[{"family":"Sillman","given":"J."},{"family":"Uusitalo","given":"V."},{"family":"Ruuskanen","given":"V."},{"family":"Ojala","given":"L."},{"family":"Kahiluoto","given":"H."},{"family":"Soukka","given":"R."},{"family":"Ahola","given":"J."}],"issued":{"date-parts":[["2020",11]]}}},{"id":1878,"uris":["http://zotero.org/users/6423791/items/J32BCSLB"],"itemData":{"id":1878,"type":"article-journal","abstract":"Anaerobic digesters produce biogas, a mixture of predominantly CH4 and CO2, which is typically incinerated to recover electrical and/or thermal energy. In a context of circular economy, the CH4 and CO2 could be used as chemical feedstock in combination with ammonium from the digestate. Their combination into protein-rich bacterial, used as animal feed additive, could contribute to the ever growing global demand for nutritive protein sources and improve the overall nitrogen efficiency of the current agro- feed/food chain. In this concept, renewable CH4 and H2 can serve as carbon-neutral energy sources for the production of protein-rich cellular biomass, while assimilating and upgrading recovered ammonia from the digestate. This study evaluated the potential of producing sustainable high-quality protein additives in a decentralized way through coupling anaerobic digestion and microbial protein production using methanotrophic and hydrogenotrophic bacteria in an on-farm bioreactor. We show that a practical case digester handling liquid piggery manure, of which the energy content is supplemented for 30% with co-substrates, provides sufficient biogas to allow the subsequent microbial protein as feed production for about 37% of the number of pigs from which the manure was derived. Overall, producing microbial protein on the farm from available methane and ammonia liberated by anaerobic digesters treating manure appears economically and technically feasible within the current range of market prices existing for high-quality protein. The case of producing biomethane for grid injection and upgrading the CO2 with electrolytic hydrogen to microbial protein by means of hydrogen-oxidizing bacteria was also examined but found less attractive at the current production prices of renewable hydrogen. Our calculations show that this route is only of commercial interest if the protein value equals the value of high-value protein additives like fishmeal and if the avoided costs for nutrient removal from the digestate are taken into consideration.","container-title":"Microbial Biotechnology","DOI":"10.1111/1751-7915.13600","ISSN":"1751-7915","issue":"3","journalAbbreviation":"Microb. Biotechnol.","language":"en","license":"© 2020 The Authors. Microbial Biotechnology  published by John Wiley &amp; Sons Ltd and Society for Applied Microbiology.","note":"_eprint: https://onlinelibrary.wiley.com/doi/pdf/10.1111/1751-7915.13600","page":"897-910","source":"Wiley Online Library","title":"Assessing the potential for up-cycling recovered resources from anaerobic digestion through microbial protein production","volume":"14","author":[{"family":"Verbeeck","given":"Kristof"},{"family":"Vrieze","given":"Jo De"},{"family":"Pikaar","given":"Ilje"},{"family":"Verstraete","given":"Willy"},{"family":"Rabaey","given":"Korneel"}],"issued":{"date-parts":[["2020"]]}}},{"id":12839,"uris":["http://zotero.org/users/6423791/items/Z8P5BF6M"],"itemData":{"id":12839,"type":"article-journal","abstract":"This study evaluates the techno-economic feasibility of five solar-powered concepts for the production of autotrophic microorganisms for food and feed production; the main focus is on three concepts based on hydrogen-oxidizing bacteria (HOB), which are further compared to two microalgae-related concepts. Two locations with markedly different solar conditions are considered (Finland and Morocco), in which Morocco was found to be the most economically competitive for the cultivation of microalgae in open ponds and closed systems (1.4 and 1.9 € kg–1, respectively). Biomass production by combined water electrolysis and HOB cultivation results in higher costs for all three considered concepts. Among these, the lowest production cost of 5.3 € kg–1 is associated with grid-assisted electricity use in Finland, while the highest production cost of &gt;9.1 € kg–1 is determined for concepts using solely photovoltaics and/or photoelectrochemical technology for on-site electricity production and solar-energy conversion to H2 by water electrolysis. All assessed concepts are capital intensive. Furthermore, a sensitivity analysis suggests that the production costs of HOB biomass can be lowered down to 2.1 € kg–1 by optimization of the process parameters among which volumetric productivity, electricity strategy, and electricity costs have the highest cost-saving potentials. The study reveals that continuously available electricity and H2 supply are essential for the development of a viable HOB concept due to the capital intensity of the needed technologies. In addition, volumetric productivity is the key parameter that needs to be optimized to increase the economic competitiveness of HOB production.","container-title":"ACS Omega","DOI":"10.1021/acsomega.0c04926","issue":"51","note":"publisher: American Chemical Society","page":"33242-33252","source":"ACS Publications","title":"Solar-Powered Carbon Fixation for Food and Feed Production Using Microorganisms—A Comparative Techno-Economic Analysis","volume":"5","author":[{"family":"Nappa","given":"Marja"},{"family":"Lienemann","given":"Michael"},{"family":"Tossi","given":"Camilla"},{"family":"Blomberg","given":"Peter"},{"family":"Jäntti","given":"Jussi"},{"family":"Tittonen","given":"Ilkka Juhani"},{"family":"Penttilä","given":"Merja"}],"issued":{"date-parts":[["2020",12,29]]}}},{"id":11540,"uris":["http://zotero.org/users/6423791/items/L9NYDA2K"],"itemData":{"id":11540,"type":"article-journal","abstract":"Population growth and changes in dietary patterns place an ever-growing pressure on the environment. Feeding the world within sustainable boundaries therefore requires revolutionizing the way we harness natural resources. Microbial biomass can be cultivated to yield protein-rich feed and food supplements, collectively termed single-cell protein (SCP). Yet, we still lack a quantitative comparison between traditional agriculture and photovoltaic-driven SCP systems in terms of land use and energetic efficiency. Here, we analyze the energetic efficiency of harnessing solar energy to produce SCP from air and water. Our model includes photovoltaic electricity generation, direct air capture of carbon dioxide, electrosynthesis of an electron donor and/or carbon source for microbial growth (hydrogen, formate, or methanol), microbial cultivation, and the processing of biomass and proteins. We show that, per unit of land, SCP production can reach an over 10-fold higher protein yield and at least twice the caloric yield compared with any staple crop. Altogether, this quantitative analysis offers an assessment of the future potential of photovoltaic-driven microbial foods to supplement conventional agricultural production and support resource-efficient protein supply on a global scale.","container-title":"Proceedings of the National Academy of Sciences","DOI":"10.1073/pnas.2015025118","ISSN":"0027-8424, 1091-6490","issue":"26","journalAbbreviation":"Proc Natl Acad Sci USA","language":"en","page":"e2015025118","source":"DOI.org (Crossref)","title":"Photovoltaic-driven microbial protein production can use land and sunlight more efficiently than conventional crops","volume":"118","author":[{"family":"Leger","given":"Dorian"},{"family":"Matassa","given":"Silvio"},{"family":"Noor","given":"Elad"},{"family":"Shepon","given":"Alon"},{"family":"Milo","given":"Ron"},{"family":"Bar-Even","given":"Arren"}],"issued":{"date-parts":[["2021",6,29]]}}},{"id":2363,"uris":["http://zotero.org/users/6423791/items/RHD6WXUH"],"itemData":{"id":2363,"type":"article-journal","abstract":"Human civilization's food production system is currently unprepared for catastrophes that would reduce global food production by 10% or more, such as nuclear winter, supervolcanic eruptions or asteroid impacts. Alternative foods that do not require much or any sunlight have been proposed as a more cost-effective solution than increasing food stockpiles, given the long duration of many global catastrophic risks (GCRs) that could hamper conventional agriculture for 5 to 10 years. Microbial food from single cell protein (SCP) produced via hydrogen from both gasification and electrolysis is analyzed in this study as alternative food for the most severe food shock scenario: a sun-blocking catastrophe. Capital costs, resource requirements and ramp up rates are quantified to determine its viability. Potential bottlenecks to fast deployment of the technology are reviewed. The ramp up speed of food production for 24/7 construction of the facilities over 6 years is estimated to be lower than other alternatives (3-10% of the global protein requirements could be fulfilled at end of first year), but the nutritional quality of the microbial protein is higher than for most other alternative foods for catastrophes. Results suggest that investment in SCP ramp up should be limited to the production capacity that is needed to fulfill only the minimum recommended protein requirements of humanity during the catastrophe. Further research is needed into more uncertain concerns such as transferability of labor and equipment production. This could help reduce the negative impact of potential food-related GCRs.","container-title":"Sustainable Production and Consumption","DOI":"10.1016/j.spc.2020.08.011","ISSN":"2352-5509","journalAbbreviation":"Sustain. Prod. Consum.","language":"en","page":"234-247","source":"ScienceDirect","title":"Potential of microbial protein from hydrogen for preventing mass starvation in catastrophic scenarios","volume":"25","author":[{"family":"García Martínez","given":"Juan B."},{"family":"Egbejimba","given":"Joseph"},{"family":"Throup","given":"James"},{"family":"Matassa","given":"Silvio"},{"family":"Pearce","given":"Joshua M."},{"family":"Denkenberger","given":"David C."}],"issued":{"date-parts":[["2021",1,1]]}}},{"id":12866,"uris":["http://zotero.org/users/6423791/items/26C4AHVP"],"itemData":{"id":12866,"type":"article-journal","abstract":"The growing population and the consequent protein scarcity have led to innovation in proteinaceous feed production methods. In this regard, the upcycling of nitrogen rich effluents into microbial protein (MP)/single cell protein (SCP) is considered as an innovative solution. This paper aims to employ life cycle assessment to identify the most environmentally friendly strategy to upcycle nitrogen (N) and carbon (C) flows from wastewater treatment plant (WWTP) into MP. Accordingly, several pathways for integrating WWTP and MP production facility were evaluated, in terms of C source (i.e., biogas or biomethane) and the pretreatment method applied to the reject water (RW) (i.e., centrifugation + filtration + pasteurization, electrochemical extraction, bio-electrochemical extraction). The results indicated that electrochemical and bio-electrochemical N recovery not only safely extracted N from RW but also led to promising solution for MP production from WWTP effluents. The pathway including bio-electrochemical N recovery and use of biologically upgraded biogas for MP had 42.17%, 195.95%, and 172.03% better environmental performance regarding human health, ecosystem quality, and resource scarcity, respectively, compared with standalone WWTP without MP production. However, the electrochemical N recovery outperformed other scenarios in the human health damage category with a net impact of 2.72 DALY/FU and in ecosystem quality damage category with a saving of −0.033 Species/FU. The results reported herein indicated that the use of chemical nutrients to enrich the cultivation medium had significant impacts on the overall environmental performance of the suggested biorefinery. Decreasing the consumption of synthetic nutrients and improving N to protein conversion efficiency by 20% can make the established pathway much more competitive with conventional proteinaceous feed sources such as soybean meal.","container-title":"Renewable and Sustainable Energy Reviews","DOI":"10.1016/j.rser.2021.111895","ISSN":"1364-0321","journalAbbreviation":"Renew. Sust. Energ. Rev.","language":"en","page":"111895","source":"ScienceDirect","title":"Bridging to circular bioeconomy through a novel biorefinery platform on a wastewater treatment plant","volume":"154","author":[{"family":"Marami","given":"Hadis"},{"family":"He","given":"Li"},{"family":"Rafiee","given":"Shahin"},{"family":"Khoshnevisan","given":"Benyamin"},{"family":"Tsapekos","given":"Panagiotis"},{"family":"Mobli","given":"Hossein"},{"family":"Elyasi","given":"Seyedeh Nashmin"},{"family":"Liu","given":"Hongbin"},{"family":"Angelidaki","given":"Irini"}],"issued":{"date-parts":[["2022",2,1]]}}},{"id":3358,"uris":["http://zotero.org/users/6423791/items/6VK8VT52"],"itemData":{"id":3358,"type":"article-journal","abstract":"The cost of launching food into space is very high. An alternative is to make food during missions using methods such as artificial light photosynthesis, greenhouse, nonbiological synthesis of food, electric bacteria, and hydrogen oxidizing bacteria (HOB). This study compares prepackaged food, artificial light microalgae, and HOB. The dominant factor for each alternative is its relative mass due to high fuel cost needed to launch a payload into space. Thus, alternatives were evaluated using an equivalent system mass (ESM) technique developed by the National Aeronautics and Space Administration. Three distinct missions with a crew of 5 for a duration of 3 years were analyzed; including the International Space Station (ISS), the Moon, and Mars. The components of ESM considered were apparent mass, heat rejection, power, and pressurized volume. The selected power source for all systems was nuclear power. Electricity to biomass efficiencies were calculated for space to be 18% and 4.0% for HOB and microalgae, respectively. This study indicates that growing HOB is the least expensive alternative. The ESM of the HOB is on average a factor of 2.8 and 5.5 less than prepackaged food and microalgae, respectively. This alternative food study also relates to feeding Earth during a global agricultural catastrophe. Benefits of HOB include recycling wastes including CO2 and producing O2. Practical systems would involve a variety of food sources.","container-title":"Acta Astronautica","DOI":"10.1016/j.actaastro.2020.12.009","ISSN":"00945765","journalAbbreviation":"Acta Astronaut.","language":"en","page":"260-265","source":"DOI.org (Crossref)","title":"Food in space from hydrogen-oxidizing bacteria","volume":"180","author":[{"family":"Alvarado","given":"Kyle A."},{"family":"García Martínez","given":"Juan B."},{"family":"Matassa","given":"Silvio"},{"family":"Egbejimba","given":"Joseph"},{"family":"Denkenberger","given":"David"}],"issued":{"date-parts":[["2021",3]]}}},{"id":9385,"uris":["http://zotero.org/users/6423791/items/56V3QUZ2"],"itemData":{"id":9385,"type":"article-journal","abstract":"The production of edible microbial biomass in bioreactors is an attractive alternative to agriculture, which is a major consumer of fresh water, an emitter of greenhouse gases, and a cause of eutrophication. This study examines microbial food production by gas fermentation of two endotoxin-free Gram-positive H2-oxidizing autotrophic bacterial strains, Nocardioides nitrophenolicus KGS-27 and Rhodococcus opacus DSM 43205. The supply of the gaseous substrates H2 and O2 by in situ water electrolysis was investigated as an alternative to providing them from an external source. N. nitrophenolicus KGS-27 produced ≤9.9 ± 2.0 mg of biomass L–1 h–1 and was not affected by in situ water electrolysis, which potentially produces growth-inhibiting reactive oxygen species. With R. opacus DSM 43205, in turn, electrolysis slowed growth considerably and resulted in a volumetric productivity of 2.6 ± 0.8 mg of biomass L–1 h–1, which was a quarter of what was obtained with the gases supplied externally. The macromolecular compositions of biomasses produced by the two cultivation modes using the two bacterial strains were rather similar containing approximately 33–37% protein, 28–56% carbohydrates, and 4–5% fatty acids of the cell dry weight. Relatively high protein concentrations and balanced amino acid profiles, comparable to those of casein and soy protein, were achieved with both strains.","container-title":"ACS Food Science &amp; Technology","DOI":"10.1021/acsfoodscitech.0c00129","journalAbbreviation":"ACS Food Sci. Technol.","note":"publisher: American Chemical Society","source":"ACS Publications","title":"Production of Endotoxin-Free Microbial Biomass for Food Applications by Gas Fermentation of Gram-Positive H2-Oxidizing Bacteria","URL":"https://doi.org/10.1021/acsfoodscitech.0c00129","author":[{"family":"Nyyssölä","given":"Antti"},{"family":"Ojala","given":"Leo S."},{"family":"Wuokko","given":"Mikko"},{"family":"Peddinti","given":"Gopal"},{"family":"Tamminen","given":"Anu"},{"family":"Tsitko","given":"Irina"},{"family":"Nordlund","given":"Emilia"},{"family":"Lienemann","given":"Michael"}],"accessed":{"date-parts":[["2021",3,22]]},"issued":{"date-parts":[["2021",3,16]]}}},{"id":9418,"uris":["http://zotero.org/users/6423791/items/74ZJMVUU"],"itemData":{"id":9418,"type":"article-journal","abstract":"The pace at which the human population is growing raises serious concerns related to food security while at the same time conventional agriculture-based food production is becoming a major cause of environmental pollution and greenhouse gas emissions. Numerous solutions have been proposed to boost food production among which edible microbial biomass is considered a promising alternative to conventional sources of food and feed with lower environmental footprint. This work introduces the Neo-Carbon Food concept that is a pilot-scale hybrid biological–inorganic process suitable for the production of microbial biomass. The concept includes integrated hydrogen production by water electrolysis, direct air capture (DAC) of carbon dioxide, and its subsequent assimilation by autotrophic hydrogen-oxidizing bacteria (HOB). The hydrogen production with in situ electrolysis achieved specific energy consumption just below 100 kWh/kgH2 while the specific energy consumption of DAC was around 20 kWh/kgCO2.","container-title":"Journal of Cleaner Production","DOI":"10.1016/j.jclepro.2020.123423","ISSN":"0959-6526","journalAbbreviation":"Journal of Cleaner Production","language":"en","page":"123423","source":"ScienceDirect","title":"Neo-Carbon Food concept: A pilot-scale hybrid biological–inorganic system with direct air capture of carbon dioxide","title-short":"Neo-Carbon Food concept","volume":"278","author":[{"family":"Ruuskanen","given":"Vesa"},{"family":"Givirovskiy","given":"Georgy"},{"family":"Elfving","given":"Jere"},{"family":"Kokkonen","given":"Petteri"},{"family":"Karvinen","given":"Aku"},{"family":"Järvinen","given":"Lauri"},{"family":"Sillman","given":"Jani"},{"family":"Vainikka","given":"Miika"},{"family":"Ahola","given":"Jero"}],"issued":{"date-parts":[["2021",1,1]]}}},{"id":12861,"uris":["http://zotero.org/users/6423791/items/MMRL8T2B"],"itemData":{"id":12861,"type":"report","abstract":"The research team developed bioprocesses using knallgas microorganisms grown on CO2 and H2 gaseous bases to convert CO2 into oil and other hydrocarbon products. Laboratory development was used to guide the scale up of bioprocesses to 20 L reactor scale and culminated in the design of a 50 L scale mobile pilot facility that could be used for testing at various potential CO2 feedstock locations. This report describes the processes, methods, and equipment used to achieve robust growth of a model knallgas microorganism; oil and other biochemical products generated by the organism, and establishes a proof of concept for knallgas bioprocess technology.","genre":"Final Project Report","language":"en","number":"CEC-500-2017-005","page":"133","publisher":"California Energy Commission","source":"Zotero","title":"CO2 Conversion by Knallgas Microorganism - Evaluation of products and processes","URL":"https://pdfslide.net/documents/co2-conversion-by-knallgas-microorganism-pilot-plant-description-66.html","author":[{"family":"Reed","given":"John"},{"family":"Geller","given":"Jil"},{"family":"McDaniel","given":"Robert"}],"issued":{"date-parts":[["2017",1]]}}}],"schema":"https://github.com/citation-style-language/schema/raw/master/csl-citation.json"} </w:instrText>
            </w:r>
            <w:r w:rsidRPr="0047239E">
              <w:rPr>
                <w:sz w:val="18"/>
                <w:szCs w:val="18"/>
              </w:rPr>
              <w:fldChar w:fldCharType="separate"/>
            </w:r>
            <w:r w:rsidR="005413B4" w:rsidRPr="005413B4">
              <w:rPr>
                <w:rFonts w:ascii="Calibri" w:hAnsi="Calibri" w:cs="Calibri"/>
                <w:sz w:val="18"/>
                <w:szCs w:val="24"/>
                <w:vertAlign w:val="superscript"/>
              </w:rPr>
              <w:t>175,183,187,191,195–197,199,204–206,208</w:t>
            </w:r>
            <w:r w:rsidRPr="0047239E">
              <w:rPr>
                <w:sz w:val="18"/>
                <w:szCs w:val="18"/>
              </w:rPr>
              <w:fldChar w:fldCharType="end"/>
            </w:r>
          </w:p>
        </w:tc>
      </w:tr>
      <w:tr w:rsidR="00FF3A0C" w:rsidRPr="0047239E" w14:paraId="0234FE03" w14:textId="77777777" w:rsidTr="0047239E">
        <w:trPr>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06AD7553" w14:textId="77777777" w:rsidR="00FF3A0C" w:rsidRPr="0047239E" w:rsidRDefault="00FF3A0C" w:rsidP="006B7E52">
            <w:pPr>
              <w:rPr>
                <w:sz w:val="18"/>
                <w:szCs w:val="18"/>
              </w:rPr>
            </w:pPr>
          </w:p>
        </w:tc>
        <w:tc>
          <w:tcPr>
            <w:tcW w:w="0" w:type="auto"/>
          </w:tcPr>
          <w:p w14:paraId="477AABBF" w14:textId="77777777" w:rsidR="00FF3A0C" w:rsidRPr="0047239E" w:rsidRDefault="00FF3A0C" w:rsidP="006B7E52">
            <w:pPr>
              <w:cnfStyle w:val="000000000000" w:firstRow="0" w:lastRow="0" w:firstColumn="0" w:lastColumn="0" w:oddVBand="0" w:evenVBand="0" w:oddHBand="0" w:evenHBand="0" w:firstRowFirstColumn="0" w:firstRowLastColumn="0" w:lastRowFirstColumn="0" w:lastRowLastColumn="0"/>
              <w:rPr>
                <w:b/>
                <w:sz w:val="18"/>
                <w:szCs w:val="18"/>
              </w:rPr>
            </w:pPr>
            <w:r w:rsidRPr="0047239E">
              <w:rPr>
                <w:b/>
                <w:sz w:val="18"/>
                <w:szCs w:val="18"/>
              </w:rPr>
              <w:t>Raw syngas</w:t>
            </w:r>
          </w:p>
        </w:tc>
        <w:tc>
          <w:tcPr>
            <w:tcW w:w="0" w:type="auto"/>
          </w:tcPr>
          <w:p w14:paraId="481B99E0" w14:textId="77777777" w:rsidR="00FF3A0C" w:rsidRPr="0047239E" w:rsidRDefault="00FF3A0C" w:rsidP="003B1307">
            <w:pPr>
              <w:jc w:val="both"/>
              <w:cnfStyle w:val="000000000000" w:firstRow="0" w:lastRow="0" w:firstColumn="0" w:lastColumn="0" w:oddVBand="0" w:evenVBand="0" w:oddHBand="0" w:evenHBand="0" w:firstRowFirstColumn="0" w:firstRowLastColumn="0" w:lastRowFirstColumn="0" w:lastRowLastColumn="0"/>
              <w:rPr>
                <w:i/>
                <w:sz w:val="18"/>
                <w:szCs w:val="18"/>
              </w:rPr>
            </w:pPr>
            <w:r w:rsidRPr="0047239E">
              <w:rPr>
                <w:i/>
                <w:sz w:val="18"/>
                <w:szCs w:val="18"/>
              </w:rPr>
              <w:t>After cooling, using CO-tolerant HOB</w:t>
            </w:r>
          </w:p>
        </w:tc>
        <w:tc>
          <w:tcPr>
            <w:tcW w:w="0" w:type="auto"/>
          </w:tcPr>
          <w:p w14:paraId="65EAF7E5" w14:textId="018F230B" w:rsidR="00FF3A0C" w:rsidRPr="004D0FC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4D0FCE">
              <w:rPr>
                <w:sz w:val="18"/>
                <w:szCs w:val="18"/>
              </w:rPr>
              <w:fldChar w:fldCharType="begin"/>
            </w:r>
            <w:r w:rsidR="005413B4">
              <w:rPr>
                <w:sz w:val="18"/>
                <w:szCs w:val="18"/>
              </w:rPr>
              <w:instrText xml:space="preserve"> ADDIN ZOTERO_ITEM CSL_CITATION {"citationID":"a1dgl3opktu","properties":{"formattedCitation":"\\super 187,194,197,208,209\\nosupersub{}","plainCitation":"187,194,197,208,209","noteIndex":0},"citationItems":[{"id":2354,"uris":["http://zotero.org/users/6423791/items/E7ZZWGWS"],"itemData":{"id":2354,"type":"article-journal","container-title":"Green Chem.","DOI":"10.1039/D0GC01382J","issue":"15","journalAbbreviation":"Green Chem.","language":"en","note":"publisher: Royal Society of Chemistry","page":"4912-4929","source":"pubs-rsc-org.gorgone.univ-toulouse.fr","title":"Upcycling of biowaste carbon and nutrients in line with consumer confidence: the “full gas” route to single cell protein","title-short":"Upcycling of biowaste carbon and nutrients in line with consumer confidence","volume":"22","author":[{"family":"Matassa","given":"Silvio"},{"family":"Papirio","given":"Stefano"},{"family":"Pikaar","given":"Ilje"},{"family":"Hülsen","given":"Tim"},{"family":"Leijenhorst","given":"Evert"},{"family":"Esposito","given":"Giovanni"},{"family":"Pirozzi","given":"Francesco"},{"family":"Verstraete","given":"Willy"}],"issued":{"date-parts":[["2020"]]}}},{"id":558,"uris":["http://zotero.org/users/6423791/items/YPK9LCXF"],"itemData":{"id":558,"type":"article-journal","abstract":"One of the main challenges for the 21st century is to balance the increasing demand for high-quality proteins while mitigating environmental impacts. In particular, cropland-based production of protein-rich animal feed for livestock rearing results in large-scale agricultural land-expansion, nitrogen pollution, and greenhouse gas emissions. Here we propose and analyze the longterm potential of alternative animal feed supply routes based on industrial production of microbial proteins (MP). Our analysis reveals that by 2050, MP can replace, depending on socioeconomic development and MP production pathways, between 10−19% of conventional crop-based animal feed protein demand. As a result, global cropland area, global nitrogen losses from croplands and agricultural greenhouse gas emissions can be decreased by 6% (0−13%), 8% (−3−8%), and 7% (−6−9%), respectively. Interestingly, the technology to industrially produce MP at competitive costs is directly accessible for implementation and has the potential to cause a major structural change in the agro-food system.","container-title":"Environmental Science &amp; Technology","DOI":"10.1021/acs.est.8b00216","ISSN":"0013-936X, 1520-5851","issue":"13","journalAbbreviation":"Environ. Sci. Technol.","language":"en","page":"7351-7359","source":"DOI.org (Crossref)","title":"Decoupling Livestock from Land Use through Industrial Feed Production Pathways","volume":"52","author":[{"family":"Pikaar","given":"Ilje"},{"family":"Matassa","given":"Silvio"},{"family":"Bodirsky","given":"Benjamin L."},{"family":"Weindl","given":"Isabelle"},{"family":"Humpenöder","given":"Florian"},{"family":"Rabaey","given":"Korneel"},{"family":"Boon","given":"Nico"},{"family":"Bruschi","given":"Michele"},{"family":"Yuan","given":"Zhiguo"},{"family":"Zanten","given":"Hannah","non-dropping-particle":"van"},{"family":"Herrero","given":"Mario"},{"family":"Verstraete","given":"Willy"},{"family":"Popp","given":"Alexander"}],"issued":{"date-parts":[["2018",7,3]]}}},{"id":2363,"uris":["http://zotero.org/users/6423791/items/RHD6WXUH"],"itemData":{"id":2363,"type":"article-journal","abstract":"Human civilization's food production system is currently unprepared for catastrophes that would reduce global food production by 10% or more, such as nuclear winter, supervolcanic eruptions or asteroid impacts. Alternative foods that do not require much or any sunlight have been proposed as a more cost-effective solution than increasing food stockpiles, given the long duration of many global catastrophic risks (GCRs) that could hamper conventional agriculture for 5 to 10 years. Microbial food from single cell protein (SCP) produced via hydrogen from both gasification and electrolysis is analyzed in this study as alternative food for the most severe food shock scenario: a sun-blocking catastrophe. Capital costs, resource requirements and ramp up rates are quantified to determine its viability. Potential bottlenecks to fast deployment of the technology are reviewed. The ramp up speed of food production for 24/7 construction of the facilities over 6 years is estimated to be lower than other alternatives (3-10% of the global protein requirements could be fulfilled at end of first year), but the nutritional quality of the microbial protein is higher than for most other alternative foods for catastrophes. Results suggest that investment in SCP ramp up should be limited to the production capacity that is needed to fulfill only the minimum recommended protein requirements of humanity during the catastrophe. Further research is needed into more uncertain concerns such as transferability of labor and equipment production. This could help reduce the negative impact of potential food-related GCRs.","container-title":"Sustainable Production and Consumption","DOI":"10.1016/j.spc.2020.08.011","ISSN":"2352-5509","journalAbbreviation":"Sustain. Prod. Consum.","language":"en","page":"234-247","source":"ScienceDirect","title":"Potential of microbial protein from hydrogen for preventing mass starvation in catastrophic scenarios","volume":"25","author":[{"family":"García Martínez","given":"Juan B."},{"family":"Egbejimba","given":"Joseph"},{"family":"Throup","given":"James"},{"family":"Matassa","given":"Silvio"},{"family":"Pearce","given":"Joshua M."},{"family":"Denkenberger","given":"David C."}],"issued":{"date-parts":[["2021",1,1]]}}},{"id":12861,"uris":["http://zotero.org/users/6423791/items/MMRL8T2B"],"itemData":{"id":12861,"type":"report","abstract":"The research team developed bioprocesses using knallgas microorganisms grown on CO2 and H2 gaseous bases to convert CO2 into oil and other hydrocarbon products. Laboratory development was used to guide the scale up of bioprocesses to 20 L reactor scale and culminated in the design of a 50 L scale mobile pilot facility that could be used for testing at various potential CO2 feedstock locations. This report describes the processes, methods, and equipment used to achieve robust growth of a model knallgas microorganism; oil and other biochemical products generated by the organism, and establishes a proof of concept for knallgas bioprocess technology.","genre":"Final Project Report","language":"en","number":"CEC-500-2017-005","page":"133","publisher":"California Energy Commission","source":"Zotero","title":"CO2 Conversion by Knallgas Microorganism - Evaluation of products and processes","URL":"https://pdfslide.net/documents/co2-conversion-by-knallgas-microorganism-pilot-plant-description-66.html","author":[{"family":"Reed","given":"John"},{"family":"Geller","given":"Jil"},{"family":"McDaniel","given":"Robert"}],"issued":{"date-parts":[["2017",1]]}}},{"id":14297,"uris":["http://zotero.org/users/6423791/items/3KQ3F8IC"],"itemData":{"id":14297,"type":"article-journal","abstract":"Treating excess municipal sewage sludge (MSS) by means of thermochemical processes could enable its conversion into high-value microbial protein (MP) through syngas. Nevertheless, the variable composition and content of inhibitory compounds of the latter hinders the application potential of such a biorefinery scheme. Through a series of short- (48 to 96 h) and long-term (30 days) batch aerobic bioconversion tests, the present study aimed at investigating the potential of a mixed culture of hydrogen-oxidizing bacteria (HOB) to produce MP from a simulated syngas mixture characterized by variable H2 and CO2 concentrations, and different levels of CO and H2S as potential inhibitors of the HOB-driven process. Syngas was converted into MP with a protein content as high as 74%, reaching biomass yields of 0.25 g VSS/g H2-COD, close to the maximum reported HOB yield of 0.28 g VSS/g H2-COD, and volumetric productivities of 13 mg VSS/L/h. The potential of the process to provide between 50 and 100% of the total nitrogen requirement of HOB solely by means of the gaseous ammonia nitrogen recovered through syngas was also preliminarily calculated. The presence of H2S and CO concentrations up to 0.4% and up to 40%, respectively, and a wide range of H2/CO2 ratios (2-10) had no negative influence on the main process performances. The role played by H2S- and CO-tolerant HOB species was fundamental to guarantee a high tolerance to microbial inhibitors, and demonstrated the high potential of mixed cultures for resource recovery and valorisation.","container-title":"Water Research","DOI":"10.1016/j.watres.2023.120698","ISSN":"0043-1354","journalAbbreviation":"Water Research","page":"120698","source":"ScienceDirect","title":"Syngas-driven sewage sludge conversion to microbial protein through H2S- and CO-tolerant hydrogen-oxidizing bacteria","author":[{"family":"Pelagalli","given":"Vincenzo"},{"family":"Matassa","given":"Silvio"},{"family":"Race","given":"Marco"},{"family":"Langone","given":"Michela"},{"family":"Papirio","given":"Stefano"},{"family":"Lens","given":"Piet N. L."},{"family":"Lazzazzara","given":"Marco"},{"family":"Frugis","given":"Alessandro"},{"family":"Petta","given":"Luigi"},{"family":"Esposito","given":"Giovanni"}],"issued":{"date-parts":[["2023",10,9]]}}}],"schema":"https://github.com/citation-style-language/schema/raw/master/csl-citation.json"} </w:instrText>
            </w:r>
            <w:r w:rsidRPr="004D0FCE">
              <w:rPr>
                <w:sz w:val="18"/>
                <w:szCs w:val="18"/>
              </w:rPr>
              <w:fldChar w:fldCharType="separate"/>
            </w:r>
            <w:r w:rsidR="005413B4" w:rsidRPr="005413B4">
              <w:rPr>
                <w:rFonts w:ascii="Calibri" w:hAnsi="Calibri" w:cs="Calibri"/>
                <w:sz w:val="18"/>
                <w:szCs w:val="24"/>
                <w:vertAlign w:val="superscript"/>
              </w:rPr>
              <w:t>187,194,197,208,209</w:t>
            </w:r>
            <w:r w:rsidRPr="004D0FCE">
              <w:rPr>
                <w:sz w:val="18"/>
                <w:szCs w:val="18"/>
              </w:rPr>
              <w:fldChar w:fldCharType="end"/>
            </w:r>
          </w:p>
        </w:tc>
      </w:tr>
      <w:tr w:rsidR="00FF3A0C" w:rsidRPr="0047239E" w14:paraId="60F768E7" w14:textId="77777777" w:rsidTr="0047239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46016932" w14:textId="77777777" w:rsidR="00FF3A0C" w:rsidRPr="0047239E" w:rsidRDefault="00FF3A0C" w:rsidP="006B7E52">
            <w:pPr>
              <w:rPr>
                <w:sz w:val="18"/>
                <w:szCs w:val="18"/>
              </w:rPr>
            </w:pPr>
          </w:p>
        </w:tc>
        <w:tc>
          <w:tcPr>
            <w:tcW w:w="0" w:type="auto"/>
          </w:tcPr>
          <w:p w14:paraId="3F2D6E2C" w14:textId="77777777" w:rsidR="00FF3A0C" w:rsidRPr="0047239E" w:rsidRDefault="00FF3A0C" w:rsidP="006B7E52">
            <w:pPr>
              <w:cnfStyle w:val="000000100000" w:firstRow="0" w:lastRow="0" w:firstColumn="0" w:lastColumn="0" w:oddVBand="0" w:evenVBand="0" w:oddHBand="1" w:evenHBand="0" w:firstRowFirstColumn="0" w:firstRowLastColumn="0" w:lastRowFirstColumn="0" w:lastRowLastColumn="0"/>
              <w:rPr>
                <w:b/>
                <w:sz w:val="18"/>
                <w:szCs w:val="18"/>
              </w:rPr>
            </w:pPr>
            <w:r w:rsidRPr="0047239E">
              <w:rPr>
                <w:b/>
                <w:sz w:val="18"/>
                <w:szCs w:val="18"/>
              </w:rPr>
              <w:t>Processed syngas</w:t>
            </w:r>
          </w:p>
        </w:tc>
        <w:tc>
          <w:tcPr>
            <w:tcW w:w="0" w:type="auto"/>
          </w:tcPr>
          <w:p w14:paraId="4CE851A5" w14:textId="77777777" w:rsidR="00FF3A0C" w:rsidRPr="0047239E"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47239E">
              <w:rPr>
                <w:i/>
                <w:sz w:val="18"/>
                <w:szCs w:val="18"/>
              </w:rPr>
              <w:t>After upgrading, reforming, gas shifting, etc.</w:t>
            </w:r>
          </w:p>
        </w:tc>
        <w:tc>
          <w:tcPr>
            <w:tcW w:w="0" w:type="auto"/>
          </w:tcPr>
          <w:p w14:paraId="0791019C" w14:textId="575E5A13" w:rsidR="00FF3A0C" w:rsidRPr="0047239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47239E">
              <w:rPr>
                <w:sz w:val="18"/>
                <w:szCs w:val="18"/>
              </w:rPr>
              <w:fldChar w:fldCharType="begin"/>
            </w:r>
            <w:r w:rsidR="005413B4">
              <w:rPr>
                <w:sz w:val="18"/>
                <w:szCs w:val="18"/>
              </w:rPr>
              <w:instrText xml:space="preserve"> ADDIN ZOTERO_ITEM CSL_CITATION {"citationID":"18nOrlj0","properties":{"formattedCitation":"\\super 194,197\\nosupersub{}","plainCitation":"194,197","noteIndex":0},"citationItems":[{"id":2354,"uris":["http://zotero.org/users/6423791/items/E7ZZWGWS"],"itemData":{"id":2354,"type":"article-journal","container-title":"Green Chem.","DOI":"10.1039/D0GC01382J","issue":"15","journalAbbreviation":"Green Chem.","language":"en","note":"publisher: Royal Society of Chemistry","page":"4912-4929","source":"pubs-rsc-org.gorgone.univ-toulouse.fr","title":"Upcycling of biowaste carbon and nutrients in line with consumer confidence: the “full gas” route to single cell protein","title-short":"Upcycling of biowaste carbon and nutrients in line with consumer confidence","volume":"22","author":[{"family":"Matassa","given":"Silvio"},{"family":"Papirio","given":"Stefano"},{"family":"Pikaar","given":"Ilje"},{"family":"Hülsen","given":"Tim"},{"family":"Leijenhorst","given":"Evert"},{"family":"Esposito","given":"Giovanni"},{"family":"Pirozzi","given":"Francesco"},{"family":"Verstraete","given":"Willy"}],"issued":{"date-parts":[["2020"]]}}},{"id":2363,"uris":["http://zotero.org/users/6423791/items/RHD6WXUH"],"itemData":{"id":2363,"type":"article-journal","abstract":"Human civilization's food production system is currently unprepared for catastrophes that would reduce global food production by 10% or more, such as nuclear winter, supervolcanic eruptions or asteroid impacts. Alternative foods that do not require much or any sunlight have been proposed as a more cost-effective solution than increasing food stockpiles, given the long duration of many global catastrophic risks (GCRs) that could hamper conventional agriculture for 5 to 10 years. Microbial food from single cell protein (SCP) produced via hydrogen from both gasification and electrolysis is analyzed in this study as alternative food for the most severe food shock scenario: a sun-blocking catastrophe. Capital costs, resource requirements and ramp up rates are quantified to determine its viability. Potential bottlenecks to fast deployment of the technology are reviewed. The ramp up speed of food production for 24/7 construction of the facilities over 6 years is estimated to be lower than other alternatives (3-10% of the global protein requirements could be fulfilled at end of first year), but the nutritional quality of the microbial protein is higher than for most other alternative foods for catastrophes. Results suggest that investment in SCP ramp up should be limited to the production capacity that is needed to fulfill only the minimum recommended protein requirements of humanity during the catastrophe. Further research is needed into more uncertain concerns such as transferability of labor and equipment production. This could help reduce the negative impact of potential food-related GCRs.","container-title":"Sustainable Production and Consumption","DOI":"10.1016/j.spc.2020.08.011","ISSN":"2352-5509","journalAbbreviation":"Sustain. Prod. Consum.","language":"en","page":"234-247","source":"ScienceDirect","title":"Potential of microbial protein from hydrogen for preventing mass starvation in catastrophic scenarios","volume":"25","author":[{"family":"García Martínez","given":"Juan B."},{"family":"Egbejimba","given":"Joseph"},{"family":"Throup","given":"James"},{"family":"Matassa","given":"Silvio"},{"family":"Pearce","given":"Joshua M."},{"family":"Denkenberger","given":"David C."}],"issued":{"date-parts":[["2021",1,1]]}}}],"schema":"https://github.com/citation-style-language/schema/raw/master/csl-citation.json"} </w:instrText>
            </w:r>
            <w:r w:rsidRPr="0047239E">
              <w:rPr>
                <w:sz w:val="18"/>
                <w:szCs w:val="18"/>
              </w:rPr>
              <w:fldChar w:fldCharType="separate"/>
            </w:r>
            <w:r w:rsidR="005413B4" w:rsidRPr="005413B4">
              <w:rPr>
                <w:rFonts w:ascii="Calibri" w:hAnsi="Calibri" w:cs="Calibri"/>
                <w:sz w:val="18"/>
                <w:szCs w:val="24"/>
                <w:vertAlign w:val="superscript"/>
              </w:rPr>
              <w:t>194,197</w:t>
            </w:r>
            <w:r w:rsidRPr="0047239E">
              <w:rPr>
                <w:sz w:val="18"/>
                <w:szCs w:val="18"/>
              </w:rPr>
              <w:fldChar w:fldCharType="end"/>
            </w:r>
          </w:p>
        </w:tc>
      </w:tr>
      <w:tr w:rsidR="00FF3A0C" w:rsidRPr="0047239E" w14:paraId="4B709D38" w14:textId="77777777" w:rsidTr="0047239E">
        <w:trPr>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0E805EB5" w14:textId="77777777" w:rsidR="00FF3A0C" w:rsidRPr="0047239E" w:rsidRDefault="00FF3A0C" w:rsidP="006B7E52">
            <w:pPr>
              <w:rPr>
                <w:sz w:val="18"/>
                <w:szCs w:val="18"/>
              </w:rPr>
            </w:pPr>
          </w:p>
        </w:tc>
        <w:tc>
          <w:tcPr>
            <w:tcW w:w="0" w:type="auto"/>
          </w:tcPr>
          <w:p w14:paraId="6DBDF1BC" w14:textId="77777777" w:rsidR="00FF3A0C" w:rsidRPr="0047239E" w:rsidRDefault="00FF3A0C" w:rsidP="006B7E52">
            <w:pPr>
              <w:cnfStyle w:val="000000000000" w:firstRow="0" w:lastRow="0" w:firstColumn="0" w:lastColumn="0" w:oddVBand="0" w:evenVBand="0" w:oddHBand="0" w:evenHBand="0" w:firstRowFirstColumn="0" w:firstRowLastColumn="0" w:lastRowFirstColumn="0" w:lastRowLastColumn="0"/>
              <w:rPr>
                <w:b/>
                <w:sz w:val="18"/>
                <w:szCs w:val="18"/>
              </w:rPr>
            </w:pPr>
            <w:r w:rsidRPr="0047239E">
              <w:rPr>
                <w:b/>
                <w:sz w:val="18"/>
                <w:szCs w:val="18"/>
              </w:rPr>
              <w:t>Other</w:t>
            </w:r>
          </w:p>
        </w:tc>
        <w:tc>
          <w:tcPr>
            <w:tcW w:w="0" w:type="auto"/>
          </w:tcPr>
          <w:p w14:paraId="2AEFAB0A" w14:textId="77777777" w:rsidR="00FF3A0C" w:rsidRPr="0047239E" w:rsidRDefault="00FF3A0C" w:rsidP="003B1307">
            <w:pPr>
              <w:jc w:val="both"/>
              <w:cnfStyle w:val="000000000000" w:firstRow="0" w:lastRow="0" w:firstColumn="0" w:lastColumn="0" w:oddVBand="0" w:evenVBand="0" w:oddHBand="0" w:evenHBand="0" w:firstRowFirstColumn="0" w:firstRowLastColumn="0" w:lastRowFirstColumn="0" w:lastRowLastColumn="0"/>
              <w:rPr>
                <w:i/>
                <w:sz w:val="18"/>
                <w:szCs w:val="18"/>
              </w:rPr>
            </w:pPr>
            <w:r w:rsidRPr="0047239E">
              <w:rPr>
                <w:i/>
                <w:sz w:val="18"/>
                <w:szCs w:val="18"/>
              </w:rPr>
              <w:t>Electrochemical processes, etc.</w:t>
            </w:r>
          </w:p>
        </w:tc>
        <w:tc>
          <w:tcPr>
            <w:tcW w:w="0" w:type="auto"/>
          </w:tcPr>
          <w:p w14:paraId="47816E48" w14:textId="1106FBF8" w:rsidR="00FF3A0C" w:rsidRPr="0047239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47239E">
              <w:rPr>
                <w:sz w:val="18"/>
                <w:szCs w:val="18"/>
              </w:rPr>
              <w:fldChar w:fldCharType="begin"/>
            </w:r>
            <w:r w:rsidR="005413B4">
              <w:rPr>
                <w:sz w:val="18"/>
                <w:szCs w:val="18"/>
              </w:rPr>
              <w:instrText xml:space="preserve"> ADDIN ZOTERO_ITEM CSL_CITATION {"citationID":"FEj7ESgC","properties":{"formattedCitation":"\\super 207\\nosupersub{}","plainCitation":"207","noteIndex":0},"citationItems":[{"id":2053,"uris":["http://zotero.org/users/6423791/items/2KAFGQYZ"],"itemData":{"id":2053,"type":"article-journal","abstract":"Microbial protein (MP) can alleviate the increasing pressure of food demand on agriculture and our environment. For its sustainable production, feedstocks such as biomethane or (bio)hydrogen are needed. Here, we coupled biogas produced from agricultural waste directly with electrochemical biogas upgrading to subsequently produce MP from methane, hydrogen or a mixture thereof. Biogas was produced from co-digestion of pumpkin and pig manure at production rates of 0.73 ± 0.24 Lbiogas L−1reactor day−1 (59% CH4) and 0.59 ± 0.29 Lbiogas L−1reactor day−1 (50% CH4). The biogas was directed to the cathode of an electrochemical cell. At current densities of 20 and 40 A m−2, CO2 removal efficiencies of 88 ± 14% and 99 ± 1% were achieved. Enrichments of MP (hydrogen- and methane oxidizing bacterial cultures) were cultivated on either raw biogas or gases obtained from the cathode (CH4, CO2, H2) and anode (CO2, O2) in batch mode with external supplementation of O2 and H2 when required. The best performance was obtained when the cathode off-gas was used in terms of biomass concentration (0.585 g CDW L−1), yield (0.150 g CDW g−1 COD), efficiency of COD conversion to protein (17%) volumetric biomass productivity (0.226 g CDW L−1 day−1) and volumetric protein productivity (0.181 g protein L−1 day−1). The protein content was similar when using anode and cathode off-gases (66.3 ± 7.3% of CDW) with raw biogas resulting in a 6% lower protein content. This proof of concept demonstrated that electrochemical biogas upgrading enables steering MP production.","container-title":"Chemical Engineering Journal","DOI":"10.1016/j.cej.2019.123625","ISSN":"1385-8947","journalAbbreviation":"Chem. Eng. J.","language":"en","page":"123625","source":"ScienceDirect","title":"Microbial protein production from methane via electrochemical biogas upgrading","volume":"391","author":[{"family":"Acosta","given":"Nayaret"},{"family":"Sakarika","given":"Myrsini"},{"family":"Kerckhof","given":"Frederiek-Maarten"},{"family":"Law","given":"Cindy Ka Y."},{"family":"De Vrieze","given":"Jo"},{"family":"Rabaey","given":"Korneel"}],"issued":{"date-parts":[["2020",7,1]]}}}],"schema":"https://github.com/citation-style-language/schema/raw/master/csl-citation.json"} </w:instrText>
            </w:r>
            <w:r w:rsidRPr="0047239E">
              <w:rPr>
                <w:sz w:val="18"/>
                <w:szCs w:val="18"/>
              </w:rPr>
              <w:fldChar w:fldCharType="separate"/>
            </w:r>
            <w:r w:rsidR="005413B4" w:rsidRPr="005413B4">
              <w:rPr>
                <w:rFonts w:ascii="Calibri" w:hAnsi="Calibri" w:cs="Calibri"/>
                <w:sz w:val="18"/>
                <w:szCs w:val="24"/>
                <w:vertAlign w:val="superscript"/>
              </w:rPr>
              <w:t>207</w:t>
            </w:r>
            <w:r w:rsidRPr="0047239E">
              <w:rPr>
                <w:sz w:val="18"/>
                <w:szCs w:val="18"/>
              </w:rPr>
              <w:fldChar w:fldCharType="end"/>
            </w:r>
          </w:p>
        </w:tc>
      </w:tr>
      <w:tr w:rsidR="00FF3A0C" w:rsidRPr="0047239E" w14:paraId="7931070D" w14:textId="77777777" w:rsidTr="0047239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val="restart"/>
          </w:tcPr>
          <w:p w14:paraId="3A4C37C0" w14:textId="77777777" w:rsidR="00FF3A0C" w:rsidRPr="0047239E" w:rsidRDefault="00FF3A0C" w:rsidP="006B7E52">
            <w:pPr>
              <w:rPr>
                <w:sz w:val="18"/>
                <w:szCs w:val="18"/>
              </w:rPr>
            </w:pPr>
            <w:r w:rsidRPr="0047239E">
              <w:rPr>
                <w:sz w:val="18"/>
                <w:szCs w:val="18"/>
              </w:rPr>
              <w:t>Carbon dioxide</w:t>
            </w:r>
          </w:p>
        </w:tc>
        <w:tc>
          <w:tcPr>
            <w:tcW w:w="0" w:type="auto"/>
          </w:tcPr>
          <w:p w14:paraId="19038264" w14:textId="77777777" w:rsidR="00FF3A0C" w:rsidRPr="0047239E" w:rsidRDefault="00FF3A0C" w:rsidP="006B7E52">
            <w:pPr>
              <w:cnfStyle w:val="000000100000" w:firstRow="0" w:lastRow="0" w:firstColumn="0" w:lastColumn="0" w:oddVBand="0" w:evenVBand="0" w:oddHBand="1" w:evenHBand="0" w:firstRowFirstColumn="0" w:firstRowLastColumn="0" w:lastRowFirstColumn="0" w:lastRowLastColumn="0"/>
              <w:rPr>
                <w:b/>
                <w:sz w:val="18"/>
                <w:szCs w:val="18"/>
              </w:rPr>
            </w:pPr>
            <w:r w:rsidRPr="0047239E">
              <w:rPr>
                <w:b/>
                <w:sz w:val="18"/>
                <w:szCs w:val="18"/>
              </w:rPr>
              <w:t>Air separation unit</w:t>
            </w:r>
          </w:p>
        </w:tc>
        <w:tc>
          <w:tcPr>
            <w:tcW w:w="0" w:type="auto"/>
          </w:tcPr>
          <w:p w14:paraId="36ADEE4D" w14:textId="77777777" w:rsidR="00FF3A0C" w:rsidRPr="0047239E"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47239E">
              <w:rPr>
                <w:i/>
                <w:sz w:val="18"/>
                <w:szCs w:val="18"/>
              </w:rPr>
              <w:t>DAC systems (e.g. temperature-vacuum swing adsorption, amino-resin adsorbent, etc.)</w:t>
            </w:r>
          </w:p>
        </w:tc>
        <w:tc>
          <w:tcPr>
            <w:tcW w:w="0" w:type="auto"/>
          </w:tcPr>
          <w:p w14:paraId="499BCDBF" w14:textId="66FE2525" w:rsidR="00FF3A0C" w:rsidRPr="0047239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47239E">
              <w:rPr>
                <w:sz w:val="18"/>
                <w:szCs w:val="18"/>
              </w:rPr>
              <w:fldChar w:fldCharType="begin"/>
            </w:r>
            <w:r w:rsidR="005413B4">
              <w:rPr>
                <w:sz w:val="18"/>
                <w:szCs w:val="18"/>
              </w:rPr>
              <w:instrText xml:space="preserve"> ADDIN ZOTERO_ITEM CSL_CITATION {"citationID":"dAap00Rw","properties":{"formattedCitation":"\\super 175,183,191,196,197,204,206\\nosupersub{}","plainCitation":"175,183,191,196,197,204,206","noteIndex":0},"citationItems":[{"id":5124,"uris":["http://zotero.org/users/6423791/items/QSN5G6WV"],"itemData":{"id":5124,"type":"article-journal","container-title":"Science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L."}],"issued":{"date-parts":[["2021",2]]}}},{"id":9416,"uris":["http://zotero.org/users/6423791/items/QMGX9TUZ"],"itemData":{"id":9416,"type":"article-journal","abstract":"Purpose Renewable energy produced from wind turbines and solar photovoltaics (PV) has rapidly increased its share in global energy markets. At the same time, interest in producing hydrocarbons via power-to-X (PtX) approaches using renewables has grown as the technology has matured. However, there exist knowledge gaps related to environmental impacts of some PtX approaches. Power-to-food (PtF) application is one of those approaches. To evaluate the environmental impacts of different PtF approaches, life cycle assessment was performed.\nMethods The theoretical environmental potential of a novel concept of PtX technologies was investigated. Because PtX approaches have usually multiple technological solutions, such as the studied PtF application can have, several technological setups were chosen for the study. PtF application is seen as potentially being able to alleviate concerns about the sustainability of the global food sector, for example, as regards the land and water use impacts of food production. This study investigated four different environmental impact categories for microbial protein (MP) production via different technological setups of PtF from a cradle-to-gate perspective. The investigated impact categories include global warming potential, blue-water use, land use, and eutrophication. The research was carried out using a life cycle impact assessment method.\nResults and discussion The results for PtF processes were compared with the impacts of other MP production technologies and soybean production. The results indicate that significantly lower environmental impact can be achieved with PtF compared with the other protein production processes studied. The best-case PtF technology setups cause considerably lower land occupation, eutrophication, and blue-water consumption impacts compared with soybean production. However, the energy source used and the electricity-to-biomass efficiency of the bioreactor greatly affect the sustainability of the PtF approach. Some energy sources and technological choices result in higher environmental impacts than other MP and soybean production. When designing PtF production facilities, special attention should thus be given to the technology used.\nConclusions With some qualifications, PtF can be considered an option for improving global food security at minimal environmental impact. If the MP via the introduced application substitutes the most harmful practices of production other protein sources, the saved resources could be used to, for example, mitigation purposes or to improve food security elsewhere. However, there still exist challenges, such as food safety–related issues, to be solved before PtF application can be used for commercial use.","container-title":"The International Journal of Life Cycle Assessment","DOI":"10.1007/s11367-020-01771-3","ISSN":"0948-3349, 1614-7502","issue":"11","journalAbbreviation":"Int. J. Life Cycle Assess.","language":"en","page":"2190-2203","source":"DOI.org (Crossref)","title":"A life cycle environmental sustainability analysis of microbial protein production via power-to-food approaches","volume":"25","author":[{"family":"Sillman","given":"J."},{"family":"Uusitalo","given":"V."},{"family":"Ruuskanen","given":"V."},{"family":"Ojala","given":"L."},{"family":"Kahiluoto","given":"H."},{"family":"Soukka","given":"R."},{"family":"Ahola","given":"J."}],"issued":{"date-parts":[["2020",11]]}}},{"id":12839,"uris":["http://zotero.org/users/6423791/items/Z8P5BF6M"],"itemData":{"id":12839,"type":"article-journal","abstract":"This study evaluates the techno-economic feasibility of five solar-powered concepts for the production of autotrophic microorganisms for food and feed production; the main focus is on three concepts based on hydrogen-oxidizing bacteria (HOB), which are further compared to two microalgae-related concepts. Two locations with markedly different solar conditions are considered (Finland and Morocco), in which Morocco was found to be the most economically competitive for the cultivation of microalgae in open ponds and closed systems (1.4 and 1.9 € kg–1, respectively). Biomass production by combined water electrolysis and HOB cultivation results in higher costs for all three considered concepts. Among these, the lowest production cost of 5.3 € kg–1 is associated with grid-assisted electricity use in Finland, while the highest production cost of &gt;9.1 € kg–1 is determined for concepts using solely photovoltaics and/or photoelectrochemical technology for on-site electricity production and solar-energy conversion to H2 by water electrolysis. All assessed concepts are capital intensive. Furthermore, a sensitivity analysis suggests that the production costs of HOB biomass can be lowered down to 2.1 € kg–1 by optimization of the process parameters among which volumetric productivity, electricity strategy, and electricity costs have the highest cost-saving potentials. The study reveals that continuously available electricity and H2 supply are essential for the development of a viable HOB concept due to the capital intensity of the needed technologies. In addition, volumetric productivity is the key parameter that needs to be optimized to increase the economic competitiveness of HOB production.","container-title":"ACS Omega","DOI":"10.1021/acsomega.0c04926","issue":"51","note":"publisher: American Chemical Society","page":"33242-33252","source":"ACS Publications","title":"Solar-Powered Carbon Fixation for Food and Feed Production Using Microorganisms—A Comparative Techno-Economic Analysis","volume":"5","author":[{"family":"Nappa","given":"Marja"},{"family":"Lienemann","given":"Michael"},{"family":"Tossi","given":"Camilla"},{"family":"Blomberg","given":"Peter"},{"family":"Jäntti","given":"Jussi"},{"family":"Tittonen","given":"Ilkka Juhani"},{"family":"Penttilä","given":"Merja"}],"issued":{"date-parts":[["2020",12,29]]}}},{"id":11540,"uris":["http://zotero.org/users/6423791/items/L9NYDA2K"],"itemData":{"id":11540,"type":"article-journal","abstract":"Population growth and changes in dietary patterns place an ever-growing pressure on the environment. Feeding the world within sustainable boundaries therefore requires revolutionizing the way we harness natural resources. Microbial biomass can be cultivated to yield protein-rich feed and food supplements, collectively termed single-cell protein (SCP). Yet, we still lack a quantitative comparison between traditional agriculture and photovoltaic-driven SCP systems in terms of land use and energetic efficiency. Here, we analyze the energetic efficiency of harnessing solar energy to produce SCP from air and water. Our model includes photovoltaic electricity generation, direct air capture of carbon dioxide, electrosynthesis of an electron donor and/or carbon source for microbial growth (hydrogen, formate, or methanol), microbial cultivation, and the processing of biomass and proteins. We show that, per unit of land, SCP production can reach an over 10-fold higher protein yield and at least twice the caloric yield compared with any staple crop. Altogether, this quantitative analysis offers an assessment of the future potential of photovoltaic-driven microbial foods to supplement conventional agricultural production and support resource-efficient protein supply on a global scale.","container-title":"Proceedings of the National Academy of Sciences","DOI":"10.1073/pnas.2015025118","ISSN":"0027-8424, 1091-6490","issue":"26","journalAbbreviation":"Proc Natl Acad Sci USA","language":"en","page":"e2015025118","source":"DOI.org (Crossref)","title":"Photovoltaic-driven microbial protein production can use land and sunlight more efficiently than conventional crops","volume":"118","author":[{"family":"Leger","given":"Dorian"},{"family":"Matassa","given":"Silvio"},{"family":"Noor","given":"Elad"},{"family":"Shepon","given":"Alon"},{"family":"Milo","given":"Ron"},{"family":"Bar-Even","given":"Arren"}],"issued":{"date-parts":[["2021",6,29]]}}},{"id":2363,"uris":["http://zotero.org/users/6423791/items/RHD6WXUH"],"itemData":{"id":2363,"type":"article-journal","abstract":"Human civilization's food production system is currently unprepared for catastrophes that would reduce global food production by 10% or more, such as nuclear winter, supervolcanic eruptions or asteroid impacts. Alternative foods that do not require much or any sunlight have been proposed as a more cost-effective solution than increasing food stockpiles, given the long duration of many global catastrophic risks (GCRs) that could hamper conventional agriculture for 5 to 10 years. Microbial food from single cell protein (SCP) produced via hydrogen from both gasification and electrolysis is analyzed in this study as alternative food for the most severe food shock scenario: a sun-blocking catastrophe. Capital costs, resource requirements and ramp up rates are quantified to determine its viability. Potential bottlenecks to fast deployment of the technology are reviewed. The ramp up speed of food production for 24/7 construction of the facilities over 6 years is estimated to be lower than other alternatives (3-10% of the global protein requirements could be fulfilled at end of first year), but the nutritional quality of the microbial protein is higher than for most other alternative foods for catastrophes. Results suggest that investment in SCP ramp up should be limited to the production capacity that is needed to fulfill only the minimum recommended protein requirements of humanity during the catastrophe. Further research is needed into more uncertain concerns such as transferability of labor and equipment production. This could help reduce the negative impact of potential food-related GCRs.","container-title":"Sustainable Production and Consumption","DOI":"10.1016/j.spc.2020.08.011","ISSN":"2352-5509","journalAbbreviation":"Sustain. Prod. Consum.","language":"en","page":"234-247","source":"ScienceDirect","title":"Potential of microbial protein from hydrogen for preventing mass starvation in catastrophic scenarios","volume":"25","author":[{"family":"García Martínez","given":"Juan B."},{"family":"Egbejimba","given":"Joseph"},{"family":"Throup","given":"James"},{"family":"Matassa","given":"Silvio"},{"family":"Pearce","given":"Joshua M."},{"family":"Denkenberger","given":"David C."}],"issued":{"date-parts":[["2021",1,1]]}}},{"id":3358,"uris":["http://zotero.org/users/6423791/items/6VK8VT52"],"itemData":{"id":3358,"type":"article-journal","abstract":"The cost of launching food into space is very high. An alternative is to make food during missions using methods such as artificial light photosynthesis, greenhouse, nonbiological synthesis of food, electric bacteria, and hydrogen oxidizing bacteria (HOB). This study compares prepackaged food, artificial light microalgae, and HOB. The dominant factor for each alternative is its relative mass due to high fuel cost needed to launch a payload into space. Thus, alternatives were evaluated using an equivalent system mass (ESM) technique developed by the National Aeronautics and Space Administration. Three distinct missions with a crew of 5 for a duration of 3 years were analyzed; including the International Space Station (ISS), the Moon, and Mars. The components of ESM considered were apparent mass, heat rejection, power, and pressurized volume. The selected power source for all systems was nuclear power. Electricity to biomass efficiencies were calculated for space to be 18% and 4.0% for HOB and microalgae, respectively. This study indicates that growing HOB is the least expensive alternative. The ESM of the HOB is on average a factor of 2.8 and 5.5 less than prepackaged food and microalgae, respectively. This alternative food study also relates to feeding Earth during a global agricultural catastrophe. Benefits of HOB include recycling wastes including CO2 and producing O2. Practical systems would involve a variety of food sources.","container-title":"Acta Astronautica","DOI":"10.1016/j.actaastro.2020.12.009","ISSN":"00945765","journalAbbreviation":"Acta Astronaut.","language":"en","page":"260-265","source":"DOI.org (Crossref)","title":"Food in space from hydrogen-oxidizing bacteria","volume":"180","author":[{"family":"Alvarado","given":"Kyle A."},{"family":"García Martínez","given":"Juan B."},{"family":"Matassa","given":"Silvio"},{"family":"Egbejimba","given":"Joseph"},{"family":"Denkenberger","given":"David"}],"issued":{"date-parts":[["2021",3]]}}},{"id":9418,"uris":["http://zotero.org/users/6423791/items/74ZJMVUU"],"itemData":{"id":9418,"type":"article-journal","abstract":"The pace at which the human population is growing raises serious concerns related to food security while at the same time conventional agriculture-based food production is becoming a major cause of environmental pollution and greenhouse gas emissions. Numerous solutions have been proposed to boost food production among which edible microbial biomass is considered a promising alternative to conventional sources of food and feed with lower environmental footprint. This work introduces the Neo-Carbon Food concept that is a pilot-scale hybrid biological–inorganic process suitable for the production of microbial biomass. The concept includes integrated hydrogen production by water electrolysis, direct air capture (DAC) of carbon dioxide, and its subsequent assimilation by autotrophic hydrogen-oxidizing bacteria (HOB). The hydrogen production with in situ electrolysis achieved specific energy consumption just below 100 kWh/kgH2 while the specific energy consumption of DAC was around 20 kWh/kgCO2.","container-title":"Journal of Cleaner Production","DOI":"10.1016/j.jclepro.2020.123423","ISSN":"0959-6526","journalAbbreviation":"Journal of Cleaner Production","language":"en","page":"123423","source":"ScienceDirect","title":"Neo-Carbon Food concept: A pilot-scale hybrid biological–inorganic system with direct air capture of carbon dioxide","title-short":"Neo-Carbon Food concept","volume":"278","author":[{"family":"Ruuskanen","given":"Vesa"},{"family":"Givirovskiy","given":"Georgy"},{"family":"Elfving","given":"Jere"},{"family":"Kokkonen","given":"Petteri"},{"family":"Karvinen","given":"Aku"},{"family":"Järvinen","given":"Lauri"},{"family":"Sillman","given":"Jani"},{"family":"Vainikka","given":"Miika"},{"family":"Ahola","given":"Jero"}],"issued":{"date-parts":[["2021",1,1]]}}}],"schema":"https://github.com/citation-style-language/schema/raw/master/csl-citation.json"} </w:instrText>
            </w:r>
            <w:r w:rsidRPr="0047239E">
              <w:rPr>
                <w:sz w:val="18"/>
                <w:szCs w:val="18"/>
              </w:rPr>
              <w:fldChar w:fldCharType="separate"/>
            </w:r>
            <w:r w:rsidR="005413B4" w:rsidRPr="005413B4">
              <w:rPr>
                <w:rFonts w:ascii="Calibri" w:hAnsi="Calibri" w:cs="Calibri"/>
                <w:sz w:val="18"/>
                <w:szCs w:val="24"/>
                <w:vertAlign w:val="superscript"/>
              </w:rPr>
              <w:t>175,183,191,196,197,204,206</w:t>
            </w:r>
            <w:r w:rsidRPr="0047239E">
              <w:rPr>
                <w:sz w:val="18"/>
                <w:szCs w:val="18"/>
              </w:rPr>
              <w:fldChar w:fldCharType="end"/>
            </w:r>
          </w:p>
        </w:tc>
      </w:tr>
      <w:tr w:rsidR="00FF3A0C" w:rsidRPr="0047239E" w14:paraId="7E0774B0" w14:textId="77777777" w:rsidTr="0047239E">
        <w:trPr>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68E888CA" w14:textId="77777777" w:rsidR="00FF3A0C" w:rsidRPr="0047239E" w:rsidRDefault="00FF3A0C" w:rsidP="006B7E52">
            <w:pPr>
              <w:rPr>
                <w:sz w:val="18"/>
                <w:szCs w:val="18"/>
              </w:rPr>
            </w:pPr>
          </w:p>
        </w:tc>
        <w:tc>
          <w:tcPr>
            <w:tcW w:w="0" w:type="auto"/>
          </w:tcPr>
          <w:p w14:paraId="3BD48C05" w14:textId="77777777" w:rsidR="00FF3A0C" w:rsidRPr="0047239E" w:rsidRDefault="00FF3A0C" w:rsidP="006B7E52">
            <w:pPr>
              <w:cnfStyle w:val="000000000000" w:firstRow="0" w:lastRow="0" w:firstColumn="0" w:lastColumn="0" w:oddVBand="0" w:evenVBand="0" w:oddHBand="0" w:evenHBand="0" w:firstRowFirstColumn="0" w:firstRowLastColumn="0" w:lastRowFirstColumn="0" w:lastRowLastColumn="0"/>
              <w:rPr>
                <w:b/>
                <w:sz w:val="18"/>
                <w:szCs w:val="18"/>
              </w:rPr>
            </w:pPr>
            <w:r w:rsidRPr="0047239E">
              <w:rPr>
                <w:b/>
                <w:sz w:val="18"/>
                <w:szCs w:val="18"/>
              </w:rPr>
              <w:t>Waste, purchased</w:t>
            </w:r>
          </w:p>
        </w:tc>
        <w:tc>
          <w:tcPr>
            <w:tcW w:w="0" w:type="auto"/>
          </w:tcPr>
          <w:p w14:paraId="640C5F1A" w14:textId="77777777" w:rsidR="00FF3A0C" w:rsidRPr="0047239E" w:rsidRDefault="00FF3A0C" w:rsidP="003B1307">
            <w:pPr>
              <w:jc w:val="both"/>
              <w:cnfStyle w:val="000000000000" w:firstRow="0" w:lastRow="0" w:firstColumn="0" w:lastColumn="0" w:oddVBand="0" w:evenVBand="0" w:oddHBand="0" w:evenHBand="0" w:firstRowFirstColumn="0" w:firstRowLastColumn="0" w:lastRowFirstColumn="0" w:lastRowLastColumn="0"/>
              <w:rPr>
                <w:i/>
                <w:sz w:val="18"/>
                <w:szCs w:val="18"/>
              </w:rPr>
            </w:pPr>
            <w:r w:rsidRPr="0047239E">
              <w:rPr>
                <w:i/>
                <w:sz w:val="18"/>
                <w:szCs w:val="18"/>
              </w:rPr>
              <w:t>Process in ecoinvent, need of vaporizing unit if liquid</w:t>
            </w:r>
          </w:p>
        </w:tc>
        <w:tc>
          <w:tcPr>
            <w:tcW w:w="0" w:type="auto"/>
          </w:tcPr>
          <w:p w14:paraId="49A946A1" w14:textId="4EFA4A05" w:rsidR="00FF3A0C" w:rsidRPr="0047239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47239E">
              <w:rPr>
                <w:sz w:val="18"/>
                <w:szCs w:val="18"/>
              </w:rPr>
              <w:fldChar w:fldCharType="begin"/>
            </w:r>
            <w:r w:rsidR="005413B4">
              <w:rPr>
                <w:sz w:val="18"/>
                <w:szCs w:val="18"/>
              </w:rPr>
              <w:instrText xml:space="preserve"> ADDIN ZOTERO_ITEM CSL_CITATION {"citationID":"TnkVQdXm","properties":{"formattedCitation":"\\super 183\\nosupersub{}","plainCitation":"183","noteIndex":0},"citationItems":[{"id":5124,"uris":["http://zotero.org/users/6423791/items/QSN5G6WV"],"itemData":{"id":5124,"type":"article-journal","container-title":"Science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L."}],"issued":{"date-parts":[["2021",2]]}}}],"schema":"https://github.com/citation-style-language/schema/raw/master/csl-citation.json"} </w:instrText>
            </w:r>
            <w:r w:rsidRPr="0047239E">
              <w:rPr>
                <w:sz w:val="18"/>
                <w:szCs w:val="18"/>
              </w:rPr>
              <w:fldChar w:fldCharType="separate"/>
            </w:r>
            <w:r w:rsidR="005413B4" w:rsidRPr="005413B4">
              <w:rPr>
                <w:rFonts w:ascii="Calibri" w:hAnsi="Calibri" w:cs="Calibri"/>
                <w:sz w:val="18"/>
                <w:szCs w:val="24"/>
                <w:vertAlign w:val="superscript"/>
              </w:rPr>
              <w:t>183</w:t>
            </w:r>
            <w:r w:rsidRPr="0047239E">
              <w:rPr>
                <w:sz w:val="18"/>
                <w:szCs w:val="18"/>
              </w:rPr>
              <w:fldChar w:fldCharType="end"/>
            </w:r>
          </w:p>
        </w:tc>
      </w:tr>
      <w:tr w:rsidR="00FF3A0C" w:rsidRPr="0047239E" w14:paraId="5369146D" w14:textId="77777777" w:rsidTr="0047239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7F147AD8" w14:textId="77777777" w:rsidR="00FF3A0C" w:rsidRPr="0047239E" w:rsidRDefault="00FF3A0C" w:rsidP="006B7E52">
            <w:pPr>
              <w:rPr>
                <w:sz w:val="18"/>
                <w:szCs w:val="18"/>
              </w:rPr>
            </w:pPr>
          </w:p>
        </w:tc>
        <w:tc>
          <w:tcPr>
            <w:tcW w:w="0" w:type="auto"/>
          </w:tcPr>
          <w:p w14:paraId="4FB9BADC" w14:textId="77777777" w:rsidR="00FF3A0C" w:rsidRPr="0047239E" w:rsidRDefault="00FF3A0C" w:rsidP="006B7E52">
            <w:pPr>
              <w:cnfStyle w:val="000000100000" w:firstRow="0" w:lastRow="0" w:firstColumn="0" w:lastColumn="0" w:oddVBand="0" w:evenVBand="0" w:oddHBand="1" w:evenHBand="0" w:firstRowFirstColumn="0" w:firstRowLastColumn="0" w:lastRowFirstColumn="0" w:lastRowLastColumn="0"/>
              <w:rPr>
                <w:b/>
                <w:sz w:val="18"/>
                <w:szCs w:val="18"/>
              </w:rPr>
            </w:pPr>
            <w:r w:rsidRPr="0047239E">
              <w:rPr>
                <w:b/>
                <w:sz w:val="18"/>
                <w:szCs w:val="18"/>
              </w:rPr>
              <w:t xml:space="preserve">Waste, </w:t>
            </w:r>
            <w:r w:rsidRPr="0047239E">
              <w:rPr>
                <w:b/>
                <w:i/>
                <w:sz w:val="18"/>
                <w:szCs w:val="18"/>
              </w:rPr>
              <w:t>in-situ</w:t>
            </w:r>
            <w:r w:rsidRPr="0047239E">
              <w:rPr>
                <w:b/>
                <w:sz w:val="18"/>
                <w:szCs w:val="18"/>
              </w:rPr>
              <w:t xml:space="preserve"> recovery</w:t>
            </w:r>
          </w:p>
        </w:tc>
        <w:tc>
          <w:tcPr>
            <w:tcW w:w="0" w:type="auto"/>
          </w:tcPr>
          <w:p w14:paraId="234276A5" w14:textId="77777777" w:rsidR="00FF3A0C" w:rsidRPr="002F7540"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2F7540">
              <w:rPr>
                <w:i/>
                <w:sz w:val="18"/>
                <w:szCs w:val="18"/>
              </w:rPr>
              <w:t>Fossil- or bio-based industries flue gases (e.g. cement, iron, biorefineries, etc.)</w:t>
            </w:r>
          </w:p>
        </w:tc>
        <w:tc>
          <w:tcPr>
            <w:tcW w:w="0" w:type="auto"/>
          </w:tcPr>
          <w:p w14:paraId="47CE60EC" w14:textId="14BA0FC1" w:rsidR="00FF3A0C" w:rsidRPr="002F7540"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2F7540">
              <w:rPr>
                <w:sz w:val="18"/>
                <w:szCs w:val="18"/>
              </w:rPr>
              <w:fldChar w:fldCharType="begin"/>
            </w:r>
            <w:r w:rsidR="005413B4">
              <w:rPr>
                <w:sz w:val="18"/>
                <w:szCs w:val="18"/>
              </w:rPr>
              <w:instrText xml:space="preserve"> ADDIN ZOTERO_ITEM CSL_CITATION {"citationID":"amt7uanu1n","properties":{"formattedCitation":"\\super 187,191,202,210\\nosupersub{}","plainCitation":"187,191,202,210","noteIndex":0},"citationItems":[{"id":558,"uris":["http://zotero.org/users/6423791/items/YPK9LCXF"],"itemData":{"id":558,"type":"article-journal","abstract":"One of the main challenges for the 21st century is to balance the increasing demand for high-quality proteins while mitigating environmental impacts. In particular, cropland-based production of protein-rich animal feed for livestock rearing results in large-scale agricultural land-expansion, nitrogen pollution, and greenhouse gas emissions. Here we propose and analyze the longterm potential of alternative animal feed supply routes based on industrial production of microbial proteins (MP). Our analysis reveals that by 2050, MP can replace, depending on socioeconomic development and MP production pathways, between 10−19% of conventional crop-based animal feed protein demand. As a result, global cropland area, global nitrogen losses from croplands and agricultural greenhouse gas emissions can be decreased by 6% (0−13%), 8% (−3−8%), and 7% (−6−9%), respectively. Interestingly, the technology to industrially produce MP at competitive costs is directly accessible for implementation and has the potential to cause a major structural change in the agro-food system.","container-title":"Environmental Science &amp; Technology","DOI":"10.1021/acs.est.8b00216","ISSN":"0013-936X, 1520-5851","issue":"13","journalAbbreviation":"Environ. Sci. Technol.","language":"en","page":"7351-7359","source":"DOI.org (Crossref)","title":"Decoupling Livestock from Land Use through Industrial Feed Production Pathways","volume":"52","author":[{"family":"Pikaar","given":"Ilje"},{"family":"Matassa","given":"Silvio"},{"family":"Bodirsky","given":"Benjamin L."},{"family":"Weindl","given":"Isabelle"},{"family":"Humpenöder","given":"Florian"},{"family":"Rabaey","given":"Korneel"},{"family":"Boon","given":"Nico"},{"family":"Bruschi","given":"Michele"},{"family":"Yuan","given":"Zhiguo"},{"family":"Zanten","given":"Hannah","non-dropping-particle":"van"},{"family":"Herrero","given":"Mario"},{"family":"Verstraete","given":"Willy"},{"family":"Popp","given":"Alexander"}],"issued":{"date-parts":[["2018",7,3]]}}},{"id":9416,"uris":["http://zotero.org/users/6423791/items/QMGX9TUZ"],"itemData":{"id":9416,"type":"article-journal","abstract":"Purpose Renewable energy produced from wind turbines and solar photovoltaics (PV) has rapidly increased its share in global energy markets. At the same time, interest in producing hydrocarbons via power-to-X (PtX) approaches using renewables has grown as the technology has matured. However, there exist knowledge gaps related to environmental impacts of some PtX approaches. Power-to-food (PtF) application is one of those approaches. To evaluate the environmental impacts of different PtF approaches, life cycle assessment was performed.\nMethods The theoretical environmental potential of a novel concept of PtX technologies was investigated. Because PtX approaches have usually multiple technological solutions, such as the studied PtF application can have, several technological setups were chosen for the study. PtF application is seen as potentially being able to alleviate concerns about the sustainability of the global food sector, for example, as regards the land and water use impacts of food production. This study investigated four different environmental impact categories for microbial protein (MP) production via different technological setups of PtF from a cradle-to-gate perspective. The investigated impact categories include global warming potential, blue-water use, land use, and eutrophication. The research was carried out using a life cycle impact assessment method.\nResults and discussion The results for PtF processes were compared with the impacts of other MP production technologies and soybean production. The results indicate that significantly lower environmental impact can be achieved with PtF compared with the other protein production processes studied. The best-case PtF technology setups cause considerably lower land occupation, eutrophication, and blue-water consumption impacts compared with soybean production. However, the energy source used and the electricity-to-biomass efficiency of the bioreactor greatly affect the sustainability of the PtF approach. Some energy sources and technological choices result in higher environmental impacts than other MP and soybean production. When designing PtF production facilities, special attention should thus be given to the technology used.\nConclusions With some qualifications, PtF can be considered an option for improving global food security at minimal environmental impact. If the MP via the introduced application substitutes the most harmful practices of production other protein sources, the saved resources could be used to, for example, mitigation purposes or to improve food security elsewhere. However, there still exist challenges, such as food safety–related issues, to be solved before PtF application can be used for commercial use.","container-title":"The International Journal of Life Cycle Assessment","DOI":"10.1007/s11367-020-01771-3","ISSN":"0948-3349, 1614-7502","issue":"11","journalAbbreviation":"Int. J. Life Cycle Assess.","language":"en","page":"2190-2203","source":"DOI.org (Crossref)","title":"A life cycle environmental sustainability analysis of microbial protein production via power-to-food approaches","volume":"25","author":[{"family":"Sillman","given":"J."},{"family":"Uusitalo","given":"V."},{"family":"Ruuskanen","given":"V."},{"family":"Ojala","given":"L."},{"family":"Kahiluoto","given":"H."},{"family":"Soukka","given":"R."},{"family":"Ahola","given":"J."}],"issued":{"date-parts":[["2020",11]]}}},{"id":2635,"uris":["http://zotero.org/users/6423791/items/LQCVWITN"],"itemData":{"id":2635,"type":"patent","authority":"United States","call-number":"US16/550,170","language":"en","number":"US20190382808A1","title":"Biological and Chemical Process Utilizing Chemoautotrophic Microorganisms for the Chemosynthetic Fixation of Carbon Dioxide and/or Other Inorganic Carbon Sources into Organic Compounds and the Generation of Additional Useful Products","URL":"https://patents.google.com/patent/US20190382808A1/en?oq=US20190382808A1","author":[{"family":"Reed","given":"John S."}],"accessed":{"date-parts":[["2020",10,23]]},"issued":{"date-parts":[["2019",12,19]]},"submitted":{"date-parts":[["2019",8,23]]}}},{"id":14577,"uris":["http://zotero.org/users/6423791/items/M8RDXNS4"],"itemData":{"id":14577,"type":"article-journal","abstract":"Despite the large carbon footprint of livestock production, animal protein consumption has grown over the past several decades, necessitating new approaches to sustainable animal protein production. In this techno-economic analysis, single cell protein (SCP) produced via gas fermentation of carbon dioxide, oxygen, and hydrogen is studied as an animal feed source to replace fishmeal or soybean meal. Using wind-powered water electrolysis to produce hydrogen and oxygen with carbon dioxide captured from corn ethanol, the minimum selling price (MSP) of SCP is determined to be $2070 per metric ton. An emissions comparison between SCP, fishmeal, and soybean meal shows that SCP has a carbon intensity as low as 0.73 kg CO2-equiv/kg protein, while fishmeal and soybean meal have an average carbon intensity of 2.72 kg CO2-equiv/kg protein and 0.85 kg CO2-equiv/kg protein, respectively. Moreover, SCP production would occupy 0.4% of the land per ton of protein produced compared to soybean meal and would disturb less than 0.1% of the marine ecosystem currently disturbed by fishmeal harvesting practices. These results show promise for the future economic viability of SCP as a protein source in animal feed and indicate significant environmental benefits compared to other animal feed protein sources.","container-title":"Environmental Science &amp; Technology","DOI":"10.1021/acs.est.3c10312","ISSN":"0013-936X","issue":"8","journalAbbreviation":"Environ. Sci. Technol.","note":"publisher: American Chemical Society","page":"3823-3829","source":"ACS Publications","title":"Techno-Economic Analysis of Gas Fermentation for the Production of Single Cell Protein","volume":"58","author":[{"family":"Jean","given":"Alexandra B."},{"family":"Brown","given":"Robert C."}],"issued":{"date-parts":[["2024",2,27]]}}}],"schema":"https://github.com/citation-style-language/schema/raw/master/csl-citation.json"} </w:instrText>
            </w:r>
            <w:r w:rsidRPr="002F7540">
              <w:rPr>
                <w:sz w:val="18"/>
                <w:szCs w:val="18"/>
              </w:rPr>
              <w:fldChar w:fldCharType="separate"/>
            </w:r>
            <w:r w:rsidR="005413B4" w:rsidRPr="005413B4">
              <w:rPr>
                <w:rFonts w:ascii="Calibri" w:hAnsi="Calibri" w:cs="Calibri"/>
                <w:sz w:val="18"/>
                <w:szCs w:val="24"/>
                <w:vertAlign w:val="superscript"/>
              </w:rPr>
              <w:t>187,191,202,210</w:t>
            </w:r>
            <w:r w:rsidRPr="002F7540">
              <w:rPr>
                <w:sz w:val="18"/>
                <w:szCs w:val="18"/>
              </w:rPr>
              <w:fldChar w:fldCharType="end"/>
            </w:r>
          </w:p>
        </w:tc>
      </w:tr>
      <w:tr w:rsidR="00FF3A0C" w:rsidRPr="0047239E" w14:paraId="3CD18E3D" w14:textId="77777777" w:rsidTr="0047239E">
        <w:trPr>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01417983" w14:textId="77777777" w:rsidR="00FF3A0C" w:rsidRPr="0047239E" w:rsidRDefault="00FF3A0C" w:rsidP="006B7E52">
            <w:pPr>
              <w:rPr>
                <w:sz w:val="18"/>
                <w:szCs w:val="18"/>
              </w:rPr>
            </w:pPr>
          </w:p>
        </w:tc>
        <w:tc>
          <w:tcPr>
            <w:tcW w:w="0" w:type="auto"/>
          </w:tcPr>
          <w:p w14:paraId="47DF36E2" w14:textId="77777777" w:rsidR="00FF3A0C" w:rsidRPr="0047239E" w:rsidRDefault="00FF3A0C" w:rsidP="006B7E52">
            <w:pPr>
              <w:cnfStyle w:val="000000000000" w:firstRow="0" w:lastRow="0" w:firstColumn="0" w:lastColumn="0" w:oddVBand="0" w:evenVBand="0" w:oddHBand="0" w:evenHBand="0" w:firstRowFirstColumn="0" w:firstRowLastColumn="0" w:lastRowFirstColumn="0" w:lastRowLastColumn="0"/>
              <w:rPr>
                <w:b/>
                <w:sz w:val="18"/>
                <w:szCs w:val="18"/>
              </w:rPr>
            </w:pPr>
            <w:r w:rsidRPr="0047239E">
              <w:rPr>
                <w:b/>
                <w:sz w:val="18"/>
                <w:szCs w:val="18"/>
              </w:rPr>
              <w:t>Syngas</w:t>
            </w:r>
          </w:p>
        </w:tc>
        <w:tc>
          <w:tcPr>
            <w:tcW w:w="0" w:type="auto"/>
          </w:tcPr>
          <w:p w14:paraId="594960F4" w14:textId="77777777" w:rsidR="00FF3A0C" w:rsidRPr="0047239E" w:rsidRDefault="00FF3A0C" w:rsidP="003B1307">
            <w:pPr>
              <w:jc w:val="both"/>
              <w:cnfStyle w:val="000000000000" w:firstRow="0" w:lastRow="0" w:firstColumn="0" w:lastColumn="0" w:oddVBand="0" w:evenVBand="0" w:oddHBand="0" w:evenHBand="0" w:firstRowFirstColumn="0" w:firstRowLastColumn="0" w:lastRowFirstColumn="0" w:lastRowLastColumn="0"/>
              <w:rPr>
                <w:i/>
                <w:sz w:val="18"/>
                <w:szCs w:val="18"/>
              </w:rPr>
            </w:pPr>
            <w:r w:rsidRPr="0047239E">
              <w:rPr>
                <w:i/>
                <w:sz w:val="18"/>
                <w:szCs w:val="18"/>
              </w:rPr>
              <w:t>Present in syngas (&gt;10%</w:t>
            </w:r>
            <w:r w:rsidRPr="0047239E">
              <w:rPr>
                <w:i/>
                <w:sz w:val="18"/>
                <w:szCs w:val="18"/>
                <w:vertAlign w:val="subscript"/>
              </w:rPr>
              <w:t>vol</w:t>
            </w:r>
            <w:r w:rsidRPr="0047239E">
              <w:rPr>
                <w:i/>
                <w:sz w:val="18"/>
                <w:szCs w:val="18"/>
              </w:rPr>
              <w:t>)</w:t>
            </w:r>
          </w:p>
        </w:tc>
        <w:tc>
          <w:tcPr>
            <w:tcW w:w="0" w:type="auto"/>
          </w:tcPr>
          <w:p w14:paraId="6F1968AC" w14:textId="3D089E01" w:rsidR="00FF3A0C" w:rsidRPr="0047239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47239E">
              <w:rPr>
                <w:sz w:val="18"/>
                <w:szCs w:val="18"/>
              </w:rPr>
              <w:fldChar w:fldCharType="begin"/>
            </w:r>
            <w:r w:rsidR="005413B4">
              <w:rPr>
                <w:sz w:val="18"/>
                <w:szCs w:val="18"/>
              </w:rPr>
              <w:instrText xml:space="preserve"> ADDIN ZOTERO_ITEM CSL_CITATION {"citationID":"vH83of9h","properties":{"formattedCitation":"\\super 194,197\\nosupersub{}","plainCitation":"194,197","noteIndex":0},"citationItems":[{"id":2354,"uris":["http://zotero.org/users/6423791/items/E7ZZWGWS"],"itemData":{"id":2354,"type":"article-journal","container-title":"Green Chem.","DOI":"10.1039/D0GC01382J","issue":"15","journalAbbreviation":"Green Chem.","language":"en","note":"publisher: Royal Society of Chemistry","page":"4912-4929","source":"pubs-rsc-org.gorgone.univ-toulouse.fr","title":"Upcycling of biowaste carbon and nutrients in line with consumer confidence: the “full gas” route to single cell protein","title-short":"Upcycling of biowaste carbon and nutrients in line with consumer confidence","volume":"22","author":[{"family":"Matassa","given":"Silvio"},{"family":"Papirio","given":"Stefano"},{"family":"Pikaar","given":"Ilje"},{"family":"Hülsen","given":"Tim"},{"family":"Leijenhorst","given":"Evert"},{"family":"Esposito","given":"Giovanni"},{"family":"Pirozzi","given":"Francesco"},{"family":"Verstraete","given":"Willy"}],"issued":{"date-parts":[["2020"]]}}},{"id":2363,"uris":["http://zotero.org/users/6423791/items/RHD6WXUH"],"itemData":{"id":2363,"type":"article-journal","abstract":"Human civilization's food production system is currently unprepared for catastrophes that would reduce global food production by 10% or more, such as nuclear winter, supervolcanic eruptions or asteroid impacts. Alternative foods that do not require much or any sunlight have been proposed as a more cost-effective solution than increasing food stockpiles, given the long duration of many global catastrophic risks (GCRs) that could hamper conventional agriculture for 5 to 10 years. Microbial food from single cell protein (SCP) produced via hydrogen from both gasification and electrolysis is analyzed in this study as alternative food for the most severe food shock scenario: a sun-blocking catastrophe. Capital costs, resource requirements and ramp up rates are quantified to determine its viability. Potential bottlenecks to fast deployment of the technology are reviewed. The ramp up speed of food production for 24/7 construction of the facilities over 6 years is estimated to be lower than other alternatives (3-10% of the global protein requirements could be fulfilled at end of first year), but the nutritional quality of the microbial protein is higher than for most other alternative foods for catastrophes. Results suggest that investment in SCP ramp up should be limited to the production capacity that is needed to fulfill only the minimum recommended protein requirements of humanity during the catastrophe. Further research is needed into more uncertain concerns such as transferability of labor and equipment production. This could help reduce the negative impact of potential food-related GCRs.","container-title":"Sustainable Production and Consumption","DOI":"10.1016/j.spc.2020.08.011","ISSN":"2352-5509","journalAbbreviation":"Sustain. Prod. Consum.","language":"en","page":"234-247","source":"ScienceDirect","title":"Potential of microbial protein from hydrogen for preventing mass starvation in catastrophic scenarios","volume":"25","author":[{"family":"García Martínez","given":"Juan B."},{"family":"Egbejimba","given":"Joseph"},{"family":"Throup","given":"James"},{"family":"Matassa","given":"Silvio"},{"family":"Pearce","given":"Joshua M."},{"family":"Denkenberger","given":"David C."}],"issued":{"date-parts":[["2021",1,1]]}}}],"schema":"https://github.com/citation-style-language/schema/raw/master/csl-citation.json"} </w:instrText>
            </w:r>
            <w:r w:rsidRPr="0047239E">
              <w:rPr>
                <w:sz w:val="18"/>
                <w:szCs w:val="18"/>
              </w:rPr>
              <w:fldChar w:fldCharType="separate"/>
            </w:r>
            <w:r w:rsidR="005413B4" w:rsidRPr="005413B4">
              <w:rPr>
                <w:rFonts w:ascii="Calibri" w:hAnsi="Calibri" w:cs="Calibri"/>
                <w:sz w:val="18"/>
                <w:szCs w:val="24"/>
                <w:vertAlign w:val="superscript"/>
              </w:rPr>
              <w:t>194,197</w:t>
            </w:r>
            <w:r w:rsidRPr="0047239E">
              <w:rPr>
                <w:sz w:val="18"/>
                <w:szCs w:val="18"/>
              </w:rPr>
              <w:fldChar w:fldCharType="end"/>
            </w:r>
          </w:p>
        </w:tc>
      </w:tr>
      <w:tr w:rsidR="00FF3A0C" w:rsidRPr="0047239E" w14:paraId="10019407" w14:textId="77777777" w:rsidTr="0047239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4E4A8876" w14:textId="77777777" w:rsidR="00FF3A0C" w:rsidRPr="0047239E" w:rsidRDefault="00FF3A0C" w:rsidP="006B7E52">
            <w:pPr>
              <w:rPr>
                <w:sz w:val="18"/>
                <w:szCs w:val="18"/>
              </w:rPr>
            </w:pPr>
          </w:p>
        </w:tc>
        <w:tc>
          <w:tcPr>
            <w:tcW w:w="0" w:type="auto"/>
          </w:tcPr>
          <w:p w14:paraId="1C61E997" w14:textId="77777777" w:rsidR="00FF3A0C" w:rsidRPr="0047239E" w:rsidRDefault="00FF3A0C" w:rsidP="006B7E52">
            <w:pPr>
              <w:cnfStyle w:val="000000100000" w:firstRow="0" w:lastRow="0" w:firstColumn="0" w:lastColumn="0" w:oddVBand="0" w:evenVBand="0" w:oddHBand="1" w:evenHBand="0" w:firstRowFirstColumn="0" w:firstRowLastColumn="0" w:lastRowFirstColumn="0" w:lastRowLastColumn="0"/>
              <w:rPr>
                <w:b/>
                <w:sz w:val="18"/>
                <w:szCs w:val="18"/>
              </w:rPr>
            </w:pPr>
            <w:r w:rsidRPr="0047239E">
              <w:rPr>
                <w:b/>
                <w:sz w:val="18"/>
                <w:szCs w:val="18"/>
              </w:rPr>
              <w:t>Biogas</w:t>
            </w:r>
          </w:p>
        </w:tc>
        <w:tc>
          <w:tcPr>
            <w:tcW w:w="0" w:type="auto"/>
          </w:tcPr>
          <w:p w14:paraId="734B0DB5" w14:textId="77777777" w:rsidR="00FF3A0C" w:rsidRPr="0047239E"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47239E">
              <w:rPr>
                <w:i/>
                <w:sz w:val="18"/>
                <w:szCs w:val="18"/>
              </w:rPr>
              <w:t>Present in biogas (&gt;30%</w:t>
            </w:r>
            <w:r w:rsidRPr="0047239E">
              <w:rPr>
                <w:i/>
                <w:sz w:val="18"/>
                <w:szCs w:val="18"/>
                <w:vertAlign w:val="subscript"/>
              </w:rPr>
              <w:t>vol</w:t>
            </w:r>
            <w:r w:rsidRPr="0047239E">
              <w:rPr>
                <w:i/>
                <w:sz w:val="18"/>
                <w:szCs w:val="18"/>
              </w:rPr>
              <w:t>)</w:t>
            </w:r>
          </w:p>
        </w:tc>
        <w:tc>
          <w:tcPr>
            <w:tcW w:w="0" w:type="auto"/>
          </w:tcPr>
          <w:p w14:paraId="2159E060" w14:textId="2D5482CE" w:rsidR="00FF3A0C" w:rsidRPr="0047239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47239E">
              <w:rPr>
                <w:sz w:val="18"/>
                <w:szCs w:val="18"/>
              </w:rPr>
              <w:fldChar w:fldCharType="begin"/>
            </w:r>
            <w:r w:rsidR="00827449">
              <w:rPr>
                <w:sz w:val="18"/>
                <w:szCs w:val="18"/>
              </w:rPr>
              <w:instrText xml:space="preserve"> ADDIN ZOTERO_ITEM CSL_CITATION {"citationID":"6jGwyrgE","properties":{"formattedCitation":"\\super 22\\nosupersub{}","plainCitation":"22","noteIndex":0},"citationItems":[{"id":12862,"uris":["http://zotero.org/users/6423791/items/YGDJPK4F"],"itemData":{"id":12862,"type":"article-journal","abstract":"The concerns over food security and protein scarcity, driven by population increase and higher standards of living, have pushed scientists toward finding new protein sources. A considerable proportion of resources and agricultural lands are currently dedicated to proteinaceous feed production to raise livestock and poultry for human consumption. The 1st generation of microbial protein (MP) came into the market as land-independent proteinaceous feed for livestock and aquaculture. However, MP may be a less sustainable alternative to conventional feeds, such as soybean meal and fishmeal, because this technology currently requires natural gas and synthetic chemicals. These challenges have directed researchers toward the production of 2nd generation MP by integrating renewable energies, anaerobic digestion, nutrient recovery, biogas cleaning and upgrading, carbon-capture technologies, and fermentation. The fermentation of methane-oxidizing bacteria (MOB) and hydrogen-oxidizing bacteria (HOB), i.e., two protein rich microorganisms, has shown a great potential, on the one hand, to upcycle effluents from anaerobic digestion into protein rich biomass, and on the other hand, to be coupled to renewable energy systems under the concept of Power-to-X. This work compares various production routes for 2nd generation MP by reviewing the latest studies conducted in this context and introducing the state-of-the-art technologies, hoping that the findings can accelerate and facilitate upscaling of MP production. The results show that 2nd generation MP depends on the expansion of renewable energies. In countries with high penetration of renewable electricity, such as Nordic countries, off-peak surplus electricity can be used within MP-industry by supplying electrolytic H2, which is the driving factor for both MOB and HOB-based MP production. However, nutrient recovery technologies are the heart of the 2nd generation MP industry as they determine the process costs and quality of the final product. Although huge attempts have been made to date in this context, some bottlenecks such as immature nutrient recovery technologies, less efficient fermenters with insufficient gas-to-liquid transfer, and costly electrolytic hydrogen production and storage have hindered the scale up of MP production. Furthermore, further research into techno-economic feasibility and life cycle assessment (LCA) of coupled technologies is still needed to identify key points for improvement and thereby secure a sustainable production system.","container-title":"Renewable and Sustainable Energy Reviews","DOI":"10.1016/j.rser.2021.112041","ISSN":"1364-0321","journalAbbreviation":"Renew. Sust. Energ. Rev.","language":"en","page":"112041","source":"ScienceDirect","title":"From renewable energy to sustainable protein sources: Advancement, challenges, and future roadmaps","title-short":"From renewable energy to sustainable protein sources","volume":"157","author":[{"family":"Khoshnevisan","given":"Benyamin"},{"family":"He","given":"Li"},{"family":"Xu","given":"Mingyi"},{"family":"Valverde-Pérez","given":"Borja"},{"family":"Sillman","given":"Jani"},{"family":"Mitraka","given":"Georgia-Christina"},{"family":"Kougias","given":"Panagiotis G."},{"family":"Zhang","given":"Yifeng"},{"family":"Yan","given":"Shuiping"},{"family":"Ji","given":"Long"},{"family":"Carbajales-Dale","given":"Michael"},{"family":"Elyasi","given":"Seyedeh Nashmin"},{"family":"Marami","given":"Hadis"},{"family":"Tsapekos","given":"Panagiotis"},{"family":"Liu","given":"Hongbin"},{"family":"Angelidaki","given":"Irini"}],"issued":{"date-parts":[["2022",4,1]]}}}],"schema":"https://github.com/citation-style-language/schema/raw/master/csl-citation.json"} </w:instrText>
            </w:r>
            <w:r w:rsidRPr="0047239E">
              <w:rPr>
                <w:sz w:val="18"/>
                <w:szCs w:val="18"/>
              </w:rPr>
              <w:fldChar w:fldCharType="separate"/>
            </w:r>
            <w:r w:rsidR="00682E10" w:rsidRPr="0047239E">
              <w:rPr>
                <w:rFonts w:ascii="Calibri" w:hAnsi="Calibri" w:cs="Calibri"/>
                <w:sz w:val="18"/>
                <w:szCs w:val="18"/>
                <w:vertAlign w:val="superscript"/>
              </w:rPr>
              <w:t>22</w:t>
            </w:r>
            <w:r w:rsidRPr="0047239E">
              <w:rPr>
                <w:sz w:val="18"/>
                <w:szCs w:val="18"/>
              </w:rPr>
              <w:fldChar w:fldCharType="end"/>
            </w:r>
          </w:p>
        </w:tc>
      </w:tr>
      <w:tr w:rsidR="00FF3A0C" w:rsidRPr="0047239E" w14:paraId="0AFC1D47" w14:textId="77777777" w:rsidTr="0047239E">
        <w:trPr>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27987928" w14:textId="77777777" w:rsidR="00FF3A0C" w:rsidRPr="0047239E" w:rsidRDefault="00FF3A0C" w:rsidP="006B7E52">
            <w:pPr>
              <w:rPr>
                <w:sz w:val="18"/>
                <w:szCs w:val="18"/>
              </w:rPr>
            </w:pPr>
          </w:p>
        </w:tc>
        <w:tc>
          <w:tcPr>
            <w:tcW w:w="0" w:type="auto"/>
          </w:tcPr>
          <w:p w14:paraId="1F6CB83E" w14:textId="77777777" w:rsidR="00FF3A0C" w:rsidRPr="0047239E" w:rsidRDefault="00FF3A0C" w:rsidP="006B7E52">
            <w:pPr>
              <w:cnfStyle w:val="000000000000" w:firstRow="0" w:lastRow="0" w:firstColumn="0" w:lastColumn="0" w:oddVBand="0" w:evenVBand="0" w:oddHBand="0" w:evenHBand="0" w:firstRowFirstColumn="0" w:firstRowLastColumn="0" w:lastRowFirstColumn="0" w:lastRowLastColumn="0"/>
              <w:rPr>
                <w:b/>
                <w:sz w:val="18"/>
                <w:szCs w:val="18"/>
              </w:rPr>
            </w:pPr>
            <w:r w:rsidRPr="0047239E">
              <w:rPr>
                <w:b/>
                <w:sz w:val="18"/>
                <w:szCs w:val="18"/>
              </w:rPr>
              <w:t>Biomethane</w:t>
            </w:r>
          </w:p>
        </w:tc>
        <w:tc>
          <w:tcPr>
            <w:tcW w:w="0" w:type="auto"/>
          </w:tcPr>
          <w:p w14:paraId="28E4EBA8" w14:textId="77777777" w:rsidR="00FF3A0C" w:rsidRPr="0047239E" w:rsidRDefault="00FF3A0C" w:rsidP="003B1307">
            <w:pPr>
              <w:jc w:val="both"/>
              <w:cnfStyle w:val="000000000000" w:firstRow="0" w:lastRow="0" w:firstColumn="0" w:lastColumn="0" w:oddVBand="0" w:evenVBand="0" w:oddHBand="0" w:evenHBand="0" w:firstRowFirstColumn="0" w:firstRowLastColumn="0" w:lastRowFirstColumn="0" w:lastRowLastColumn="0"/>
              <w:rPr>
                <w:i/>
                <w:sz w:val="18"/>
                <w:szCs w:val="18"/>
              </w:rPr>
            </w:pPr>
            <w:r w:rsidRPr="0047239E">
              <w:rPr>
                <w:i/>
                <w:sz w:val="18"/>
                <w:szCs w:val="18"/>
              </w:rPr>
              <w:t>Concentrated stream separated from biogas</w:t>
            </w:r>
          </w:p>
        </w:tc>
        <w:tc>
          <w:tcPr>
            <w:tcW w:w="0" w:type="auto"/>
          </w:tcPr>
          <w:p w14:paraId="71314A4B" w14:textId="69D43A4F" w:rsidR="00FF3A0C" w:rsidRPr="0047239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47239E">
              <w:rPr>
                <w:sz w:val="18"/>
                <w:szCs w:val="18"/>
              </w:rPr>
              <w:fldChar w:fldCharType="begin"/>
            </w:r>
            <w:r w:rsidR="005413B4">
              <w:rPr>
                <w:sz w:val="18"/>
                <w:szCs w:val="18"/>
              </w:rPr>
              <w:instrText xml:space="preserve"> ADDIN ZOTERO_ITEM CSL_CITATION {"citationID":"ABLuYrRm","properties":{"formattedCitation":"\\super 207\\nosupersub{}","plainCitation":"207","noteIndex":0},"citationItems":[{"id":2053,"uris":["http://zotero.org/users/6423791/items/2KAFGQYZ"],"itemData":{"id":2053,"type":"article-journal","abstract":"Microbial protein (MP) can alleviate the increasing pressure of food demand on agriculture and our environment. For its sustainable production, feedstocks such as biomethane or (bio)hydrogen are needed. Here, we coupled biogas produced from agricultural waste directly with electrochemical biogas upgrading to subsequently produce MP from methane, hydrogen or a mixture thereof. Biogas was produced from co-digestion of pumpkin and pig manure at production rates of 0.73 ± 0.24 Lbiogas L−1reactor day−1 (59% CH4) and 0.59 ± 0.29 Lbiogas L−1reactor day−1 (50% CH4). The biogas was directed to the cathode of an electrochemical cell. At current densities of 20 and 40 A m−2, CO2 removal efficiencies of 88 ± 14% and 99 ± 1% were achieved. Enrichments of MP (hydrogen- and methane oxidizing bacterial cultures) were cultivated on either raw biogas or gases obtained from the cathode (CH4, CO2, H2) and anode (CO2, O2) in batch mode with external supplementation of O2 and H2 when required. The best performance was obtained when the cathode off-gas was used in terms of biomass concentration (0.585 g CDW L−1), yield (0.150 g CDW g−1 COD), efficiency of COD conversion to protein (17%) volumetric biomass productivity (0.226 g CDW L−1 day−1) and volumetric protein productivity (0.181 g protein L−1 day−1). The protein content was similar when using anode and cathode off-gases (66.3 ± 7.3% of CDW) with raw biogas resulting in a 6% lower protein content. This proof of concept demonstrated that electrochemical biogas upgrading enables steering MP production.","container-title":"Chemical Engineering Journal","DOI":"10.1016/j.cej.2019.123625","ISSN":"1385-8947","journalAbbreviation":"Chem. Eng. J.","language":"en","page":"123625","source":"ScienceDirect","title":"Microbial protein production from methane via electrochemical biogas upgrading","volume":"391","author":[{"family":"Acosta","given":"Nayaret"},{"family":"Sakarika","given":"Myrsini"},{"family":"Kerckhof","given":"Frederiek-Maarten"},{"family":"Law","given":"Cindy Ka Y."},{"family":"De Vrieze","given":"Jo"},{"family":"Rabaey","given":"Korneel"}],"issued":{"date-parts":[["2020",7,1]]}}}],"schema":"https://github.com/citation-style-language/schema/raw/master/csl-citation.json"} </w:instrText>
            </w:r>
            <w:r w:rsidRPr="0047239E">
              <w:rPr>
                <w:sz w:val="18"/>
                <w:szCs w:val="18"/>
              </w:rPr>
              <w:fldChar w:fldCharType="separate"/>
            </w:r>
            <w:r w:rsidR="005413B4" w:rsidRPr="005413B4">
              <w:rPr>
                <w:rFonts w:ascii="Calibri" w:hAnsi="Calibri" w:cs="Calibri"/>
                <w:sz w:val="18"/>
                <w:szCs w:val="24"/>
                <w:vertAlign w:val="superscript"/>
              </w:rPr>
              <w:t>207</w:t>
            </w:r>
            <w:r w:rsidRPr="0047239E">
              <w:rPr>
                <w:sz w:val="18"/>
                <w:szCs w:val="18"/>
              </w:rPr>
              <w:fldChar w:fldCharType="end"/>
            </w:r>
          </w:p>
        </w:tc>
      </w:tr>
      <w:tr w:rsidR="00FF3A0C" w:rsidRPr="0047239E" w14:paraId="1CB3A0EC" w14:textId="77777777" w:rsidTr="0047239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04FBF45A" w14:textId="77777777" w:rsidR="00FF3A0C" w:rsidRPr="0047239E" w:rsidRDefault="00FF3A0C" w:rsidP="006B7E52">
            <w:pPr>
              <w:rPr>
                <w:sz w:val="18"/>
                <w:szCs w:val="18"/>
              </w:rPr>
            </w:pPr>
          </w:p>
        </w:tc>
        <w:tc>
          <w:tcPr>
            <w:tcW w:w="0" w:type="auto"/>
          </w:tcPr>
          <w:p w14:paraId="50D9E614" w14:textId="77777777" w:rsidR="00FF3A0C" w:rsidRPr="0047239E" w:rsidRDefault="00FF3A0C" w:rsidP="006B7E52">
            <w:pPr>
              <w:cnfStyle w:val="000000100000" w:firstRow="0" w:lastRow="0" w:firstColumn="0" w:lastColumn="0" w:oddVBand="0" w:evenVBand="0" w:oddHBand="1" w:evenHBand="0" w:firstRowFirstColumn="0" w:firstRowLastColumn="0" w:lastRowFirstColumn="0" w:lastRowLastColumn="0"/>
              <w:rPr>
                <w:b/>
                <w:sz w:val="18"/>
                <w:szCs w:val="18"/>
              </w:rPr>
            </w:pPr>
            <w:r w:rsidRPr="0047239E">
              <w:rPr>
                <w:b/>
                <w:sz w:val="18"/>
                <w:szCs w:val="18"/>
              </w:rPr>
              <w:t>Other</w:t>
            </w:r>
          </w:p>
        </w:tc>
        <w:tc>
          <w:tcPr>
            <w:tcW w:w="0" w:type="auto"/>
          </w:tcPr>
          <w:p w14:paraId="525C6EBF" w14:textId="77777777" w:rsidR="00FF3A0C" w:rsidRPr="0047239E"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47239E">
              <w:rPr>
                <w:i/>
                <w:sz w:val="18"/>
                <w:szCs w:val="18"/>
              </w:rPr>
              <w:t>e.g. flue gas of MOB production</w:t>
            </w:r>
          </w:p>
        </w:tc>
        <w:tc>
          <w:tcPr>
            <w:tcW w:w="0" w:type="auto"/>
          </w:tcPr>
          <w:p w14:paraId="3F117B4A" w14:textId="01B3FE19" w:rsidR="00FF3A0C" w:rsidRPr="0047239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47239E">
              <w:rPr>
                <w:sz w:val="18"/>
                <w:szCs w:val="18"/>
              </w:rPr>
              <w:fldChar w:fldCharType="begin"/>
            </w:r>
            <w:r w:rsidR="00827449">
              <w:rPr>
                <w:sz w:val="18"/>
                <w:szCs w:val="18"/>
              </w:rPr>
              <w:instrText xml:space="preserve"> ADDIN ZOTERO_ITEM CSL_CITATION {"citationID":"BGPRdq68","properties":{"formattedCitation":"\\super 22\\nosupersub{}","plainCitation":"22","noteIndex":0},"citationItems":[{"id":12862,"uris":["http://zotero.org/users/6423791/items/YGDJPK4F"],"itemData":{"id":12862,"type":"article-journal","abstract":"The concerns over food security and protein scarcity, driven by population increase and higher standards of living, have pushed scientists toward finding new protein sources. A considerable proportion of resources and agricultural lands are currently dedicated to proteinaceous feed production to raise livestock and poultry for human consumption. The 1st generation of microbial protein (MP) came into the market as land-independent proteinaceous feed for livestock and aquaculture. However, MP may be a less sustainable alternative to conventional feeds, such as soybean meal and fishmeal, because this technology currently requires natural gas and synthetic chemicals. These challenges have directed researchers toward the production of 2nd generation MP by integrating renewable energies, anaerobic digestion, nutrient recovery, biogas cleaning and upgrading, carbon-capture technologies, and fermentation. The fermentation of methane-oxidizing bacteria (MOB) and hydrogen-oxidizing bacteria (HOB), i.e., two protein rich microorganisms, has shown a great potential, on the one hand, to upcycle effluents from anaerobic digestion into protein rich biomass, and on the other hand, to be coupled to renewable energy systems under the concept of Power-to-X. This work compares various production routes for 2nd generation MP by reviewing the latest studies conducted in this context and introducing the state-of-the-art technologies, hoping that the findings can accelerate and facilitate upscaling of MP production. The results show that 2nd generation MP depends on the expansion of renewable energies. In countries with high penetration of renewable electricity, such as Nordic countries, off-peak surplus electricity can be used within MP-industry by supplying electrolytic H2, which is the driving factor for both MOB and HOB-based MP production. However, nutrient recovery technologies are the heart of the 2nd generation MP industry as they determine the process costs and quality of the final product. Although huge attempts have been made to date in this context, some bottlenecks such as immature nutrient recovery technologies, less efficient fermenters with insufficient gas-to-liquid transfer, and costly electrolytic hydrogen production and storage have hindered the scale up of MP production. Furthermore, further research into techno-economic feasibility and life cycle assessment (LCA) of coupled technologies is still needed to identify key points for improvement and thereby secure a sustainable production system.","container-title":"Renewable and Sustainable Energy Reviews","DOI":"10.1016/j.rser.2021.112041","ISSN":"1364-0321","journalAbbreviation":"Renew. Sust. Energ. Rev.","language":"en","page":"112041","source":"ScienceDirect","title":"From renewable energy to sustainable protein sources: Advancement, challenges, and future roadmaps","title-short":"From renewable energy to sustainable protein sources","volume":"157","author":[{"family":"Khoshnevisan","given":"Benyamin"},{"family":"He","given":"Li"},{"family":"Xu","given":"Mingyi"},{"family":"Valverde-Pérez","given":"Borja"},{"family":"Sillman","given":"Jani"},{"family":"Mitraka","given":"Georgia-Christina"},{"family":"Kougias","given":"Panagiotis G."},{"family":"Zhang","given":"Yifeng"},{"family":"Yan","given":"Shuiping"},{"family":"Ji","given":"Long"},{"family":"Carbajales-Dale","given":"Michael"},{"family":"Elyasi","given":"Seyedeh Nashmin"},{"family":"Marami","given":"Hadis"},{"family":"Tsapekos","given":"Panagiotis"},{"family":"Liu","given":"Hongbin"},{"family":"Angelidaki","given":"Irini"}],"issued":{"date-parts":[["2022",4,1]]}}}],"schema":"https://github.com/citation-style-language/schema/raw/master/csl-citation.json"} </w:instrText>
            </w:r>
            <w:r w:rsidRPr="0047239E">
              <w:rPr>
                <w:sz w:val="18"/>
                <w:szCs w:val="18"/>
              </w:rPr>
              <w:fldChar w:fldCharType="separate"/>
            </w:r>
            <w:r w:rsidR="00682E10" w:rsidRPr="0047239E">
              <w:rPr>
                <w:rFonts w:ascii="Calibri" w:hAnsi="Calibri" w:cs="Calibri"/>
                <w:sz w:val="18"/>
                <w:szCs w:val="18"/>
                <w:vertAlign w:val="superscript"/>
              </w:rPr>
              <w:t>22</w:t>
            </w:r>
            <w:r w:rsidRPr="0047239E">
              <w:rPr>
                <w:sz w:val="18"/>
                <w:szCs w:val="18"/>
              </w:rPr>
              <w:fldChar w:fldCharType="end"/>
            </w:r>
          </w:p>
        </w:tc>
      </w:tr>
      <w:tr w:rsidR="00FF3A0C" w:rsidRPr="0047239E" w14:paraId="6814DDC6" w14:textId="77777777" w:rsidTr="0047239E">
        <w:trPr>
          <w:jc w:val="center"/>
        </w:trPr>
        <w:tc>
          <w:tcPr>
            <w:cnfStyle w:val="001000000000" w:firstRow="0" w:lastRow="0" w:firstColumn="1" w:lastColumn="0" w:oddVBand="0" w:evenVBand="0" w:oddHBand="0" w:evenHBand="0" w:firstRowFirstColumn="0" w:firstRowLastColumn="0" w:lastRowFirstColumn="0" w:lastRowLastColumn="0"/>
            <w:tcW w:w="0" w:type="auto"/>
            <w:vMerge w:val="restart"/>
          </w:tcPr>
          <w:p w14:paraId="32314BD0" w14:textId="77777777" w:rsidR="00FF3A0C" w:rsidRPr="0047239E" w:rsidRDefault="00FF3A0C" w:rsidP="006B7E52">
            <w:pPr>
              <w:rPr>
                <w:sz w:val="18"/>
                <w:szCs w:val="18"/>
              </w:rPr>
            </w:pPr>
            <w:r w:rsidRPr="0047239E">
              <w:rPr>
                <w:sz w:val="18"/>
                <w:szCs w:val="18"/>
              </w:rPr>
              <w:t>Methane</w:t>
            </w:r>
          </w:p>
        </w:tc>
        <w:tc>
          <w:tcPr>
            <w:tcW w:w="0" w:type="auto"/>
          </w:tcPr>
          <w:p w14:paraId="28362861" w14:textId="77777777" w:rsidR="00FF3A0C" w:rsidRPr="0047239E" w:rsidRDefault="00FF3A0C" w:rsidP="006B7E52">
            <w:pPr>
              <w:cnfStyle w:val="000000000000" w:firstRow="0" w:lastRow="0" w:firstColumn="0" w:lastColumn="0" w:oddVBand="0" w:evenVBand="0" w:oddHBand="0" w:evenHBand="0" w:firstRowFirstColumn="0" w:firstRowLastColumn="0" w:lastRowFirstColumn="0" w:lastRowLastColumn="0"/>
              <w:rPr>
                <w:b/>
                <w:sz w:val="18"/>
                <w:szCs w:val="18"/>
              </w:rPr>
            </w:pPr>
            <w:r w:rsidRPr="0047239E">
              <w:rPr>
                <w:b/>
                <w:sz w:val="18"/>
                <w:szCs w:val="18"/>
              </w:rPr>
              <w:t>Natural gas</w:t>
            </w:r>
          </w:p>
        </w:tc>
        <w:tc>
          <w:tcPr>
            <w:tcW w:w="0" w:type="auto"/>
          </w:tcPr>
          <w:p w14:paraId="40B7E575" w14:textId="77777777" w:rsidR="00FF3A0C" w:rsidRPr="0047239E" w:rsidRDefault="00FF3A0C" w:rsidP="003B1307">
            <w:pPr>
              <w:jc w:val="both"/>
              <w:cnfStyle w:val="000000000000" w:firstRow="0" w:lastRow="0" w:firstColumn="0" w:lastColumn="0" w:oddVBand="0" w:evenVBand="0" w:oddHBand="0" w:evenHBand="0" w:firstRowFirstColumn="0" w:firstRowLastColumn="0" w:lastRowFirstColumn="0" w:lastRowLastColumn="0"/>
              <w:rPr>
                <w:i/>
                <w:sz w:val="18"/>
                <w:szCs w:val="18"/>
              </w:rPr>
            </w:pPr>
            <w:r w:rsidRPr="0047239E">
              <w:rPr>
                <w:i/>
                <w:sz w:val="18"/>
                <w:szCs w:val="18"/>
              </w:rPr>
              <w:t>Purified to remove e.g. ethane</w:t>
            </w:r>
          </w:p>
        </w:tc>
        <w:tc>
          <w:tcPr>
            <w:tcW w:w="0" w:type="auto"/>
          </w:tcPr>
          <w:p w14:paraId="69EA99A2" w14:textId="3150203C" w:rsidR="00FF3A0C" w:rsidRPr="0047239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47239E">
              <w:rPr>
                <w:sz w:val="18"/>
                <w:szCs w:val="18"/>
              </w:rPr>
              <w:fldChar w:fldCharType="begin"/>
            </w:r>
            <w:r w:rsidR="005413B4">
              <w:rPr>
                <w:sz w:val="18"/>
                <w:szCs w:val="18"/>
              </w:rPr>
              <w:instrText xml:space="preserve"> ADDIN ZOTERO_ITEM CSL_CITATION {"citationID":"9CQRmsqF","properties":{"formattedCitation":"\\super 40,187,197,203\\nosupersub{}","plainCitation":"40,187,197,203","noteIndex":0},"citationItems":[{"id":12853,"uris":["http://zotero.org/users/6423791/items/NHUWJREK"],"itemData":{"id":12853,"type":"article-journal","abstract":"Methane emitted and flared from industrial sources across the United States is a major contributor to global climate change. Methanotrophic bacteria can transform this methane into useful protein-rich biomass, already approved for inclusion into animal feed. In the rapidly growing aquaculture industry, methanotrophic additives have a favourable amino acid profile and can offset ocean-caught fishmeal, reducing demands on over-harvested fisheries. Here we analyse the economic potential of producing methanotrophic microbial protein from stranded methane produced at wastewater treatment plants, landfills, and oil and gas facilities. Our results show that current technology can enable production, in the United States alone, equivalent to 14% of the global fishmeal market at prices at or below the current cost of fishmeal (roughly US$1,600 per metric ton). A sensitivity analysis highlights technically and economically feasible cost reductions (such as reduced cooling or labour requirements), which could allow stranded methane from the United States alone to satisfy global fishmeal demand.","container-title":"Nature Sustainability","DOI":"10.1038/s41893-021-00796-2","ISSN":"2398-9629","journalAbbreviation":"Nat. Sustain.","language":"en","license":"2021 The Author(s), under exclusive licence to Springer Nature Limited","note":"Bandiera_abtest: a\nCg_type: Nature Research Journals\nPrimary_atype: Research\npublisher: Nature Publishing Group\nSubject_term: Environmental biotechnology;Environmental economics\nSubject_term_id: environmental-biotechnology;environmental-economics","page":"1-10","source":"www.nature.com","title":"Displacing fishmeal with protein derived from stranded methane","author":[{"family":"El Abbadi","given":"Sahar H."},{"family":"Sherwin","given":"Evan D."},{"family":"Brandt","given":"Adam R."},{"family":"Luby","given":"Stephen P."},{"family":"Criddle","given":"Craig S."}],"issued":{"date-parts":[["2021",11,22]]}}},{"id":558,"uris":["http://zotero.org/users/6423791/items/YPK9LCXF"],"itemData":{"id":558,"type":"article-journal","abstract":"One of the main challenges for the 21st century is to balance the increasing demand for high-quality proteins while mitigating environmental impacts. In particular, cropland-based production of protein-rich animal feed for livestock rearing results in large-scale agricultural land-expansion, nitrogen pollution, and greenhouse gas emissions. Here we propose and analyze the longterm potential of alternative animal feed supply routes based on industrial production of microbial proteins (MP). Our analysis reveals that by 2050, MP can replace, depending on socioeconomic development and MP production pathways, between 10−19% of conventional crop-based animal feed protein demand. As a result, global cropland area, global nitrogen losses from croplands and agricultural greenhouse gas emissions can be decreased by 6% (0−13%), 8% (−3−8%), and 7% (−6−9%), respectively. Interestingly, the technology to industrially produce MP at competitive costs is directly accessible for implementation and has the potential to cause a major structural change in the agro-food system.","container-title":"Environmental Science &amp; Technology","DOI":"10.1021/acs.est.8b00216","ISSN":"0013-936X, 1520-5851","issue":"13","journalAbbreviation":"Environ. Sci. Technol.","language":"en","page":"7351-7359","source":"DOI.org (Crossref)","title":"Decoupling Livestock from Land Use through Industrial Feed Production Pathways","volume":"52","author":[{"family":"Pikaar","given":"Ilje"},{"family":"Matassa","given":"Silvio"},{"family":"Bodirsky","given":"Benjamin L."},{"family":"Weindl","given":"Isabelle"},{"family":"Humpenöder","given":"Florian"},{"family":"Rabaey","given":"Korneel"},{"family":"Boon","given":"Nico"},{"family":"Bruschi","given":"Michele"},{"family":"Yuan","given":"Zhiguo"},{"family":"Zanten","given":"Hannah","non-dropping-particle":"van"},{"family":"Herrero","given":"Mario"},{"family":"Verstraete","given":"Willy"},{"family":"Popp","given":"Alexander"}],"issued":{"date-parts":[["2018",7,3]]}}},{"id":2363,"uris":["http://zotero.org/users/6423791/items/RHD6WXUH"],"itemData":{"id":2363,"type":"article-journal","abstract":"Human civilization's food production system is currently unprepared for catastrophes that would reduce global food production by 10% or more, such as nuclear winter, supervolcanic eruptions or asteroid impacts. Alternative foods that do not require much or any sunlight have been proposed as a more cost-effective solution than increasing food stockpiles, given the long duration of many global catastrophic risks (GCRs) that could hamper conventional agriculture for 5 to 10 years. Microbial food from single cell protein (SCP) produced via hydrogen from both gasification and electrolysis is analyzed in this study as alternative food for the most severe food shock scenario: a sun-blocking catastrophe. Capital costs, resource requirements and ramp up rates are quantified to determine its viability. Potential bottlenecks to fast deployment of the technology are reviewed. The ramp up speed of food production for 24/7 construction of the facilities over 6 years is estimated to be lower than other alternatives (3-10% of the global protein requirements could be fulfilled at end of first year), but the nutritional quality of the microbial protein is higher than for most other alternative foods for catastrophes. Results suggest that investment in SCP ramp up should be limited to the production capacity that is needed to fulfill only the minimum recommended protein requirements of humanity during the catastrophe. Further research is needed into more uncertain concerns such as transferability of labor and equipment production. This could help reduce the negative impact of potential food-related GCRs.","container-title":"Sustainable Production and Consumption","DOI":"10.1016/j.spc.2020.08.011","ISSN":"2352-5509","journalAbbreviation":"Sustain. Prod. Consum.","language":"en","page":"234-247","source":"ScienceDirect","title":"Potential of microbial protein from hydrogen for preventing mass starvation in catastrophic scenarios","volume":"25","author":[{"family":"García Martínez","given":"Juan B."},{"family":"Egbejimba","given":"Joseph"},{"family":"Throup","given":"James"},{"family":"Matassa","given":"Silvio"},{"family":"Pearce","given":"Joshua M."},{"family":"Denkenberger","given":"David C."}],"issued":{"date-parts":[["2021",1,1]]}}},{"id":10970,"uris":["http://zotero.org/users/6423791/items/5E2YP43S"],"itemData":{"id":10970,"type":"report","abstract":"Het InnovatieNetwerk Groene Ruimte en Agrocluster heeft eerder een haalbaarheidsstudie laten opstellen voor het ontwerp van een nieuw visteeltsysteem op een schip of drijvende bak. Onderdeel hiervan is een eerste aanzet van een haalbaarheidsonderzoek van de productie op het schip van het eiwitrijke Single Cell Protein (SCP). In een voortgezette haalbaarheidsstudie is onderzoek gedaan naar de mogelijkheid van SCP-productie voor veevoeders in een centrale installatie om zo de import van soja te verminderen.","language":"nl","note":"OCLC: 1012527642","publisher":"InnovatieNetwerk","source":"Open WorldCat","title":"Single Cell Protein (SCP) als alternatief voor soja: een haalbaarheidsstudie","title-short":"Single Cell Protein (SCP) als alternatief voor soja","URL":"http://edepot.wur.nl/116725","author":[{"family":"Huizing","given":"H.J."}],"accessed":{"date-parts":[["2021",4,14]]},"issued":{"date-parts":[["2005"]]}}}],"schema":"https://github.com/citation-style-language/schema/raw/master/csl-citation.json"} </w:instrText>
            </w:r>
            <w:r w:rsidRPr="0047239E">
              <w:rPr>
                <w:sz w:val="18"/>
                <w:szCs w:val="18"/>
              </w:rPr>
              <w:fldChar w:fldCharType="separate"/>
            </w:r>
            <w:r w:rsidR="005413B4" w:rsidRPr="005413B4">
              <w:rPr>
                <w:rFonts w:ascii="Calibri" w:hAnsi="Calibri" w:cs="Calibri"/>
                <w:sz w:val="18"/>
                <w:szCs w:val="24"/>
                <w:vertAlign w:val="superscript"/>
              </w:rPr>
              <w:t>40,187,197,203</w:t>
            </w:r>
            <w:r w:rsidRPr="0047239E">
              <w:rPr>
                <w:sz w:val="18"/>
                <w:szCs w:val="18"/>
              </w:rPr>
              <w:fldChar w:fldCharType="end"/>
            </w:r>
          </w:p>
        </w:tc>
      </w:tr>
      <w:tr w:rsidR="00FF3A0C" w:rsidRPr="0047239E" w14:paraId="2AF9F8F7" w14:textId="77777777" w:rsidTr="0047239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038CF3CA" w14:textId="77777777" w:rsidR="00FF3A0C" w:rsidRPr="0047239E" w:rsidRDefault="00FF3A0C" w:rsidP="006B7E52">
            <w:pPr>
              <w:rPr>
                <w:sz w:val="18"/>
                <w:szCs w:val="18"/>
              </w:rPr>
            </w:pPr>
          </w:p>
        </w:tc>
        <w:tc>
          <w:tcPr>
            <w:tcW w:w="0" w:type="auto"/>
          </w:tcPr>
          <w:p w14:paraId="51712D5A" w14:textId="77777777" w:rsidR="00FF3A0C" w:rsidRPr="0047239E" w:rsidRDefault="00FF3A0C" w:rsidP="006B7E52">
            <w:pPr>
              <w:cnfStyle w:val="000000100000" w:firstRow="0" w:lastRow="0" w:firstColumn="0" w:lastColumn="0" w:oddVBand="0" w:evenVBand="0" w:oddHBand="1" w:evenHBand="0" w:firstRowFirstColumn="0" w:firstRowLastColumn="0" w:lastRowFirstColumn="0" w:lastRowLastColumn="0"/>
              <w:rPr>
                <w:b/>
                <w:sz w:val="18"/>
                <w:szCs w:val="18"/>
              </w:rPr>
            </w:pPr>
            <w:r w:rsidRPr="0047239E">
              <w:rPr>
                <w:b/>
                <w:sz w:val="18"/>
                <w:szCs w:val="18"/>
              </w:rPr>
              <w:t>Raw biogas</w:t>
            </w:r>
          </w:p>
        </w:tc>
        <w:tc>
          <w:tcPr>
            <w:tcW w:w="0" w:type="auto"/>
          </w:tcPr>
          <w:p w14:paraId="7DE5AC89" w14:textId="77777777" w:rsidR="00FF3A0C" w:rsidRPr="0047239E"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47239E">
              <w:rPr>
                <w:i/>
                <w:sz w:val="18"/>
                <w:szCs w:val="18"/>
              </w:rPr>
              <w:t>After cleaning (incl. desulfurization)</w:t>
            </w:r>
          </w:p>
        </w:tc>
        <w:tc>
          <w:tcPr>
            <w:tcW w:w="0" w:type="auto"/>
          </w:tcPr>
          <w:p w14:paraId="6F18F19D" w14:textId="12750A79" w:rsidR="00FF3A0C" w:rsidRPr="0047239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47239E">
              <w:rPr>
                <w:sz w:val="18"/>
                <w:szCs w:val="18"/>
              </w:rPr>
              <w:fldChar w:fldCharType="begin"/>
            </w:r>
            <w:r w:rsidR="005413B4">
              <w:rPr>
                <w:sz w:val="18"/>
                <w:szCs w:val="18"/>
              </w:rPr>
              <w:instrText xml:space="preserve"> ADDIN ZOTERO_ITEM CSL_CITATION {"citationID":"QAZfoA5G","properties":{"formattedCitation":"\\super 22,184,194,195,211,212\\nosupersub{}","plainCitation":"22,184,194,195,211,212","noteIndex":0},"citationItems":[{"id":2354,"uris":["http://zotero.org/users/6423791/items/E7ZZWGWS"],"itemData":{"id":2354,"type":"article-journal","container-title":"Green Chem.","DOI":"10.1039/D0GC01382J","issue":"15","journalAbbreviation":"Green Chem.","language":"en","note":"publisher: Royal Society of Chemistry","page":"4912-4929","source":"pubs-rsc-org.gorgone.univ-toulouse.fr","title":"Upcycling of biowaste carbon and nutrients in line with consumer confidence: the “full gas” route to single cell protein","title-short":"Upcycling of biowaste carbon and nutrients in line with consumer confidence","volume":"22","author":[{"family":"Matassa","given":"Silvio"},{"family":"Papirio","given":"Stefano"},{"family":"Pikaar","given":"Ilje"},{"family":"Hülsen","given":"Tim"},{"family":"Leijenhorst","given":"Evert"},{"family":"Esposito","given":"Giovanni"},{"family":"Pirozzi","given":"Francesco"},{"family":"Verstraete","given":"Willy"}],"issued":{"date-parts":[["2020"]]}}},{"id":12862,"uris":["http://zotero.org/users/6423791/items/YGDJPK4F"],"itemData":{"id":12862,"type":"article-journal","abstract":"The concerns over food security and protein scarcity, driven by population increase and higher standards of living, have pushed scientists toward finding new protein sources. A considerable proportion of resources and agricultural lands are currently dedicated to proteinaceous feed production to raise livestock and poultry for human consumption. The 1st generation of microbial protein (MP) came into the market as land-independent proteinaceous feed for livestock and aquaculture. However, MP may be a less sustainable alternative to conventional feeds, such as soybean meal and fishmeal, because this technology currently requires natural gas and synthetic chemicals. These challenges have directed researchers toward the production of 2nd generation MP by integrating renewable energies, anaerobic digestion, nutrient recovery, biogas cleaning and upgrading, carbon-capture technologies, and fermentation. The fermentation of methane-oxidizing bacteria (MOB) and hydrogen-oxidizing bacteria (HOB), i.e., two protein rich microorganisms, has shown a great potential, on the one hand, to upcycle effluents from anaerobic digestion into protein rich biomass, and on the other hand, to be coupled to renewable energy systems under the concept of Power-to-X. This work compares various production routes for 2nd generation MP by reviewing the latest studies conducted in this context and introducing the state-of-the-art technologies, hoping that the findings can accelerate and facilitate upscaling of MP production. The results show that 2nd generation MP depends on the expansion of renewable energies. In countries with high penetration of renewable electricity, such as Nordic countries, off-peak surplus electricity can be used within MP-industry by supplying electrolytic H2, which is the driving factor for both MOB and HOB-based MP production. However, nutrient recovery technologies are the heart of the 2nd generation MP industry as they determine the process costs and quality of the final product. Although huge attempts have been made to date in this context, some bottlenecks such as immature nutrient recovery technologies, less efficient fermenters with insufficient gas-to-liquid transfer, and costly electrolytic hydrogen production and storage have hindered the scale up of MP production. Furthermore, further research into techno-economic feasibility and life cycle assessment (LCA) of coupled technologies is still needed to identify key points for improvement and thereby secure a sustainable production system.","container-title":"Renewable and Sustainable Energy Reviews","DOI":"10.1016/j.rser.2021.112041","ISSN":"1364-0321","journalAbbreviation":"Renew. Sust. Energ. Rev.","language":"en","page":"112041","source":"ScienceDirect","title":"From renewable energy to sustainable protein sources: Advancement, challenges, and future roadmaps","title-short":"From renewable energy to sustainable protein sources","volume":"157","author":[{"family":"Khoshnevisan","given":"Benyamin"},{"family":"He","given":"Li"},{"family":"Xu","given":"Mingyi"},{"family":"Valverde-Pérez","given":"Borja"},{"family":"Sillman","given":"Jani"},{"family":"Mitraka","given":"Georgia-Christina"},{"family":"Kougias","given":"Panagiotis G."},{"family":"Zhang","given":"Yifeng"},{"family":"Yan","given":"Shuiping"},{"family":"Ji","given":"Long"},{"family":"Carbajales-Dale","given":"Michael"},{"family":"Elyasi","given":"Seyedeh Nashmin"},{"family":"Marami","given":"Hadis"},{"family":"Tsapekos","given":"Panagiotis"},{"family":"Liu","given":"Hongbin"},{"family":"Angelidaki","given":"Irini"}],"issued":{"date-parts":[["2022",4,1]]}}},{"id":12428,"uris":["http://zotero.org/users/6423791/items/6T57THSK"],"itemData":{"id":12428,"type":"thesis","number-of-pages":"149","publisher":"Standford University","title":"Engineering the Dark Food Chain:the Role of Methanotrophic Bacteria Infood Production and Climate Change Mitigation","URL":"https://stacks.stanford.edu/file/druid:bg967bh2013/ElAbbadi_dissertation_2021-07-19-augmented.pdf","author":[{"family":"El Abbadi","given":"Sahar H."}],"accessed":{"date-parts":[["2021",11,30]]},"issued":{"date-parts":[["2021",7]]}}},{"id":1878,"uris":["http://zotero.org/users/6423791/items/J32BCSLB"],"itemData":{"id":1878,"type":"article-journal","abstract":"Anaerobic digesters produce biogas, a mixture of predominantly CH4 and CO2, which is typically incinerated to recover electrical and/or thermal energy. In a context of circular economy, the CH4 and CO2 could be used as chemical feedstock in combination with ammonium from the digestate. Their combination into protein-rich bacterial, used as animal feed additive, could contribute to the ever growing global demand for nutritive protein sources and improve the overall nitrogen efficiency of the current agro- feed/food chain. In this concept, renewable CH4 and H2 can serve as carbon-neutral energy sources for the production of protein-rich cellular biomass, while assimilating and upgrading recovered ammonia from the digestate. This study evaluated the potential of producing sustainable high-quality protein additives in a decentralized way through coupling anaerobic digestion and microbial protein production using methanotrophic and hydrogenotrophic bacteria in an on-farm bioreactor. We show that a practical case digester handling liquid piggery manure, of which the energy content is supplemented for 30% with co-substrates, provides sufficient biogas to allow the subsequent microbial protein as feed production for about 37% of the number of pigs from which the manure was derived. Overall, producing microbial protein on the farm from available methane and ammonia liberated by anaerobic digesters treating manure appears economically and technically feasible within the current range of market prices existing for high-quality protein. The case of producing biomethane for grid injection and upgrading the CO2 with electrolytic hydrogen to microbial protein by means of hydrogen-oxidizing bacteria was also examined but found less attractive at the current production prices of renewable hydrogen. Our calculations show that this route is only of commercial interest if the protein value equals the value of high-value protein additives like fishmeal and if the avoided costs for nutrient removal from the digestate are taken into consideration.","container-title":"Microbial Biotechnology","DOI":"10.1111/1751-7915.13600","ISSN":"1751-7915","issue":"3","journalAbbreviation":"Microb. Biotechnol.","language":"en","license":"© 2020 The Authors. Microbial Biotechnology  published by John Wiley &amp; Sons Ltd and Society for Applied Microbiology.","note":"_eprint: https://onlinelibrary.wiley.com/doi/pdf/10.1111/1751-7915.13600","page":"897-910","source":"Wiley Online Library","title":"Assessing the potential for up-cycling recovered resources from anaerobic digestion through microbial protein production","volume":"14","author":[{"family":"Verbeeck","given":"Kristof"},{"family":"Vrieze","given":"Jo De"},{"family":"Pikaar","given":"Ilje"},{"family":"Verstraete","given":"Willy"},{"family":"Rabaey","given":"Korneel"}],"issued":{"date-parts":[["2020"]]}}},{"id":12145,"uris":["http://zotero.org/users/6423791/items/GIIKHD47"],"itemData":{"id":12145,"type":"article-journal","abstract":"Biogas is a mixture of mainly CH4 and CO2, which can be generated from anaerobic digestion of organic materials. The use of biogas is mostly limited to thermal energy and electricity generation. However, the abundance of cheap shale gas and solar energy could drive out biogas for such applications in the near future. Hence, alternative applications of biogas have recently received great attention among researchers across the globe. This review, for the first time, discusses the feasibility of the bioconversion of biogas to value-added products, including single cell protein as animal feed supplement, and methanol that is an important building block in the chemical industries. Mechanisms of the process, microorgnisms involved and key parameters affecting their efficiency are discussed in detail. Some future research needs are suggested in order to deepen our understanding of these biochemical processes.","container-title":"Environmental Engineering Research","DOI":"10.4491/eer.2021.109","ISSN":"1226-1025, 2005-968X","issue":"4","journalAbbreviation":"Environmental Engineering Research","language":"en","page":"210109-0","source":"DOI.org (Crossref)","title":"Conversion of biogas from anaerobic digestion to single cell protein and bio-methanol: mechanism, microorganisms and key factors - A review","title-short":"Conversion of biogas from anaerobic digestion to single cell protein and bio-methanol","volume":"27","author":[{"family":"Salehi","given":"Reza"},{"family":"Chaiprapat","given":"Sumate"}],"issued":{"date-parts":[["2021",6,21]]}}},{"id":13920,"uris":["http://zotero.org/users/6423791/items/3BJPDWYB"],"itemData":{"id":13920,"type":"article-journal","abstract":"The high-value utilization of biogas and reasonable disposal of biogas slurry have become an issue worldwide. In the current study, the possibility of single-cell protein (SCP) recovery from biogas and sterilized biogas slurry using a combined microalga (MG)- (Chlorella vulgaris) and methane-oxidizing bacterial (MOB) system was investigated. Results showed that the optimum content of sterilized biogas slurry for MG cultivation was 80% (v/v), while it was 40% (v/v) for MOB. Thus, the biogas slurry content for the combined system was selected as 40% (v/v), under which condition the dry biomass and SCP yields were 280 and 90.43 mg/L, respectively. The SCP yield of MOB solely decreased by 9.57% when the Na2S concentration increased from 2.19 to 12.53 mg/L, while the SCP yield of the combined system was not obviously affected. Besides, the amino acid profiles of MG and MOB were altered by Na2S, while it was more balanced in the combined system.","container-title":"ACS ES&amp;T Engineering","DOI":"10.1021/acsestengg.2c00237","journalAbbreviation":"ACS EST Eng.","note":"publisher: American Chemical Society","source":"ACS Publications","title":"Conversion of Renewable Biogas into Single-Cell Protein Using a Combined Microalga- and Methane-Oxidizing Bacterial System","URL":"https://doi.org/10.1021/acsestengg.2c00237","author":[{"family":"Wang","given":"Dong-Hui"},{"family":"Zhu","given":"Meng-Yuan"},{"family":"Lian","given":"Shu-Juan"},{"family":"Zou","given":"Hua"},{"family":"Fu","given":"Shan-Fei"},{"family":"Guo","given":"Rong-Bo"}],"accessed":{"date-parts":[["2022",11,24]]},"issued":{"date-parts":[["2022",11,19]]}}}],"schema":"https://github.com/citation-style-language/schema/raw/master/csl-citation.json"} </w:instrText>
            </w:r>
            <w:r w:rsidRPr="0047239E">
              <w:rPr>
                <w:sz w:val="18"/>
                <w:szCs w:val="18"/>
              </w:rPr>
              <w:fldChar w:fldCharType="separate"/>
            </w:r>
            <w:r w:rsidR="005413B4" w:rsidRPr="005413B4">
              <w:rPr>
                <w:rFonts w:ascii="Calibri" w:hAnsi="Calibri" w:cs="Calibri"/>
                <w:sz w:val="18"/>
                <w:szCs w:val="24"/>
                <w:vertAlign w:val="superscript"/>
              </w:rPr>
              <w:t>22,184,194,195,211,212</w:t>
            </w:r>
            <w:r w:rsidRPr="0047239E">
              <w:rPr>
                <w:sz w:val="18"/>
                <w:szCs w:val="18"/>
              </w:rPr>
              <w:fldChar w:fldCharType="end"/>
            </w:r>
          </w:p>
        </w:tc>
      </w:tr>
      <w:tr w:rsidR="00FF3A0C" w:rsidRPr="0047239E" w14:paraId="216D32E7" w14:textId="77777777" w:rsidTr="0047239E">
        <w:trPr>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52D0E8FB" w14:textId="77777777" w:rsidR="00FF3A0C" w:rsidRPr="0047239E" w:rsidRDefault="00FF3A0C" w:rsidP="006B7E52">
            <w:pPr>
              <w:rPr>
                <w:sz w:val="18"/>
                <w:szCs w:val="18"/>
              </w:rPr>
            </w:pPr>
          </w:p>
        </w:tc>
        <w:tc>
          <w:tcPr>
            <w:tcW w:w="0" w:type="auto"/>
          </w:tcPr>
          <w:p w14:paraId="3386C970" w14:textId="77777777" w:rsidR="00FF3A0C" w:rsidRPr="0047239E" w:rsidRDefault="00FF3A0C" w:rsidP="006B7E52">
            <w:pPr>
              <w:cnfStyle w:val="000000000000" w:firstRow="0" w:lastRow="0" w:firstColumn="0" w:lastColumn="0" w:oddVBand="0" w:evenVBand="0" w:oddHBand="0" w:evenHBand="0" w:firstRowFirstColumn="0" w:firstRowLastColumn="0" w:lastRowFirstColumn="0" w:lastRowLastColumn="0"/>
              <w:rPr>
                <w:b/>
                <w:sz w:val="18"/>
                <w:szCs w:val="18"/>
              </w:rPr>
            </w:pPr>
            <w:r w:rsidRPr="0047239E">
              <w:rPr>
                <w:b/>
                <w:sz w:val="18"/>
                <w:szCs w:val="18"/>
              </w:rPr>
              <w:t>Biomethane</w:t>
            </w:r>
          </w:p>
        </w:tc>
        <w:tc>
          <w:tcPr>
            <w:tcW w:w="0" w:type="auto"/>
          </w:tcPr>
          <w:p w14:paraId="54EAA8E0" w14:textId="77777777" w:rsidR="00FF3A0C" w:rsidRPr="0047239E" w:rsidRDefault="00FF3A0C" w:rsidP="003B1307">
            <w:pPr>
              <w:jc w:val="both"/>
              <w:cnfStyle w:val="000000000000" w:firstRow="0" w:lastRow="0" w:firstColumn="0" w:lastColumn="0" w:oddVBand="0" w:evenVBand="0" w:oddHBand="0" w:evenHBand="0" w:firstRowFirstColumn="0" w:firstRowLastColumn="0" w:lastRowFirstColumn="0" w:lastRowLastColumn="0"/>
              <w:rPr>
                <w:i/>
                <w:sz w:val="18"/>
                <w:szCs w:val="18"/>
              </w:rPr>
            </w:pPr>
            <w:r w:rsidRPr="0047239E">
              <w:rPr>
                <w:i/>
                <w:sz w:val="18"/>
                <w:szCs w:val="18"/>
              </w:rPr>
              <w:t>After biogas upgrading (e.g. water scrubbing, PSA, etc.)</w:t>
            </w:r>
          </w:p>
        </w:tc>
        <w:tc>
          <w:tcPr>
            <w:tcW w:w="0" w:type="auto"/>
          </w:tcPr>
          <w:p w14:paraId="495D7563" w14:textId="77EE8B2B" w:rsidR="00FF3A0C" w:rsidRPr="0047239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47239E">
              <w:rPr>
                <w:sz w:val="18"/>
                <w:szCs w:val="18"/>
              </w:rPr>
              <w:fldChar w:fldCharType="begin"/>
            </w:r>
            <w:r w:rsidR="005413B4">
              <w:rPr>
                <w:sz w:val="18"/>
                <w:szCs w:val="18"/>
              </w:rPr>
              <w:instrText xml:space="preserve"> ADDIN ZOTERO_ITEM CSL_CITATION {"citationID":"JnQlYTiU","properties":{"formattedCitation":"\\super 22,199,213,214\\nosupersub{}","plainCitation":"22,199,213,214","noteIndex":0},"citationItems":[{"id":12862,"uris":["http://zotero.org/users/6423791/items/YGDJPK4F"],"itemData":{"id":12862,"type":"article-journal","abstract":"The concerns over food security and protein scarcity, driven by population increase and higher standards of living, have pushed scientists toward finding new protein sources. A considerable proportion of resources and agricultural lands are currently dedicated to proteinaceous feed production to raise livestock and poultry for human consumption. The 1st generation of microbial protein (MP) came into the market as land-independent proteinaceous feed for livestock and aquaculture. However, MP may be a less sustainable alternative to conventional feeds, such as soybean meal and fishmeal, because this technology currently requires natural gas and synthetic chemicals. These challenges have directed researchers toward the production of 2nd generation MP by integrating renewable energies, anaerobic digestion, nutrient recovery, biogas cleaning and upgrading, carbon-capture technologies, and fermentation. The fermentation of methane-oxidizing bacteria (MOB) and hydrogen-oxidizing bacteria (HOB), i.e., two protein rich microorganisms, has shown a great potential, on the one hand, to upcycle effluents from anaerobic digestion into protein rich biomass, and on the other hand, to be coupled to renewable energy systems under the concept of Power-to-X. This work compares various production routes for 2nd generation MP by reviewing the latest studies conducted in this context and introducing the state-of-the-art technologies, hoping that the findings can accelerate and facilitate upscaling of MP production. The results show that 2nd generation MP depends on the expansion of renewable energies. In countries with high penetration of renewable electricity, such as Nordic countries, off-peak surplus electricity can be used within MP-industry by supplying electrolytic H2, which is the driving factor for both MOB and HOB-based MP production. However, nutrient recovery technologies are the heart of the 2nd generation MP industry as they determine the process costs and quality of the final product. Although huge attempts have been made to date in this context, some bottlenecks such as immature nutrient recovery technologies, less efficient fermenters with insufficient gas-to-liquid transfer, and costly electrolytic hydrogen production and storage have hindered the scale up of MP production. Furthermore, further research into techno-economic feasibility and life cycle assessment (LCA) of coupled technologies is still needed to identify key points for improvement and thereby secure a sustainable production system.","container-title":"Renewable and Sustainable Energy Reviews","DOI":"10.1016/j.rser.2021.112041","ISSN":"1364-0321","journalAbbreviation":"Renew. Sust. Energ. Rev.","language":"en","page":"112041","source":"ScienceDirect","title":"From renewable energy to sustainable protein sources: Advancement, challenges, and future roadmaps","title-short":"From renewable energy to sustainable protein sources","volume":"157","author":[{"family":"Khoshnevisan","given":"Benyamin"},{"family":"He","given":"Li"},{"family":"Xu","given":"Mingyi"},{"family":"Valverde-Pérez","given":"Borja"},{"family":"Sillman","given":"Jani"},{"family":"Mitraka","given":"Georgia-Christina"},{"family":"Kougias","given":"Panagiotis G."},{"family":"Zhang","given":"Yifeng"},{"family":"Yan","given":"Shuiping"},{"family":"Ji","given":"Long"},{"family":"Carbajales-Dale","given":"Michael"},{"family":"Elyasi","given":"Seyedeh Nashmin"},{"family":"Marami","given":"Hadis"},{"family":"Tsapekos","given":"Panagiotis"},{"family":"Liu","given":"Hongbin"},{"family":"Angelidaki","given":"Irini"}],"issued":{"date-parts":[["2022",4,1]]}}},{"id":12866,"uris":["http://zotero.org/users/6423791/items/26C4AHVP"],"itemData":{"id":12866,"type":"article-journal","abstract":"The growing population and the consequent protein scarcity have led to innovation in proteinaceous feed production methods. In this regard, the upcycling of nitrogen rich effluents into microbial protein (MP)/single cell protein (SCP) is considered as an innovative solution. This paper aims to employ life cycle assessment to identify the most environmentally friendly strategy to upcycle nitrogen (N) and carbon (C) flows from wastewater treatment plant (WWTP) into MP. Accordingly, several pathways for integrating WWTP and MP production facility were evaluated, in terms of C source (i.e., biogas or biomethane) and the pretreatment method applied to the reject water (RW) (i.e., centrifugation + filtration + pasteurization, electrochemical extraction, bio-electrochemical extraction). The results indicated that electrochemical and bio-electrochemical N recovery not only safely extracted N from RW but also led to promising solution for MP production from WWTP effluents. The pathway including bio-electrochemical N recovery and use of biologically upgraded biogas for MP had 42.17%, 195.95%, and 172.03% better environmental performance regarding human health, ecosystem quality, and resource scarcity, respectively, compared with standalone WWTP without MP production. However, the electrochemical N recovery outperformed other scenarios in the human health damage category with a net impact of 2.72 DALY/FU and in ecosystem quality damage category with a saving of −0.033 Species/FU. The results reported herein indicated that the use of chemical nutrients to enrich the cultivation medium had significant impacts on the overall environmental performance of the suggested biorefinery. Decreasing the consumption of synthetic nutrients and improving N to protein conversion efficiency by 20% can make the established pathway much more competitive with conventional proteinaceous feed sources such as soybean meal.","container-title":"Renewable and Sustainable Energy Reviews","DOI":"10.1016/j.rser.2021.111895","ISSN":"1364-0321","journalAbbreviation":"Renew. Sust. Energ. Rev.","language":"en","page":"111895","source":"ScienceDirect","title":"Bridging to circular bioeconomy through a novel biorefinery platform on a wastewater treatment plant","volume":"154","author":[{"family":"Marami","given":"Hadis"},{"family":"He","given":"Li"},{"family":"Rafiee","given":"Shahin"},{"family":"Khoshnevisan","given":"Benyamin"},{"family":"Tsapekos","given":"Panagiotis"},{"family":"Mobli","given":"Hossein"},{"family":"Elyasi","given":"Seyedeh Nashmin"},{"family":"Liu","given":"Hongbin"},{"family":"Angelidaki","given":"Irini"}],"issued":{"date-parts":[["2022",2,1]]}}},{"id":10712,"uris":["http://zotero.org/users/6423791/items/DX9MB2L9"],"itemData":{"id":10712,"type":"article-journal","abstract":"Future long-term manned space missions will require effective recycling of water and nutrients as part of a life support system. Biological waste treatment is less energy intensive than physicochemical treatment methods, yet anaerobic methanogenic waste treatment has been largely avoided due to slow treatment rates and safety issues concerning methane production. However, methane is generated during atmosphere regeneration on the ISS. Here we propose waste treatment via anaerobic digestion followed by methanotrophic growth of Methylococcus capsulatus to produce a protein- and lipid-rich biomass that can be directly consumed, or used to produce other high-protein food sources such as fish. To achieve more rapid methanogenic waste treatment, we built and tested a fixed-film, flow-through, anaerobic reactor to treat an ersatz wastewater. During steady-state operation, the reactor achieved a 97% chemical oxygen demand (COD) removal rate with an organic loading rate of 1740 g d−1 m−3 and a hydraulic retention time of 12.25 d. The reactor was also tested on three occasions by feeding ca. 500 g COD in less than 12 h, representing 50x the daily feeding rate, with COD removal rates ranging from 56–70%, demonstrating the ability of the reactor to respond to overfeeding events. While investigating the storage of treated reactor effluent at a pH of 12, we isolated a strain of Halomonas desiderata capable of acetate degradation under high pH conditions. We then tested the nutritional content of the alkaliphilic Halomonas desiderata strain, as well as the thermophile Thermus aquaticus, as supplemental protein and lipid sources that grow in conditions that should preclude pathogens. The M. capsulatus biomass consisted of 52% protein and 36% lipids, the H. desiderata biomass consisted of 15% protein and 7% lipids, and the Thermus aquaticus biomass consisted of 61% protein and 16% lipids. This work demonstrates the feasibility of rapid waste treatment in a compact reactor design, and proposes recycling of nutrients back into foodstuffs via heterotrophic (including methanotrophic, acetotrophic, and thermophilic) microbial growth.","container-title":"Life Sciences in Space Research","DOI":"10.1016/j.lssr.2017.07.006","ISSN":"2214-5524","journalAbbreviation":"Life Sci. Space Res.","language":"en","page":"32-42","source":"ScienceDirect","title":"Coupling of anaerobic waste treatment to produce protein- and lipid-rich bacterial biomass","volume":"15","author":[{"family":"Steinberg","given":"Lisa M."},{"family":"Kronyak","given":"Rachel E."},{"family":"House","given":"Christopher H."}],"issued":{"date-parts":[["2017",11,1]]}}},{"id":9409,"uris":["http://zotero.org/users/6423791/items/FIZUW62V"],"itemData":{"id":9409,"type":"article-journal","abstract":"Single cell protein (SCP) provides an alternative protein source to partially replace the conventional agricultural resources and support the increased nutritional needs. Inexpensive feeding source is one of the key limiting factors for the expansion of SCP production. The present study examined the valorization of biogas derived from the anaerobic digestion (AD) of sewage sludge and the discarded effluent as nutrients source to produce SCP using methanotrophic bacteria. Results indicated that the mixed methanotrophic culture can grow well on the pasteurized AD supernatant and biogas, succeeding in promising dry weight (DW) yield (0.66 ± 0.01 g-DW/g-CH4 and 11.54 ± 0.12 g-DW/g-NH4+). Methylomonas (56.26%) and Methylophilus (24.60%) spp. were the two main representatives of the mixed culture. The produced dried biomass had a protein content higher than 41% w/w, including essential amino acids like histidine, valine, phenylalanine, isoleucine, leucine, threonine and lysine. The cultivated SCP shows potential utilization as protein source for animal diets.","container-title":"Bioresource Technology","DOI":"10.1016/j.biortech.2020.124351","ISSN":"0960-8524","journalAbbreviation":"Bioresource Technology","language":"en","page":"124351","source":"ScienceDirect","title":"Bioconversion of wastewater to single cell protein by methanotrophic bacteria","volume":"320","author":[{"family":"Zha","given":"Xiao"},{"family":"Tsapekos","given":"Panagiotis"},{"family":"Zhu","given":"Xinyu"},{"family":"Khoshnevisan","given":"Benyamin"},{"family":"Lu","given":"Xiwu"},{"family":"Angelidaki","given":"Irini"}],"issued":{"date-parts":[["2021",1,1]]}}}],"schema":"https://github.com/citation-style-language/schema/raw/master/csl-citation.json"} </w:instrText>
            </w:r>
            <w:r w:rsidRPr="0047239E">
              <w:rPr>
                <w:sz w:val="18"/>
                <w:szCs w:val="18"/>
              </w:rPr>
              <w:fldChar w:fldCharType="separate"/>
            </w:r>
            <w:r w:rsidR="005413B4" w:rsidRPr="005413B4">
              <w:rPr>
                <w:rFonts w:ascii="Calibri" w:hAnsi="Calibri" w:cs="Calibri"/>
                <w:sz w:val="18"/>
                <w:szCs w:val="24"/>
                <w:vertAlign w:val="superscript"/>
              </w:rPr>
              <w:t>22,199,213,214</w:t>
            </w:r>
            <w:r w:rsidRPr="0047239E">
              <w:rPr>
                <w:sz w:val="18"/>
                <w:szCs w:val="18"/>
              </w:rPr>
              <w:fldChar w:fldCharType="end"/>
            </w:r>
          </w:p>
        </w:tc>
      </w:tr>
      <w:tr w:rsidR="00FF3A0C" w:rsidRPr="0047239E" w14:paraId="52C326FC" w14:textId="77777777" w:rsidTr="0047239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75469CE2" w14:textId="77777777" w:rsidR="00FF3A0C" w:rsidRPr="0047239E" w:rsidRDefault="00FF3A0C" w:rsidP="006B7E52">
            <w:pPr>
              <w:rPr>
                <w:sz w:val="18"/>
                <w:szCs w:val="18"/>
              </w:rPr>
            </w:pPr>
          </w:p>
        </w:tc>
        <w:tc>
          <w:tcPr>
            <w:tcW w:w="0" w:type="auto"/>
          </w:tcPr>
          <w:p w14:paraId="30FD898E" w14:textId="77777777" w:rsidR="00FF3A0C" w:rsidRPr="0047239E" w:rsidRDefault="00FF3A0C" w:rsidP="006B7E52">
            <w:pPr>
              <w:cnfStyle w:val="000000100000" w:firstRow="0" w:lastRow="0" w:firstColumn="0" w:lastColumn="0" w:oddVBand="0" w:evenVBand="0" w:oddHBand="1" w:evenHBand="0" w:firstRowFirstColumn="0" w:firstRowLastColumn="0" w:lastRowFirstColumn="0" w:lastRowLastColumn="0"/>
              <w:rPr>
                <w:b/>
                <w:sz w:val="18"/>
                <w:szCs w:val="18"/>
              </w:rPr>
            </w:pPr>
            <w:r w:rsidRPr="0047239E">
              <w:rPr>
                <w:b/>
                <w:sz w:val="18"/>
                <w:szCs w:val="18"/>
              </w:rPr>
              <w:t>Other</w:t>
            </w:r>
          </w:p>
        </w:tc>
        <w:tc>
          <w:tcPr>
            <w:tcW w:w="0" w:type="auto"/>
          </w:tcPr>
          <w:p w14:paraId="0992E561" w14:textId="77777777" w:rsidR="00FF3A0C" w:rsidRPr="0047239E"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47239E">
              <w:rPr>
                <w:i/>
                <w:sz w:val="18"/>
                <w:szCs w:val="18"/>
              </w:rPr>
              <w:t>e.g. electro microbial cells (CO</w:t>
            </w:r>
            <w:r w:rsidRPr="0047239E">
              <w:rPr>
                <w:i/>
                <w:sz w:val="18"/>
                <w:szCs w:val="18"/>
                <w:vertAlign w:val="subscript"/>
              </w:rPr>
              <w:t>2</w:t>
            </w:r>
            <w:r w:rsidRPr="0047239E">
              <w:rPr>
                <w:i/>
                <w:sz w:val="18"/>
                <w:szCs w:val="18"/>
              </w:rPr>
              <w:t>-to-CH</w:t>
            </w:r>
            <w:r w:rsidRPr="0047239E">
              <w:rPr>
                <w:i/>
                <w:sz w:val="18"/>
                <w:szCs w:val="18"/>
                <w:vertAlign w:val="subscript"/>
              </w:rPr>
              <w:t>4</w:t>
            </w:r>
            <w:r w:rsidRPr="0047239E">
              <w:rPr>
                <w:i/>
                <w:sz w:val="18"/>
                <w:szCs w:val="18"/>
              </w:rPr>
              <w:t>), syngas, etc.</w:t>
            </w:r>
          </w:p>
        </w:tc>
        <w:tc>
          <w:tcPr>
            <w:tcW w:w="0" w:type="auto"/>
          </w:tcPr>
          <w:p w14:paraId="63767714" w14:textId="33688B6A" w:rsidR="00FF3A0C" w:rsidRPr="0047239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47239E">
              <w:rPr>
                <w:sz w:val="18"/>
                <w:szCs w:val="18"/>
              </w:rPr>
              <w:fldChar w:fldCharType="begin"/>
            </w:r>
            <w:r w:rsidR="005413B4">
              <w:rPr>
                <w:sz w:val="18"/>
                <w:szCs w:val="18"/>
              </w:rPr>
              <w:instrText xml:space="preserve"> ADDIN ZOTERO_ITEM CSL_CITATION {"citationID":"V6p7nyKp","properties":{"formattedCitation":"\\super 22,207,215\\nosupersub{}","plainCitation":"22,207,215","noteIndex":0},"citationItems":[{"id":12862,"uris":["http://zotero.org/users/6423791/items/YGDJPK4F"],"itemData":{"id":12862,"type":"article-journal","abstract":"The concerns over food security and protein scarcity, driven by population increase and higher standards of living, have pushed scientists toward finding new protein sources. A considerable proportion of resources and agricultural lands are currently dedicated to proteinaceous feed production to raise livestock and poultry for human consumption. The 1st generation of microbial protein (MP) came into the market as land-independent proteinaceous feed for livestock and aquaculture. However, MP may be a less sustainable alternative to conventional feeds, such as soybean meal and fishmeal, because this technology currently requires natural gas and synthetic chemicals. These challenges have directed researchers toward the production of 2nd generation MP by integrating renewable energies, anaerobic digestion, nutrient recovery, biogas cleaning and upgrading, carbon-capture technologies, and fermentation. The fermentation of methane-oxidizing bacteria (MOB) and hydrogen-oxidizing bacteria (HOB), i.e., two protein rich microorganisms, has shown a great potential, on the one hand, to upcycle effluents from anaerobic digestion into protein rich biomass, and on the other hand, to be coupled to renewable energy systems under the concept of Power-to-X. This work compares various production routes for 2nd generation MP by reviewing the latest studies conducted in this context and introducing the state-of-the-art technologies, hoping that the findings can accelerate and facilitate upscaling of MP production. The results show that 2nd generation MP depends on the expansion of renewable energies. In countries with high penetration of renewable electricity, such as Nordic countries, off-peak surplus electricity can be used within MP-industry by supplying electrolytic H2, which is the driving factor for both MOB and HOB-based MP production. However, nutrient recovery technologies are the heart of the 2nd generation MP industry as they determine the process costs and quality of the final product. Although huge attempts have been made to date in this context, some bottlenecks such as immature nutrient recovery technologies, less efficient fermenters with insufficient gas-to-liquid transfer, and costly electrolytic hydrogen production and storage have hindered the scale up of MP production. Furthermore, further research into techno-economic feasibility and life cycle assessment (LCA) of coupled technologies is still needed to identify key points for improvement and thereby secure a sustainable production system.","container-title":"Renewable and Sustainable Energy Reviews","DOI":"10.1016/j.rser.2021.112041","ISSN":"1364-0321","journalAbbreviation":"Renew. Sust. Energ. Rev.","language":"en","page":"112041","source":"ScienceDirect","title":"From renewable energy to sustainable protein sources: Advancement, challenges, and future roadmaps","title-short":"From renewable energy to sustainable protein sources","volume":"157","author":[{"family":"Khoshnevisan","given":"Benyamin"},{"family":"He","given":"Li"},{"family":"Xu","given":"Mingyi"},{"family":"Valverde-Pérez","given":"Borja"},{"family":"Sillman","given":"Jani"},{"family":"Mitraka","given":"Georgia-Christina"},{"family":"Kougias","given":"Panagiotis G."},{"family":"Zhang","given":"Yifeng"},{"family":"Yan","given":"Shuiping"},{"family":"Ji","given":"Long"},{"family":"Carbajales-Dale","given":"Michael"},{"family":"Elyasi","given":"Seyedeh Nashmin"},{"family":"Marami","given":"Hadis"},{"family":"Tsapekos","given":"Panagiotis"},{"family":"Liu","given":"Hongbin"},{"family":"Angelidaki","given":"Irini"}],"issued":{"date-parts":[["2022",4,1]]}}},{"id":2053,"uris":["http://zotero.org/users/6423791/items/2KAFGQYZ"],"itemData":{"id":2053,"type":"article-journal","abstract":"Microbial protein (MP) can alleviate the increasing pressure of food demand on agriculture and our environment. For its sustainable production, feedstocks such as biomethane or (bio)hydrogen are needed. Here, we coupled biogas produced from agricultural waste directly with electrochemical biogas upgrading to subsequently produce MP from methane, hydrogen or a mixture thereof. Biogas was produced from co-digestion of pumpkin and pig manure at production rates of 0.73 ± 0.24 Lbiogas L−1reactor day−1 (59% CH4) and 0.59 ± 0.29 Lbiogas L−1reactor day−1 (50% CH4). The biogas was directed to the cathode of an electrochemical cell. At current densities of 20 and 40 A m−2, CO2 removal efficiencies of 88 ± 14% and 99 ± 1% were achieved. Enrichments of MP (hydrogen- and methane oxidizing bacterial cultures) were cultivated on either raw biogas or gases obtained from the cathode (CH4, CO2, H2) and anode (CO2, O2) in batch mode with external supplementation of O2 and H2 when required. The best performance was obtained when the cathode off-gas was used in terms of biomass concentration (0.585 g CDW L−1), yield (0.150 g CDW g−1 COD), efficiency of COD conversion to protein (17%) volumetric biomass productivity (0.226 g CDW L−1 day−1) and volumetric protein productivity (0.181 g protein L−1 day−1). The protein content was similar when using anode and cathode off-gases (66.3 ± 7.3% of CDW) with raw biogas resulting in a 6% lower protein content. This proof of concept demonstrated that electrochemical biogas upgrading enables steering MP production.","container-title":"Chemical Engineering Journal","DOI":"10.1016/j.cej.2019.123625","ISSN":"1385-8947","journalAbbreviation":"Chem. Eng. J.","language":"en","page":"123625","source":"ScienceDirect","title":"Microbial protein production from methane via electrochemical biogas upgrading","volume":"391","author":[{"family":"Acosta","given":"Nayaret"},{"family":"Sakarika","given":"Myrsini"},{"family":"Kerckhof","given":"Frederiek-Maarten"},{"family":"Law","given":"Cindy Ka Y."},{"family":"De Vrieze","given":"Jo"},{"family":"Rabaey","given":"Korneel"}],"issued":{"date-parts":[["2020",7,1]]}}},{"id":11087,"uris":["http://zotero.org/users/6423791/items/E3U44BCG"],"itemData":{"id":11087,"type":"thesis","language":"en","publisher":"Technical University of Denmark","source":"Zotero","title":"Beyond the farm: Bioinorganic electro- synthesis of single cell protein from CO2 and green electricity","author":[{"family":"Xu","given":"Mingyi"}],"issued":{"date-parts":[["2021"]]}}}],"schema":"https://github.com/citation-style-language/schema/raw/master/csl-citation.json"} </w:instrText>
            </w:r>
            <w:r w:rsidRPr="0047239E">
              <w:rPr>
                <w:sz w:val="18"/>
                <w:szCs w:val="18"/>
              </w:rPr>
              <w:fldChar w:fldCharType="separate"/>
            </w:r>
            <w:r w:rsidR="005413B4" w:rsidRPr="005413B4">
              <w:rPr>
                <w:rFonts w:ascii="Calibri" w:hAnsi="Calibri" w:cs="Calibri"/>
                <w:sz w:val="18"/>
                <w:szCs w:val="24"/>
                <w:vertAlign w:val="superscript"/>
              </w:rPr>
              <w:t>22,207,215</w:t>
            </w:r>
            <w:r w:rsidRPr="0047239E">
              <w:rPr>
                <w:sz w:val="18"/>
                <w:szCs w:val="18"/>
              </w:rPr>
              <w:fldChar w:fldCharType="end"/>
            </w:r>
          </w:p>
        </w:tc>
      </w:tr>
      <w:tr w:rsidR="00FF3A0C" w:rsidRPr="0047239E" w14:paraId="08BD4281" w14:textId="77777777" w:rsidTr="0047239E">
        <w:trPr>
          <w:jc w:val="center"/>
        </w:trPr>
        <w:tc>
          <w:tcPr>
            <w:cnfStyle w:val="001000000000" w:firstRow="0" w:lastRow="0" w:firstColumn="1" w:lastColumn="0" w:oddVBand="0" w:evenVBand="0" w:oddHBand="0" w:evenHBand="0" w:firstRowFirstColumn="0" w:firstRowLastColumn="0" w:lastRowFirstColumn="0" w:lastRowLastColumn="0"/>
            <w:tcW w:w="0" w:type="auto"/>
            <w:vMerge w:val="restart"/>
          </w:tcPr>
          <w:p w14:paraId="23BB80E4" w14:textId="77777777" w:rsidR="00FF3A0C" w:rsidRPr="0047239E" w:rsidRDefault="00FF3A0C" w:rsidP="006B7E52">
            <w:pPr>
              <w:rPr>
                <w:sz w:val="18"/>
                <w:szCs w:val="18"/>
              </w:rPr>
            </w:pPr>
            <w:r w:rsidRPr="0047239E">
              <w:rPr>
                <w:sz w:val="18"/>
                <w:szCs w:val="18"/>
              </w:rPr>
              <w:t>Nitrogen</w:t>
            </w:r>
            <w:r w:rsidRPr="0047239E">
              <w:rPr>
                <w:sz w:val="18"/>
                <w:szCs w:val="18"/>
                <w:vertAlign w:val="superscript"/>
              </w:rPr>
              <w:t>*</w:t>
            </w:r>
          </w:p>
        </w:tc>
        <w:tc>
          <w:tcPr>
            <w:tcW w:w="0" w:type="auto"/>
          </w:tcPr>
          <w:p w14:paraId="6B4C8185" w14:textId="77777777" w:rsidR="00FF3A0C" w:rsidRPr="0047239E" w:rsidRDefault="00FF3A0C" w:rsidP="006B7E52">
            <w:pPr>
              <w:cnfStyle w:val="000000000000" w:firstRow="0" w:lastRow="0" w:firstColumn="0" w:lastColumn="0" w:oddVBand="0" w:evenVBand="0" w:oddHBand="0" w:evenHBand="0" w:firstRowFirstColumn="0" w:firstRowLastColumn="0" w:lastRowFirstColumn="0" w:lastRowLastColumn="0"/>
              <w:rPr>
                <w:b/>
                <w:sz w:val="18"/>
                <w:szCs w:val="18"/>
              </w:rPr>
            </w:pPr>
            <w:r w:rsidRPr="0047239E">
              <w:rPr>
                <w:b/>
                <w:sz w:val="18"/>
                <w:szCs w:val="18"/>
              </w:rPr>
              <w:t>Digestate, treated</w:t>
            </w:r>
          </w:p>
        </w:tc>
        <w:tc>
          <w:tcPr>
            <w:tcW w:w="0" w:type="auto"/>
          </w:tcPr>
          <w:p w14:paraId="7111AB39" w14:textId="77777777" w:rsidR="00FF3A0C" w:rsidRPr="0047239E" w:rsidRDefault="00FF3A0C" w:rsidP="003B1307">
            <w:pPr>
              <w:jc w:val="both"/>
              <w:cnfStyle w:val="000000000000" w:firstRow="0" w:lastRow="0" w:firstColumn="0" w:lastColumn="0" w:oddVBand="0" w:evenVBand="0" w:oddHBand="0" w:evenHBand="0" w:firstRowFirstColumn="0" w:firstRowLastColumn="0" w:lastRowFirstColumn="0" w:lastRowLastColumn="0"/>
              <w:rPr>
                <w:i/>
                <w:sz w:val="18"/>
                <w:szCs w:val="18"/>
              </w:rPr>
            </w:pPr>
            <w:r w:rsidRPr="0047239E">
              <w:rPr>
                <w:i/>
                <w:sz w:val="18"/>
                <w:szCs w:val="18"/>
              </w:rPr>
              <w:t>Liquid fraction filtered, pasteurized and diluted</w:t>
            </w:r>
          </w:p>
        </w:tc>
        <w:tc>
          <w:tcPr>
            <w:tcW w:w="0" w:type="auto"/>
          </w:tcPr>
          <w:p w14:paraId="4DE296BA" w14:textId="638654E9" w:rsidR="00FF3A0C" w:rsidRPr="0047239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47239E">
              <w:rPr>
                <w:sz w:val="18"/>
                <w:szCs w:val="18"/>
              </w:rPr>
              <w:fldChar w:fldCharType="begin"/>
            </w:r>
            <w:r w:rsidR="005413B4">
              <w:rPr>
                <w:sz w:val="18"/>
                <w:szCs w:val="18"/>
              </w:rPr>
              <w:instrText xml:space="preserve"> ADDIN ZOTERO_ITEM CSL_CITATION {"citationID":"ckBt0IXh","properties":{"formattedCitation":"\\super 211,212,214\\nosupersub{}","plainCitation":"211,212,214","noteIndex":0},"citationItems":[{"id":12145,"uris":["http://zotero.org/users/6423791/items/GIIKHD47"],"itemData":{"id":12145,"type":"article-journal","abstract":"Biogas is a mixture of mainly CH4 and CO2, which can be generated from anaerobic digestion of organic materials. The use of biogas is mostly limited to thermal energy and electricity generation. However, the abundance of cheap shale gas and solar energy could drive out biogas for such applications in the near future. Hence, alternative applications of biogas have recently received great attention among researchers across the globe. This review, for the first time, discusses the feasibility of the bioconversion of biogas to value-added products, including single cell protein as animal feed supplement, and methanol that is an important building block in the chemical industries. Mechanisms of the process, microorgnisms involved and key parameters affecting their efficiency are discussed in detail. Some future research needs are suggested in order to deepen our understanding of these biochemical processes.","container-title":"Environmental Engineering Research","DOI":"10.4491/eer.2021.109","ISSN":"1226-1025, 2005-968X","issue":"4","journalAbbreviation":"Environmental Engineering Research","language":"en","page":"210109-0","source":"DOI.org (Crossref)","title":"Conversion of biogas from anaerobic digestion to single cell protein and bio-methanol: mechanism, microorganisms and key factors - A review","title-short":"Conversion of biogas from anaerobic digestion to single cell protein and bio-methanol","volume":"27","author":[{"family":"Salehi","given":"Reza"},{"family":"Chaiprapat","given":"Sumate"}],"issued":{"date-parts":[["2021",6,21]]}}},{"id":13920,"uris":["http://zotero.org/users/6423791/items/3BJPDWYB"],"itemData":{"id":13920,"type":"article-journal","abstract":"The high-value utilization of biogas and reasonable disposal of biogas slurry have become an issue worldwide. In the current study, the possibility of single-cell protein (SCP) recovery from biogas and sterilized biogas slurry using a combined microalga (MG)- (Chlorella vulgaris) and methane-oxidizing bacterial (MOB) system was investigated. Results showed that the optimum content of sterilized biogas slurry for MG cultivation was 80% (v/v), while it was 40% (v/v) for MOB. Thus, the biogas slurry content for the combined system was selected as 40% (v/v), under which condition the dry biomass and SCP yields were 280 and 90.43 mg/L, respectively. The SCP yield of MOB solely decreased by 9.57% when the Na2S concentration increased from 2.19 to 12.53 mg/L, while the SCP yield of the combined system was not obviously affected. Besides, the amino acid profiles of MG and MOB were altered by Na2S, while it was more balanced in the combined system.","container-title":"ACS ES&amp;T Engineering","DOI":"10.1021/acsestengg.2c00237","journalAbbreviation":"ACS EST Eng.","note":"publisher: American Chemical Society","source":"ACS Publications","title":"Conversion of Renewable Biogas into Single-Cell Protein Using a Combined Microalga- and Methane-Oxidizing Bacterial System","URL":"https://doi.org/10.1021/acsestengg.2c00237","author":[{"family":"Wang","given":"Dong-Hui"},{"family":"Zhu","given":"Meng-Yuan"},{"family":"Lian","given":"Shu-Juan"},{"family":"Zou","given":"Hua"},{"family":"Fu","given":"Shan-Fei"},{"family":"Guo","given":"Rong-Bo"}],"accessed":{"date-parts":[["2022",11,24]]},"issued":{"date-parts":[["2022",11,19]]}}},{"id":9409,"uris":["http://zotero.org/users/6423791/items/FIZUW62V"],"itemData":{"id":9409,"type":"article-journal","abstract":"Single cell protein (SCP) provides an alternative protein source to partially replace the conventional agricultural resources and support the increased nutritional needs. Inexpensive feeding source is one of the key limiting factors for the expansion of SCP production. The present study examined the valorization of biogas derived from the anaerobic digestion (AD) of sewage sludge and the discarded effluent as nutrients source to produce SCP using methanotrophic bacteria. Results indicated that the mixed methanotrophic culture can grow well on the pasteurized AD supernatant and biogas, succeeding in promising dry weight (DW) yield (0.66 ± 0.01 g-DW/g-CH4 and 11.54 ± 0.12 g-DW/g-NH4+). Methylomonas (56.26%) and Methylophilus (24.60%) spp. were the two main representatives of the mixed culture. The produced dried biomass had a protein content higher than 41% w/w, including essential amino acids like histidine, valine, phenylalanine, isoleucine, leucine, threonine and lysine. The cultivated SCP shows potential utilization as protein source for animal diets.","container-title":"Bioresource Technology","DOI":"10.1016/j.biortech.2020.124351","ISSN":"0960-8524","journalAbbreviation":"Bioresource Technology","language":"en","page":"124351","source":"ScienceDirect","title":"Bioconversion of wastewater to single cell protein by methanotrophic bacteria","volume":"320","author":[{"family":"Zha","given":"Xiao"},{"family":"Tsapekos","given":"Panagiotis"},{"family":"Zhu","given":"Xinyu"},{"family":"Khoshnevisan","given":"Benyamin"},{"family":"Lu","given":"Xiwu"},{"family":"Angelidaki","given":"Irini"}],"issued":{"date-parts":[["2021",1,1]]}}}],"schema":"https://github.com/citation-style-language/schema/raw/master/csl-citation.json"} </w:instrText>
            </w:r>
            <w:r w:rsidRPr="0047239E">
              <w:rPr>
                <w:sz w:val="18"/>
                <w:szCs w:val="18"/>
              </w:rPr>
              <w:fldChar w:fldCharType="separate"/>
            </w:r>
            <w:r w:rsidR="005413B4" w:rsidRPr="005413B4">
              <w:rPr>
                <w:rFonts w:ascii="Calibri" w:hAnsi="Calibri" w:cs="Calibri"/>
                <w:sz w:val="18"/>
                <w:szCs w:val="24"/>
                <w:vertAlign w:val="superscript"/>
              </w:rPr>
              <w:t>211,212,214</w:t>
            </w:r>
            <w:r w:rsidRPr="0047239E">
              <w:rPr>
                <w:sz w:val="18"/>
                <w:szCs w:val="18"/>
              </w:rPr>
              <w:fldChar w:fldCharType="end"/>
            </w:r>
          </w:p>
        </w:tc>
      </w:tr>
      <w:tr w:rsidR="00FF3A0C" w:rsidRPr="0047239E" w14:paraId="16B60B5E" w14:textId="77777777" w:rsidTr="0047239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5FACF5AD" w14:textId="77777777" w:rsidR="00FF3A0C" w:rsidRPr="0047239E" w:rsidRDefault="00FF3A0C" w:rsidP="003B1307">
            <w:pPr>
              <w:jc w:val="right"/>
              <w:rPr>
                <w:sz w:val="18"/>
                <w:szCs w:val="18"/>
              </w:rPr>
            </w:pPr>
          </w:p>
        </w:tc>
        <w:tc>
          <w:tcPr>
            <w:tcW w:w="0" w:type="auto"/>
          </w:tcPr>
          <w:p w14:paraId="0959CB23" w14:textId="77777777" w:rsidR="00FF3A0C" w:rsidRPr="0047239E" w:rsidRDefault="00FF3A0C" w:rsidP="006B7E52">
            <w:pPr>
              <w:cnfStyle w:val="000000100000" w:firstRow="0" w:lastRow="0" w:firstColumn="0" w:lastColumn="0" w:oddVBand="0" w:evenVBand="0" w:oddHBand="1" w:evenHBand="0" w:firstRowFirstColumn="0" w:firstRowLastColumn="0" w:lastRowFirstColumn="0" w:lastRowLastColumn="0"/>
              <w:rPr>
                <w:b/>
                <w:sz w:val="18"/>
                <w:szCs w:val="18"/>
              </w:rPr>
            </w:pPr>
            <w:r w:rsidRPr="0047239E">
              <w:rPr>
                <w:b/>
                <w:sz w:val="18"/>
                <w:szCs w:val="18"/>
              </w:rPr>
              <w:t>Digestate, recovery</w:t>
            </w:r>
          </w:p>
        </w:tc>
        <w:tc>
          <w:tcPr>
            <w:tcW w:w="0" w:type="auto"/>
          </w:tcPr>
          <w:p w14:paraId="54D2B6A9" w14:textId="77777777" w:rsidR="00FF3A0C" w:rsidRPr="0047239E"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47239E">
              <w:rPr>
                <w:i/>
                <w:sz w:val="18"/>
                <w:szCs w:val="18"/>
              </w:rPr>
              <w:t>Using e.g. stripping, electrochemical cells, etc.</w:t>
            </w:r>
          </w:p>
        </w:tc>
        <w:tc>
          <w:tcPr>
            <w:tcW w:w="0" w:type="auto"/>
          </w:tcPr>
          <w:p w14:paraId="32B64D08" w14:textId="31D8F9D7" w:rsidR="00FF3A0C" w:rsidRPr="0047239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47239E">
              <w:rPr>
                <w:sz w:val="18"/>
                <w:szCs w:val="18"/>
              </w:rPr>
              <w:fldChar w:fldCharType="begin"/>
            </w:r>
            <w:r w:rsidR="005413B4">
              <w:rPr>
                <w:sz w:val="18"/>
                <w:szCs w:val="18"/>
              </w:rPr>
              <w:instrText xml:space="preserve"> ADDIN ZOTERO_ITEM CSL_CITATION {"citationID":"Fxfocfbl","properties":{"formattedCitation":"\\super 22,194,195,213,216\\uc0\\u8211{}218\\nosupersub{}","plainCitation":"22,194,195,213,216–218","noteIndex":0},"citationItems":[{"id":2354,"uris":["http://zotero.org/users/6423791/items/E7ZZWGWS"],"itemData":{"id":2354,"type":"article-journal","container-title":"Green Chem.","DOI":"10.1039/D0GC01382J","issue":"15","journalAbbreviation":"Green Chem.","language":"en","note":"publisher: Royal Society of Chemistry","page":"4912-4929","source":"pubs-rsc-org.gorgone.univ-toulouse.fr","title":"Upcycling of biowaste carbon and nutrients in line with consumer confidence: the “full gas” route to single cell protein","title-short":"Upcycling of biowaste carbon and nutrients in line with consumer confidence","volume":"22","author":[{"family":"Matassa","given":"Silvio"},{"family":"Papirio","given":"Stefano"},{"family":"Pikaar","given":"Ilje"},{"family":"Hülsen","given":"Tim"},{"family":"Leijenhorst","given":"Evert"},{"family":"Esposito","given":"Giovanni"},{"family":"Pirozzi","given":"Francesco"},{"family":"Verstraete","given":"Willy"}],"issued":{"date-parts":[["2020"]]}}},{"id":12862,"uris":["http://zotero.org/users/6423791/items/YGDJPK4F"],"itemData":{"id":12862,"type":"article-journal","abstract":"The concerns over food security and protein scarcity, driven by population increase and higher standards of living, have pushed scientists toward finding new protein sources. A considerable proportion of resources and agricultural lands are currently dedicated to proteinaceous feed production to raise livestock and poultry for human consumption. The 1st generation of microbial protein (MP) came into the market as land-independent proteinaceous feed for livestock and aquaculture. However, MP may be a less sustainable alternative to conventional feeds, such as soybean meal and fishmeal, because this technology currently requires natural gas and synthetic chemicals. These challenges have directed researchers toward the production of 2nd generation MP by integrating renewable energies, anaerobic digestion, nutrient recovery, biogas cleaning and upgrading, carbon-capture technologies, and fermentation. The fermentation of methane-oxidizing bacteria (MOB) and hydrogen-oxidizing bacteria (HOB), i.e., two protein rich microorganisms, has shown a great potential, on the one hand, to upcycle effluents from anaerobic digestion into protein rich biomass, and on the other hand, to be coupled to renewable energy systems under the concept of Power-to-X. This work compares various production routes for 2nd generation MP by reviewing the latest studies conducted in this context and introducing the state-of-the-art technologies, hoping that the findings can accelerate and facilitate upscaling of MP production. The results show that 2nd generation MP depends on the expansion of renewable energies. In countries with high penetration of renewable electricity, such as Nordic countries, off-peak surplus electricity can be used within MP-industry by supplying electrolytic H2, which is the driving factor for both MOB and HOB-based MP production. However, nutrient recovery technologies are the heart of the 2nd generation MP industry as they determine the process costs and quality of the final product. Although huge attempts have been made to date in this context, some bottlenecks such as immature nutrient recovery technologies, less efficient fermenters with insufficient gas-to-liquid transfer, and costly electrolytic hydrogen production and storage have hindered the scale up of MP production. Furthermore, further research into techno-economic feasibility and life cycle assessment (LCA) of coupled technologies is still needed to identify key points for improvement and thereby secure a sustainable production system.","container-title":"Renewable and Sustainable Energy Reviews","DOI":"10.1016/j.rser.2021.112041","ISSN":"1364-0321","journalAbbreviation":"Renew. Sust. Energ. Rev.","language":"en","page":"112041","source":"ScienceDirect","title":"From renewable energy to sustainable protein sources: Advancement, challenges, and future roadmaps","title-short":"From renewable energy to sustainable protein sources","volume":"157","author":[{"family":"Khoshnevisan","given":"Benyamin"},{"family":"He","given":"Li"},{"family":"Xu","given":"Mingyi"},{"family":"Valverde-Pérez","given":"Borja"},{"family":"Sillman","given":"Jani"},{"family":"Mitraka","given":"Georgia-Christina"},{"family":"Kougias","given":"Panagiotis G."},{"family":"Zhang","given":"Yifeng"},{"family":"Yan","given":"Shuiping"},{"family":"Ji","given":"Long"},{"family":"Carbajales-Dale","given":"Michael"},{"family":"Elyasi","given":"Seyedeh Nashmin"},{"family":"Marami","given":"Hadis"},{"family":"Tsapekos","given":"Panagiotis"},{"family":"Liu","given":"Hongbin"},{"family":"Angelidaki","given":"Irini"}],"issued":{"date-parts":[["2022",4,1]]}}},{"id":1878,"uris":["http://zotero.org/users/6423791/items/J32BCSLB"],"itemData":{"id":1878,"type":"article-journal","abstract":"Anaerobic digesters produce biogas, a mixture of predominantly CH4 and CO2, which is typically incinerated to recover electrical and/or thermal energy. In a context of circular economy, the CH4 and CO2 could be used as chemical feedstock in combination with ammonium from the digestate. Their combination into protein-rich bacterial, used as animal feed additive, could contribute to the ever growing global demand for nutritive protein sources and improve the overall nitrogen efficiency of the current agro- feed/food chain. In this concept, renewable CH4 and H2 can serve as carbon-neutral energy sources for the production of protein-rich cellular biomass, while assimilating and upgrading recovered ammonia from the digestate. This study evaluated the potential of producing sustainable high-quality protein additives in a decentralized way through coupling anaerobic digestion and microbial protein production using methanotrophic and hydrogenotrophic bacteria in an on-farm bioreactor. We show that a practical case digester handling liquid piggery manure, of which the energy content is supplemented for 30% with co-substrates, provides sufficient biogas to allow the subsequent microbial protein as feed production for about 37% of the number of pigs from which the manure was derived. Overall, producing microbial protein on the farm from available methane and ammonia liberated by anaerobic digesters treating manure appears economically and technically feasible within the current range of market prices existing for high-quality protein. The case of producing biomethane for grid injection and upgrading the CO2 with electrolytic hydrogen to microbial protein by means of hydrogen-oxidizing bacteria was also examined but found less attractive at the current production prices of renewable hydrogen. Our calculations show that this route is only of commercial interest if the protein value equals the value of high-value protein additives like fishmeal and if the avoided costs for nutrient removal from the digestate are taken into consideration.","container-title":"Microbial Biotechnology","DOI":"10.1111/1751-7915.13600","ISSN":"1751-7915","issue":"3","journalAbbreviation":"Microb. Biotechnol.","language":"en","license":"© 2020 The Authors. Microbial Biotechnology  published by John Wiley &amp; Sons Ltd and Society for Applied Microbiology.","note":"_eprint: https://onlinelibrary.wiley.com/doi/pdf/10.1111/1751-7915.13600","page":"897-910","source":"Wiley Online Library","title":"Assessing the potential for up-cycling recovered resources from anaerobic digestion through microbial protein production","volume":"14","author":[{"family":"Verbeeck","given":"Kristof"},{"family":"Vrieze","given":"Jo De"},{"family":"Pikaar","given":"Ilje"},{"family":"Verstraete","given":"Willy"},{"family":"Rabaey","given":"Korneel"}],"issued":{"date-parts":[["2020"]]}}},{"id":10712,"uris":["http://zotero.org/users/6423791/items/DX9MB2L9"],"itemData":{"id":10712,"type":"article-journal","abstract":"Future long-term manned space missions will require effective recycling of water and nutrients as part of a life support system. Biological waste treatment is less energy intensive than physicochemical treatment methods, yet anaerobic methanogenic waste treatment has been largely avoided due to slow treatment rates and safety issues concerning methane production. However, methane is generated during atmosphere regeneration on the ISS. Here we propose waste treatment via anaerobic digestion followed by methanotrophic growth of Methylococcus capsulatus to produce a protein- and lipid-rich biomass that can be directly consumed, or used to produce other high-protein food sources such as fish. To achieve more rapid methanogenic waste treatment, we built and tested a fixed-film, flow-through, anaerobic reactor to treat an ersatz wastewater. During steady-state operation, the reactor achieved a 97% chemical oxygen demand (COD) removal rate with an organic loading rate of 1740 g d−1 m−3 and a hydraulic retention time of 12.25 d. The reactor was also tested on three occasions by feeding ca. 500 g COD in less than 12 h, representing 50x the daily feeding rate, with COD removal rates ranging from 56–70%, demonstrating the ability of the reactor to respond to overfeeding events. While investigating the storage of treated reactor effluent at a pH of 12, we isolated a strain of Halomonas desiderata capable of acetate degradation under high pH conditions. We then tested the nutritional content of the alkaliphilic Halomonas desiderata strain, as well as the thermophile Thermus aquaticus, as supplemental protein and lipid sources that grow in conditions that should preclude pathogens. The M. capsulatus biomass consisted of 52% protein and 36% lipids, the H. desiderata biomass consisted of 15% protein and 7% lipids, and the Thermus aquaticus biomass consisted of 61% protein and 16% lipids. This work demonstrates the feasibility of rapid waste treatment in a compact reactor design, and proposes recycling of nutrients back into foodstuffs via heterotrophic (including methanotrophic, acetotrophic, and thermophilic) microbial growth.","container-title":"Life Sciences in Space Research","DOI":"10.1016/j.lssr.2017.07.006","ISSN":"2214-5524","journalAbbreviation":"Life Sci. Space Res.","language":"en","page":"32-42","source":"ScienceDirect","title":"Coupling of anaerobic waste treatment to produce protein- and lipid-rich bacterial biomass","volume":"15","author":[{"family":"Steinberg","given":"Lisa M."},{"family":"Kronyak","given":"Rachel E."},{"family":"House","given":"Christopher H."}],"issued":{"date-parts":[["2017",11,1]]}}},{"id":2122,"uris":["http://zotero.org/users/6423791/items/2NANCGTA"],"itemData":{"id":2122,"type":"article-journal","abstract":"Conventional plant and meat protein production have low nitrogen usage efficiencies and high energy needs. Microbial protein (MP) is an alternative that offers higher nitrogen conversion efficiencies with low energy needs if nitrogen is recovered from a concentrated waste source such as source-separated urine. An electrochemical cell (EC) was optimized for ammonia recovery as NH3/H2 gas mixtures usable for MP production. Undiluted hydrolyzed urine was fed to the caustic-generating cathode compartment for ammonia stripping with redirection to the anode compartment for additional ammonium extraction. Using synthetic urine at 48 A m–2 the nitrogen removal efficiency reached 91.6 ± 2.1%. Tests with real urine at 20 A m–2, achieved 87.1 ± 6.0% and 68.4 ± 14.6% requiring 5.8 and 13.9 kWh kg N–1 recovered, via absorption in acid or MP medium, respectively. Energy savings through accompanying electrolytic H2 and O2 production were accounted for. Subsequently, MP was grown in fed-batch on MP medium with conventional NH4+ or urine-derived NH3 yielding 3.74 ± 1.79 and 4.44 ± 1.59 g CDW L–1, respectively. Dissolution of gaseous NH3 in MP medium maintained neutral pH in the MP reactor preventing caustic addition and thus salt accumulation. Urine-nitrogen could thus be valorized as MP via electrochemical ammonia recovery.","container-title":"Environmental Science &amp; Technology","DOI":"10.1021/acs.est.7b02819","ISSN":"0013-936X","issue":"22","journalAbbreviation":"Environ. Sci. Technol.","note":"publisher: American Chemical Society","page":"13143-13150","source":"ACS Publications","title":"Electrochemical Ammonia Recovery from Source-Separated Urine for Microbial Protein Production","volume":"51","author":[{"family":"Christiaens","given":"Marlies E.R."},{"family":"Gildemyn","given":"Sylvia"},{"family":"Matassa","given":"Silvio"},{"family":"Ysebaert","given":"Tess"},{"family":"De Vrieze","given":"Jo"},{"family":"Rabaey","given":"Korneel"}],"issued":{"date-parts":[["2017",11,21]]}}},{"id":11776,"uris":["http://zotero.org/users/6423791/items/BQDYFR2T"],"itemData":{"id":11776,"type":"article-journal","abstract":"Increasing efforts are directed towards the development of sustainable alternative protein sources among which microbial protein (MP) is one of the most promising. Especially when waste streams are used as substrates, the case for MP could become environmentally favorable. The risks of using organic waste streams for MP production–the presence of pathogens or toxicants–can be mitigated by their anaerobic digestion and subsequent aerobic assimilation of the (filter-sterilized) biogas. Even though methane and hydrogen oxidizing bacteria (MOB and HOB) have been intensively studied for MP production, the potential benefits of their co-cultivation remain elusive. Here, we isolated a diverse group of novel HOB (that were capable of autotrophic metabolism), and co-cultured them with a defined set of MOB, which could be grown on a mixture of biogas and H\n              2\n              /O\n              2\n              . The combination of MOB and HOB, apart from the CH\n              4\n              and CO\n              2\n              contained in biogas, can also enable the valorization of the CO\n              2\n              that results from the oxidation of methane by the MOB. Different MOB and HOB combinations were grown in serum vials to identify the best-performing ones. We observed synergistic effects on growth for several combinations, and in all combinations a co-culture consisting out of both HOB and MOB could be maintained during five days of cultivation. Relative to the axenic growth, five out of the ten co-cultures exhibited 1.1–3.8 times higher protein concentration and two combinations presented 2.4–6.1 times higher essential amino acid content. The MP produced in this study generally contained lower amounts of the essential amino acids histidine, lysine and threonine, compared to tofu and fishmeal. The most promising combination in terms of protein concentration and essential amino acid profile was\n              Methyloparacoccus murrelli\n              LMG 27482 with\n              Cupriavidus necator\n              LMG 1201. Microbial protein from\n              M. murrelli\n              and\n              C. necator\n              requires 27–67% less quantity than chicken, whole egg and tofu, while it only requires 15% more quantity than the amino acid-dense soybean to cover the needs of an average adult. In conclusion, while limitations still exist, the co-cultivation of MOB and HOB creates an alternative route for MP production leveraging safe and sustainably-produced gaseous substrates.","container-title":"Frontiers in Bioengineering and Biotechnology","DOI":"10.3389/fbioe.2021.733753","ISSN":"2296-4185","journalAbbreviation":"Front. Bioeng. Biotechnol.","language":"en","page":"733753","source":"DOI.org (Crossref)","title":"From Biogas and Hydrogen to Microbial Protein Through Co-Cultivation of Methane and Hydrogen Oxidizing Bacteria","volume":"9","author":[{"family":"Kerckhof","given":"Frederiek-Maarten"},{"family":"Sakarika","given":"Myrsini"},{"family":"Van Giel","given":"Marie"},{"family":"Muys","given":"Maarten"},{"family":"Vermeir","given":"Pieter"},{"family":"De Vrieze","given":"Jo"},{"family":"Vlaeminck","given":"Siegfried E."},{"family":"Rabaey","given":"Korneel"},{"family":"Boon","given":"Nico"}],"issued":{"date-parts":[["2021",8,30]]}}},{"id":13777,"uris":["http://zotero.org/users/6423791/items/5S3SEEL2"],"itemData":{"id":13777,"type":"article-journal","abstract":"Digestate is a potential substrate for yeast to produce single cell protein (SCP), but its complex matrix constrains applications. This study developed a hybrid electrochemical-membrane fermentation process to recover nutrients from synthetic digestate and produce yeast SCP. Electrodialysis (ED) was first employed to recover acetate and ammonium. More nutrients were recovered at a higher voltage but with lower current efficiency. At 2 V, 42.2% and 60.1% of acetate and ammonium were reclaimed, and further concentrated by 14- and 10-fold via a forward osmosis (FO) process. Due to the complexity of real digestate, the recovery efficiency of ED in practical applications should be further investigated. Saccharomyces cerevisiae fed on raw and concentrated recovery achieved similar SCP productions of 0.76–0.86 g/L, with amino acid concentrations above the FAO recommendation by 1.5–4.2-fold. The total production cost was estimated to be €20.4/kg-SCP by single ED, while the hybrid ED-FO process cost 40 times more.","container-title":"Resources, Conservation and Recycling","DOI":"10.1016/j.resconrec.2022.106705","ISSN":"0921-3449","journalAbbreviation":"Resources, Conservation and Recycling","language":"en","page":"106705","source":"ScienceDirect","title":"Recycling of acetate and ammonium from digestate for single cell protein production by a hybrid electrochemical-membrane fermentation process","volume":"188","author":[{"family":"Zeng","given":"Danfei"},{"family":"Jiang","given":"Yufeng"},{"family":"Schneider","given":"Carina"},{"family":"Su","given":"Yanyan"},{"family":"Hélix-Nielsen","given":"Claus"},{"family":"Zhang","given":"Yifeng"}],"issued":{"date-parts":[["2023",1,1]]}}}],"schema":"https://github.com/citation-style-language/schema/raw/master/csl-citation.json"} </w:instrText>
            </w:r>
            <w:r w:rsidRPr="0047239E">
              <w:rPr>
                <w:sz w:val="18"/>
                <w:szCs w:val="18"/>
              </w:rPr>
              <w:fldChar w:fldCharType="separate"/>
            </w:r>
            <w:r w:rsidR="005413B4" w:rsidRPr="005413B4">
              <w:rPr>
                <w:rFonts w:ascii="Calibri" w:hAnsi="Calibri" w:cs="Calibri"/>
                <w:sz w:val="18"/>
                <w:szCs w:val="24"/>
                <w:vertAlign w:val="superscript"/>
              </w:rPr>
              <w:t>22,194,195,213,216–218</w:t>
            </w:r>
            <w:r w:rsidRPr="0047239E">
              <w:rPr>
                <w:sz w:val="18"/>
                <w:szCs w:val="18"/>
              </w:rPr>
              <w:fldChar w:fldCharType="end"/>
            </w:r>
          </w:p>
        </w:tc>
      </w:tr>
      <w:tr w:rsidR="00FF3A0C" w:rsidRPr="0047239E" w14:paraId="2CDF24D0" w14:textId="77777777" w:rsidTr="0047239E">
        <w:trPr>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60DED85C" w14:textId="77777777" w:rsidR="00FF3A0C" w:rsidRPr="0047239E" w:rsidRDefault="00FF3A0C" w:rsidP="003B1307">
            <w:pPr>
              <w:jc w:val="right"/>
              <w:rPr>
                <w:sz w:val="18"/>
                <w:szCs w:val="18"/>
              </w:rPr>
            </w:pPr>
          </w:p>
        </w:tc>
        <w:tc>
          <w:tcPr>
            <w:tcW w:w="0" w:type="auto"/>
          </w:tcPr>
          <w:p w14:paraId="601F18A3" w14:textId="77777777" w:rsidR="00FF3A0C" w:rsidRPr="0047239E" w:rsidRDefault="00FF3A0C" w:rsidP="006B7E52">
            <w:pPr>
              <w:cnfStyle w:val="000000000000" w:firstRow="0" w:lastRow="0" w:firstColumn="0" w:lastColumn="0" w:oddVBand="0" w:evenVBand="0" w:oddHBand="0" w:evenHBand="0" w:firstRowFirstColumn="0" w:firstRowLastColumn="0" w:lastRowFirstColumn="0" w:lastRowLastColumn="0"/>
              <w:rPr>
                <w:b/>
                <w:sz w:val="18"/>
                <w:szCs w:val="18"/>
              </w:rPr>
            </w:pPr>
            <w:r w:rsidRPr="0047239E">
              <w:rPr>
                <w:b/>
                <w:sz w:val="18"/>
                <w:szCs w:val="18"/>
              </w:rPr>
              <w:t>Syngas</w:t>
            </w:r>
          </w:p>
        </w:tc>
        <w:tc>
          <w:tcPr>
            <w:tcW w:w="0" w:type="auto"/>
          </w:tcPr>
          <w:p w14:paraId="24010F8A" w14:textId="77777777" w:rsidR="00FF3A0C" w:rsidRPr="0047239E" w:rsidRDefault="00FF3A0C" w:rsidP="003B1307">
            <w:pPr>
              <w:jc w:val="both"/>
              <w:cnfStyle w:val="000000000000" w:firstRow="0" w:lastRow="0" w:firstColumn="0" w:lastColumn="0" w:oddVBand="0" w:evenVBand="0" w:oddHBand="0" w:evenHBand="0" w:firstRowFirstColumn="0" w:firstRowLastColumn="0" w:lastRowFirstColumn="0" w:lastRowLastColumn="0"/>
              <w:rPr>
                <w:i/>
                <w:sz w:val="18"/>
                <w:szCs w:val="18"/>
              </w:rPr>
            </w:pPr>
            <w:r w:rsidRPr="0047239E">
              <w:rPr>
                <w:i/>
                <w:sz w:val="18"/>
                <w:szCs w:val="18"/>
              </w:rPr>
              <w:t>Presence of NH</w:t>
            </w:r>
            <w:r w:rsidRPr="0047239E">
              <w:rPr>
                <w:i/>
                <w:sz w:val="18"/>
                <w:szCs w:val="18"/>
                <w:vertAlign w:val="subscript"/>
              </w:rPr>
              <w:t>3</w:t>
            </w:r>
            <w:r w:rsidRPr="0047239E">
              <w:rPr>
                <w:i/>
                <w:sz w:val="18"/>
                <w:szCs w:val="18"/>
              </w:rPr>
              <w:t xml:space="preserve"> if gasification of N-rich feedstocks</w:t>
            </w:r>
          </w:p>
        </w:tc>
        <w:tc>
          <w:tcPr>
            <w:tcW w:w="0" w:type="auto"/>
          </w:tcPr>
          <w:p w14:paraId="57BDF14E" w14:textId="42233A1F" w:rsidR="00FF3A0C" w:rsidRPr="0047239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47239E">
              <w:rPr>
                <w:sz w:val="18"/>
                <w:szCs w:val="18"/>
              </w:rPr>
              <w:fldChar w:fldCharType="begin"/>
            </w:r>
            <w:r w:rsidR="005413B4">
              <w:rPr>
                <w:sz w:val="18"/>
                <w:szCs w:val="18"/>
              </w:rPr>
              <w:instrText xml:space="preserve"> ADDIN ZOTERO_ITEM CSL_CITATION {"citationID":"ee0jxPPm","properties":{"formattedCitation":"\\super 194\\nosupersub{}","plainCitation":"194","noteIndex":0},"citationItems":[{"id":2354,"uris":["http://zotero.org/users/6423791/items/E7ZZWGWS"],"itemData":{"id":2354,"type":"article-journal","container-title":"Green Chem.","DOI":"10.1039/D0GC01382J","issue":"15","journalAbbreviation":"Green Chem.","language":"en","note":"publisher: Royal Society of Chemistry","page":"4912-4929","source":"pubs-rsc-org.gorgone.univ-toulouse.fr","title":"Upcycling of biowaste carbon and nutrients in line with consumer confidence: the “full gas” route to single cell protein","title-short":"Upcycling of biowaste carbon and nutrients in line with consumer confidence","volume":"22","author":[{"family":"Matassa","given":"Silvio"},{"family":"Papirio","given":"Stefano"},{"family":"Pikaar","given":"Ilje"},{"family":"Hülsen","given":"Tim"},{"family":"Leijenhorst","given":"Evert"},{"family":"Esposito","given":"Giovanni"},{"family":"Pirozzi","given":"Francesco"},{"family":"Verstraete","given":"Willy"}],"issued":{"date-parts":[["2020"]]}}}],"schema":"https://github.com/citation-style-language/schema/raw/master/csl-citation.json"} </w:instrText>
            </w:r>
            <w:r w:rsidRPr="0047239E">
              <w:rPr>
                <w:sz w:val="18"/>
                <w:szCs w:val="18"/>
              </w:rPr>
              <w:fldChar w:fldCharType="separate"/>
            </w:r>
            <w:r w:rsidR="005413B4" w:rsidRPr="005413B4">
              <w:rPr>
                <w:rFonts w:ascii="Calibri" w:hAnsi="Calibri" w:cs="Calibri"/>
                <w:sz w:val="18"/>
                <w:szCs w:val="24"/>
                <w:vertAlign w:val="superscript"/>
              </w:rPr>
              <w:t>194</w:t>
            </w:r>
            <w:r w:rsidRPr="0047239E">
              <w:rPr>
                <w:sz w:val="18"/>
                <w:szCs w:val="18"/>
              </w:rPr>
              <w:fldChar w:fldCharType="end"/>
            </w:r>
          </w:p>
        </w:tc>
      </w:tr>
      <w:tr w:rsidR="00FF3A0C" w:rsidRPr="0047239E" w14:paraId="633306A3" w14:textId="77777777" w:rsidTr="0047239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0794137C" w14:textId="77777777" w:rsidR="00FF3A0C" w:rsidRPr="0047239E" w:rsidRDefault="00FF3A0C" w:rsidP="003B1307">
            <w:pPr>
              <w:jc w:val="right"/>
              <w:rPr>
                <w:sz w:val="18"/>
                <w:szCs w:val="18"/>
              </w:rPr>
            </w:pPr>
          </w:p>
        </w:tc>
        <w:tc>
          <w:tcPr>
            <w:tcW w:w="0" w:type="auto"/>
          </w:tcPr>
          <w:p w14:paraId="56BC404E" w14:textId="77777777" w:rsidR="00FF3A0C" w:rsidRPr="0047239E" w:rsidRDefault="00FF3A0C" w:rsidP="006B7E52">
            <w:pPr>
              <w:cnfStyle w:val="000000100000" w:firstRow="0" w:lastRow="0" w:firstColumn="0" w:lastColumn="0" w:oddVBand="0" w:evenVBand="0" w:oddHBand="1" w:evenHBand="0" w:firstRowFirstColumn="0" w:firstRowLastColumn="0" w:lastRowFirstColumn="0" w:lastRowLastColumn="0"/>
              <w:rPr>
                <w:b/>
                <w:sz w:val="18"/>
                <w:szCs w:val="18"/>
              </w:rPr>
            </w:pPr>
            <w:r w:rsidRPr="0047239E">
              <w:rPr>
                <w:b/>
                <w:sz w:val="18"/>
                <w:szCs w:val="18"/>
              </w:rPr>
              <w:t>Haber-Bosch</w:t>
            </w:r>
          </w:p>
        </w:tc>
        <w:tc>
          <w:tcPr>
            <w:tcW w:w="0" w:type="auto"/>
          </w:tcPr>
          <w:p w14:paraId="0EFBDC63" w14:textId="77777777" w:rsidR="00FF3A0C" w:rsidRPr="0047239E"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47239E">
              <w:rPr>
                <w:i/>
                <w:sz w:val="18"/>
                <w:szCs w:val="18"/>
              </w:rPr>
              <w:t>Commercially available</w:t>
            </w:r>
          </w:p>
        </w:tc>
        <w:tc>
          <w:tcPr>
            <w:tcW w:w="0" w:type="auto"/>
          </w:tcPr>
          <w:p w14:paraId="6F427297" w14:textId="436B913B" w:rsidR="00FF3A0C" w:rsidRPr="0047239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47239E">
              <w:rPr>
                <w:sz w:val="18"/>
                <w:szCs w:val="18"/>
              </w:rPr>
              <w:fldChar w:fldCharType="begin"/>
            </w:r>
            <w:r w:rsidR="005413B4">
              <w:rPr>
                <w:sz w:val="18"/>
                <w:szCs w:val="18"/>
              </w:rPr>
              <w:instrText xml:space="preserve"> ADDIN ZOTERO_ITEM CSL_CITATION {"citationID":"2SD86m5G","properties":{"formattedCitation":"\\super 175,187,191,197,198\\nosupersub{}","plainCitation":"175,187,191,197,198","noteIndex":0},"citationItems":[{"id":558,"uris":["http://zotero.org/users/6423791/items/YPK9LCXF"],"itemData":{"id":558,"type":"article-journal","abstract":"One of the main challenges for the 21st century is to balance the increasing demand for high-quality proteins while mitigating environmental impacts. In particular, cropland-based production of protein-rich animal feed for livestock rearing results in large-scale agricultural land-expansion, nitrogen pollution, and greenhouse gas emissions. Here we propose and analyze the longterm potential of alternative animal feed supply routes based on industrial production of microbial proteins (MP). Our analysis reveals that by 2050, MP can replace, depending on socioeconomic development and MP production pathways, between 10−19% of conventional crop-based animal feed protein demand. As a result, global cropland area, global nitrogen losses from croplands and agricultural greenhouse gas emissions can be decreased by 6% (0−13%), 8% (−3−8%), and 7% (−6−9%), respectively. Interestingly, the technology to industrially produce MP at competitive costs is directly accessible for implementation and has the potential to cause a major structural change in the agro-food system.","container-title":"Environmental Science &amp; Technology","DOI":"10.1021/acs.est.8b00216","ISSN":"0013-936X, 1520-5851","issue":"13","journalAbbreviation":"Environ. Sci. Technol.","language":"en","page":"7351-7359","source":"DOI.org (Crossref)","title":"Decoupling Livestock from Land Use through Industrial Feed Production Pathways","volume":"52","author":[{"family":"Pikaar","given":"Ilje"},{"family":"Matassa","given":"Silvio"},{"family":"Bodirsky","given":"Benjamin L."},{"family":"Weindl","given":"Isabelle"},{"family":"Humpenöder","given":"Florian"},{"family":"Rabaey","given":"Korneel"},{"family":"Boon","given":"Nico"},{"family":"Bruschi","given":"Michele"},{"family":"Yuan","given":"Zhiguo"},{"family":"Zanten","given":"Hannah","non-dropping-particle":"van"},{"family":"Herrero","given":"Mario"},{"family":"Verstraete","given":"Willy"},{"family":"Popp","given":"Alexander"}],"issued":{"date-parts":[["2018",7,3]]}}},{"id":9416,"uris":["http://zotero.org/users/6423791/items/QMGX9TUZ"],"itemData":{"id":9416,"type":"article-journal","abstract":"Purpose Renewable energy produced from wind turbines and solar photovoltaics (PV) has rapidly increased its share in global energy markets. At the same time, interest in producing hydrocarbons via power-to-X (PtX) approaches using renewables has grown as the technology has matured. However, there exist knowledge gaps related to environmental impacts of some PtX approaches. Power-to-food (PtF) application is one of those approaches. To evaluate the environmental impacts of different PtF approaches, life cycle assessment was performed.\nMethods The theoretical environmental potential of a novel concept of PtX technologies was investigated. Because PtX approaches have usually multiple technological solutions, such as the studied PtF application can have, several technological setups were chosen for the study. PtF application is seen as potentially being able to alleviate concerns about the sustainability of the global food sector, for example, as regards the land and water use impacts of food production. This study investigated four different environmental impact categories for microbial protein (MP) production via different technological setups of PtF from a cradle-to-gate perspective. The investigated impact categories include global warming potential, blue-water use, land use, and eutrophication. The research was carried out using a life cycle impact assessment method.\nResults and discussion The results for PtF processes were compared with the impacts of other MP production technologies and soybean production. The results indicate that significantly lower environmental impact can be achieved with PtF compared with the other protein production processes studied. The best-case PtF technology setups cause considerably lower land occupation, eutrophication, and blue-water consumption impacts compared with soybean production. However, the energy source used and the electricity-to-biomass efficiency of the bioreactor greatly affect the sustainability of the PtF approach. Some energy sources and technological choices result in higher environmental impacts than other MP and soybean production. When designing PtF production facilities, special attention should thus be given to the technology used.\nConclusions With some qualifications, PtF can be considered an option for improving global food security at minimal environmental impact. If the MP via the introduced application substitutes the most harmful practices of production other protein sources, the saved resources could be used to, for example, mitigation purposes or to improve food security elsewhere. However, there still exist challenges, such as food safety–related issues, to be solved before PtF application can be used for commercial use.","container-title":"The International Journal of Life Cycle Assessment","DOI":"10.1007/s11367-020-01771-3","ISSN":"0948-3349, 1614-7502","issue":"11","journalAbbreviation":"Int. J. Life Cycle Assess.","language":"en","page":"2190-2203","source":"DOI.org (Crossref)","title":"A life cycle environmental sustainability analysis of microbial protein production via power-to-food approaches","volume":"25","author":[{"family":"Sillman","given":"J."},{"family":"Uusitalo","given":"V."},{"family":"Ruuskanen","given":"V."},{"family":"Ojala","given":"L."},{"family":"Kahiluoto","given":"H."},{"family":"Soukka","given":"R."},{"family":"Ahola","given":"J."}],"issued":{"date-parts":[["2020",11]]}}},{"id":11540,"uris":["http://zotero.org/users/6423791/items/L9NYDA2K"],"itemData":{"id":11540,"type":"article-journal","abstract":"Population growth and changes in dietary patterns place an ever-growing pressure on the environment. Feeding the world within sustainable boundaries therefore requires revolutionizing the way we harness natural resources. Microbial biomass can be cultivated to yield protein-rich feed and food supplements, collectively termed single-cell protein (SCP). Yet, we still lack a quantitative comparison between traditional agriculture and photovoltaic-driven SCP systems in terms of land use and energetic efficiency. Here, we analyze the energetic efficiency of harnessing solar energy to produce SCP from air and water. Our model includes photovoltaic electricity generation, direct air capture of carbon dioxide, electrosynthesis of an electron donor and/or carbon source for microbial growth (hydrogen, formate, or methanol), microbial cultivation, and the processing of biomass and proteins. We show that, per unit of land, SCP production can reach an over 10-fold higher protein yield and at least twice the caloric yield compared with any staple crop. Altogether, this quantitative analysis offers an assessment of the future potential of photovoltaic-driven microbial foods to supplement conventional agricultural production and support resource-efficient protein supply on a global scale.","container-title":"Proceedings of the National Academy of Sciences","DOI":"10.1073/pnas.2015025118","ISSN":"0027-8424, 1091-6490","issue":"26","journalAbbreviation":"Proc Natl Acad Sci USA","language":"en","page":"e2015025118","source":"DOI.org (Crossref)","title":"Photovoltaic-driven microbial protein production can use land and sunlight more efficiently than conventional crops","volume":"118","author":[{"family":"Leger","given":"Dorian"},{"family":"Matassa","given":"Silvio"},{"family":"Noor","given":"Elad"},{"family":"Shepon","given":"Alon"},{"family":"Milo","given":"Ron"},{"family":"Bar-Even","given":"Arren"}],"issued":{"date-parts":[["2021",6,29]]}}},{"id":2363,"uris":["http://zotero.org/users/6423791/items/RHD6WXUH"],"itemData":{"id":2363,"type":"article-journal","abstract":"Human civilization's food production system is currently unprepared for catastrophes that would reduce global food production by 10% or more, such as nuclear winter, supervolcanic eruptions or asteroid impacts. Alternative foods that do not require much or any sunlight have been proposed as a more cost-effective solution than increasing food stockpiles, given the long duration of many global catastrophic risks (GCRs) that could hamper conventional agriculture for 5 to 10 years. Microbial food from single cell protein (SCP) produced via hydrogen from both gasification and electrolysis is analyzed in this study as alternative food for the most severe food shock scenario: a sun-blocking catastrophe. Capital costs, resource requirements and ramp up rates are quantified to determine its viability. Potential bottlenecks to fast deployment of the technology are reviewed. The ramp up speed of food production for 24/7 construction of the facilities over 6 years is estimated to be lower than other alternatives (3-10% of the global protein requirements could be fulfilled at end of first year), but the nutritional quality of the microbial protein is higher than for most other alternative foods for catastrophes. Results suggest that investment in SCP ramp up should be limited to the production capacity that is needed to fulfill only the minimum recommended protein requirements of humanity during the catastrophe. Further research is needed into more uncertain concerns such as transferability of labor and equipment production. This could help reduce the negative impact of potential food-related GCRs.","container-title":"Sustainable Production and Consumption","DOI":"10.1016/j.spc.2020.08.011","ISSN":"2352-5509","journalAbbreviation":"Sustain. Prod. Consum.","language":"en","page":"234-247","source":"ScienceDirect","title":"Potential of microbial protein from hydrogen for preventing mass starvation in catastrophic scenarios","volume":"25","author":[{"family":"García Martínez","given":"Juan B."},{"family":"Egbejimba","given":"Joseph"},{"family":"Throup","given":"James"},{"family":"Matassa","given":"Silvio"},{"family":"Pearce","given":"Joshua M."},{"family":"Denkenberger","given":"David C."}],"issued":{"date-parts":[["2021",1,1]]}}},{"id":13590,"uris":["http://zotero.org/users/6423791/items/UYTMXFFD"],"itemData":{"id":13590,"type":"article-journal","abstract":"Global catastrophes such as a supervolcanic eruption, asteroid impact, or nuclear winter could cause global agricultural collapse due to reduced sunlight reaching the Earth’s surface. The human civilization’s food production system is unprepared to respond to such events, but methane single cell protein (SCP) could be a key part of the solution. Current preparedness centers around food stockpiling, an excessively expensive solution given that an abrupt sunlight reduction scenario (ASRS) could hamper conventional agriculture for 5–10 years. Instead, it is more cost-effective to consider resilient food production techniques requiring little to no sunlight. This study analyses the potential of SCP produced from methane (natural gas and biogas) as a resilient food source for global catastrophic food shocks from ASRS. The following are quantified: global production potential of methane SCP, capital costs, material and energy requirements, ramp-up rates, and retail prices. In addition, potential bottlenecks for fast deployment are considered. While providing a more valuable, protein-rich product than its alternatives, the production capacity could be slower to ramp up. Based on 24/7 construction of facilities, 7%–11% of the global protein requirements could be fulfilled at the end of the first year. Despite significant remaining uncertainties, methane SCP shows significant potential to prevent global protein starvation during an ASRS at an affordable price—US$3–5/kg dry.","container-title":"Frontiers in Bioengineering and Biotechnology","ISSN":"2296-4185","journalAbbreviation":"Front. Bioeng. Biotechnol.","source":"Frontiers","title":"Methane Single Cell Protein: Potential to Secure a Global Protein Supply Against Catastrophic Food Shocks","title-short":"Methane Single Cell Protein","URL":"https://www.frontiersin.org/articles/10.3389/fbioe.2022.906704","volume":"10","author":[{"family":"García Martínez","given":"Juan B."},{"family":"Pearce","given":"Joshua M."},{"family":"Throup","given":"James"},{"family":"Cates","given":"Jacob"},{"family":"Lackner","given":"Maximilian"},{"family":"Denkenberger","given":"David C."}],"accessed":{"date-parts":[["2022",7,27]]},"issued":{"date-parts":[["2022"]]}}}],"schema":"https://github.com/citation-style-language/schema/raw/master/csl-citation.json"} </w:instrText>
            </w:r>
            <w:r w:rsidRPr="0047239E">
              <w:rPr>
                <w:sz w:val="18"/>
                <w:szCs w:val="18"/>
              </w:rPr>
              <w:fldChar w:fldCharType="separate"/>
            </w:r>
            <w:r w:rsidR="005413B4" w:rsidRPr="005413B4">
              <w:rPr>
                <w:rFonts w:ascii="Calibri" w:hAnsi="Calibri" w:cs="Calibri"/>
                <w:sz w:val="18"/>
                <w:szCs w:val="24"/>
                <w:vertAlign w:val="superscript"/>
              </w:rPr>
              <w:t>175,187,191,197,198</w:t>
            </w:r>
            <w:r w:rsidRPr="0047239E">
              <w:rPr>
                <w:sz w:val="18"/>
                <w:szCs w:val="18"/>
              </w:rPr>
              <w:fldChar w:fldCharType="end"/>
            </w:r>
          </w:p>
        </w:tc>
      </w:tr>
      <w:tr w:rsidR="00FF3A0C" w:rsidRPr="0047239E" w14:paraId="535CCA69" w14:textId="77777777" w:rsidTr="0047239E">
        <w:trPr>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379277C1" w14:textId="77777777" w:rsidR="00FF3A0C" w:rsidRPr="0047239E" w:rsidRDefault="00FF3A0C" w:rsidP="003B1307">
            <w:pPr>
              <w:jc w:val="right"/>
              <w:rPr>
                <w:sz w:val="18"/>
                <w:szCs w:val="18"/>
              </w:rPr>
            </w:pPr>
          </w:p>
        </w:tc>
        <w:tc>
          <w:tcPr>
            <w:tcW w:w="0" w:type="auto"/>
          </w:tcPr>
          <w:p w14:paraId="0908E71B" w14:textId="77777777" w:rsidR="00FF3A0C" w:rsidRPr="0047239E" w:rsidRDefault="00FF3A0C" w:rsidP="006B7E52">
            <w:pPr>
              <w:cnfStyle w:val="000000000000" w:firstRow="0" w:lastRow="0" w:firstColumn="0" w:lastColumn="0" w:oddVBand="0" w:evenVBand="0" w:oddHBand="0" w:evenHBand="0" w:firstRowFirstColumn="0" w:firstRowLastColumn="0" w:lastRowFirstColumn="0" w:lastRowLastColumn="0"/>
              <w:rPr>
                <w:b/>
                <w:sz w:val="18"/>
                <w:szCs w:val="18"/>
              </w:rPr>
            </w:pPr>
            <w:r w:rsidRPr="0047239E">
              <w:rPr>
                <w:b/>
                <w:sz w:val="18"/>
                <w:szCs w:val="18"/>
              </w:rPr>
              <w:t>Waste, recovery</w:t>
            </w:r>
          </w:p>
        </w:tc>
        <w:tc>
          <w:tcPr>
            <w:tcW w:w="0" w:type="auto"/>
          </w:tcPr>
          <w:p w14:paraId="3596AEEE" w14:textId="77777777" w:rsidR="00FF3A0C" w:rsidRPr="0047239E" w:rsidRDefault="00FF3A0C" w:rsidP="003B1307">
            <w:pPr>
              <w:jc w:val="both"/>
              <w:cnfStyle w:val="000000000000" w:firstRow="0" w:lastRow="0" w:firstColumn="0" w:lastColumn="0" w:oddVBand="0" w:evenVBand="0" w:oddHBand="0" w:evenHBand="0" w:firstRowFirstColumn="0" w:firstRowLastColumn="0" w:lastRowFirstColumn="0" w:lastRowLastColumn="0"/>
              <w:rPr>
                <w:i/>
                <w:sz w:val="18"/>
                <w:szCs w:val="18"/>
              </w:rPr>
            </w:pPr>
            <w:r w:rsidRPr="0047239E">
              <w:rPr>
                <w:i/>
                <w:sz w:val="18"/>
                <w:szCs w:val="18"/>
              </w:rPr>
              <w:t>e.g. from urea, wastewater, manure, etc.</w:t>
            </w:r>
          </w:p>
        </w:tc>
        <w:tc>
          <w:tcPr>
            <w:tcW w:w="0" w:type="auto"/>
          </w:tcPr>
          <w:p w14:paraId="70C1BC2C" w14:textId="15861470" w:rsidR="00FF3A0C" w:rsidRPr="0047239E" w:rsidRDefault="00FF3A0C" w:rsidP="003B1307">
            <w:pPr>
              <w:cnfStyle w:val="000000000000" w:firstRow="0" w:lastRow="0" w:firstColumn="0" w:lastColumn="0" w:oddVBand="0" w:evenVBand="0" w:oddHBand="0" w:evenHBand="0" w:firstRowFirstColumn="0" w:firstRowLastColumn="0" w:lastRowFirstColumn="0" w:lastRowLastColumn="0"/>
              <w:rPr>
                <w:sz w:val="18"/>
                <w:szCs w:val="18"/>
              </w:rPr>
            </w:pPr>
            <w:r w:rsidRPr="0047239E">
              <w:rPr>
                <w:sz w:val="18"/>
                <w:szCs w:val="18"/>
              </w:rPr>
              <w:fldChar w:fldCharType="begin"/>
            </w:r>
            <w:r w:rsidR="005413B4">
              <w:rPr>
                <w:sz w:val="18"/>
                <w:szCs w:val="18"/>
              </w:rPr>
              <w:instrText xml:space="preserve"> ADDIN ZOTERO_ITEM CSL_CITATION {"citationID":"6H7roncy","properties":{"formattedCitation":"\\super 204,213,216,219\\uc0\\u8211{}221\\nosupersub{}","plainCitation":"204,213,216,219–221","noteIndex":0},"citationItems":[{"id":3358,"uris":["http://zotero.org/users/6423791/items/6VK8VT52"],"itemData":{"id":3358,"type":"article-journal","abstract":"The cost of launching food into space is very high. An alternative is to make food during missions using methods such as artificial light photosynthesis, greenhouse, nonbiological synthesis of food, electric bacteria, and hydrogen oxidizing bacteria (HOB). This study compares prepackaged food, artificial light microalgae, and HOB. The dominant factor for each alternative is its relative mass due to high fuel cost needed to launch a payload into space. Thus, alternatives were evaluated using an equivalent system mass (ESM) technique developed by the National Aeronautics and Space Administration. Three distinct missions with a crew of 5 for a duration of 3 years were analyzed; including the International Space Station (ISS), the Moon, and Mars. The components of ESM considered were apparent mass, heat rejection, power, and pressurized volume. The selected power source for all systems was nuclear power. Electricity to biomass efficiencies were calculated for space to be 18% and 4.0% for HOB and microalgae, respectively. This study indicates that growing HOB is the least expensive alternative. The ESM of the HOB is on average a factor of 2.8 and 5.5 less than prepackaged food and microalgae, respectively. This alternative food study also relates to feeding Earth during a global agricultural catastrophe. Benefits of HOB include recycling wastes including CO2 and producing O2. Practical systems would involve a variety of food sources.","container-title":"Acta Astronautica","DOI":"10.1016/j.actaastro.2020.12.009","ISSN":"00945765","journalAbbreviation":"Acta Astronaut.","language":"en","page":"260-265","source":"DOI.org (Crossref)","title":"Food in space from hydrogen-oxidizing bacteria","volume":"180","author":[{"family":"Alvarado","given":"Kyle A."},{"family":"García Martínez","given":"Juan B."},{"family":"Matassa","given":"Silvio"},{"family":"Egbejimba","given":"Joseph"},{"family":"Denkenberger","given":"David"}],"issued":{"date-parts":[["2021",3]]}}},{"id":10712,"uris":["http://zotero.org/users/6423791/items/DX9MB2L9"],"itemData":{"id":10712,"type":"article-journal","abstract":"Future long-term manned space missions will require effective recycling of water and nutrients as part of a life support system. Biological waste treatment is less energy intensive than physicochemical treatment methods, yet anaerobic methanogenic waste treatment has been largely avoided due to slow treatment rates and safety issues concerning methane production. However, methane is generated during atmosphere regeneration on the ISS. Here we propose waste treatment via anaerobic digestion followed by methanotrophic growth of Methylococcus capsulatus to produce a protein- and lipid-rich biomass that can be directly consumed, or used to produce other high-protein food sources such as fish. To achieve more rapid methanogenic waste treatment, we built and tested a fixed-film, flow-through, anaerobic reactor to treat an ersatz wastewater. During steady-state operation, the reactor achieved a 97% chemical oxygen demand (COD) removal rate with an organic loading rate of 1740 g d−1 m−3 and a hydraulic retention time of 12.25 d. The reactor was also tested on three occasions by feeding ca. 500 g COD in less than 12 h, representing 50x the daily feeding rate, with COD removal rates ranging from 56–70%, demonstrating the ability of the reactor to respond to overfeeding events. While investigating the storage of treated reactor effluent at a pH of 12, we isolated a strain of Halomonas desiderata capable of acetate degradation under high pH conditions. We then tested the nutritional content of the alkaliphilic Halomonas desiderata strain, as well as the thermophile Thermus aquaticus, as supplemental protein and lipid sources that grow in conditions that should preclude pathogens. The M. capsulatus biomass consisted of 52% protein and 36% lipids, the H. desiderata biomass consisted of 15% protein and 7% lipids, and the Thermus aquaticus biomass consisted of 61% protein and 16% lipids. This work demonstrates the feasibility of rapid waste treatment in a compact reactor design, and proposes recycling of nutrients back into foodstuffs via heterotrophic (including methanotrophic, acetotrophic, and thermophilic) microbial growth.","container-title":"Life Sciences in Space Research","DOI":"10.1016/j.lssr.2017.07.006","ISSN":"2214-5524","journalAbbreviation":"Life Sci. Space Res.","language":"en","page":"32-42","source":"ScienceDirect","title":"Coupling of anaerobic waste treatment to produce protein- and lipid-rich bacterial biomass","volume":"15","author":[{"family":"Steinberg","given":"Lisa M."},{"family":"Kronyak","given":"Rachel E."},{"family":"House","given":"Christopher H."}],"issued":{"date-parts":[["2017",11,1]]}}},{"id":2122,"uris":["http://zotero.org/users/6423791/items/2NANCGTA"],"itemData":{"id":2122,"type":"article-journal","abstract":"Conventional plant and meat protein production have low nitrogen usage efficiencies and high energy needs. Microbial protein (MP) is an alternative that offers higher nitrogen conversion efficiencies with low energy needs if nitrogen is recovered from a concentrated waste source such as source-separated urine. An electrochemical cell (EC) was optimized for ammonia recovery as NH3/H2 gas mixtures usable for MP production. Undiluted hydrolyzed urine was fed to the caustic-generating cathode compartment for ammonia stripping with redirection to the anode compartment for additional ammonium extraction. Using synthetic urine at 48 A m–2 the nitrogen removal efficiency reached 91.6 ± 2.1%. Tests with real urine at 20 A m–2, achieved 87.1 ± 6.0% and 68.4 ± 14.6% requiring 5.8 and 13.9 kWh kg N–1 recovered, via absorption in acid or MP medium, respectively. Energy savings through accompanying electrolytic H2 and O2 production were accounted for. Subsequently, MP was grown in fed-batch on MP medium with conventional NH4+ or urine-derived NH3 yielding 3.74 ± 1.79 and 4.44 ± 1.59 g CDW L–1, respectively. Dissolution of gaseous NH3 in MP medium maintained neutral pH in the MP reactor preventing caustic addition and thus salt accumulation. Urine-nitrogen could thus be valorized as MP via electrochemical ammonia recovery.","container-title":"Environmental Science &amp; Technology","DOI":"10.1021/acs.est.7b02819","ISSN":"0013-936X","issue":"22","journalAbbreviation":"Environ. Sci. Technol.","note":"publisher: American Chemical Society","page":"13143-13150","source":"ACS Publications","title":"Electrochemical Ammonia Recovery from Source-Separated Urine for Microbial Protein Production","volume":"51","author":[{"family":"Christiaens","given":"Marlies E.R."},{"family":"Gildemyn","given":"Sylvia"},{"family":"Matassa","given":"Silvio"},{"family":"Ysebaert","given":"Tess"},{"family":"De Vrieze","given":"Jo"},{"family":"Rabaey","given":"Korneel"}],"issued":{"date-parts":[["2017",11,21]]}}},{"id":2446,"uris":["http://zotero.org/users/6423791/items/ER8VE8R6"],"itemData":{"id":2446,"type":"article-journal","abstract":"To reduce the cost of protein feedstock for animal feed, the use of single cell protein (SCP) produced from waste of animal agriculture is an interesting choice. This study reveals that chicken manure was the best substrate for SCP production by submerged fermentation using photosynthetic bacteria compared to swine, cow, and buffalo manure. Regression analysis showed that the productions were found to be significantly influenced by chicken manure content, inoculum size, and cultivation time. Response surface methodology based on central composite design generated the optimal condition (15% chicken manure, 30% inoculum size and cultivation time for 14 days) at which biomass, protein, and carotenoid productions were increased by 92.3%, 21.6%, and 18.2%, respectively. The percentage of error between the predicted and actual values for biomass, protein, and carotenoid productions were 1.56%, 2.64%, and 2.09%, respectively, which indicates the precision of the model. To verify the quality of SCP, the bacterium was cultured in a photobioreactor to investigate amino acid composition, protein, and nucleic acid contents. The SCP yielded 62.7% protein with essential amino acids including lysine, methionine, threonine, phenylalanine, leucine, isoleucine, valine, histidine, and low nucleic acid content of 4.52%. This study suggests an alternative SCP production for animal feed as well as the strategy for animal waste management.","container-title":"MicrobiologyOpen","DOI":"10.1002/mbo3.913","ISSN":"2045-8827","issue":"12","language":"en","license":"© 2019 The Authors. MicrobiologyOpen published by John Wiley &amp; Sons Ltd.","note":"_eprint: https://onlinelibrary.wiley.com/doi/pdf/10.1002/mbo3.913","page":"e913","source":"Wiley Online Library","title":"Production of single cell protein from manure as animal feed by using photosynthetic bacteria","volume":"8","author":[{"family":"Patthawaro","given":"Sirada"},{"family":"Saejung","given":"Chewapat"}],"issued":{"date-parts":[["2019"]]}}},{"id":2149,"uris":["http://zotero.org/users/6423791/items/87AYLA6B"],"itemData":{"id":2149,"type":"article-journal","abstract":"Conventional microbial protein production relies on the usage of pure chemicals and gases. Natural gas, which is a fossil resource, is the common input gas for bacterial protein production. Alternative sources for gas feedstock and nutrients can sufficiently decrease the operational cost and environmental impact of microbial protein production processes. In the present study, the effluents streams of municipal biowaste anaerobic digestion, were used to grow methane oxidising bacteria which can be used as protein source. Results demonstrated that a 40:60 CH4:O2 (v/v) gas feeding resulted in microbial biomass production of 0.95 g-DM/L by a Methylophilus dominated community. When raw biogas was used as input for methane corresponding to the same initial methane partial pressure as before, instead of pure methane, the growth was partially hindered (0.61 g-DM/L) due to the presence of H2S (IC50: 1376 ppm). Hence, desulfurization is suggested before using biogas for microbial protein production. At semi-continuous mode, results showed that the produced biomass had relatively high protein content (&gt;40% of dry weight) and the essential amino acids lysine, valine, leucine and histidine were detected at high levels.","container-title":"Journal of Environmental Management","DOI":"10.1016/j.jenvman.2019.109590","ISSN":"0301-4797","journalAbbreviation":"J. Environ. Manage.","language":"en","page":"109590","source":"ScienceDirect","title":"Methane oxidising bacteria to upcycle effluent streams from anaerobic digestion of municipal biowaste","volume":"251","author":[{"family":"Tsapekos","given":"Panagiotis"},{"family":"Khoshnevisan","given":"Benyamin"},{"family":"Zhu","given":"Xinyu"},{"family":"Zha","given":"Xiao"},{"family":"Angelidaki","given":"Irini"}],"issued":{"date-parts":[["2019",12,1]]}}},{"id":3278,"uris":["http://zotero.org/users/6423791/items/IA72CWEB"],"itemData":{"id":3278,"type":"article-journal","abstract":"Autotrophic hydrogen-oxidizing bacteria (HOB) have received increasing attention as a promising source of microbial protein (MP). However, most of the studies were conducted at relatively low ammonium concentrations (</w:instrText>
            </w:r>
            <w:r w:rsidR="005413B4">
              <w:rPr>
                <w:rFonts w:ascii="Cambria Math" w:hAnsi="Cambria Math" w:cs="Cambria Math"/>
                <w:sz w:val="18"/>
                <w:szCs w:val="18"/>
              </w:rPr>
              <w:instrText>∼</w:instrText>
            </w:r>
            <w:r w:rsidR="005413B4">
              <w:rPr>
                <w:sz w:val="18"/>
                <w:szCs w:val="18"/>
              </w:rPr>
              <w:instrText xml:space="preserve">1 g N-NH4+/L). This study investigated the effect of high concentrations of ammonium and various nitrogen forms on the growth of Cupriavidus necator 335 for MP production. The cell growth was slightly inhibited at 2 g N-NH4+/L and was completely suppressed at 4 g N-NH4+/L. Inoculum from the early stage of exponential phase adapted better to the inhibition. Urea was the most preferred nitrogen source followed by nitrate and ammonium. Neither the ammonium concentration (within 2 g N/L) nor the different nitrogen sources altered the amino acid profiles significantly. This study demonstrated that waste streams containing high ammonium concentration (e.g., digestate) or with different forms of nitrogen (e.g., urine) could be used as a nitrogen source for MP production and thereby broadening the feedstocks and application of the process.","container-title":"Journal of Cleaner Production","DOI":"10.1016/j.jclepro.2021.125921","ISSN":"0959-6526","journalAbbreviation":"J. Clean. Prod.","language":"en","page":"125921","source":"ScienceDirect","title":"Microbial protein production from CO2, H2, and recycled nitrogen: focusing on ammonia toxicity and nitrogen sources","title-short":"Microbial protein production from CO2, H2, and recycled nitrogen","author":[{"family":"Yang","given":"Xiaoyong"},{"family":"Xu","given":"Mingyi"},{"family":"Zou","given":"Rusen"},{"family":"Angelidaki","given":"Irini"},{"family":"Zhang","given":"Yifeng"}],"issued":{"date-parts":[["2021",1,11]]}}}],"schema":"https://github.com/citation-style-language/schema/raw/master/csl-citation.json"} </w:instrText>
            </w:r>
            <w:r w:rsidRPr="0047239E">
              <w:rPr>
                <w:sz w:val="18"/>
                <w:szCs w:val="18"/>
              </w:rPr>
              <w:fldChar w:fldCharType="separate"/>
            </w:r>
            <w:r w:rsidR="005413B4" w:rsidRPr="005413B4">
              <w:rPr>
                <w:rFonts w:ascii="Calibri" w:hAnsi="Calibri" w:cs="Calibri"/>
                <w:sz w:val="18"/>
                <w:szCs w:val="24"/>
                <w:vertAlign w:val="superscript"/>
              </w:rPr>
              <w:t>204,213,216,219–221</w:t>
            </w:r>
            <w:r w:rsidRPr="0047239E">
              <w:rPr>
                <w:sz w:val="18"/>
                <w:szCs w:val="18"/>
              </w:rPr>
              <w:fldChar w:fldCharType="end"/>
            </w:r>
          </w:p>
        </w:tc>
      </w:tr>
      <w:tr w:rsidR="00FF3A0C" w:rsidRPr="0047239E" w14:paraId="47C564FF" w14:textId="77777777" w:rsidTr="0047239E">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vMerge/>
          </w:tcPr>
          <w:p w14:paraId="29CE03AD" w14:textId="77777777" w:rsidR="00FF3A0C" w:rsidRPr="0047239E" w:rsidRDefault="00FF3A0C" w:rsidP="003B1307">
            <w:pPr>
              <w:jc w:val="right"/>
              <w:rPr>
                <w:sz w:val="18"/>
                <w:szCs w:val="18"/>
              </w:rPr>
            </w:pPr>
          </w:p>
        </w:tc>
        <w:tc>
          <w:tcPr>
            <w:tcW w:w="0" w:type="auto"/>
          </w:tcPr>
          <w:p w14:paraId="5F6FBC0B" w14:textId="77777777" w:rsidR="00FF3A0C" w:rsidRPr="0047239E" w:rsidRDefault="00FF3A0C" w:rsidP="006B7E52">
            <w:pPr>
              <w:cnfStyle w:val="000000100000" w:firstRow="0" w:lastRow="0" w:firstColumn="0" w:lastColumn="0" w:oddVBand="0" w:evenVBand="0" w:oddHBand="1" w:evenHBand="0" w:firstRowFirstColumn="0" w:firstRowLastColumn="0" w:lastRowFirstColumn="0" w:lastRowLastColumn="0"/>
              <w:rPr>
                <w:b/>
                <w:sz w:val="18"/>
                <w:szCs w:val="18"/>
              </w:rPr>
            </w:pPr>
            <w:r w:rsidRPr="0047239E">
              <w:rPr>
                <w:b/>
                <w:sz w:val="18"/>
                <w:szCs w:val="18"/>
              </w:rPr>
              <w:t>Air (N</w:t>
            </w:r>
            <w:r w:rsidRPr="0047239E">
              <w:rPr>
                <w:b/>
                <w:sz w:val="18"/>
                <w:szCs w:val="18"/>
                <w:vertAlign w:val="subscript"/>
              </w:rPr>
              <w:t>2</w:t>
            </w:r>
            <w:r w:rsidRPr="0047239E">
              <w:rPr>
                <w:b/>
                <w:sz w:val="18"/>
                <w:szCs w:val="18"/>
              </w:rPr>
              <w:t>)</w:t>
            </w:r>
          </w:p>
        </w:tc>
        <w:tc>
          <w:tcPr>
            <w:tcW w:w="0" w:type="auto"/>
          </w:tcPr>
          <w:p w14:paraId="5C8DD4AD" w14:textId="77777777" w:rsidR="00FF3A0C" w:rsidRPr="0047239E" w:rsidRDefault="00FF3A0C" w:rsidP="003B1307">
            <w:pPr>
              <w:jc w:val="both"/>
              <w:cnfStyle w:val="000000100000" w:firstRow="0" w:lastRow="0" w:firstColumn="0" w:lastColumn="0" w:oddVBand="0" w:evenVBand="0" w:oddHBand="1" w:evenHBand="0" w:firstRowFirstColumn="0" w:firstRowLastColumn="0" w:lastRowFirstColumn="0" w:lastRowLastColumn="0"/>
              <w:rPr>
                <w:i/>
                <w:sz w:val="18"/>
                <w:szCs w:val="18"/>
              </w:rPr>
            </w:pPr>
            <w:r w:rsidRPr="0047239E">
              <w:rPr>
                <w:i/>
                <w:sz w:val="18"/>
                <w:szCs w:val="18"/>
              </w:rPr>
              <w:t>If diazotroph strain</w:t>
            </w:r>
          </w:p>
        </w:tc>
        <w:tc>
          <w:tcPr>
            <w:tcW w:w="0" w:type="auto"/>
          </w:tcPr>
          <w:p w14:paraId="4824D327" w14:textId="451157E6" w:rsidR="00FF3A0C" w:rsidRPr="0047239E" w:rsidRDefault="00FF3A0C" w:rsidP="003B1307">
            <w:pPr>
              <w:cnfStyle w:val="000000100000" w:firstRow="0" w:lastRow="0" w:firstColumn="0" w:lastColumn="0" w:oddVBand="0" w:evenVBand="0" w:oddHBand="1" w:evenHBand="0" w:firstRowFirstColumn="0" w:firstRowLastColumn="0" w:lastRowFirstColumn="0" w:lastRowLastColumn="0"/>
              <w:rPr>
                <w:sz w:val="18"/>
                <w:szCs w:val="18"/>
              </w:rPr>
            </w:pPr>
            <w:r w:rsidRPr="0047239E">
              <w:rPr>
                <w:sz w:val="18"/>
                <w:szCs w:val="18"/>
              </w:rPr>
              <w:fldChar w:fldCharType="begin"/>
            </w:r>
            <w:r w:rsidR="005413B4">
              <w:rPr>
                <w:sz w:val="18"/>
                <w:szCs w:val="18"/>
              </w:rPr>
              <w:instrText xml:space="preserve"> ADDIN ZOTERO_ITEM CSL_CITATION {"citationID":"SSQ9AK0j","properties":{"formattedCitation":"\\super 222\\nosupersub{}","plainCitation":"222","noteIndex":0},"citationItems":[{"id":1881,"uris":["http://zotero.org/users/6423791/items/SCF9UZZN"],"itemData":{"id":1881,"type":"article-journal","abstract":"For the production of edible microbial protein (MP), ammonia generated by the Haber-Bosch process or reclaimed ammonia from waste streams is typically considered as the nitrogen source. These processes for ammonia production are highly energy intensive. In this study, the potential for using nitrogen gas (N2) as a direct nitrogen source for MP production by hydrogen-oxidizing bacteria (HOB) was evaluated. The use of N2 versus ammonium as nitrogen source during the enrichment process resulted in differentiation of the bacterial community composition of the enrichments. A few previously unknown potential N2-fixing HOB taxa (i.e., representatives of the genus Azonexus and the family Comamonadaceae) dominated the enrichments. The biomass yield of a N2-fixing HOB enrichment was 30–50% lower than that of the ammonium-based HOB enrichment from the same inoculum source. The dried biomass of N2-fixing HOB had a high protein content (62.0 ± 6.3%) and an essential amino acid profile comparable to MP from ammonium-based HOB. MP from N2-fixing HOB could potentially be produced in situ without entailing the emissions caused by ammonia production and transportation by conventional means. It could be a promising substitute for N2-fixing protein-rich soybean because it has 70% higher protein content and double energy conversion efficiency from solar energy to biomass.","container-title":"Environmental Science &amp; Technology","DOI":"10.1021/acs.est.9b06755","ISSN":"0013-936X","issue":"6","journalAbbreviation":"Environ. Sci. Technol.","note":"publisher: American Chemical Society","page":"3609-3617","source":"ACS Publications","title":"Microbial Protein out of Thin Air: Fixation of Nitrogen Gas by an Autotrophic Hydrogen-Oxidizing Bacterial Enrichment","title-short":"Microbial Protein out of Thin Air","volume":"54","author":[{"family":"Hu","given":"Xiaona"},{"family":"Kerckhof","given":"Frederiek-Maarten"},{"family":"Ghesquière","given":"Justien"},{"family":"Bernaerts","given":"Kristel"},{"family":"Boeckx","given":"Pascal"},{"family":"Clauwaert","given":"Peter"},{"family":"Boon","given":"Nico"}],"issued":{"date-parts":[["2020",3,17]]}}}],"schema":"https://github.com/citation-style-language/schema/raw/master/csl-citation.json"} </w:instrText>
            </w:r>
            <w:r w:rsidRPr="0047239E">
              <w:rPr>
                <w:sz w:val="18"/>
                <w:szCs w:val="18"/>
              </w:rPr>
              <w:fldChar w:fldCharType="separate"/>
            </w:r>
            <w:r w:rsidR="005413B4" w:rsidRPr="005413B4">
              <w:rPr>
                <w:rFonts w:ascii="Calibri" w:hAnsi="Calibri" w:cs="Calibri"/>
                <w:sz w:val="18"/>
                <w:szCs w:val="24"/>
                <w:vertAlign w:val="superscript"/>
              </w:rPr>
              <w:t>222</w:t>
            </w:r>
            <w:r w:rsidRPr="0047239E">
              <w:rPr>
                <w:sz w:val="18"/>
                <w:szCs w:val="18"/>
              </w:rPr>
              <w:fldChar w:fldCharType="end"/>
            </w:r>
          </w:p>
        </w:tc>
      </w:tr>
    </w:tbl>
    <w:p w14:paraId="7AC05EB4" w14:textId="77777777" w:rsidR="00FF3A0C" w:rsidRDefault="00FF3A0C" w:rsidP="006B5342">
      <w:pPr>
        <w:jc w:val="both"/>
        <w:rPr>
          <w:sz w:val="18"/>
        </w:rPr>
      </w:pPr>
      <w:r w:rsidRPr="003F5DA8">
        <w:rPr>
          <w:sz w:val="18"/>
          <w:vertAlign w:val="superscript"/>
        </w:rPr>
        <w:t>*</w:t>
      </w:r>
      <w:r w:rsidRPr="003F5DA8">
        <w:rPr>
          <w:sz w:val="18"/>
        </w:rPr>
        <w:t>: Rest of elements required are usually assumed supplied through standardized mineral media.</w:t>
      </w:r>
    </w:p>
    <w:p w14:paraId="6EE9A927" w14:textId="77777777" w:rsidR="00FF3A0C" w:rsidRPr="00FF3A0C" w:rsidRDefault="00FF3A0C" w:rsidP="006B7E52">
      <w:pPr>
        <w:pStyle w:val="Titre3"/>
      </w:pPr>
      <w:bookmarkStart w:id="250" w:name="_Toc145069125"/>
      <w:r w:rsidRPr="00FF3A0C">
        <w:t>Set-up selection</w:t>
      </w:r>
      <w:bookmarkEnd w:id="250"/>
    </w:p>
    <w:p w14:paraId="150B423E" w14:textId="77777777" w:rsidR="00FF3A0C" w:rsidRPr="00FF3A0C" w:rsidRDefault="00FF3A0C" w:rsidP="006B7E52">
      <w:pPr>
        <w:pStyle w:val="Titre4"/>
      </w:pPr>
      <w:r w:rsidRPr="00FF3A0C">
        <w:t>Gas-to-bioreactor set-up selection</w:t>
      </w:r>
    </w:p>
    <w:p w14:paraId="4CB8C25B" w14:textId="18B5A015" w:rsidR="00FF3A0C" w:rsidRDefault="00FF3A0C" w:rsidP="006B7E52">
      <w:pPr>
        <w:ind w:firstLine="360"/>
        <w:jc w:val="both"/>
      </w:pPr>
      <w:r w:rsidRPr="003F5DA8">
        <w:t>Due to the scope of the study, the MP production model focuses primarily on biogenic gases and nutrients: most of them need to come from the input feedstocks. Yet, many solutions exist or emerge to provide biomass-to-H</w:t>
      </w:r>
      <w:r w:rsidRPr="003F5DA8">
        <w:rPr>
          <w:vertAlign w:val="subscript"/>
        </w:rPr>
        <w:t>2</w:t>
      </w:r>
      <w:r w:rsidRPr="003F5DA8">
        <w:t xml:space="preserve"> and -to-CH</w:t>
      </w:r>
      <w:r w:rsidRPr="003F5DA8">
        <w:rPr>
          <w:vertAlign w:val="subscript"/>
        </w:rPr>
        <w:t>4</w:t>
      </w:r>
      <w:r w:rsidRPr="003F5DA8">
        <w:t xml:space="preserve"> pathways, which can be further hybridized or not with synthetic routes (e.g. power-to-X). In an endeavor to identify the best performing biomass-to-H</w:t>
      </w:r>
      <w:r w:rsidRPr="003F5DA8">
        <w:rPr>
          <w:vertAlign w:val="subscript"/>
        </w:rPr>
        <w:t>2</w:t>
      </w:r>
      <w:r w:rsidRPr="003F5DA8">
        <w:t xml:space="preserve"> pathways, Megret et al., 2015</w:t>
      </w:r>
      <w:r w:rsidRPr="003F5DA8">
        <w:fldChar w:fldCharType="begin"/>
      </w:r>
      <w:r w:rsidR="005413B4">
        <w:instrText xml:space="preserve"> ADDIN ZOTERO_ITEM CSL_CITATION {"citationID":"FFp1GWKj","properties":{"formattedCitation":"\\super 223\\nosupersub{}","plainCitation":"223","noteIndex":0},"citationItems":[{"id":12940,"uris":["http://zotero.org/users/6423791/items/KBVGJC6I"],"itemData":{"id":12940,"type":"report","language":"fr","number":"RECORD 13-0239/1A","page":"228","publisher":"Réseau Coopératif de Recherche sur les Déchets et l’Environnement","source":"Zotero","title":"Production d'hydrogène à partir de déchets: Etat de l'art et potentiel d'émergence","URL":"https://hal.archives-ouvertes.fr/hal-01602165","author":[{"family":"Megret","given":"Olivier"},{"family":"Hubert","given":"Loreline"},{"family":"Calbry","given":"M"},{"family":"Trably","given":"Eric"},{"family":"Carrère","given":"Hélène"},{"family":"Garcia-Bernet","given":"Diana"},{"family":"Bernet","given":"Nicolas"}],"issued":{"date-parts":[["2015"]]}}}],"schema":"https://github.com/citation-style-language/schema/raw/master/csl-citation.json"} </w:instrText>
      </w:r>
      <w:r w:rsidRPr="003F5DA8">
        <w:fldChar w:fldCharType="separate"/>
      </w:r>
      <w:r w:rsidR="005413B4" w:rsidRPr="005413B4">
        <w:rPr>
          <w:rFonts w:ascii="Calibri" w:hAnsi="Calibri" w:cs="Calibri"/>
          <w:szCs w:val="24"/>
          <w:vertAlign w:val="superscript"/>
        </w:rPr>
        <w:t>223</w:t>
      </w:r>
      <w:r w:rsidRPr="003F5DA8">
        <w:fldChar w:fldCharType="end"/>
      </w:r>
      <w:r w:rsidRPr="003F5DA8">
        <w:t xml:space="preserve"> suggested that reforming biogas would yield higher H</w:t>
      </w:r>
      <w:r w:rsidRPr="003F5DA8">
        <w:rPr>
          <w:vertAlign w:val="subscript"/>
        </w:rPr>
        <w:t>2</w:t>
      </w:r>
      <w:r w:rsidRPr="003F5DA8">
        <w:t xml:space="preserve"> yield than upgrading syngas. Similarly assessing the environmentally-best performing biomass-to-CH</w:t>
      </w:r>
      <w:r w:rsidRPr="003F5DA8">
        <w:rPr>
          <w:vertAlign w:val="subscript"/>
        </w:rPr>
        <w:t>4</w:t>
      </w:r>
      <w:r w:rsidRPr="003F5DA8">
        <w:t xml:space="preserve"> pathways, Lodato et al., 2022</w:t>
      </w:r>
      <w:r w:rsidRPr="003F5DA8">
        <w:fldChar w:fldCharType="begin"/>
      </w:r>
      <w:r w:rsidR="00827449">
        <w:instrText xml:space="preserve"> ADDIN ZOTERO_ITEM CSL_CITATION {"citationID":"1plQrLRe","properties":{"formattedCitation":"\\super 6\\nosupersub{}","plainCitation":"6","noteIndex":0},"citationItems":[{"id":13623,"uris":["http://zotero.org/users/6423791/items/NEF2RYU2"],"itemData":{"id":13623,"type":"article-journal","abstract":"Methane is a versatile and storable energy carrier, which is likely to play an important role in the European transition towards a low fossil carbon energy sector. We investigate the potentials for meeting regional methane demands through conversion of local residual bioresources for supply of bio-based CH4. We have developed a tiered assessment framework involving i) allocation of residual and constrained bioresources to conversion pathways based on physical and biochemical properties, ii) life cycle assessment (LCA) of technology conversion pathways through process-oriented parameterisation of the LCA model, and iii) LCA modelling of system-level technology implementation scenarios for quantification of regional potentials for bio-based CH4 supply and environmental savings, in view of current uses of the same bioresources. Two main technology conversion pathways are included: gasification and anaerobic digestion, both with hydrogen enhancement. The latter was also considered with water scrubbing upgrading. The framework is implemented for the French region, Occitania, with a residual bioresource potential of 48 TWh·y−1 (distributed on 41 different bioresources), and an annual methane demand of 17.5 TWh·y−1, currently supplied by natural gas. The assessment results clearly demonstrate that utilisation of available residual bioresources has tremendous potential both for covering current gas demands in the region (up to about seven times in some scenarios) but also for a reduction in climate change impacts from the region (up to about 37%).","container-title":"Applied Energy","DOI":"10.1016/j.apenergy.2022.119568","ISSN":"0306-2619","journalAbbreviation":"Appl. Energy","language":"en","page":"119568","source":"ScienceDirect","title":"Towards sustainable methane supply from local bioresources: Anaerobic digestion, gasification, and gas upgrading","title-short":"Towards sustainable methane supply from local bioresources","volume":"323","author":[{"family":"Lodato","given":"Concetta"},{"family":"Hamelin","given":"Lorie"},{"family":"Tonini","given":"Davide"},{"family":"Astrup","given":"Thomas Fruergaard"}],"issued":{"date-parts":[["2022",10,1]]}}}],"schema":"https://github.com/citation-style-language/schema/raw/master/csl-citation.json"} </w:instrText>
      </w:r>
      <w:r w:rsidRPr="003F5DA8">
        <w:fldChar w:fldCharType="separate"/>
      </w:r>
      <w:r w:rsidR="00682E10" w:rsidRPr="00682E10">
        <w:rPr>
          <w:rFonts w:ascii="Calibri" w:hAnsi="Calibri" w:cs="Calibri"/>
          <w:szCs w:val="24"/>
          <w:vertAlign w:val="superscript"/>
        </w:rPr>
        <w:t>6</w:t>
      </w:r>
      <w:r w:rsidRPr="003F5DA8">
        <w:fldChar w:fldCharType="end"/>
      </w:r>
      <w:r w:rsidRPr="003F5DA8">
        <w:t xml:space="preserve"> found that reforming syngas would be preferable than upgrading biogas. Considering the interplays between (i) HOB &amp; MOB different yields, (ii) gasification (GA) and anaerobic digestion (AD) different environmental performances </w:t>
      </w:r>
      <w:r w:rsidRPr="00DD7BCD">
        <w:t>as well as</w:t>
      </w:r>
      <w:r w:rsidRPr="003F5DA8">
        <w:t xml:space="preserve"> (iii) gas upgrading/post-processing possibilities and implications on H</w:t>
      </w:r>
      <w:r w:rsidRPr="003F5DA8">
        <w:rPr>
          <w:vertAlign w:val="subscript"/>
        </w:rPr>
        <w:t>2</w:t>
      </w:r>
      <w:r w:rsidRPr="003F5DA8">
        <w:t xml:space="preserve"> and CH</w:t>
      </w:r>
      <w:r w:rsidRPr="003F5DA8">
        <w:rPr>
          <w:vertAlign w:val="subscript"/>
        </w:rPr>
        <w:t>4</w:t>
      </w:r>
      <w:r w:rsidRPr="003F5DA8">
        <w:t xml:space="preserve"> production, it was found hardly possible to discard pathways a-priori. The </w:t>
      </w:r>
      <w:r w:rsidR="006B7E52" w:rsidRPr="006B7E52">
        <w:rPr>
          <w:b/>
        </w:rPr>
        <w:fldChar w:fldCharType="begin"/>
      </w:r>
      <w:r w:rsidR="006B7E52" w:rsidRPr="006B7E52">
        <w:rPr>
          <w:b/>
        </w:rPr>
        <w:instrText xml:space="preserve"> REF _Ref144823075 \h </w:instrText>
      </w:r>
      <w:r w:rsidR="006B7E52">
        <w:rPr>
          <w:b/>
        </w:rPr>
        <w:instrText xml:space="preserve"> \* MERGEFORMAT </w:instrText>
      </w:r>
      <w:r w:rsidR="006B7E52" w:rsidRPr="006B7E52">
        <w:rPr>
          <w:b/>
        </w:rPr>
      </w:r>
      <w:r w:rsidR="006B7E52" w:rsidRPr="006B7E52">
        <w:rPr>
          <w:b/>
        </w:rPr>
        <w:fldChar w:fldCharType="separate"/>
      </w:r>
      <w:r w:rsidR="00F25F8C" w:rsidRPr="00F25F8C">
        <w:rPr>
          <w:b/>
        </w:rPr>
        <w:t xml:space="preserve">Table SI. </w:t>
      </w:r>
      <w:r w:rsidR="00F25F8C" w:rsidRPr="00F25F8C">
        <w:rPr>
          <w:b/>
          <w:noProof/>
        </w:rPr>
        <w:t>57</w:t>
      </w:r>
      <w:r w:rsidR="006B7E52" w:rsidRPr="006B7E52">
        <w:rPr>
          <w:b/>
        </w:rPr>
        <w:fldChar w:fldCharType="end"/>
      </w:r>
      <w:r w:rsidR="006B7E52">
        <w:t xml:space="preserve"> </w:t>
      </w:r>
      <w:r w:rsidRPr="003F5DA8">
        <w:t xml:space="preserve">summarizes the six MP production pathways retained in this study. Accordingly, the LCI </w:t>
      </w:r>
      <w:r w:rsidRPr="00DD7BCD">
        <w:t>mod</w:t>
      </w:r>
      <w:r w:rsidR="00655BBB">
        <w:t>el</w:t>
      </w:r>
      <w:r w:rsidRPr="00DD7BCD">
        <w:t xml:space="preserve"> </w:t>
      </w:r>
      <w:r w:rsidRPr="0047239E">
        <w:t>(</w:t>
      </w:r>
      <w:r w:rsidR="0047239E" w:rsidRPr="0047239E">
        <w:rPr>
          <w:i/>
        </w:rPr>
        <w:t>B.MP_module spreadsheet</w:t>
      </w:r>
      <w:r w:rsidRPr="00DD7BCD">
        <w:t>) includes</w:t>
      </w:r>
      <w:r w:rsidRPr="003F5DA8">
        <w:t xml:space="preserve"> modeling of both HOB and MOB production.</w:t>
      </w:r>
    </w:p>
    <w:p w14:paraId="670503C9" w14:textId="71735CC9" w:rsidR="00FF3A0C" w:rsidRPr="00DD7BCD" w:rsidRDefault="00874128" w:rsidP="006B5342">
      <w:pPr>
        <w:pStyle w:val="Lgende"/>
        <w:jc w:val="left"/>
        <w:rPr>
          <w:b w:val="0"/>
          <w:i/>
        </w:rPr>
      </w:pPr>
      <w:bookmarkStart w:id="251" w:name="_Ref144823075"/>
      <w:bookmarkStart w:id="252" w:name="_Toc134537628"/>
      <w:bookmarkStart w:id="253" w:name="_Toc151967941"/>
      <w:r>
        <w:lastRenderedPageBreak/>
        <w:t>Table SI.</w:t>
      </w:r>
      <w:r w:rsidR="00FF3A0C">
        <w:t xml:space="preserve"> </w:t>
      </w:r>
      <w:r>
        <w:fldChar w:fldCharType="begin"/>
      </w:r>
      <w:r>
        <w:instrText xml:space="preserve"> SEQ Table_SI. \* ARABIC </w:instrText>
      </w:r>
      <w:r>
        <w:fldChar w:fldCharType="separate"/>
      </w:r>
      <w:r w:rsidR="00F25F8C">
        <w:rPr>
          <w:noProof/>
        </w:rPr>
        <w:t>57</w:t>
      </w:r>
      <w:r>
        <w:fldChar w:fldCharType="end"/>
      </w:r>
      <w:bookmarkEnd w:id="251"/>
      <w:r w:rsidR="00FF3A0C">
        <w:t xml:space="preserve"> </w:t>
      </w:r>
      <w:r w:rsidR="00FF3A0C" w:rsidRPr="00415E4C">
        <w:t>– Selected microbial proteins pathways</w:t>
      </w:r>
      <w:bookmarkEnd w:id="252"/>
      <w:bookmarkEnd w:id="253"/>
    </w:p>
    <w:tbl>
      <w:tblPr>
        <w:tblStyle w:val="Tableausimple2"/>
        <w:tblW w:w="0" w:type="auto"/>
        <w:tblLook w:val="04A0" w:firstRow="1" w:lastRow="0" w:firstColumn="1" w:lastColumn="0" w:noHBand="0" w:noVBand="1"/>
      </w:tblPr>
      <w:tblGrid>
        <w:gridCol w:w="1394"/>
        <w:gridCol w:w="3112"/>
        <w:gridCol w:w="3166"/>
      </w:tblGrid>
      <w:tr w:rsidR="00FF3A0C" w:rsidRPr="0047239E" w14:paraId="0E891DF1"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cPr>
          <w:p w14:paraId="466F10FB" w14:textId="77777777" w:rsidR="00FF3A0C" w:rsidRPr="0047239E" w:rsidRDefault="00FF3A0C" w:rsidP="003B1307">
            <w:pPr>
              <w:jc w:val="right"/>
              <w:rPr>
                <w:sz w:val="18"/>
              </w:rPr>
            </w:pPr>
            <w:r w:rsidRPr="0047239E">
              <w:rPr>
                <w:sz w:val="18"/>
              </w:rPr>
              <w:t xml:space="preserve"> Input gate</w:t>
            </w:r>
          </w:p>
        </w:tc>
        <w:tc>
          <w:tcPr>
            <w:tcW w:w="0" w:type="auto"/>
          </w:tcPr>
          <w:p w14:paraId="2DEB5AA8" w14:textId="77777777" w:rsidR="00FF3A0C" w:rsidRPr="0047239E" w:rsidRDefault="00FF3A0C" w:rsidP="006B7E52">
            <w:pPr>
              <w:cnfStyle w:val="100000000000" w:firstRow="1" w:lastRow="0" w:firstColumn="0" w:lastColumn="0" w:oddVBand="0" w:evenVBand="0" w:oddHBand="0" w:evenHBand="0" w:firstRowFirstColumn="0" w:firstRowLastColumn="0" w:lastRowFirstColumn="0" w:lastRowLastColumn="0"/>
              <w:rPr>
                <w:sz w:val="18"/>
              </w:rPr>
            </w:pPr>
            <w:r w:rsidRPr="0047239E">
              <w:rPr>
                <w:sz w:val="18"/>
              </w:rPr>
              <w:t xml:space="preserve">AD supply chain </w:t>
            </w:r>
          </w:p>
        </w:tc>
        <w:tc>
          <w:tcPr>
            <w:tcW w:w="0" w:type="auto"/>
          </w:tcPr>
          <w:p w14:paraId="3901A0F8" w14:textId="77777777" w:rsidR="00FF3A0C" w:rsidRPr="0047239E" w:rsidRDefault="00FF3A0C" w:rsidP="006B7E52">
            <w:pPr>
              <w:cnfStyle w:val="100000000000" w:firstRow="1" w:lastRow="0" w:firstColumn="0" w:lastColumn="0" w:oddVBand="0" w:evenVBand="0" w:oddHBand="0" w:evenHBand="0" w:firstRowFirstColumn="0" w:firstRowLastColumn="0" w:lastRowFirstColumn="0" w:lastRowLastColumn="0"/>
              <w:rPr>
                <w:sz w:val="18"/>
              </w:rPr>
            </w:pPr>
            <w:r w:rsidRPr="0047239E">
              <w:rPr>
                <w:sz w:val="18"/>
              </w:rPr>
              <w:t>GA supply chain</w:t>
            </w:r>
          </w:p>
        </w:tc>
      </w:tr>
      <w:tr w:rsidR="00FF3A0C" w:rsidRPr="0047239E" w14:paraId="76DC804C"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3D4E63D8" w14:textId="77777777" w:rsidR="00FF3A0C" w:rsidRPr="0047239E" w:rsidRDefault="00FF3A0C" w:rsidP="003B1307">
            <w:pPr>
              <w:jc w:val="right"/>
              <w:rPr>
                <w:b w:val="0"/>
                <w:sz w:val="18"/>
              </w:rPr>
            </w:pPr>
          </w:p>
        </w:tc>
        <w:tc>
          <w:tcPr>
            <w:tcW w:w="0" w:type="auto"/>
          </w:tcPr>
          <w:p w14:paraId="03591F47" w14:textId="77777777" w:rsidR="00FF3A0C" w:rsidRPr="0047239E" w:rsidRDefault="00FF3A0C" w:rsidP="006B7E52">
            <w:pPr>
              <w:cnfStyle w:val="000000100000" w:firstRow="0" w:lastRow="0" w:firstColumn="0" w:lastColumn="0" w:oddVBand="0" w:evenVBand="0" w:oddHBand="1" w:evenHBand="0" w:firstRowFirstColumn="0" w:firstRowLastColumn="0" w:lastRowFirstColumn="0" w:lastRowLastColumn="0"/>
              <w:rPr>
                <w:b/>
                <w:sz w:val="18"/>
              </w:rPr>
            </w:pPr>
            <w:r w:rsidRPr="0047239E">
              <w:rPr>
                <w:b/>
                <w:sz w:val="18"/>
              </w:rPr>
              <w:t>Cleaned biogas</w:t>
            </w:r>
          </w:p>
        </w:tc>
        <w:tc>
          <w:tcPr>
            <w:tcW w:w="0" w:type="auto"/>
          </w:tcPr>
          <w:p w14:paraId="0D11970D" w14:textId="77777777" w:rsidR="00FF3A0C" w:rsidRPr="0047239E" w:rsidRDefault="00FF3A0C" w:rsidP="006B7E52">
            <w:pPr>
              <w:cnfStyle w:val="000000100000" w:firstRow="0" w:lastRow="0" w:firstColumn="0" w:lastColumn="0" w:oddVBand="0" w:evenVBand="0" w:oddHBand="1" w:evenHBand="0" w:firstRowFirstColumn="0" w:firstRowLastColumn="0" w:lastRowFirstColumn="0" w:lastRowLastColumn="0"/>
              <w:rPr>
                <w:b/>
                <w:sz w:val="18"/>
              </w:rPr>
            </w:pPr>
            <w:r w:rsidRPr="0047239E">
              <w:rPr>
                <w:b/>
                <w:sz w:val="18"/>
              </w:rPr>
              <w:t>Cleaned syngas</w:t>
            </w:r>
          </w:p>
        </w:tc>
      </w:tr>
      <w:tr w:rsidR="00FF3A0C" w:rsidRPr="0047239E" w14:paraId="773809AF"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0432D4C1" w14:textId="77777777" w:rsidR="00FF3A0C" w:rsidRPr="0047239E" w:rsidRDefault="00FF3A0C" w:rsidP="003B1307">
            <w:pPr>
              <w:jc w:val="right"/>
              <w:rPr>
                <w:sz w:val="18"/>
              </w:rPr>
            </w:pPr>
            <w:r w:rsidRPr="0047239E">
              <w:rPr>
                <w:sz w:val="18"/>
              </w:rPr>
              <w:t>Direct use</w:t>
            </w:r>
          </w:p>
        </w:tc>
        <w:tc>
          <w:tcPr>
            <w:tcW w:w="0" w:type="auto"/>
          </w:tcPr>
          <w:p w14:paraId="2D18AE61" w14:textId="77777777" w:rsidR="00FF3A0C" w:rsidRPr="0047239E" w:rsidRDefault="00FF3A0C" w:rsidP="006B7E52">
            <w:pPr>
              <w:cnfStyle w:val="000000000000" w:firstRow="0" w:lastRow="0" w:firstColumn="0" w:lastColumn="0" w:oddVBand="0" w:evenVBand="0" w:oddHBand="0" w:evenHBand="0" w:firstRowFirstColumn="0" w:firstRowLastColumn="0" w:lastRowFirstColumn="0" w:lastRowLastColumn="0"/>
              <w:rPr>
                <w:sz w:val="18"/>
              </w:rPr>
            </w:pPr>
            <w:r w:rsidRPr="0047239E">
              <w:rPr>
                <w:b/>
                <w:sz w:val="18"/>
              </w:rPr>
              <w:t xml:space="preserve">MP_biogas </w:t>
            </w:r>
            <w:r w:rsidRPr="0047239E">
              <w:rPr>
                <w:sz w:val="18"/>
              </w:rPr>
              <w:t>(A): MOB on cleaned biogas</w:t>
            </w:r>
          </w:p>
        </w:tc>
        <w:tc>
          <w:tcPr>
            <w:tcW w:w="0" w:type="auto"/>
          </w:tcPr>
          <w:p w14:paraId="26E696E8" w14:textId="77777777" w:rsidR="00FF3A0C" w:rsidRPr="0047239E" w:rsidRDefault="00FF3A0C" w:rsidP="006B7E52">
            <w:pPr>
              <w:cnfStyle w:val="000000000000" w:firstRow="0" w:lastRow="0" w:firstColumn="0" w:lastColumn="0" w:oddVBand="0" w:evenVBand="0" w:oddHBand="0" w:evenHBand="0" w:firstRowFirstColumn="0" w:firstRowLastColumn="0" w:lastRowFirstColumn="0" w:lastRowLastColumn="0"/>
              <w:rPr>
                <w:sz w:val="18"/>
              </w:rPr>
            </w:pPr>
            <w:r w:rsidRPr="0047239E">
              <w:rPr>
                <w:b/>
                <w:sz w:val="18"/>
              </w:rPr>
              <w:t>MP_syngas</w:t>
            </w:r>
            <w:r w:rsidRPr="0047239E">
              <w:rPr>
                <w:sz w:val="18"/>
              </w:rPr>
              <w:t xml:space="preserve"> (F): HOB on cleaned syngas</w:t>
            </w:r>
          </w:p>
        </w:tc>
      </w:tr>
      <w:tr w:rsidR="00FF3A0C" w:rsidRPr="0047239E" w14:paraId="2544C863"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BD882C0" w14:textId="77777777" w:rsidR="00FF3A0C" w:rsidRPr="0047239E" w:rsidRDefault="00FF3A0C" w:rsidP="003B1307">
            <w:pPr>
              <w:jc w:val="right"/>
              <w:rPr>
                <w:sz w:val="18"/>
              </w:rPr>
            </w:pPr>
            <w:r w:rsidRPr="0047239E">
              <w:rPr>
                <w:sz w:val="18"/>
              </w:rPr>
              <w:t>After upgrading</w:t>
            </w:r>
          </w:p>
        </w:tc>
        <w:tc>
          <w:tcPr>
            <w:tcW w:w="0" w:type="auto"/>
          </w:tcPr>
          <w:p w14:paraId="7C1CC31B" w14:textId="77777777" w:rsidR="00FF3A0C" w:rsidRPr="0047239E" w:rsidRDefault="00FF3A0C" w:rsidP="006B7E52">
            <w:pPr>
              <w:cnfStyle w:val="000000100000" w:firstRow="0" w:lastRow="0" w:firstColumn="0" w:lastColumn="0" w:oddVBand="0" w:evenVBand="0" w:oddHBand="1" w:evenHBand="0" w:firstRowFirstColumn="0" w:firstRowLastColumn="0" w:lastRowFirstColumn="0" w:lastRowLastColumn="0"/>
              <w:rPr>
                <w:sz w:val="18"/>
              </w:rPr>
            </w:pPr>
            <w:r w:rsidRPr="0047239E">
              <w:rPr>
                <w:b/>
                <w:sz w:val="18"/>
              </w:rPr>
              <w:t>MP_biometh</w:t>
            </w:r>
            <w:r w:rsidRPr="0047239E">
              <w:rPr>
                <w:sz w:val="18"/>
              </w:rPr>
              <w:t xml:space="preserve"> (C): MOB on biomethane</w:t>
            </w:r>
          </w:p>
        </w:tc>
        <w:tc>
          <w:tcPr>
            <w:tcW w:w="0" w:type="auto"/>
          </w:tcPr>
          <w:p w14:paraId="7675EE52" w14:textId="77777777" w:rsidR="00FF3A0C" w:rsidRPr="0047239E" w:rsidRDefault="00FF3A0C" w:rsidP="006B7E52">
            <w:pPr>
              <w:cnfStyle w:val="000000100000" w:firstRow="0" w:lastRow="0" w:firstColumn="0" w:lastColumn="0" w:oddVBand="0" w:evenVBand="0" w:oddHBand="1" w:evenHBand="0" w:firstRowFirstColumn="0" w:firstRowLastColumn="0" w:lastRowFirstColumn="0" w:lastRowLastColumn="0"/>
              <w:rPr>
                <w:sz w:val="18"/>
              </w:rPr>
            </w:pPr>
            <w:r w:rsidRPr="0047239E">
              <w:rPr>
                <w:b/>
                <w:sz w:val="18"/>
              </w:rPr>
              <w:t>MP_shifts</w:t>
            </w:r>
            <w:r w:rsidRPr="0047239E">
              <w:rPr>
                <w:sz w:val="18"/>
              </w:rPr>
              <w:t xml:space="preserve"> (E): HOB on shifted syngas</w:t>
            </w:r>
          </w:p>
        </w:tc>
      </w:tr>
      <w:tr w:rsidR="00FF3A0C" w:rsidRPr="0047239E" w14:paraId="6F1EC898"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5AC83689" w14:textId="77777777" w:rsidR="00FF3A0C" w:rsidRPr="0047239E" w:rsidRDefault="00FF3A0C" w:rsidP="003B1307">
            <w:pPr>
              <w:jc w:val="right"/>
              <w:rPr>
                <w:sz w:val="18"/>
              </w:rPr>
            </w:pPr>
            <w:r w:rsidRPr="0047239E">
              <w:rPr>
                <w:sz w:val="18"/>
              </w:rPr>
              <w:t>After shifting</w:t>
            </w:r>
          </w:p>
        </w:tc>
        <w:tc>
          <w:tcPr>
            <w:tcW w:w="0" w:type="auto"/>
          </w:tcPr>
          <w:p w14:paraId="4DE104EE" w14:textId="77777777" w:rsidR="00FF3A0C" w:rsidRPr="0047239E" w:rsidRDefault="00FF3A0C" w:rsidP="006B7E52">
            <w:pPr>
              <w:cnfStyle w:val="000000000000" w:firstRow="0" w:lastRow="0" w:firstColumn="0" w:lastColumn="0" w:oddVBand="0" w:evenVBand="0" w:oddHBand="0" w:evenHBand="0" w:firstRowFirstColumn="0" w:firstRowLastColumn="0" w:lastRowFirstColumn="0" w:lastRowLastColumn="0"/>
              <w:rPr>
                <w:sz w:val="18"/>
              </w:rPr>
            </w:pPr>
            <w:r w:rsidRPr="0047239E">
              <w:rPr>
                <w:b/>
                <w:sz w:val="18"/>
              </w:rPr>
              <w:t>MP_shiftb</w:t>
            </w:r>
            <w:r w:rsidRPr="0047239E">
              <w:rPr>
                <w:sz w:val="18"/>
              </w:rPr>
              <w:t xml:space="preserve"> (B): HOB on shifted biogas</w:t>
            </w:r>
          </w:p>
        </w:tc>
        <w:tc>
          <w:tcPr>
            <w:tcW w:w="0" w:type="auto"/>
          </w:tcPr>
          <w:p w14:paraId="4C86EC29" w14:textId="77777777" w:rsidR="00FF3A0C" w:rsidRPr="0047239E" w:rsidRDefault="00FF3A0C" w:rsidP="006B7E52">
            <w:pPr>
              <w:cnfStyle w:val="000000000000" w:firstRow="0" w:lastRow="0" w:firstColumn="0" w:lastColumn="0" w:oddVBand="0" w:evenVBand="0" w:oddHBand="0" w:evenHBand="0" w:firstRowFirstColumn="0" w:firstRowLastColumn="0" w:lastRowFirstColumn="0" w:lastRowLastColumn="0"/>
              <w:rPr>
                <w:sz w:val="18"/>
              </w:rPr>
            </w:pPr>
            <w:r w:rsidRPr="0047239E">
              <w:rPr>
                <w:b/>
                <w:sz w:val="18"/>
              </w:rPr>
              <w:t>MP_meths</w:t>
            </w:r>
            <w:r w:rsidRPr="0047239E">
              <w:rPr>
                <w:sz w:val="18"/>
              </w:rPr>
              <w:t xml:space="preserve"> (D): MOB on methanized gas</w:t>
            </w:r>
          </w:p>
        </w:tc>
      </w:tr>
    </w:tbl>
    <w:p w14:paraId="0B02580C" w14:textId="50174515" w:rsidR="00FF3A0C" w:rsidRPr="003F5DA8" w:rsidRDefault="00FF3A0C" w:rsidP="006B5342">
      <w:pPr>
        <w:jc w:val="both"/>
        <w:rPr>
          <w:sz w:val="18"/>
          <w:highlight w:val="yellow"/>
        </w:rPr>
      </w:pPr>
      <w:r w:rsidRPr="003F5DA8">
        <w:rPr>
          <w:sz w:val="18"/>
        </w:rPr>
        <w:t xml:space="preserve">Each pathway is further detailed in the following sections, PFD is </w:t>
      </w:r>
      <w:r w:rsidRPr="00DD7BCD">
        <w:rPr>
          <w:sz w:val="18"/>
        </w:rPr>
        <w:t>presented in</w:t>
      </w:r>
      <w:r w:rsidR="006B7E52">
        <w:rPr>
          <w:sz w:val="18"/>
        </w:rPr>
        <w:t xml:space="preserve"> the main manuscript </w:t>
      </w:r>
      <w:r w:rsidRPr="00DD7BCD">
        <w:rPr>
          <w:sz w:val="18"/>
        </w:rPr>
        <w:t>(letters A-F correspondence).</w:t>
      </w:r>
    </w:p>
    <w:p w14:paraId="73F87C54" w14:textId="28D8D248" w:rsidR="00FF3A0C" w:rsidRPr="003F5DA8" w:rsidRDefault="00FF3A0C" w:rsidP="00FF3A0C">
      <w:pPr>
        <w:jc w:val="both"/>
      </w:pPr>
      <w:r w:rsidRPr="003F5DA8">
        <w:t xml:space="preserve">The potential of alternative set-ups (e.g. </w:t>
      </w:r>
      <w:r w:rsidRPr="00DD7BCD">
        <w:t>mentioned in</w:t>
      </w:r>
      <w:r w:rsidR="006B7E52">
        <w:t xml:space="preserve"> </w:t>
      </w:r>
      <w:r w:rsidR="006B7E52" w:rsidRPr="006B7E52">
        <w:rPr>
          <w:b/>
        </w:rPr>
        <w:fldChar w:fldCharType="begin"/>
      </w:r>
      <w:r w:rsidR="006B7E52" w:rsidRPr="006B7E52">
        <w:rPr>
          <w:b/>
        </w:rPr>
        <w:instrText xml:space="preserve"> REF _Ref144822902 \h </w:instrText>
      </w:r>
      <w:r w:rsidR="006B7E52">
        <w:rPr>
          <w:b/>
        </w:rPr>
        <w:instrText xml:space="preserve"> \* MERGEFORMAT </w:instrText>
      </w:r>
      <w:r w:rsidR="006B7E52" w:rsidRPr="006B7E52">
        <w:rPr>
          <w:b/>
        </w:rPr>
      </w:r>
      <w:r w:rsidR="006B7E52" w:rsidRPr="006B7E52">
        <w:rPr>
          <w:b/>
        </w:rPr>
        <w:fldChar w:fldCharType="separate"/>
      </w:r>
      <w:r w:rsidR="00F25F8C" w:rsidRPr="00F25F8C">
        <w:rPr>
          <w:b/>
        </w:rPr>
        <w:t xml:space="preserve">Table SI. </w:t>
      </w:r>
      <w:r w:rsidR="00F25F8C" w:rsidRPr="00F25F8C">
        <w:rPr>
          <w:b/>
          <w:noProof/>
        </w:rPr>
        <w:t>55</w:t>
      </w:r>
      <w:r w:rsidR="006B7E52" w:rsidRPr="006B7E52">
        <w:rPr>
          <w:b/>
        </w:rPr>
        <w:fldChar w:fldCharType="end"/>
      </w:r>
      <w:r w:rsidRPr="00DD7BCD">
        <w:t>) and discard</w:t>
      </w:r>
      <w:r w:rsidRPr="003F5DA8">
        <w:t xml:space="preserve"> reasons are provided afterwards.</w:t>
      </w:r>
    </w:p>
    <w:p w14:paraId="37775D21" w14:textId="32D51E58" w:rsidR="001B2C2E" w:rsidRDefault="00FF3A0C" w:rsidP="00A75298">
      <w:pPr>
        <w:jc w:val="both"/>
      </w:pPr>
      <w:r w:rsidRPr="003F5DA8">
        <w:t>First, the co-culture of HOB and MOB (i.e. in the same bioreactor)</w:t>
      </w:r>
      <w:r w:rsidRPr="003F5DA8">
        <w:fldChar w:fldCharType="begin"/>
      </w:r>
      <w:r w:rsidR="005413B4">
        <w:instrText xml:space="preserve"> ADDIN ZOTERO_ITEM CSL_CITATION {"citationID":"2bRaPQfz","properties":{"formattedCitation":"\\super 217\\nosupersub{}","plainCitation":"217","noteIndex":0},"citationItems":[{"id":11776,"uris":["http://zotero.org/users/6423791/items/BQDYFR2T"],"itemData":{"id":11776,"type":"article-journal","abstract":"Increasing efforts are directed towards the development of sustainable alternative protein sources among which microbial protein (MP) is one of the most promising. Especially when waste streams are used as substrates, the case for MP could become environmentally favorable. The risks of using organic waste streams for MP production–the presence of pathogens or toxicants–can be mitigated by their anaerobic digestion and subsequent aerobic assimilation of the (filter-sterilized) biogas. Even though methane and hydrogen oxidizing bacteria (MOB and HOB) have been intensively studied for MP production, the potential benefits of their co-cultivation remain elusive. Here, we isolated a diverse group of novel HOB (that were capable of autotrophic metabolism), and co-cultured them with a defined set of MOB, which could be grown on a mixture of biogas and H\n              2\n              /O\n              2\n              . The combination of MOB and HOB, apart from the CH\n              4\n              and CO\n              2\n              contained in biogas, can also enable the valorization of the CO\n              2\n              that results from the oxidation of methane by the MOB. Different MOB and HOB combinations were grown in serum vials to identify the best-performing ones. We observed synergistic effects on growth for several combinations, and in all combinations a co-culture consisting out of both HOB and MOB could be maintained during five days of cultivation. Relative to the axenic growth, five out of the ten co-cultures exhibited 1.1–3.8 times higher protein concentration and two combinations presented 2.4–6.1 times higher essential amino acid content. The MP produced in this study generally contained lower amounts of the essential amino acids histidine, lysine and threonine, compared to tofu and fishmeal. The most promising combination in terms of protein concentration and essential amino acid profile was\n              Methyloparacoccus murrelli\n              LMG 27482 with\n              Cupriavidus necator\n              LMG 1201. Microbial protein from\n              M. murrelli\n              and\n              C. necator\n              requires 27–67% less quantity than chicken, whole egg and tofu, while it only requires 15% more quantity than the amino acid-dense soybean to cover the needs of an average adult. In conclusion, while limitations still exist, the co-cultivation of MOB and HOB creates an alternative route for MP production leveraging safe and sustainably-produced gaseous substrates.","container-title":"Frontiers in Bioengineering and Biotechnology","DOI":"10.3389/fbioe.2021.733753","ISSN":"2296-4185","journalAbbreviation":"Front. Bioeng. Biotechnol.","language":"en","page":"733753","source":"DOI.org (Crossref)","title":"From Biogas and Hydrogen to Microbial Protein Through Co-Cultivation of Methane and Hydrogen Oxidizing Bacteria","volume":"9","author":[{"family":"Kerckhof","given":"Frederiek-Maarten"},{"family":"Sakarika","given":"Myrsini"},{"family":"Van Giel","given":"Marie"},{"family":"Muys","given":"Maarten"},{"family":"Vermeir","given":"Pieter"},{"family":"De Vrieze","given":"Jo"},{"family":"Vlaeminck","given":"Siegfried E."},{"family":"Rabaey","given":"Korneel"},{"family":"Boon","given":"Nico"}],"issued":{"date-parts":[["2021",8,30]]}}}],"schema":"https://github.com/citation-style-language/schema/raw/master/csl-citation.json"} </w:instrText>
      </w:r>
      <w:r w:rsidRPr="003F5DA8">
        <w:fldChar w:fldCharType="separate"/>
      </w:r>
      <w:r w:rsidR="005413B4" w:rsidRPr="005413B4">
        <w:rPr>
          <w:rFonts w:ascii="Calibri" w:hAnsi="Calibri" w:cs="Calibri"/>
          <w:szCs w:val="24"/>
          <w:vertAlign w:val="superscript"/>
        </w:rPr>
        <w:t>217</w:t>
      </w:r>
      <w:r w:rsidRPr="003F5DA8">
        <w:fldChar w:fldCharType="end"/>
      </w:r>
      <w:r w:rsidRPr="003F5DA8">
        <w:t xml:space="preserve"> was not retained. This combination is likely promising to convert gas mixes (such as syngas), where CH</w:t>
      </w:r>
      <w:r w:rsidRPr="003F5DA8">
        <w:rPr>
          <w:vertAlign w:val="subscript"/>
        </w:rPr>
        <w:t>4</w:t>
      </w:r>
      <w:r w:rsidRPr="003F5DA8">
        <w:t>, CO</w:t>
      </w:r>
      <w:r w:rsidRPr="003F5DA8">
        <w:rPr>
          <w:vertAlign w:val="subscript"/>
        </w:rPr>
        <w:t>2</w:t>
      </w:r>
      <w:r w:rsidRPr="003F5DA8">
        <w:t xml:space="preserve"> and H</w:t>
      </w:r>
      <w:r w:rsidRPr="003F5DA8">
        <w:rPr>
          <w:vertAlign w:val="subscript"/>
        </w:rPr>
        <w:t>2</w:t>
      </w:r>
      <w:r w:rsidRPr="003F5DA8">
        <w:t xml:space="preserve"> are simultaneously present, but also to reuse metabolic CO</w:t>
      </w:r>
      <w:r w:rsidRPr="003F5DA8">
        <w:rPr>
          <w:vertAlign w:val="subscript"/>
        </w:rPr>
        <w:t>2</w:t>
      </w:r>
      <w:r w:rsidRPr="003F5DA8">
        <w:t xml:space="preserve"> of MOB directly </w:t>
      </w:r>
      <w:r w:rsidRPr="003F5DA8">
        <w:rPr>
          <w:i/>
        </w:rPr>
        <w:t>in-situ</w:t>
      </w:r>
      <w:r w:rsidRPr="003F5DA8">
        <w:t>. Another argument promoted is the increased resilience to shocks (e.g. changes in gas mixture input) of the co-culture</w:t>
      </w:r>
      <w:r w:rsidRPr="003F5DA8">
        <w:fldChar w:fldCharType="begin"/>
      </w:r>
      <w:r w:rsidR="00827449">
        <w:instrText xml:space="preserve"> ADDIN ZOTERO_ITEM CSL_CITATION {"citationID":"jhlHMj37","properties":{"formattedCitation":"\\super 22\\nosupersub{}","plainCitation":"22","noteIndex":0},"citationItems":[{"id":12862,"uris":["http://zotero.org/users/6423791/items/YGDJPK4F"],"itemData":{"id":12862,"type":"article-journal","abstract":"The concerns over food security and protein scarcity, driven by population increase and higher standards of living, have pushed scientists toward finding new protein sources. A considerable proportion of resources and agricultural lands are currently dedicated to proteinaceous feed production to raise livestock and poultry for human consumption. The 1st generation of microbial protein (MP) came into the market as land-independent proteinaceous feed for livestock and aquaculture. However, MP may be a less sustainable alternative to conventional feeds, such as soybean meal and fishmeal, because this technology currently requires natural gas and synthetic chemicals. These challenges have directed researchers toward the production of 2nd generation MP by integrating renewable energies, anaerobic digestion, nutrient recovery, biogas cleaning and upgrading, carbon-capture technologies, and fermentation. The fermentation of methane-oxidizing bacteria (MOB) and hydrogen-oxidizing bacteria (HOB), i.e., two protein rich microorganisms, has shown a great potential, on the one hand, to upcycle effluents from anaerobic digestion into protein rich biomass, and on the other hand, to be coupled to renewable energy systems under the concept of Power-to-X. This work compares various production routes for 2nd generation MP by reviewing the latest studies conducted in this context and introducing the state-of-the-art technologies, hoping that the findings can accelerate and facilitate upscaling of MP production. The results show that 2nd generation MP depends on the expansion of renewable energies. In countries with high penetration of renewable electricity, such as Nordic countries, off-peak surplus electricity can be used within MP-industry by supplying electrolytic H2, which is the driving factor for both MOB and HOB-based MP production. However, nutrient recovery technologies are the heart of the 2nd generation MP industry as they determine the process costs and quality of the final product. Although huge attempts have been made to date in this context, some bottlenecks such as immature nutrient recovery technologies, less efficient fermenters with insufficient gas-to-liquid transfer, and costly electrolytic hydrogen production and storage have hindered the scale up of MP production. Furthermore, further research into techno-economic feasibility and life cycle assessment (LCA) of coupled technologies is still needed to identify key points for improvement and thereby secure a sustainable production system.","container-title":"Renewable and Sustainable Energy Reviews","DOI":"10.1016/j.rser.2021.112041","ISSN":"1364-0321","journalAbbreviation":"Renew. Sust. Energ. Rev.","language":"en","page":"112041","source":"ScienceDirect","title":"From renewable energy to sustainable protein sources: Advancement, challenges, and future roadmaps","title-short":"From renewable energy to sustainable protein sources","volume":"157","author":[{"family":"Khoshnevisan","given":"Benyamin"},{"family":"He","given":"Li"},{"family":"Xu","given":"Mingyi"},{"family":"Valverde-Pérez","given":"Borja"},{"family":"Sillman","given":"Jani"},{"family":"Mitraka","given":"Georgia-Christina"},{"family":"Kougias","given":"Panagiotis G."},{"family":"Zhang","given":"Yifeng"},{"family":"Yan","given":"Shuiping"},{"family":"Ji","given":"Long"},{"family":"Carbajales-Dale","given":"Michael"},{"family":"Elyasi","given":"Seyedeh Nashmin"},{"family":"Marami","given":"Hadis"},{"family":"Tsapekos","given":"Panagiotis"},{"family":"Liu","given":"Hongbin"},{"family":"Angelidaki","given":"Irini"}],"issued":{"date-parts":[["2022",4,1]]}}}],"schema":"https://github.com/citation-style-language/schema/raw/master/csl-citation.json"} </w:instrText>
      </w:r>
      <w:r w:rsidRPr="003F5DA8">
        <w:fldChar w:fldCharType="separate"/>
      </w:r>
      <w:r w:rsidR="00682E10" w:rsidRPr="00682E10">
        <w:rPr>
          <w:rFonts w:ascii="Calibri" w:hAnsi="Calibri" w:cs="Calibri"/>
          <w:szCs w:val="24"/>
          <w:vertAlign w:val="superscript"/>
        </w:rPr>
        <w:t>22</w:t>
      </w:r>
      <w:r w:rsidRPr="003F5DA8">
        <w:fldChar w:fldCharType="end"/>
      </w:r>
      <w:r w:rsidRPr="003F5DA8">
        <w:t>. Yet, not enough data was found to document this pathway and proxy its industrial scale performance. Second, the various synergistic combinations of MOB and HOB production sequences (e.g. as proposed by Khoshnevisan et al., 2022</w:t>
      </w:r>
      <w:r w:rsidRPr="003F5DA8">
        <w:fldChar w:fldCharType="begin"/>
      </w:r>
      <w:r w:rsidR="00827449">
        <w:instrText xml:space="preserve"> ADDIN ZOTERO_ITEM CSL_CITATION {"citationID":"uzALnosj","properties":{"formattedCitation":"\\super 22\\nosupersub{}","plainCitation":"22","noteIndex":0},"citationItems":[{"id":12862,"uris":["http://zotero.org/users/6423791/items/YGDJPK4F"],"itemData":{"id":12862,"type":"article-journal","abstract":"The concerns over food security and protein scarcity, driven by population increase and higher standards of living, have pushed scientists toward finding new protein sources. A considerable proportion of resources and agricultural lands are currently dedicated to proteinaceous feed production to raise livestock and poultry for human consumption. The 1st generation of microbial protein (MP) came into the market as land-independent proteinaceous feed for livestock and aquaculture. However, MP may be a less sustainable alternative to conventional feeds, such as soybean meal and fishmeal, because this technology currently requires natural gas and synthetic chemicals. These challenges have directed researchers toward the production of 2nd generation MP by integrating renewable energies, anaerobic digestion, nutrient recovery, biogas cleaning and upgrading, carbon-capture technologies, and fermentation. The fermentation of methane-oxidizing bacteria (MOB) and hydrogen-oxidizing bacteria (HOB), i.e., two protein rich microorganisms, has shown a great potential, on the one hand, to upcycle effluents from anaerobic digestion into protein rich biomass, and on the other hand, to be coupled to renewable energy systems under the concept of Power-to-X. This work compares various production routes for 2nd generation MP by reviewing the latest studies conducted in this context and introducing the state-of-the-art technologies, hoping that the findings can accelerate and facilitate upscaling of MP production. The results show that 2nd generation MP depends on the expansion of renewable energies. In countries with high penetration of renewable electricity, such as Nordic countries, off-peak surplus electricity can be used within MP-industry by supplying electrolytic H2, which is the driving factor for both MOB and HOB-based MP production. However, nutrient recovery technologies are the heart of the 2nd generation MP industry as they determine the process costs and quality of the final product. Although huge attempts have been made to date in this context, some bottlenecks such as immature nutrient recovery technologies, less efficient fermenters with insufficient gas-to-liquid transfer, and costly electrolytic hydrogen production and storage have hindered the scale up of MP production. Furthermore, further research into techno-economic feasibility and life cycle assessment (LCA) of coupled technologies is still needed to identify key points for improvement and thereby secure a sustainable production system.","container-title":"Renewable and Sustainable Energy Reviews","DOI":"10.1016/j.rser.2021.112041","ISSN":"1364-0321","journalAbbreviation":"Renew. Sust. Energ. Rev.","language":"en","page":"112041","source":"ScienceDirect","title":"From renewable energy to sustainable protein sources: Advancement, challenges, and future roadmaps","title-short":"From renewable energy to sustainable protein sources","volume":"157","author":[{"family":"Khoshnevisan","given":"Benyamin"},{"family":"He","given":"Li"},{"family":"Xu","given":"Mingyi"},{"family":"Valverde-Pérez","given":"Borja"},{"family":"Sillman","given":"Jani"},{"family":"Mitraka","given":"Georgia-Christina"},{"family":"Kougias","given":"Panagiotis G."},{"family":"Zhang","given":"Yifeng"},{"family":"Yan","given":"Shuiping"},{"family":"Ji","given":"Long"},{"family":"Carbajales-Dale","given":"Michael"},{"family":"Elyasi","given":"Seyedeh Nashmin"},{"family":"Marami","given":"Hadis"},{"family":"Tsapekos","given":"Panagiotis"},{"family":"Liu","given":"Hongbin"},{"family":"Angelidaki","given":"Irini"}],"issued":{"date-parts":[["2022",4,1]]}}}],"schema":"https://github.com/citation-style-language/schema/raw/master/csl-citation.json"} </w:instrText>
      </w:r>
      <w:r w:rsidRPr="003F5DA8">
        <w:fldChar w:fldCharType="separate"/>
      </w:r>
      <w:r w:rsidR="00682E10" w:rsidRPr="00682E10">
        <w:rPr>
          <w:rFonts w:ascii="Calibri" w:hAnsi="Calibri" w:cs="Calibri"/>
          <w:szCs w:val="24"/>
          <w:vertAlign w:val="superscript"/>
        </w:rPr>
        <w:t>22</w:t>
      </w:r>
      <w:r w:rsidRPr="003F5DA8">
        <w:fldChar w:fldCharType="end"/>
      </w:r>
      <w:r w:rsidRPr="003F5DA8">
        <w:t>) were not specifically addressed herein neither. These variants mostly aim to make the most of exhaust gases, therefore rather addressing how to best reuse CO</w:t>
      </w:r>
      <w:r w:rsidRPr="003F5DA8">
        <w:rPr>
          <w:vertAlign w:val="subscript"/>
        </w:rPr>
        <w:t>2</w:t>
      </w:r>
      <w:r w:rsidRPr="003F5DA8">
        <w:t>, somehow similarly to the CCU-to-proteins (CCU: carbon capture and use) approaches</w:t>
      </w:r>
      <w:r w:rsidRPr="003F5DA8">
        <w:fldChar w:fldCharType="begin"/>
      </w:r>
      <w:r w:rsidR="005413B4">
        <w:instrText xml:space="preserve"> ADDIN ZOTERO_ITEM CSL_CITATION {"citationID":"z3wBmg6A","properties":{"formattedCitation":"\\super 224\\nosupersub{}","plainCitation":"224","noteIndex":0},"citationItems":[{"id":12906,"uris":["http://zotero.org/users/6423791/items/T9ILD2IY"],"itemData":{"id":12906,"type":"article-journal","abstract":"Microbial protein (MP) is back on the table after decades of slumbering interest. One-carbon (C1) substrates are attractive for MP production due to their efficient production from CO2 and renewable electricity, linking carbon capture to food while circumventing agriculture. Here we compared all reported combinations of C1 (formate/methanol/methane) and microorganisms (bacteria/yeasts) in terms of engineering and biomass quality parameters, focusing on the amino acid match with human requirements. This meta-analysis based on &gt;100 studies suggests that methanol is the most promising C1, and methanol-grown microorganisms seem most nutritional with bacteria and yeasts having different merits. More sustainable MP could be produced if metabolic engineering tools yielding microorganisms with more efficient C1 assimilation pathways and steered amino acid profiles are deployed.","container-title":"Current Opinion in Biotechnology","DOI":"10.1016/j.copbio.2022.102685","ISSN":"0958-1669","journalAbbreviation":"Curr. Opin. Biotechnol.","language":"en","page":"102685","source":"ScienceDirect","title":"Methylotrophs: from C1 compounds to food","title-short":"Methylotrophs","volume":"75","author":[{"family":"Sakarika","given":"Myrsini"},{"family":"Ganigué","given":"Ramon"},{"family":"Rabaey","given":"Korneel"}],"issued":{"date-parts":[["2022",6,1]]}}}],"schema":"https://github.com/citation-style-language/schema/raw/master/csl-citation.json"} </w:instrText>
      </w:r>
      <w:r w:rsidRPr="003F5DA8">
        <w:fldChar w:fldCharType="separate"/>
      </w:r>
      <w:r w:rsidR="005413B4" w:rsidRPr="005413B4">
        <w:rPr>
          <w:rFonts w:ascii="Calibri" w:hAnsi="Calibri" w:cs="Calibri"/>
          <w:szCs w:val="24"/>
          <w:vertAlign w:val="superscript"/>
        </w:rPr>
        <w:t>224</w:t>
      </w:r>
      <w:r w:rsidRPr="003F5DA8">
        <w:fldChar w:fldCharType="end"/>
      </w:r>
      <w:r w:rsidRPr="003F5DA8">
        <w:t xml:space="preserve">. Accordingly, such approaches could plug wherever </w:t>
      </w:r>
      <w:r w:rsidR="006B7E52">
        <w:t>lies</w:t>
      </w:r>
      <w:r w:rsidRPr="003F5DA8">
        <w:t xml:space="preserve"> a concentrated CO</w:t>
      </w:r>
      <w:r w:rsidRPr="003F5DA8">
        <w:rPr>
          <w:vertAlign w:val="subscript"/>
        </w:rPr>
        <w:t>2</w:t>
      </w:r>
      <w:r w:rsidRPr="003F5DA8">
        <w:t xml:space="preserve"> flow within studied pathways, which includes combustion flue gases, CO</w:t>
      </w:r>
      <w:r w:rsidRPr="003F5DA8">
        <w:rPr>
          <w:vertAlign w:val="subscript"/>
        </w:rPr>
        <w:t>2</w:t>
      </w:r>
      <w:r w:rsidRPr="003F5DA8">
        <w:t xml:space="preserve"> removed from biogas, etc. As there is no clear and generalizable trend on how to best use CO</w:t>
      </w:r>
      <w:r w:rsidRPr="003F5DA8">
        <w:rPr>
          <w:vertAlign w:val="subscript"/>
        </w:rPr>
        <w:t>2</w:t>
      </w:r>
      <w:r w:rsidRPr="003F5DA8">
        <w:t xml:space="preserve"> streams</w:t>
      </w:r>
      <w:r w:rsidRPr="003F5DA8">
        <w:fldChar w:fldCharType="begin"/>
      </w:r>
      <w:r w:rsidR="005413B4">
        <w:instrText xml:space="preserve"> ADDIN ZOTERO_ITEM CSL_CITATION {"citationID":"BLj2N7Tw","properties":{"formattedCitation":"\\super 225\\nosupersub{}","plainCitation":"225","noteIndex":0},"citationItems":[{"id":13997,"uris":["http://zotero.org/users/6423791/items/6WMD8JSM"],"itemData":{"id":13997,"type":"article-journal","abstract":"Companies are scrambling to turn the greenhouse gas into useful products — but will that slow climate change?","container-title":"Nature","DOI":"10.1038/d41586-022-00807-y","issue":"7903","language":"en","license":"2022 Nature","note":"Bandiera_abtest: a\nCg_type: News Feature\nnumber: 7903\npublisher: Nature Publishing Group\nSubject_term: Climate change, Chemistry, Policy, Energy","page":"780-783","source":"www.nature.com","title":"The race to upcycle CO2 into fuels, concrete and more","volume":"603","author":[{"family":"Peplow","given":"Mark"}],"issued":{"date-parts":[["2022",3,29]]}}}],"schema":"https://github.com/citation-style-language/schema/raw/master/csl-citation.json"} </w:instrText>
      </w:r>
      <w:r w:rsidRPr="003F5DA8">
        <w:fldChar w:fldCharType="separate"/>
      </w:r>
      <w:r w:rsidR="005413B4" w:rsidRPr="005413B4">
        <w:rPr>
          <w:rFonts w:ascii="Calibri" w:hAnsi="Calibri" w:cs="Calibri"/>
          <w:szCs w:val="24"/>
          <w:vertAlign w:val="superscript"/>
        </w:rPr>
        <w:t>225</w:t>
      </w:r>
      <w:r w:rsidRPr="003F5DA8">
        <w:fldChar w:fldCharType="end"/>
      </w:r>
      <w:r w:rsidRPr="003F5DA8">
        <w:t>, and for diver</w:t>
      </w:r>
      <w:r w:rsidR="006B7E52">
        <w:t>g</w:t>
      </w:r>
      <w:r w:rsidRPr="003F5DA8">
        <w:t xml:space="preserve">ing too much from the scope of this study, CCU </w:t>
      </w:r>
      <w:r w:rsidR="006B7E52">
        <w:t>options were</w:t>
      </w:r>
      <w:r w:rsidRPr="003F5DA8">
        <w:t xml:space="preserve"> not retained. Third, the production of small-chains C compounds (e.g. methanol, formate, acetic acid, etc.) as intermediates to support heterotrophic </w:t>
      </w:r>
      <w:r w:rsidR="006B7E52">
        <w:t xml:space="preserve">cell </w:t>
      </w:r>
      <w:r w:rsidRPr="003F5DA8">
        <w:t>growth are also increasingly promoted in the literature</w:t>
      </w:r>
      <w:r w:rsidRPr="003F5DA8">
        <w:fldChar w:fldCharType="begin"/>
      </w:r>
      <w:r w:rsidR="005413B4">
        <w:instrText xml:space="preserve"> ADDIN ZOTERO_ITEM CSL_CITATION {"citationID":"ygr2nfmu","properties":{"formattedCitation":"\\super 226,227\\nosupersub{}","plainCitation":"226,227","noteIndex":0},"citationItems":[{"id":2520,"uris":["http://zotero.org/users/6423791/items/764SNF69"],"itemData":{"id":2520,"type":"article-journal","abstract":"Autotrophic microorganisms have the potential to efficiently convert CO2 into a wide range of chemicals and biofuels, which is a promising sustainable avenue for future biotechnology. Natural autotrophs have evolved to use energy sources, that is, light (photoautotrophs) and/or inorganic electron donors such as hydrogen (chemolithoautotrophs), to convert CO2 into biomass. However, natural autotrophs are generally not yet suitable for industrial applications, owing to low autotrophic product yields and productivities, and because of poorly developed genetic tools.A few natural autotrophs with limited genetic toolboxes, including some photoautotrophic cyanobacteria and some promising chemolithoautotrophs, are being engineered towards autotrophic cell factories. This includes the introduction of heterologous pathways for products of interest and the engineering of autotrophic systems and pathways to improve their efficiency under industrial conditions.Some autotrophic systems, such as partial or complete CO2 fixation pathways and simple photosystems, have been transplanted into heterotrophic model microorganisms. Transplantation of CO2 fixation pathways into heterotrophs has already led to higher mixotrophic product yields.Biochemical and computational analyses have uncovered the large diversity of natural and synthetic CO2 fixation pathways. This large repertoire of pathways includes pathways that are more ATP-efficient and have potentially faster kinetics than the ubiquitous Calvin cycle. However, these promising CO2 fixations pathways have not yet been successfully introduced into heterotrophic or autotrophic cell factories. Future attempts to establish these pathways will benefit from synthetic biology approaches, involving rational pathway design, enzyme engineering and modularization, in combination with indispensable laboratory evolution approaches.Natural photosystems have been improved by genetic engineering to a limited extend so far, and there is a large potential to further improve their light-harvesting and energy conversion efficiency. Current photovoltaic solar cells are much more efficient at light-harvesting than the biological process of photosynthesis. Based on this notion, record-breaking solar-to-product efficiencies have been recently achieved by bio-inorganic hybrid systems that carry out microbial electrosynthesis. These systems consist of the photovoltaic solar-cell driven electrocatalytic production of electron donors (for example, hydrogen), which is integrated with chemolithoautotrophic microorganisms that convert electron donors into products.","container-title":"Nature Reviews Microbiology","DOI":"10.1038/nrmicro.2016.130","ISSN":"1740-1534","issue":"11","journalAbbreviation":"Nat. Rev. Microbiol.","language":"en","note":"number: 11\npublisher: Nature Publishing Group","page":"692-706","source":"www-nature-com.gorgone.univ-toulouse.fr","title":"Harnessing the power of microbial autotrophy","volume":"14","author":[{"family":"Claassens","given":"Nico J."},{"family":"Sousa","given":"Diana Z."},{"family":"Santos","given":"Vitor A. P. Martins","non-dropping-particle":"dos"},{"family":"Vos","given":"Willem M.","non-dropping-particle":"de"},{"family":"Oost","given":"John","non-dropping-particle":"van der"}],"issued":{"date-parts":[["2016",11]]}}},{"id":2105,"uris":["http://zotero.org/users/6423791/items/TQXB9NFA"],"itemData":{"id":2105,"type":"article-journal","abstract":"Akanksha Mishra is currently a PhD student at the University of Tübingen in Germany. She is working in the field of gas fermentation under the supervision of Prof. Angenent. For her thesis, she is developing the power-to-protein system by operating a two-stage bioprocessing system. She is originally from India and moved to Germany after the completion of her undergraduate studies in biotechnology. She obtained a master’s degree in applied environmental geosciences also at the University of Tübingen. Dr. Jean Nepomuscene Ntihuga is a post-doctoral research associate at University of Tübingen, Germany in the Environmental Biotechnology Group at the Center of Applied Geosciences. He conducts research on chain elongation, especially in downstream process optimization. He worked on designing bioreactors during his doctoral research at the University of Hohenheim. With a background in chemical engineering, his research focused on application of engineering principles in the conversion of wastes to useful products and its impact on the environment. His goal is to help alleviate poverty and climate change mitigation through scale-up of developed processes and its application in decentralized systems. Dr. Bastian Molitor studied biology at the Ruhr University Bochum, Germany, where he also obtained his PhD. Afterward, he worked as a postdoctoral researcher at the RWTH Aachen University, before he moved on to a two-year research stay at Cornell University. Since 2017, Dr. Molitor has been a group leader at the University of Tübingen. His research focuses on the utilization of anaerobic gas-fermenting microbes for biotechnology. He studies the potential to genetically engineer acetogenic bacteria and methanogenic archaea, as well as the integration of bioprocesses with non-genetically engineered microbes to extend the product spectrum of gas fermentation. Prof. Dr. Ir. Largus Angenent leads the Environmental Biotechnology Group at the Center of Applied Geosciences at the University of Tübingen (Germany), where he holds a Humboldt Professorship. His group studies the recovery of carbon from wastewaters and industrial off gases with bioprocessing. The microbial catalysts can be pure cultures (including genetic modification), defined mixed cultures, or open cultures (microbiomes). His group also studies extracellular electron transfer, and he was one of the founding members of ISMET. Angenent is an expert on gas fermentation and chain elongation, and he started companies in these areas (Electrochaea, GmbH and Capro-X, Inc.).","container-title":"Joule","DOI":"10.1016/j.joule.2020.04.008","ISSN":"2542-4351","issue":"6","journalAbbreviation":"Joule","language":"en","page":"1142-1147","source":"ScienceDirect","title":"Power-to-Protein: Carbon Fixation with Renewable Electric Power to Feed the World","title-short":"Power-to-Protein","volume":"4","author":[{"family":"Mishra","given":"Akanksha"},{"family":"Ntihuga","given":"Jean Nepomuscene"},{"family":"Molitor","given":"Bastian"},{"family":"Angenent","given":"Largus T."}],"issued":{"date-parts":[["2020",6,17]]}}}],"schema":"https://github.com/citation-style-language/schema/raw/master/csl-citation.json"} </w:instrText>
      </w:r>
      <w:r w:rsidRPr="003F5DA8">
        <w:fldChar w:fldCharType="separate"/>
      </w:r>
      <w:r w:rsidR="005413B4" w:rsidRPr="005413B4">
        <w:rPr>
          <w:rFonts w:ascii="Calibri" w:hAnsi="Calibri" w:cs="Calibri"/>
          <w:szCs w:val="24"/>
          <w:vertAlign w:val="superscript"/>
        </w:rPr>
        <w:t>226,227</w:t>
      </w:r>
      <w:r w:rsidRPr="003F5DA8">
        <w:fldChar w:fldCharType="end"/>
      </w:r>
      <w:r w:rsidRPr="003F5DA8">
        <w:t>.  On top of reinforcing the safety of MP production (no flammable gas mixes</w:t>
      </w:r>
      <w:r w:rsidRPr="003F5DA8">
        <w:fldChar w:fldCharType="begin"/>
      </w:r>
      <w:r w:rsidR="005413B4">
        <w:instrText xml:space="preserve"> ADDIN ZOTERO_ITEM CSL_CITATION {"citationID":"iUSwTlEY","properties":{"formattedCitation":"\\super 184\\nosupersub{}","plainCitation":"184","noteIndex":0},"citationItems":[{"id":12428,"uris":["http://zotero.org/users/6423791/items/6T57THSK"],"itemData":{"id":12428,"type":"thesis","number-of-pages":"149","publisher":"Standford University","title":"Engineering the Dark Food Chain:the Role of Methanotrophic Bacteria Infood Production and Climate Change Mitigation","URL":"https://stacks.stanford.edu/file/druid:bg967bh2013/ElAbbadi_dissertation_2021-07-19-augmented.pdf","author":[{"family":"El Abbadi","given":"Sahar H."}],"accessed":{"date-parts":[["2021",11,30]]},"issued":{"date-parts":[["2021",7]]}}}],"schema":"https://github.com/citation-style-language/schema/raw/master/csl-citation.json"} </w:instrText>
      </w:r>
      <w:r w:rsidRPr="003F5DA8">
        <w:fldChar w:fldCharType="separate"/>
      </w:r>
      <w:r w:rsidR="005413B4" w:rsidRPr="005413B4">
        <w:rPr>
          <w:rFonts w:ascii="Calibri" w:hAnsi="Calibri" w:cs="Calibri"/>
          <w:szCs w:val="24"/>
          <w:vertAlign w:val="superscript"/>
        </w:rPr>
        <w:t>184</w:t>
      </w:r>
      <w:r w:rsidRPr="003F5DA8">
        <w:fldChar w:fldCharType="end"/>
      </w:r>
      <w:r w:rsidRPr="003F5DA8">
        <w:t>), gas-to-soluble-to-proteins pathways display overall greater energy conversion efficiencies. For example, Leger et al., 2021</w:t>
      </w:r>
      <w:r w:rsidRPr="003F5DA8">
        <w:fldChar w:fldCharType="begin"/>
      </w:r>
      <w:r w:rsidR="005413B4">
        <w:instrText xml:space="preserve"> ADDIN ZOTERO_ITEM CSL_CITATION {"citationID":"aSjAZa3I","properties":{"formattedCitation":"\\super 175\\nosupersub{}","plainCitation":"175","noteIndex":0},"citationItems":[{"id":11540,"uris":["http://zotero.org/users/6423791/items/L9NYDA2K"],"itemData":{"id":11540,"type":"article-journal","abstract":"Population growth and changes in dietary patterns place an ever-growing pressure on the environment. Feeding the world within sustainable boundaries therefore requires revolutionizing the way we harness natural resources. Microbial biomass can be cultivated to yield protein-rich feed and food supplements, collectively termed single-cell protein (SCP). Yet, we still lack a quantitative comparison between traditional agriculture and photovoltaic-driven SCP systems in terms of land use and energetic efficiency. Here, we analyze the energetic efficiency of harnessing solar energy to produce SCP from air and water. Our model includes photovoltaic electricity generation, direct air capture of carbon dioxide, electrosynthesis of an electron donor and/or carbon source for microbial growth (hydrogen, formate, or methanol), microbial cultivation, and the processing of biomass and proteins. We show that, per unit of land, SCP production can reach an over 10-fold higher protein yield and at least twice the caloric yield compared with any staple crop. Altogether, this quantitative analysis offers an assessment of the future potential of photovoltaic-driven microbial foods to supplement conventional agricultural production and support resource-efficient protein supply on a global scale.","container-title":"Proceedings of the National Academy of Sciences","DOI":"10.1073/pnas.2015025118","ISSN":"0027-8424, 1091-6490","issue":"26","journalAbbreviation":"Proc Natl Acad Sci USA","language":"en","page":"e2015025118","source":"DOI.org (Crossref)","title":"Photovoltaic-driven microbial protein production can use land and sunlight more efficiently than conventional crops","volume":"118","author":[{"family":"Leger","given":"Dorian"},{"family":"Matassa","given":"Silvio"},{"family":"Noor","given":"Elad"},{"family":"Shepon","given":"Alon"},{"family":"Milo","given":"Ron"},{"family":"Bar-Even","given":"Arren"}],"issued":{"date-parts":[["2021",6,29]]}}}],"schema":"https://github.com/citation-style-language/schema/raw/master/csl-citation.json"} </w:instrText>
      </w:r>
      <w:r w:rsidRPr="003F5DA8">
        <w:fldChar w:fldCharType="separate"/>
      </w:r>
      <w:r w:rsidR="005413B4" w:rsidRPr="005413B4">
        <w:rPr>
          <w:rFonts w:ascii="Calibri" w:hAnsi="Calibri" w:cs="Calibri"/>
          <w:szCs w:val="24"/>
          <w:vertAlign w:val="superscript"/>
        </w:rPr>
        <w:t>175</w:t>
      </w:r>
      <w:r w:rsidRPr="003F5DA8">
        <w:fldChar w:fldCharType="end"/>
      </w:r>
      <w:r w:rsidRPr="003F5DA8">
        <w:t xml:space="preserve"> calculated that H</w:t>
      </w:r>
      <w:r w:rsidRPr="003F5DA8">
        <w:rPr>
          <w:vertAlign w:val="subscript"/>
        </w:rPr>
        <w:t>2</w:t>
      </w:r>
      <w:r w:rsidRPr="003F5DA8">
        <w:t>-to-methanol-to-yeast and H</w:t>
      </w:r>
      <w:r w:rsidRPr="003F5DA8">
        <w:rPr>
          <w:vertAlign w:val="subscript"/>
        </w:rPr>
        <w:t>2</w:t>
      </w:r>
      <w:r w:rsidRPr="003F5DA8">
        <w:t>-to-HOB pathway were the most energy efficient configurations from a panel of gas-to-protein approaches.  Van Peteghem et al., 2022</w:t>
      </w:r>
      <w:r w:rsidRPr="003F5DA8">
        <w:fldChar w:fldCharType="begin"/>
      </w:r>
      <w:r w:rsidR="00827449">
        <w:instrText xml:space="preserve"> ADDIN ZOTERO_ITEM CSL_CITATION {"citationID":"nWzacXlp","properties":{"formattedCitation":"\\super 41\\nosupersub{}","plainCitation":"41","noteIndex":0},"citationItems":[{"id":13068,"uris":["http://zotero.org/users/6423791/items/RK8J2DQC"],"itemData":{"id":13068,"type":"article-journal","abstract":"Alternative protein sources such as microbial protein (MP) are currently considered to alleviate the burden that food production exerts on the environment. Even though MP production is highly efficient in land and nutrient utilization, their carbon footprint should be improved. Here we propose the use of CCU as a driver for heterotrophic MP production. By comparing different MP production routes starting from liquid substrates derived from CO2 (i.e., formate, acetate, methanol, and ethanol) and their respective metabolic pathways, the potential of this concept as a carbon–neutral food or feed production process was estimated. Acetate and ethanol appear to be the most beneficial substrates for the integrated CCU-to-MP process in terms of electricity demand (acetate: 25 – 54 kWh/kgproduct, ethanol: 28 – 56 kWh/kgproduct). Moreover, recycling CO2 enables a carbon-negative protein production process by 2030 (considering the projected CO2 emissions from electricity in the EU: 0.096 kgCO2-eq/kWh) for formate, acetate, and ethanol (-1.1 up to 13 kgCO2-eq/kgproduct).","container-title":"Bioresource Technology","DOI":"10.1016/j.biortech.2022.126853","ISSN":"0960-8524","journalAbbreviation":"Bioresour. Technol.","language":"en","page":"126853","source":"ScienceDirect","title":"Towards new carbon–neutral food systems: Combining carbon capture and utilization with microbial protein production","title-short":"Towards new carbon–neutral food systems","volume":"349","author":[{"family":"Van Peteghem","given":"L."},{"family":"Sakarika","given":"M."},{"family":"Matassa","given":"S."},{"family":"Pikaar","given":"I."},{"family":"Ganigué","given":"R."},{"family":"Rabaey","given":"K."}],"issued":{"date-parts":[["2022",4,1]]}}}],"schema":"https://github.com/citation-style-language/schema/raw/master/csl-citation.json"} </w:instrText>
      </w:r>
      <w:r w:rsidRPr="003F5DA8">
        <w:fldChar w:fldCharType="separate"/>
      </w:r>
      <w:r w:rsidR="008C451C" w:rsidRPr="008C451C">
        <w:rPr>
          <w:rFonts w:ascii="Calibri" w:hAnsi="Calibri" w:cs="Calibri"/>
          <w:szCs w:val="24"/>
          <w:vertAlign w:val="superscript"/>
        </w:rPr>
        <w:t>41</w:t>
      </w:r>
      <w:r w:rsidRPr="003F5DA8">
        <w:fldChar w:fldCharType="end"/>
      </w:r>
      <w:r w:rsidRPr="003F5DA8">
        <w:t xml:space="preserve"> also showed that the highest carbon to MP ratio was met through the CO</w:t>
      </w:r>
      <w:r w:rsidRPr="003F5DA8">
        <w:rPr>
          <w:vertAlign w:val="subscript"/>
        </w:rPr>
        <w:t>2</w:t>
      </w:r>
      <w:r w:rsidRPr="003F5DA8">
        <w:t>-to-methanol-to-yeast pathway (64% conversion), which also turned out to be one of the less energy-demanding pathways (5-42 kWh.kg</w:t>
      </w:r>
      <w:r w:rsidRPr="003F5DA8">
        <w:rPr>
          <w:vertAlign w:val="subscript"/>
        </w:rPr>
        <w:t>CWD</w:t>
      </w:r>
      <w:r w:rsidRPr="003F5DA8">
        <w:rPr>
          <w:vertAlign w:val="superscript"/>
        </w:rPr>
        <w:t>-1</w:t>
      </w:r>
      <w:r w:rsidRPr="003F5DA8">
        <w:t>). Similar conclusions were derived by Claassens et al., 2016</w:t>
      </w:r>
      <w:r w:rsidRPr="003F5DA8">
        <w:fldChar w:fldCharType="begin"/>
      </w:r>
      <w:r w:rsidR="005413B4">
        <w:instrText xml:space="preserve"> ADDIN ZOTERO_ITEM CSL_CITATION {"citationID":"Hqui1kzL","properties":{"formattedCitation":"\\super 226\\nosupersub{}","plainCitation":"226","noteIndex":0},"citationItems":[{"id":2520,"uris":["http://zotero.org/users/6423791/items/764SNF69"],"itemData":{"id":2520,"type":"article-journal","abstract":"Autotrophic microorganisms have the potential to efficiently convert CO2 into a wide range of chemicals and biofuels, which is a promising sustainable avenue for future biotechnology. Natural autotrophs have evolved to use energy sources, that is, light (photoautotrophs) and/or inorganic electron donors such as hydrogen (chemolithoautotrophs), to convert CO2 into biomass. However, natural autotrophs are generally not yet suitable for industrial applications, owing to low autotrophic product yields and productivities, and because of poorly developed genetic tools.A few natural autotrophs with limited genetic toolboxes, including some photoautotrophic cyanobacteria and some promising chemolithoautotrophs, are being engineered towards autotrophic cell factories. This includes the introduction of heterologous pathways for products of interest and the engineering of autotrophic systems and pathways to improve their efficiency under industrial conditions.Some autotrophic systems, such as partial or complete CO2 fixation pathways and simple photosystems, have been transplanted into heterotrophic model microorganisms. Transplantation of CO2 fixation pathways into heterotrophs has already led to higher mixotrophic product yields.Biochemical and computational analyses have uncovered the large diversity of natural and synthetic CO2 fixation pathways. This large repertoire of pathways includes pathways that are more ATP-efficient and have potentially faster kinetics than the ubiquitous Calvin cycle. However, these promising CO2 fixations pathways have not yet been successfully introduced into heterotrophic or autotrophic cell factories. Future attempts to establish these pathways will benefit from synthetic biology approaches, involving rational pathway design, enzyme engineering and modularization, in combination with indispensable laboratory evolution approaches.Natural photosystems have been improved by genetic engineering to a limited extend so far, and there is a large potential to further improve their light-harvesting and energy conversion efficiency. Current photovoltaic solar cells are much more efficient at light-harvesting than the biological process of photosynthesis. Based on this notion, record-breaking solar-to-product efficiencies have been recently achieved by bio-inorganic hybrid systems that carry out microbial electrosynthesis. These systems consist of the photovoltaic solar-cell driven electrocatalytic production of electron donors (for example, hydrogen), which is integrated with chemolithoautotrophic microorganisms that convert electron donors into products.","container-title":"Nature Reviews Microbiology","DOI":"10.1038/nrmicro.2016.130","ISSN":"1740-1534","issue":"11","journalAbbreviation":"Nat. Rev. Microbiol.","language":"en","note":"number: 11\npublisher: Nature Publishing Group","page":"692-706","source":"www-nature-com.gorgone.univ-toulouse.fr","title":"Harnessing the power of microbial autotrophy","volume":"14","author":[{"family":"Claassens","given":"Nico J."},{"family":"Sousa","given":"Diana Z."},{"family":"Santos","given":"Vitor A. P. Martins","non-dropping-particle":"dos"},{"family":"Vos","given":"Willem M.","non-dropping-particle":"de"},{"family":"Oost","given":"John","non-dropping-particle":"van der"}],"issued":{"date-parts":[["2016",11]]}}}],"schema":"https://github.com/citation-style-language/schema/raw/master/csl-citation.json"} </w:instrText>
      </w:r>
      <w:r w:rsidRPr="003F5DA8">
        <w:fldChar w:fldCharType="separate"/>
      </w:r>
      <w:r w:rsidR="005413B4" w:rsidRPr="005413B4">
        <w:rPr>
          <w:rFonts w:ascii="Calibri" w:hAnsi="Calibri" w:cs="Calibri"/>
          <w:szCs w:val="24"/>
          <w:vertAlign w:val="superscript"/>
        </w:rPr>
        <w:t>226</w:t>
      </w:r>
      <w:r w:rsidRPr="003F5DA8">
        <w:fldChar w:fldCharType="end"/>
      </w:r>
      <w:r w:rsidRPr="003F5DA8">
        <w:t>. Such C</w:t>
      </w:r>
      <w:r w:rsidRPr="003F5DA8">
        <w:rPr>
          <w:vertAlign w:val="subscript"/>
        </w:rPr>
        <w:t>1</w:t>
      </w:r>
      <w:r w:rsidRPr="003F5DA8">
        <w:t>-C</w:t>
      </w:r>
      <w:r w:rsidRPr="003F5DA8">
        <w:rPr>
          <w:vertAlign w:val="subscript"/>
        </w:rPr>
        <w:t>2</w:t>
      </w:r>
      <w:r w:rsidRPr="003F5DA8">
        <w:t xml:space="preserve"> compounds, again, are mainly investigated in the context of CCU systems, and involve electrochemical conversions</w:t>
      </w:r>
      <w:r w:rsidRPr="003F5DA8">
        <w:fldChar w:fldCharType="begin"/>
      </w:r>
      <w:r w:rsidR="005413B4">
        <w:instrText xml:space="preserve"> ADDIN ZOTERO_ITEM CSL_CITATION {"citationID":"oMsyIjkf","properties":{"formattedCitation":"\\super 224,228\\nosupersub{}","plainCitation":"224,228","noteIndex":0},"citationItems":[{"id":12906,"uris":["http://zotero.org/users/6423791/items/T9ILD2IY"],"itemData":{"id":12906,"type":"article-journal","abstract":"Microbial protein (MP) is back on the table after decades of slumbering interest. One-carbon (C1) substrates are attractive for MP production due to their efficient production from CO2 and renewable electricity, linking carbon capture to food while circumventing agriculture. Here we compared all reported combinations of C1 (formate/methanol/methane) and microorganisms (bacteria/yeasts) in terms of engineering and biomass quality parameters, focusing on the amino acid match with human requirements. This meta-analysis based on &gt;100 studies suggests that methanol is the most promising C1, and methanol-grown microorganisms seem most nutritional with bacteria and yeasts having different merits. More sustainable MP could be produced if metabolic engineering tools yielding microorganisms with more efficient C1 assimilation pathways and steered amino acid profiles are deployed.","container-title":"Current Opinion in Biotechnology","DOI":"10.1016/j.copbio.2022.102685","ISSN":"0958-1669","journalAbbreviation":"Curr. Opin. Biotechnol.","language":"en","page":"102685","source":"ScienceDirect","title":"Methylotrophs: from C1 compounds to food","title-short":"Methylotrophs","volume":"75","author":[{"family":"Sakarika","given":"Myrsini"},{"family":"Ganigué","given":"Ramon"},{"family":"Rabaey","given":"Korneel"}],"issued":{"date-parts":[["2022",6,1]]}}},{"id":13888,"uris":["http://zotero.org/users/6423791/items/GIQJ4JIQ"],"itemData":{"id":13888,"type":"article-journal","abstract":"Artificial photosynthesis systems are proposed as an efficient alternative route to capture CO2 to produce additional food for growing global demand. Here a two-step CO2 electrolyser system was developed to produce a highly concentrated acetate stream with a 57% carbon selectivity (CO2 to acetate), allowing its direct use for the heterotrophic cultivation of yeast, mushroom-producing fungus and a photosynthetic green alga, in the dark without inputs from biological photosynthesis. An evaluation of nine crop plants found that carbon from exogenously supplied acetate incorporates into biomass through major metabolic pathways. Coupling this approach to existing photovoltaic systems could increase solar-to-food energy conversion efficiency by about fourfold over biological photosynthesis, reducing the solar footprint required. This technology allows for a reimagination of how food can be produced in controlled environments.","container-title":"Nature Food","DOI":"10.1038/s43016-022-00530-x","ISSN":"2662-1355","issue":"6","journalAbbreviation":"Nat Food","language":"en","license":"2022 The Author(s)","note":"number: 6\npublisher: Nature Publishing Group","page":"461-471","source":"www.nature.com","title":"A hybrid inorganic–biological artificial photosynthesis system for energy-efficient food production","volume":"3","author":[{"family":"Hann","given":"Elizabeth C."},{"family":"Overa","given":"Sean"},{"family":"Harland-Dunaway","given":"Marcus"},{"family":"Narvaez","given":"Andrés F."},{"family":"Le","given":"Dang N."},{"family":"Orozco-Cárdenas","given":"Martha L."},{"family":"Jiao","given":"Feng"},{"family":"Jinkerson","given":"Robert E."}],"issued":{"date-parts":[["2022",6]]}}}],"schema":"https://github.com/citation-style-language/schema/raw/master/csl-citation.json"} </w:instrText>
      </w:r>
      <w:r w:rsidRPr="003F5DA8">
        <w:fldChar w:fldCharType="separate"/>
      </w:r>
      <w:r w:rsidR="005413B4" w:rsidRPr="005413B4">
        <w:rPr>
          <w:rFonts w:ascii="Calibri" w:hAnsi="Calibri" w:cs="Calibri"/>
          <w:szCs w:val="24"/>
          <w:vertAlign w:val="superscript"/>
        </w:rPr>
        <w:t>224,228</w:t>
      </w:r>
      <w:r w:rsidRPr="003F5DA8">
        <w:fldChar w:fldCharType="end"/>
      </w:r>
      <w:r w:rsidRPr="003F5DA8">
        <w:t>. Yet, according to Leger et al., 2021</w:t>
      </w:r>
      <w:r w:rsidRPr="003F5DA8">
        <w:fldChar w:fldCharType="begin"/>
      </w:r>
      <w:r w:rsidR="005413B4">
        <w:instrText xml:space="preserve"> ADDIN ZOTERO_ITEM CSL_CITATION {"citationID":"tNC4NQh5","properties":{"formattedCitation":"\\super 175\\nosupersub{}","plainCitation":"175","noteIndex":0},"citationItems":[{"id":11540,"uris":["http://zotero.org/users/6423791/items/L9NYDA2K"],"itemData":{"id":11540,"type":"article-journal","abstract":"Population growth and changes in dietary patterns place an ever-growing pressure on the environment. Feeding the world within sustainable boundaries therefore requires revolutionizing the way we harness natural resources. Microbial biomass can be cultivated to yield protein-rich feed and food supplements, collectively termed single-cell protein (SCP). Yet, we still lack a quantitative comparison between traditional agriculture and photovoltaic-driven SCP systems in terms of land use and energetic efficiency. Here, we analyze the energetic efficiency of harnessing solar energy to produce SCP from air and water. Our model includes photovoltaic electricity generation, direct air capture of carbon dioxide, electrosynthesis of an electron donor and/or carbon source for microbial growth (hydrogen, formate, or methanol), microbial cultivation, and the processing of biomass and proteins. We show that, per unit of land, SCP production can reach an over 10-fold higher protein yield and at least twice the caloric yield compared with any staple crop. Altogether, this quantitative analysis offers an assessment of the future potential of photovoltaic-driven microbial foods to supplement conventional agricultural production and support resource-efficient protein supply on a global scale.","container-title":"Proceedings of the National Academy of Sciences","DOI":"10.1073/pnas.2015025118","ISSN":"0027-8424, 1091-6490","issue":"26","journalAbbreviation":"Proc Natl Acad Sci USA","language":"en","page":"e2015025118","source":"DOI.org (Crossref)","title":"Photovoltaic-driven microbial protein production can use land and sunlight more efficiently than conventional crops","volume":"118","author":[{"family":"Leger","given":"Dorian"},{"family":"Matassa","given":"Silvio"},{"family":"Noor","given":"Elad"},{"family":"Shepon","given":"Alon"},{"family":"Milo","given":"Ron"},{"family":"Bar-Even","given":"Arren"}],"issued":{"date-parts":[["2021",6,29]]}}}],"schema":"https://github.com/citation-style-language/schema/raw/master/csl-citation.json"} </w:instrText>
      </w:r>
      <w:r w:rsidRPr="003F5DA8">
        <w:fldChar w:fldCharType="separate"/>
      </w:r>
      <w:r w:rsidR="005413B4" w:rsidRPr="005413B4">
        <w:rPr>
          <w:rFonts w:ascii="Calibri" w:hAnsi="Calibri" w:cs="Calibri"/>
          <w:szCs w:val="24"/>
          <w:vertAlign w:val="superscript"/>
        </w:rPr>
        <w:t>175</w:t>
      </w:r>
      <w:r w:rsidRPr="003F5DA8">
        <w:fldChar w:fldCharType="end"/>
      </w:r>
      <w:r w:rsidRPr="003F5DA8">
        <w:t>, to date, only H</w:t>
      </w:r>
      <w:r w:rsidRPr="003F5DA8">
        <w:rPr>
          <w:vertAlign w:val="subscript"/>
        </w:rPr>
        <w:t>2</w:t>
      </w:r>
      <w:r w:rsidRPr="003F5DA8">
        <w:t>, CO and formate production are commercially viable through such abiotic pathways. Moreover, some substrates such as diluted formic and acetic acid are reported to limit microbial productivity</w:t>
      </w:r>
      <w:r w:rsidRPr="003F5DA8">
        <w:fldChar w:fldCharType="begin"/>
      </w:r>
      <w:r w:rsidR="00827449">
        <w:instrText xml:space="preserve"> ADDIN ZOTERO_ITEM CSL_CITATION {"citationID":"o2D8GQAq","properties":{"formattedCitation":"\\super 41\\nosupersub{}","plainCitation":"41","noteIndex":0},"citationItems":[{"id":13068,"uris":["http://zotero.org/users/6423791/items/RK8J2DQC"],"itemData":{"id":13068,"type":"article-journal","abstract":"Alternative protein sources such as microbial protein (MP) are currently considered to alleviate the burden that food production exerts on the environment. Even though MP production is highly efficient in land and nutrient utilization, their carbon footprint should be improved. Here we propose the use of CCU as a driver for heterotrophic MP production. By comparing different MP production routes starting from liquid substrates derived from CO2 (i.e., formate, acetate, methanol, and ethanol) and their respective metabolic pathways, the potential of this concept as a carbon–neutral food or feed production process was estimated. Acetate and ethanol appear to be the most beneficial substrates for the integrated CCU-to-MP process in terms of electricity demand (acetate: 25 – 54 kWh/kgproduct, ethanol: 28 – 56 kWh/kgproduct). Moreover, recycling CO2 enables a carbon-negative protein production process by 2030 (considering the projected CO2 emissions from electricity in the EU: 0.096 kgCO2-eq/kWh) for formate, acetate, and ethanol (-1.1 up to 13 kgCO2-eq/kgproduct).","container-title":"Bioresource Technology","DOI":"10.1016/j.biortech.2022.126853","ISSN":"0960-8524","journalAbbreviation":"Bioresour. Technol.","language":"en","page":"126853","source":"ScienceDirect","title":"Towards new carbon–neutral food systems: Combining carbon capture and utilization with microbial protein production","title-short":"Towards new carbon–neutral food systems","volume":"349","author":[{"family":"Van Peteghem","given":"L."},{"family":"Sakarika","given":"M."},{"family":"Matassa","given":"S."},{"family":"Pikaar","given":"I."},{"family":"Ganigué","given":"R."},{"family":"Rabaey","given":"K."}],"issued":{"date-parts":[["2022",4,1]]}}}],"schema":"https://github.com/citation-style-language/schema/raw/master/csl-citation.json"} </w:instrText>
      </w:r>
      <w:r w:rsidRPr="003F5DA8">
        <w:fldChar w:fldCharType="separate"/>
      </w:r>
      <w:r w:rsidR="008C451C" w:rsidRPr="008C451C">
        <w:rPr>
          <w:rFonts w:ascii="Calibri" w:hAnsi="Calibri" w:cs="Calibri"/>
          <w:szCs w:val="24"/>
          <w:vertAlign w:val="superscript"/>
        </w:rPr>
        <w:t>41</w:t>
      </w:r>
      <w:r w:rsidRPr="003F5DA8">
        <w:fldChar w:fldCharType="end"/>
      </w:r>
      <w:r w:rsidRPr="003F5DA8">
        <w:t>. Emerging approaches involving biological generation of C</w:t>
      </w:r>
      <w:r w:rsidRPr="003F5DA8">
        <w:rPr>
          <w:vertAlign w:val="subscript"/>
        </w:rPr>
        <w:t>1</w:t>
      </w:r>
      <w:r w:rsidRPr="003F5DA8">
        <w:t>-C</w:t>
      </w:r>
      <w:r w:rsidRPr="003F5DA8">
        <w:rPr>
          <w:vertAlign w:val="subscript"/>
        </w:rPr>
        <w:t>2</w:t>
      </w:r>
      <w:r w:rsidRPr="003F5DA8">
        <w:t xml:space="preserve"> compounds through bioelectrosynthesis are also reported, but are of current low TRL (i.e. &lt; 3)</w:t>
      </w:r>
      <w:r w:rsidRPr="003F5DA8">
        <w:fldChar w:fldCharType="begin"/>
      </w:r>
      <w:r w:rsidR="005413B4">
        <w:instrText xml:space="preserve"> ADDIN ZOTERO_ITEM CSL_CITATION {"citationID":"faVYmRwC","properties":{"formattedCitation":"\\super 215\\nosupersub{}","plainCitation":"215","noteIndex":0},"citationItems":[{"id":11087,"uris":["http://zotero.org/users/6423791/items/E3U44BCG"],"itemData":{"id":11087,"type":"thesis","language":"en","publisher":"Technical University of Denmark","source":"Zotero","title":"Beyond the farm: Bioinorganic electro- synthesis of single cell protein from CO2 and green electricity","author":[{"family":"Xu","given":"Mingyi"}],"issued":{"date-parts":[["2021"]]}}}],"schema":"https://github.com/citation-style-language/schema/raw/master/csl-citation.json"} </w:instrText>
      </w:r>
      <w:r w:rsidRPr="003F5DA8">
        <w:fldChar w:fldCharType="separate"/>
      </w:r>
      <w:r w:rsidR="005413B4" w:rsidRPr="005413B4">
        <w:rPr>
          <w:rFonts w:ascii="Calibri" w:hAnsi="Calibri" w:cs="Calibri"/>
          <w:szCs w:val="24"/>
          <w:vertAlign w:val="superscript"/>
        </w:rPr>
        <w:t>215</w:t>
      </w:r>
      <w:r w:rsidRPr="003F5DA8">
        <w:fldChar w:fldCharType="end"/>
      </w:r>
      <w:r w:rsidRPr="003F5DA8">
        <w:t>. Other sequences of bioconversion to convert gases into feed are being developed (e.g. dark fermentation)</w:t>
      </w:r>
      <w:r w:rsidRPr="003F5DA8">
        <w:fldChar w:fldCharType="begin"/>
      </w:r>
      <w:r w:rsidR="005413B4">
        <w:instrText xml:space="preserve"> ADDIN ZOTERO_ITEM CSL_CITATION {"citationID":"fQg3KICO","properties":{"formattedCitation":"\\super 229,230\\nosupersub{}","plainCitation":"229,230","noteIndex":0},"citationItems":[{"id":13995,"uris":["http://zotero.org/users/6423791/items/3ILUNK5B"],"itemData":{"id":13995,"type":"article-journal","abstract":"Large-scale production of single-cell protein (SCP) has the potential not only to solve some of the food insecurity and water scarcity crises that plague a significant portion of our world today but also holds the promise to reduce the cost associated with the treatment of industrial and agricultural wastewater. Resource recovery of SCP from organic waste by microbes like yeast and microalgae is commonly documented. However, recently, a class of phototrophic bacteria, purple non-sulphur bacteria (PNSB), has emerged as a favourable option in terms of both wastewater treatment and resource recovery. PNSB are metabolically versatile and tolerant to a wide range of conditions, hence their ability to thrive in diverse waste streams. Besides its rich protein content, PNSB contains other nutritionally valuable bioproducts like carotenoids, coenzyme Q10, 5-aminolevulinic acid, and pantothenic acid. Recent evidence also indicates that PNSB-based aquafeed enhances growth and boosts immunity in certain aquaculture trials. It does not possess the same toxicity as most gram-negative bacteria due to its comparatively less potent lipopolysaccharide composition. With diverse promising prospects of PNSB-based SCP, it is critical to extensively examine the landscape from a holistic standpoint, highlighting the potential challenges large-scale SCP production may pose. Thus, this review explores the comparative advantages of utilizing PNSB for SCP production, essential components of PNSB-based SCP processing, and possible environmental and economic gains associated with the process. Current challenges with PNSB-based SCP production and future outlooks are also examined.","container-title":"Reviews in Environmental Science and Bio/Technology","DOI":"10.1007/s11157-022-09635-y","ISSN":"1572-9826","issue":"4","journalAbbreviation":"Rev Environ Sci Biotechnol","language":"en","page":"931-956","source":"Springer Link","title":"Single-cell protein production from purple non-sulphur bacteria-based wastewater treatment","volume":"21","author":[{"family":"Wada","given":"Ojima Z."},{"family":"Vincent","given":"Annette Shoba"},{"family":"Mackey","given":"Hamish R."}],"issued":{"date-parts":[["2022",12,1]]}}},{"id":11210,"uris":["http://zotero.org/users/6423791/items/FT49V32P"],"itemData":{"id":11210,"type":"article-journal","abstract":"This critical review outlines a roadmap for the conversion of chemical oxygen demand (COD) contained in sewage to commodities based on three-steps: capture COD as sludge, ferment it to volatile fatty acids (VFA), and upgrade VFA to products. The article analyzes the state-of-the-art of this three-step approach and discusses the bottlenecks and challenges. The potential of this approach is illustrated for the European Union’s 28 member states (EU-28) through Monte Carlo simulations. High-rate contact stabilization captures the highest amount of COD (66–86 g COD person equivalent–1 day–1 in 60% of the iterations). Combined with thermal hydrolysis, this would lead to a VFA-yield of 23–44 g COD person equivalent–1 day–1. Upgrading VFA generated by the EU-28 would allow, in 60% of the simulations, for a yearly production of 0.2–2.0 megatonnes of esters, 0.7–1.4 megatonnes of polyhydroxyalkanoates or 0.6–2.2 megatonnes of microbial protein substituting, respectively, 20–273%, 70–140% or 21–72% of their global counterparts (i.e., petrochemical-based esters, bioplastics or fishmeal). From these flows, we conclude that sewage has a strong potential as biorefinery feedstock, although research is needed to enhance capture, fermentation and upgrading efficiencies. These developments need to be supported by economic/environmental analyses and policies that incentivize a more sustainable management of our resources.","container-title":"Environmental Science &amp; Technology","DOI":"10.1021/acs.est.7b05712","ISSN":"0013-936X","issue":"12","journalAbbreviation":"Environ. Sci. Technol.","note":"publisher: American Chemical Society","page":"6729-6742","source":"ACS Publications","title":"Capture–Ferment–Upgrade: A Three-Step Approach for the Valorization of Sewage Organics as Commodities","title-short":"Capture–Ferment–Upgrade","volume":"52","author":[{"family":"Alloul","given":"Abbas"},{"family":"Ganigué","given":"Ramon"},{"family":"Spiller","given":"Marc"},{"family":"Meerburg","given":"Francis"},{"family":"Cagnetta","given":"Cristina"},{"family":"Rabaey","given":"Korneel"},{"family":"Vlaeminck","given":"Siegfried E."}],"issued":{"date-parts":[["2018",6,19]]}}}],"schema":"https://github.com/citation-style-language/schema/raw/master/csl-citation.json"} </w:instrText>
      </w:r>
      <w:r w:rsidRPr="003F5DA8">
        <w:fldChar w:fldCharType="separate"/>
      </w:r>
      <w:r w:rsidR="005413B4" w:rsidRPr="005413B4">
        <w:rPr>
          <w:rFonts w:ascii="Calibri" w:hAnsi="Calibri" w:cs="Calibri"/>
          <w:szCs w:val="24"/>
          <w:vertAlign w:val="superscript"/>
        </w:rPr>
        <w:t>229,230</w:t>
      </w:r>
      <w:r w:rsidRPr="003F5DA8">
        <w:fldChar w:fldCharType="end"/>
      </w:r>
      <w:r w:rsidRPr="003F5DA8">
        <w:t>, but the data is too scarce and heterogeneous for robust performances modeling.</w:t>
      </w:r>
    </w:p>
    <w:p w14:paraId="1AC76EE0" w14:textId="53B5F477" w:rsidR="0047239E" w:rsidRDefault="001B2C2E" w:rsidP="001B2C2E">
      <w:pPr>
        <w:jc w:val="both"/>
      </w:pPr>
      <w:r w:rsidRPr="008F2922">
        <w:t xml:space="preserve">To provide future easier comparison </w:t>
      </w:r>
      <w:r>
        <w:t>between</w:t>
      </w:r>
      <w:r w:rsidRPr="008F2922">
        <w:t xml:space="preserve"> </w:t>
      </w:r>
      <w:r>
        <w:t>first</w:t>
      </w:r>
      <w:r w:rsidRPr="008F2922">
        <w:t>- and second-generation MP production</w:t>
      </w:r>
      <w:r>
        <w:t>,</w:t>
      </w:r>
      <w:r w:rsidRPr="008F2922">
        <w:t xml:space="preserve"> and considering both build on the exact same process workflow (from the bioreactor gate), electrolysis-based HOB production and natural gas-based MOB production were also modeled. For HOB, hydrogen requirements were assumed fully met by electrolysis, and CO</w:t>
      </w:r>
      <w:r w:rsidRPr="008F2922">
        <w:rPr>
          <w:vertAlign w:val="subscript"/>
        </w:rPr>
        <w:t>2</w:t>
      </w:r>
      <w:r w:rsidRPr="008F2922">
        <w:t xml:space="preserve"> </w:t>
      </w:r>
      <w:r>
        <w:t xml:space="preserve">stoichiometrically </w:t>
      </w:r>
      <w:r w:rsidRPr="008F2922">
        <w:t xml:space="preserve">supplied through direct air capture (DAC) modeled as in </w:t>
      </w:r>
      <w:r w:rsidRPr="008F2922">
        <w:fldChar w:fldCharType="begin"/>
      </w:r>
      <w:r>
        <w:instrText xml:space="preserve"> ADDIN ZOTERO_ITEM CSL_CITATION {"citationID":"LJ07mVPh","properties":{"formattedCitation":"(Su-ungkavatin et al., 2023)","plainCitation":"(Su-ungkavatin et al., 2023)","dontUpdate":true,"noteIndex":0},"citationItems":[{"id":14068,"uris":["http://zotero.org/users/6423791/items/TS3JFBRR"],"itemData":{"id":14068,"type":"article-journal","abstract":"Climate neutrality is becoming a core long-term competitiveness asset within the aviation industry, as demonstrated by the several innovations and targets set within that sector, prior to and especially after the COVID-19 crisis. Ambitious timelines are set, involving important investment decisions to be taken in a 5-years horizon time. Here, we provide an in-depth review of alternative technologies for sustainable aviation revealed to date, which we classified into four main categories, namely i) biofuels, ii) electrofuels, iii) electric (battery-based), and iv) hydrogen aviation. Nine biofuel and nine electrofuel pathways were reviewed, for which we supply the detailed process flow picturing all input, output, and co-products generated. The market uptake and use of these co-products was also investigated, along with the overall international regulations and targets for future aviation. As most of the inventoried pathways require hydrogen, we further reviewed six existing and emerging carbon-free hydrogen production technologies. Our review also details the five key battery technologies available (lithium-ion, advanced lithium-ion, solid-state battery, lithium-sulfur, lithium-air) for aviation. A semi-quantitative ranking covering environmental-, economic-, and technological performance indicators has been established to guide the selection of promising routes. The possible configuration schemes for electric propulsion systems are documented and classified as: i) battery-based, ii) fuel cell-based and iii) turboelectric configurations. Our review studied these four categories of sustainable aviation systems as modular technologies, yet these still have to be used in a hybridized fashion with conventional fossil-based kerosene. This is among others due to an aromatics content below the standardized requirements for biofuels and electrofuels, to a too low energy storage capacity in the case of batteries, or a sub-optimal gas turbine engine in the case of cryogenic hydrogen. Yet, we found that the latter was the only available option, based on the current and emerging technologies reviewed, for long-range aviation completely decoupled of fossil-based hydrocarbon fuels. The various challenges and opportunities associated with all these technologies are summarized in this study.","container-title":"Progress in Energy and Combustion Science","DOI":"10.1016/j.pecs.2023.101073","ISSN":"0360-1285","journalAbbreviation":"Prog. Energy Combust. Sci.","language":"en","page":"101073","source":"ScienceDirect","title":"Biofuels, electrofuels, electric or hydrogen?: A review of current and emerging sustainable aviation systems","title-short":"Biofuels, electrofuels, electric or hydrogen?","volume":"96","author":[{"family":"Su-ungkavatin","given":"Pimchanok"},{"family":"Tiruta-Barna","given":"Ligia"},{"family":"Hamelin","given":"Lorie"}],"issued":{"date-parts":[["2023",5,1]]}}}],"schema":"https://github.com/citation-style-language/schema/raw/master/csl-citation.json"} </w:instrText>
      </w:r>
      <w:r w:rsidRPr="008F2922">
        <w:fldChar w:fldCharType="separate"/>
      </w:r>
      <w:r w:rsidRPr="008F2922">
        <w:rPr>
          <w:rFonts w:ascii="Calibri" w:hAnsi="Calibri" w:cs="Calibri"/>
        </w:rPr>
        <w:t>Su-ungkavatin et al., (2023)</w:t>
      </w:r>
      <w:r w:rsidRPr="008F2922">
        <w:fldChar w:fldCharType="end"/>
      </w:r>
      <w:r w:rsidRPr="008F2922">
        <w:t xml:space="preserve">. For MOB, natural gas </w:t>
      </w:r>
      <w:r>
        <w:t>supplies</w:t>
      </w:r>
      <w:r w:rsidRPr="008F2922">
        <w:t xml:space="preserve"> w</w:t>
      </w:r>
      <w:r>
        <w:t>ere</w:t>
      </w:r>
      <w:r w:rsidRPr="008F2922">
        <w:t xml:space="preserve"> directly derived from</w:t>
      </w:r>
      <w:r>
        <w:t xml:space="preserve"> existing</w:t>
      </w:r>
      <w:r w:rsidRPr="008F2922">
        <w:t xml:space="preserve"> ecoinvent </w:t>
      </w:r>
      <w:r>
        <w:t>processes</w:t>
      </w:r>
      <w:r w:rsidRPr="008F2922">
        <w:t>, and all the CO</w:t>
      </w:r>
      <w:r w:rsidRPr="008F2922">
        <w:rPr>
          <w:vertAlign w:val="subscript"/>
        </w:rPr>
        <w:t>2</w:t>
      </w:r>
      <w:r w:rsidRPr="008F2922">
        <w:t xml:space="preserve"> emissions</w:t>
      </w:r>
      <w:r>
        <w:t xml:space="preserve"> present in the LCI model</w:t>
      </w:r>
      <w:r w:rsidRPr="008F2922">
        <w:t xml:space="preserve"> were </w:t>
      </w:r>
      <w:r>
        <w:t>modified</w:t>
      </w:r>
      <w:r w:rsidRPr="008F2922">
        <w:t xml:space="preserve"> from biogenic to fossil.</w:t>
      </w:r>
      <w:r w:rsidR="0047239E">
        <w:br w:type="page"/>
      </w:r>
    </w:p>
    <w:p w14:paraId="4AF14EB0" w14:textId="77777777" w:rsidR="00FF3A0C" w:rsidRPr="00FF3A0C" w:rsidRDefault="00FF3A0C" w:rsidP="00A75298">
      <w:pPr>
        <w:pStyle w:val="Titre4"/>
      </w:pPr>
      <w:r w:rsidRPr="00FF3A0C">
        <w:lastRenderedPageBreak/>
        <w:t>MP production set-up selection</w:t>
      </w:r>
    </w:p>
    <w:p w14:paraId="51C2EC95" w14:textId="3B3FEBBD" w:rsidR="0004103A" w:rsidRDefault="00FF3A0C" w:rsidP="00A75298">
      <w:pPr>
        <w:ind w:firstLine="360"/>
        <w:jc w:val="both"/>
      </w:pPr>
      <w:r w:rsidRPr="003F5DA8">
        <w:t>First generation HOB and MOB production are scaling, while the industrial development of second generation MP production is rather foreseen to be reached after 2030</w:t>
      </w:r>
      <w:r w:rsidRPr="003F5DA8">
        <w:fldChar w:fldCharType="begin"/>
      </w:r>
      <w:r w:rsidR="008C451C">
        <w:instrText xml:space="preserve"> ADDIN ZOTERO_ITEM CSL_CITATION {"citationID":"ePo5FgtI","properties":{"formattedCitation":"\\super 31\\nosupersub{}","plainCitation":"31","noteIndex":0},"citationItems":[{"id":13120,"uris":["http://zotero.org/users/6423791/items/5MY5B6KQ"],"itemData":{"id":13120,"type":"article-journal","abstract":"Wastewater treatment plants (WWTP) have extensive energy processes that undermine their economic and environmental performance. In this context, the integration of wastewater treatment with other biochemical processes such as co-digestion of sludge with organic wastes, and production of value-added products at their downstream processes will shift conventional WWTPs into biorefinery platforms with better sustainability performance. The sustainability of such a biorefinery platform has been investigated herein using economic and life cycle assessment approach. This WWTP-based biorefinery treats wastewater from Copenhagen municipality, co-digests the source sorted organic fraction of municipal solid waste and sludge, and upgrades biogas into biomethane using hydrogen-assisted upgrading method. Apart from bioenergy, this biorefinery also produces microbial protein (MP) using recovered nutrients from WWTP's reject water. The net environmental savings achieved in two damage categories, i.e., −1.07E−02 species.yr/FU in ecosystem quality and −1.68E+06 USD/FU in resource scarcity damage categories along with high potential windows for the further environmental profile improvements make this biorefinery platform so encouraging. Despite being promising in terms of environmental performance, the high capital expenditure and low gross profit have undermined the economic performance of the proposed biorefinery. Technological improvements, process optimization, and encouraging incentives/subsidies are still needed to make this platform economically feasible.","container-title":"Water Science and Technology","DOI":"10.2166/wst.2022.096","ISSN":"0273-1223","journalAbbreviation":"Water Science and Technology","page":"wst2022096","source":"Silverchair","title":"Going beyond conventional wastewater treatment plants within circular bioeconomy concept – a sustainability assessment study","author":[{"family":"Marami","given":"Hadis"},{"family":"Tsapekos","given":"Panagiotis"},{"family":"Khoshnevisan","given":"Benyamin"},{"family":"Madsen","given":"Jeanette Agertved"},{"family":"Andersen","given":"Jacob Kragh"},{"family":"Rafiee","given":"Shahin"},{"family":"Angelidaki","given":"Irini"}],"issued":{"date-parts":[["2022",3,18]]}}}],"schema":"https://github.com/citation-style-language/schema/raw/master/csl-citation.json"} </w:instrText>
      </w:r>
      <w:r w:rsidRPr="003F5DA8">
        <w:fldChar w:fldCharType="separate"/>
      </w:r>
      <w:r w:rsidR="008C451C" w:rsidRPr="008C451C">
        <w:rPr>
          <w:rFonts w:ascii="Calibri" w:hAnsi="Calibri" w:cs="Calibri"/>
          <w:szCs w:val="24"/>
          <w:vertAlign w:val="superscript"/>
        </w:rPr>
        <w:t>31</w:t>
      </w:r>
      <w:r w:rsidRPr="003F5DA8">
        <w:fldChar w:fldCharType="end"/>
      </w:r>
      <w:r w:rsidRPr="003F5DA8">
        <w:t xml:space="preserve">. Accordingly, the bioreactor stage and downstream operations were modeled according to the </w:t>
      </w:r>
      <w:r>
        <w:t>latter</w:t>
      </w:r>
      <w:r w:rsidRPr="003F5DA8">
        <w:t>, of higher TRL and with established set-ups (industrial-scale pilot facilities for MOB by Calysta</w:t>
      </w:r>
      <w:r w:rsidRPr="003F5DA8">
        <w:fldChar w:fldCharType="begin"/>
      </w:r>
      <w:r w:rsidR="005413B4">
        <w:instrText xml:space="preserve"> ADDIN ZOTERO_ITEM CSL_CITATION {"citationID":"acDA6ViF","properties":{"formattedCitation":"\\super 231\\nosupersub{}","plainCitation":"231","noteIndex":0},"citationItems":[{"id":2655,"uris":["http://zotero.org/users/6423791/items/LBWEHHXQ"],"itemData":{"id":2655,"type":"webpage","abstract":"Calysta is working toward a future where the world’s growing population has guaranteed food security. Our aim is to feed more people with fewer resources by converting natural gas into food, creating high value fish, livestock, and pet nutritional products that don’t interfere with the human food chain.","language":"en-US","title":"The Future of Nutrition","URL":"https://www.calysta.com/","author":[{"literal":"Calysta"}],"accessed":{"date-parts":[["2020",10,23]]},"issued":{"date-parts":[["2020"]]}}}],"schema":"https://github.com/citation-style-language/schema/raw/master/csl-citation.json"} </w:instrText>
      </w:r>
      <w:r w:rsidRPr="003F5DA8">
        <w:fldChar w:fldCharType="separate"/>
      </w:r>
      <w:r w:rsidR="005413B4" w:rsidRPr="005413B4">
        <w:rPr>
          <w:rFonts w:ascii="Calibri" w:hAnsi="Calibri" w:cs="Calibri"/>
          <w:szCs w:val="24"/>
          <w:vertAlign w:val="superscript"/>
        </w:rPr>
        <w:t>231</w:t>
      </w:r>
      <w:r w:rsidRPr="003F5DA8">
        <w:fldChar w:fldCharType="end"/>
      </w:r>
      <w:r w:rsidRPr="003F5DA8">
        <w:t xml:space="preserve"> and Unibio</w:t>
      </w:r>
      <w:r w:rsidRPr="003F5DA8">
        <w:fldChar w:fldCharType="begin"/>
      </w:r>
      <w:r w:rsidR="005413B4">
        <w:instrText xml:space="preserve"> ADDIN ZOTERO_ITEM CSL_CITATION {"citationID":"s8qvw6Nc","properties":{"formattedCitation":"\\super 232\\nosupersub{}","plainCitation":"232","noteIndex":0},"citationItems":[{"id":2653,"uris":["http://zotero.org/users/6423791/items/2BUJJKPH"],"itemData":{"id":2653,"type":"webpage","language":"en-GB","title":"Unibio","URL":"https://www.unibio.dk/","author":[{"literal":"Unibio"}],"accessed":{"date-parts":[["2020",10,23]]},"issued":{"date-parts":[["2020"]]}}}],"schema":"https://github.com/citation-style-language/schema/raw/master/csl-citation.json"} </w:instrText>
      </w:r>
      <w:r w:rsidRPr="003F5DA8">
        <w:fldChar w:fldCharType="separate"/>
      </w:r>
      <w:r w:rsidR="005413B4" w:rsidRPr="005413B4">
        <w:rPr>
          <w:rFonts w:ascii="Calibri" w:hAnsi="Calibri" w:cs="Calibri"/>
          <w:szCs w:val="24"/>
          <w:vertAlign w:val="superscript"/>
        </w:rPr>
        <w:t>232</w:t>
      </w:r>
      <w:r w:rsidRPr="003F5DA8">
        <w:fldChar w:fldCharType="end"/>
      </w:r>
      <w:r w:rsidRPr="003F5DA8">
        <w:t>; lab-scale pilot for HOB by Kiverdi Inc.</w:t>
      </w:r>
      <w:r w:rsidRPr="003F5DA8">
        <w:fldChar w:fldCharType="begin"/>
      </w:r>
      <w:r w:rsidR="005413B4">
        <w:instrText xml:space="preserve"> ADDIN ZOTERO_ITEM CSL_CITATION {"citationID":"kkTUXPnF","properties":{"formattedCitation":"\\super 233\\nosupersub{}","plainCitation":"233","noteIndex":0},"citationItems":[{"id":2638,"uris":["http://zotero.org/users/6423791/items/QHK8E85F"],"itemData":{"id":2638,"type":"webpage","abstract":"We are remaking how things are made with carbon transformation.","language":"en-US","title":"We Are Remaking How Things Are Made With Carbon Transformation","URL":"https://www.kiverdi.com","author":[{"literal":"Kiverdi, Inc."}],"accessed":{"date-parts":[["2020",10,23]]},"issued":{"date-parts":[["2020"]]}}}],"schema":"https://github.com/citation-style-language/schema/raw/master/csl-citation.json"} </w:instrText>
      </w:r>
      <w:r w:rsidRPr="003F5DA8">
        <w:fldChar w:fldCharType="separate"/>
      </w:r>
      <w:r w:rsidR="005413B4" w:rsidRPr="005413B4">
        <w:rPr>
          <w:rFonts w:ascii="Calibri" w:hAnsi="Calibri" w:cs="Calibri"/>
          <w:szCs w:val="24"/>
          <w:vertAlign w:val="superscript"/>
        </w:rPr>
        <w:t>233</w:t>
      </w:r>
      <w:r w:rsidRPr="003F5DA8">
        <w:fldChar w:fldCharType="end"/>
      </w:r>
      <w:r w:rsidRPr="003F5DA8">
        <w:t xml:space="preserve"> and Solar Foods</w:t>
      </w:r>
      <w:r w:rsidRPr="003F5DA8">
        <w:fldChar w:fldCharType="begin"/>
      </w:r>
      <w:r w:rsidR="005413B4">
        <w:instrText xml:space="preserve"> ADDIN ZOTERO_ITEM CSL_CITATION {"citationID":"3CEl2TDr","properties":{"formattedCitation":"\\super 234\\nosupersub{}","plainCitation":"234","noteIndex":0},"citationItems":[{"id":2631,"uris":["http://zotero.org/users/6423791/items/RYMWPJ66"],"itemData":{"id":2631,"type":"webpage","title":"Food Out of Thin Air","URL":"https://solarfoods.fi/","author":[{"literal":"Solar Foods"}],"accessed":{"date-parts":[["2020",10,23]]},"issued":{"date-parts":[["2020"]]}}}],"schema":"https://github.com/citation-style-language/schema/raw/master/csl-citation.json"} </w:instrText>
      </w:r>
      <w:r w:rsidRPr="003F5DA8">
        <w:fldChar w:fldCharType="separate"/>
      </w:r>
      <w:r w:rsidR="005413B4" w:rsidRPr="005413B4">
        <w:rPr>
          <w:rFonts w:ascii="Calibri" w:hAnsi="Calibri" w:cs="Calibri"/>
          <w:szCs w:val="24"/>
          <w:vertAlign w:val="superscript"/>
        </w:rPr>
        <w:t>234</w:t>
      </w:r>
      <w:r w:rsidRPr="003F5DA8">
        <w:fldChar w:fldCharType="end"/>
      </w:r>
      <w:r w:rsidRPr="003F5DA8">
        <w:t>, among others</w:t>
      </w:r>
      <w:r w:rsidRPr="00A75298">
        <w:t xml:space="preserve">). MOB production is currently of higher TRL than HOB, and is already officially </w:t>
      </w:r>
      <w:bookmarkStart w:id="254" w:name="_Hlk141439794"/>
      <w:r w:rsidRPr="00A75298">
        <w:t>considered as a safe feed ingredient under specific conditions in the EU</w:t>
      </w:r>
      <w:r w:rsidRPr="00A75298">
        <w:fldChar w:fldCharType="begin"/>
      </w:r>
      <w:r w:rsidR="005413B4">
        <w:instrText xml:space="preserve"> ADDIN ZOTERO_ITEM CSL_CITATION {"citationID":"TRD32utL","properties":{"formattedCitation":"\\super 235\\nosupersub{}","plainCitation":"235","noteIndex":0},"citationItems":[{"id":634,"uris":["http://zotero.org/users/6423791/items/D3IJGXQW"],"itemData":{"id":634,"type":"article-journal","abstract":"Bacterial proteins represent a potential future nutrient source for monogastric animal production because they can be grown rapidly on substrates with minimum dependence on soil, water, and climate conditions. This review summarises the current knowledge on methane-utilising bacteria as feed ingredients for animals. We present results from earlier work and recent findings concerning bacterial protein, including the production process, chemical composition, effects on nutrient digestibility, metabolism, and growth performance in several monogastric species, including pigs, broiler chickens, mink (Mustela vison), fox (Alopex lagopus), Atlantic salmon (Salmo salar), rainbow trout (Oncorhynchus mykiss), and Atlantic halibut (Hippoglossus hippoglossus). It is concluded that bacterial meal (BM) derived from natural gas fermentation, utilising a bacteria culture containing mainly the methanotroph Methylococcus capsulatus (Bath), is a promising source of protein based on criteria such as amino acid composition, digestibility, and animal performance and health. Future research challenges include modified downstream processing to produce value-added products, and improved understanding of factors contributing to nutrient availability and animal performance.","container-title":"Archives of animal nutrition","DOI":"10.1080/17450391003691534","journalAbbreviation":"Arch. Anim. Nutr.","page":"171-89","source":"ResearchGate","title":"Evaluation of methane-utilising bacteria products as feed ingredients for monogastric animals","volume":"64","author":[{"family":"Øverland","given":"Margareth"},{"family":"Tauson","given":"Anne-Helene"},{"family":"Shearer","given":"Karl"},{"family":"Skrede","given":"Anders"}],"issued":{"date-parts":[["2010",6,1]]}}}],"schema":"https://github.com/citation-style-language/schema/raw/master/csl-citation.json"} </w:instrText>
      </w:r>
      <w:r w:rsidRPr="00A75298">
        <w:fldChar w:fldCharType="separate"/>
      </w:r>
      <w:r w:rsidR="005413B4" w:rsidRPr="005413B4">
        <w:rPr>
          <w:rFonts w:ascii="Calibri" w:hAnsi="Calibri" w:cs="Calibri"/>
          <w:szCs w:val="24"/>
          <w:vertAlign w:val="superscript"/>
        </w:rPr>
        <w:t>235</w:t>
      </w:r>
      <w:r w:rsidRPr="00A75298">
        <w:fldChar w:fldCharType="end"/>
      </w:r>
      <w:bookmarkEnd w:id="254"/>
      <w:r w:rsidRPr="00A75298">
        <w:t>. Process optimization was not part of the scope of this</w:t>
      </w:r>
      <w:r w:rsidRPr="003F5DA8">
        <w:t xml:space="preserve"> study, albeit operational parameters and optimal set-up designs are still under investigation (e.g. temperature trade-offs between gas solubility and growth rates</w:t>
      </w:r>
      <w:r w:rsidRPr="003F5DA8">
        <w:fldChar w:fldCharType="begin"/>
      </w:r>
      <w:r w:rsidR="005413B4">
        <w:instrText xml:space="preserve"> ADDIN ZOTERO_ITEM CSL_CITATION {"citationID":"Jqj1pUVX","properties":{"formattedCitation":"\\super 217,236\\nosupersub{}","plainCitation":"217,236","noteIndex":0},"citationItems":[{"id":560,"uris":["http://zotero.org/users/6423791/items/7A7PJGNW"],"itemData":{"id":560,"type":"article-journal","abstract":"Meeting global food needs in the face of climate change and resource limitation requires innovative approaches to food production. Here, we explore incorporation of new dark food chains into human food systems, drawing inspiration from natural ecosystems, the history of single cell protein, and opportunities for new food production through wastewater treatment, microbial protein production, and aquaculture. The envisioned dark food chains rely upon chemoautotrophy in lieu of photosynthesis, with primary production based upon assimilation of CH4 and CO2 by methane- and hydrogenoxidizing bacteria. The stoichiometry, kinetics, and thermodynamics of these bacteria are evaluated, and opportunities for recycling of carbon, nitrogen, and water are explored. Because these processes do not require light delivery, high volumetric productivities are possible; because they are exothermic, heat is available for downstream protein processing; because the feedstock gases are cheap, existing pipeline infrastructure could facilitate low-cost energy-eﬃcient delivery in urban environments. Potential life-cycle beneﬁts include: a protein alternative to ﬁshmeal; partial decoupling of animal feed from human food; climate change mitigation due to decreased land use for agriculture; eﬃcient local cycling of carbon and nutrients that oﬀsets the need for energy-intensive fertilizers; and production of high value products, such as the prebiotic polyhydroxybutyrate.","container-title":"Environmental Science &amp; Technology","DOI":"10.1021/acs.est.8b04038","ISSN":"0013-936X, 1520-5851","issue":"5","journalAbbreviation":"Environ. Sci. Technol.","language":"English","page":"2273-2287","source":"DOI.org (Crossref)","title":"Engineering the Dark Food Chain","volume":"53","author":[{"family":"El Abbadi","given":"Sahar H."},{"family":"Criddle","given":"Craig S."}],"issued":{"date-parts":[["2019",3,5]]}}},{"id":11776,"uris":["http://zotero.org/users/6423791/items/BQDYFR2T"],"itemData":{"id":11776,"type":"article-journal","abstract":"Increasing efforts are directed towards the development of sustainable alternative protein sources among which microbial protein (MP) is one of the most promising. Especially when waste streams are used as substrates, the case for MP could become environmentally favorable. The risks of using organic waste streams for MP production–the presence of pathogens or toxicants–can be mitigated by their anaerobic digestion and subsequent aerobic assimilation of the (filter-sterilized) biogas. Even though methane and hydrogen oxidizing bacteria (MOB and HOB) have been intensively studied for MP production, the potential benefits of their co-cultivation remain elusive. Here, we isolated a diverse group of novel HOB (that were capable of autotrophic metabolism), and co-cultured them with a defined set of MOB, which could be grown on a mixture of biogas and H\n              2\n              /O\n              2\n              . The combination of MOB and HOB, apart from the CH\n              4\n              and CO\n              2\n              contained in biogas, can also enable the valorization of the CO\n              2\n              that results from the oxidation of methane by the MOB. Different MOB and HOB combinations were grown in serum vials to identify the best-performing ones. We observed synergistic effects on growth for several combinations, and in all combinations a co-culture consisting out of both HOB and MOB could be maintained during five days of cultivation. Relative to the axenic growth, five out of the ten co-cultures exhibited 1.1–3.8 times higher protein concentration and two combinations presented 2.4–6.1 times higher essential amino acid content. The MP produced in this study generally contained lower amounts of the essential amino acids histidine, lysine and threonine, compared to tofu and fishmeal. The most promising combination in terms of protein concentration and essential amino acid profile was\n              Methyloparacoccus murrelli\n              LMG 27482 with\n              Cupriavidus necator\n              LMG 1201. Microbial protein from\n              M. murrelli\n              and\n              C. necator\n              requires 27–67% less quantity than chicken, whole egg and tofu, while it only requires 15% more quantity than the amino acid-dense soybean to cover the needs of an average adult. In conclusion, while limitations still exist, the co-cultivation of MOB and HOB creates an alternative route for MP production leveraging safe and sustainably-produced gaseous substrates.","container-title":"Frontiers in Bioengineering and Biotechnology","DOI":"10.3389/fbioe.2021.733753","ISSN":"2296-4185","journalAbbreviation":"Front. Bioeng. Biotechnol.","language":"en","page":"733753","source":"DOI.org (Crossref)","title":"From Biogas and Hydrogen to Microbial Protein Through Co-Cultivation of Methane and Hydrogen Oxidizing Bacteria","volume":"9","author":[{"family":"Kerckhof","given":"Frederiek-Maarten"},{"family":"Sakarika","given":"Myrsini"},{"family":"Van Giel","given":"Marie"},{"family":"Muys","given":"Maarten"},{"family":"Vermeir","given":"Pieter"},{"family":"De Vrieze","given":"Jo"},{"family":"Vlaeminck","given":"Siegfried E."},{"family":"Rabaey","given":"Korneel"},{"family":"Boon","given":"Nico"}],"issued":{"date-parts":[["2021",8,30]]}}}],"schema":"https://github.com/citation-style-language/schema/raw/master/csl-citation.json"} </w:instrText>
      </w:r>
      <w:r w:rsidRPr="003F5DA8">
        <w:fldChar w:fldCharType="separate"/>
      </w:r>
      <w:r w:rsidR="005413B4" w:rsidRPr="005413B4">
        <w:rPr>
          <w:rFonts w:ascii="Calibri" w:hAnsi="Calibri" w:cs="Calibri"/>
          <w:szCs w:val="24"/>
          <w:vertAlign w:val="superscript"/>
        </w:rPr>
        <w:t>217,236</w:t>
      </w:r>
      <w:r w:rsidRPr="003F5DA8">
        <w:fldChar w:fldCharType="end"/>
      </w:r>
      <w:r w:rsidRPr="003F5DA8">
        <w:t>). Therefore, we assume that current pilot-scale reactors performances remain unchanged at full commercial production in the baseline configuration, and use the parametric analysis to explore the span of potential MP production future scaled performances directions.</w:t>
      </w:r>
    </w:p>
    <w:p w14:paraId="1E438F8C" w14:textId="77777777" w:rsidR="004A3FE2" w:rsidRPr="003F5DA8" w:rsidRDefault="004A3FE2" w:rsidP="004A3FE2">
      <w:pPr>
        <w:jc w:val="both"/>
        <w:rPr>
          <w:highlight w:val="yellow"/>
        </w:rPr>
      </w:pPr>
    </w:p>
    <w:p w14:paraId="09A818C7" w14:textId="77777777" w:rsidR="0004103A" w:rsidRPr="0004103A" w:rsidRDefault="0004103A" w:rsidP="00A75298">
      <w:pPr>
        <w:pStyle w:val="Titre3"/>
      </w:pPr>
      <w:bookmarkStart w:id="255" w:name="_Ref145068060"/>
      <w:bookmarkStart w:id="256" w:name="_Toc145069126"/>
      <w:r w:rsidRPr="0004103A">
        <w:t>Unit operation design and assumptions – gas post-treatments</w:t>
      </w:r>
      <w:bookmarkEnd w:id="255"/>
      <w:bookmarkEnd w:id="256"/>
    </w:p>
    <w:p w14:paraId="54A2C99C" w14:textId="2F9E1397" w:rsidR="00A75298" w:rsidRDefault="0004103A" w:rsidP="00A75298">
      <w:pPr>
        <w:ind w:firstLine="360"/>
        <w:jc w:val="both"/>
      </w:pPr>
      <w:r w:rsidRPr="003F5DA8">
        <w:t xml:space="preserve">In this section, the different gas conversion chains linked with the six selected </w:t>
      </w:r>
      <w:r w:rsidRPr="00DD7BCD">
        <w:t>pathways (</w:t>
      </w:r>
      <w:r w:rsidR="00A75298" w:rsidRPr="00A75298">
        <w:rPr>
          <w:b/>
        </w:rPr>
        <w:fldChar w:fldCharType="begin"/>
      </w:r>
      <w:r w:rsidR="00A75298" w:rsidRPr="00A75298">
        <w:rPr>
          <w:b/>
        </w:rPr>
        <w:instrText xml:space="preserve"> REF _Ref144823075 \h </w:instrText>
      </w:r>
      <w:r w:rsidR="00A75298">
        <w:rPr>
          <w:b/>
        </w:rPr>
        <w:instrText xml:space="preserve"> \* MERGEFORMAT </w:instrText>
      </w:r>
      <w:r w:rsidR="00A75298" w:rsidRPr="00A75298">
        <w:rPr>
          <w:b/>
        </w:rPr>
      </w:r>
      <w:r w:rsidR="00A75298" w:rsidRPr="00A75298">
        <w:rPr>
          <w:b/>
        </w:rPr>
        <w:fldChar w:fldCharType="separate"/>
      </w:r>
      <w:r w:rsidR="00F25F8C" w:rsidRPr="00F25F8C">
        <w:rPr>
          <w:b/>
        </w:rPr>
        <w:t xml:space="preserve">Table SI. </w:t>
      </w:r>
      <w:r w:rsidR="00F25F8C" w:rsidRPr="00F25F8C">
        <w:rPr>
          <w:b/>
          <w:noProof/>
        </w:rPr>
        <w:t>57</w:t>
      </w:r>
      <w:r w:rsidR="00A75298" w:rsidRPr="00A75298">
        <w:rPr>
          <w:b/>
        </w:rPr>
        <w:fldChar w:fldCharType="end"/>
      </w:r>
      <w:r w:rsidRPr="00DD7BCD">
        <w:t>) are described. First, MP_biogas and MP_syngas directly builds on the output of AD</w:t>
      </w:r>
      <w:r w:rsidR="0063035F">
        <w:t xml:space="preserve"> (described in</w:t>
      </w:r>
      <w:r w:rsidR="0047239E">
        <w:t xml:space="preserve"> the</w:t>
      </w:r>
      <w:r w:rsidR="0063035F">
        <w:t xml:space="preserve"> </w:t>
      </w:r>
      <w:r w:rsidR="0047239E" w:rsidRPr="0047239E">
        <w:rPr>
          <w:b/>
        </w:rPr>
        <w:t>SI</w:t>
      </w:r>
      <w:r w:rsidR="0047239E">
        <w:t xml:space="preserve"> of </w:t>
      </w:r>
      <w:r w:rsidR="002D3BB7">
        <w:t xml:space="preserve">Javourez et </w:t>
      </w:r>
      <w:r w:rsidR="002D3BB7" w:rsidRPr="000C6C37">
        <w:t>al., 202</w:t>
      </w:r>
      <w:r w:rsidR="000C6C37" w:rsidRPr="000C6C37">
        <w:t>4</w:t>
      </w:r>
      <w:r w:rsidR="002D3BB7" w:rsidRPr="000C6C37">
        <w:fldChar w:fldCharType="begin"/>
      </w:r>
      <w:r w:rsidR="00827449">
        <w:instrText xml:space="preserve"> ADDIN ZOTERO_ITEM CSL_CITATION {"citationID":"oQryAJKx","properties":{"formattedCitation":"\\super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2D3BB7" w:rsidRPr="000C6C37">
        <w:fldChar w:fldCharType="separate"/>
      </w:r>
      <w:r w:rsidR="008C451C" w:rsidRPr="000C6C37">
        <w:rPr>
          <w:rFonts w:ascii="Calibri" w:hAnsi="Calibri" w:cs="Calibri"/>
          <w:szCs w:val="24"/>
          <w:vertAlign w:val="superscript"/>
        </w:rPr>
        <w:t>1</w:t>
      </w:r>
      <w:r w:rsidR="002D3BB7" w:rsidRPr="000C6C37">
        <w:fldChar w:fldCharType="end"/>
      </w:r>
      <w:r w:rsidR="0063035F">
        <w:t>)</w:t>
      </w:r>
      <w:r w:rsidRPr="00DD7BCD">
        <w:t xml:space="preserve"> and GA mode</w:t>
      </w:r>
      <w:r w:rsidR="00655BBB">
        <w:t>l</w:t>
      </w:r>
      <w:r w:rsidRPr="003F5DA8">
        <w:t xml:space="preserve"> </w:t>
      </w:r>
      <w:r w:rsidR="0063035F">
        <w:t>(</w:t>
      </w:r>
      <w:r w:rsidR="0063035F" w:rsidRPr="0063035F">
        <w:rPr>
          <w:b/>
        </w:rPr>
        <w:t xml:space="preserve">section </w:t>
      </w:r>
      <w:r w:rsidR="000C6C37">
        <w:rPr>
          <w:b/>
        </w:rPr>
        <w:t xml:space="preserve">SI. </w:t>
      </w:r>
      <w:r w:rsidR="0063035F" w:rsidRPr="0063035F">
        <w:rPr>
          <w:b/>
        </w:rPr>
        <w:fldChar w:fldCharType="begin"/>
      </w:r>
      <w:r w:rsidR="0063035F" w:rsidRPr="0063035F">
        <w:rPr>
          <w:b/>
        </w:rPr>
        <w:instrText xml:space="preserve"> REF _Ref145068359 \r \h </w:instrText>
      </w:r>
      <w:r w:rsidR="0063035F">
        <w:rPr>
          <w:b/>
        </w:rPr>
        <w:instrText xml:space="preserve"> \* MERGEFORMAT </w:instrText>
      </w:r>
      <w:r w:rsidR="0063035F" w:rsidRPr="0063035F">
        <w:rPr>
          <w:b/>
        </w:rPr>
      </w:r>
      <w:r w:rsidR="0063035F" w:rsidRPr="0063035F">
        <w:rPr>
          <w:b/>
        </w:rPr>
        <w:fldChar w:fldCharType="separate"/>
      </w:r>
      <w:r w:rsidR="00F25F8C">
        <w:rPr>
          <w:b/>
        </w:rPr>
        <w:t>4.8</w:t>
      </w:r>
      <w:r w:rsidR="0063035F" w:rsidRPr="0063035F">
        <w:rPr>
          <w:b/>
        </w:rPr>
        <w:fldChar w:fldCharType="end"/>
      </w:r>
      <w:r w:rsidR="0063035F">
        <w:t xml:space="preserve">) </w:t>
      </w:r>
      <w:r w:rsidRPr="003F5DA8">
        <w:t>respectively (after the gas cleaning stage); no additional processes were considered. However, syngas cooling towards 35°C was modeled, to meet the input requirements for the bioreactor.</w:t>
      </w:r>
      <w:r w:rsidR="00A75298">
        <w:t xml:space="preserve"> The </w:t>
      </w:r>
      <w:r w:rsidR="00A75298" w:rsidRPr="003F5DA8">
        <w:t xml:space="preserve">gas post-treatments requirements </w:t>
      </w:r>
      <w:r w:rsidR="00A75298">
        <w:t xml:space="preserve">to supply MP_meths, </w:t>
      </w:r>
      <w:r w:rsidR="00F16190" w:rsidRPr="003F5DA8">
        <w:t xml:space="preserve">MP_biometh, </w:t>
      </w:r>
      <w:r w:rsidR="00A75298" w:rsidRPr="003F5DA8">
        <w:t>MP_shift</w:t>
      </w:r>
      <w:r w:rsidR="009B4A71">
        <w:t>s</w:t>
      </w:r>
      <w:r w:rsidR="00A75298" w:rsidRPr="003F5DA8">
        <w:t xml:space="preserve"> and MP_shift</w:t>
      </w:r>
      <w:r w:rsidR="009B4A71">
        <w:t>b</w:t>
      </w:r>
      <w:r w:rsidR="00A75298" w:rsidRPr="003F5DA8">
        <w:t xml:space="preserve"> are further described.</w:t>
      </w:r>
      <w:r w:rsidR="00F16190">
        <w:t xml:space="preserve"> Yet, for ease of reuse, these gas post-treatments were operationally modeled within corresponding AD and GA LCI mode</w:t>
      </w:r>
      <w:r w:rsidR="00655BBB">
        <w:t>l</w:t>
      </w:r>
      <w:r w:rsidR="00F16190">
        <w:t>s.</w:t>
      </w:r>
      <w:r w:rsidR="00AE0E28">
        <w:t xml:space="preserve"> For this purpose, the AD mod</w:t>
      </w:r>
      <w:r w:rsidR="00655BBB">
        <w:t>el</w:t>
      </w:r>
      <w:r w:rsidR="00AE0E28">
        <w:t xml:space="preserve"> spreadsheet available in Javourez </w:t>
      </w:r>
      <w:r w:rsidR="00AE0E28" w:rsidRPr="000C6C37">
        <w:t>et al., 202</w:t>
      </w:r>
      <w:r w:rsidR="000C6C37" w:rsidRPr="000C6C37">
        <w:t>4</w:t>
      </w:r>
      <w:r w:rsidR="00AE0E28" w:rsidRPr="000C6C37">
        <w:fldChar w:fldCharType="begin"/>
      </w:r>
      <w:r w:rsidR="00827449">
        <w:instrText xml:space="preserve"> ADDIN ZOTERO_ITEM CSL_CITATION {"citationID":"7gcZ4p51","properties":{"formattedCitation":"\\super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AE0E28" w:rsidRPr="000C6C37">
        <w:fldChar w:fldCharType="separate"/>
      </w:r>
      <w:r w:rsidR="008C451C" w:rsidRPr="000C6C37">
        <w:rPr>
          <w:rFonts w:ascii="Calibri" w:hAnsi="Calibri" w:cs="Calibri"/>
          <w:szCs w:val="24"/>
          <w:vertAlign w:val="superscript"/>
        </w:rPr>
        <w:t>1</w:t>
      </w:r>
      <w:r w:rsidR="00AE0E28" w:rsidRPr="000C6C37">
        <w:fldChar w:fldCharType="end"/>
      </w:r>
      <w:r w:rsidR="00AE0E28" w:rsidRPr="000C6C37">
        <w:t xml:space="preserve"> was</w:t>
      </w:r>
      <w:r w:rsidR="00AE0E28">
        <w:t xml:space="preserve"> directly reused.</w:t>
      </w:r>
    </w:p>
    <w:p w14:paraId="6F44365A" w14:textId="1C1F4C4E" w:rsidR="00F16190" w:rsidRPr="00160B86" w:rsidRDefault="00F16190" w:rsidP="00F16190">
      <w:pPr>
        <w:pStyle w:val="Titre4"/>
      </w:pPr>
      <w:r w:rsidRPr="00160B86">
        <w:t>Syngas methanation</w:t>
      </w:r>
    </w:p>
    <w:p w14:paraId="26E60C37" w14:textId="0D0043EE" w:rsidR="00F16190" w:rsidRPr="003F5DA8" w:rsidRDefault="00F16190" w:rsidP="00F16190">
      <w:pPr>
        <w:ind w:firstLine="360"/>
        <w:jc w:val="both"/>
      </w:pPr>
      <w:r w:rsidRPr="003F5DA8">
        <w:t xml:space="preserve">This </w:t>
      </w:r>
      <w:r>
        <w:t xml:space="preserve">gas post-treatment operation supplies the MP_meths </w:t>
      </w:r>
      <w:r w:rsidRPr="003F5DA8">
        <w:t>variant. The selected set-up aims to maximize CH</w:t>
      </w:r>
      <w:r w:rsidRPr="003F5DA8">
        <w:rPr>
          <w:vertAlign w:val="subscript"/>
        </w:rPr>
        <w:t>4</w:t>
      </w:r>
      <w:r w:rsidRPr="003F5DA8">
        <w:t xml:space="preserve"> production from syngas. Therefore, water conversion shift (WCS) reactions were first performed to increase the share of H</w:t>
      </w:r>
      <w:r w:rsidRPr="003F5DA8">
        <w:rPr>
          <w:vertAlign w:val="subscript"/>
        </w:rPr>
        <w:t>2</w:t>
      </w:r>
      <w:r w:rsidRPr="003F5DA8">
        <w:t xml:space="preserve"> and CO</w:t>
      </w:r>
      <w:r w:rsidRPr="003F5DA8">
        <w:rPr>
          <w:vertAlign w:val="subscript"/>
        </w:rPr>
        <w:t>2</w:t>
      </w:r>
      <w:r w:rsidRPr="003F5DA8">
        <w:t xml:space="preserve"> in syngas. Finally, missing H</w:t>
      </w:r>
      <w:r w:rsidRPr="003F5DA8">
        <w:rPr>
          <w:vertAlign w:val="subscript"/>
        </w:rPr>
        <w:t>2</w:t>
      </w:r>
      <w:r w:rsidRPr="003F5DA8">
        <w:t xml:space="preserve"> to reach methanation stoichiometry was supplied through electrolysis. Unconverted CO from WCS was also partly converted during methanation</w:t>
      </w:r>
      <w:r w:rsidRPr="003F5DA8">
        <w:fldChar w:fldCharType="begin"/>
      </w:r>
      <w:r w:rsidR="005413B4">
        <w:instrText xml:space="preserve"> ADDIN ZOTERO_ITEM CSL_CITATION {"citationID":"o9T43CDw","properties":{"formattedCitation":"\\super 237\\nosupersub{}","plainCitation":"237","noteIndex":0},"citationItems":[{"id":13042,"uris":["http://zotero.org/users/6423791/items/9I4TW7D3"],"itemData":{"id":13042,"type":"article-journal","abstract":"Traditional fossil fuel overuse could lead to global warming and environmental pollution. As a renewable energy, biomass energy is a sustainable and low pollution carbon energy, which has a wide range of sources. Syngas production from biomass thermochemical conversion is a promising technology to realize effective utilization of the renewable energy. Syngas produced from gasification could be further converted into value-added chemicals via the method of Fischer-Tropsch synthesis. Syngas and CO2 methanation could transform renewable energy into feasible transport and high-density energy. However, tar formation and catalyst deactivation are the main problem during the biomass gasification and methanation. This review sheds light on the development of biomass gasification and syngas methanation. Firstly, we presented the common reactors and some other factors during gasification. Secondly, we provide a comprehensive introduction of the advanced active catalyst for gasification and syngas methanation. Finally, some representative large-scale and commercial plants and companies for biomass gasification were compared and discussed in details. Then the prospective developments in combination of gasification and methanation were concluded to give an outlook for biomass gasification and its downstream development.","container-title":"International Journal of Hydrogen Energy","DOI":"10.1016/j.ijhydene.2019.12.023","ISSN":"0360-3199","issue":"7","journalAbbreviation":"International Journal of Hydrogen Energy","language":"en","page":"4223-4243","source":"ScienceDirect","title":"Methanation of syngas from biomass gasification: An overview","title-short":"Methanation of syngas from biomass gasification","volume":"45","author":[{"family":"Ren","given":"Jie"},{"family":"Liu","given":"Yi-Ling"},{"family":"Zhao","given":"Xiao-Yan"},{"family":"Cao","given":"Jing-Pei"}],"issued":{"date-parts":[["2020",2,7]]}}}],"schema":"https://github.com/citation-style-language/schema/raw/master/csl-citation.json"} </w:instrText>
      </w:r>
      <w:r w:rsidRPr="003F5DA8">
        <w:fldChar w:fldCharType="separate"/>
      </w:r>
      <w:r w:rsidR="005413B4" w:rsidRPr="005413B4">
        <w:rPr>
          <w:rFonts w:ascii="Calibri" w:hAnsi="Calibri" w:cs="Calibri"/>
          <w:szCs w:val="24"/>
          <w:vertAlign w:val="superscript"/>
        </w:rPr>
        <w:t>237</w:t>
      </w:r>
      <w:r w:rsidRPr="003F5DA8">
        <w:fldChar w:fldCharType="end"/>
      </w:r>
      <w:r w:rsidRPr="003F5DA8">
        <w:t>, but other side reactions were neglected. Biological methanation, albeit increasingly investigated</w:t>
      </w:r>
      <w:r w:rsidRPr="003F5DA8">
        <w:fldChar w:fldCharType="begin"/>
      </w:r>
      <w:r w:rsidR="005413B4">
        <w:instrText xml:space="preserve"> ADDIN ZOTERO_ITEM CSL_CITATION {"citationID":"P2a78hf2","properties":{"formattedCitation":"\\super 238\\nosupersub{}","plainCitation":"238","noteIndex":0},"citationItems":[{"id":13254,"uris":["http://zotero.org/users/6423791/items/C3QPBAYG"],"itemData":{"id":13254,"type":"article-journal","abstract":"In order to take action against global warming and ensure a greater energy independence, countries around the world are expected to drastically increase the proportion of renewable energy in their energy mix. However, the intermittent production of energy explains why energy supply and demand do not match. In this context, biomethanation, coupled with anaerobic digestion, could be an interesting approach to transform the extra amount of produced electricity by converting hydrogen (produced by electrolysis) and carbon dioxide (present in biogas) into methane. In this review, we have summarized several recently published results which involve biological methanation processes performed by mixed cultures, with an emphasis on microbiological as well as process aspects. In particular, the different microorganisms involved in the process, as well as the used metabolic pathways, along with their kinetic and thermodynamic specificities, are described. Furthermore, the influence of process parameters such as the type of reactor, the type of diffuser and the choice of H2 injection (in situ or ex situ) or the different operating conditions are presented. Explanations of the different performances observed in literature are assumed, technical bottlenecks are listed, and possible solutions to overcome these issues are presented. Finally, the current commercial deployment of this technology is discussed through the example of three companies offering different biomethanation solutions.","container-title":"Waste and Biomass Valorization","DOI":"10.1007/s12649-020-01283-z","ISSN":"1877-265X","issue":"10","journalAbbreviation":"Waste Biomass Valor","language":"en","page":"5259-5282","source":"Springer Link","title":"Biological Methanation of H2 and CO2 with Mixed Cultures: Current Advances, Hurdles and Challenges","title-short":"Biological Methanation of H2 and CO2 with Mixed Cultures","volume":"12","author":[{"family":"Rafrafi","given":"Yan"},{"family":"Laguillaumie","given":"Léa"},{"family":"Dumas","given":"Claire"}],"issued":{"date-parts":[["2021",10,1]]}}}],"schema":"https://github.com/citation-style-language/schema/raw/master/csl-citation.json"} </w:instrText>
      </w:r>
      <w:r w:rsidRPr="003F5DA8">
        <w:fldChar w:fldCharType="separate"/>
      </w:r>
      <w:r w:rsidR="005413B4" w:rsidRPr="005413B4">
        <w:rPr>
          <w:rFonts w:ascii="Calibri" w:hAnsi="Calibri" w:cs="Calibri"/>
          <w:szCs w:val="24"/>
          <w:vertAlign w:val="superscript"/>
        </w:rPr>
        <w:t>238</w:t>
      </w:r>
      <w:r w:rsidRPr="003F5DA8">
        <w:fldChar w:fldCharType="end"/>
      </w:r>
      <w:r w:rsidRPr="003F5DA8">
        <w:t xml:space="preserve">, was not considered here for its current low-TRL. Each unit </w:t>
      </w:r>
      <w:r w:rsidRPr="00160B86">
        <w:t>operations are detailed</w:t>
      </w:r>
      <w:r w:rsidRPr="003F5DA8">
        <w:t xml:space="preserve"> in the following sections, mostly based on the analysis developed by Megret et al., 2015</w:t>
      </w:r>
      <w:r w:rsidRPr="003F5DA8">
        <w:fldChar w:fldCharType="begin"/>
      </w:r>
      <w:r w:rsidR="005413B4">
        <w:instrText xml:space="preserve"> ADDIN ZOTERO_ITEM CSL_CITATION {"citationID":"0hxWpuvA","properties":{"formattedCitation":"\\super 223\\nosupersub{}","plainCitation":"223","noteIndex":0},"citationItems":[{"id":12940,"uris":["http://zotero.org/users/6423791/items/KBVGJC6I"],"itemData":{"id":12940,"type":"report","language":"fr","number":"RECORD 13-0239/1A","page":"228","publisher":"Réseau Coopératif de Recherche sur les Déchets et l’Environnement","source":"Zotero","title":"Production d'hydrogène à partir de déchets: Etat de l'art et potentiel d'émergence","URL":"https://hal.archives-ouvertes.fr/hal-01602165","author":[{"family":"Megret","given":"Olivier"},{"family":"Hubert","given":"Loreline"},{"family":"Calbry","given":"M"},{"family":"Trably","given":"Eric"},{"family":"Carrère","given":"Hélène"},{"family":"Garcia-Bernet","given":"Diana"},{"family":"Bernet","given":"Nicolas"}],"issued":{"date-parts":[["2015"]]}}}],"schema":"https://github.com/citation-style-language/schema/raw/master/csl-citation.json"} </w:instrText>
      </w:r>
      <w:r w:rsidRPr="003F5DA8">
        <w:fldChar w:fldCharType="separate"/>
      </w:r>
      <w:r w:rsidR="005413B4" w:rsidRPr="005413B4">
        <w:rPr>
          <w:rFonts w:ascii="Calibri" w:hAnsi="Calibri" w:cs="Calibri"/>
          <w:szCs w:val="24"/>
          <w:vertAlign w:val="superscript"/>
        </w:rPr>
        <w:t>223</w:t>
      </w:r>
      <w:r w:rsidRPr="003F5DA8">
        <w:fldChar w:fldCharType="end"/>
      </w:r>
      <w:r w:rsidRPr="003F5DA8">
        <w:t>.</w:t>
      </w:r>
    </w:p>
    <w:p w14:paraId="626F54A6" w14:textId="77777777" w:rsidR="00F16190" w:rsidRPr="00160B86" w:rsidRDefault="00F16190" w:rsidP="00877BEE">
      <w:pPr>
        <w:pStyle w:val="Titre5"/>
      </w:pPr>
      <w:r w:rsidRPr="00160B86">
        <w:t>Water conversion shift</w:t>
      </w:r>
    </w:p>
    <w:p w14:paraId="391A743E" w14:textId="5C4A87D3" w:rsidR="00F16190" w:rsidRDefault="00F16190" w:rsidP="00F16190">
      <w:pPr>
        <w:jc w:val="both"/>
      </w:pPr>
      <w:r w:rsidRPr="003F5DA8">
        <w:t>First, syngas was cooled towards WCS requirements. WCS is usually developed in two stages (high and low temperature</w:t>
      </w:r>
      <w:r w:rsidRPr="003F5DA8">
        <w:fldChar w:fldCharType="begin"/>
      </w:r>
      <w:r w:rsidR="005413B4">
        <w:instrText xml:space="preserve"> ADDIN ZOTERO_ITEM CSL_CITATION {"citationID":"z1GmAm0i","properties":{"formattedCitation":"\\super 223\\nosupersub{}","plainCitation":"223","noteIndex":0},"citationItems":[{"id":12940,"uris":["http://zotero.org/users/6423791/items/KBVGJC6I"],"itemData":{"id":12940,"type":"report","language":"fr","number":"RECORD 13-0239/1A","page":"228","publisher":"Réseau Coopératif de Recherche sur les Déchets et l’Environnement","source":"Zotero","title":"Production d'hydrogène à partir de déchets: Etat de l'art et potentiel d'émergence","URL":"https://hal.archives-ouvertes.fr/hal-01602165","author":[{"family":"Megret","given":"Olivier"},{"family":"Hubert","given":"Loreline"},{"family":"Calbry","given":"M"},{"family":"Trably","given":"Eric"},{"family":"Carrère","given":"Hélène"},{"family":"Garcia-Bernet","given":"Diana"},{"family":"Bernet","given":"Nicolas"}],"issued":{"date-parts":[["2015"]]}}}],"schema":"https://github.com/citation-style-language/schema/raw/master/csl-citation.json"} </w:instrText>
      </w:r>
      <w:r w:rsidRPr="003F5DA8">
        <w:fldChar w:fldCharType="separate"/>
      </w:r>
      <w:r w:rsidR="005413B4" w:rsidRPr="005413B4">
        <w:rPr>
          <w:rFonts w:ascii="Calibri" w:hAnsi="Calibri" w:cs="Calibri"/>
          <w:szCs w:val="24"/>
          <w:vertAlign w:val="superscript"/>
        </w:rPr>
        <w:t>223</w:t>
      </w:r>
      <w:r w:rsidRPr="003F5DA8">
        <w:fldChar w:fldCharType="end"/>
      </w:r>
      <w:r w:rsidRPr="003F5DA8">
        <w:t xml:space="preserve">), but for modeling simplification, a single WCS stage (340°C, ambient pressure) was considered </w:t>
      </w:r>
      <w:r w:rsidRPr="00160B86">
        <w:t>(</w:t>
      </w:r>
      <w:r w:rsidRPr="00F16190">
        <w:rPr>
          <w:b/>
        </w:rPr>
        <w:fldChar w:fldCharType="begin"/>
      </w:r>
      <w:r w:rsidRPr="00F16190">
        <w:rPr>
          <w:b/>
        </w:rPr>
        <w:instrText xml:space="preserve"> REF _Ref144824446 \h </w:instrText>
      </w:r>
      <w:r>
        <w:rPr>
          <w:b/>
        </w:rPr>
        <w:instrText xml:space="preserve"> \* MERGEFORMAT </w:instrText>
      </w:r>
      <w:r w:rsidRPr="00F16190">
        <w:rPr>
          <w:b/>
        </w:rPr>
      </w:r>
      <w:r w:rsidRPr="00F16190">
        <w:rPr>
          <w:b/>
        </w:rPr>
        <w:fldChar w:fldCharType="separate"/>
      </w:r>
      <w:r w:rsidR="00F25F8C" w:rsidRPr="00F25F8C">
        <w:rPr>
          <w:b/>
        </w:rPr>
        <w:t xml:space="preserve">Equation </w:t>
      </w:r>
      <w:r w:rsidR="00F25F8C" w:rsidRPr="00F25F8C">
        <w:rPr>
          <w:b/>
          <w:noProof/>
        </w:rPr>
        <w:t>8</w:t>
      </w:r>
      <w:r w:rsidRPr="00F16190">
        <w:rPr>
          <w:b/>
        </w:rPr>
        <w:fldChar w:fldCharType="end"/>
      </w:r>
      <w:r w:rsidRPr="00160B86">
        <w:t>).</w:t>
      </w:r>
      <w:r w:rsidRPr="003F5DA8">
        <w:t xml:space="preserve"> Albeit exothermic, temperature was assumed constant in the reactor as excess heat was partly recovered as </w:t>
      </w:r>
      <w:r w:rsidRPr="00160B86">
        <w:t xml:space="preserve">modeled in </w:t>
      </w:r>
      <w:r w:rsidRPr="00F16190">
        <w:rPr>
          <w:b/>
        </w:rPr>
        <w:t xml:space="preserve">section </w:t>
      </w:r>
      <w:r w:rsidR="000C6C37">
        <w:rPr>
          <w:b/>
        </w:rPr>
        <w:t xml:space="preserve">SI. </w:t>
      </w:r>
      <w:r w:rsidRPr="00F16190">
        <w:rPr>
          <w:b/>
        </w:rPr>
        <w:fldChar w:fldCharType="begin"/>
      </w:r>
      <w:r w:rsidRPr="00F16190">
        <w:rPr>
          <w:b/>
        </w:rPr>
        <w:instrText xml:space="preserve"> REF _Ref144807454 \r \h </w:instrText>
      </w:r>
      <w:r>
        <w:rPr>
          <w:b/>
        </w:rPr>
        <w:instrText xml:space="preserve"> \* MERGEFORMAT </w:instrText>
      </w:r>
      <w:r w:rsidRPr="00F16190">
        <w:rPr>
          <w:b/>
        </w:rPr>
      </w:r>
      <w:r w:rsidRPr="00F16190">
        <w:rPr>
          <w:b/>
        </w:rPr>
        <w:fldChar w:fldCharType="separate"/>
      </w:r>
      <w:r w:rsidR="00F25F8C">
        <w:rPr>
          <w:b/>
        </w:rPr>
        <w:t>4.1.6</w:t>
      </w:r>
      <w:r w:rsidRPr="00F16190">
        <w:rPr>
          <w:b/>
        </w:rPr>
        <w:fldChar w:fldCharType="end"/>
      </w:r>
      <w:r w:rsidRPr="00160B86">
        <w:t>.</w:t>
      </w:r>
      <w:r w:rsidRPr="003F5DA8">
        <w:t xml:space="preserve"> Steam requirements and overall WCS efficiency were parameterized (see</w:t>
      </w:r>
      <w:r w:rsidR="004D7AB5">
        <w:t xml:space="preserve"> </w:t>
      </w:r>
      <w:r w:rsidR="004D7AB5" w:rsidRPr="004D7AB5">
        <w:rPr>
          <w:b/>
        </w:rPr>
        <w:fldChar w:fldCharType="begin"/>
      </w:r>
      <w:r w:rsidR="004D7AB5" w:rsidRPr="004D7AB5">
        <w:rPr>
          <w:b/>
        </w:rPr>
        <w:instrText xml:space="preserve"> REF _Ref144826360 \h </w:instrText>
      </w:r>
      <w:r w:rsidR="004D7AB5">
        <w:rPr>
          <w:b/>
        </w:rPr>
        <w:instrText xml:space="preserve"> \* MERGEFORMAT </w:instrText>
      </w:r>
      <w:r w:rsidR="004D7AB5" w:rsidRPr="004D7AB5">
        <w:rPr>
          <w:b/>
        </w:rPr>
      </w:r>
      <w:r w:rsidR="004D7AB5" w:rsidRPr="004D7AB5">
        <w:rPr>
          <w:b/>
        </w:rPr>
        <w:fldChar w:fldCharType="separate"/>
      </w:r>
      <w:r w:rsidR="00F25F8C" w:rsidRPr="00F25F8C">
        <w:rPr>
          <w:b/>
        </w:rPr>
        <w:t xml:space="preserve">Table SI. </w:t>
      </w:r>
      <w:r w:rsidR="00F25F8C" w:rsidRPr="00F25F8C">
        <w:rPr>
          <w:b/>
          <w:noProof/>
        </w:rPr>
        <w:t>70</w:t>
      </w:r>
      <w:r w:rsidR="004D7AB5" w:rsidRPr="004D7AB5">
        <w:rPr>
          <w:b/>
        </w:rPr>
        <w:fldChar w:fldCharType="end"/>
      </w:r>
      <w:r w:rsidRPr="003F5DA8">
        <w:t xml:space="preserve">). Mass and energy balances are </w:t>
      </w:r>
      <w:r w:rsidRPr="00160B86">
        <w:t xml:space="preserve">available in </w:t>
      </w:r>
      <w:r w:rsidR="00AE0E28" w:rsidRPr="00AE0E28">
        <w:rPr>
          <w:i/>
        </w:rPr>
        <w:t>B.GA_module spreadsheet</w:t>
      </w:r>
      <w:r w:rsidRPr="00160B86">
        <w:t>.</w:t>
      </w:r>
      <w:r w:rsidRPr="003F5DA8">
        <w:t xml:space="preserve"> </w:t>
      </w:r>
      <w:r>
        <w:t xml:space="preserve">WCS </w:t>
      </w:r>
      <w:r w:rsidRPr="003F5DA8">
        <w:t>Catalysis (Cu-Zn-Al) and facilities requirements were based on the fixed-bed reactor set-up by Van der Giesen et al., 2014</w:t>
      </w:r>
      <w:r w:rsidRPr="003F5DA8">
        <w:fldChar w:fldCharType="begin"/>
      </w:r>
      <w:r w:rsidR="005413B4">
        <w:instrText xml:space="preserve"> ADDIN ZOTERO_ITEM CSL_CITATION {"citationID":"e8qfScyz","properties":{"formattedCitation":"\\super 239\\nosupersub{}","plainCitation":"239","noteIndex":0},"citationItems":[{"id":13040,"uris":["http://zotero.org/users/6423791/items/T5KA5JZB"],"itemData":{"id":13040,"type":"article-journal","abstract":"Within the context of carbon dioxide (CO2) utilization there is an increasing interest in using CO2 as a resource to produce sustainable liquid hydrocarbon fuels. When these fuels are produced by solely using solar energy they are labeled as solar fuels. In the recent discourse on solar fuels intuitive arguments are used to support the prospects of these fuels. This paper takes a quantitative approach to investigate some of the claims made in this discussion. We analyze the life cycle performance of various classes of solar fuel processes using diﬀerent primary energy and CO2 sources. We compare their eﬃcacy with respect to carbon mitigation with ubiquitous fossil-based fuels and conclude that producing liquid hydrocarbon fuels starting from CO2 by using existing technologies requires much more energy than existing fuels. An improvement in life cycle CO2 emissions is only found when solar energy and atmospheric CO2 are used. Producing fuels from CO2 is a very long-term niche at best, not the panacea suggested in the recent public discourse.","container-title":"Environmental Science &amp; Technology","DOI":"10.1021/es500191g","ISSN":"0013-936X, 1520-5851","issue":"12","journalAbbreviation":"Environ. Sci. Technol.","language":"en","page":"7111-7121","source":"DOI.org (Crossref)","title":"Energy and Climate Impacts of Producing Synthetic Hydrocarbon Fuels from CO &lt;sub&gt;2&lt;/sub&gt;","volume":"48","author":[{"family":"Giesen","given":"Coen","non-dropping-particle":"van der"},{"family":"Kleijn","given":"René"},{"family":"Kramer","given":"Gert Jan"}],"issued":{"date-parts":[["2014",6,17]]}}}],"schema":"https://github.com/citation-style-language/schema/raw/master/csl-citation.json"} </w:instrText>
      </w:r>
      <w:r w:rsidRPr="003F5DA8">
        <w:fldChar w:fldCharType="separate"/>
      </w:r>
      <w:r w:rsidR="005413B4" w:rsidRPr="005413B4">
        <w:rPr>
          <w:rFonts w:ascii="Calibri" w:hAnsi="Calibri" w:cs="Calibri"/>
          <w:szCs w:val="24"/>
          <w:vertAlign w:val="superscript"/>
        </w:rPr>
        <w:t>239</w:t>
      </w:r>
      <w:r w:rsidRPr="003F5DA8">
        <w:fldChar w:fldCharType="end"/>
      </w:r>
      <w:r w:rsidRPr="003F5DA8">
        <w:t xml:space="preserve"> (see</w:t>
      </w:r>
      <w:r>
        <w:t xml:space="preserve"> </w:t>
      </w:r>
      <w:r w:rsidRPr="00F16190">
        <w:rPr>
          <w:b/>
        </w:rPr>
        <w:fldChar w:fldCharType="begin"/>
      </w:r>
      <w:r w:rsidRPr="00F16190">
        <w:rPr>
          <w:b/>
        </w:rPr>
        <w:instrText xml:space="preserve"> REF _Ref144824772 \h </w:instrText>
      </w:r>
      <w:r>
        <w:rPr>
          <w:b/>
        </w:rPr>
        <w:instrText xml:space="preserve"> \* MERGEFORMAT </w:instrText>
      </w:r>
      <w:r w:rsidRPr="00F16190">
        <w:rPr>
          <w:b/>
        </w:rPr>
      </w:r>
      <w:r w:rsidRPr="00F16190">
        <w:rPr>
          <w:b/>
        </w:rPr>
        <w:fldChar w:fldCharType="separate"/>
      </w:r>
      <w:r w:rsidR="00F25F8C" w:rsidRPr="00F25F8C">
        <w:rPr>
          <w:b/>
        </w:rPr>
        <w:t xml:space="preserve">Table SI. </w:t>
      </w:r>
      <w:r w:rsidR="00F25F8C" w:rsidRPr="00F25F8C">
        <w:rPr>
          <w:b/>
          <w:noProof/>
        </w:rPr>
        <w:t>58</w:t>
      </w:r>
      <w:r w:rsidRPr="00F16190">
        <w:rPr>
          <w:b/>
        </w:rPr>
        <w:fldChar w:fldCharType="end"/>
      </w:r>
      <w:r w:rsidRPr="003F5DA8">
        <w:t>).</w:t>
      </w:r>
    </w:p>
    <w:p w14:paraId="46EA3A5A" w14:textId="49C8916B" w:rsidR="00F16190" w:rsidRDefault="00F16190" w:rsidP="006B5342">
      <w:pPr>
        <w:pStyle w:val="Lgende"/>
        <w:jc w:val="left"/>
        <w:rPr>
          <w:b w:val="0"/>
        </w:rPr>
      </w:pPr>
      <w:bookmarkStart w:id="257" w:name="_Ref144824446"/>
      <w:r>
        <w:t xml:space="preserve">Equation </w:t>
      </w:r>
      <w:r>
        <w:fldChar w:fldCharType="begin"/>
      </w:r>
      <w:r>
        <w:instrText xml:space="preserve"> SEQ Equation \* ARABIC </w:instrText>
      </w:r>
      <w:r>
        <w:fldChar w:fldCharType="separate"/>
      </w:r>
      <w:r w:rsidR="00F25F8C">
        <w:rPr>
          <w:noProof/>
        </w:rPr>
        <w:t>8</w:t>
      </w:r>
      <w:r>
        <w:fldChar w:fldCharType="end"/>
      </w:r>
      <w:bookmarkEnd w:id="257"/>
    </w:p>
    <w:p w14:paraId="22CD61A5" w14:textId="77777777" w:rsidR="00F16190" w:rsidRPr="002D5B5C" w:rsidRDefault="00F16190" w:rsidP="006B5342">
      <w:pPr>
        <w:rPr>
          <w:b/>
          <w:sz w:val="20"/>
        </w:rPr>
      </w:pPr>
      <w:r>
        <w:rPr>
          <w:b/>
          <w:sz w:val="20"/>
        </w:rPr>
        <w:t>Water conversion shift (WCS)</w:t>
      </w:r>
    </w:p>
    <w:p w14:paraId="3C27AD57" w14:textId="0C36B078" w:rsidR="00AE0E28" w:rsidRPr="006B5342" w:rsidRDefault="00F16190" w:rsidP="006B5342">
      <w:pPr>
        <w:rPr>
          <w:rFonts w:eastAsiaTheme="minorEastAsia"/>
        </w:rPr>
      </w:pPr>
      <m:oMathPara>
        <m:oMathParaPr>
          <m:jc m:val="left"/>
        </m:oMathParaPr>
        <m:oMath>
          <m:r>
            <w:rPr>
              <w:rFonts w:ascii="Cambria Math" w:hAnsi="Cambria Math"/>
            </w:rPr>
            <m:t>CO+</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oMath>
      </m:oMathPara>
    </w:p>
    <w:p w14:paraId="291C9FBF" w14:textId="77777777" w:rsidR="00AE0E28" w:rsidRDefault="00AE0E28">
      <w:pPr>
        <w:rPr>
          <w:rFonts w:eastAsiaTheme="minorEastAsia"/>
        </w:rPr>
      </w:pPr>
      <w:r>
        <w:rPr>
          <w:rFonts w:eastAsiaTheme="minorEastAsia"/>
        </w:rPr>
        <w:br w:type="page"/>
      </w:r>
    </w:p>
    <w:p w14:paraId="63597B9F" w14:textId="352E60B7" w:rsidR="00F16190" w:rsidRPr="00160B86" w:rsidRDefault="00F16190" w:rsidP="006B5342">
      <w:pPr>
        <w:pStyle w:val="Lgende"/>
        <w:jc w:val="left"/>
        <w:rPr>
          <w:b w:val="0"/>
          <w:i/>
        </w:rPr>
      </w:pPr>
      <w:bookmarkStart w:id="258" w:name="_Ref144824772"/>
      <w:bookmarkStart w:id="259" w:name="_Toc151967942"/>
      <w:r>
        <w:lastRenderedPageBreak/>
        <w:t xml:space="preserve">Table SI. </w:t>
      </w:r>
      <w:r>
        <w:fldChar w:fldCharType="begin"/>
      </w:r>
      <w:r>
        <w:instrText xml:space="preserve"> SEQ Table_SI. \* ARABIC </w:instrText>
      </w:r>
      <w:r>
        <w:fldChar w:fldCharType="separate"/>
      </w:r>
      <w:r w:rsidR="00F25F8C">
        <w:rPr>
          <w:noProof/>
        </w:rPr>
        <w:t>58</w:t>
      </w:r>
      <w:r>
        <w:fldChar w:fldCharType="end"/>
      </w:r>
      <w:bookmarkEnd w:id="258"/>
      <w:r>
        <w:t xml:space="preserve"> </w:t>
      </w:r>
      <w:r w:rsidRPr="002D5B5C">
        <w:t>– WCS building and catalysis modeling parameters</w:t>
      </w:r>
      <w:bookmarkEnd w:id="259"/>
    </w:p>
    <w:tbl>
      <w:tblPr>
        <w:tblStyle w:val="Tableausimple2"/>
        <w:tblW w:w="0" w:type="auto"/>
        <w:tblLook w:val="04A0" w:firstRow="1" w:lastRow="0" w:firstColumn="1" w:lastColumn="0" w:noHBand="0" w:noVBand="1"/>
      </w:tblPr>
      <w:tblGrid>
        <w:gridCol w:w="2112"/>
        <w:gridCol w:w="1134"/>
        <w:gridCol w:w="708"/>
        <w:gridCol w:w="4237"/>
      </w:tblGrid>
      <w:tr w:rsidR="00F16190" w:rsidRPr="00AE0E28" w14:paraId="2B3858F8"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7AE85F98" w14:textId="77777777" w:rsidR="00F16190" w:rsidRPr="00AE0E28" w:rsidRDefault="00F16190" w:rsidP="00F16190">
            <w:pPr>
              <w:jc w:val="right"/>
              <w:rPr>
                <w:sz w:val="18"/>
              </w:rPr>
            </w:pPr>
            <w:r w:rsidRPr="00AE0E28">
              <w:rPr>
                <w:sz w:val="18"/>
              </w:rPr>
              <w:t>Parameter</w:t>
            </w:r>
          </w:p>
        </w:tc>
        <w:tc>
          <w:tcPr>
            <w:tcW w:w="1134" w:type="dxa"/>
          </w:tcPr>
          <w:p w14:paraId="3FA84C72" w14:textId="77777777" w:rsidR="00F16190" w:rsidRPr="00AE0E28" w:rsidRDefault="00F16190" w:rsidP="00F16190">
            <w:pPr>
              <w:cnfStyle w:val="100000000000" w:firstRow="1" w:lastRow="0" w:firstColumn="0" w:lastColumn="0" w:oddVBand="0" w:evenVBand="0" w:oddHBand="0" w:evenHBand="0" w:firstRowFirstColumn="0" w:firstRowLastColumn="0" w:lastRowFirstColumn="0" w:lastRowLastColumn="0"/>
              <w:rPr>
                <w:sz w:val="18"/>
              </w:rPr>
            </w:pPr>
            <w:r w:rsidRPr="00AE0E28">
              <w:rPr>
                <w:sz w:val="18"/>
              </w:rPr>
              <w:t>Unit</w:t>
            </w:r>
          </w:p>
        </w:tc>
        <w:tc>
          <w:tcPr>
            <w:tcW w:w="708" w:type="dxa"/>
          </w:tcPr>
          <w:p w14:paraId="36897F91" w14:textId="77777777" w:rsidR="00F16190" w:rsidRPr="00AE0E28" w:rsidRDefault="00F16190" w:rsidP="00F16190">
            <w:pPr>
              <w:cnfStyle w:val="100000000000" w:firstRow="1" w:lastRow="0" w:firstColumn="0" w:lastColumn="0" w:oddVBand="0" w:evenVBand="0" w:oddHBand="0" w:evenHBand="0" w:firstRowFirstColumn="0" w:firstRowLastColumn="0" w:lastRowFirstColumn="0" w:lastRowLastColumn="0"/>
              <w:rPr>
                <w:sz w:val="18"/>
              </w:rPr>
            </w:pPr>
            <w:r w:rsidRPr="00AE0E28">
              <w:rPr>
                <w:sz w:val="18"/>
              </w:rPr>
              <w:t>Value</w:t>
            </w:r>
          </w:p>
        </w:tc>
        <w:tc>
          <w:tcPr>
            <w:tcW w:w="4237" w:type="dxa"/>
          </w:tcPr>
          <w:p w14:paraId="53EFA276" w14:textId="77777777" w:rsidR="00F16190" w:rsidRPr="00AE0E28" w:rsidRDefault="00F16190" w:rsidP="00F16190">
            <w:pPr>
              <w:cnfStyle w:val="100000000000" w:firstRow="1" w:lastRow="0" w:firstColumn="0" w:lastColumn="0" w:oddVBand="0" w:evenVBand="0" w:oddHBand="0" w:evenHBand="0" w:firstRowFirstColumn="0" w:firstRowLastColumn="0" w:lastRowFirstColumn="0" w:lastRowLastColumn="0"/>
              <w:rPr>
                <w:sz w:val="18"/>
              </w:rPr>
            </w:pPr>
            <w:r w:rsidRPr="00AE0E28">
              <w:rPr>
                <w:sz w:val="18"/>
              </w:rPr>
              <w:t>Comment</w:t>
            </w:r>
          </w:p>
        </w:tc>
      </w:tr>
      <w:tr w:rsidR="00F16190" w:rsidRPr="00AE0E28" w14:paraId="112448BD"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2BB9DC3D" w14:textId="77777777" w:rsidR="00F16190" w:rsidRPr="00AE0E28" w:rsidRDefault="00F16190" w:rsidP="00F16190">
            <w:pPr>
              <w:jc w:val="right"/>
              <w:rPr>
                <w:b w:val="0"/>
                <w:sz w:val="18"/>
              </w:rPr>
            </w:pPr>
            <w:r w:rsidRPr="00AE0E28">
              <w:rPr>
                <w:b w:val="0"/>
                <w:sz w:val="18"/>
              </w:rPr>
              <w:t>Steel</w:t>
            </w:r>
          </w:p>
        </w:tc>
        <w:tc>
          <w:tcPr>
            <w:tcW w:w="1134" w:type="dxa"/>
            <w:vMerge w:val="restart"/>
          </w:tcPr>
          <w:p w14:paraId="1442E834"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proofErr w:type="gramStart"/>
            <w:r w:rsidRPr="00AE0E28">
              <w:rPr>
                <w:sz w:val="18"/>
              </w:rPr>
              <w:t>mg.Nm</w:t>
            </w:r>
            <w:proofErr w:type="gramEnd"/>
            <w:r w:rsidRPr="00AE0E28">
              <w:rPr>
                <w:sz w:val="18"/>
                <w:vertAlign w:val="superscript"/>
              </w:rPr>
              <w:t>-3</w:t>
            </w:r>
            <w:r w:rsidRPr="00AE0E28">
              <w:rPr>
                <w:sz w:val="18"/>
                <w:vertAlign w:val="subscript"/>
              </w:rPr>
              <w:t>in</w:t>
            </w:r>
          </w:p>
        </w:tc>
        <w:tc>
          <w:tcPr>
            <w:tcW w:w="708" w:type="dxa"/>
          </w:tcPr>
          <w:p w14:paraId="65D2D6C6"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r w:rsidRPr="00AE0E28">
              <w:rPr>
                <w:sz w:val="18"/>
              </w:rPr>
              <w:t>8.04</w:t>
            </w:r>
          </w:p>
        </w:tc>
        <w:tc>
          <w:tcPr>
            <w:tcW w:w="4237" w:type="dxa"/>
            <w:vMerge w:val="restart"/>
          </w:tcPr>
          <w:p w14:paraId="6486597F" w14:textId="07CDB2EE"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i/>
                <w:sz w:val="18"/>
              </w:rPr>
            </w:pPr>
            <w:r w:rsidRPr="00AE0E28">
              <w:rPr>
                <w:i/>
                <w:sz w:val="18"/>
              </w:rPr>
              <w:t>Proxy for WCS reactor and buildin</w:t>
            </w:r>
            <w:r w:rsidRPr="00AE0E28">
              <w:rPr>
                <w:i/>
                <w:sz w:val="18"/>
                <w:szCs w:val="18"/>
              </w:rPr>
              <w:t>g</w:t>
            </w:r>
            <w:r w:rsidRPr="00AE0E28">
              <w:rPr>
                <w:i/>
                <w:sz w:val="18"/>
                <w:szCs w:val="18"/>
              </w:rPr>
              <w:fldChar w:fldCharType="begin"/>
            </w:r>
            <w:r w:rsidR="005413B4">
              <w:rPr>
                <w:i/>
                <w:sz w:val="18"/>
                <w:szCs w:val="18"/>
              </w:rPr>
              <w:instrText xml:space="preserve"> ADDIN ZOTERO_ITEM CSL_CITATION {"citationID":"VKQeNF0A","properties":{"formattedCitation":"\\super 239\\nosupersub{}","plainCitation":"239","noteIndex":0},"citationItems":[{"id":13040,"uris":["http://zotero.org/users/6423791/items/T5KA5JZB"],"itemData":{"id":13040,"type":"article-journal","abstract":"Within the context of carbon dioxide (CO2) utilization there is an increasing interest in using CO2 as a resource to produce sustainable liquid hydrocarbon fuels. When these fuels are produced by solely using solar energy they are labeled as solar fuels. In the recent discourse on solar fuels intuitive arguments are used to support the prospects of these fuels. This paper takes a quantitative approach to investigate some of the claims made in this discussion. We analyze the life cycle performance of various classes of solar fuel processes using diﬀerent primary energy and CO2 sources. We compare their eﬃcacy with respect to carbon mitigation with ubiquitous fossil-based fuels and conclude that producing liquid hydrocarbon fuels starting from CO2 by using existing technologies requires much more energy than existing fuels. An improvement in life cycle CO2 emissions is only found when solar energy and atmospheric CO2 are used. Producing fuels from CO2 is a very long-term niche at best, not the panacea suggested in the recent public discourse.","container-title":"Environmental Science &amp; Technology","DOI":"10.1021/es500191g","ISSN":"0013-936X, 1520-5851","issue":"12","journalAbbreviation":"Environ. Sci. Technol.","language":"en","page":"7111-7121","source":"DOI.org (Crossref)","title":"Energy and Climate Impacts of Producing Synthetic Hydrocarbon Fuels from CO &lt;sub&gt;2&lt;/sub&gt;","volume":"48","author":[{"family":"Giesen","given":"Coen","non-dropping-particle":"van der"},{"family":"Kleijn","given":"René"},{"family":"Kramer","given":"Gert Jan"}],"issued":{"date-parts":[["2014",6,17]]}}}],"schema":"https://github.com/citation-style-language/schema/raw/master/csl-citation.json"} </w:instrText>
            </w:r>
            <w:r w:rsidRPr="00AE0E28">
              <w:rPr>
                <w:i/>
                <w:sz w:val="18"/>
                <w:szCs w:val="18"/>
              </w:rPr>
              <w:fldChar w:fldCharType="separate"/>
            </w:r>
            <w:r w:rsidR="005413B4" w:rsidRPr="005413B4">
              <w:rPr>
                <w:rFonts w:ascii="Calibri" w:hAnsi="Calibri" w:cs="Calibri"/>
                <w:sz w:val="18"/>
                <w:szCs w:val="24"/>
                <w:vertAlign w:val="superscript"/>
              </w:rPr>
              <w:t>239</w:t>
            </w:r>
            <w:r w:rsidRPr="00AE0E28">
              <w:rPr>
                <w:i/>
                <w:sz w:val="18"/>
                <w:szCs w:val="18"/>
              </w:rPr>
              <w:fldChar w:fldCharType="end"/>
            </w:r>
          </w:p>
        </w:tc>
      </w:tr>
      <w:tr w:rsidR="00F16190" w:rsidRPr="00AE0E28" w14:paraId="32DA6347" w14:textId="77777777" w:rsidTr="006B5342">
        <w:tc>
          <w:tcPr>
            <w:cnfStyle w:val="001000000000" w:firstRow="0" w:lastRow="0" w:firstColumn="1" w:lastColumn="0" w:oddVBand="0" w:evenVBand="0" w:oddHBand="0" w:evenHBand="0" w:firstRowFirstColumn="0" w:firstRowLastColumn="0" w:lastRowFirstColumn="0" w:lastRowLastColumn="0"/>
            <w:tcW w:w="2112" w:type="dxa"/>
          </w:tcPr>
          <w:p w14:paraId="380727D8" w14:textId="77777777" w:rsidR="00F16190" w:rsidRPr="00AE0E28" w:rsidRDefault="00F16190" w:rsidP="00F16190">
            <w:pPr>
              <w:jc w:val="right"/>
              <w:rPr>
                <w:b w:val="0"/>
                <w:sz w:val="18"/>
              </w:rPr>
            </w:pPr>
            <w:r w:rsidRPr="00AE0E28">
              <w:rPr>
                <w:b w:val="0"/>
                <w:sz w:val="18"/>
              </w:rPr>
              <w:t>Bulk iron</w:t>
            </w:r>
          </w:p>
        </w:tc>
        <w:tc>
          <w:tcPr>
            <w:tcW w:w="1134" w:type="dxa"/>
            <w:vMerge/>
          </w:tcPr>
          <w:p w14:paraId="05905141"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p>
        </w:tc>
        <w:tc>
          <w:tcPr>
            <w:tcW w:w="708" w:type="dxa"/>
          </w:tcPr>
          <w:p w14:paraId="0C89DE8B"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r w:rsidRPr="00AE0E28">
              <w:rPr>
                <w:sz w:val="18"/>
              </w:rPr>
              <w:t>16.1</w:t>
            </w:r>
          </w:p>
        </w:tc>
        <w:tc>
          <w:tcPr>
            <w:tcW w:w="4237" w:type="dxa"/>
            <w:vMerge/>
          </w:tcPr>
          <w:p w14:paraId="202B2941"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i/>
                <w:sz w:val="18"/>
              </w:rPr>
            </w:pPr>
          </w:p>
        </w:tc>
      </w:tr>
      <w:tr w:rsidR="00F16190" w:rsidRPr="00AE0E28" w14:paraId="57EFD597"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7F1F6B43" w14:textId="77777777" w:rsidR="00F16190" w:rsidRPr="00AE0E28" w:rsidRDefault="00F16190" w:rsidP="00F16190">
            <w:pPr>
              <w:jc w:val="right"/>
              <w:rPr>
                <w:b w:val="0"/>
                <w:sz w:val="18"/>
              </w:rPr>
            </w:pPr>
            <w:r w:rsidRPr="00AE0E28">
              <w:rPr>
                <w:b w:val="0"/>
                <w:sz w:val="18"/>
              </w:rPr>
              <w:t>Chromium steel</w:t>
            </w:r>
          </w:p>
        </w:tc>
        <w:tc>
          <w:tcPr>
            <w:tcW w:w="1134" w:type="dxa"/>
            <w:vMerge/>
          </w:tcPr>
          <w:p w14:paraId="7362ECB0"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p>
        </w:tc>
        <w:tc>
          <w:tcPr>
            <w:tcW w:w="708" w:type="dxa"/>
          </w:tcPr>
          <w:p w14:paraId="351F05D0"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r w:rsidRPr="00AE0E28">
              <w:rPr>
                <w:sz w:val="18"/>
              </w:rPr>
              <w:t>8.04</w:t>
            </w:r>
          </w:p>
        </w:tc>
        <w:tc>
          <w:tcPr>
            <w:tcW w:w="4237" w:type="dxa"/>
            <w:vMerge/>
          </w:tcPr>
          <w:p w14:paraId="022EC95E"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i/>
                <w:sz w:val="18"/>
              </w:rPr>
            </w:pPr>
          </w:p>
        </w:tc>
      </w:tr>
      <w:tr w:rsidR="00F16190" w:rsidRPr="00AE0E28" w14:paraId="34863BC1" w14:textId="77777777" w:rsidTr="006B5342">
        <w:tc>
          <w:tcPr>
            <w:cnfStyle w:val="001000000000" w:firstRow="0" w:lastRow="0" w:firstColumn="1" w:lastColumn="0" w:oddVBand="0" w:evenVBand="0" w:oddHBand="0" w:evenHBand="0" w:firstRowFirstColumn="0" w:firstRowLastColumn="0" w:lastRowFirstColumn="0" w:lastRowLastColumn="0"/>
            <w:tcW w:w="2112" w:type="dxa"/>
          </w:tcPr>
          <w:p w14:paraId="26E1F5C6" w14:textId="77777777" w:rsidR="00F16190" w:rsidRPr="00AE0E28" w:rsidRDefault="00F16190" w:rsidP="00F16190">
            <w:pPr>
              <w:jc w:val="right"/>
              <w:rPr>
                <w:b w:val="0"/>
                <w:sz w:val="18"/>
              </w:rPr>
            </w:pPr>
            <w:r w:rsidRPr="00AE0E28">
              <w:rPr>
                <w:b w:val="0"/>
                <w:sz w:val="18"/>
              </w:rPr>
              <w:t>Zeolite powder</w:t>
            </w:r>
          </w:p>
        </w:tc>
        <w:tc>
          <w:tcPr>
            <w:tcW w:w="1134" w:type="dxa"/>
            <w:vMerge/>
          </w:tcPr>
          <w:p w14:paraId="459E7755"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p>
        </w:tc>
        <w:tc>
          <w:tcPr>
            <w:tcW w:w="708" w:type="dxa"/>
          </w:tcPr>
          <w:p w14:paraId="6B54DFE1"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r w:rsidRPr="00AE0E28">
              <w:rPr>
                <w:sz w:val="18"/>
              </w:rPr>
              <w:t>45.1</w:t>
            </w:r>
          </w:p>
        </w:tc>
        <w:tc>
          <w:tcPr>
            <w:tcW w:w="4237" w:type="dxa"/>
            <w:vMerge/>
          </w:tcPr>
          <w:p w14:paraId="321D9913"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i/>
                <w:sz w:val="18"/>
              </w:rPr>
            </w:pPr>
          </w:p>
        </w:tc>
      </w:tr>
      <w:tr w:rsidR="00F16190" w:rsidRPr="00AE0E28" w14:paraId="5B9616DF"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1CAF2A64" w14:textId="77777777" w:rsidR="00F16190" w:rsidRPr="00AE0E28" w:rsidRDefault="00F16190" w:rsidP="00F16190">
            <w:pPr>
              <w:jc w:val="right"/>
              <w:rPr>
                <w:b w:val="0"/>
                <w:sz w:val="18"/>
              </w:rPr>
            </w:pPr>
            <w:r w:rsidRPr="00AE0E28">
              <w:rPr>
                <w:b w:val="0"/>
                <w:sz w:val="18"/>
              </w:rPr>
              <w:t>Copper catalyst</w:t>
            </w:r>
          </w:p>
        </w:tc>
        <w:tc>
          <w:tcPr>
            <w:tcW w:w="1134" w:type="dxa"/>
          </w:tcPr>
          <w:p w14:paraId="06F9F88D"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proofErr w:type="gramStart"/>
            <w:r w:rsidRPr="00AE0E28">
              <w:rPr>
                <w:sz w:val="18"/>
              </w:rPr>
              <w:t>mg.kg</w:t>
            </w:r>
            <w:r w:rsidRPr="00AE0E28">
              <w:rPr>
                <w:sz w:val="18"/>
                <w:vertAlign w:val="subscript"/>
              </w:rPr>
              <w:t>CO</w:t>
            </w:r>
            <w:proofErr w:type="gramEnd"/>
            <w:r w:rsidRPr="00AE0E28">
              <w:rPr>
                <w:sz w:val="18"/>
                <w:vertAlign w:val="superscript"/>
              </w:rPr>
              <w:t>-1</w:t>
            </w:r>
          </w:p>
        </w:tc>
        <w:tc>
          <w:tcPr>
            <w:tcW w:w="708" w:type="dxa"/>
          </w:tcPr>
          <w:p w14:paraId="3EC0F1DE"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r w:rsidRPr="00AE0E28">
              <w:rPr>
                <w:sz w:val="18"/>
              </w:rPr>
              <w:t>2.15</w:t>
            </w:r>
          </w:p>
        </w:tc>
        <w:tc>
          <w:tcPr>
            <w:tcW w:w="4237" w:type="dxa"/>
          </w:tcPr>
          <w:p w14:paraId="0B0BB7C7" w14:textId="7E722A5B"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i/>
                <w:sz w:val="18"/>
              </w:rPr>
            </w:pPr>
            <w:r w:rsidRPr="00AE0E28">
              <w:rPr>
                <w:i/>
                <w:sz w:val="18"/>
              </w:rPr>
              <w:t>Review</w:t>
            </w:r>
            <w:r w:rsidRPr="00AE0E28">
              <w:rPr>
                <w:i/>
                <w:sz w:val="18"/>
              </w:rPr>
              <w:fldChar w:fldCharType="begin"/>
            </w:r>
            <w:r w:rsidR="005413B4">
              <w:rPr>
                <w:i/>
                <w:sz w:val="18"/>
              </w:rPr>
              <w:instrText xml:space="preserve"> ADDIN ZOTERO_ITEM CSL_CITATION {"citationID":"Z0rhxLo0","properties":{"formattedCitation":"\\super 160\\nosupersub{}","plainCitation":"160","noteIndex":0},"citationItems":[{"id":14068,"uris":["http://zotero.org/users/6423791/items/TS3JFBRR"],"itemData":{"id":14068,"type":"article-journal","abstract":"Climate neutrality is becoming a core long-term competitiveness asset within the aviation industry, as demonstrated by the several innovations and targets set within that sector, prior to and especially after the COVID-19 crisis. Ambitious timelines are set, involving important investment decisions to be taken in a 5-years horizon time. Here, we provide an in-depth review of alternative technologies for sustainable aviation revealed to date, which we classified into four main categories, namely i) biofuels, ii) electrofuels, iii) electric (battery-based), and iv) hydrogen aviation. Nine biofuel and nine electrofuel pathways were reviewed, for which we supply the detailed process flow picturing all input, output, and co-products generated. The market uptake and use of these co-products was also investigated, along with the overall international regulations and targets for future aviation. As most of the inventoried pathways require hydrogen, we further reviewed six existing and emerging carbon-free hydrogen production technologies. Our review also details the five key battery technologies available (lithium-ion, advanced lithium-ion, solid-state battery, lithium-sulfur, lithium-air) for aviation. A semi-quantitative ranking covering environmental-, economic-, and technological performance indicators has been established to guide the selection of promising routes. The possible configuration schemes for electric propulsion systems are documented and classified as: i) battery-based, ii) fuel cell-based and iii) turboelectric configurations. Our review studied these four categories of sustainable aviation systems as modular technologies, yet these still have to be used in a hybridized fashion with conventional fossil-based kerosene. This is among others due to an aromatics content below the standardized requirements for biofuels and electrofuels, to a too low energy storage capacity in the case of batteries, or a sub-optimal gas turbine engine in the case of cryogenic hydrogen. Yet, we found that the latter was the only available option, based on the current and emerging technologies reviewed, for long-range aviation completely decoupled of fossil-based hydrocarbon fuels. The various challenges and opportunities associated with all these technologies are summarized in this study.","container-title":"Progress in Energy and Combustion Science","DOI":"10.1016/j.pecs.2023.101073","ISSN":"0360-1285","journalAbbreviation":"Prog. Energy Combust. Sci.","language":"en","page":"101073","source":"ScienceDirect","title":"Biofuels, electrofuels, electric or hydrogen?: A review of current and emerging sustainable aviation systems","title-short":"Biofuels, electrofuels, electric or hydrogen?","volume":"96","author":[{"family":"Su-ungkavatin","given":"Pimchanok"},{"family":"Tiruta-Barna","given":"Ligia"},{"family":"Hamelin","given":"Lorie"}],"issued":{"date-parts":[["2023",5,1]]}}}],"schema":"https://github.com/citation-style-language/schema/raw/master/csl-citation.json"} </w:instrText>
            </w:r>
            <w:r w:rsidRPr="00AE0E28">
              <w:rPr>
                <w:i/>
                <w:sz w:val="18"/>
              </w:rPr>
              <w:fldChar w:fldCharType="separate"/>
            </w:r>
            <w:r w:rsidR="005413B4" w:rsidRPr="005413B4">
              <w:rPr>
                <w:rFonts w:ascii="Calibri" w:hAnsi="Calibri" w:cs="Calibri"/>
                <w:sz w:val="18"/>
                <w:szCs w:val="24"/>
                <w:vertAlign w:val="superscript"/>
              </w:rPr>
              <w:t>160</w:t>
            </w:r>
            <w:r w:rsidRPr="00AE0E28">
              <w:rPr>
                <w:i/>
                <w:sz w:val="18"/>
              </w:rPr>
              <w:fldChar w:fldCharType="end"/>
            </w:r>
          </w:p>
        </w:tc>
      </w:tr>
      <w:tr w:rsidR="00F16190" w:rsidRPr="00AE0E28" w14:paraId="488B50BB" w14:textId="77777777" w:rsidTr="006B5342">
        <w:tc>
          <w:tcPr>
            <w:cnfStyle w:val="001000000000" w:firstRow="0" w:lastRow="0" w:firstColumn="1" w:lastColumn="0" w:oddVBand="0" w:evenVBand="0" w:oddHBand="0" w:evenHBand="0" w:firstRowFirstColumn="0" w:firstRowLastColumn="0" w:lastRowFirstColumn="0" w:lastRowLastColumn="0"/>
            <w:tcW w:w="2112" w:type="dxa"/>
          </w:tcPr>
          <w:p w14:paraId="27F85117" w14:textId="77777777" w:rsidR="00F16190" w:rsidRPr="00AE0E28" w:rsidRDefault="00F16190" w:rsidP="00F16190">
            <w:pPr>
              <w:jc w:val="right"/>
              <w:rPr>
                <w:b w:val="0"/>
                <w:sz w:val="18"/>
              </w:rPr>
            </w:pPr>
            <w:r w:rsidRPr="00AE0E28">
              <w:rPr>
                <w:b w:val="0"/>
                <w:sz w:val="18"/>
              </w:rPr>
              <w:t>CuO</w:t>
            </w:r>
          </w:p>
        </w:tc>
        <w:tc>
          <w:tcPr>
            <w:tcW w:w="1134" w:type="dxa"/>
            <w:vMerge w:val="restart"/>
          </w:tcPr>
          <w:p w14:paraId="7C4B9E4B"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proofErr w:type="gramStart"/>
            <w:r w:rsidRPr="00AE0E28">
              <w:rPr>
                <w:sz w:val="18"/>
              </w:rPr>
              <w:t>kg.kg</w:t>
            </w:r>
            <w:r w:rsidRPr="00AE0E28">
              <w:rPr>
                <w:sz w:val="18"/>
                <w:vertAlign w:val="subscript"/>
              </w:rPr>
              <w:t>ca</w:t>
            </w:r>
            <w:proofErr w:type="gramEnd"/>
            <w:r w:rsidRPr="00AE0E28">
              <w:rPr>
                <w:sz w:val="18"/>
                <w:vertAlign w:val="superscript"/>
              </w:rPr>
              <w:t>-1</w:t>
            </w:r>
          </w:p>
        </w:tc>
        <w:tc>
          <w:tcPr>
            <w:tcW w:w="708" w:type="dxa"/>
          </w:tcPr>
          <w:p w14:paraId="7C049343"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r w:rsidRPr="00AE0E28">
              <w:rPr>
                <w:sz w:val="18"/>
              </w:rPr>
              <w:t>0.57</w:t>
            </w:r>
          </w:p>
        </w:tc>
        <w:tc>
          <w:tcPr>
            <w:tcW w:w="4237" w:type="dxa"/>
            <w:vMerge w:val="restart"/>
          </w:tcPr>
          <w:p w14:paraId="56926075" w14:textId="70E1FF01"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i/>
                <w:sz w:val="18"/>
              </w:rPr>
            </w:pPr>
            <w:r w:rsidRPr="00AE0E28">
              <w:rPr>
                <w:i/>
                <w:sz w:val="18"/>
              </w:rPr>
              <w:t xml:space="preserve">Proxy of WCS catalyst </w:t>
            </w:r>
            <w:r w:rsidRPr="00AE0E28">
              <w:rPr>
                <w:i/>
                <w:sz w:val="18"/>
                <w:szCs w:val="18"/>
              </w:rPr>
              <w:t>composition</w:t>
            </w:r>
            <w:r w:rsidRPr="00AE0E28">
              <w:rPr>
                <w:i/>
                <w:sz w:val="18"/>
                <w:szCs w:val="18"/>
              </w:rPr>
              <w:fldChar w:fldCharType="begin"/>
            </w:r>
            <w:r w:rsidR="005413B4">
              <w:rPr>
                <w:i/>
                <w:sz w:val="18"/>
                <w:szCs w:val="18"/>
              </w:rPr>
              <w:instrText xml:space="preserve"> ADDIN ZOTERO_ITEM CSL_CITATION {"citationID":"iKTimYVw","properties":{"formattedCitation":"\\super 239\\nosupersub{}","plainCitation":"239","noteIndex":0},"citationItems":[{"id":13040,"uris":["http://zotero.org/users/6423791/items/T5KA5JZB"],"itemData":{"id":13040,"type":"article-journal","abstract":"Within the context of carbon dioxide (CO2) utilization there is an increasing interest in using CO2 as a resource to produce sustainable liquid hydrocarbon fuels. When these fuels are produced by solely using solar energy they are labeled as solar fuels. In the recent discourse on solar fuels intuitive arguments are used to support the prospects of these fuels. This paper takes a quantitative approach to investigate some of the claims made in this discussion. We analyze the life cycle performance of various classes of solar fuel processes using diﬀerent primary energy and CO2 sources. We compare their eﬃcacy with respect to carbon mitigation with ubiquitous fossil-based fuels and conclude that producing liquid hydrocarbon fuels starting from CO2 by using existing technologies requires much more energy than existing fuels. An improvement in life cycle CO2 emissions is only found when solar energy and atmospheric CO2 are used. Producing fuels from CO2 is a very long-term niche at best, not the panacea suggested in the recent public discourse.","container-title":"Environmental Science &amp; Technology","DOI":"10.1021/es500191g","ISSN":"0013-936X, 1520-5851","issue":"12","journalAbbreviation":"Environ. Sci. Technol.","language":"en","page":"7111-7121","source":"DOI.org (Crossref)","title":"Energy and Climate Impacts of Producing Synthetic Hydrocarbon Fuels from CO &lt;sub&gt;2&lt;/sub&gt;","volume":"48","author":[{"family":"Giesen","given":"Coen","non-dropping-particle":"van der"},{"family":"Kleijn","given":"René"},{"family":"Kramer","given":"Gert Jan"}],"issued":{"date-parts":[["2014",6,17]]}}}],"schema":"https://github.com/citation-style-language/schema/raw/master/csl-citation.json"} </w:instrText>
            </w:r>
            <w:r w:rsidRPr="00AE0E28">
              <w:rPr>
                <w:i/>
                <w:sz w:val="18"/>
                <w:szCs w:val="18"/>
              </w:rPr>
              <w:fldChar w:fldCharType="separate"/>
            </w:r>
            <w:r w:rsidR="005413B4" w:rsidRPr="005413B4">
              <w:rPr>
                <w:rFonts w:ascii="Calibri" w:hAnsi="Calibri" w:cs="Calibri"/>
                <w:sz w:val="18"/>
                <w:szCs w:val="24"/>
                <w:vertAlign w:val="superscript"/>
              </w:rPr>
              <w:t>239</w:t>
            </w:r>
            <w:r w:rsidRPr="00AE0E28">
              <w:rPr>
                <w:i/>
                <w:sz w:val="18"/>
                <w:szCs w:val="18"/>
              </w:rPr>
              <w:fldChar w:fldCharType="end"/>
            </w:r>
          </w:p>
        </w:tc>
      </w:tr>
      <w:tr w:rsidR="00F16190" w:rsidRPr="00AE0E28" w14:paraId="07832E84"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23A4E2D0" w14:textId="77777777" w:rsidR="00F16190" w:rsidRPr="00AE0E28" w:rsidRDefault="00F16190" w:rsidP="00F16190">
            <w:pPr>
              <w:jc w:val="right"/>
              <w:rPr>
                <w:b w:val="0"/>
                <w:sz w:val="18"/>
              </w:rPr>
            </w:pPr>
            <w:r w:rsidRPr="00AE0E28">
              <w:rPr>
                <w:b w:val="0"/>
                <w:sz w:val="18"/>
              </w:rPr>
              <w:t>ZnO</w:t>
            </w:r>
          </w:p>
        </w:tc>
        <w:tc>
          <w:tcPr>
            <w:tcW w:w="1134" w:type="dxa"/>
            <w:vMerge/>
          </w:tcPr>
          <w:p w14:paraId="079E06FB"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p>
        </w:tc>
        <w:tc>
          <w:tcPr>
            <w:tcW w:w="708" w:type="dxa"/>
          </w:tcPr>
          <w:p w14:paraId="547E6E40"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r w:rsidRPr="00AE0E28">
              <w:rPr>
                <w:sz w:val="18"/>
              </w:rPr>
              <w:t>0.31</w:t>
            </w:r>
          </w:p>
        </w:tc>
        <w:tc>
          <w:tcPr>
            <w:tcW w:w="4237" w:type="dxa"/>
            <w:vMerge/>
          </w:tcPr>
          <w:p w14:paraId="11586764"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i/>
                <w:sz w:val="18"/>
              </w:rPr>
            </w:pPr>
          </w:p>
        </w:tc>
      </w:tr>
      <w:tr w:rsidR="00F16190" w:rsidRPr="00AE0E28" w14:paraId="007DCA1D" w14:textId="77777777" w:rsidTr="006B5342">
        <w:tc>
          <w:tcPr>
            <w:cnfStyle w:val="001000000000" w:firstRow="0" w:lastRow="0" w:firstColumn="1" w:lastColumn="0" w:oddVBand="0" w:evenVBand="0" w:oddHBand="0" w:evenHBand="0" w:firstRowFirstColumn="0" w:firstRowLastColumn="0" w:lastRowFirstColumn="0" w:lastRowLastColumn="0"/>
            <w:tcW w:w="2112" w:type="dxa"/>
          </w:tcPr>
          <w:p w14:paraId="4E9C207F" w14:textId="77777777" w:rsidR="00F16190" w:rsidRPr="00AE0E28" w:rsidRDefault="00F16190" w:rsidP="00F16190">
            <w:pPr>
              <w:jc w:val="right"/>
              <w:rPr>
                <w:b w:val="0"/>
                <w:sz w:val="18"/>
              </w:rPr>
            </w:pPr>
            <w:r w:rsidRPr="00AE0E28">
              <w:rPr>
                <w:b w:val="0"/>
                <w:sz w:val="18"/>
              </w:rPr>
              <w:t>Al</w:t>
            </w:r>
            <w:r w:rsidRPr="00AE0E28">
              <w:rPr>
                <w:b w:val="0"/>
                <w:sz w:val="18"/>
                <w:vertAlign w:val="subscript"/>
              </w:rPr>
              <w:t>2</w:t>
            </w:r>
            <w:r w:rsidRPr="00AE0E28">
              <w:rPr>
                <w:b w:val="0"/>
                <w:sz w:val="18"/>
              </w:rPr>
              <w:t>O</w:t>
            </w:r>
            <w:r w:rsidRPr="00AE0E28">
              <w:rPr>
                <w:b w:val="0"/>
                <w:sz w:val="18"/>
                <w:vertAlign w:val="subscript"/>
              </w:rPr>
              <w:t>3</w:t>
            </w:r>
          </w:p>
        </w:tc>
        <w:tc>
          <w:tcPr>
            <w:tcW w:w="1134" w:type="dxa"/>
            <w:vMerge/>
          </w:tcPr>
          <w:p w14:paraId="569777DC"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p>
        </w:tc>
        <w:tc>
          <w:tcPr>
            <w:tcW w:w="708" w:type="dxa"/>
          </w:tcPr>
          <w:p w14:paraId="0BDE16F4"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r w:rsidRPr="00AE0E28">
              <w:rPr>
                <w:sz w:val="18"/>
              </w:rPr>
              <w:t>0.11</w:t>
            </w:r>
          </w:p>
        </w:tc>
        <w:tc>
          <w:tcPr>
            <w:tcW w:w="4237" w:type="dxa"/>
            <w:vMerge/>
          </w:tcPr>
          <w:p w14:paraId="622354EC"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i/>
                <w:sz w:val="18"/>
              </w:rPr>
            </w:pPr>
          </w:p>
        </w:tc>
      </w:tr>
    </w:tbl>
    <w:p w14:paraId="6F119914" w14:textId="77C83F5A" w:rsidR="00F16190" w:rsidRPr="003F5DA8" w:rsidRDefault="00F16190" w:rsidP="006B5342">
      <w:pPr>
        <w:jc w:val="both"/>
      </w:pPr>
      <w:r w:rsidRPr="003F5DA8">
        <w:rPr>
          <w:sz w:val="18"/>
        </w:rPr>
        <w:t>The parameters present in this table were not retained in the sensitivity analysis, these were considered as constants.</w:t>
      </w:r>
    </w:p>
    <w:p w14:paraId="112A906D" w14:textId="77777777" w:rsidR="00F16190" w:rsidRPr="00160B86" w:rsidRDefault="00F16190" w:rsidP="00877BEE">
      <w:pPr>
        <w:pStyle w:val="Titre5"/>
      </w:pPr>
      <w:r w:rsidRPr="00160B86">
        <w:t>Methanation</w:t>
      </w:r>
    </w:p>
    <w:p w14:paraId="28F35853" w14:textId="161FE137" w:rsidR="00F16190" w:rsidRPr="003F5DA8" w:rsidRDefault="00F16190" w:rsidP="00F16190">
      <w:pPr>
        <w:jc w:val="both"/>
      </w:pPr>
      <w:r w:rsidRPr="003F5DA8">
        <w:t>Once the share of H</w:t>
      </w:r>
      <w:r w:rsidRPr="003F5DA8">
        <w:rPr>
          <w:vertAlign w:val="subscript"/>
        </w:rPr>
        <w:t>2</w:t>
      </w:r>
      <w:r w:rsidRPr="003F5DA8">
        <w:t xml:space="preserve"> and CO</w:t>
      </w:r>
      <w:r w:rsidRPr="003F5DA8">
        <w:rPr>
          <w:vertAlign w:val="subscript"/>
        </w:rPr>
        <w:t>2</w:t>
      </w:r>
      <w:r w:rsidRPr="003F5DA8">
        <w:t xml:space="preserve"> increased in shifted syngas, methanation is performed to convert the most of present CO</w:t>
      </w:r>
      <w:r w:rsidRPr="003F5DA8">
        <w:rPr>
          <w:vertAlign w:val="subscript"/>
        </w:rPr>
        <w:t>2</w:t>
      </w:r>
      <w:r w:rsidRPr="003F5DA8">
        <w:t>, CO and H</w:t>
      </w:r>
      <w:r w:rsidRPr="003F5DA8">
        <w:rPr>
          <w:vertAlign w:val="subscript"/>
        </w:rPr>
        <w:t>2</w:t>
      </w:r>
      <w:r w:rsidRPr="003F5DA8">
        <w:t xml:space="preserve"> into CH</w:t>
      </w:r>
      <w:r w:rsidRPr="003F5DA8">
        <w:rPr>
          <w:vertAlign w:val="subscript"/>
        </w:rPr>
        <w:t>4</w:t>
      </w:r>
      <w:r w:rsidRPr="003F5DA8">
        <w:t>. Methanation is also exothermic, and is usually ran at temperatures between 200-350°C and ambient pressure</w:t>
      </w:r>
      <w:r w:rsidRPr="003F5DA8">
        <w:fldChar w:fldCharType="begin"/>
      </w:r>
      <w:r w:rsidR="005413B4">
        <w:instrText xml:space="preserve"> ADDIN ZOTERO_ITEM CSL_CITATION {"citationID":"AvNjoyE4","properties":{"formattedCitation":"\\super 237\\nosupersub{}","plainCitation":"237","noteIndex":0},"citationItems":[{"id":13042,"uris":["http://zotero.org/users/6423791/items/9I4TW7D3"],"itemData":{"id":13042,"type":"article-journal","abstract":"Traditional fossil fuel overuse could lead to global warming and environmental pollution. As a renewable energy, biomass energy is a sustainable and low pollution carbon energy, which has a wide range of sources. Syngas production from biomass thermochemical conversion is a promising technology to realize effective utilization of the renewable energy. Syngas produced from gasification could be further converted into value-added chemicals via the method of Fischer-Tropsch synthesis. Syngas and CO2 methanation could transform renewable energy into feasible transport and high-density energy. However, tar formation and catalyst deactivation are the main problem during the biomass gasification and methanation. This review sheds light on the development of biomass gasification and syngas methanation. Firstly, we presented the common reactors and some other factors during gasification. Secondly, we provide a comprehensive introduction of the advanced active catalyst for gasification and syngas methanation. Finally, some representative large-scale and commercial plants and companies for biomass gasification were compared and discussed in details. Then the prospective developments in combination of gasification and methanation were concluded to give an outlook for biomass gasification and its downstream development.","container-title":"International Journal of Hydrogen Energy","DOI":"10.1016/j.ijhydene.2019.12.023","ISSN":"0360-3199","issue":"7","journalAbbreviation":"International Journal of Hydrogen Energy","language":"en","page":"4223-4243","source":"ScienceDirect","title":"Methanation of syngas from biomass gasification: An overview","title-short":"Methanation of syngas from biomass gasification","volume":"45","author":[{"family":"Ren","given":"Jie"},{"family":"Liu","given":"Yi-Ling"},{"family":"Zhao","given":"Xiao-Yan"},{"family":"Cao","given":"Jing-Pei"}],"issued":{"date-parts":[["2020",2,7]]}}}],"schema":"https://github.com/citation-style-language/schema/raw/master/csl-citation.json"} </w:instrText>
      </w:r>
      <w:r w:rsidRPr="003F5DA8">
        <w:fldChar w:fldCharType="separate"/>
      </w:r>
      <w:r w:rsidR="005413B4" w:rsidRPr="005413B4">
        <w:rPr>
          <w:rFonts w:ascii="Calibri" w:hAnsi="Calibri" w:cs="Calibri"/>
          <w:szCs w:val="24"/>
          <w:vertAlign w:val="superscript"/>
        </w:rPr>
        <w:t>237</w:t>
      </w:r>
      <w:r w:rsidRPr="003F5DA8">
        <w:fldChar w:fldCharType="end"/>
      </w:r>
      <w:r w:rsidRPr="003F5DA8">
        <w:t>. To simplify the model, it was assumed (i) a methanation temperature of 340°C, corresponding to WCS gas outlet and (ii) successive methanation of CO</w:t>
      </w:r>
      <w:r w:rsidRPr="003F5DA8">
        <w:rPr>
          <w:vertAlign w:val="subscript"/>
        </w:rPr>
        <w:t>2</w:t>
      </w:r>
      <w:r w:rsidRPr="003F5DA8">
        <w:t xml:space="preserve"> and CO</w:t>
      </w:r>
      <w:r w:rsidRPr="003F5DA8">
        <w:fldChar w:fldCharType="begin"/>
      </w:r>
      <w:r w:rsidR="005413B4">
        <w:instrText xml:space="preserve"> ADDIN ZOTERO_ITEM CSL_CITATION {"citationID":"NAQW2He2","properties":{"formattedCitation":"\\super 237\\nosupersub{}","plainCitation":"237","noteIndex":0},"citationItems":[{"id":13042,"uris":["http://zotero.org/users/6423791/items/9I4TW7D3"],"itemData":{"id":13042,"type":"article-journal","abstract":"Traditional fossil fuel overuse could lead to global warming and environmental pollution. As a renewable energy, biomass energy is a sustainable and low pollution carbon energy, which has a wide range of sources. Syngas production from biomass thermochemical conversion is a promising technology to realize effective utilization of the renewable energy. Syngas produced from gasification could be further converted into value-added chemicals via the method of Fischer-Tropsch synthesis. Syngas and CO2 methanation could transform renewable energy into feasible transport and high-density energy. However, tar formation and catalyst deactivation are the main problem during the biomass gasification and methanation. This review sheds light on the development of biomass gasification and syngas methanation. Firstly, we presented the common reactors and some other factors during gasification. Secondly, we provide a comprehensive introduction of the advanced active catalyst for gasification and syngas methanation. Finally, some representative large-scale and commercial plants and companies for biomass gasification were compared and discussed in details. Then the prospective developments in combination of gasification and methanation were concluded to give an outlook for biomass gasification and its downstream development.","container-title":"International Journal of Hydrogen Energy","DOI":"10.1016/j.ijhydene.2019.12.023","ISSN":"0360-3199","issue":"7","journalAbbreviation":"International Journal of Hydrogen Energy","language":"en","page":"4223-4243","source":"ScienceDirect","title":"Methanation of syngas from biomass gasification: An overview","title-short":"Methanation of syngas from biomass gasification","volume":"45","author":[{"family":"Ren","given":"Jie"},{"family":"Liu","given":"Yi-Ling"},{"family":"Zhao","given":"Xiao-Yan"},{"family":"Cao","given":"Jing-Pei"}],"issued":{"date-parts":[["2020",2,7]]}}}],"schema":"https://github.com/citation-style-language/schema/raw/master/csl-citation.json"} </w:instrText>
      </w:r>
      <w:r w:rsidRPr="003F5DA8">
        <w:fldChar w:fldCharType="separate"/>
      </w:r>
      <w:r w:rsidR="005413B4" w:rsidRPr="005413B4">
        <w:rPr>
          <w:rFonts w:ascii="Calibri" w:hAnsi="Calibri" w:cs="Calibri"/>
          <w:szCs w:val="24"/>
          <w:vertAlign w:val="superscript"/>
        </w:rPr>
        <w:t>237</w:t>
      </w:r>
      <w:r w:rsidRPr="003F5DA8">
        <w:fldChar w:fldCharType="end"/>
      </w:r>
      <w:r w:rsidRPr="003F5DA8">
        <w:t xml:space="preserve"> (in </w:t>
      </w:r>
      <w:r w:rsidRPr="00160B86">
        <w:t>this order</w:t>
      </w:r>
      <w:r>
        <w:t xml:space="preserve">; </w:t>
      </w:r>
      <w:r w:rsidRPr="00F16190">
        <w:rPr>
          <w:b/>
        </w:rPr>
        <w:fldChar w:fldCharType="begin"/>
      </w:r>
      <w:r w:rsidRPr="00F16190">
        <w:rPr>
          <w:b/>
        </w:rPr>
        <w:instrText xml:space="preserve"> REF _Ref144824863 \h </w:instrText>
      </w:r>
      <w:r>
        <w:rPr>
          <w:b/>
        </w:rPr>
        <w:instrText xml:space="preserve"> \* MERGEFORMAT </w:instrText>
      </w:r>
      <w:r w:rsidRPr="00F16190">
        <w:rPr>
          <w:b/>
        </w:rPr>
      </w:r>
      <w:r w:rsidRPr="00F16190">
        <w:rPr>
          <w:b/>
        </w:rPr>
        <w:fldChar w:fldCharType="separate"/>
      </w:r>
      <w:r w:rsidR="00F25F8C" w:rsidRPr="00F25F8C">
        <w:rPr>
          <w:b/>
        </w:rPr>
        <w:t xml:space="preserve">Equation </w:t>
      </w:r>
      <w:r w:rsidR="00F25F8C" w:rsidRPr="00F25F8C">
        <w:rPr>
          <w:b/>
          <w:noProof/>
        </w:rPr>
        <w:t>9</w:t>
      </w:r>
      <w:r w:rsidRPr="00F16190">
        <w:rPr>
          <w:b/>
        </w:rPr>
        <w:fldChar w:fldCharType="end"/>
      </w:r>
      <w:r>
        <w:t xml:space="preserve"> and </w:t>
      </w:r>
      <w:r w:rsidRPr="00F16190">
        <w:rPr>
          <w:b/>
        </w:rPr>
        <w:fldChar w:fldCharType="begin"/>
      </w:r>
      <w:r w:rsidRPr="00F16190">
        <w:rPr>
          <w:b/>
        </w:rPr>
        <w:instrText xml:space="preserve"> REF _Ref144824868 \h </w:instrText>
      </w:r>
      <w:r>
        <w:rPr>
          <w:b/>
        </w:rPr>
        <w:instrText xml:space="preserve"> \* MERGEFORMAT </w:instrText>
      </w:r>
      <w:r w:rsidRPr="00F16190">
        <w:rPr>
          <w:b/>
        </w:rPr>
      </w:r>
      <w:r w:rsidRPr="00F16190">
        <w:rPr>
          <w:b/>
        </w:rPr>
        <w:fldChar w:fldCharType="separate"/>
      </w:r>
      <w:r w:rsidR="00F25F8C" w:rsidRPr="00F25F8C">
        <w:rPr>
          <w:b/>
        </w:rPr>
        <w:t xml:space="preserve">Equation </w:t>
      </w:r>
      <w:r w:rsidR="00F25F8C" w:rsidRPr="00F25F8C">
        <w:rPr>
          <w:b/>
          <w:noProof/>
        </w:rPr>
        <w:t>10</w:t>
      </w:r>
      <w:r w:rsidRPr="00F16190">
        <w:rPr>
          <w:b/>
        </w:rPr>
        <w:fldChar w:fldCharType="end"/>
      </w:r>
      <w:r w:rsidRPr="00160B86">
        <w:t>).</w:t>
      </w:r>
      <w:r w:rsidRPr="003F5DA8">
        <w:t xml:space="preserve"> Similarly, to WCS, temperature in the methanation reactor was assumed constant, hence excess heat was partly recovered through heat exchanger as modeled in </w:t>
      </w:r>
      <w:r w:rsidRPr="00F16190">
        <w:rPr>
          <w:b/>
        </w:rPr>
        <w:t xml:space="preserve">section </w:t>
      </w:r>
      <w:r w:rsidR="000C6C37">
        <w:rPr>
          <w:b/>
        </w:rPr>
        <w:t xml:space="preserve">SI. </w:t>
      </w:r>
      <w:r w:rsidRPr="00F16190">
        <w:rPr>
          <w:b/>
        </w:rPr>
        <w:fldChar w:fldCharType="begin"/>
      </w:r>
      <w:r w:rsidRPr="00F16190">
        <w:rPr>
          <w:b/>
        </w:rPr>
        <w:instrText xml:space="preserve"> REF _Ref144807454 \r \h </w:instrText>
      </w:r>
      <w:r>
        <w:rPr>
          <w:b/>
        </w:rPr>
        <w:instrText xml:space="preserve"> \* MERGEFORMAT </w:instrText>
      </w:r>
      <w:r w:rsidRPr="00F16190">
        <w:rPr>
          <w:b/>
        </w:rPr>
      </w:r>
      <w:r w:rsidRPr="00F16190">
        <w:rPr>
          <w:b/>
        </w:rPr>
        <w:fldChar w:fldCharType="separate"/>
      </w:r>
      <w:r w:rsidR="00F25F8C">
        <w:rPr>
          <w:b/>
        </w:rPr>
        <w:t>4.1.6</w:t>
      </w:r>
      <w:r w:rsidRPr="00F16190">
        <w:rPr>
          <w:b/>
        </w:rPr>
        <w:fldChar w:fldCharType="end"/>
      </w:r>
      <w:r w:rsidRPr="003F5DA8">
        <w:t>. Additional H</w:t>
      </w:r>
      <w:r w:rsidRPr="003F5DA8">
        <w:rPr>
          <w:vertAlign w:val="subscript"/>
        </w:rPr>
        <w:t>2</w:t>
      </w:r>
      <w:r w:rsidRPr="003F5DA8">
        <w:t xml:space="preserve"> required to meet stoichiometric conditions was supplied through electrolysis, detailed in the next section. CO</w:t>
      </w:r>
      <w:r w:rsidRPr="003F5DA8">
        <w:rPr>
          <w:vertAlign w:val="subscript"/>
        </w:rPr>
        <w:t>2</w:t>
      </w:r>
      <w:r w:rsidRPr="003F5DA8">
        <w:t xml:space="preserve"> and CO methanation conversion efficiencies were derived from prospective assessments</w:t>
      </w:r>
      <w:r w:rsidRPr="003F5DA8">
        <w:fldChar w:fldCharType="begin"/>
      </w:r>
      <w:r w:rsidR="005413B4">
        <w:instrText xml:space="preserve"> ADDIN ZOTERO_ITEM CSL_CITATION {"citationID":"JMv8t7T6","properties":{"formattedCitation":"\\super 240\\nosupersub{}","plainCitation":"240","noteIndex":0},"citationItems":[{"id":12938,"uris":["http://zotero.org/users/6423791/items/A38JDL8H"],"itemData":{"id":12938,"type":"report","number":"0005","page":"313","publisher":"Energinet","title":"Technology Data - Renewable fuels","URL":"http://www.ens.dk/teknologikatalog","author":[{"literal":"Danish Energy Agency"}],"issued":{"date-parts":[["2022"]]}}}],"schema":"https://github.com/citation-style-language/schema/raw/master/csl-citation.json"} </w:instrText>
      </w:r>
      <w:r w:rsidRPr="003F5DA8">
        <w:fldChar w:fldCharType="separate"/>
      </w:r>
      <w:r w:rsidR="005413B4" w:rsidRPr="005413B4">
        <w:rPr>
          <w:rFonts w:ascii="Calibri" w:hAnsi="Calibri" w:cs="Calibri"/>
          <w:szCs w:val="24"/>
          <w:vertAlign w:val="superscript"/>
        </w:rPr>
        <w:t>240</w:t>
      </w:r>
      <w:r w:rsidRPr="003F5DA8">
        <w:fldChar w:fldCharType="end"/>
      </w:r>
      <w:r w:rsidRPr="003F5DA8">
        <w:t>. Facilities (in particular Ni-catalysis) and utilities were based on current synthetic natural gas (SNG) industrial production data</w:t>
      </w:r>
      <w:r w:rsidRPr="003F5DA8">
        <w:fldChar w:fldCharType="begin"/>
      </w:r>
      <w:r w:rsidR="005413B4">
        <w:instrText xml:space="preserve"> ADDIN ZOTERO_ITEM CSL_CITATION {"citationID":"1QOt7255","properties":{"formattedCitation":"\\super 241\\nosupersub{}","plainCitation":"241","noteIndex":0},"citationItems":[{"id":13021,"uris":["http://zotero.org/users/6423791/items/M4942M7Y"],"itemData":{"id":13021,"type":"article-journal","abstract":"Electricity generation from intermittent renewable sources is expected to increase rapidly in the next decades. Integrating renewable energy requires energy storage during low-demand periods and potential conversion of surplus electricity into other energy carriers. Power-to-Gas (P2G) is a promising technology due to its potential to provide large-scale and long-term energy storage. However, this technology has many system variations, and their environmental performances need to be evaluated and compared with conventional technologies before large-scale deployment. In this paper, we investigate the environmental performance of P2G using Life Cycle Assessment (LCA), and mainly focus on the following three aspects: (1) discussion of differences as consequence of the approach applied for CO2 Capture and Utilization (CCU); (2) evaluation of technology variations including supply of electricity, alternative system processes (electrolysis technologies and CO2 sources), product gases (hydrogen and methane), and comparison of these P2G systems with conventional technologies, and (3) investigation of further environmental impacts of P2G in addition to the impact of global warming potential. We argue that in case of P2M, system expansion provides more meaningful results than subdivision for CCU, since it reflects the added value of CO2 utilization providing electricity or cement with low GHG intensity. The results of system variations show that P2G can, depending on electricity supply and CO2 source, reduce GHG emission compared to conventional gas production technologies, and that P2H has higher potential of emission reduction than P2M. Concerning other impact categories, P2H can have lower impacts than conventional hydrogen production, while P2M most often has higher impacts than using conventional natural gas.","container-title":"Applied Energy","DOI":"10.1016/j.apenergy.2016.12.098","ISSN":"0306-2619","journalAbbreviation":"Applied Energy","language":"en","page":"326-338","source":"ScienceDirect","title":"Life Cycle Assessment of Power-to-Gas: Approaches, system variations and their environmental implications","title-short":"Life Cycle Assessment of Power-to-Gas","volume":"190","author":[{"family":"Zhang","given":"Xiaojin"},{"family":"Bauer","given":"Christian"},{"family":"Mutel","given":"Christopher L."},{"family":"Volkart","given":"Kathrin"}],"issued":{"date-parts":[["2017",3,15]]}}}],"schema":"https://github.com/citation-style-language/schema/raw/master/csl-citation.json"} </w:instrText>
      </w:r>
      <w:r w:rsidRPr="003F5DA8">
        <w:fldChar w:fldCharType="separate"/>
      </w:r>
      <w:r w:rsidR="005413B4" w:rsidRPr="005413B4">
        <w:rPr>
          <w:rFonts w:ascii="Calibri" w:hAnsi="Calibri" w:cs="Calibri"/>
          <w:szCs w:val="24"/>
          <w:vertAlign w:val="superscript"/>
        </w:rPr>
        <w:t>241</w:t>
      </w:r>
      <w:r w:rsidRPr="003F5DA8">
        <w:fldChar w:fldCharType="end"/>
      </w:r>
      <w:r w:rsidRPr="003F5DA8">
        <w:t xml:space="preserve"> and complemented with pilot-scale SNG from syngas (e.g. in Ren et al., 2020</w:t>
      </w:r>
      <w:r w:rsidRPr="003F5DA8">
        <w:fldChar w:fldCharType="begin"/>
      </w:r>
      <w:r w:rsidR="005413B4">
        <w:instrText xml:space="preserve"> ADDIN ZOTERO_ITEM CSL_CITATION {"citationID":"5NNqNFYo","properties":{"formattedCitation":"\\super 237\\nosupersub{}","plainCitation":"237","noteIndex":0},"citationItems":[{"id":13042,"uris":["http://zotero.org/users/6423791/items/9I4TW7D3"],"itemData":{"id":13042,"type":"article-journal","abstract":"Traditional fossil fuel overuse could lead to global warming and environmental pollution. As a renewable energy, biomass energy is a sustainable and low pollution carbon energy, which has a wide range of sources. Syngas production from biomass thermochemical conversion is a promising technology to realize effective utilization of the renewable energy. Syngas produced from gasification could be further converted into value-added chemicals via the method of Fischer-Tropsch synthesis. Syngas and CO2 methanation could transform renewable energy into feasible transport and high-density energy. However, tar formation and catalyst deactivation are the main problem during the biomass gasification and methanation. This review sheds light on the development of biomass gasification and syngas methanation. Firstly, we presented the common reactors and some other factors during gasification. Secondly, we provide a comprehensive introduction of the advanced active catalyst for gasification and syngas methanation. Finally, some representative large-scale and commercial plants and companies for biomass gasification were compared and discussed in details. Then the prospective developments in combination of gasification and methanation were concluded to give an outlook for biomass gasification and its downstream development.","container-title":"International Journal of Hydrogen Energy","DOI":"10.1016/j.ijhydene.2019.12.023","ISSN":"0360-3199","issue":"7","journalAbbreviation":"International Journal of Hydrogen Energy","language":"en","page":"4223-4243","source":"ScienceDirect","title":"Methanation of syngas from biomass gasification: An overview","title-short":"Methanation of syngas from biomass gasification","volume":"45","author":[{"family":"Ren","given":"Jie"},{"family":"Liu","given":"Yi-Ling"},{"family":"Zhao","given":"Xiao-Yan"},{"family":"Cao","given":"Jing-Pei"}],"issued":{"date-parts":[["2020",2,7]]}}}],"schema":"https://github.com/citation-style-language/schema/raw/master/csl-citation.json"} </w:instrText>
      </w:r>
      <w:r w:rsidRPr="003F5DA8">
        <w:fldChar w:fldCharType="separate"/>
      </w:r>
      <w:r w:rsidR="005413B4" w:rsidRPr="005413B4">
        <w:rPr>
          <w:rFonts w:ascii="Calibri" w:hAnsi="Calibri" w:cs="Calibri"/>
          <w:szCs w:val="24"/>
          <w:vertAlign w:val="superscript"/>
        </w:rPr>
        <w:t>237</w:t>
      </w:r>
      <w:r w:rsidRPr="003F5DA8">
        <w:fldChar w:fldCharType="end"/>
      </w:r>
      <w:r w:rsidRPr="003F5DA8">
        <w:t>) when available (see</w:t>
      </w:r>
      <w:r>
        <w:rPr>
          <w:b/>
        </w:rPr>
        <w:t xml:space="preserve"> </w:t>
      </w:r>
      <w:r w:rsidRPr="00F16190">
        <w:rPr>
          <w:b/>
        </w:rPr>
        <w:fldChar w:fldCharType="begin"/>
      </w:r>
      <w:r w:rsidRPr="00F16190">
        <w:rPr>
          <w:b/>
        </w:rPr>
        <w:instrText xml:space="preserve"> REF _Ref144824979 \h  \* MERGEFORMAT </w:instrText>
      </w:r>
      <w:r w:rsidRPr="00F16190">
        <w:rPr>
          <w:b/>
        </w:rPr>
      </w:r>
      <w:r w:rsidRPr="00F16190">
        <w:rPr>
          <w:b/>
        </w:rPr>
        <w:fldChar w:fldCharType="separate"/>
      </w:r>
      <w:r w:rsidR="00F25F8C" w:rsidRPr="00F25F8C">
        <w:rPr>
          <w:b/>
        </w:rPr>
        <w:t xml:space="preserve">Table SI. </w:t>
      </w:r>
      <w:r w:rsidR="00F25F8C" w:rsidRPr="00F25F8C">
        <w:rPr>
          <w:b/>
          <w:noProof/>
        </w:rPr>
        <w:t>59</w:t>
      </w:r>
      <w:r w:rsidRPr="00F16190">
        <w:rPr>
          <w:b/>
        </w:rPr>
        <w:fldChar w:fldCharType="end"/>
      </w:r>
      <w:r w:rsidRPr="003F5DA8">
        <w:t>). Mass and energy balances are available</w:t>
      </w:r>
      <w:r>
        <w:t xml:space="preserve"> in</w:t>
      </w:r>
      <w:r w:rsidRPr="003F5DA8">
        <w:t xml:space="preserve"> </w:t>
      </w:r>
      <w:r w:rsidR="00AE0E28" w:rsidRPr="00AE0E28">
        <w:rPr>
          <w:i/>
        </w:rPr>
        <w:t>B.GA_module spreadsheet</w:t>
      </w:r>
      <w:r w:rsidRPr="003F5DA8">
        <w:t>.</w:t>
      </w:r>
    </w:p>
    <w:p w14:paraId="1A9040DF" w14:textId="0004D4B0" w:rsidR="00F16190" w:rsidRDefault="00F16190" w:rsidP="006B5342">
      <w:pPr>
        <w:pStyle w:val="Lgende"/>
        <w:jc w:val="left"/>
        <w:rPr>
          <w:b w:val="0"/>
        </w:rPr>
      </w:pPr>
      <w:bookmarkStart w:id="260" w:name="_Ref144824863"/>
      <w:r>
        <w:t xml:space="preserve">Equation </w:t>
      </w:r>
      <w:r>
        <w:fldChar w:fldCharType="begin"/>
      </w:r>
      <w:r>
        <w:instrText xml:space="preserve"> SEQ Equation \* ARABIC </w:instrText>
      </w:r>
      <w:r>
        <w:fldChar w:fldCharType="separate"/>
      </w:r>
      <w:r w:rsidR="00F25F8C">
        <w:rPr>
          <w:noProof/>
        </w:rPr>
        <w:t>9</w:t>
      </w:r>
      <w:r>
        <w:fldChar w:fldCharType="end"/>
      </w:r>
      <w:bookmarkEnd w:id="260"/>
    </w:p>
    <w:p w14:paraId="2B1560E3" w14:textId="77777777" w:rsidR="00F16190" w:rsidRPr="007C2AE0" w:rsidRDefault="00F16190" w:rsidP="006B5342">
      <w:pPr>
        <w:rPr>
          <w:b/>
          <w:sz w:val="20"/>
          <w:szCs w:val="20"/>
        </w:rPr>
      </w:pPr>
      <w:r w:rsidRPr="007C2AE0">
        <w:rPr>
          <w:b/>
          <w:sz w:val="20"/>
          <w:szCs w:val="20"/>
        </w:rPr>
        <w:t>Methanation 1</w:t>
      </w:r>
    </w:p>
    <w:p w14:paraId="6E32AEF1" w14:textId="77777777" w:rsidR="00F16190" w:rsidRPr="006B5342" w:rsidRDefault="00827449" w:rsidP="006B5342">
      <m:oMathPara>
        <m:oMathParaPr>
          <m:jc m:val="left"/>
        </m:oMathParaPr>
        <m:oMath>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4H</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2H</m:t>
              </m:r>
            </m:e>
            <m:sub>
              <m:r>
                <w:rPr>
                  <w:rFonts w:ascii="Cambria Math" w:hAnsi="Cambria Math"/>
                </w:rPr>
                <m:t>2</m:t>
              </m:r>
            </m:sub>
          </m:sSub>
          <m:r>
            <w:rPr>
              <w:rFonts w:ascii="Cambria Math" w:hAnsi="Cambria Math"/>
            </w:rPr>
            <m:t>O</m:t>
          </m:r>
        </m:oMath>
      </m:oMathPara>
    </w:p>
    <w:p w14:paraId="296E4285" w14:textId="5388D4D9" w:rsidR="00F16190" w:rsidRDefault="00F16190" w:rsidP="006B5342">
      <w:pPr>
        <w:pStyle w:val="Lgende"/>
        <w:jc w:val="left"/>
        <w:rPr>
          <w:b w:val="0"/>
        </w:rPr>
      </w:pPr>
      <w:bookmarkStart w:id="261" w:name="_Ref144824868"/>
      <w:r>
        <w:t xml:space="preserve">Equation </w:t>
      </w:r>
      <w:r>
        <w:fldChar w:fldCharType="begin"/>
      </w:r>
      <w:r>
        <w:instrText xml:space="preserve"> SEQ Equation \* ARABIC </w:instrText>
      </w:r>
      <w:r>
        <w:fldChar w:fldCharType="separate"/>
      </w:r>
      <w:r w:rsidR="00F25F8C">
        <w:rPr>
          <w:noProof/>
        </w:rPr>
        <w:t>10</w:t>
      </w:r>
      <w:r>
        <w:fldChar w:fldCharType="end"/>
      </w:r>
      <w:bookmarkEnd w:id="261"/>
    </w:p>
    <w:p w14:paraId="05FAC29C" w14:textId="77777777" w:rsidR="00F16190" w:rsidRPr="007C2AE0" w:rsidRDefault="00F16190" w:rsidP="006B5342">
      <w:pPr>
        <w:rPr>
          <w:b/>
          <w:sz w:val="20"/>
        </w:rPr>
      </w:pPr>
      <w:r w:rsidRPr="007C2AE0">
        <w:rPr>
          <w:b/>
          <w:sz w:val="20"/>
        </w:rPr>
        <w:t>Methanation 2</w:t>
      </w:r>
    </w:p>
    <w:p w14:paraId="0008896E" w14:textId="77777777" w:rsidR="00F16190" w:rsidRPr="006B5342" w:rsidRDefault="00F16190" w:rsidP="006B5342">
      <m:oMathPara>
        <m:oMathParaPr>
          <m:jc m:val="left"/>
        </m:oMathParaPr>
        <m:oMath>
          <m:r>
            <w:rPr>
              <w:rFonts w:ascii="Cambria Math" w:hAnsi="Cambria Math"/>
            </w:rPr>
            <m:t>CO+</m:t>
          </m:r>
          <m:sSub>
            <m:sSubPr>
              <m:ctrlPr>
                <w:rPr>
                  <w:rFonts w:ascii="Cambria Math" w:hAnsi="Cambria Math"/>
                  <w:i/>
                </w:rPr>
              </m:ctrlPr>
            </m:sSubPr>
            <m:e>
              <m:r>
                <w:rPr>
                  <w:rFonts w:ascii="Cambria Math" w:hAnsi="Cambria Math"/>
                </w:rPr>
                <m:t>3H</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CH</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14:paraId="56842799" w14:textId="133D29B0" w:rsidR="00F16190" w:rsidRDefault="00F16190" w:rsidP="00F16190">
      <w:pPr>
        <w:jc w:val="both"/>
      </w:pPr>
      <w:r w:rsidRPr="003F5DA8">
        <w:t>Methanized gas final cooling was modeled as detailed in</w:t>
      </w:r>
      <w:r>
        <w:t xml:space="preserve"> </w:t>
      </w:r>
      <w:r w:rsidRPr="00F16190">
        <w:rPr>
          <w:b/>
        </w:rPr>
        <w:t xml:space="preserve">section </w:t>
      </w:r>
      <w:r w:rsidR="000C6C37">
        <w:rPr>
          <w:b/>
        </w:rPr>
        <w:t xml:space="preserve">SI. </w:t>
      </w:r>
      <w:r w:rsidRPr="00F16190">
        <w:rPr>
          <w:b/>
        </w:rPr>
        <w:fldChar w:fldCharType="begin"/>
      </w:r>
      <w:r w:rsidRPr="00F16190">
        <w:rPr>
          <w:b/>
        </w:rPr>
        <w:instrText xml:space="preserve"> REF _Ref144825030 \r \h </w:instrText>
      </w:r>
      <w:r>
        <w:rPr>
          <w:b/>
        </w:rPr>
        <w:instrText xml:space="preserve"> \* MERGEFORMAT </w:instrText>
      </w:r>
      <w:r w:rsidRPr="00F16190">
        <w:rPr>
          <w:b/>
        </w:rPr>
      </w:r>
      <w:r w:rsidRPr="00F16190">
        <w:rPr>
          <w:b/>
        </w:rPr>
        <w:fldChar w:fldCharType="separate"/>
      </w:r>
      <w:r w:rsidR="00F25F8C">
        <w:rPr>
          <w:b/>
        </w:rPr>
        <w:t>4.1.4</w:t>
      </w:r>
      <w:r w:rsidRPr="00F16190">
        <w:rPr>
          <w:b/>
        </w:rPr>
        <w:fldChar w:fldCharType="end"/>
      </w:r>
      <w:r w:rsidRPr="003F5DA8">
        <w:t>, assuming all water is removed and further treated (see</w:t>
      </w:r>
      <w:r>
        <w:rPr>
          <w:b/>
        </w:rPr>
        <w:t xml:space="preserve"> </w:t>
      </w:r>
      <w:r w:rsidRPr="00F16190">
        <w:rPr>
          <w:b/>
        </w:rPr>
        <w:fldChar w:fldCharType="begin"/>
      </w:r>
      <w:r w:rsidRPr="00F16190">
        <w:rPr>
          <w:b/>
        </w:rPr>
        <w:instrText xml:space="preserve"> REF _Ref144825074 \h  \* MERGEFORMAT </w:instrText>
      </w:r>
      <w:r w:rsidRPr="00F16190">
        <w:rPr>
          <w:b/>
        </w:rPr>
      </w:r>
      <w:r w:rsidRPr="00F16190">
        <w:rPr>
          <w:b/>
        </w:rPr>
        <w:fldChar w:fldCharType="separate"/>
      </w:r>
      <w:r w:rsidR="00F25F8C" w:rsidRPr="00F25F8C">
        <w:rPr>
          <w:b/>
        </w:rPr>
        <w:t xml:space="preserve">Table SI. </w:t>
      </w:r>
      <w:r w:rsidR="00F25F8C" w:rsidRPr="00F25F8C">
        <w:rPr>
          <w:b/>
          <w:noProof/>
        </w:rPr>
        <w:t>62</w:t>
      </w:r>
      <w:r w:rsidRPr="00F16190">
        <w:rPr>
          <w:b/>
        </w:rPr>
        <w:fldChar w:fldCharType="end"/>
      </w:r>
      <w:r w:rsidRPr="003F5DA8">
        <w:t>). The optimistic assumption of this modeling is that future improvements will enable N</w:t>
      </w:r>
      <w:r w:rsidRPr="003F5DA8">
        <w:rPr>
          <w:vertAlign w:val="subscript"/>
        </w:rPr>
        <w:t>2</w:t>
      </w:r>
      <w:r w:rsidRPr="003F5DA8">
        <w:t>-rich syngas methanation, while currently this is not technically feasible</w:t>
      </w:r>
      <w:r w:rsidRPr="003F5DA8">
        <w:fldChar w:fldCharType="begin"/>
      </w:r>
      <w:r w:rsidR="005413B4">
        <w:instrText xml:space="preserve"> ADDIN ZOTERO_ITEM CSL_CITATION {"citationID":"1uz5a3Lz","properties":{"formattedCitation":"\\super 240\\nosupersub{}","plainCitation":"240","noteIndex":0},"citationItems":[{"id":12938,"uris":["http://zotero.org/users/6423791/items/A38JDL8H"],"itemData":{"id":12938,"type":"report","number":"0005","page":"313","publisher":"Energinet","title":"Technology Data - Renewable fuels","URL":"http://www.ens.dk/teknologikatalog","author":[{"literal":"Danish Energy Agency"}],"issued":{"date-parts":[["2022"]]}}}],"schema":"https://github.com/citation-style-language/schema/raw/master/csl-citation.json"} </w:instrText>
      </w:r>
      <w:r w:rsidRPr="003F5DA8">
        <w:fldChar w:fldCharType="separate"/>
      </w:r>
      <w:r w:rsidR="005413B4" w:rsidRPr="005413B4">
        <w:rPr>
          <w:rFonts w:ascii="Calibri" w:hAnsi="Calibri" w:cs="Calibri"/>
          <w:szCs w:val="24"/>
          <w:vertAlign w:val="superscript"/>
        </w:rPr>
        <w:t>240</w:t>
      </w:r>
      <w:r w:rsidRPr="003F5DA8">
        <w:fldChar w:fldCharType="end"/>
      </w:r>
      <w:r w:rsidRPr="003F5DA8">
        <w:t>.</w:t>
      </w:r>
    </w:p>
    <w:p w14:paraId="26F00335" w14:textId="69167BC1" w:rsidR="00F16190" w:rsidRPr="0046308C" w:rsidRDefault="00F16190" w:rsidP="006B5342">
      <w:pPr>
        <w:pStyle w:val="Lgende"/>
        <w:jc w:val="left"/>
        <w:rPr>
          <w:b w:val="0"/>
          <w:i/>
        </w:rPr>
      </w:pPr>
      <w:bookmarkStart w:id="262" w:name="_Ref144824979"/>
      <w:bookmarkStart w:id="263" w:name="_Toc134537620"/>
      <w:bookmarkStart w:id="264" w:name="_Toc151967943"/>
      <w:r>
        <w:t xml:space="preserve">Table SI. </w:t>
      </w:r>
      <w:r>
        <w:fldChar w:fldCharType="begin"/>
      </w:r>
      <w:r>
        <w:instrText xml:space="preserve"> SEQ Table_SI. \* ARABIC </w:instrText>
      </w:r>
      <w:r>
        <w:fldChar w:fldCharType="separate"/>
      </w:r>
      <w:r w:rsidR="00F25F8C">
        <w:rPr>
          <w:noProof/>
        </w:rPr>
        <w:t>59</w:t>
      </w:r>
      <w:r>
        <w:fldChar w:fldCharType="end"/>
      </w:r>
      <w:bookmarkEnd w:id="262"/>
      <w:r>
        <w:t xml:space="preserve"> </w:t>
      </w:r>
      <w:r w:rsidRPr="007C2AE0">
        <w:t xml:space="preserve">– </w:t>
      </w:r>
      <w:r>
        <w:t>M</w:t>
      </w:r>
      <w:r w:rsidRPr="007C2AE0">
        <w:t>ethanation building and catalysis modeling parameters</w:t>
      </w:r>
      <w:bookmarkEnd w:id="263"/>
      <w:bookmarkEnd w:id="264"/>
    </w:p>
    <w:tbl>
      <w:tblPr>
        <w:tblStyle w:val="Tableausimple2"/>
        <w:tblW w:w="0" w:type="auto"/>
        <w:tblLook w:val="04A0" w:firstRow="1" w:lastRow="0" w:firstColumn="1" w:lastColumn="0" w:noHBand="0" w:noVBand="1"/>
      </w:tblPr>
      <w:tblGrid>
        <w:gridCol w:w="1507"/>
        <w:gridCol w:w="1119"/>
        <w:gridCol w:w="643"/>
        <w:gridCol w:w="3708"/>
      </w:tblGrid>
      <w:tr w:rsidR="00F16190" w:rsidRPr="00AE0E28" w14:paraId="2A693E09"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0B7CDF0" w14:textId="77777777" w:rsidR="00F16190" w:rsidRPr="00AE0E28" w:rsidRDefault="00F16190" w:rsidP="00F16190">
            <w:pPr>
              <w:jc w:val="right"/>
              <w:rPr>
                <w:sz w:val="18"/>
              </w:rPr>
            </w:pPr>
            <w:r w:rsidRPr="00AE0E28">
              <w:rPr>
                <w:sz w:val="18"/>
              </w:rPr>
              <w:t>Parameter</w:t>
            </w:r>
          </w:p>
        </w:tc>
        <w:tc>
          <w:tcPr>
            <w:tcW w:w="0" w:type="auto"/>
          </w:tcPr>
          <w:p w14:paraId="0664472F" w14:textId="77777777" w:rsidR="00F16190" w:rsidRPr="00AE0E28" w:rsidRDefault="00F16190" w:rsidP="00F16190">
            <w:pPr>
              <w:cnfStyle w:val="100000000000" w:firstRow="1" w:lastRow="0" w:firstColumn="0" w:lastColumn="0" w:oddVBand="0" w:evenVBand="0" w:oddHBand="0" w:evenHBand="0" w:firstRowFirstColumn="0" w:firstRowLastColumn="0" w:lastRowFirstColumn="0" w:lastRowLastColumn="0"/>
              <w:rPr>
                <w:sz w:val="18"/>
              </w:rPr>
            </w:pPr>
            <w:r w:rsidRPr="00AE0E28">
              <w:rPr>
                <w:sz w:val="18"/>
              </w:rPr>
              <w:t>Unit</w:t>
            </w:r>
          </w:p>
        </w:tc>
        <w:tc>
          <w:tcPr>
            <w:tcW w:w="0" w:type="auto"/>
          </w:tcPr>
          <w:p w14:paraId="500B8521" w14:textId="77777777" w:rsidR="00F16190" w:rsidRPr="00AE0E28" w:rsidRDefault="00F16190" w:rsidP="00F16190">
            <w:pPr>
              <w:cnfStyle w:val="100000000000" w:firstRow="1" w:lastRow="0" w:firstColumn="0" w:lastColumn="0" w:oddVBand="0" w:evenVBand="0" w:oddHBand="0" w:evenHBand="0" w:firstRowFirstColumn="0" w:firstRowLastColumn="0" w:lastRowFirstColumn="0" w:lastRowLastColumn="0"/>
              <w:rPr>
                <w:sz w:val="18"/>
              </w:rPr>
            </w:pPr>
            <w:r w:rsidRPr="00AE0E28">
              <w:rPr>
                <w:sz w:val="18"/>
              </w:rPr>
              <w:t>Value</w:t>
            </w:r>
          </w:p>
        </w:tc>
        <w:tc>
          <w:tcPr>
            <w:tcW w:w="0" w:type="auto"/>
          </w:tcPr>
          <w:p w14:paraId="64FF1F86" w14:textId="77777777" w:rsidR="00F16190" w:rsidRPr="00AE0E28" w:rsidRDefault="00F16190" w:rsidP="00F16190">
            <w:pPr>
              <w:cnfStyle w:val="100000000000" w:firstRow="1" w:lastRow="0" w:firstColumn="0" w:lastColumn="0" w:oddVBand="0" w:evenVBand="0" w:oddHBand="0" w:evenHBand="0" w:firstRowFirstColumn="0" w:firstRowLastColumn="0" w:lastRowFirstColumn="0" w:lastRowLastColumn="0"/>
              <w:rPr>
                <w:sz w:val="18"/>
              </w:rPr>
            </w:pPr>
            <w:r w:rsidRPr="00AE0E28">
              <w:rPr>
                <w:sz w:val="18"/>
              </w:rPr>
              <w:t>Comment</w:t>
            </w:r>
          </w:p>
        </w:tc>
      </w:tr>
      <w:tr w:rsidR="00F16190" w:rsidRPr="00AE0E28" w14:paraId="09381E83"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27D9765" w14:textId="77777777" w:rsidR="00F16190" w:rsidRPr="00AE0E28" w:rsidRDefault="00F16190" w:rsidP="00F16190">
            <w:pPr>
              <w:jc w:val="right"/>
              <w:rPr>
                <w:b w:val="0"/>
                <w:sz w:val="18"/>
              </w:rPr>
            </w:pPr>
            <w:r w:rsidRPr="00AE0E28">
              <w:rPr>
                <w:b w:val="0"/>
                <w:sz w:val="18"/>
              </w:rPr>
              <w:t>Steel</w:t>
            </w:r>
          </w:p>
        </w:tc>
        <w:tc>
          <w:tcPr>
            <w:tcW w:w="0" w:type="auto"/>
          </w:tcPr>
          <w:p w14:paraId="4725B30A"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proofErr w:type="gramStart"/>
            <w:r w:rsidRPr="00AE0E28">
              <w:rPr>
                <w:sz w:val="18"/>
              </w:rPr>
              <w:t>g.Nm</w:t>
            </w:r>
            <w:proofErr w:type="gramEnd"/>
            <w:r w:rsidRPr="00AE0E28">
              <w:rPr>
                <w:sz w:val="18"/>
                <w:vertAlign w:val="superscript"/>
              </w:rPr>
              <w:t>-3</w:t>
            </w:r>
            <w:r w:rsidRPr="00AE0E28">
              <w:rPr>
                <w:sz w:val="18"/>
                <w:vertAlign w:val="subscript"/>
              </w:rPr>
              <w:t>SNG</w:t>
            </w:r>
          </w:p>
        </w:tc>
        <w:tc>
          <w:tcPr>
            <w:tcW w:w="0" w:type="auto"/>
          </w:tcPr>
          <w:p w14:paraId="0C526D10"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r w:rsidRPr="00AE0E28">
              <w:rPr>
                <w:sz w:val="18"/>
              </w:rPr>
              <w:t>1.88</w:t>
            </w:r>
          </w:p>
        </w:tc>
        <w:tc>
          <w:tcPr>
            <w:tcW w:w="0" w:type="auto"/>
            <w:vMerge w:val="restart"/>
          </w:tcPr>
          <w:p w14:paraId="512EBDE7" w14:textId="6A12EE74"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i/>
                <w:sz w:val="18"/>
              </w:rPr>
            </w:pPr>
            <w:r w:rsidRPr="00AE0E28">
              <w:rPr>
                <w:i/>
                <w:sz w:val="18"/>
              </w:rPr>
              <w:t>Proxy for methanation reactor and buildin</w:t>
            </w:r>
            <w:r w:rsidRPr="00AE0E28">
              <w:rPr>
                <w:i/>
                <w:sz w:val="18"/>
                <w:szCs w:val="18"/>
              </w:rPr>
              <w:t>g</w:t>
            </w:r>
            <w:r w:rsidRPr="00AE0E28">
              <w:rPr>
                <w:i/>
                <w:sz w:val="18"/>
                <w:szCs w:val="18"/>
              </w:rPr>
              <w:fldChar w:fldCharType="begin"/>
            </w:r>
            <w:r w:rsidR="005413B4">
              <w:rPr>
                <w:i/>
                <w:sz w:val="18"/>
                <w:szCs w:val="18"/>
              </w:rPr>
              <w:instrText xml:space="preserve"> ADDIN ZOTERO_ITEM CSL_CITATION {"citationID":"PkdZTMMN","properties":{"formattedCitation":"\\super 48,241\\nosupersub{}","plainCitation":"48,241","noteIndex":0},"citationItems":[{"id":13212,"uris":["http://zotero.org/users/6423791/items/ANAMP6NH"],"itemData":{"id":13212,"type":"webpage","language":"en-US","title":"ecoinvent databases","URL":"https://ecoinvent.org/","author":[{"literal":"ecoinvent"}],"accessed":{"date-parts":[["2022",5,1]]},"issued":{"date-parts":[["2022"]]}}},{"id":13021,"uris":["http://zotero.org/users/6423791/items/M4942M7Y"],"itemData":{"id":13021,"type":"article-journal","abstract":"Electricity generation from intermittent renewable sources is expected to increase rapidly in the next decades. Integrating renewable energy requires energy storage during low-demand periods and potential conversion of surplus electricity into other energy carriers. Power-to-Gas (P2G) is a promising technology due to its potential to provide large-scale and long-term energy storage. However, this technology has many system variations, and their environmental performances need to be evaluated and compared with conventional technologies before large-scale deployment. In this paper, we investigate the environmental performance of P2G using Life Cycle Assessment (LCA), and mainly focus on the following three aspects: (1) discussion of differences as consequence of the approach applied for CO2 Capture and Utilization (CCU); (2) evaluation of technology variations including supply of electricity, alternative system processes (electrolysis technologies and CO2 sources), product gases (hydrogen and methane), and comparison of these P2G systems with conventional technologies, and (3) investigation of further environmental impacts of P2G in addition to the impact of global warming potential. We argue that in case of P2M, system expansion provides more meaningful results than subdivision for CCU, since it reflects the added value of CO2 utilization providing electricity or cement with low GHG intensity. The results of system variations show that P2G can, depending on electricity supply and CO2 source, reduce GHG emission compared to conventional gas production technologies, and that P2H has higher potential of emission reduction than P2M. Concerning other impact categories, P2H can have lower impacts than conventional hydrogen production, while P2M most often has higher impacts than using conventional natural gas.","container-title":"Applied Energy","DOI":"10.1016/j.apenergy.2016.12.098","ISSN":"0306-2619","journalAbbreviation":"Applied Energy","language":"en","page":"326-338","source":"ScienceDirect","title":"Life Cycle Assessment of Power-to-Gas: Approaches, system variations and their environmental implications","title-short":"Life Cycle Assessment of Power-to-Gas","volume":"190","author":[{"family":"Zhang","given":"Xiaojin"},{"family":"Bauer","given":"Christian"},{"family":"Mutel","given":"Christopher L."},{"family":"Volkart","given":"Kathrin"}],"issued":{"date-parts":[["2017",3,15]]}}}],"schema":"https://github.com/citation-style-language/schema/raw/master/csl-citation.json"} </w:instrText>
            </w:r>
            <w:r w:rsidRPr="00AE0E28">
              <w:rPr>
                <w:i/>
                <w:sz w:val="18"/>
                <w:szCs w:val="18"/>
              </w:rPr>
              <w:fldChar w:fldCharType="separate"/>
            </w:r>
            <w:r w:rsidR="005413B4" w:rsidRPr="005413B4">
              <w:rPr>
                <w:rFonts w:ascii="Calibri" w:hAnsi="Calibri" w:cs="Calibri"/>
                <w:sz w:val="18"/>
                <w:szCs w:val="24"/>
                <w:vertAlign w:val="superscript"/>
              </w:rPr>
              <w:t>48,241</w:t>
            </w:r>
            <w:r w:rsidRPr="00AE0E28">
              <w:rPr>
                <w:i/>
                <w:sz w:val="18"/>
                <w:szCs w:val="18"/>
              </w:rPr>
              <w:fldChar w:fldCharType="end"/>
            </w:r>
          </w:p>
        </w:tc>
      </w:tr>
      <w:tr w:rsidR="00F16190" w:rsidRPr="00AE0E28" w14:paraId="2840E96A"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48F74807" w14:textId="77777777" w:rsidR="00F16190" w:rsidRPr="00AE0E28" w:rsidRDefault="00F16190" w:rsidP="00F16190">
            <w:pPr>
              <w:jc w:val="right"/>
              <w:rPr>
                <w:b w:val="0"/>
                <w:sz w:val="18"/>
              </w:rPr>
            </w:pPr>
            <w:r w:rsidRPr="00AE0E28">
              <w:rPr>
                <w:b w:val="0"/>
                <w:sz w:val="18"/>
              </w:rPr>
              <w:t>Industrial furnace</w:t>
            </w:r>
          </w:p>
        </w:tc>
        <w:tc>
          <w:tcPr>
            <w:tcW w:w="0" w:type="auto"/>
          </w:tcPr>
          <w:p w14:paraId="51931679"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proofErr w:type="gramStart"/>
            <w:r w:rsidRPr="00AE0E28">
              <w:rPr>
                <w:sz w:val="18"/>
              </w:rPr>
              <w:t>unit.Nm</w:t>
            </w:r>
            <w:proofErr w:type="gramEnd"/>
            <w:r w:rsidRPr="00AE0E28">
              <w:rPr>
                <w:sz w:val="18"/>
                <w:vertAlign w:val="superscript"/>
              </w:rPr>
              <w:t>-3</w:t>
            </w:r>
            <w:r w:rsidRPr="00AE0E28">
              <w:rPr>
                <w:sz w:val="18"/>
                <w:vertAlign w:val="subscript"/>
              </w:rPr>
              <w:t>SNG</w:t>
            </w:r>
          </w:p>
        </w:tc>
        <w:tc>
          <w:tcPr>
            <w:tcW w:w="0" w:type="auto"/>
          </w:tcPr>
          <w:p w14:paraId="12D2094F"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r w:rsidRPr="00AE0E28">
              <w:rPr>
                <w:sz w:val="18"/>
              </w:rPr>
              <w:t>2.1e</w:t>
            </w:r>
            <w:r w:rsidRPr="00AE0E28">
              <w:rPr>
                <w:sz w:val="18"/>
                <w:vertAlign w:val="superscript"/>
              </w:rPr>
              <w:t>-8</w:t>
            </w:r>
          </w:p>
        </w:tc>
        <w:tc>
          <w:tcPr>
            <w:tcW w:w="0" w:type="auto"/>
            <w:vMerge/>
          </w:tcPr>
          <w:p w14:paraId="1EBBDE03"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i/>
                <w:sz w:val="18"/>
              </w:rPr>
            </w:pPr>
          </w:p>
        </w:tc>
      </w:tr>
      <w:tr w:rsidR="00F16190" w:rsidRPr="00AE0E28" w14:paraId="74EC7238"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D47568E" w14:textId="77777777" w:rsidR="00F16190" w:rsidRPr="00AE0E28" w:rsidRDefault="00F16190" w:rsidP="00F16190">
            <w:pPr>
              <w:jc w:val="right"/>
              <w:rPr>
                <w:b w:val="0"/>
                <w:sz w:val="18"/>
              </w:rPr>
            </w:pPr>
            <w:r w:rsidRPr="00AE0E28">
              <w:rPr>
                <w:b w:val="0"/>
                <w:sz w:val="18"/>
              </w:rPr>
              <w:t>Catalyst</w:t>
            </w:r>
          </w:p>
        </w:tc>
        <w:tc>
          <w:tcPr>
            <w:tcW w:w="0" w:type="auto"/>
          </w:tcPr>
          <w:p w14:paraId="14D077A1"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proofErr w:type="gramStart"/>
            <w:r w:rsidRPr="00AE0E28">
              <w:rPr>
                <w:sz w:val="18"/>
              </w:rPr>
              <w:t>mg.Nm</w:t>
            </w:r>
            <w:proofErr w:type="gramEnd"/>
            <w:r w:rsidRPr="00AE0E28">
              <w:rPr>
                <w:sz w:val="18"/>
                <w:vertAlign w:val="superscript"/>
              </w:rPr>
              <w:t>-3</w:t>
            </w:r>
            <w:r w:rsidRPr="00AE0E28">
              <w:rPr>
                <w:sz w:val="18"/>
                <w:vertAlign w:val="subscript"/>
              </w:rPr>
              <w:t>SNG</w:t>
            </w:r>
          </w:p>
        </w:tc>
        <w:tc>
          <w:tcPr>
            <w:tcW w:w="0" w:type="auto"/>
          </w:tcPr>
          <w:p w14:paraId="1C8A2080"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r w:rsidRPr="00AE0E28">
              <w:rPr>
                <w:sz w:val="18"/>
              </w:rPr>
              <w:t>9.3</w:t>
            </w:r>
          </w:p>
        </w:tc>
        <w:tc>
          <w:tcPr>
            <w:tcW w:w="0" w:type="auto"/>
            <w:vMerge w:val="restart"/>
          </w:tcPr>
          <w:p w14:paraId="7A0D8D23" w14:textId="7905C26E"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i/>
                <w:sz w:val="18"/>
              </w:rPr>
            </w:pPr>
            <w:r w:rsidRPr="00AE0E28">
              <w:rPr>
                <w:i/>
                <w:sz w:val="18"/>
              </w:rPr>
              <w:t xml:space="preserve">Proxy of methanation catalyst </w:t>
            </w:r>
            <w:r w:rsidRPr="00AE0E28">
              <w:rPr>
                <w:i/>
                <w:sz w:val="18"/>
                <w:szCs w:val="18"/>
              </w:rPr>
              <w:t>composition</w:t>
            </w:r>
            <w:r w:rsidRPr="00AE0E28">
              <w:rPr>
                <w:i/>
                <w:sz w:val="18"/>
                <w:szCs w:val="18"/>
              </w:rPr>
              <w:fldChar w:fldCharType="begin"/>
            </w:r>
            <w:r w:rsidR="005413B4">
              <w:rPr>
                <w:i/>
                <w:sz w:val="18"/>
                <w:szCs w:val="18"/>
              </w:rPr>
              <w:instrText xml:space="preserve"> ADDIN ZOTERO_ITEM CSL_CITATION {"citationID":"ctaEYOMk","properties":{"formattedCitation":"\\super 48,241\\nosupersub{}","plainCitation":"48,241","noteIndex":0},"citationItems":[{"id":13212,"uris":["http://zotero.org/users/6423791/items/ANAMP6NH"],"itemData":{"id":13212,"type":"webpage","language":"en-US","title":"ecoinvent databases","URL":"https://ecoinvent.org/","author":[{"literal":"ecoinvent"}],"accessed":{"date-parts":[["2022",5,1]]},"issued":{"date-parts":[["2022"]]}}},{"id":13021,"uris":["http://zotero.org/users/6423791/items/M4942M7Y"],"itemData":{"id":13021,"type":"article-journal","abstract":"Electricity generation from intermittent renewable sources is expected to increase rapidly in the next decades. Integrating renewable energy requires energy storage during low-demand periods and potential conversion of surplus electricity into other energy carriers. Power-to-Gas (P2G) is a promising technology due to its potential to provide large-scale and long-term energy storage. However, this technology has many system variations, and their environmental performances need to be evaluated and compared with conventional technologies before large-scale deployment. In this paper, we investigate the environmental performance of P2G using Life Cycle Assessment (LCA), and mainly focus on the following three aspects: (1) discussion of differences as consequence of the approach applied for CO2 Capture and Utilization (CCU); (2) evaluation of technology variations including supply of electricity, alternative system processes (electrolysis technologies and CO2 sources), product gases (hydrogen and methane), and comparison of these P2G systems with conventional technologies, and (3) investigation of further environmental impacts of P2G in addition to the impact of global warming potential. We argue that in case of P2M, system expansion provides more meaningful results than subdivision for CCU, since it reflects the added value of CO2 utilization providing electricity or cement with low GHG intensity. The results of system variations show that P2G can, depending on electricity supply and CO2 source, reduce GHG emission compared to conventional gas production technologies, and that P2H has higher potential of emission reduction than P2M. Concerning other impact categories, P2H can have lower impacts than conventional hydrogen production, while P2M most often has higher impacts than using conventional natural gas.","container-title":"Applied Energy","DOI":"10.1016/j.apenergy.2016.12.098","ISSN":"0306-2619","journalAbbreviation":"Applied Energy","language":"en","page":"326-338","source":"ScienceDirect","title":"Life Cycle Assessment of Power-to-Gas: Approaches, system variations and their environmental implications","title-short":"Life Cycle Assessment of Power-to-Gas","volume":"190","author":[{"family":"Zhang","given":"Xiaojin"},{"family":"Bauer","given":"Christian"},{"family":"Mutel","given":"Christopher L."},{"family":"Volkart","given":"Kathrin"}],"issued":{"date-parts":[["2017",3,15]]}}}],"schema":"https://github.com/citation-style-language/schema/raw/master/csl-citation.json"} </w:instrText>
            </w:r>
            <w:r w:rsidRPr="00AE0E28">
              <w:rPr>
                <w:i/>
                <w:sz w:val="18"/>
                <w:szCs w:val="18"/>
              </w:rPr>
              <w:fldChar w:fldCharType="separate"/>
            </w:r>
            <w:r w:rsidR="005413B4" w:rsidRPr="005413B4">
              <w:rPr>
                <w:rFonts w:ascii="Calibri" w:hAnsi="Calibri" w:cs="Calibri"/>
                <w:sz w:val="18"/>
                <w:szCs w:val="24"/>
                <w:vertAlign w:val="superscript"/>
              </w:rPr>
              <w:t>48,241</w:t>
            </w:r>
            <w:r w:rsidRPr="00AE0E28">
              <w:rPr>
                <w:i/>
                <w:sz w:val="18"/>
                <w:szCs w:val="18"/>
              </w:rPr>
              <w:fldChar w:fldCharType="end"/>
            </w:r>
          </w:p>
        </w:tc>
      </w:tr>
      <w:tr w:rsidR="00F16190" w:rsidRPr="00AE0E28" w14:paraId="7CA2D83E"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2DE6CDF3" w14:textId="77777777" w:rsidR="00F16190" w:rsidRPr="00AE0E28" w:rsidRDefault="00F16190" w:rsidP="00F16190">
            <w:pPr>
              <w:jc w:val="right"/>
              <w:rPr>
                <w:b w:val="0"/>
                <w:sz w:val="18"/>
              </w:rPr>
            </w:pPr>
            <w:r w:rsidRPr="00AE0E28">
              <w:rPr>
                <w:b w:val="0"/>
                <w:sz w:val="18"/>
              </w:rPr>
              <w:t>Ni</w:t>
            </w:r>
          </w:p>
        </w:tc>
        <w:tc>
          <w:tcPr>
            <w:tcW w:w="0" w:type="auto"/>
            <w:vMerge w:val="restart"/>
          </w:tcPr>
          <w:p w14:paraId="0A77A3A5"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r w:rsidRPr="00AE0E28">
              <w:rPr>
                <w:sz w:val="18"/>
              </w:rPr>
              <w:t>%</w:t>
            </w:r>
            <w:r w:rsidRPr="00AE0E28">
              <w:rPr>
                <w:sz w:val="18"/>
                <w:vertAlign w:val="subscript"/>
              </w:rPr>
              <w:t>catalyst</w:t>
            </w:r>
          </w:p>
        </w:tc>
        <w:tc>
          <w:tcPr>
            <w:tcW w:w="0" w:type="auto"/>
          </w:tcPr>
          <w:p w14:paraId="2ACDA58B"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r w:rsidRPr="00AE0E28">
              <w:rPr>
                <w:sz w:val="18"/>
              </w:rPr>
              <w:t>19%</w:t>
            </w:r>
          </w:p>
        </w:tc>
        <w:tc>
          <w:tcPr>
            <w:tcW w:w="0" w:type="auto"/>
            <w:vMerge/>
          </w:tcPr>
          <w:p w14:paraId="2E548C9B"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i/>
                <w:sz w:val="18"/>
              </w:rPr>
            </w:pPr>
          </w:p>
        </w:tc>
      </w:tr>
      <w:tr w:rsidR="00F16190" w:rsidRPr="00AE0E28" w14:paraId="1448E0FA"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E4EBCBC" w14:textId="77777777" w:rsidR="00F16190" w:rsidRPr="00AE0E28" w:rsidRDefault="00F16190" w:rsidP="00F16190">
            <w:pPr>
              <w:jc w:val="right"/>
              <w:rPr>
                <w:b w:val="0"/>
                <w:sz w:val="18"/>
              </w:rPr>
            </w:pPr>
            <w:r w:rsidRPr="00AE0E28">
              <w:rPr>
                <w:b w:val="0"/>
                <w:sz w:val="18"/>
              </w:rPr>
              <w:t>Al alloy</w:t>
            </w:r>
          </w:p>
        </w:tc>
        <w:tc>
          <w:tcPr>
            <w:tcW w:w="0" w:type="auto"/>
            <w:vMerge/>
          </w:tcPr>
          <w:p w14:paraId="7DAB35A9"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p>
        </w:tc>
        <w:tc>
          <w:tcPr>
            <w:tcW w:w="0" w:type="auto"/>
          </w:tcPr>
          <w:p w14:paraId="2C368B88"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r w:rsidRPr="00AE0E28">
              <w:rPr>
                <w:sz w:val="18"/>
              </w:rPr>
              <w:t>81%</w:t>
            </w:r>
          </w:p>
        </w:tc>
        <w:tc>
          <w:tcPr>
            <w:tcW w:w="0" w:type="auto"/>
            <w:vMerge/>
          </w:tcPr>
          <w:p w14:paraId="4393B30D"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i/>
                <w:sz w:val="18"/>
              </w:rPr>
            </w:pPr>
          </w:p>
        </w:tc>
      </w:tr>
      <w:tr w:rsidR="00F16190" w:rsidRPr="00AE0E28" w14:paraId="1B865993"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4AEB95D6" w14:textId="77777777" w:rsidR="00F16190" w:rsidRPr="00AE0E28" w:rsidRDefault="00F16190" w:rsidP="00F16190">
            <w:pPr>
              <w:jc w:val="right"/>
              <w:rPr>
                <w:b w:val="0"/>
                <w:sz w:val="18"/>
              </w:rPr>
            </w:pPr>
            <w:r w:rsidRPr="00AE0E28">
              <w:rPr>
                <w:b w:val="0"/>
                <w:sz w:val="18"/>
              </w:rPr>
              <w:t>Zn</w:t>
            </w:r>
          </w:p>
        </w:tc>
        <w:tc>
          <w:tcPr>
            <w:tcW w:w="0" w:type="auto"/>
          </w:tcPr>
          <w:p w14:paraId="4AE0035D"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proofErr w:type="gramStart"/>
            <w:r w:rsidRPr="00AE0E28">
              <w:rPr>
                <w:sz w:val="18"/>
              </w:rPr>
              <w:t>g.Nm</w:t>
            </w:r>
            <w:proofErr w:type="gramEnd"/>
            <w:r w:rsidRPr="00AE0E28">
              <w:rPr>
                <w:sz w:val="18"/>
                <w:vertAlign w:val="superscript"/>
              </w:rPr>
              <w:t>-3</w:t>
            </w:r>
            <w:r w:rsidRPr="00AE0E28">
              <w:rPr>
                <w:sz w:val="18"/>
                <w:vertAlign w:val="subscript"/>
              </w:rPr>
              <w:t>SNG</w:t>
            </w:r>
          </w:p>
        </w:tc>
        <w:tc>
          <w:tcPr>
            <w:tcW w:w="0" w:type="auto"/>
          </w:tcPr>
          <w:p w14:paraId="0EEDF1B6"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r w:rsidRPr="00AE0E28">
              <w:rPr>
                <w:sz w:val="18"/>
              </w:rPr>
              <w:t>1.87</w:t>
            </w:r>
          </w:p>
        </w:tc>
        <w:tc>
          <w:tcPr>
            <w:tcW w:w="0" w:type="auto"/>
            <w:vMerge/>
          </w:tcPr>
          <w:p w14:paraId="595E8E4F"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i/>
                <w:sz w:val="18"/>
              </w:rPr>
            </w:pPr>
          </w:p>
        </w:tc>
      </w:tr>
    </w:tbl>
    <w:p w14:paraId="0C270CF6" w14:textId="77777777" w:rsidR="00F16190" w:rsidRPr="003F5DA8" w:rsidRDefault="00F16190" w:rsidP="006B5342">
      <w:pPr>
        <w:jc w:val="both"/>
      </w:pPr>
      <w:r w:rsidRPr="003F5DA8">
        <w:rPr>
          <w:sz w:val="18"/>
        </w:rPr>
        <w:t>The parameters present in this table were not retained in the sensitivity analysis, these were considered as constants.</w:t>
      </w:r>
    </w:p>
    <w:p w14:paraId="285DFFCD" w14:textId="77777777" w:rsidR="00F16190" w:rsidRPr="0046308C" w:rsidRDefault="00F16190" w:rsidP="00877BEE">
      <w:pPr>
        <w:pStyle w:val="Titre5"/>
      </w:pPr>
      <w:r w:rsidRPr="0046308C">
        <w:lastRenderedPageBreak/>
        <w:t>Electrolysis</w:t>
      </w:r>
    </w:p>
    <w:p w14:paraId="392B1B16" w14:textId="5D049E7F" w:rsidR="00F16190" w:rsidRPr="003F5DA8" w:rsidRDefault="00F16190" w:rsidP="00F16190">
      <w:pPr>
        <w:jc w:val="both"/>
        <w:rPr>
          <w:sz w:val="28"/>
        </w:rPr>
      </w:pPr>
      <w:r w:rsidRPr="003F5DA8">
        <w:t>H</w:t>
      </w:r>
      <w:r w:rsidRPr="003F5DA8">
        <w:rPr>
          <w:vertAlign w:val="subscript"/>
        </w:rPr>
        <w:t>2</w:t>
      </w:r>
      <w:r w:rsidRPr="003F5DA8">
        <w:t xml:space="preserve"> production from electrolysis was modeled as in Lodato et al., 2022</w:t>
      </w:r>
      <w:r w:rsidRPr="003F5DA8">
        <w:fldChar w:fldCharType="begin"/>
      </w:r>
      <w:r w:rsidR="00827449">
        <w:instrText xml:space="preserve"> ADDIN ZOTERO_ITEM CSL_CITATION {"citationID":"Wsov0ec8","properties":{"formattedCitation":"\\super 6\\nosupersub{}","plainCitation":"6","noteIndex":0},"citationItems":[{"id":13623,"uris":["http://zotero.org/users/6423791/items/NEF2RYU2"],"itemData":{"id":13623,"type":"article-journal","abstract":"Methane is a versatile and storable energy carrier, which is likely to play an important role in the European transition towards a low fossil carbon energy sector. We investigate the potentials for meeting regional methane demands through conversion of local residual bioresources for supply of bio-based CH4. We have developed a tiered assessment framework involving i) allocation of residual and constrained bioresources to conversion pathways based on physical and biochemical properties, ii) life cycle assessment (LCA) of technology conversion pathways through process-oriented parameterisation of the LCA model, and iii) LCA modelling of system-level technology implementation scenarios for quantification of regional potentials for bio-based CH4 supply and environmental savings, in view of current uses of the same bioresources. Two main technology conversion pathways are included: gasification and anaerobic digestion, both with hydrogen enhancement. The latter was also considered with water scrubbing upgrading. The framework is implemented for the French region, Occitania, with a residual bioresource potential of 48 TWh·y−1 (distributed on 41 different bioresources), and an annual methane demand of 17.5 TWh·y−1, currently supplied by natural gas. The assessment results clearly demonstrate that utilisation of available residual bioresources has tremendous potential both for covering current gas demands in the region (up to about seven times in some scenarios) but also for a reduction in climate change impacts from the region (up to about 37%).","container-title":"Applied Energy","DOI":"10.1016/j.apenergy.2022.119568","ISSN":"0306-2619","journalAbbreviation":"Appl. Energy","language":"en","page":"119568","source":"ScienceDirect","title":"Towards sustainable methane supply from local bioresources: Anaerobic digestion, gasification, and gas upgrading","title-short":"Towards sustainable methane supply from local bioresources","volume":"323","author":[{"family":"Lodato","given":"Concetta"},{"family":"Hamelin","given":"Lorie"},{"family":"Tonini","given":"Davide"},{"family":"Astrup","given":"Thomas Fruergaard"}],"issued":{"date-parts":[["2022",10,1]]}}}],"schema":"https://github.com/citation-style-language/schema/raw/master/csl-citation.json"} </w:instrText>
      </w:r>
      <w:r w:rsidRPr="003F5DA8">
        <w:fldChar w:fldCharType="separate"/>
      </w:r>
      <w:r w:rsidR="00682E10" w:rsidRPr="00682E10">
        <w:rPr>
          <w:rFonts w:ascii="Calibri" w:hAnsi="Calibri" w:cs="Calibri"/>
          <w:szCs w:val="24"/>
          <w:vertAlign w:val="superscript"/>
        </w:rPr>
        <w:t>6</w:t>
      </w:r>
      <w:r w:rsidRPr="003F5DA8">
        <w:fldChar w:fldCharType="end"/>
      </w:r>
      <w:r w:rsidRPr="003F5DA8">
        <w:t>. An alkaline-based set-up was chosen as already commercially available (80°C, 30 bar). The energy conversion efficiency was parameterized (see</w:t>
      </w:r>
      <w:r w:rsidR="004D7AB5">
        <w:t xml:space="preserve"> </w:t>
      </w:r>
      <w:r w:rsidR="004D7AB5" w:rsidRPr="004D7AB5">
        <w:rPr>
          <w:b/>
        </w:rPr>
        <w:fldChar w:fldCharType="begin"/>
      </w:r>
      <w:r w:rsidR="004D7AB5" w:rsidRPr="004D7AB5">
        <w:rPr>
          <w:b/>
        </w:rPr>
        <w:instrText xml:space="preserve"> REF _Ref144826360 \h </w:instrText>
      </w:r>
      <w:r w:rsidR="004D7AB5">
        <w:rPr>
          <w:b/>
        </w:rPr>
        <w:instrText xml:space="preserve"> \* MERGEFORMAT </w:instrText>
      </w:r>
      <w:r w:rsidR="004D7AB5" w:rsidRPr="004D7AB5">
        <w:rPr>
          <w:b/>
        </w:rPr>
      </w:r>
      <w:r w:rsidR="004D7AB5" w:rsidRPr="004D7AB5">
        <w:rPr>
          <w:b/>
        </w:rPr>
        <w:fldChar w:fldCharType="separate"/>
      </w:r>
      <w:r w:rsidR="00F25F8C" w:rsidRPr="00F25F8C">
        <w:rPr>
          <w:b/>
        </w:rPr>
        <w:t xml:space="preserve">Table SI. </w:t>
      </w:r>
      <w:r w:rsidR="00F25F8C" w:rsidRPr="00F25F8C">
        <w:rPr>
          <w:b/>
          <w:noProof/>
        </w:rPr>
        <w:t>70</w:t>
      </w:r>
      <w:r w:rsidR="004D7AB5" w:rsidRPr="004D7AB5">
        <w:rPr>
          <w:b/>
        </w:rPr>
        <w:fldChar w:fldCharType="end"/>
      </w:r>
      <w:r w:rsidRPr="003F5DA8">
        <w:t>) and assumed to include all the other (usually neglectable) electricity requirements (e.g. for compression). Gas and water storages and direct emissions were neglected. Electrolysis installations inventory were derived from an existing pilot plant</w:t>
      </w:r>
      <w:r w:rsidRPr="003F5DA8">
        <w:fldChar w:fldCharType="begin"/>
      </w:r>
      <w:r w:rsidR="005413B4">
        <w:instrText xml:space="preserve"> ADDIN ZOTERO_ITEM CSL_CITATION {"citationID":"Qt4eXyts","properties":{"formattedCitation":"\\super 242\\nosupersub{}","plainCitation":"242","noteIndex":0},"citationItems":[{"id":13047,"uris":["http://zotero.org/users/6423791/items/4C7PKAD3"],"itemData":{"id":13047,"type":"article-journal","abstract":"Alkaline water electrolysis has been in the spotlight for green H2 production using electricity generated from renewable energy because of its high technology readiness level and low investment. However, commercialization of alkaline water electrolysis is challenging because of the low current density. Therefore, a techno-economic and environmental assessment was conducted for green H2 production by alkaline water electrolysis with experimental data from the advanced alkaline water electrolysis system of the Korea Institute of Energy Research (KIER) to identify the potential of this technology. Based on techno-economic analysis results, the stack cost and unit electricity price must be below 0.035 $ kWh−1 and 406 $ kW−1, respectively, to make this technology cost-competitive compared to the conventional H2 production method (&lt; 2 $ kgH2−1). Furthermore, CO2 emissions of 30.7, 17.4, 7.04, and 3.12 kgCO2-eq kgH2−1 were obtained for the current, 2030, 2050, and renewable Korean electricity mix scenarios, respectively, indicating that both scenarios (Korean electricity mix in 2050 and renewable) have lower CO2 emissions than the conventional H2 production method (11.5 kgCO2-eq kgH2−1). In addition, environmental impact reductions of 89.8%, 83.6%, 65.9%, and 91.0% for CO2 emissions, stratospheric ozone depletion, fine particulate matter formation, and fossil resource scarcity, respectively, were obtained for the renewable scenario compared to the current Korean electricity mix. Therefore, the electricity source has significant effects on the economic feasibility and environmental impacts for green H2 production.","container-title":"Journal of Environmental Chemical Engineering","DOI":"10.1016/j.jece.2021.106349","ISSN":"2213-3437","issue":"6","journalAbbreviation":"Journal of Environmental Chemical Engineering","language":"en","page":"106349","source":"ScienceDirect","title":"Integrative techno-economic and environmental assessment for green H2 production by alkaline water electrolysis based on experimental data","volume":"9","author":[{"family":"Lee","given":"Boreum"},{"family":"Cho","given":"Hyun-Seok"},{"family":"Kim","given":"Heehyang"},{"family":"Lim","given":"Dongjun"},{"family":"Cho","given":"Wonchul"},{"family":"Kim","given":"Chang-Hee"},{"family":"Lim","given":"Hankwon"}],"issued":{"date-parts":[["2021",12,1]]}}}],"schema":"https://github.com/citation-style-language/schema/raw/master/csl-citation.json"} </w:instrText>
      </w:r>
      <w:r w:rsidRPr="003F5DA8">
        <w:fldChar w:fldCharType="separate"/>
      </w:r>
      <w:r w:rsidR="005413B4" w:rsidRPr="005413B4">
        <w:rPr>
          <w:rFonts w:ascii="Calibri" w:hAnsi="Calibri" w:cs="Calibri"/>
          <w:szCs w:val="24"/>
          <w:vertAlign w:val="superscript"/>
        </w:rPr>
        <w:t>242</w:t>
      </w:r>
      <w:r w:rsidRPr="003F5DA8">
        <w:fldChar w:fldCharType="end"/>
      </w:r>
      <w:r w:rsidRPr="003F5DA8">
        <w:t>. Excess LT heat from the energy balance was assumed partly recovered (</w:t>
      </w:r>
      <w:r>
        <w:t xml:space="preserve">as in </w:t>
      </w:r>
      <w:r w:rsidRPr="00F16190">
        <w:rPr>
          <w:b/>
        </w:rPr>
        <w:t xml:space="preserve">section </w:t>
      </w:r>
      <w:r w:rsidR="000C6C37">
        <w:rPr>
          <w:b/>
        </w:rPr>
        <w:t xml:space="preserve">SI. </w:t>
      </w:r>
      <w:r w:rsidRPr="00F16190">
        <w:rPr>
          <w:b/>
        </w:rPr>
        <w:fldChar w:fldCharType="begin"/>
      </w:r>
      <w:r w:rsidRPr="00F16190">
        <w:rPr>
          <w:b/>
        </w:rPr>
        <w:instrText xml:space="preserve"> REF _Ref144807454 \r \h </w:instrText>
      </w:r>
      <w:r>
        <w:rPr>
          <w:b/>
        </w:rPr>
        <w:instrText xml:space="preserve"> \* MERGEFORMAT </w:instrText>
      </w:r>
      <w:r w:rsidRPr="00F16190">
        <w:rPr>
          <w:b/>
        </w:rPr>
      </w:r>
      <w:r w:rsidRPr="00F16190">
        <w:rPr>
          <w:b/>
        </w:rPr>
        <w:fldChar w:fldCharType="separate"/>
      </w:r>
      <w:r w:rsidR="00F25F8C">
        <w:rPr>
          <w:b/>
        </w:rPr>
        <w:t>4.1.6</w:t>
      </w:r>
      <w:r w:rsidRPr="00F16190">
        <w:rPr>
          <w:b/>
        </w:rPr>
        <w:fldChar w:fldCharType="end"/>
      </w:r>
      <w:r w:rsidRPr="003F5DA8">
        <w:t>). Albeit currently not valorized, the oxygen co-produced was here considered partly recovered (that is, avoiding marginal oxygen supplier production, see</w:t>
      </w:r>
      <w:r w:rsidR="004D7AB5">
        <w:t xml:space="preserve"> </w:t>
      </w:r>
      <w:r w:rsidR="004D7AB5" w:rsidRPr="004D7AB5">
        <w:rPr>
          <w:b/>
        </w:rPr>
        <w:fldChar w:fldCharType="begin"/>
      </w:r>
      <w:r w:rsidR="004D7AB5" w:rsidRPr="004D7AB5">
        <w:rPr>
          <w:b/>
        </w:rPr>
        <w:instrText xml:space="preserve"> REF _Ref144826360 \h </w:instrText>
      </w:r>
      <w:r w:rsidR="004D7AB5">
        <w:rPr>
          <w:b/>
        </w:rPr>
        <w:instrText xml:space="preserve"> \* MERGEFORMAT </w:instrText>
      </w:r>
      <w:r w:rsidR="004D7AB5" w:rsidRPr="004D7AB5">
        <w:rPr>
          <w:b/>
        </w:rPr>
      </w:r>
      <w:r w:rsidR="004D7AB5" w:rsidRPr="004D7AB5">
        <w:rPr>
          <w:b/>
        </w:rPr>
        <w:fldChar w:fldCharType="separate"/>
      </w:r>
      <w:r w:rsidR="00F25F8C" w:rsidRPr="00F25F8C">
        <w:rPr>
          <w:b/>
        </w:rPr>
        <w:t xml:space="preserve">Table SI. </w:t>
      </w:r>
      <w:r w:rsidR="00F25F8C" w:rsidRPr="00F25F8C">
        <w:rPr>
          <w:b/>
          <w:noProof/>
        </w:rPr>
        <w:t>70</w:t>
      </w:r>
      <w:r w:rsidR="004D7AB5" w:rsidRPr="004D7AB5">
        <w:rPr>
          <w:b/>
        </w:rPr>
        <w:fldChar w:fldCharType="end"/>
      </w:r>
      <w:r w:rsidRPr="003F5DA8">
        <w:t>). Finally, the unused water discharge was neglected. Main assumptions for electrolysis modeling are summarized in</w:t>
      </w:r>
      <w:r>
        <w:t xml:space="preserve"> </w:t>
      </w:r>
      <w:r w:rsidRPr="00F16190">
        <w:rPr>
          <w:b/>
        </w:rPr>
        <w:fldChar w:fldCharType="begin"/>
      </w:r>
      <w:r w:rsidRPr="00F16190">
        <w:rPr>
          <w:b/>
        </w:rPr>
        <w:instrText xml:space="preserve"> REF _Ref144825236 \h </w:instrText>
      </w:r>
      <w:r>
        <w:rPr>
          <w:b/>
        </w:rPr>
        <w:instrText xml:space="preserve"> \* MERGEFORMAT </w:instrText>
      </w:r>
      <w:r w:rsidRPr="00F16190">
        <w:rPr>
          <w:b/>
        </w:rPr>
      </w:r>
      <w:r w:rsidRPr="00F16190">
        <w:rPr>
          <w:b/>
        </w:rPr>
        <w:fldChar w:fldCharType="separate"/>
      </w:r>
      <w:r w:rsidR="00F25F8C" w:rsidRPr="00F25F8C">
        <w:rPr>
          <w:b/>
        </w:rPr>
        <w:t xml:space="preserve">Table SI. </w:t>
      </w:r>
      <w:r w:rsidR="00F25F8C" w:rsidRPr="00F25F8C">
        <w:rPr>
          <w:b/>
          <w:noProof/>
        </w:rPr>
        <w:t>60</w:t>
      </w:r>
      <w:r w:rsidRPr="00F16190">
        <w:rPr>
          <w:b/>
        </w:rPr>
        <w:fldChar w:fldCharType="end"/>
      </w:r>
      <w:r w:rsidRPr="003F5DA8">
        <w:t>. The present H</w:t>
      </w:r>
      <w:r w:rsidRPr="003F5DA8">
        <w:rPr>
          <w:vertAlign w:val="subscript"/>
        </w:rPr>
        <w:t>2</w:t>
      </w:r>
      <w:r w:rsidRPr="003F5DA8">
        <w:t xml:space="preserve"> production GWP100 performance (baseline values for technology parameters and context) is notably lower than threshold set by the EU commission (3.0 kgCO</w:t>
      </w:r>
      <w:r w:rsidRPr="003F5DA8">
        <w:rPr>
          <w:vertAlign w:val="subscript"/>
        </w:rPr>
        <w:t>2-eq</w:t>
      </w:r>
      <w:r w:rsidRPr="003F5DA8">
        <w:t>.kgH</w:t>
      </w:r>
      <w:r w:rsidRPr="003F5DA8">
        <w:rPr>
          <w:vertAlign w:val="subscript"/>
        </w:rPr>
        <w:t>2</w:t>
      </w:r>
      <w:r w:rsidRPr="003F5DA8">
        <w:rPr>
          <w:vertAlign w:val="superscript"/>
        </w:rPr>
        <w:t>-1</w:t>
      </w:r>
      <w:r w:rsidRPr="003F5DA8">
        <w:t>)</w:t>
      </w:r>
      <w:r w:rsidRPr="003F5DA8">
        <w:fldChar w:fldCharType="begin"/>
      </w:r>
      <w:r w:rsidR="005413B4">
        <w:instrText xml:space="preserve"> ADDIN ZOTERO_ITEM CSL_CITATION {"citationID":"2Ha2qYEp","properties":{"formattedCitation":"\\super 243\\nosupersub{}","plainCitation":"243","noteIndex":0},"citationItems":[{"id":13990,"uris":["http://zotero.org/users/6423791/items/ZN9LKBVN"],"itemData":{"id":13990,"type":"legislation","container-title":"OJ L","language":"en","note":"Legislative Body: FISMA, COM","title":"Commission Delegated Regulation (EU) 2021/2139 of 4 June 2021 supplementing Regulation (EU) 2020/852 of the European Parliament and of the Council by establishing the technical screening criteria for determining the conditions under which an economic activity qualifies as contributing substantially to climate change mitigation or climate change adaptation and for determining whether that economic activity causes no significant harm to any of the other environmental objectives (Text with EEA relevance)","URL":"http://data.europa.eu/eli/reg_del/2021/2139/oj/eng","volume":"442","author":[{"literal":"European Commission"}],"accessed":{"date-parts":[["2023",1,11]]},"issued":{"date-parts":[["2021",6,4]]}}}],"schema":"https://github.com/citation-style-language/schema/raw/master/csl-citation.json"} </w:instrText>
      </w:r>
      <w:r w:rsidRPr="003F5DA8">
        <w:fldChar w:fldCharType="separate"/>
      </w:r>
      <w:r w:rsidR="005413B4" w:rsidRPr="005413B4">
        <w:rPr>
          <w:rFonts w:ascii="Calibri" w:hAnsi="Calibri" w:cs="Calibri"/>
          <w:szCs w:val="24"/>
          <w:vertAlign w:val="superscript"/>
        </w:rPr>
        <w:t>243</w:t>
      </w:r>
      <w:r w:rsidRPr="003F5DA8">
        <w:fldChar w:fldCharType="end"/>
      </w:r>
      <w:r w:rsidRPr="003F5DA8">
        <w:t xml:space="preserve"> for “sustainable” production.</w:t>
      </w:r>
    </w:p>
    <w:p w14:paraId="45BAFD00" w14:textId="25226270" w:rsidR="00F16190" w:rsidRPr="007C2AE0" w:rsidRDefault="00F16190" w:rsidP="006B5342">
      <w:pPr>
        <w:pStyle w:val="Lgende"/>
        <w:jc w:val="left"/>
      </w:pPr>
      <w:bookmarkStart w:id="265" w:name="_Ref144825236"/>
      <w:bookmarkStart w:id="266" w:name="_Toc134537621"/>
      <w:bookmarkStart w:id="267" w:name="_Toc151967944"/>
      <w:r>
        <w:t xml:space="preserve">Table SI. </w:t>
      </w:r>
      <w:r>
        <w:fldChar w:fldCharType="begin"/>
      </w:r>
      <w:r>
        <w:instrText xml:space="preserve"> SEQ Table_SI. \* ARABIC </w:instrText>
      </w:r>
      <w:r>
        <w:fldChar w:fldCharType="separate"/>
      </w:r>
      <w:r w:rsidR="00F25F8C">
        <w:rPr>
          <w:noProof/>
        </w:rPr>
        <w:t>60</w:t>
      </w:r>
      <w:r>
        <w:fldChar w:fldCharType="end"/>
      </w:r>
      <w:bookmarkEnd w:id="265"/>
      <w:r>
        <w:t xml:space="preserve"> </w:t>
      </w:r>
      <w:r w:rsidRPr="007C2AE0">
        <w:t>– Electrolysis modeling parameters</w:t>
      </w:r>
      <w:bookmarkEnd w:id="266"/>
      <w:bookmarkEnd w:id="267"/>
    </w:p>
    <w:tbl>
      <w:tblPr>
        <w:tblStyle w:val="Tableausimple2"/>
        <w:tblW w:w="0" w:type="auto"/>
        <w:tblLook w:val="04A0" w:firstRow="1" w:lastRow="0" w:firstColumn="1" w:lastColumn="0" w:noHBand="0" w:noVBand="1"/>
      </w:tblPr>
      <w:tblGrid>
        <w:gridCol w:w="1458"/>
        <w:gridCol w:w="866"/>
        <w:gridCol w:w="650"/>
        <w:gridCol w:w="3965"/>
      </w:tblGrid>
      <w:tr w:rsidR="00F16190" w:rsidRPr="00AE0E28" w14:paraId="088D8700"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188B2F5" w14:textId="77777777" w:rsidR="00F16190" w:rsidRPr="00AE0E28" w:rsidRDefault="00F16190" w:rsidP="00F16190">
            <w:pPr>
              <w:jc w:val="right"/>
              <w:rPr>
                <w:sz w:val="18"/>
              </w:rPr>
            </w:pPr>
            <w:r w:rsidRPr="00AE0E28">
              <w:rPr>
                <w:sz w:val="18"/>
              </w:rPr>
              <w:t>Parameter</w:t>
            </w:r>
          </w:p>
        </w:tc>
        <w:tc>
          <w:tcPr>
            <w:tcW w:w="0" w:type="auto"/>
          </w:tcPr>
          <w:p w14:paraId="64461F31" w14:textId="77777777" w:rsidR="00F16190" w:rsidRPr="00AE0E28" w:rsidRDefault="00F16190" w:rsidP="00F16190">
            <w:pPr>
              <w:cnfStyle w:val="100000000000" w:firstRow="1" w:lastRow="0" w:firstColumn="0" w:lastColumn="0" w:oddVBand="0" w:evenVBand="0" w:oddHBand="0" w:evenHBand="0" w:firstRowFirstColumn="0" w:firstRowLastColumn="0" w:lastRowFirstColumn="0" w:lastRowLastColumn="0"/>
              <w:rPr>
                <w:sz w:val="18"/>
              </w:rPr>
            </w:pPr>
            <w:r w:rsidRPr="00AE0E28">
              <w:rPr>
                <w:sz w:val="18"/>
              </w:rPr>
              <w:t>Unit</w:t>
            </w:r>
          </w:p>
        </w:tc>
        <w:tc>
          <w:tcPr>
            <w:tcW w:w="0" w:type="auto"/>
          </w:tcPr>
          <w:p w14:paraId="712791DC" w14:textId="77777777" w:rsidR="00F16190" w:rsidRPr="00AE0E28" w:rsidRDefault="00F16190" w:rsidP="00F16190">
            <w:pPr>
              <w:cnfStyle w:val="100000000000" w:firstRow="1" w:lastRow="0" w:firstColumn="0" w:lastColumn="0" w:oddVBand="0" w:evenVBand="0" w:oddHBand="0" w:evenHBand="0" w:firstRowFirstColumn="0" w:firstRowLastColumn="0" w:lastRowFirstColumn="0" w:lastRowLastColumn="0"/>
              <w:rPr>
                <w:sz w:val="18"/>
              </w:rPr>
            </w:pPr>
            <w:r w:rsidRPr="00AE0E28">
              <w:rPr>
                <w:sz w:val="18"/>
              </w:rPr>
              <w:t>Value</w:t>
            </w:r>
          </w:p>
        </w:tc>
        <w:tc>
          <w:tcPr>
            <w:tcW w:w="0" w:type="auto"/>
          </w:tcPr>
          <w:p w14:paraId="161396D1" w14:textId="77777777" w:rsidR="00F16190" w:rsidRPr="00AE0E28" w:rsidRDefault="00F16190" w:rsidP="00F16190">
            <w:pPr>
              <w:cnfStyle w:val="100000000000" w:firstRow="1" w:lastRow="0" w:firstColumn="0" w:lastColumn="0" w:oddVBand="0" w:evenVBand="0" w:oddHBand="0" w:evenHBand="0" w:firstRowFirstColumn="0" w:firstRowLastColumn="0" w:lastRowFirstColumn="0" w:lastRowLastColumn="0"/>
              <w:rPr>
                <w:sz w:val="18"/>
              </w:rPr>
            </w:pPr>
            <w:r w:rsidRPr="00AE0E28">
              <w:rPr>
                <w:sz w:val="18"/>
              </w:rPr>
              <w:t>Comment</w:t>
            </w:r>
          </w:p>
        </w:tc>
      </w:tr>
      <w:tr w:rsidR="00F16190" w:rsidRPr="00AE0E28" w14:paraId="3F0CCADF"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880D1E2" w14:textId="77777777" w:rsidR="00F16190" w:rsidRPr="00AE0E28" w:rsidRDefault="00F16190" w:rsidP="00F16190">
            <w:pPr>
              <w:jc w:val="right"/>
              <w:rPr>
                <w:b w:val="0"/>
                <w:sz w:val="18"/>
              </w:rPr>
            </w:pPr>
            <w:r w:rsidRPr="00AE0E28">
              <w:rPr>
                <w:b w:val="0"/>
                <w:sz w:val="18"/>
              </w:rPr>
              <w:t>Deionized water</w:t>
            </w:r>
          </w:p>
        </w:tc>
        <w:tc>
          <w:tcPr>
            <w:tcW w:w="0" w:type="auto"/>
          </w:tcPr>
          <w:p w14:paraId="41009E7F"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proofErr w:type="gramStart"/>
            <w:r w:rsidRPr="00AE0E28">
              <w:rPr>
                <w:sz w:val="18"/>
              </w:rPr>
              <w:t>kg.kg</w:t>
            </w:r>
            <w:r w:rsidRPr="00AE0E28">
              <w:rPr>
                <w:sz w:val="18"/>
                <w:vertAlign w:val="subscript"/>
              </w:rPr>
              <w:t>H</w:t>
            </w:r>
            <w:proofErr w:type="gramEnd"/>
            <w:r w:rsidRPr="00AE0E28">
              <w:rPr>
                <w:sz w:val="18"/>
                <w:vertAlign w:val="subscript"/>
              </w:rPr>
              <w:t>2</w:t>
            </w:r>
            <w:r w:rsidRPr="00AE0E28">
              <w:rPr>
                <w:sz w:val="18"/>
                <w:vertAlign w:val="superscript"/>
              </w:rPr>
              <w:t>-1</w:t>
            </w:r>
          </w:p>
        </w:tc>
        <w:tc>
          <w:tcPr>
            <w:tcW w:w="0" w:type="auto"/>
          </w:tcPr>
          <w:p w14:paraId="4FCD4E58"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r w:rsidRPr="00AE0E28">
              <w:rPr>
                <w:sz w:val="18"/>
              </w:rPr>
              <w:t>7.8</w:t>
            </w:r>
          </w:p>
        </w:tc>
        <w:tc>
          <w:tcPr>
            <w:tcW w:w="0" w:type="auto"/>
          </w:tcPr>
          <w:p w14:paraId="12436881" w14:textId="2570F14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i/>
                <w:sz w:val="18"/>
              </w:rPr>
            </w:pPr>
            <w:r w:rsidRPr="00AE0E28">
              <w:rPr>
                <w:i/>
                <w:sz w:val="18"/>
              </w:rPr>
              <w:t>Average of 11 (2030 horizon)</w:t>
            </w:r>
            <w:r w:rsidRPr="00AE0E28">
              <w:rPr>
                <w:i/>
                <w:sz w:val="18"/>
              </w:rPr>
              <w:fldChar w:fldCharType="begin"/>
            </w:r>
            <w:r w:rsidR="005413B4">
              <w:rPr>
                <w:i/>
                <w:sz w:val="18"/>
              </w:rPr>
              <w:instrText xml:space="preserve"> ADDIN ZOTERO_ITEM CSL_CITATION {"citationID":"3NXpr1rg","properties":{"formattedCitation":"\\super 240,242\\nosupersub{}","plainCitation":"240,242","noteIndex":0},"citationItems":[{"id":12938,"uris":["http://zotero.org/users/6423791/items/A38JDL8H"],"itemData":{"id":12938,"type":"report","number":"0005","page":"313","publisher":"Energinet","title":"Technology Data - Renewable fuels","URL":"http://www.ens.dk/teknologikatalog","author":[{"literal":"Danish Energy Agency"}],"issued":{"date-parts":[["2022"]]}}},{"id":13047,"uris":["http://zotero.org/users/6423791/items/4C7PKAD3"],"itemData":{"id":13047,"type":"article-journal","abstract":"Alkaline water electrolysis has been in the spotlight for green H2 production using electricity generated from renewable energy because of its high technology readiness level and low investment. However, commercialization of alkaline water electrolysis is challenging because of the low current density. Therefore, a techno-economic and environmental assessment was conducted for green H2 production by alkaline water electrolysis with experimental data from the advanced alkaline water electrolysis system of the Korea Institute of Energy Research (KIER) to identify the potential of this technology. Based on techno-economic analysis results, the stack cost and unit electricity price must be below 0.035 $ kWh−1 and 406 $ kW−1, respectively, to make this technology cost-competitive compared to the conventional H2 production method (&lt; 2 $ kgH2−1). Furthermore, CO2 emissions of 30.7, 17.4, 7.04, and 3.12 kgCO2-eq kgH2−1 were obtained for the current, 2030, 2050, and renewable Korean electricity mix scenarios, respectively, indicating that both scenarios (Korean electricity mix in 2050 and renewable) have lower CO2 emissions than the conventional H2 production method (11.5 kgCO2-eq kgH2−1). In addition, environmental impact reductions of 89.8%, 83.6%, 65.9%, and 91.0% for CO2 emissions, stratospheric ozone depletion, fine particulate matter formation, and fossil resource scarcity, respectively, were obtained for the renewable scenario compared to the current Korean electricity mix. Therefore, the electricity source has significant effects on the economic feasibility and environmental impacts for green H2 production.","container-title":"Journal of Environmental Chemical Engineering","DOI":"10.1016/j.jece.2021.106349","ISSN":"2213-3437","issue":"6","journalAbbreviation":"Journal of Environmental Chemical Engineering","language":"en","page":"106349","source":"ScienceDirect","title":"Integrative techno-economic and environmental assessment for green H2 production by alkaline water electrolysis based on experimental data","volume":"9","author":[{"family":"Lee","given":"Boreum"},{"family":"Cho","given":"Hyun-Seok"},{"family":"Kim","given":"Heehyang"},{"family":"Lim","given":"Dongjun"},{"family":"Cho","given":"Wonchul"},{"family":"Kim","given":"Chang-Hee"},{"family":"Lim","given":"Hankwon"}],"issued":{"date-parts":[["2021",12,1]]}}}],"schema":"https://github.com/citation-style-language/schema/raw/master/csl-citation.json"} </w:instrText>
            </w:r>
            <w:r w:rsidRPr="00AE0E28">
              <w:rPr>
                <w:i/>
                <w:sz w:val="18"/>
              </w:rPr>
              <w:fldChar w:fldCharType="separate"/>
            </w:r>
            <w:r w:rsidR="005413B4" w:rsidRPr="005413B4">
              <w:rPr>
                <w:rFonts w:ascii="Calibri" w:hAnsi="Calibri" w:cs="Calibri"/>
                <w:sz w:val="18"/>
                <w:szCs w:val="24"/>
                <w:vertAlign w:val="superscript"/>
              </w:rPr>
              <w:t>240,242</w:t>
            </w:r>
            <w:r w:rsidRPr="00AE0E28">
              <w:rPr>
                <w:i/>
                <w:sz w:val="18"/>
              </w:rPr>
              <w:fldChar w:fldCharType="end"/>
            </w:r>
            <w:r w:rsidRPr="00AE0E28">
              <w:rPr>
                <w:i/>
                <w:sz w:val="18"/>
              </w:rPr>
              <w:t xml:space="preserve"> and 4.2 </w:t>
            </w:r>
            <w:r w:rsidRPr="00AE0E28">
              <w:rPr>
                <w:i/>
                <w:sz w:val="18"/>
              </w:rPr>
              <w:fldChar w:fldCharType="begin"/>
            </w:r>
            <w:r w:rsidR="005413B4">
              <w:rPr>
                <w:i/>
                <w:sz w:val="18"/>
              </w:rPr>
              <w:instrText xml:space="preserve"> ADDIN ZOTERO_ITEM CSL_CITATION {"citationID":"UHFBTBfe","properties":{"formattedCitation":"\\super 160\\nosupersub{}","plainCitation":"160","noteIndex":0},"citationItems":[{"id":14068,"uris":["http://zotero.org/users/6423791/items/TS3JFBRR"],"itemData":{"id":14068,"type":"article-journal","abstract":"Climate neutrality is becoming a core long-term competitiveness asset within the aviation industry, as demonstrated by the several innovations and targets set within that sector, prior to and especially after the COVID-19 crisis. Ambitious timelines are set, involving important investment decisions to be taken in a 5-years horizon time. Here, we provide an in-depth review of alternative technologies for sustainable aviation revealed to date, which we classified into four main categories, namely i) biofuels, ii) electrofuels, iii) electric (battery-based), and iv) hydrogen aviation. Nine biofuel and nine electrofuel pathways were reviewed, for which we supply the detailed process flow picturing all input, output, and co-products generated. The market uptake and use of these co-products was also investigated, along with the overall international regulations and targets for future aviation. As most of the inventoried pathways require hydrogen, we further reviewed six existing and emerging carbon-free hydrogen production technologies. Our review also details the five key battery technologies available (lithium-ion, advanced lithium-ion, solid-state battery, lithium-sulfur, lithium-air) for aviation. A semi-quantitative ranking covering environmental-, economic-, and technological performance indicators has been established to guide the selection of promising routes. The possible configuration schemes for electric propulsion systems are documented and classified as: i) battery-based, ii) fuel cell-based and iii) turboelectric configurations. Our review studied these four categories of sustainable aviation systems as modular technologies, yet these still have to be used in a hybridized fashion with conventional fossil-based kerosene. This is among others due to an aromatics content below the standardized requirements for biofuels and electrofuels, to a too low energy storage capacity in the case of batteries, or a sub-optimal gas turbine engine in the case of cryogenic hydrogen. Yet, we found that the latter was the only available option, based on the current and emerging technologies reviewed, for long-range aviation completely decoupled of fossil-based hydrocarbon fuels. The various challenges and opportunities associated with all these technologies are summarized in this study.","container-title":"Progress in Energy and Combustion Science","DOI":"10.1016/j.pecs.2023.101073","ISSN":"0360-1285","journalAbbreviation":"Prog. Energy Combust. Sci.","language":"en","page":"101073","source":"ScienceDirect","title":"Biofuels, electrofuels, electric or hydrogen?: A review of current and emerging sustainable aviation systems","title-short":"Biofuels, electrofuels, electric or hydrogen?","volume":"96","author":[{"family":"Su-ungkavatin","given":"Pimchanok"},{"family":"Tiruta-Barna","given":"Ligia"},{"family":"Hamelin","given":"Lorie"}],"issued":{"date-parts":[["2023",5,1]]}}}],"schema":"https://github.com/citation-style-language/schema/raw/master/csl-citation.json"} </w:instrText>
            </w:r>
            <w:r w:rsidRPr="00AE0E28">
              <w:rPr>
                <w:i/>
                <w:sz w:val="18"/>
              </w:rPr>
              <w:fldChar w:fldCharType="separate"/>
            </w:r>
            <w:r w:rsidR="005413B4" w:rsidRPr="005413B4">
              <w:rPr>
                <w:rFonts w:ascii="Calibri" w:hAnsi="Calibri" w:cs="Calibri"/>
                <w:sz w:val="18"/>
                <w:szCs w:val="24"/>
                <w:vertAlign w:val="superscript"/>
              </w:rPr>
              <w:t>160</w:t>
            </w:r>
            <w:r w:rsidRPr="00AE0E28">
              <w:rPr>
                <w:i/>
                <w:sz w:val="18"/>
              </w:rPr>
              <w:fldChar w:fldCharType="end"/>
            </w:r>
          </w:p>
        </w:tc>
      </w:tr>
      <w:tr w:rsidR="00F16190" w:rsidRPr="00AE0E28" w14:paraId="32348553"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68CF94B7" w14:textId="77777777" w:rsidR="00F16190" w:rsidRPr="00AE0E28" w:rsidRDefault="00F16190" w:rsidP="00F16190">
            <w:pPr>
              <w:jc w:val="right"/>
              <w:rPr>
                <w:b w:val="0"/>
                <w:sz w:val="18"/>
              </w:rPr>
            </w:pPr>
            <w:r w:rsidRPr="00AE0E28">
              <w:rPr>
                <w:b w:val="0"/>
                <w:sz w:val="18"/>
              </w:rPr>
              <w:t>KOH</w:t>
            </w:r>
          </w:p>
        </w:tc>
        <w:tc>
          <w:tcPr>
            <w:tcW w:w="0" w:type="auto"/>
          </w:tcPr>
          <w:p w14:paraId="7E892A29"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proofErr w:type="gramStart"/>
            <w:r w:rsidRPr="00AE0E28">
              <w:rPr>
                <w:sz w:val="18"/>
              </w:rPr>
              <w:t>g.kg</w:t>
            </w:r>
            <w:r w:rsidRPr="00AE0E28">
              <w:rPr>
                <w:sz w:val="18"/>
                <w:vertAlign w:val="subscript"/>
              </w:rPr>
              <w:t>H</w:t>
            </w:r>
            <w:proofErr w:type="gramEnd"/>
            <w:r w:rsidRPr="00AE0E28">
              <w:rPr>
                <w:sz w:val="18"/>
                <w:vertAlign w:val="subscript"/>
              </w:rPr>
              <w:t>2</w:t>
            </w:r>
            <w:r w:rsidRPr="00AE0E28">
              <w:rPr>
                <w:sz w:val="18"/>
                <w:vertAlign w:val="superscript"/>
              </w:rPr>
              <w:t>-1</w:t>
            </w:r>
          </w:p>
        </w:tc>
        <w:tc>
          <w:tcPr>
            <w:tcW w:w="0" w:type="auto"/>
          </w:tcPr>
          <w:p w14:paraId="6F23667F"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r w:rsidRPr="00AE0E28">
              <w:rPr>
                <w:sz w:val="18"/>
              </w:rPr>
              <w:t>1.9</w:t>
            </w:r>
          </w:p>
        </w:tc>
        <w:tc>
          <w:tcPr>
            <w:tcW w:w="0" w:type="auto"/>
          </w:tcPr>
          <w:p w14:paraId="3C1FFCDD" w14:textId="747E313A"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i/>
                <w:sz w:val="18"/>
              </w:rPr>
            </w:pPr>
            <w:r w:rsidRPr="00AE0E28">
              <w:rPr>
                <w:i/>
                <w:sz w:val="18"/>
              </w:rPr>
              <w:t>Average of real and projected plant consumption</w:t>
            </w:r>
            <w:r w:rsidRPr="00AE0E28">
              <w:rPr>
                <w:i/>
                <w:sz w:val="18"/>
              </w:rPr>
              <w:fldChar w:fldCharType="begin"/>
            </w:r>
            <w:r w:rsidR="005413B4">
              <w:rPr>
                <w:i/>
                <w:sz w:val="18"/>
              </w:rPr>
              <w:instrText xml:space="preserve"> ADDIN ZOTERO_ITEM CSL_CITATION {"citationID":"bvSmDg2Q","properties":{"formattedCitation":"\\super 242\\nosupersub{}","plainCitation":"242","noteIndex":0},"citationItems":[{"id":13047,"uris":["http://zotero.org/users/6423791/items/4C7PKAD3"],"itemData":{"id":13047,"type":"article-journal","abstract":"Alkaline water electrolysis has been in the spotlight for green H2 production using electricity generated from renewable energy because of its high technology readiness level and low investment. However, commercialization of alkaline water electrolysis is challenging because of the low current density. Therefore, a techno-economic and environmental assessment was conducted for green H2 production by alkaline water electrolysis with experimental data from the advanced alkaline water electrolysis system of the Korea Institute of Energy Research (KIER) to identify the potential of this technology. Based on techno-economic analysis results, the stack cost and unit electricity price must be below 0.035 $ kWh−1 and 406 $ kW−1, respectively, to make this technology cost-competitive compared to the conventional H2 production method (&lt; 2 $ kgH2−1). Furthermore, CO2 emissions of 30.7, 17.4, 7.04, and 3.12 kgCO2-eq kgH2−1 were obtained for the current, 2030, 2050, and renewable Korean electricity mix scenarios, respectively, indicating that both scenarios (Korean electricity mix in 2050 and renewable) have lower CO2 emissions than the conventional H2 production method (11.5 kgCO2-eq kgH2−1). In addition, environmental impact reductions of 89.8%, 83.6%, 65.9%, and 91.0% for CO2 emissions, stratospheric ozone depletion, fine particulate matter formation, and fossil resource scarcity, respectively, were obtained for the renewable scenario compared to the current Korean electricity mix. Therefore, the electricity source has significant effects on the economic feasibility and environmental impacts for green H2 production.","container-title":"Journal of Environmental Chemical Engineering","DOI":"10.1016/j.jece.2021.106349","ISSN":"2213-3437","issue":"6","journalAbbreviation":"Journal of Environmental Chemical Engineering","language":"en","page":"106349","source":"ScienceDirect","title":"Integrative techno-economic and environmental assessment for green H2 production by alkaline water electrolysis based on experimental data","volume":"9","author":[{"family":"Lee","given":"Boreum"},{"family":"Cho","given":"Hyun-Seok"},{"family":"Kim","given":"Heehyang"},{"family":"Lim","given":"Dongjun"},{"family":"Cho","given":"Wonchul"},{"family":"Kim","given":"Chang-Hee"},{"family":"Lim","given":"Hankwon"}],"issued":{"date-parts":[["2021",12,1]]}}}],"schema":"https://github.com/citation-style-language/schema/raw/master/csl-citation.json"} </w:instrText>
            </w:r>
            <w:r w:rsidRPr="00AE0E28">
              <w:rPr>
                <w:i/>
                <w:sz w:val="18"/>
              </w:rPr>
              <w:fldChar w:fldCharType="separate"/>
            </w:r>
            <w:r w:rsidR="005413B4" w:rsidRPr="005413B4">
              <w:rPr>
                <w:rFonts w:ascii="Calibri" w:hAnsi="Calibri" w:cs="Calibri"/>
                <w:sz w:val="18"/>
                <w:szCs w:val="24"/>
                <w:vertAlign w:val="superscript"/>
              </w:rPr>
              <w:t>242</w:t>
            </w:r>
            <w:r w:rsidRPr="00AE0E28">
              <w:rPr>
                <w:i/>
                <w:sz w:val="18"/>
              </w:rPr>
              <w:fldChar w:fldCharType="end"/>
            </w:r>
          </w:p>
        </w:tc>
      </w:tr>
      <w:tr w:rsidR="00F16190" w:rsidRPr="00AE0E28" w14:paraId="5D25F535"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3EB8F3B" w14:textId="77777777" w:rsidR="00F16190" w:rsidRPr="00AE0E28" w:rsidRDefault="00F16190" w:rsidP="00F16190">
            <w:pPr>
              <w:jc w:val="right"/>
              <w:rPr>
                <w:b w:val="0"/>
                <w:sz w:val="18"/>
              </w:rPr>
            </w:pPr>
            <w:r w:rsidRPr="00AE0E28">
              <w:rPr>
                <w:b w:val="0"/>
                <w:sz w:val="18"/>
              </w:rPr>
              <w:t>N</w:t>
            </w:r>
            <w:r w:rsidRPr="00AE0E28">
              <w:rPr>
                <w:b w:val="0"/>
                <w:sz w:val="18"/>
                <w:vertAlign w:val="subscript"/>
              </w:rPr>
              <w:t>2</w:t>
            </w:r>
          </w:p>
        </w:tc>
        <w:tc>
          <w:tcPr>
            <w:tcW w:w="0" w:type="auto"/>
          </w:tcPr>
          <w:p w14:paraId="1EE28840"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proofErr w:type="gramStart"/>
            <w:r w:rsidRPr="00AE0E28">
              <w:rPr>
                <w:sz w:val="18"/>
              </w:rPr>
              <w:t>g.kg</w:t>
            </w:r>
            <w:r w:rsidRPr="00AE0E28">
              <w:rPr>
                <w:sz w:val="18"/>
                <w:vertAlign w:val="subscript"/>
              </w:rPr>
              <w:t>H</w:t>
            </w:r>
            <w:proofErr w:type="gramEnd"/>
            <w:r w:rsidRPr="00AE0E28">
              <w:rPr>
                <w:sz w:val="18"/>
                <w:vertAlign w:val="subscript"/>
              </w:rPr>
              <w:t>2</w:t>
            </w:r>
            <w:r w:rsidRPr="00AE0E28">
              <w:rPr>
                <w:sz w:val="18"/>
                <w:vertAlign w:val="superscript"/>
              </w:rPr>
              <w:t>-1</w:t>
            </w:r>
          </w:p>
        </w:tc>
        <w:tc>
          <w:tcPr>
            <w:tcW w:w="0" w:type="auto"/>
          </w:tcPr>
          <w:p w14:paraId="7391D377"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r w:rsidRPr="00AE0E28">
              <w:rPr>
                <w:sz w:val="18"/>
              </w:rPr>
              <w:t>0.3</w:t>
            </w:r>
          </w:p>
        </w:tc>
        <w:tc>
          <w:tcPr>
            <w:tcW w:w="0" w:type="auto"/>
          </w:tcPr>
          <w:p w14:paraId="3C6A82BA" w14:textId="2C6850C1"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i/>
                <w:sz w:val="18"/>
              </w:rPr>
            </w:pPr>
            <w:r w:rsidRPr="00AE0E28">
              <w:rPr>
                <w:i/>
                <w:sz w:val="18"/>
              </w:rPr>
              <w:t>Used in pilot-plant</w:t>
            </w:r>
            <w:r w:rsidRPr="00AE0E28">
              <w:rPr>
                <w:i/>
                <w:sz w:val="18"/>
              </w:rPr>
              <w:fldChar w:fldCharType="begin"/>
            </w:r>
            <w:r w:rsidR="005413B4">
              <w:rPr>
                <w:i/>
                <w:sz w:val="18"/>
              </w:rPr>
              <w:instrText xml:space="preserve"> ADDIN ZOTERO_ITEM CSL_CITATION {"citationID":"KMdZftr7","properties":{"formattedCitation":"\\super 242\\nosupersub{}","plainCitation":"242","noteIndex":0},"citationItems":[{"id":13047,"uris":["http://zotero.org/users/6423791/items/4C7PKAD3"],"itemData":{"id":13047,"type":"article-journal","abstract":"Alkaline water electrolysis has been in the spotlight for green H2 production using electricity generated from renewable energy because of its high technology readiness level and low investment. However, commercialization of alkaline water electrolysis is challenging because of the low current density. Therefore, a techno-economic and environmental assessment was conducted for green H2 production by alkaline water electrolysis with experimental data from the advanced alkaline water electrolysis system of the Korea Institute of Energy Research (KIER) to identify the potential of this technology. Based on techno-economic analysis results, the stack cost and unit electricity price must be below 0.035 $ kWh−1 and 406 $ kW−1, respectively, to make this technology cost-competitive compared to the conventional H2 production method (&lt; 2 $ kgH2−1). Furthermore, CO2 emissions of 30.7, 17.4, 7.04, and 3.12 kgCO2-eq kgH2−1 were obtained for the current, 2030, 2050, and renewable Korean electricity mix scenarios, respectively, indicating that both scenarios (Korean electricity mix in 2050 and renewable) have lower CO2 emissions than the conventional H2 production method (11.5 kgCO2-eq kgH2−1). In addition, environmental impact reductions of 89.8%, 83.6%, 65.9%, and 91.0% for CO2 emissions, stratospheric ozone depletion, fine particulate matter formation, and fossil resource scarcity, respectively, were obtained for the renewable scenario compared to the current Korean electricity mix. Therefore, the electricity source has significant effects on the economic feasibility and environmental impacts for green H2 production.","container-title":"Journal of Environmental Chemical Engineering","DOI":"10.1016/j.jece.2021.106349","ISSN":"2213-3437","issue":"6","journalAbbreviation":"Journal of Environmental Chemical Engineering","language":"en","page":"106349","source":"ScienceDirect","title":"Integrative techno-economic and environmental assessment for green H2 production by alkaline water electrolysis based on experimental data","volume":"9","author":[{"family":"Lee","given":"Boreum"},{"family":"Cho","given":"Hyun-Seok"},{"family":"Kim","given":"Heehyang"},{"family":"Lim","given":"Dongjun"},{"family":"Cho","given":"Wonchul"},{"family":"Kim","given":"Chang-Hee"},{"family":"Lim","given":"Hankwon"}],"issued":{"date-parts":[["2021",12,1]]}}}],"schema":"https://github.com/citation-style-language/schema/raw/master/csl-citation.json"} </w:instrText>
            </w:r>
            <w:r w:rsidRPr="00AE0E28">
              <w:rPr>
                <w:i/>
                <w:sz w:val="18"/>
              </w:rPr>
              <w:fldChar w:fldCharType="separate"/>
            </w:r>
            <w:r w:rsidR="005413B4" w:rsidRPr="005413B4">
              <w:rPr>
                <w:rFonts w:ascii="Calibri" w:hAnsi="Calibri" w:cs="Calibri"/>
                <w:sz w:val="18"/>
                <w:szCs w:val="24"/>
                <w:vertAlign w:val="superscript"/>
              </w:rPr>
              <w:t>242</w:t>
            </w:r>
            <w:r w:rsidRPr="00AE0E28">
              <w:rPr>
                <w:i/>
                <w:sz w:val="18"/>
              </w:rPr>
              <w:fldChar w:fldCharType="end"/>
            </w:r>
          </w:p>
        </w:tc>
      </w:tr>
      <w:tr w:rsidR="00F16190" w:rsidRPr="00AE0E28" w14:paraId="5C33AEF7"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143CD1B7" w14:textId="77777777" w:rsidR="00F16190" w:rsidRPr="00AE0E28" w:rsidRDefault="00F16190" w:rsidP="00F16190">
            <w:pPr>
              <w:jc w:val="right"/>
              <w:rPr>
                <w:b w:val="0"/>
                <w:sz w:val="18"/>
              </w:rPr>
            </w:pPr>
            <w:r w:rsidRPr="00AE0E28">
              <w:rPr>
                <w:b w:val="0"/>
                <w:sz w:val="18"/>
              </w:rPr>
              <w:t>Building</w:t>
            </w:r>
          </w:p>
        </w:tc>
        <w:tc>
          <w:tcPr>
            <w:tcW w:w="0" w:type="auto"/>
          </w:tcPr>
          <w:p w14:paraId="7C461CB0"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r w:rsidRPr="00AE0E28">
              <w:rPr>
                <w:sz w:val="18"/>
              </w:rPr>
              <w:t>m</w:t>
            </w:r>
            <w:proofErr w:type="gramStart"/>
            <w:r w:rsidRPr="00AE0E28">
              <w:rPr>
                <w:sz w:val="18"/>
                <w:vertAlign w:val="superscript"/>
              </w:rPr>
              <w:t>2</w:t>
            </w:r>
            <w:r w:rsidRPr="00AE0E28">
              <w:rPr>
                <w:sz w:val="18"/>
              </w:rPr>
              <w:t>.kg</w:t>
            </w:r>
            <w:r w:rsidRPr="00AE0E28">
              <w:rPr>
                <w:sz w:val="18"/>
                <w:vertAlign w:val="subscript"/>
              </w:rPr>
              <w:t>H</w:t>
            </w:r>
            <w:proofErr w:type="gramEnd"/>
            <w:r w:rsidRPr="00AE0E28">
              <w:rPr>
                <w:sz w:val="18"/>
                <w:vertAlign w:val="subscript"/>
              </w:rPr>
              <w:t>2</w:t>
            </w:r>
            <w:r w:rsidRPr="00AE0E28">
              <w:rPr>
                <w:sz w:val="18"/>
                <w:vertAlign w:val="superscript"/>
              </w:rPr>
              <w:t>-1</w:t>
            </w:r>
          </w:p>
        </w:tc>
        <w:tc>
          <w:tcPr>
            <w:tcW w:w="0" w:type="auto"/>
          </w:tcPr>
          <w:p w14:paraId="28C78985"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r w:rsidRPr="00AE0E28">
              <w:rPr>
                <w:sz w:val="18"/>
              </w:rPr>
              <w:t>1.7e-</w:t>
            </w:r>
            <w:r w:rsidRPr="00AE0E28">
              <w:rPr>
                <w:sz w:val="18"/>
                <w:vertAlign w:val="superscript"/>
              </w:rPr>
              <w:t>3</w:t>
            </w:r>
          </w:p>
        </w:tc>
        <w:tc>
          <w:tcPr>
            <w:tcW w:w="0" w:type="auto"/>
          </w:tcPr>
          <w:p w14:paraId="09F37748" w14:textId="3F16216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i/>
                <w:sz w:val="18"/>
              </w:rPr>
            </w:pPr>
            <w:r w:rsidRPr="00AE0E28">
              <w:rPr>
                <w:i/>
                <w:sz w:val="18"/>
              </w:rPr>
              <w:t>Proxy of facility</w:t>
            </w:r>
            <w:r w:rsidRPr="00AE0E28">
              <w:rPr>
                <w:i/>
                <w:sz w:val="18"/>
              </w:rPr>
              <w:fldChar w:fldCharType="begin"/>
            </w:r>
            <w:r w:rsidR="005413B4">
              <w:rPr>
                <w:i/>
                <w:sz w:val="18"/>
              </w:rPr>
              <w:instrText xml:space="preserve"> ADDIN ZOTERO_ITEM CSL_CITATION {"citationID":"EnzmfItQ","properties":{"formattedCitation":"\\super 244\\nosupersub{}","plainCitation":"244","noteIndex":0},"citationItems":[{"id":13988,"uris":["http://zotero.org/users/6423791/items/QFCSF6CW"],"itemData":{"id":13988,"type":"article-journal","abstract":"Water electrolysis powered by solar photovoltaics (PV) is one of several promising green hydrogen production technologies. It is critical that the life cycle environmental impacts and net energy balance are assessed to ensure that solar-electrolysis can contribute to the deep decarbonisation of global energy. Life cycle assessment (LCA) and net energy analysis (NEA) are tools for environmental and net energy assessment of such technologies. LCA/NEA studies of renewable hydrogen typically include simplifying assumptions, such as steady state operation under average conditions. Whilst simplifications may be necessary for preliminary analysis, marked differences arising from context specific variances and operating constraints may be overlooked. To address this gap, we conduct an LCA/NEA of a hypothetical large-scale solar-electrolysis plant, with a focus on operational sensitivities. We find the most significant component is the solar modules due to the materials and processes used in their manufacture. We find the most significant sensitivity stems from the electrolyser turndown and the commensurate need to buffer solar electricity with storage or grid electricity. Under baseline conditions, the greenhouse gas (GHG) emissions are around one-quarter that of the currently dominant process for hydrogen production, steam methane reforming (SMR). However, sensitivity analysis shows that GHG emissions may be comparable to SMR under reasonably anticipated conditions. Net energy results are less than for fossil fuels and sufficiently uncertain to warrant further attention. We recommend that LCA and NEA are integrated with project planning to ensure that hydrogen meets the goals of green production.","container-title":"Energy &amp; Environmental Science","DOI":"10.1039/D1EE01288F","ISSN":"1754-5706","issue":"10","journalAbbreviation":"Energy Environ. Sci.","language":"en","note":"publisher: The Royal Society of Chemistry","page":"5113-5131","source":"pubs.rsc.org","title":"Life-cycle greenhouse gas emissions and net energy assessment of large-scale hydrogen production via electrolysis and solar PV","volume":"14","author":[{"family":"Palmer","given":"Graham"},{"family":"Roberts","given":"Ashley"},{"family":"Hoadley","given":"Andrew"},{"family":"Dargaville","given":"Roger"},{"family":"Honnery","given":"Damon"}],"issued":{"date-parts":[["2021",10,13]]}}}],"schema":"https://github.com/citation-style-language/schema/raw/master/csl-citation.json"} </w:instrText>
            </w:r>
            <w:r w:rsidRPr="00AE0E28">
              <w:rPr>
                <w:i/>
                <w:sz w:val="18"/>
              </w:rPr>
              <w:fldChar w:fldCharType="separate"/>
            </w:r>
            <w:r w:rsidR="005413B4" w:rsidRPr="005413B4">
              <w:rPr>
                <w:rFonts w:ascii="Calibri" w:hAnsi="Calibri" w:cs="Calibri"/>
                <w:sz w:val="18"/>
                <w:szCs w:val="24"/>
                <w:vertAlign w:val="superscript"/>
              </w:rPr>
              <w:t>244</w:t>
            </w:r>
            <w:r w:rsidRPr="00AE0E28">
              <w:rPr>
                <w:i/>
                <w:sz w:val="18"/>
              </w:rPr>
              <w:fldChar w:fldCharType="end"/>
            </w:r>
          </w:p>
        </w:tc>
      </w:tr>
      <w:tr w:rsidR="00F16190" w:rsidRPr="00AE0E28" w14:paraId="5969240D"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5CC2135" w14:textId="77777777" w:rsidR="00F16190" w:rsidRPr="00AE0E28" w:rsidRDefault="00F16190" w:rsidP="00F16190">
            <w:pPr>
              <w:jc w:val="right"/>
              <w:rPr>
                <w:b w:val="0"/>
                <w:sz w:val="18"/>
              </w:rPr>
            </w:pPr>
            <w:r w:rsidRPr="00AE0E28">
              <w:rPr>
                <w:b w:val="0"/>
                <w:sz w:val="18"/>
              </w:rPr>
              <w:t>Co-produced O</w:t>
            </w:r>
            <w:r w:rsidRPr="00AE0E28">
              <w:rPr>
                <w:b w:val="0"/>
                <w:sz w:val="18"/>
                <w:vertAlign w:val="subscript"/>
              </w:rPr>
              <w:t>2</w:t>
            </w:r>
          </w:p>
        </w:tc>
        <w:tc>
          <w:tcPr>
            <w:tcW w:w="0" w:type="auto"/>
          </w:tcPr>
          <w:p w14:paraId="4322C22C"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proofErr w:type="gramStart"/>
            <w:r w:rsidRPr="00AE0E28">
              <w:rPr>
                <w:sz w:val="18"/>
              </w:rPr>
              <w:t>kg.kg</w:t>
            </w:r>
            <w:r w:rsidRPr="00AE0E28">
              <w:rPr>
                <w:sz w:val="18"/>
                <w:vertAlign w:val="subscript"/>
              </w:rPr>
              <w:t>H</w:t>
            </w:r>
            <w:proofErr w:type="gramEnd"/>
            <w:r w:rsidRPr="00AE0E28">
              <w:rPr>
                <w:sz w:val="18"/>
                <w:vertAlign w:val="subscript"/>
              </w:rPr>
              <w:t>2</w:t>
            </w:r>
            <w:r w:rsidRPr="00AE0E28">
              <w:rPr>
                <w:sz w:val="18"/>
                <w:vertAlign w:val="superscript"/>
              </w:rPr>
              <w:t>-1</w:t>
            </w:r>
          </w:p>
        </w:tc>
        <w:tc>
          <w:tcPr>
            <w:tcW w:w="0" w:type="auto"/>
          </w:tcPr>
          <w:p w14:paraId="277FFC9C"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r w:rsidRPr="00AE0E28">
              <w:rPr>
                <w:sz w:val="18"/>
              </w:rPr>
              <w:t>7.94</w:t>
            </w:r>
          </w:p>
        </w:tc>
        <w:tc>
          <w:tcPr>
            <w:tcW w:w="0" w:type="auto"/>
          </w:tcPr>
          <w:p w14:paraId="740AB25A"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i/>
                <w:sz w:val="18"/>
              </w:rPr>
            </w:pPr>
            <w:r w:rsidRPr="00AE0E28">
              <w:rPr>
                <w:i/>
                <w:sz w:val="18"/>
              </w:rPr>
              <w:t>Stoichiometric proportions</w:t>
            </w:r>
          </w:p>
        </w:tc>
      </w:tr>
      <w:tr w:rsidR="00F16190" w:rsidRPr="00AE0E28" w14:paraId="04233048"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3198DC38" w14:textId="77777777" w:rsidR="00F16190" w:rsidRPr="00AE0E28" w:rsidRDefault="00F16190" w:rsidP="00F16190">
            <w:pPr>
              <w:jc w:val="right"/>
              <w:rPr>
                <w:b w:val="0"/>
                <w:sz w:val="18"/>
              </w:rPr>
            </w:pPr>
            <w:r w:rsidRPr="00AE0E28">
              <w:rPr>
                <w:b w:val="0"/>
                <w:sz w:val="18"/>
              </w:rPr>
              <w:t>Energy efficiency</w:t>
            </w:r>
          </w:p>
        </w:tc>
        <w:tc>
          <w:tcPr>
            <w:tcW w:w="0" w:type="auto"/>
            <w:gridSpan w:val="3"/>
          </w:tcPr>
          <w:p w14:paraId="50450D7C" w14:textId="780119A1"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i/>
                <w:sz w:val="18"/>
              </w:rPr>
            </w:pPr>
            <w:r w:rsidRPr="00AE0E28">
              <w:rPr>
                <w:i/>
                <w:sz w:val="18"/>
              </w:rPr>
              <w:t xml:space="preserve">Technology parameter, see </w:t>
            </w:r>
            <w:r w:rsidR="004D7AB5" w:rsidRPr="00AE0E28">
              <w:rPr>
                <w:b/>
                <w:i/>
                <w:sz w:val="18"/>
                <w:highlight w:val="yellow"/>
              </w:rPr>
              <w:fldChar w:fldCharType="begin"/>
            </w:r>
            <w:r w:rsidR="004D7AB5" w:rsidRPr="00AE0E28">
              <w:rPr>
                <w:b/>
                <w:i/>
                <w:sz w:val="18"/>
              </w:rPr>
              <w:instrText xml:space="preserve"> REF _Ref144826360 \h </w:instrText>
            </w:r>
            <w:r w:rsidR="004D7AB5" w:rsidRPr="00AE0E28">
              <w:rPr>
                <w:b/>
                <w:i/>
                <w:sz w:val="18"/>
                <w:highlight w:val="yellow"/>
              </w:rPr>
              <w:instrText xml:space="preserve"> \* MERGEFORMAT </w:instrText>
            </w:r>
            <w:r w:rsidR="004D7AB5" w:rsidRPr="00AE0E28">
              <w:rPr>
                <w:b/>
                <w:i/>
                <w:sz w:val="18"/>
                <w:highlight w:val="yellow"/>
              </w:rPr>
            </w:r>
            <w:r w:rsidR="004D7AB5" w:rsidRPr="00AE0E28">
              <w:rPr>
                <w:b/>
                <w:i/>
                <w:sz w:val="18"/>
                <w:highlight w:val="yellow"/>
              </w:rPr>
              <w:fldChar w:fldCharType="separate"/>
            </w:r>
            <w:r w:rsidR="00F25F8C" w:rsidRPr="00AE0E28">
              <w:rPr>
                <w:b/>
                <w:i/>
                <w:sz w:val="18"/>
              </w:rPr>
              <w:t xml:space="preserve">Table SI. </w:t>
            </w:r>
            <w:r w:rsidR="00F25F8C" w:rsidRPr="00AE0E28">
              <w:rPr>
                <w:b/>
                <w:i/>
                <w:noProof/>
                <w:sz w:val="18"/>
              </w:rPr>
              <w:t>70</w:t>
            </w:r>
            <w:r w:rsidR="004D7AB5" w:rsidRPr="00AE0E28">
              <w:rPr>
                <w:b/>
                <w:i/>
                <w:sz w:val="18"/>
                <w:highlight w:val="yellow"/>
              </w:rPr>
              <w:fldChar w:fldCharType="end"/>
            </w:r>
          </w:p>
        </w:tc>
      </w:tr>
    </w:tbl>
    <w:p w14:paraId="19AD6EB7" w14:textId="12DD1363" w:rsidR="00F16190" w:rsidRDefault="00F16190" w:rsidP="006B5342">
      <w:pPr>
        <w:jc w:val="both"/>
        <w:rPr>
          <w:sz w:val="18"/>
        </w:rPr>
      </w:pPr>
      <w:r w:rsidRPr="003F5DA8">
        <w:rPr>
          <w:sz w:val="18"/>
        </w:rPr>
        <w:t>The parameters present in this table were not retained in the sensitivity analysis, these were considered as constants.</w:t>
      </w:r>
    </w:p>
    <w:p w14:paraId="463D7EAD" w14:textId="77777777" w:rsidR="00AE0E28" w:rsidRPr="00AE0E28" w:rsidRDefault="00AE0E28" w:rsidP="00AE0E28"/>
    <w:p w14:paraId="3560CB6A" w14:textId="77777777" w:rsidR="00F16190" w:rsidRDefault="00F16190" w:rsidP="00877BEE">
      <w:pPr>
        <w:pStyle w:val="Titre5"/>
      </w:pPr>
      <w:r w:rsidRPr="0046308C">
        <w:t>Summary of technical assumptions and calculation</w:t>
      </w:r>
    </w:p>
    <w:p w14:paraId="5D6875A7" w14:textId="00E104EA" w:rsidR="00F16190" w:rsidRDefault="00F16190" w:rsidP="00F16190">
      <w:pPr>
        <w:jc w:val="both"/>
        <w:rPr>
          <w:b/>
        </w:rPr>
      </w:pPr>
      <w:r>
        <w:t>C</w:t>
      </w:r>
      <w:r w:rsidRPr="0046308C">
        <w:t xml:space="preserve">alculation </w:t>
      </w:r>
      <w:r>
        <w:t>assumptions and intermediary results illustrated for one case study</w:t>
      </w:r>
      <w:r w:rsidRPr="0046308C">
        <w:t xml:space="preserve"> </w:t>
      </w:r>
      <w:r>
        <w:t>(MP_meths gas post-treatment)</w:t>
      </w:r>
      <w:r w:rsidRPr="0046308C">
        <w:t xml:space="preserve"> are presented in</w:t>
      </w:r>
      <w:r>
        <w:t xml:space="preserve"> </w:t>
      </w:r>
      <w:r w:rsidRPr="00F16190">
        <w:rPr>
          <w:b/>
        </w:rPr>
        <w:fldChar w:fldCharType="begin"/>
      </w:r>
      <w:r w:rsidRPr="00F16190">
        <w:rPr>
          <w:b/>
        </w:rPr>
        <w:instrText xml:space="preserve"> REF _Ref144825332 \h </w:instrText>
      </w:r>
      <w:r>
        <w:rPr>
          <w:b/>
        </w:rPr>
        <w:instrText xml:space="preserve"> \* MERGEFORMAT </w:instrText>
      </w:r>
      <w:r w:rsidRPr="00F16190">
        <w:rPr>
          <w:b/>
        </w:rPr>
      </w:r>
      <w:r w:rsidRPr="00F16190">
        <w:rPr>
          <w:b/>
        </w:rPr>
        <w:fldChar w:fldCharType="separate"/>
      </w:r>
      <w:r w:rsidR="00F25F8C" w:rsidRPr="00F25F8C">
        <w:rPr>
          <w:b/>
        </w:rPr>
        <w:t xml:space="preserve">Table SI. </w:t>
      </w:r>
      <w:r w:rsidR="00F25F8C" w:rsidRPr="00F25F8C">
        <w:rPr>
          <w:b/>
          <w:noProof/>
        </w:rPr>
        <w:t>61</w:t>
      </w:r>
      <w:r w:rsidRPr="00F16190">
        <w:rPr>
          <w:b/>
        </w:rPr>
        <w:fldChar w:fldCharType="end"/>
      </w:r>
      <w:r>
        <w:t xml:space="preserve"> and </w:t>
      </w:r>
      <w:r w:rsidRPr="00F16190">
        <w:rPr>
          <w:b/>
        </w:rPr>
        <w:fldChar w:fldCharType="begin"/>
      </w:r>
      <w:r w:rsidRPr="00F16190">
        <w:rPr>
          <w:b/>
        </w:rPr>
        <w:instrText xml:space="preserve"> REF _Ref144825074 \h </w:instrText>
      </w:r>
      <w:r>
        <w:rPr>
          <w:b/>
        </w:rPr>
        <w:instrText xml:space="preserve"> \* MERGEFORMAT </w:instrText>
      </w:r>
      <w:r w:rsidRPr="00F16190">
        <w:rPr>
          <w:b/>
        </w:rPr>
      </w:r>
      <w:r w:rsidRPr="00F16190">
        <w:rPr>
          <w:b/>
        </w:rPr>
        <w:fldChar w:fldCharType="separate"/>
      </w:r>
      <w:r w:rsidR="00F25F8C" w:rsidRPr="00F25F8C">
        <w:rPr>
          <w:b/>
        </w:rPr>
        <w:t xml:space="preserve">Table SI. </w:t>
      </w:r>
      <w:r w:rsidR="00F25F8C" w:rsidRPr="00F25F8C">
        <w:rPr>
          <w:b/>
          <w:noProof/>
        </w:rPr>
        <w:t>62</w:t>
      </w:r>
      <w:r w:rsidRPr="00F16190">
        <w:rPr>
          <w:b/>
        </w:rPr>
        <w:fldChar w:fldCharType="end"/>
      </w:r>
      <w:r>
        <w:rPr>
          <w:b/>
        </w:rPr>
        <w:t>.</w:t>
      </w:r>
    </w:p>
    <w:p w14:paraId="576DAB10" w14:textId="3FCED4AD" w:rsidR="00F16190" w:rsidRPr="007C2AE0" w:rsidRDefault="00F16190" w:rsidP="006B5342">
      <w:pPr>
        <w:pStyle w:val="Lgende"/>
        <w:jc w:val="left"/>
      </w:pPr>
      <w:bookmarkStart w:id="268" w:name="_Ref144825332"/>
      <w:bookmarkStart w:id="269" w:name="_Toc134537622"/>
      <w:bookmarkStart w:id="270" w:name="_Toc151967945"/>
      <w:r>
        <w:t xml:space="preserve">Table SI. </w:t>
      </w:r>
      <w:r>
        <w:fldChar w:fldCharType="begin"/>
      </w:r>
      <w:r>
        <w:instrText xml:space="preserve"> SEQ Table_SI. \* ARABIC </w:instrText>
      </w:r>
      <w:r>
        <w:fldChar w:fldCharType="separate"/>
      </w:r>
      <w:r w:rsidR="00F25F8C">
        <w:rPr>
          <w:noProof/>
        </w:rPr>
        <w:t>61</w:t>
      </w:r>
      <w:r>
        <w:fldChar w:fldCharType="end"/>
      </w:r>
      <w:bookmarkEnd w:id="268"/>
      <w:r>
        <w:t xml:space="preserve"> </w:t>
      </w:r>
      <w:r w:rsidRPr="007C2AE0">
        <w:t xml:space="preserve">– Heat recovery modeling involved in </w:t>
      </w:r>
      <w:r w:rsidR="002B7E5C">
        <w:t>MP_meths</w:t>
      </w:r>
      <w:r w:rsidRPr="007C2AE0">
        <w:t xml:space="preserve"> pathway</w:t>
      </w:r>
      <w:bookmarkEnd w:id="269"/>
      <w:bookmarkEnd w:id="270"/>
    </w:p>
    <w:tbl>
      <w:tblPr>
        <w:tblStyle w:val="Tableausimple2"/>
        <w:tblW w:w="0" w:type="auto"/>
        <w:tblLook w:val="04A0" w:firstRow="1" w:lastRow="0" w:firstColumn="1" w:lastColumn="0" w:noHBand="0" w:noVBand="1"/>
      </w:tblPr>
      <w:tblGrid>
        <w:gridCol w:w="1879"/>
        <w:gridCol w:w="2633"/>
        <w:gridCol w:w="1780"/>
        <w:gridCol w:w="1532"/>
      </w:tblGrid>
      <w:tr w:rsidR="00F16190" w:rsidRPr="00AE0E28" w14:paraId="666B6C8D"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5485CEE" w14:textId="77777777" w:rsidR="00F16190" w:rsidRPr="00AE0E28" w:rsidRDefault="00F16190" w:rsidP="00AE0E28">
            <w:pPr>
              <w:jc w:val="right"/>
              <w:rPr>
                <w:sz w:val="18"/>
              </w:rPr>
            </w:pPr>
            <w:r w:rsidRPr="00AE0E28">
              <w:rPr>
                <w:sz w:val="18"/>
              </w:rPr>
              <w:t>Unit operation</w:t>
            </w:r>
          </w:p>
        </w:tc>
        <w:tc>
          <w:tcPr>
            <w:tcW w:w="0" w:type="auto"/>
          </w:tcPr>
          <w:p w14:paraId="6421E150" w14:textId="77777777" w:rsidR="00F16190" w:rsidRPr="00AE0E28" w:rsidRDefault="00F16190" w:rsidP="00F16190">
            <w:pPr>
              <w:cnfStyle w:val="100000000000" w:firstRow="1" w:lastRow="0" w:firstColumn="0" w:lastColumn="0" w:oddVBand="0" w:evenVBand="0" w:oddHBand="0" w:evenHBand="0" w:firstRowFirstColumn="0" w:firstRowLastColumn="0" w:lastRowFirstColumn="0" w:lastRowLastColumn="0"/>
              <w:rPr>
                <w:sz w:val="18"/>
              </w:rPr>
            </w:pPr>
            <w:r w:rsidRPr="00AE0E28">
              <w:rPr>
                <w:sz w:val="18"/>
              </w:rPr>
              <w:t>Heat recovery</w:t>
            </w:r>
          </w:p>
        </w:tc>
        <w:tc>
          <w:tcPr>
            <w:tcW w:w="0" w:type="auto"/>
          </w:tcPr>
          <w:p w14:paraId="02CDA584" w14:textId="77777777" w:rsidR="00F16190" w:rsidRPr="00AE0E28" w:rsidRDefault="00F16190" w:rsidP="00F16190">
            <w:pPr>
              <w:cnfStyle w:val="100000000000" w:firstRow="1" w:lastRow="0" w:firstColumn="0" w:lastColumn="0" w:oddVBand="0" w:evenVBand="0" w:oddHBand="0" w:evenHBand="0" w:firstRowFirstColumn="0" w:firstRowLastColumn="0" w:lastRowFirstColumn="0" w:lastRowLastColumn="0"/>
              <w:rPr>
                <w:sz w:val="18"/>
              </w:rPr>
            </w:pPr>
            <w:r w:rsidRPr="00AE0E28">
              <w:rPr>
                <w:sz w:val="18"/>
              </w:rPr>
              <w:t>Temperatures</w:t>
            </w:r>
          </w:p>
        </w:tc>
        <w:tc>
          <w:tcPr>
            <w:tcW w:w="0" w:type="auto"/>
          </w:tcPr>
          <w:p w14:paraId="26535833" w14:textId="77777777" w:rsidR="00F16190" w:rsidRPr="00AE0E28" w:rsidRDefault="00F16190" w:rsidP="00F16190">
            <w:pPr>
              <w:cnfStyle w:val="100000000000" w:firstRow="1" w:lastRow="0" w:firstColumn="0" w:lastColumn="0" w:oddVBand="0" w:evenVBand="0" w:oddHBand="0" w:evenHBand="0" w:firstRowFirstColumn="0" w:firstRowLastColumn="0" w:lastRowFirstColumn="0" w:lastRowLastColumn="0"/>
              <w:rPr>
                <w:sz w:val="18"/>
              </w:rPr>
            </w:pPr>
            <w:r w:rsidRPr="00AE0E28">
              <w:rPr>
                <w:sz w:val="18"/>
              </w:rPr>
              <w:t>Modeling</w:t>
            </w:r>
          </w:p>
        </w:tc>
      </w:tr>
      <w:tr w:rsidR="00F16190" w:rsidRPr="00AE0E28" w14:paraId="52379B91"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2304DC4" w14:textId="77777777" w:rsidR="00F16190" w:rsidRPr="00AE0E28" w:rsidRDefault="00F16190" w:rsidP="00AE0E28">
            <w:pPr>
              <w:jc w:val="right"/>
              <w:rPr>
                <w:b w:val="0"/>
                <w:sz w:val="18"/>
              </w:rPr>
            </w:pPr>
            <w:r w:rsidRPr="00AE0E28">
              <w:rPr>
                <w:b w:val="0"/>
                <w:sz w:val="18"/>
              </w:rPr>
              <w:t>Grinding</w:t>
            </w:r>
          </w:p>
        </w:tc>
        <w:tc>
          <w:tcPr>
            <w:tcW w:w="0" w:type="auto"/>
          </w:tcPr>
          <w:p w14:paraId="52242B4C"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r w:rsidRPr="00AE0E28">
              <w:rPr>
                <w:sz w:val="18"/>
              </w:rPr>
              <w:t>Dust combustion</w:t>
            </w:r>
          </w:p>
        </w:tc>
        <w:tc>
          <w:tcPr>
            <w:tcW w:w="0" w:type="auto"/>
          </w:tcPr>
          <w:p w14:paraId="509DED4E"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r w:rsidRPr="00AE0E28">
              <w:rPr>
                <w:sz w:val="18"/>
              </w:rPr>
              <w:t>n.a.</w:t>
            </w:r>
          </w:p>
        </w:tc>
        <w:tc>
          <w:tcPr>
            <w:tcW w:w="0" w:type="auto"/>
          </w:tcPr>
          <w:p w14:paraId="55A5BC5A"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r w:rsidRPr="00AE0E28">
              <w:rPr>
                <w:sz w:val="18"/>
              </w:rPr>
              <w:t>Solid co-products</w:t>
            </w:r>
          </w:p>
        </w:tc>
      </w:tr>
      <w:tr w:rsidR="00F16190" w:rsidRPr="00AE0E28" w14:paraId="4B31BB8A"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3A57DF78" w14:textId="77777777" w:rsidR="00F16190" w:rsidRPr="00AE0E28" w:rsidRDefault="00F16190" w:rsidP="00AE0E28">
            <w:pPr>
              <w:jc w:val="right"/>
              <w:rPr>
                <w:b w:val="0"/>
                <w:sz w:val="18"/>
              </w:rPr>
            </w:pPr>
            <w:r w:rsidRPr="00AE0E28">
              <w:rPr>
                <w:b w:val="0"/>
                <w:sz w:val="18"/>
              </w:rPr>
              <w:t>Cooling</w:t>
            </w:r>
          </w:p>
        </w:tc>
        <w:tc>
          <w:tcPr>
            <w:tcW w:w="0" w:type="auto"/>
          </w:tcPr>
          <w:p w14:paraId="5824D79B"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r w:rsidRPr="00AE0E28">
              <w:rPr>
                <w:sz w:val="18"/>
              </w:rPr>
              <w:t>Syngas cooling</w:t>
            </w:r>
          </w:p>
        </w:tc>
        <w:tc>
          <w:tcPr>
            <w:tcW w:w="0" w:type="auto"/>
          </w:tcPr>
          <w:p w14:paraId="18704D6C"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r w:rsidRPr="00AE0E28">
              <w:rPr>
                <w:sz w:val="18"/>
              </w:rPr>
              <w:t>900°C to 340°C</w:t>
            </w:r>
          </w:p>
        </w:tc>
        <w:tc>
          <w:tcPr>
            <w:tcW w:w="0" w:type="auto"/>
            <w:vMerge w:val="restart"/>
          </w:tcPr>
          <w:p w14:paraId="2756E23B"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r w:rsidRPr="00AE0E28">
              <w:rPr>
                <w:sz w:val="18"/>
              </w:rPr>
              <w:t>HT WHR</w:t>
            </w:r>
          </w:p>
        </w:tc>
      </w:tr>
      <w:tr w:rsidR="00F16190" w:rsidRPr="00AE0E28" w14:paraId="176DAA76"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DF46942" w14:textId="77777777" w:rsidR="00F16190" w:rsidRPr="00AE0E28" w:rsidRDefault="00F16190" w:rsidP="00AE0E28">
            <w:pPr>
              <w:jc w:val="right"/>
              <w:rPr>
                <w:b w:val="0"/>
                <w:sz w:val="18"/>
              </w:rPr>
            </w:pPr>
            <w:r w:rsidRPr="00AE0E28">
              <w:rPr>
                <w:b w:val="0"/>
                <w:sz w:val="18"/>
              </w:rPr>
              <w:t>Water conversion shift</w:t>
            </w:r>
          </w:p>
        </w:tc>
        <w:tc>
          <w:tcPr>
            <w:tcW w:w="0" w:type="auto"/>
          </w:tcPr>
          <w:p w14:paraId="3476F7CC"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r w:rsidRPr="00AE0E28">
              <w:rPr>
                <w:sz w:val="18"/>
              </w:rPr>
              <w:t>Exothermic reaction</w:t>
            </w:r>
          </w:p>
        </w:tc>
        <w:tc>
          <w:tcPr>
            <w:tcW w:w="0" w:type="auto"/>
          </w:tcPr>
          <w:p w14:paraId="530D1963"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r w:rsidRPr="00AE0E28">
              <w:rPr>
                <w:sz w:val="18"/>
              </w:rPr>
              <w:t>340°C</w:t>
            </w:r>
          </w:p>
        </w:tc>
        <w:tc>
          <w:tcPr>
            <w:tcW w:w="0" w:type="auto"/>
            <w:vMerge/>
          </w:tcPr>
          <w:p w14:paraId="3893C15C"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p>
        </w:tc>
      </w:tr>
      <w:tr w:rsidR="00F16190" w:rsidRPr="00AE0E28" w14:paraId="0B741943"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653121A5" w14:textId="77777777" w:rsidR="00F16190" w:rsidRPr="00AE0E28" w:rsidRDefault="00F16190" w:rsidP="00AE0E28">
            <w:pPr>
              <w:jc w:val="right"/>
              <w:rPr>
                <w:b w:val="0"/>
                <w:sz w:val="18"/>
              </w:rPr>
            </w:pPr>
            <w:r w:rsidRPr="00AE0E28">
              <w:rPr>
                <w:b w:val="0"/>
                <w:sz w:val="18"/>
              </w:rPr>
              <w:t>Methanation</w:t>
            </w:r>
          </w:p>
        </w:tc>
        <w:tc>
          <w:tcPr>
            <w:tcW w:w="0" w:type="auto"/>
          </w:tcPr>
          <w:p w14:paraId="28E49A4C"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r w:rsidRPr="00AE0E28">
              <w:rPr>
                <w:sz w:val="18"/>
              </w:rPr>
              <w:t>Exothermic reaction</w:t>
            </w:r>
          </w:p>
        </w:tc>
        <w:tc>
          <w:tcPr>
            <w:tcW w:w="0" w:type="auto"/>
          </w:tcPr>
          <w:p w14:paraId="650029E7"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r w:rsidRPr="00AE0E28">
              <w:rPr>
                <w:sz w:val="18"/>
              </w:rPr>
              <w:t>340°C</w:t>
            </w:r>
          </w:p>
        </w:tc>
        <w:tc>
          <w:tcPr>
            <w:tcW w:w="0" w:type="auto"/>
            <w:vMerge/>
          </w:tcPr>
          <w:p w14:paraId="52546A05"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p>
        </w:tc>
      </w:tr>
      <w:tr w:rsidR="00F16190" w:rsidRPr="00AE0E28" w14:paraId="11D6FC6C"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FF9D1D7" w14:textId="77777777" w:rsidR="00F16190" w:rsidRPr="00AE0E28" w:rsidRDefault="00F16190" w:rsidP="00AE0E28">
            <w:pPr>
              <w:jc w:val="right"/>
              <w:rPr>
                <w:b w:val="0"/>
                <w:sz w:val="18"/>
              </w:rPr>
            </w:pPr>
            <w:r w:rsidRPr="00AE0E28">
              <w:rPr>
                <w:b w:val="0"/>
                <w:sz w:val="18"/>
              </w:rPr>
              <w:t>Methanation</w:t>
            </w:r>
          </w:p>
        </w:tc>
        <w:tc>
          <w:tcPr>
            <w:tcW w:w="0" w:type="auto"/>
          </w:tcPr>
          <w:p w14:paraId="2DF40F48"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r w:rsidRPr="00AE0E28">
              <w:rPr>
                <w:sz w:val="18"/>
              </w:rPr>
              <w:t>Methanized gas cooling</w:t>
            </w:r>
          </w:p>
        </w:tc>
        <w:tc>
          <w:tcPr>
            <w:tcW w:w="0" w:type="auto"/>
          </w:tcPr>
          <w:p w14:paraId="06FAFF79"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r w:rsidRPr="00AE0E28">
              <w:rPr>
                <w:sz w:val="18"/>
              </w:rPr>
              <w:t>340°C to 35°C</w:t>
            </w:r>
          </w:p>
        </w:tc>
        <w:tc>
          <w:tcPr>
            <w:tcW w:w="0" w:type="auto"/>
            <w:vMerge/>
          </w:tcPr>
          <w:p w14:paraId="66276EEA"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rPr>
            </w:pPr>
          </w:p>
        </w:tc>
      </w:tr>
      <w:tr w:rsidR="00F16190" w:rsidRPr="00AE0E28" w14:paraId="1C30F13C"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7F9E86E9" w14:textId="77777777" w:rsidR="00F16190" w:rsidRPr="00AE0E28" w:rsidRDefault="00F16190" w:rsidP="00AE0E28">
            <w:pPr>
              <w:jc w:val="right"/>
              <w:rPr>
                <w:b w:val="0"/>
                <w:sz w:val="18"/>
              </w:rPr>
            </w:pPr>
            <w:r w:rsidRPr="00AE0E28">
              <w:rPr>
                <w:b w:val="0"/>
                <w:sz w:val="18"/>
              </w:rPr>
              <w:t>Electrolysis</w:t>
            </w:r>
          </w:p>
        </w:tc>
        <w:tc>
          <w:tcPr>
            <w:tcW w:w="0" w:type="auto"/>
          </w:tcPr>
          <w:p w14:paraId="7FAA8403"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r w:rsidRPr="00AE0E28">
              <w:rPr>
                <w:sz w:val="18"/>
              </w:rPr>
              <w:t>Exothermic reaction</w:t>
            </w:r>
          </w:p>
        </w:tc>
        <w:tc>
          <w:tcPr>
            <w:tcW w:w="0" w:type="auto"/>
          </w:tcPr>
          <w:p w14:paraId="4B977288"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r w:rsidRPr="00AE0E28">
              <w:rPr>
                <w:sz w:val="18"/>
              </w:rPr>
              <w:t>80°C</w:t>
            </w:r>
          </w:p>
        </w:tc>
        <w:tc>
          <w:tcPr>
            <w:tcW w:w="0" w:type="auto"/>
          </w:tcPr>
          <w:p w14:paraId="0C11A699"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rPr>
            </w:pPr>
            <w:r w:rsidRPr="00AE0E28">
              <w:rPr>
                <w:sz w:val="18"/>
              </w:rPr>
              <w:t>LT WHR</w:t>
            </w:r>
          </w:p>
        </w:tc>
      </w:tr>
      <w:tr w:rsidR="00F16190" w:rsidRPr="00AE0E28" w14:paraId="660EE8A5"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CA34060" w14:textId="618BF871" w:rsidR="00F16190" w:rsidRPr="00AE0E28" w:rsidRDefault="00F16190" w:rsidP="00AE0E28">
            <w:pPr>
              <w:jc w:val="right"/>
              <w:rPr>
                <w:b w:val="0"/>
                <w:i/>
                <w:sz w:val="18"/>
              </w:rPr>
            </w:pPr>
          </w:p>
        </w:tc>
        <w:tc>
          <w:tcPr>
            <w:tcW w:w="0" w:type="auto"/>
            <w:gridSpan w:val="2"/>
          </w:tcPr>
          <w:p w14:paraId="3DE9517B"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i/>
                <w:sz w:val="18"/>
              </w:rPr>
            </w:pPr>
            <w:r w:rsidRPr="00AE0E28">
              <w:rPr>
                <w:i/>
                <w:sz w:val="18"/>
              </w:rPr>
              <w:t>Fixed in this study, 35°C to be aligned with MP production</w:t>
            </w:r>
          </w:p>
        </w:tc>
        <w:tc>
          <w:tcPr>
            <w:tcW w:w="0" w:type="auto"/>
          </w:tcPr>
          <w:p w14:paraId="3AE7B4C6" w14:textId="77886E74" w:rsidR="00F16190" w:rsidRPr="00AE0E28" w:rsidRDefault="00C942CE" w:rsidP="00F16190">
            <w:pPr>
              <w:cnfStyle w:val="000000100000" w:firstRow="0" w:lastRow="0" w:firstColumn="0" w:lastColumn="0" w:oddVBand="0" w:evenVBand="0" w:oddHBand="1" w:evenHBand="0" w:firstRowFirstColumn="0" w:firstRowLastColumn="0" w:lastRowFirstColumn="0" w:lastRowLastColumn="0"/>
              <w:rPr>
                <w:b/>
                <w:i/>
                <w:sz w:val="18"/>
              </w:rPr>
            </w:pPr>
            <w:r w:rsidRPr="00AE0E28">
              <w:rPr>
                <w:i/>
                <w:sz w:val="18"/>
              </w:rPr>
              <w:t xml:space="preserve">See </w:t>
            </w:r>
            <w:r w:rsidRPr="00AE0E28">
              <w:rPr>
                <w:b/>
                <w:i/>
                <w:sz w:val="18"/>
              </w:rPr>
              <w:t>s</w:t>
            </w:r>
            <w:r w:rsidR="00F16190" w:rsidRPr="00AE0E28">
              <w:rPr>
                <w:b/>
                <w:i/>
                <w:sz w:val="18"/>
              </w:rPr>
              <w:t>ection</w:t>
            </w:r>
            <w:r w:rsidR="000C6C37">
              <w:rPr>
                <w:b/>
                <w:i/>
                <w:sz w:val="18"/>
              </w:rPr>
              <w:t xml:space="preserve"> SI.</w:t>
            </w:r>
            <w:r w:rsidR="00F16190" w:rsidRPr="00AE0E28">
              <w:rPr>
                <w:b/>
                <w:i/>
                <w:sz w:val="18"/>
              </w:rPr>
              <w:t xml:space="preserve"> </w:t>
            </w:r>
            <w:r w:rsidR="00F16190" w:rsidRPr="00AE0E28">
              <w:rPr>
                <w:b/>
                <w:i/>
                <w:sz w:val="18"/>
              </w:rPr>
              <w:fldChar w:fldCharType="begin"/>
            </w:r>
            <w:r w:rsidR="00F16190" w:rsidRPr="00AE0E28">
              <w:rPr>
                <w:b/>
                <w:i/>
                <w:sz w:val="18"/>
              </w:rPr>
              <w:instrText xml:space="preserve"> REF _Ref144802667 \r \h </w:instrText>
            </w:r>
            <w:r w:rsidR="00AE0E28" w:rsidRPr="00AE0E28">
              <w:rPr>
                <w:b/>
                <w:i/>
                <w:sz w:val="18"/>
              </w:rPr>
              <w:instrText xml:space="preserve"> \* MERGEFORMAT </w:instrText>
            </w:r>
            <w:r w:rsidR="00F16190" w:rsidRPr="00AE0E28">
              <w:rPr>
                <w:b/>
                <w:i/>
                <w:sz w:val="18"/>
              </w:rPr>
            </w:r>
            <w:r w:rsidR="00F16190" w:rsidRPr="00AE0E28">
              <w:rPr>
                <w:b/>
                <w:i/>
                <w:sz w:val="18"/>
              </w:rPr>
              <w:fldChar w:fldCharType="separate"/>
            </w:r>
            <w:r w:rsidR="00F25F8C" w:rsidRPr="00AE0E28">
              <w:rPr>
                <w:b/>
                <w:i/>
                <w:sz w:val="18"/>
              </w:rPr>
              <w:t>4.1</w:t>
            </w:r>
            <w:r w:rsidR="00F16190" w:rsidRPr="00AE0E28">
              <w:rPr>
                <w:b/>
                <w:i/>
                <w:sz w:val="18"/>
              </w:rPr>
              <w:fldChar w:fldCharType="end"/>
            </w:r>
          </w:p>
        </w:tc>
      </w:tr>
    </w:tbl>
    <w:p w14:paraId="49A6D9D2" w14:textId="77777777" w:rsidR="00AE0E28" w:rsidRDefault="00AE0E28" w:rsidP="00F16190">
      <w:pPr>
        <w:pStyle w:val="Lgende"/>
      </w:pPr>
      <w:bookmarkStart w:id="271" w:name="_Ref144825074"/>
      <w:bookmarkStart w:id="272" w:name="_Toc134537623"/>
    </w:p>
    <w:p w14:paraId="7ABA6A0F" w14:textId="77777777" w:rsidR="00AE0E28" w:rsidRDefault="00AE0E28">
      <w:pPr>
        <w:rPr>
          <w:rFonts w:eastAsia="BatangChe" w:cs="Angsana New"/>
          <w:b/>
          <w:bCs/>
          <w:kern w:val="2"/>
          <w:sz w:val="20"/>
          <w:szCs w:val="20"/>
          <w:lang w:eastAsia="ko-KR"/>
        </w:rPr>
      </w:pPr>
      <w:r>
        <w:br w:type="page"/>
      </w:r>
    </w:p>
    <w:p w14:paraId="64FFDE2D" w14:textId="20FF3C56" w:rsidR="00F16190" w:rsidRPr="0046308C" w:rsidRDefault="00F16190" w:rsidP="006B5342">
      <w:pPr>
        <w:pStyle w:val="Lgende"/>
        <w:jc w:val="left"/>
        <w:rPr>
          <w:b w:val="0"/>
          <w:i/>
        </w:rPr>
      </w:pPr>
      <w:bookmarkStart w:id="273" w:name="_Toc151967946"/>
      <w:r>
        <w:lastRenderedPageBreak/>
        <w:t xml:space="preserve">Table SI. </w:t>
      </w:r>
      <w:r>
        <w:fldChar w:fldCharType="begin"/>
      </w:r>
      <w:r>
        <w:instrText xml:space="preserve"> SEQ Table_SI. \* ARABIC </w:instrText>
      </w:r>
      <w:r>
        <w:fldChar w:fldCharType="separate"/>
      </w:r>
      <w:r w:rsidR="00F25F8C">
        <w:rPr>
          <w:noProof/>
        </w:rPr>
        <w:t>62</w:t>
      </w:r>
      <w:r>
        <w:fldChar w:fldCharType="end"/>
      </w:r>
      <w:bookmarkEnd w:id="271"/>
      <w:r>
        <w:t xml:space="preserve"> </w:t>
      </w:r>
      <w:r w:rsidRPr="007C2AE0">
        <w:t xml:space="preserve">– </w:t>
      </w:r>
      <w:r>
        <w:t>MP_meths</w:t>
      </w:r>
      <w:r w:rsidRPr="007C2AE0">
        <w:t xml:space="preserve"> pathway gas flows and energy performances illustrated for hardwood residues</w:t>
      </w:r>
      <w:bookmarkEnd w:id="272"/>
      <w:bookmarkEnd w:id="273"/>
    </w:p>
    <w:tbl>
      <w:tblPr>
        <w:tblStyle w:val="Tableausimple2"/>
        <w:tblW w:w="0" w:type="auto"/>
        <w:tblLook w:val="04A0" w:firstRow="1" w:lastRow="0" w:firstColumn="1" w:lastColumn="0" w:noHBand="0" w:noVBand="1"/>
      </w:tblPr>
      <w:tblGrid>
        <w:gridCol w:w="1559"/>
        <w:gridCol w:w="1722"/>
        <w:gridCol w:w="966"/>
        <w:gridCol w:w="871"/>
        <w:gridCol w:w="2455"/>
        <w:gridCol w:w="1499"/>
      </w:tblGrid>
      <w:tr w:rsidR="00AE0E28" w:rsidRPr="00AE0E28" w14:paraId="5D192A63"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6FB5531" w14:textId="77777777" w:rsidR="00F16190" w:rsidRPr="00AE0E28" w:rsidRDefault="00F16190" w:rsidP="00F16190">
            <w:pPr>
              <w:jc w:val="right"/>
              <w:rPr>
                <w:sz w:val="18"/>
                <w:szCs w:val="18"/>
              </w:rPr>
            </w:pPr>
            <w:r w:rsidRPr="00AE0E28">
              <w:rPr>
                <w:sz w:val="18"/>
                <w:szCs w:val="18"/>
              </w:rPr>
              <w:t>Gas composition (%</w:t>
            </w:r>
            <w:r w:rsidRPr="00AE0E28">
              <w:rPr>
                <w:sz w:val="18"/>
                <w:szCs w:val="18"/>
                <w:vertAlign w:val="subscript"/>
              </w:rPr>
              <w:t>vol</w:t>
            </w:r>
            <w:r w:rsidRPr="00AE0E28">
              <w:rPr>
                <w:sz w:val="18"/>
                <w:szCs w:val="18"/>
              </w:rPr>
              <w:t>)</w:t>
            </w:r>
          </w:p>
        </w:tc>
        <w:tc>
          <w:tcPr>
            <w:tcW w:w="0" w:type="auto"/>
          </w:tcPr>
          <w:p w14:paraId="33000168" w14:textId="77777777" w:rsidR="00F16190" w:rsidRPr="00AE0E28" w:rsidRDefault="00F16190" w:rsidP="00F16190">
            <w:pPr>
              <w:cnfStyle w:val="100000000000" w:firstRow="1" w:lastRow="0" w:firstColumn="0" w:lastColumn="0" w:oddVBand="0" w:evenVBand="0" w:oddHBand="0" w:evenHBand="0" w:firstRowFirstColumn="0" w:firstRowLastColumn="0" w:lastRowFirstColumn="0" w:lastRowLastColumn="0"/>
              <w:rPr>
                <w:sz w:val="18"/>
                <w:szCs w:val="18"/>
              </w:rPr>
            </w:pPr>
            <w:r w:rsidRPr="00AE0E28">
              <w:rPr>
                <w:sz w:val="18"/>
                <w:szCs w:val="18"/>
              </w:rPr>
              <w:t>Hot syngas</w:t>
            </w:r>
            <w:r w:rsidRPr="00AE0E28">
              <w:rPr>
                <w:sz w:val="18"/>
                <w:szCs w:val="18"/>
                <w:vertAlign w:val="superscript"/>
              </w:rPr>
              <w:t>*</w:t>
            </w:r>
          </w:p>
        </w:tc>
        <w:tc>
          <w:tcPr>
            <w:tcW w:w="0" w:type="auto"/>
          </w:tcPr>
          <w:p w14:paraId="2242CCFF" w14:textId="77777777" w:rsidR="00F16190" w:rsidRPr="00AE0E28" w:rsidRDefault="00F16190" w:rsidP="00F16190">
            <w:pPr>
              <w:cnfStyle w:val="100000000000" w:firstRow="1" w:lastRow="0" w:firstColumn="0" w:lastColumn="0" w:oddVBand="0" w:evenVBand="0" w:oddHBand="0" w:evenHBand="0" w:firstRowFirstColumn="0" w:firstRowLastColumn="0" w:lastRowFirstColumn="0" w:lastRowLastColumn="0"/>
              <w:rPr>
                <w:sz w:val="18"/>
                <w:szCs w:val="18"/>
              </w:rPr>
            </w:pPr>
            <w:r w:rsidRPr="00AE0E28">
              <w:rPr>
                <w:sz w:val="18"/>
                <w:szCs w:val="18"/>
              </w:rPr>
              <w:t>Cooled syngas</w:t>
            </w:r>
          </w:p>
        </w:tc>
        <w:tc>
          <w:tcPr>
            <w:tcW w:w="0" w:type="auto"/>
          </w:tcPr>
          <w:p w14:paraId="77BF20C9" w14:textId="77777777" w:rsidR="00F16190" w:rsidRPr="00AE0E28" w:rsidRDefault="00F16190" w:rsidP="00F16190">
            <w:pPr>
              <w:cnfStyle w:val="100000000000" w:firstRow="1" w:lastRow="0" w:firstColumn="0" w:lastColumn="0" w:oddVBand="0" w:evenVBand="0" w:oddHBand="0" w:evenHBand="0" w:firstRowFirstColumn="0" w:firstRowLastColumn="0" w:lastRowFirstColumn="0" w:lastRowLastColumn="0"/>
              <w:rPr>
                <w:sz w:val="18"/>
                <w:szCs w:val="18"/>
              </w:rPr>
            </w:pPr>
            <w:r w:rsidRPr="00AE0E28">
              <w:rPr>
                <w:sz w:val="18"/>
                <w:szCs w:val="18"/>
              </w:rPr>
              <w:t>Shifted gas</w:t>
            </w:r>
          </w:p>
        </w:tc>
        <w:tc>
          <w:tcPr>
            <w:tcW w:w="0" w:type="auto"/>
          </w:tcPr>
          <w:p w14:paraId="7A59AA2A" w14:textId="77777777" w:rsidR="00F16190" w:rsidRPr="00AE0E28" w:rsidRDefault="00F16190" w:rsidP="00F16190">
            <w:pPr>
              <w:cnfStyle w:val="100000000000" w:firstRow="1" w:lastRow="0" w:firstColumn="0" w:lastColumn="0" w:oddVBand="0" w:evenVBand="0" w:oddHBand="0" w:evenHBand="0" w:firstRowFirstColumn="0" w:firstRowLastColumn="0" w:lastRowFirstColumn="0" w:lastRowLastColumn="0"/>
              <w:rPr>
                <w:sz w:val="18"/>
                <w:szCs w:val="18"/>
              </w:rPr>
            </w:pPr>
            <w:r w:rsidRPr="00AE0E28">
              <w:rPr>
                <w:sz w:val="18"/>
                <w:szCs w:val="18"/>
              </w:rPr>
              <w:t>Methanized gas</w:t>
            </w:r>
          </w:p>
        </w:tc>
        <w:tc>
          <w:tcPr>
            <w:tcW w:w="0" w:type="auto"/>
          </w:tcPr>
          <w:p w14:paraId="5CE203DE" w14:textId="77777777" w:rsidR="00F16190" w:rsidRPr="00AE0E28" w:rsidRDefault="00F16190" w:rsidP="00F16190">
            <w:pPr>
              <w:cnfStyle w:val="100000000000" w:firstRow="1" w:lastRow="0" w:firstColumn="0" w:lastColumn="0" w:oddVBand="0" w:evenVBand="0" w:oddHBand="0" w:evenHBand="0" w:firstRowFirstColumn="0" w:firstRowLastColumn="0" w:lastRowFirstColumn="0" w:lastRowLastColumn="0"/>
              <w:rPr>
                <w:sz w:val="18"/>
                <w:szCs w:val="18"/>
              </w:rPr>
            </w:pPr>
            <w:r w:rsidRPr="00AE0E28">
              <w:rPr>
                <w:sz w:val="18"/>
                <w:szCs w:val="18"/>
              </w:rPr>
              <w:t>Cooled methanized gas</w:t>
            </w:r>
          </w:p>
        </w:tc>
      </w:tr>
      <w:tr w:rsidR="00AE0E28" w:rsidRPr="00AE0E28" w14:paraId="6A611DEC"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97BFED8" w14:textId="77777777" w:rsidR="00F16190" w:rsidRPr="00AE0E28" w:rsidRDefault="00F16190" w:rsidP="00F16190">
            <w:pPr>
              <w:jc w:val="right"/>
              <w:rPr>
                <w:b w:val="0"/>
                <w:sz w:val="18"/>
                <w:szCs w:val="18"/>
              </w:rPr>
            </w:pPr>
            <w:r w:rsidRPr="00AE0E28">
              <w:rPr>
                <w:b w:val="0"/>
                <w:sz w:val="18"/>
                <w:szCs w:val="18"/>
              </w:rPr>
              <w:t>H</w:t>
            </w:r>
            <w:r w:rsidRPr="00AE0E28">
              <w:rPr>
                <w:b w:val="0"/>
                <w:sz w:val="18"/>
                <w:szCs w:val="18"/>
                <w:vertAlign w:val="subscript"/>
              </w:rPr>
              <w:t>2</w:t>
            </w:r>
          </w:p>
        </w:tc>
        <w:tc>
          <w:tcPr>
            <w:tcW w:w="0" w:type="auto"/>
          </w:tcPr>
          <w:p w14:paraId="14EC6702"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12%</w:t>
            </w:r>
          </w:p>
        </w:tc>
        <w:tc>
          <w:tcPr>
            <w:tcW w:w="0" w:type="auto"/>
          </w:tcPr>
          <w:p w14:paraId="4C387697"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12%</w:t>
            </w:r>
          </w:p>
        </w:tc>
        <w:tc>
          <w:tcPr>
            <w:tcW w:w="0" w:type="auto"/>
          </w:tcPr>
          <w:p w14:paraId="2D2A67E8"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i/>
                <w:sz w:val="18"/>
                <w:szCs w:val="18"/>
              </w:rPr>
            </w:pPr>
            <w:r w:rsidRPr="00AE0E28">
              <w:rPr>
                <w:sz w:val="18"/>
                <w:szCs w:val="18"/>
              </w:rPr>
              <w:t>22.7%</w:t>
            </w:r>
          </w:p>
        </w:tc>
        <w:tc>
          <w:tcPr>
            <w:tcW w:w="0" w:type="auto"/>
          </w:tcPr>
          <w:p w14:paraId="4EE0FC15"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0.3%</w:t>
            </w:r>
          </w:p>
        </w:tc>
        <w:tc>
          <w:tcPr>
            <w:tcW w:w="0" w:type="auto"/>
          </w:tcPr>
          <w:p w14:paraId="28339270"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0.5%</w:t>
            </w:r>
          </w:p>
        </w:tc>
      </w:tr>
      <w:tr w:rsidR="00AE0E28" w:rsidRPr="00AE0E28" w14:paraId="0A126096"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2AC5D7CE" w14:textId="77777777" w:rsidR="00F16190" w:rsidRPr="00AE0E28" w:rsidRDefault="00F16190" w:rsidP="00F16190">
            <w:pPr>
              <w:jc w:val="right"/>
              <w:rPr>
                <w:b w:val="0"/>
                <w:sz w:val="18"/>
                <w:szCs w:val="18"/>
              </w:rPr>
            </w:pPr>
            <w:r w:rsidRPr="00AE0E28">
              <w:rPr>
                <w:b w:val="0"/>
                <w:sz w:val="18"/>
                <w:szCs w:val="18"/>
              </w:rPr>
              <w:t>CO</w:t>
            </w:r>
          </w:p>
        </w:tc>
        <w:tc>
          <w:tcPr>
            <w:tcW w:w="0" w:type="auto"/>
          </w:tcPr>
          <w:p w14:paraId="02F4B0FD"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19%</w:t>
            </w:r>
          </w:p>
        </w:tc>
        <w:tc>
          <w:tcPr>
            <w:tcW w:w="0" w:type="auto"/>
          </w:tcPr>
          <w:p w14:paraId="00368167"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19%</w:t>
            </w:r>
          </w:p>
        </w:tc>
        <w:tc>
          <w:tcPr>
            <w:tcW w:w="0" w:type="auto"/>
          </w:tcPr>
          <w:p w14:paraId="460EF555"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i/>
                <w:sz w:val="18"/>
                <w:szCs w:val="18"/>
              </w:rPr>
            </w:pPr>
            <w:r w:rsidRPr="00AE0E28">
              <w:rPr>
                <w:sz w:val="18"/>
                <w:szCs w:val="18"/>
              </w:rPr>
              <w:t>2.3%</w:t>
            </w:r>
          </w:p>
        </w:tc>
        <w:tc>
          <w:tcPr>
            <w:tcW w:w="0" w:type="auto"/>
          </w:tcPr>
          <w:p w14:paraId="46E68F18"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0.1%</w:t>
            </w:r>
          </w:p>
        </w:tc>
        <w:tc>
          <w:tcPr>
            <w:tcW w:w="0" w:type="auto"/>
          </w:tcPr>
          <w:p w14:paraId="160C77C5"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0.3%</w:t>
            </w:r>
          </w:p>
        </w:tc>
      </w:tr>
      <w:tr w:rsidR="00AE0E28" w:rsidRPr="00AE0E28" w14:paraId="6D70BC17"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E1010A9" w14:textId="77777777" w:rsidR="00F16190" w:rsidRPr="00AE0E28" w:rsidRDefault="00F16190" w:rsidP="00F16190">
            <w:pPr>
              <w:jc w:val="right"/>
              <w:rPr>
                <w:b w:val="0"/>
                <w:sz w:val="18"/>
                <w:szCs w:val="18"/>
              </w:rPr>
            </w:pPr>
            <w:r w:rsidRPr="00AE0E28">
              <w:rPr>
                <w:b w:val="0"/>
                <w:sz w:val="18"/>
                <w:szCs w:val="18"/>
              </w:rPr>
              <w:t>H</w:t>
            </w:r>
            <w:r w:rsidRPr="00AE0E28">
              <w:rPr>
                <w:b w:val="0"/>
                <w:sz w:val="18"/>
                <w:szCs w:val="18"/>
                <w:vertAlign w:val="subscript"/>
              </w:rPr>
              <w:t>2</w:t>
            </w:r>
            <w:r w:rsidRPr="00AE0E28">
              <w:rPr>
                <w:b w:val="0"/>
                <w:sz w:val="18"/>
                <w:szCs w:val="18"/>
              </w:rPr>
              <w:t>O</w:t>
            </w:r>
          </w:p>
        </w:tc>
        <w:tc>
          <w:tcPr>
            <w:tcW w:w="0" w:type="auto"/>
          </w:tcPr>
          <w:p w14:paraId="495C301C"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5%</w:t>
            </w:r>
          </w:p>
        </w:tc>
        <w:tc>
          <w:tcPr>
            <w:tcW w:w="0" w:type="auto"/>
          </w:tcPr>
          <w:p w14:paraId="70AE80CE"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5%</w:t>
            </w:r>
          </w:p>
        </w:tc>
        <w:tc>
          <w:tcPr>
            <w:tcW w:w="0" w:type="auto"/>
          </w:tcPr>
          <w:p w14:paraId="7190487B"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i/>
                <w:sz w:val="18"/>
                <w:szCs w:val="18"/>
              </w:rPr>
            </w:pPr>
            <w:r w:rsidRPr="00AE0E28">
              <w:rPr>
                <w:sz w:val="18"/>
                <w:szCs w:val="18"/>
              </w:rPr>
              <w:t>10.3%</w:t>
            </w:r>
          </w:p>
        </w:tc>
        <w:tc>
          <w:tcPr>
            <w:tcW w:w="0" w:type="auto"/>
          </w:tcPr>
          <w:p w14:paraId="47399B62"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45.9%</w:t>
            </w:r>
          </w:p>
        </w:tc>
        <w:tc>
          <w:tcPr>
            <w:tcW w:w="0" w:type="auto"/>
          </w:tcPr>
          <w:p w14:paraId="080ACC75"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0%</w:t>
            </w:r>
          </w:p>
        </w:tc>
      </w:tr>
      <w:tr w:rsidR="00AE0E28" w:rsidRPr="00AE0E28" w14:paraId="3E89B334"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18EC9D5E" w14:textId="77777777" w:rsidR="00F16190" w:rsidRPr="00AE0E28" w:rsidRDefault="00F16190" w:rsidP="00F16190">
            <w:pPr>
              <w:jc w:val="right"/>
              <w:rPr>
                <w:b w:val="0"/>
                <w:sz w:val="18"/>
                <w:szCs w:val="18"/>
              </w:rPr>
            </w:pPr>
            <w:r w:rsidRPr="00AE0E28">
              <w:rPr>
                <w:b w:val="0"/>
                <w:sz w:val="18"/>
                <w:szCs w:val="18"/>
              </w:rPr>
              <w:t>CO</w:t>
            </w:r>
            <w:r w:rsidRPr="00AE0E28">
              <w:rPr>
                <w:b w:val="0"/>
                <w:sz w:val="18"/>
                <w:szCs w:val="18"/>
                <w:vertAlign w:val="subscript"/>
              </w:rPr>
              <w:t>2</w:t>
            </w:r>
          </w:p>
        </w:tc>
        <w:tc>
          <w:tcPr>
            <w:tcW w:w="0" w:type="auto"/>
          </w:tcPr>
          <w:p w14:paraId="485DDEEA"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13%</w:t>
            </w:r>
          </w:p>
        </w:tc>
        <w:tc>
          <w:tcPr>
            <w:tcW w:w="0" w:type="auto"/>
          </w:tcPr>
          <w:p w14:paraId="543D8096"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13%</w:t>
            </w:r>
          </w:p>
        </w:tc>
        <w:tc>
          <w:tcPr>
            <w:tcW w:w="0" w:type="auto"/>
          </w:tcPr>
          <w:p w14:paraId="567AE291"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i/>
                <w:sz w:val="18"/>
                <w:szCs w:val="18"/>
              </w:rPr>
            </w:pPr>
            <w:r w:rsidRPr="00AE0E28">
              <w:rPr>
                <w:sz w:val="18"/>
                <w:szCs w:val="18"/>
              </w:rPr>
              <w:t>23.5%</w:t>
            </w:r>
          </w:p>
        </w:tc>
        <w:tc>
          <w:tcPr>
            <w:tcW w:w="0" w:type="auto"/>
          </w:tcPr>
          <w:p w14:paraId="4352B9FB"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0.9%</w:t>
            </w:r>
          </w:p>
        </w:tc>
        <w:tc>
          <w:tcPr>
            <w:tcW w:w="0" w:type="auto"/>
          </w:tcPr>
          <w:p w14:paraId="57B59BD6"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1.7%</w:t>
            </w:r>
          </w:p>
        </w:tc>
      </w:tr>
      <w:tr w:rsidR="00AE0E28" w:rsidRPr="00AE0E28" w14:paraId="6DBD1EE4"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3AC9BFF" w14:textId="77777777" w:rsidR="00F16190" w:rsidRPr="00AE0E28" w:rsidRDefault="00F16190" w:rsidP="00F16190">
            <w:pPr>
              <w:jc w:val="right"/>
              <w:rPr>
                <w:b w:val="0"/>
                <w:sz w:val="18"/>
                <w:szCs w:val="18"/>
              </w:rPr>
            </w:pPr>
            <w:r w:rsidRPr="00AE0E28">
              <w:rPr>
                <w:b w:val="0"/>
                <w:sz w:val="18"/>
                <w:szCs w:val="18"/>
              </w:rPr>
              <w:t>CH</w:t>
            </w:r>
            <w:r w:rsidRPr="00AE0E28">
              <w:rPr>
                <w:b w:val="0"/>
                <w:sz w:val="18"/>
                <w:szCs w:val="18"/>
                <w:vertAlign w:val="subscript"/>
              </w:rPr>
              <w:t>4</w:t>
            </w:r>
          </w:p>
        </w:tc>
        <w:tc>
          <w:tcPr>
            <w:tcW w:w="0" w:type="auto"/>
          </w:tcPr>
          <w:p w14:paraId="4FE951C3"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3%</w:t>
            </w:r>
          </w:p>
        </w:tc>
        <w:tc>
          <w:tcPr>
            <w:tcW w:w="0" w:type="auto"/>
          </w:tcPr>
          <w:p w14:paraId="44F294A9"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3%</w:t>
            </w:r>
          </w:p>
        </w:tc>
        <w:tc>
          <w:tcPr>
            <w:tcW w:w="0" w:type="auto"/>
          </w:tcPr>
          <w:p w14:paraId="293DE3AC"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i/>
                <w:sz w:val="18"/>
                <w:szCs w:val="18"/>
              </w:rPr>
            </w:pPr>
            <w:r w:rsidRPr="00AE0E28">
              <w:rPr>
                <w:sz w:val="18"/>
                <w:szCs w:val="18"/>
              </w:rPr>
              <w:t>2.4%</w:t>
            </w:r>
          </w:p>
        </w:tc>
        <w:tc>
          <w:tcPr>
            <w:tcW w:w="0" w:type="auto"/>
          </w:tcPr>
          <w:p w14:paraId="465413E0"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21.6%</w:t>
            </w:r>
          </w:p>
        </w:tc>
        <w:tc>
          <w:tcPr>
            <w:tcW w:w="0" w:type="auto"/>
          </w:tcPr>
          <w:p w14:paraId="228B62C6"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40%</w:t>
            </w:r>
          </w:p>
        </w:tc>
      </w:tr>
      <w:tr w:rsidR="00AE0E28" w:rsidRPr="00AE0E28" w14:paraId="113E8213"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0B570B7D" w14:textId="77777777" w:rsidR="00F16190" w:rsidRPr="00AE0E28" w:rsidRDefault="00F16190" w:rsidP="00F16190">
            <w:pPr>
              <w:jc w:val="right"/>
              <w:rPr>
                <w:b w:val="0"/>
                <w:sz w:val="18"/>
                <w:szCs w:val="18"/>
              </w:rPr>
            </w:pPr>
            <w:r w:rsidRPr="00AE0E28">
              <w:rPr>
                <w:b w:val="0"/>
                <w:sz w:val="18"/>
                <w:szCs w:val="18"/>
              </w:rPr>
              <w:t>N</w:t>
            </w:r>
            <w:r w:rsidRPr="00AE0E28">
              <w:rPr>
                <w:b w:val="0"/>
                <w:sz w:val="18"/>
                <w:szCs w:val="18"/>
                <w:vertAlign w:val="subscript"/>
              </w:rPr>
              <w:t>2</w:t>
            </w:r>
          </w:p>
        </w:tc>
        <w:tc>
          <w:tcPr>
            <w:tcW w:w="0" w:type="auto"/>
          </w:tcPr>
          <w:p w14:paraId="25607B3A"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48%</w:t>
            </w:r>
          </w:p>
        </w:tc>
        <w:tc>
          <w:tcPr>
            <w:tcW w:w="0" w:type="auto"/>
          </w:tcPr>
          <w:p w14:paraId="0164181F"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48%</w:t>
            </w:r>
          </w:p>
        </w:tc>
        <w:tc>
          <w:tcPr>
            <w:tcW w:w="0" w:type="auto"/>
          </w:tcPr>
          <w:p w14:paraId="77FE0BA4"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i/>
                <w:sz w:val="18"/>
                <w:szCs w:val="18"/>
              </w:rPr>
            </w:pPr>
            <w:r w:rsidRPr="00AE0E28">
              <w:rPr>
                <w:sz w:val="18"/>
                <w:szCs w:val="18"/>
              </w:rPr>
              <w:t>38.7%</w:t>
            </w:r>
          </w:p>
        </w:tc>
        <w:tc>
          <w:tcPr>
            <w:tcW w:w="0" w:type="auto"/>
          </w:tcPr>
          <w:p w14:paraId="68117D20"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31.1%</w:t>
            </w:r>
          </w:p>
        </w:tc>
        <w:tc>
          <w:tcPr>
            <w:tcW w:w="0" w:type="auto"/>
          </w:tcPr>
          <w:p w14:paraId="01FA253F"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57.5%</w:t>
            </w:r>
          </w:p>
        </w:tc>
      </w:tr>
      <w:tr w:rsidR="00F16190" w:rsidRPr="00AE0E28" w14:paraId="7DFA7F24"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610D092" w14:textId="77777777" w:rsidR="00F16190" w:rsidRPr="00AE0E28" w:rsidRDefault="00F16190" w:rsidP="00F16190">
            <w:pPr>
              <w:jc w:val="right"/>
              <w:rPr>
                <w:sz w:val="18"/>
                <w:szCs w:val="18"/>
              </w:rPr>
            </w:pPr>
            <w:r w:rsidRPr="00AE0E28">
              <w:rPr>
                <w:sz w:val="18"/>
                <w:szCs w:val="18"/>
              </w:rPr>
              <w:t>Characteristics</w:t>
            </w:r>
          </w:p>
        </w:tc>
        <w:tc>
          <w:tcPr>
            <w:tcW w:w="0" w:type="auto"/>
            <w:gridSpan w:val="5"/>
          </w:tcPr>
          <w:p w14:paraId="6E1E3752"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szCs w:val="18"/>
              </w:rPr>
            </w:pPr>
          </w:p>
        </w:tc>
      </w:tr>
      <w:tr w:rsidR="00AE0E28" w:rsidRPr="00AE0E28" w14:paraId="35C19B30"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0DEC94F2" w14:textId="77777777" w:rsidR="00F16190" w:rsidRPr="00AE0E28" w:rsidRDefault="00F16190" w:rsidP="00F16190">
            <w:pPr>
              <w:jc w:val="right"/>
              <w:rPr>
                <w:b w:val="0"/>
                <w:sz w:val="18"/>
                <w:szCs w:val="18"/>
              </w:rPr>
            </w:pPr>
            <w:r w:rsidRPr="00AE0E28">
              <w:rPr>
                <w:b w:val="0"/>
                <w:sz w:val="18"/>
                <w:szCs w:val="18"/>
              </w:rPr>
              <w:t>Nm</w:t>
            </w:r>
            <w:r w:rsidRPr="00AE0E28">
              <w:rPr>
                <w:b w:val="0"/>
                <w:sz w:val="18"/>
                <w:szCs w:val="18"/>
                <w:vertAlign w:val="superscript"/>
              </w:rPr>
              <w:t>3</w:t>
            </w:r>
            <w:r w:rsidRPr="00AE0E28">
              <w:rPr>
                <w:b w:val="0"/>
                <w:sz w:val="18"/>
                <w:szCs w:val="18"/>
              </w:rPr>
              <w:t>.t</w:t>
            </w:r>
            <w:r w:rsidRPr="00AE0E28">
              <w:rPr>
                <w:b w:val="0"/>
                <w:sz w:val="18"/>
                <w:szCs w:val="18"/>
                <w:vertAlign w:val="subscript"/>
              </w:rPr>
              <w:t>ww</w:t>
            </w:r>
            <w:r w:rsidRPr="00AE0E28">
              <w:rPr>
                <w:b w:val="0"/>
                <w:sz w:val="18"/>
                <w:szCs w:val="18"/>
                <w:vertAlign w:val="superscript"/>
              </w:rPr>
              <w:t>-1</w:t>
            </w:r>
          </w:p>
        </w:tc>
        <w:tc>
          <w:tcPr>
            <w:tcW w:w="0" w:type="auto"/>
          </w:tcPr>
          <w:p w14:paraId="481ACDF9"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2089</w:t>
            </w:r>
          </w:p>
        </w:tc>
        <w:tc>
          <w:tcPr>
            <w:tcW w:w="0" w:type="auto"/>
          </w:tcPr>
          <w:p w14:paraId="475C9CED"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2089</w:t>
            </w:r>
          </w:p>
        </w:tc>
        <w:tc>
          <w:tcPr>
            <w:tcW w:w="0" w:type="auto"/>
          </w:tcPr>
          <w:p w14:paraId="46FD1746"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2562</w:t>
            </w:r>
          </w:p>
        </w:tc>
        <w:tc>
          <w:tcPr>
            <w:tcW w:w="0" w:type="auto"/>
          </w:tcPr>
          <w:p w14:paraId="7672B6D6"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3127</w:t>
            </w:r>
          </w:p>
        </w:tc>
        <w:tc>
          <w:tcPr>
            <w:tcW w:w="0" w:type="auto"/>
          </w:tcPr>
          <w:p w14:paraId="29DD2ADA"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1691</w:t>
            </w:r>
          </w:p>
        </w:tc>
      </w:tr>
      <w:tr w:rsidR="00AE0E28" w:rsidRPr="00AE0E28" w14:paraId="2CC6D327"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F6B576D" w14:textId="77777777" w:rsidR="00F16190" w:rsidRPr="00AE0E28" w:rsidRDefault="00F16190" w:rsidP="00F16190">
            <w:pPr>
              <w:jc w:val="right"/>
              <w:rPr>
                <w:b w:val="0"/>
                <w:sz w:val="18"/>
                <w:szCs w:val="18"/>
              </w:rPr>
            </w:pPr>
            <w:r w:rsidRPr="00AE0E28">
              <w:rPr>
                <w:b w:val="0"/>
                <w:sz w:val="18"/>
                <w:szCs w:val="18"/>
              </w:rPr>
              <w:t>GJ</w:t>
            </w:r>
            <w:r w:rsidRPr="00AE0E28">
              <w:rPr>
                <w:b w:val="0"/>
                <w:sz w:val="18"/>
                <w:szCs w:val="18"/>
                <w:vertAlign w:val="subscript"/>
              </w:rPr>
              <w:t>HHV</w:t>
            </w:r>
            <w:r w:rsidRPr="00AE0E28">
              <w:rPr>
                <w:b w:val="0"/>
                <w:sz w:val="18"/>
                <w:szCs w:val="18"/>
              </w:rPr>
              <w:t>.t</w:t>
            </w:r>
            <w:r w:rsidRPr="00AE0E28">
              <w:rPr>
                <w:b w:val="0"/>
                <w:sz w:val="18"/>
                <w:szCs w:val="18"/>
                <w:vertAlign w:val="subscript"/>
              </w:rPr>
              <w:t>ww</w:t>
            </w:r>
            <w:r w:rsidRPr="00AE0E28">
              <w:rPr>
                <w:b w:val="0"/>
                <w:sz w:val="18"/>
                <w:szCs w:val="18"/>
                <w:vertAlign w:val="superscript"/>
              </w:rPr>
              <w:t>-1</w:t>
            </w:r>
          </w:p>
        </w:tc>
        <w:tc>
          <w:tcPr>
            <w:tcW w:w="0" w:type="auto"/>
          </w:tcPr>
          <w:p w14:paraId="3405EC61"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12.7</w:t>
            </w:r>
          </w:p>
        </w:tc>
        <w:tc>
          <w:tcPr>
            <w:tcW w:w="0" w:type="auto"/>
          </w:tcPr>
          <w:p w14:paraId="624A21C6"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11.7</w:t>
            </w:r>
          </w:p>
        </w:tc>
        <w:tc>
          <w:tcPr>
            <w:tcW w:w="0" w:type="auto"/>
          </w:tcPr>
          <w:p w14:paraId="50FE8F48"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i/>
                <w:sz w:val="18"/>
                <w:szCs w:val="18"/>
              </w:rPr>
            </w:pPr>
            <w:r w:rsidRPr="00AE0E28">
              <w:rPr>
                <w:sz w:val="18"/>
                <w:szCs w:val="18"/>
              </w:rPr>
              <w:t>11.1</w:t>
            </w:r>
          </w:p>
        </w:tc>
        <w:tc>
          <w:tcPr>
            <w:tcW w:w="0" w:type="auto"/>
          </w:tcPr>
          <w:p w14:paraId="50CB9BA4"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29.0</w:t>
            </w:r>
            <w:r w:rsidRPr="00AE0E28">
              <w:rPr>
                <w:sz w:val="18"/>
                <w:szCs w:val="18"/>
                <w:vertAlign w:val="superscript"/>
              </w:rPr>
              <w:t>**</w:t>
            </w:r>
          </w:p>
        </w:tc>
        <w:tc>
          <w:tcPr>
            <w:tcW w:w="0" w:type="auto"/>
          </w:tcPr>
          <w:p w14:paraId="2E1EBE4B"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25.3</w:t>
            </w:r>
            <w:r w:rsidRPr="00AE0E28">
              <w:rPr>
                <w:sz w:val="18"/>
                <w:szCs w:val="18"/>
                <w:vertAlign w:val="superscript"/>
              </w:rPr>
              <w:t>**</w:t>
            </w:r>
          </w:p>
        </w:tc>
      </w:tr>
      <w:tr w:rsidR="00AE0E28" w:rsidRPr="00AE0E28" w14:paraId="3AC32EB9"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629F56E8" w14:textId="77777777" w:rsidR="00F16190" w:rsidRPr="00AE0E28" w:rsidRDefault="00F16190" w:rsidP="00F16190">
            <w:pPr>
              <w:jc w:val="right"/>
              <w:rPr>
                <w:b w:val="0"/>
                <w:sz w:val="18"/>
                <w:szCs w:val="18"/>
              </w:rPr>
            </w:pPr>
            <w:r w:rsidRPr="00AE0E28">
              <w:rPr>
                <w:b w:val="0"/>
                <w:sz w:val="18"/>
                <w:szCs w:val="18"/>
              </w:rPr>
              <w:t>MJ</w:t>
            </w:r>
            <w:r w:rsidRPr="00AE0E28">
              <w:rPr>
                <w:b w:val="0"/>
                <w:sz w:val="18"/>
                <w:szCs w:val="18"/>
                <w:vertAlign w:val="subscript"/>
              </w:rPr>
              <w:t>HHV</w:t>
            </w:r>
            <w:r w:rsidRPr="00AE0E28">
              <w:rPr>
                <w:b w:val="0"/>
                <w:sz w:val="18"/>
                <w:szCs w:val="18"/>
              </w:rPr>
              <w:t>.Nm</w:t>
            </w:r>
            <w:r w:rsidRPr="00AE0E28">
              <w:rPr>
                <w:b w:val="0"/>
                <w:sz w:val="18"/>
                <w:szCs w:val="18"/>
                <w:vertAlign w:val="superscript"/>
              </w:rPr>
              <w:t>-3</w:t>
            </w:r>
          </w:p>
        </w:tc>
        <w:tc>
          <w:tcPr>
            <w:tcW w:w="0" w:type="auto"/>
          </w:tcPr>
          <w:p w14:paraId="15D5F706"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6.1</w:t>
            </w:r>
          </w:p>
        </w:tc>
        <w:tc>
          <w:tcPr>
            <w:tcW w:w="0" w:type="auto"/>
          </w:tcPr>
          <w:p w14:paraId="4C725481"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5.6</w:t>
            </w:r>
          </w:p>
        </w:tc>
        <w:tc>
          <w:tcPr>
            <w:tcW w:w="0" w:type="auto"/>
          </w:tcPr>
          <w:p w14:paraId="5920C2F6"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i/>
                <w:sz w:val="18"/>
                <w:szCs w:val="18"/>
              </w:rPr>
            </w:pPr>
            <w:r w:rsidRPr="00AE0E28">
              <w:rPr>
                <w:sz w:val="18"/>
                <w:szCs w:val="18"/>
              </w:rPr>
              <w:t>4.3</w:t>
            </w:r>
          </w:p>
        </w:tc>
        <w:tc>
          <w:tcPr>
            <w:tcW w:w="0" w:type="auto"/>
          </w:tcPr>
          <w:p w14:paraId="58E438FF"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9.3</w:t>
            </w:r>
            <w:r w:rsidRPr="00AE0E28">
              <w:rPr>
                <w:sz w:val="18"/>
                <w:szCs w:val="18"/>
                <w:vertAlign w:val="superscript"/>
              </w:rPr>
              <w:t>**</w:t>
            </w:r>
          </w:p>
        </w:tc>
        <w:tc>
          <w:tcPr>
            <w:tcW w:w="0" w:type="auto"/>
          </w:tcPr>
          <w:p w14:paraId="466B827A"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14.9</w:t>
            </w:r>
            <w:r w:rsidRPr="00AE0E28">
              <w:rPr>
                <w:sz w:val="18"/>
                <w:szCs w:val="18"/>
                <w:vertAlign w:val="superscript"/>
              </w:rPr>
              <w:t>**</w:t>
            </w:r>
          </w:p>
        </w:tc>
      </w:tr>
      <w:tr w:rsidR="00AE0E28" w:rsidRPr="00AE0E28" w14:paraId="24B31DE6"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CE44C57" w14:textId="77777777" w:rsidR="00F16190" w:rsidRPr="00AE0E28" w:rsidRDefault="00F16190" w:rsidP="00F16190">
            <w:pPr>
              <w:jc w:val="right"/>
              <w:rPr>
                <w:b w:val="0"/>
                <w:sz w:val="18"/>
                <w:szCs w:val="18"/>
              </w:rPr>
            </w:pPr>
            <w:r w:rsidRPr="00AE0E28">
              <w:rPr>
                <w:b w:val="0"/>
                <w:sz w:val="18"/>
                <w:szCs w:val="18"/>
              </w:rPr>
              <w:t>HGE %</w:t>
            </w:r>
            <w:r w:rsidRPr="00AE0E28">
              <w:rPr>
                <w:b w:val="0"/>
                <w:sz w:val="18"/>
                <w:szCs w:val="18"/>
                <w:vertAlign w:val="subscript"/>
              </w:rPr>
              <w:t>HHVin</w:t>
            </w:r>
          </w:p>
        </w:tc>
        <w:tc>
          <w:tcPr>
            <w:tcW w:w="0" w:type="auto"/>
          </w:tcPr>
          <w:p w14:paraId="0D519D58"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78%</w:t>
            </w:r>
          </w:p>
        </w:tc>
        <w:tc>
          <w:tcPr>
            <w:tcW w:w="0" w:type="auto"/>
          </w:tcPr>
          <w:p w14:paraId="0F0DF6A3"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72%</w:t>
            </w:r>
          </w:p>
        </w:tc>
        <w:tc>
          <w:tcPr>
            <w:tcW w:w="0" w:type="auto"/>
          </w:tcPr>
          <w:p w14:paraId="25BB9180"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i/>
                <w:sz w:val="18"/>
                <w:szCs w:val="18"/>
              </w:rPr>
            </w:pPr>
            <w:r w:rsidRPr="00AE0E28">
              <w:rPr>
                <w:sz w:val="18"/>
                <w:szCs w:val="18"/>
              </w:rPr>
              <w:t>68%</w:t>
            </w:r>
          </w:p>
        </w:tc>
        <w:tc>
          <w:tcPr>
            <w:tcW w:w="0" w:type="auto"/>
          </w:tcPr>
          <w:p w14:paraId="27C99D83"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63%</w:t>
            </w:r>
            <w:r w:rsidRPr="00AE0E28">
              <w:rPr>
                <w:sz w:val="18"/>
                <w:szCs w:val="18"/>
                <w:vertAlign w:val="superscript"/>
              </w:rPr>
              <w:t>**</w:t>
            </w:r>
          </w:p>
        </w:tc>
        <w:tc>
          <w:tcPr>
            <w:tcW w:w="0" w:type="auto"/>
          </w:tcPr>
          <w:p w14:paraId="7CAC8566"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55%</w:t>
            </w:r>
            <w:r w:rsidRPr="00AE0E28">
              <w:rPr>
                <w:sz w:val="18"/>
                <w:szCs w:val="18"/>
                <w:vertAlign w:val="superscript"/>
              </w:rPr>
              <w:t>**</w:t>
            </w:r>
          </w:p>
        </w:tc>
      </w:tr>
      <w:tr w:rsidR="00AE0E28" w:rsidRPr="00AE0E28" w14:paraId="3036336A"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068EB443" w14:textId="77777777" w:rsidR="00F16190" w:rsidRPr="00AE0E28" w:rsidRDefault="00F16190" w:rsidP="00F16190">
            <w:pPr>
              <w:jc w:val="right"/>
              <w:rPr>
                <w:b w:val="0"/>
                <w:sz w:val="18"/>
                <w:szCs w:val="18"/>
              </w:rPr>
            </w:pPr>
            <w:r w:rsidRPr="00AE0E28">
              <w:rPr>
                <w:b w:val="0"/>
                <w:sz w:val="18"/>
                <w:szCs w:val="18"/>
              </w:rPr>
              <w:t>°C</w:t>
            </w:r>
          </w:p>
        </w:tc>
        <w:tc>
          <w:tcPr>
            <w:tcW w:w="0" w:type="auto"/>
          </w:tcPr>
          <w:p w14:paraId="2BA613B1"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900</w:t>
            </w:r>
          </w:p>
        </w:tc>
        <w:tc>
          <w:tcPr>
            <w:tcW w:w="0" w:type="auto"/>
          </w:tcPr>
          <w:p w14:paraId="1D4E48FA"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340</w:t>
            </w:r>
          </w:p>
        </w:tc>
        <w:tc>
          <w:tcPr>
            <w:tcW w:w="0" w:type="auto"/>
          </w:tcPr>
          <w:p w14:paraId="5F526E94"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340</w:t>
            </w:r>
          </w:p>
        </w:tc>
        <w:tc>
          <w:tcPr>
            <w:tcW w:w="0" w:type="auto"/>
          </w:tcPr>
          <w:p w14:paraId="78691E75"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340</w:t>
            </w:r>
          </w:p>
        </w:tc>
        <w:tc>
          <w:tcPr>
            <w:tcW w:w="0" w:type="auto"/>
          </w:tcPr>
          <w:p w14:paraId="73C26C3B" w14:textId="77777777" w:rsidR="00F16190" w:rsidRPr="00AE0E28" w:rsidRDefault="00F16190" w:rsidP="00F16190">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35</w:t>
            </w:r>
          </w:p>
        </w:tc>
      </w:tr>
      <w:tr w:rsidR="00AE0E28" w:rsidRPr="00AE0E28" w14:paraId="33F35B67"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A5F2A19" w14:textId="77777777" w:rsidR="00F16190" w:rsidRPr="00AE0E28" w:rsidRDefault="00F16190" w:rsidP="00F16190">
            <w:pPr>
              <w:jc w:val="right"/>
              <w:rPr>
                <w:b w:val="0"/>
                <w:i/>
                <w:sz w:val="18"/>
                <w:szCs w:val="18"/>
              </w:rPr>
            </w:pPr>
            <w:r w:rsidRPr="00AE0E28">
              <w:rPr>
                <w:b w:val="0"/>
                <w:i/>
                <w:sz w:val="18"/>
                <w:szCs w:val="18"/>
              </w:rPr>
              <w:t>Comment</w:t>
            </w:r>
          </w:p>
        </w:tc>
        <w:tc>
          <w:tcPr>
            <w:tcW w:w="0" w:type="auto"/>
          </w:tcPr>
          <w:p w14:paraId="1FDECA97" w14:textId="221B7826"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i/>
                <w:sz w:val="18"/>
                <w:szCs w:val="18"/>
              </w:rPr>
            </w:pPr>
            <w:r w:rsidRPr="00AE0E28">
              <w:rPr>
                <w:i/>
                <w:sz w:val="18"/>
                <w:szCs w:val="18"/>
              </w:rPr>
              <w:t>Composition fixed (</w:t>
            </w:r>
            <w:r w:rsidR="00AE0E28" w:rsidRPr="00AE0E28">
              <w:rPr>
                <w:b/>
                <w:i/>
                <w:sz w:val="18"/>
                <w:szCs w:val="18"/>
              </w:rPr>
              <w:t>Table SI. 97</w:t>
            </w:r>
            <w:r w:rsidRPr="00AE0E28">
              <w:rPr>
                <w:i/>
                <w:sz w:val="18"/>
                <w:szCs w:val="18"/>
              </w:rPr>
              <w:t>)</w:t>
            </w:r>
          </w:p>
        </w:tc>
        <w:tc>
          <w:tcPr>
            <w:tcW w:w="0" w:type="auto"/>
          </w:tcPr>
          <w:p w14:paraId="410EBD99"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i/>
                <w:sz w:val="18"/>
                <w:szCs w:val="18"/>
              </w:rPr>
            </w:pPr>
          </w:p>
        </w:tc>
        <w:tc>
          <w:tcPr>
            <w:tcW w:w="0" w:type="auto"/>
          </w:tcPr>
          <w:p w14:paraId="6D8C8001" w14:textId="77777777" w:rsidR="00F16190" w:rsidRPr="00AE0E28" w:rsidRDefault="00F16190" w:rsidP="00F16190">
            <w:pPr>
              <w:cnfStyle w:val="000000100000" w:firstRow="0" w:lastRow="0" w:firstColumn="0" w:lastColumn="0" w:oddVBand="0" w:evenVBand="0" w:oddHBand="1" w:evenHBand="0" w:firstRowFirstColumn="0" w:firstRowLastColumn="0" w:lastRowFirstColumn="0" w:lastRowLastColumn="0"/>
              <w:rPr>
                <w:i/>
                <w:sz w:val="18"/>
                <w:szCs w:val="18"/>
              </w:rPr>
            </w:pPr>
          </w:p>
        </w:tc>
        <w:tc>
          <w:tcPr>
            <w:tcW w:w="0" w:type="auto"/>
          </w:tcPr>
          <w:p w14:paraId="42179602" w14:textId="07A62267" w:rsidR="00F16190" w:rsidRPr="00AE0E28" w:rsidRDefault="00C942CE" w:rsidP="00F16190">
            <w:pPr>
              <w:cnfStyle w:val="000000100000" w:firstRow="0" w:lastRow="0" w:firstColumn="0" w:lastColumn="0" w:oddVBand="0" w:evenVBand="0" w:oddHBand="1" w:evenHBand="0" w:firstRowFirstColumn="0" w:firstRowLastColumn="0" w:lastRowFirstColumn="0" w:lastRowLastColumn="0"/>
              <w:rPr>
                <w:i/>
                <w:sz w:val="18"/>
                <w:szCs w:val="18"/>
              </w:rPr>
            </w:pPr>
            <w:r w:rsidRPr="00AE0E28">
              <w:rPr>
                <w:i/>
                <w:sz w:val="18"/>
                <w:szCs w:val="18"/>
              </w:rPr>
              <w:t>Overall HGE of SNG similar to ecoinvent process (50%)</w:t>
            </w:r>
            <w:r w:rsidRPr="00AE0E28">
              <w:rPr>
                <w:i/>
                <w:sz w:val="18"/>
                <w:szCs w:val="18"/>
              </w:rPr>
              <w:fldChar w:fldCharType="begin"/>
            </w:r>
            <w:r w:rsidR="008C451C">
              <w:rPr>
                <w:i/>
                <w:sz w:val="18"/>
                <w:szCs w:val="18"/>
              </w:rPr>
              <w:instrText xml:space="preserve"> ADDIN ZOTERO_ITEM CSL_CITATION {"citationID":"YaL7vMXg","properties":{"formattedCitation":"\\super 48\\nosupersub{}","plainCitation":"48","noteIndex":0},"citationItems":[{"id":13212,"uris":["http://zotero.org/users/6423791/items/ANAMP6NH"],"itemData":{"id":13212,"type":"webpage","language":"en-US","title":"ecoinvent databases","URL":"https://ecoinvent.org/","author":[{"literal":"ecoinvent"}],"accessed":{"date-parts":[["2022",5,1]]},"issued":{"date-parts":[["2022"]]}}}],"schema":"https://github.com/citation-style-language/schema/raw/master/csl-citation.json"} </w:instrText>
            </w:r>
            <w:r w:rsidRPr="00AE0E28">
              <w:rPr>
                <w:i/>
                <w:sz w:val="18"/>
                <w:szCs w:val="18"/>
              </w:rPr>
              <w:fldChar w:fldCharType="separate"/>
            </w:r>
            <w:r w:rsidR="008C451C" w:rsidRPr="008C451C">
              <w:rPr>
                <w:rFonts w:ascii="Calibri" w:hAnsi="Calibri" w:cs="Calibri"/>
                <w:sz w:val="18"/>
                <w:szCs w:val="24"/>
                <w:vertAlign w:val="superscript"/>
              </w:rPr>
              <w:t>48</w:t>
            </w:r>
            <w:r w:rsidRPr="00AE0E28">
              <w:rPr>
                <w:i/>
                <w:sz w:val="18"/>
                <w:szCs w:val="18"/>
              </w:rPr>
              <w:fldChar w:fldCharType="end"/>
            </w:r>
          </w:p>
        </w:tc>
        <w:tc>
          <w:tcPr>
            <w:tcW w:w="0" w:type="auto"/>
          </w:tcPr>
          <w:p w14:paraId="1DE29715" w14:textId="2E7A179C" w:rsidR="00F16190" w:rsidRPr="00AE0E28" w:rsidRDefault="00C942CE" w:rsidP="00F16190">
            <w:pPr>
              <w:cnfStyle w:val="000000100000" w:firstRow="0" w:lastRow="0" w:firstColumn="0" w:lastColumn="0" w:oddVBand="0" w:evenVBand="0" w:oddHBand="1" w:evenHBand="0" w:firstRowFirstColumn="0" w:firstRowLastColumn="0" w:lastRowFirstColumn="0" w:lastRowLastColumn="0"/>
              <w:rPr>
                <w:i/>
                <w:sz w:val="18"/>
                <w:szCs w:val="18"/>
              </w:rPr>
            </w:pPr>
            <w:r w:rsidRPr="00AE0E28">
              <w:rPr>
                <w:i/>
                <w:sz w:val="18"/>
                <w:szCs w:val="18"/>
              </w:rPr>
              <w:t>Entering MOB bioreactor</w:t>
            </w:r>
          </w:p>
        </w:tc>
      </w:tr>
    </w:tbl>
    <w:p w14:paraId="1A0655F0" w14:textId="77777777" w:rsidR="00F16190" w:rsidRPr="003F5DA8" w:rsidRDefault="00F16190" w:rsidP="006B5342">
      <w:pPr>
        <w:jc w:val="both"/>
        <w:rPr>
          <w:sz w:val="18"/>
        </w:rPr>
      </w:pPr>
      <w:r w:rsidRPr="003F5DA8">
        <w:rPr>
          <w:sz w:val="18"/>
        </w:rPr>
        <w:t xml:space="preserve">Baseline technology values, rounded values. </w:t>
      </w:r>
      <w:r w:rsidRPr="003F5DA8">
        <w:rPr>
          <w:sz w:val="18"/>
          <w:vertAlign w:val="superscript"/>
        </w:rPr>
        <w:t>*</w:t>
      </w:r>
      <w:r w:rsidRPr="003F5DA8">
        <w:rPr>
          <w:sz w:val="18"/>
        </w:rPr>
        <w:t xml:space="preserve">: after cleaning losses. </w:t>
      </w:r>
      <w:r w:rsidRPr="003F5DA8">
        <w:rPr>
          <w:sz w:val="18"/>
          <w:vertAlign w:val="superscript"/>
        </w:rPr>
        <w:t>**</w:t>
      </w:r>
      <w:r w:rsidRPr="003F5DA8">
        <w:rPr>
          <w:sz w:val="18"/>
        </w:rPr>
        <w:t>: accounting for electricity input of electrolysis.</w:t>
      </w:r>
    </w:p>
    <w:p w14:paraId="631E3CEE" w14:textId="77777777" w:rsidR="0004103A" w:rsidRPr="0004103A" w:rsidRDefault="0004103A" w:rsidP="00F16190">
      <w:pPr>
        <w:pStyle w:val="Titre4"/>
      </w:pPr>
      <w:r w:rsidRPr="0004103A">
        <w:t>Biogas methanation</w:t>
      </w:r>
    </w:p>
    <w:p w14:paraId="1A1469B4" w14:textId="231C03ED" w:rsidR="0004103A" w:rsidRDefault="0004103A" w:rsidP="00F16190">
      <w:pPr>
        <w:ind w:firstLine="360"/>
        <w:jc w:val="both"/>
      </w:pPr>
      <w:r w:rsidRPr="003F5DA8">
        <w:t>This stage allows to upgrade biogas into biomethane, at grid injection requirements</w:t>
      </w:r>
      <w:r w:rsidR="00F16190">
        <w:t>, for further use by MOB culture (MP_biometh pathway)</w:t>
      </w:r>
      <w:r w:rsidRPr="003F5DA8">
        <w:t xml:space="preserve">. Biomethane production from biogas was already modeled </w:t>
      </w:r>
      <w:r w:rsidR="00F16190">
        <w:t xml:space="preserve">in </w:t>
      </w:r>
      <w:r w:rsidR="002D3BB7">
        <w:t xml:space="preserve">Javourez </w:t>
      </w:r>
      <w:r w:rsidR="002D3BB7" w:rsidRPr="000C6C37">
        <w:t>et al., 202</w:t>
      </w:r>
      <w:r w:rsidR="000C6C37" w:rsidRPr="000C6C37">
        <w:t>4</w:t>
      </w:r>
      <w:r w:rsidR="002D3BB7" w:rsidRPr="000C6C37">
        <w:fldChar w:fldCharType="begin"/>
      </w:r>
      <w:r w:rsidR="00827449">
        <w:instrText xml:space="preserve"> ADDIN ZOTERO_ITEM CSL_CITATION {"citationID":"JBoLF2EH","properties":{"formattedCitation":"\\super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2D3BB7" w:rsidRPr="000C6C37">
        <w:fldChar w:fldCharType="separate"/>
      </w:r>
      <w:r w:rsidR="008C451C" w:rsidRPr="000C6C37">
        <w:rPr>
          <w:rFonts w:ascii="Calibri" w:hAnsi="Calibri" w:cs="Calibri"/>
          <w:szCs w:val="24"/>
          <w:vertAlign w:val="superscript"/>
        </w:rPr>
        <w:t>1</w:t>
      </w:r>
      <w:r w:rsidR="002D3BB7" w:rsidRPr="000C6C37">
        <w:fldChar w:fldCharType="end"/>
      </w:r>
      <w:r w:rsidR="00F16190" w:rsidRPr="000C6C37">
        <w:t xml:space="preserve"> </w:t>
      </w:r>
      <w:r w:rsidRPr="000C6C37">
        <w:t>for</w:t>
      </w:r>
      <w:r w:rsidRPr="003F5DA8">
        <w:t xml:space="preserve"> AD_grid pathway, through CO</w:t>
      </w:r>
      <w:r w:rsidRPr="003F5DA8">
        <w:rPr>
          <w:vertAlign w:val="subscript"/>
        </w:rPr>
        <w:t>2</w:t>
      </w:r>
      <w:r w:rsidRPr="003F5DA8">
        <w:t xml:space="preserve"> removal. Initially considered, the overall MP pathway building on such upgraded biogas was found to display almost the same environmental performances and pattern than MP produced directly on cleaned biogas (MP_biogas). Indeed, the only difference between these two are the utilities to remove the CO</w:t>
      </w:r>
      <w:r w:rsidRPr="003F5DA8">
        <w:rPr>
          <w:vertAlign w:val="subscript"/>
        </w:rPr>
        <w:t>2</w:t>
      </w:r>
      <w:r w:rsidRPr="003F5DA8">
        <w:t xml:space="preserve"> and its subsequent valorization, the rest of unit operations and flows are equals. Accordingly, instead, methanation was selected to enrich the panel of results. </w:t>
      </w:r>
      <w:r w:rsidR="00F16190">
        <w:t>This option</w:t>
      </w:r>
      <w:r w:rsidRPr="003F5DA8">
        <w:t xml:space="preserve"> consists in converting biogas CO</w:t>
      </w:r>
      <w:r w:rsidRPr="003F5DA8">
        <w:rPr>
          <w:vertAlign w:val="subscript"/>
        </w:rPr>
        <w:t>2</w:t>
      </w:r>
      <w:r w:rsidRPr="003F5DA8">
        <w:t xml:space="preserve"> into extra methane through the addition of H</w:t>
      </w:r>
      <w:r w:rsidRPr="003F5DA8">
        <w:rPr>
          <w:vertAlign w:val="subscript"/>
        </w:rPr>
        <w:t>2</w:t>
      </w:r>
      <w:r w:rsidRPr="003F5DA8">
        <w:t xml:space="preserve">, as performed on shifted syngas in the </w:t>
      </w:r>
      <w:r w:rsidR="00F16190">
        <w:t>MP_meths</w:t>
      </w:r>
      <w:r w:rsidRPr="003F5DA8">
        <w:t xml:space="preserve"> pathway</w:t>
      </w:r>
      <w:r w:rsidR="00F16190">
        <w:t xml:space="preserve"> (previous section)</w:t>
      </w:r>
      <w:r w:rsidRPr="003F5DA8">
        <w:t xml:space="preserve">. However, here, </w:t>
      </w:r>
      <w:r w:rsidRPr="00D0308F">
        <w:t xml:space="preserve">only </w:t>
      </w:r>
      <w:r w:rsidR="00F16190" w:rsidRPr="00F16190">
        <w:rPr>
          <w:b/>
        </w:rPr>
        <w:fldChar w:fldCharType="begin"/>
      </w:r>
      <w:r w:rsidR="00F16190" w:rsidRPr="00F16190">
        <w:rPr>
          <w:b/>
        </w:rPr>
        <w:instrText xml:space="preserve"> REF _Ref144824863 \h </w:instrText>
      </w:r>
      <w:r w:rsidR="00F16190">
        <w:rPr>
          <w:b/>
        </w:rPr>
        <w:instrText xml:space="preserve"> \* MERGEFORMAT </w:instrText>
      </w:r>
      <w:r w:rsidR="00F16190" w:rsidRPr="00F16190">
        <w:rPr>
          <w:b/>
        </w:rPr>
      </w:r>
      <w:r w:rsidR="00F16190" w:rsidRPr="00F16190">
        <w:rPr>
          <w:b/>
        </w:rPr>
        <w:fldChar w:fldCharType="separate"/>
      </w:r>
      <w:r w:rsidR="00F25F8C" w:rsidRPr="00F25F8C">
        <w:rPr>
          <w:b/>
        </w:rPr>
        <w:t xml:space="preserve">Equation </w:t>
      </w:r>
      <w:r w:rsidR="00F25F8C" w:rsidRPr="00F25F8C">
        <w:rPr>
          <w:b/>
          <w:noProof/>
        </w:rPr>
        <w:t>9</w:t>
      </w:r>
      <w:r w:rsidR="00F16190" w:rsidRPr="00F16190">
        <w:rPr>
          <w:b/>
        </w:rPr>
        <w:fldChar w:fldCharType="end"/>
      </w:r>
      <w:r w:rsidRPr="00D0308F">
        <w:t xml:space="preserve"> was considered</w:t>
      </w:r>
      <w:r w:rsidRPr="003F5DA8">
        <w:t xml:space="preserve"> (no CO present), and H</w:t>
      </w:r>
      <w:r w:rsidRPr="003F5DA8">
        <w:rPr>
          <w:vertAlign w:val="subscript"/>
        </w:rPr>
        <w:t>2</w:t>
      </w:r>
      <w:r w:rsidRPr="003F5DA8">
        <w:t xml:space="preserve"> requirements were calculated considering CO</w:t>
      </w:r>
      <w:r w:rsidRPr="003F5DA8">
        <w:rPr>
          <w:vertAlign w:val="subscript"/>
        </w:rPr>
        <w:t>2</w:t>
      </w:r>
      <w:r w:rsidRPr="003F5DA8">
        <w:t xml:space="preserve"> as the limiting compound. The electrolysis was modeled as </w:t>
      </w:r>
      <w:r w:rsidRPr="005C20E4">
        <w:t xml:space="preserve">detailed in </w:t>
      </w:r>
      <w:r w:rsidR="00C942CE">
        <w:rPr>
          <w:b/>
        </w:rPr>
        <w:t>previous section</w:t>
      </w:r>
      <w:r w:rsidR="00C942CE">
        <w:t>,</w:t>
      </w:r>
      <w:r w:rsidRPr="005C20E4">
        <w:t xml:space="preserve"> </w:t>
      </w:r>
      <w:r w:rsidR="00C942CE">
        <w:t>which is also the case for t</w:t>
      </w:r>
      <w:r w:rsidRPr="005C20E4">
        <w:t>he</w:t>
      </w:r>
      <w:r w:rsidRPr="003F5DA8">
        <w:t xml:space="preserve"> modeling of methanation, with two differences. First, part of methanation excess heat was used to warm biogas (</w:t>
      </w:r>
      <w:r w:rsidR="00C942CE" w:rsidRPr="00C942CE">
        <w:rPr>
          <w:b/>
        </w:rPr>
        <w:fldChar w:fldCharType="begin"/>
      </w:r>
      <w:r w:rsidR="00C942CE" w:rsidRPr="00C942CE">
        <w:rPr>
          <w:b/>
        </w:rPr>
        <w:instrText xml:space="preserve"> REF _Ref144826294 \h </w:instrText>
      </w:r>
      <w:r w:rsidR="00C942CE">
        <w:rPr>
          <w:b/>
        </w:rPr>
        <w:instrText xml:space="preserve"> \* MERGEFORMAT </w:instrText>
      </w:r>
      <w:r w:rsidR="00C942CE" w:rsidRPr="00C942CE">
        <w:rPr>
          <w:b/>
        </w:rPr>
      </w:r>
      <w:r w:rsidR="00C942CE" w:rsidRPr="00C942CE">
        <w:rPr>
          <w:b/>
        </w:rPr>
        <w:fldChar w:fldCharType="separate"/>
      </w:r>
      <w:r w:rsidR="00F25F8C" w:rsidRPr="00F25F8C">
        <w:rPr>
          <w:b/>
        </w:rPr>
        <w:t xml:space="preserve">Table SI. </w:t>
      </w:r>
      <w:r w:rsidR="00F25F8C" w:rsidRPr="00F25F8C">
        <w:rPr>
          <w:b/>
          <w:noProof/>
        </w:rPr>
        <w:t>63</w:t>
      </w:r>
      <w:r w:rsidR="00C942CE" w:rsidRPr="00C942CE">
        <w:rPr>
          <w:b/>
        </w:rPr>
        <w:fldChar w:fldCharType="end"/>
      </w:r>
      <w:r w:rsidRPr="003F5DA8">
        <w:t>). Second, electricity requirements were adapted to fit established data for biogas methanation (</w:t>
      </w:r>
      <w:r w:rsidR="00C942CE" w:rsidRPr="00C942CE">
        <w:rPr>
          <w:b/>
        </w:rPr>
        <w:fldChar w:fldCharType="begin"/>
      </w:r>
      <w:r w:rsidR="00C942CE" w:rsidRPr="00C942CE">
        <w:rPr>
          <w:b/>
        </w:rPr>
        <w:instrText xml:space="preserve"> REF _Ref144826360 \h </w:instrText>
      </w:r>
      <w:r w:rsidR="00C942CE">
        <w:rPr>
          <w:b/>
        </w:rPr>
        <w:instrText xml:space="preserve"> \* MERGEFORMAT </w:instrText>
      </w:r>
      <w:r w:rsidR="00C942CE" w:rsidRPr="00C942CE">
        <w:rPr>
          <w:b/>
        </w:rPr>
      </w:r>
      <w:r w:rsidR="00C942CE" w:rsidRPr="00C942CE">
        <w:rPr>
          <w:b/>
        </w:rPr>
        <w:fldChar w:fldCharType="separate"/>
      </w:r>
      <w:r w:rsidR="00F25F8C" w:rsidRPr="00F25F8C">
        <w:rPr>
          <w:b/>
        </w:rPr>
        <w:t xml:space="preserve">Table SI. </w:t>
      </w:r>
      <w:r w:rsidR="00F25F8C" w:rsidRPr="00F25F8C">
        <w:rPr>
          <w:b/>
          <w:noProof/>
        </w:rPr>
        <w:t>70</w:t>
      </w:r>
      <w:r w:rsidR="00C942CE" w:rsidRPr="00C942CE">
        <w:rPr>
          <w:b/>
        </w:rPr>
        <w:fldChar w:fldCharType="end"/>
      </w:r>
      <w:r w:rsidRPr="003F5DA8">
        <w:t>). An illustration of the key flows involved in MP_biometh pathway is presented in</w:t>
      </w:r>
      <w:r w:rsidR="00C942CE">
        <w:t xml:space="preserve"> </w:t>
      </w:r>
      <w:r w:rsidR="00C942CE" w:rsidRPr="00C942CE">
        <w:rPr>
          <w:b/>
        </w:rPr>
        <w:fldChar w:fldCharType="begin"/>
      </w:r>
      <w:r w:rsidR="00C942CE" w:rsidRPr="00C942CE">
        <w:rPr>
          <w:b/>
        </w:rPr>
        <w:instrText xml:space="preserve"> REF _Ref144826393 \h </w:instrText>
      </w:r>
      <w:r w:rsidR="00C942CE">
        <w:rPr>
          <w:b/>
        </w:rPr>
        <w:instrText xml:space="preserve"> \* MERGEFORMAT </w:instrText>
      </w:r>
      <w:r w:rsidR="00C942CE" w:rsidRPr="00C942CE">
        <w:rPr>
          <w:b/>
        </w:rPr>
      </w:r>
      <w:r w:rsidR="00C942CE" w:rsidRPr="00C942CE">
        <w:rPr>
          <w:b/>
        </w:rPr>
        <w:fldChar w:fldCharType="separate"/>
      </w:r>
      <w:r w:rsidR="00F25F8C" w:rsidRPr="00F25F8C">
        <w:rPr>
          <w:b/>
        </w:rPr>
        <w:t xml:space="preserve">Table SI. </w:t>
      </w:r>
      <w:r w:rsidR="00F25F8C" w:rsidRPr="00F25F8C">
        <w:rPr>
          <w:b/>
          <w:noProof/>
        </w:rPr>
        <w:t>64</w:t>
      </w:r>
      <w:r w:rsidR="00C942CE" w:rsidRPr="00C942CE">
        <w:rPr>
          <w:b/>
        </w:rPr>
        <w:fldChar w:fldCharType="end"/>
      </w:r>
      <w:r w:rsidRPr="003F5DA8">
        <w:t>.</w:t>
      </w:r>
    </w:p>
    <w:p w14:paraId="40C1AB44" w14:textId="6C067323" w:rsidR="0004103A" w:rsidRPr="00415E4C" w:rsidRDefault="00874128" w:rsidP="006B5342">
      <w:pPr>
        <w:pStyle w:val="Lgende"/>
        <w:jc w:val="left"/>
      </w:pPr>
      <w:bookmarkStart w:id="274" w:name="_Ref144826294"/>
      <w:bookmarkStart w:id="275" w:name="_Toc134537629"/>
      <w:bookmarkStart w:id="276" w:name="_Toc151967947"/>
      <w:r>
        <w:t>Table SI.</w:t>
      </w:r>
      <w:r w:rsidR="0004103A">
        <w:t xml:space="preserve"> </w:t>
      </w:r>
      <w:r>
        <w:fldChar w:fldCharType="begin"/>
      </w:r>
      <w:r>
        <w:instrText xml:space="preserve"> SEQ Table_SI. \* ARABIC </w:instrText>
      </w:r>
      <w:r>
        <w:fldChar w:fldCharType="separate"/>
      </w:r>
      <w:r w:rsidR="00F25F8C">
        <w:rPr>
          <w:noProof/>
        </w:rPr>
        <w:t>63</w:t>
      </w:r>
      <w:r>
        <w:fldChar w:fldCharType="end"/>
      </w:r>
      <w:bookmarkEnd w:id="274"/>
      <w:r w:rsidR="0004103A">
        <w:t xml:space="preserve"> </w:t>
      </w:r>
      <w:r w:rsidR="0004103A" w:rsidRPr="00415E4C">
        <w:t xml:space="preserve">– Heat recovery modeling involved in MP_biometh pathway </w:t>
      </w:r>
      <w:r w:rsidR="00C942CE">
        <w:t>gas pre</w:t>
      </w:r>
      <w:r w:rsidR="0004103A" w:rsidRPr="00415E4C">
        <w:t>treatment</w:t>
      </w:r>
      <w:bookmarkEnd w:id="275"/>
      <w:bookmarkEnd w:id="276"/>
    </w:p>
    <w:tbl>
      <w:tblPr>
        <w:tblStyle w:val="Tableausimple2"/>
        <w:tblW w:w="0" w:type="auto"/>
        <w:tblLook w:val="04A0" w:firstRow="1" w:lastRow="0" w:firstColumn="1" w:lastColumn="0" w:noHBand="0" w:noVBand="1"/>
      </w:tblPr>
      <w:tblGrid>
        <w:gridCol w:w="1315"/>
        <w:gridCol w:w="2210"/>
        <w:gridCol w:w="1442"/>
        <w:gridCol w:w="1532"/>
      </w:tblGrid>
      <w:tr w:rsidR="0004103A" w:rsidRPr="006B5342" w14:paraId="23A483A8"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0D429D7" w14:textId="77777777" w:rsidR="0004103A" w:rsidRPr="006B5342" w:rsidRDefault="0004103A" w:rsidP="00AE0E28">
            <w:pPr>
              <w:jc w:val="right"/>
              <w:rPr>
                <w:sz w:val="18"/>
                <w:szCs w:val="18"/>
              </w:rPr>
            </w:pPr>
            <w:r w:rsidRPr="006B5342">
              <w:rPr>
                <w:sz w:val="18"/>
                <w:szCs w:val="18"/>
              </w:rPr>
              <w:t>Unit operation</w:t>
            </w:r>
          </w:p>
        </w:tc>
        <w:tc>
          <w:tcPr>
            <w:tcW w:w="0" w:type="auto"/>
          </w:tcPr>
          <w:p w14:paraId="46560AA7" w14:textId="77777777" w:rsidR="0004103A" w:rsidRPr="006B5342" w:rsidRDefault="0004103A" w:rsidP="003B1307">
            <w:pPr>
              <w:cnfStyle w:val="100000000000" w:firstRow="1" w:lastRow="0" w:firstColumn="0" w:lastColumn="0" w:oddVBand="0" w:evenVBand="0" w:oddHBand="0" w:evenHBand="0" w:firstRowFirstColumn="0" w:firstRowLastColumn="0" w:lastRowFirstColumn="0" w:lastRowLastColumn="0"/>
              <w:rPr>
                <w:sz w:val="18"/>
                <w:szCs w:val="18"/>
              </w:rPr>
            </w:pPr>
            <w:r w:rsidRPr="006B5342">
              <w:rPr>
                <w:sz w:val="18"/>
                <w:szCs w:val="18"/>
              </w:rPr>
              <w:t>Heat recovery</w:t>
            </w:r>
          </w:p>
        </w:tc>
        <w:tc>
          <w:tcPr>
            <w:tcW w:w="0" w:type="auto"/>
          </w:tcPr>
          <w:p w14:paraId="6DE37192" w14:textId="77777777" w:rsidR="0004103A" w:rsidRPr="006B5342" w:rsidRDefault="0004103A" w:rsidP="003B1307">
            <w:pPr>
              <w:cnfStyle w:val="100000000000" w:firstRow="1" w:lastRow="0" w:firstColumn="0" w:lastColumn="0" w:oddVBand="0" w:evenVBand="0" w:oddHBand="0" w:evenHBand="0" w:firstRowFirstColumn="0" w:firstRowLastColumn="0" w:lastRowFirstColumn="0" w:lastRowLastColumn="0"/>
              <w:rPr>
                <w:sz w:val="18"/>
                <w:szCs w:val="18"/>
              </w:rPr>
            </w:pPr>
            <w:r w:rsidRPr="006B5342">
              <w:rPr>
                <w:sz w:val="18"/>
                <w:szCs w:val="18"/>
              </w:rPr>
              <w:t>Temperatures</w:t>
            </w:r>
          </w:p>
        </w:tc>
        <w:tc>
          <w:tcPr>
            <w:tcW w:w="0" w:type="auto"/>
          </w:tcPr>
          <w:p w14:paraId="4988E420" w14:textId="77777777" w:rsidR="0004103A" w:rsidRPr="006B5342" w:rsidRDefault="0004103A" w:rsidP="003B1307">
            <w:pPr>
              <w:cnfStyle w:val="100000000000" w:firstRow="1" w:lastRow="0" w:firstColumn="0" w:lastColumn="0" w:oddVBand="0" w:evenVBand="0" w:oddHBand="0" w:evenHBand="0" w:firstRowFirstColumn="0" w:firstRowLastColumn="0" w:lastRowFirstColumn="0" w:lastRowLastColumn="0"/>
              <w:rPr>
                <w:sz w:val="18"/>
                <w:szCs w:val="18"/>
              </w:rPr>
            </w:pPr>
            <w:r w:rsidRPr="006B5342">
              <w:rPr>
                <w:sz w:val="18"/>
                <w:szCs w:val="18"/>
              </w:rPr>
              <w:t>Modeling</w:t>
            </w:r>
          </w:p>
        </w:tc>
      </w:tr>
      <w:tr w:rsidR="0004103A" w:rsidRPr="006B5342" w14:paraId="504FC157"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95B8A50" w14:textId="77777777" w:rsidR="0004103A" w:rsidRPr="006B5342" w:rsidRDefault="0004103A" w:rsidP="00AE0E28">
            <w:pPr>
              <w:jc w:val="right"/>
              <w:rPr>
                <w:b w:val="0"/>
                <w:sz w:val="18"/>
                <w:szCs w:val="18"/>
              </w:rPr>
            </w:pPr>
            <w:r w:rsidRPr="006B5342">
              <w:rPr>
                <w:b w:val="0"/>
                <w:sz w:val="18"/>
                <w:szCs w:val="18"/>
              </w:rPr>
              <w:t>Methanation</w:t>
            </w:r>
          </w:p>
        </w:tc>
        <w:tc>
          <w:tcPr>
            <w:tcW w:w="0" w:type="auto"/>
          </w:tcPr>
          <w:p w14:paraId="47D60770" w14:textId="77777777" w:rsidR="0004103A" w:rsidRPr="006B5342"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B5342">
              <w:rPr>
                <w:sz w:val="18"/>
                <w:szCs w:val="18"/>
              </w:rPr>
              <w:t>Biogas heating</w:t>
            </w:r>
          </w:p>
        </w:tc>
        <w:tc>
          <w:tcPr>
            <w:tcW w:w="0" w:type="auto"/>
          </w:tcPr>
          <w:p w14:paraId="78E82E93" w14:textId="77777777" w:rsidR="0004103A" w:rsidRPr="006B5342"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B5342">
              <w:rPr>
                <w:sz w:val="18"/>
                <w:szCs w:val="18"/>
              </w:rPr>
              <w:t>37°C to 340°C</w:t>
            </w:r>
          </w:p>
        </w:tc>
        <w:tc>
          <w:tcPr>
            <w:tcW w:w="0" w:type="auto"/>
            <w:vMerge w:val="restart"/>
          </w:tcPr>
          <w:p w14:paraId="7E4FA3E7" w14:textId="77777777" w:rsidR="0004103A" w:rsidRPr="006B5342"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B5342">
              <w:rPr>
                <w:sz w:val="18"/>
                <w:szCs w:val="18"/>
              </w:rPr>
              <w:t>HT WHR</w:t>
            </w:r>
          </w:p>
        </w:tc>
      </w:tr>
      <w:tr w:rsidR="0004103A" w:rsidRPr="006B5342" w14:paraId="6F04DEC5"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1EB8FA27" w14:textId="77777777" w:rsidR="0004103A" w:rsidRPr="006B5342" w:rsidRDefault="0004103A" w:rsidP="00AE0E28">
            <w:pPr>
              <w:jc w:val="right"/>
              <w:rPr>
                <w:b w:val="0"/>
                <w:sz w:val="18"/>
                <w:szCs w:val="18"/>
              </w:rPr>
            </w:pPr>
            <w:r w:rsidRPr="006B5342">
              <w:rPr>
                <w:b w:val="0"/>
                <w:sz w:val="18"/>
                <w:szCs w:val="18"/>
              </w:rPr>
              <w:t>Methanation</w:t>
            </w:r>
          </w:p>
        </w:tc>
        <w:tc>
          <w:tcPr>
            <w:tcW w:w="0" w:type="auto"/>
          </w:tcPr>
          <w:p w14:paraId="396171F3" w14:textId="77777777" w:rsidR="0004103A" w:rsidRPr="006B5342"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B5342">
              <w:rPr>
                <w:sz w:val="18"/>
                <w:szCs w:val="18"/>
              </w:rPr>
              <w:t>Exothermic reaction</w:t>
            </w:r>
          </w:p>
        </w:tc>
        <w:tc>
          <w:tcPr>
            <w:tcW w:w="0" w:type="auto"/>
          </w:tcPr>
          <w:p w14:paraId="6A5D5190" w14:textId="77777777" w:rsidR="0004103A" w:rsidRPr="006B5342"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B5342">
              <w:rPr>
                <w:sz w:val="18"/>
                <w:szCs w:val="18"/>
              </w:rPr>
              <w:t>340°C</w:t>
            </w:r>
          </w:p>
        </w:tc>
        <w:tc>
          <w:tcPr>
            <w:tcW w:w="0" w:type="auto"/>
            <w:vMerge/>
          </w:tcPr>
          <w:p w14:paraId="190EFCCC" w14:textId="77777777" w:rsidR="0004103A" w:rsidRPr="006B5342"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p>
        </w:tc>
      </w:tr>
      <w:tr w:rsidR="0004103A" w:rsidRPr="006B5342" w14:paraId="0596C4D1"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8E32268" w14:textId="77777777" w:rsidR="0004103A" w:rsidRPr="006B5342" w:rsidRDefault="0004103A" w:rsidP="00AE0E28">
            <w:pPr>
              <w:jc w:val="right"/>
              <w:rPr>
                <w:b w:val="0"/>
                <w:sz w:val="18"/>
                <w:szCs w:val="18"/>
              </w:rPr>
            </w:pPr>
            <w:r w:rsidRPr="006B5342">
              <w:rPr>
                <w:b w:val="0"/>
                <w:sz w:val="18"/>
                <w:szCs w:val="18"/>
              </w:rPr>
              <w:t>Methanation</w:t>
            </w:r>
          </w:p>
        </w:tc>
        <w:tc>
          <w:tcPr>
            <w:tcW w:w="0" w:type="auto"/>
          </w:tcPr>
          <w:p w14:paraId="2CABA68E" w14:textId="77777777" w:rsidR="0004103A" w:rsidRPr="006B5342"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B5342">
              <w:rPr>
                <w:sz w:val="18"/>
                <w:szCs w:val="18"/>
              </w:rPr>
              <w:t>Methanized gas cooling</w:t>
            </w:r>
          </w:p>
        </w:tc>
        <w:tc>
          <w:tcPr>
            <w:tcW w:w="0" w:type="auto"/>
          </w:tcPr>
          <w:p w14:paraId="502166F5" w14:textId="77777777" w:rsidR="0004103A" w:rsidRPr="006B5342"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B5342">
              <w:rPr>
                <w:sz w:val="18"/>
                <w:szCs w:val="18"/>
              </w:rPr>
              <w:t>340°C to 35°C</w:t>
            </w:r>
          </w:p>
        </w:tc>
        <w:tc>
          <w:tcPr>
            <w:tcW w:w="0" w:type="auto"/>
            <w:vMerge/>
          </w:tcPr>
          <w:p w14:paraId="2C77A8E3" w14:textId="77777777" w:rsidR="0004103A" w:rsidRPr="006B5342"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p>
        </w:tc>
      </w:tr>
      <w:tr w:rsidR="0004103A" w:rsidRPr="006B5342" w14:paraId="47A87FE8"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040929D2" w14:textId="77777777" w:rsidR="0004103A" w:rsidRPr="006B5342" w:rsidRDefault="0004103A" w:rsidP="00AE0E28">
            <w:pPr>
              <w:jc w:val="right"/>
              <w:rPr>
                <w:b w:val="0"/>
                <w:sz w:val="18"/>
                <w:szCs w:val="18"/>
              </w:rPr>
            </w:pPr>
            <w:r w:rsidRPr="006B5342">
              <w:rPr>
                <w:b w:val="0"/>
                <w:sz w:val="18"/>
                <w:szCs w:val="18"/>
              </w:rPr>
              <w:t>Electrolysis</w:t>
            </w:r>
          </w:p>
        </w:tc>
        <w:tc>
          <w:tcPr>
            <w:tcW w:w="0" w:type="auto"/>
          </w:tcPr>
          <w:p w14:paraId="6E9610FD" w14:textId="77777777" w:rsidR="0004103A" w:rsidRPr="006B5342"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B5342">
              <w:rPr>
                <w:sz w:val="18"/>
                <w:szCs w:val="18"/>
              </w:rPr>
              <w:t>Exothermic reaction</w:t>
            </w:r>
          </w:p>
        </w:tc>
        <w:tc>
          <w:tcPr>
            <w:tcW w:w="0" w:type="auto"/>
          </w:tcPr>
          <w:p w14:paraId="0E16A07E" w14:textId="77777777" w:rsidR="0004103A" w:rsidRPr="006B5342"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B5342">
              <w:rPr>
                <w:sz w:val="18"/>
                <w:szCs w:val="18"/>
              </w:rPr>
              <w:t>80°C</w:t>
            </w:r>
          </w:p>
        </w:tc>
        <w:tc>
          <w:tcPr>
            <w:tcW w:w="0" w:type="auto"/>
          </w:tcPr>
          <w:p w14:paraId="1517A884" w14:textId="77777777" w:rsidR="0004103A" w:rsidRPr="006B5342"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B5342">
              <w:rPr>
                <w:sz w:val="18"/>
                <w:szCs w:val="18"/>
              </w:rPr>
              <w:t>LT WHR</w:t>
            </w:r>
          </w:p>
        </w:tc>
      </w:tr>
      <w:tr w:rsidR="0004103A" w:rsidRPr="006B5342" w14:paraId="2B01533C"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63FCAB7" w14:textId="7D18D0A7" w:rsidR="0004103A" w:rsidRPr="006B5342" w:rsidRDefault="0004103A" w:rsidP="00AE0E28">
            <w:pPr>
              <w:jc w:val="right"/>
              <w:rPr>
                <w:b w:val="0"/>
                <w:i/>
                <w:sz w:val="18"/>
                <w:szCs w:val="18"/>
              </w:rPr>
            </w:pPr>
          </w:p>
        </w:tc>
        <w:tc>
          <w:tcPr>
            <w:tcW w:w="0" w:type="auto"/>
            <w:gridSpan w:val="2"/>
          </w:tcPr>
          <w:p w14:paraId="78508360" w14:textId="77777777" w:rsidR="0004103A" w:rsidRPr="006B5342" w:rsidRDefault="0004103A" w:rsidP="003B1307">
            <w:pPr>
              <w:cnfStyle w:val="000000100000" w:firstRow="0" w:lastRow="0" w:firstColumn="0" w:lastColumn="0" w:oddVBand="0" w:evenVBand="0" w:oddHBand="1" w:evenHBand="0" w:firstRowFirstColumn="0" w:firstRowLastColumn="0" w:lastRowFirstColumn="0" w:lastRowLastColumn="0"/>
              <w:rPr>
                <w:i/>
                <w:sz w:val="18"/>
                <w:szCs w:val="18"/>
              </w:rPr>
            </w:pPr>
            <w:r w:rsidRPr="006B5342">
              <w:rPr>
                <w:i/>
                <w:sz w:val="18"/>
                <w:szCs w:val="18"/>
              </w:rPr>
              <w:t>Only processes linked with gas post-treatments</w:t>
            </w:r>
          </w:p>
        </w:tc>
        <w:tc>
          <w:tcPr>
            <w:tcW w:w="0" w:type="auto"/>
          </w:tcPr>
          <w:p w14:paraId="43CD0338" w14:textId="3A30D65B" w:rsidR="0004103A" w:rsidRPr="006B5342" w:rsidRDefault="00C942CE" w:rsidP="003B1307">
            <w:pPr>
              <w:cnfStyle w:val="000000100000" w:firstRow="0" w:lastRow="0" w:firstColumn="0" w:lastColumn="0" w:oddVBand="0" w:evenVBand="0" w:oddHBand="1" w:evenHBand="0" w:firstRowFirstColumn="0" w:firstRowLastColumn="0" w:lastRowFirstColumn="0" w:lastRowLastColumn="0"/>
              <w:rPr>
                <w:i/>
                <w:sz w:val="18"/>
                <w:szCs w:val="18"/>
              </w:rPr>
            </w:pPr>
            <w:r w:rsidRPr="006B5342">
              <w:rPr>
                <w:i/>
                <w:sz w:val="18"/>
                <w:szCs w:val="18"/>
              </w:rPr>
              <w:t xml:space="preserve">See </w:t>
            </w:r>
            <w:r w:rsidRPr="006B5342">
              <w:rPr>
                <w:b/>
                <w:i/>
                <w:sz w:val="18"/>
                <w:szCs w:val="18"/>
              </w:rPr>
              <w:t>section</w:t>
            </w:r>
            <w:r w:rsidR="000C6C37">
              <w:rPr>
                <w:b/>
                <w:i/>
                <w:sz w:val="18"/>
                <w:szCs w:val="18"/>
              </w:rPr>
              <w:t xml:space="preserve"> SI.</w:t>
            </w:r>
            <w:r w:rsidRPr="006B5342">
              <w:rPr>
                <w:b/>
                <w:i/>
                <w:sz w:val="18"/>
                <w:szCs w:val="18"/>
              </w:rPr>
              <w:t xml:space="preserve"> </w:t>
            </w:r>
            <w:r w:rsidRPr="006B5342">
              <w:rPr>
                <w:b/>
                <w:i/>
                <w:sz w:val="18"/>
                <w:szCs w:val="18"/>
              </w:rPr>
              <w:fldChar w:fldCharType="begin"/>
            </w:r>
            <w:r w:rsidRPr="006B5342">
              <w:rPr>
                <w:b/>
                <w:i/>
                <w:sz w:val="18"/>
                <w:szCs w:val="18"/>
              </w:rPr>
              <w:instrText xml:space="preserve"> REF _Ref144802667 \r \h </w:instrText>
            </w:r>
            <w:r w:rsidR="00AE0E28" w:rsidRPr="006B5342">
              <w:rPr>
                <w:b/>
                <w:i/>
                <w:sz w:val="18"/>
                <w:szCs w:val="18"/>
              </w:rPr>
              <w:instrText xml:space="preserve"> \* MERGEFORMAT </w:instrText>
            </w:r>
            <w:r w:rsidRPr="006B5342">
              <w:rPr>
                <w:b/>
                <w:i/>
                <w:sz w:val="18"/>
                <w:szCs w:val="18"/>
              </w:rPr>
            </w:r>
            <w:r w:rsidRPr="006B5342">
              <w:rPr>
                <w:b/>
                <w:i/>
                <w:sz w:val="18"/>
                <w:szCs w:val="18"/>
              </w:rPr>
              <w:fldChar w:fldCharType="separate"/>
            </w:r>
            <w:r w:rsidR="00F25F8C" w:rsidRPr="006B5342">
              <w:rPr>
                <w:b/>
                <w:i/>
                <w:sz w:val="18"/>
                <w:szCs w:val="18"/>
              </w:rPr>
              <w:t>4.1</w:t>
            </w:r>
            <w:r w:rsidRPr="006B5342">
              <w:rPr>
                <w:b/>
                <w:i/>
                <w:sz w:val="18"/>
                <w:szCs w:val="18"/>
              </w:rPr>
              <w:fldChar w:fldCharType="end"/>
            </w:r>
          </w:p>
        </w:tc>
      </w:tr>
    </w:tbl>
    <w:p w14:paraId="6CE3011B" w14:textId="2B7E3093" w:rsidR="00AE0E28" w:rsidRDefault="00AE0E28" w:rsidP="0004103A">
      <w:pPr>
        <w:jc w:val="center"/>
        <w:rPr>
          <w:highlight w:val="yellow"/>
        </w:rPr>
      </w:pPr>
    </w:p>
    <w:p w14:paraId="231A373E" w14:textId="77777777" w:rsidR="00AE0E28" w:rsidRDefault="00AE0E28">
      <w:pPr>
        <w:rPr>
          <w:highlight w:val="yellow"/>
        </w:rPr>
      </w:pPr>
      <w:r>
        <w:rPr>
          <w:highlight w:val="yellow"/>
        </w:rPr>
        <w:br w:type="page"/>
      </w:r>
    </w:p>
    <w:p w14:paraId="4BBD7852" w14:textId="5E8464C2" w:rsidR="0004103A" w:rsidRPr="005C20E4" w:rsidRDefault="00874128" w:rsidP="006B5342">
      <w:pPr>
        <w:pStyle w:val="Lgende"/>
        <w:jc w:val="left"/>
        <w:rPr>
          <w:b w:val="0"/>
          <w:i/>
        </w:rPr>
      </w:pPr>
      <w:bookmarkStart w:id="277" w:name="_Ref144826393"/>
      <w:bookmarkStart w:id="278" w:name="_Toc134537630"/>
      <w:bookmarkStart w:id="279" w:name="_Toc151967948"/>
      <w:r>
        <w:lastRenderedPageBreak/>
        <w:t>Table SI.</w:t>
      </w:r>
      <w:r w:rsidR="0004103A">
        <w:t xml:space="preserve"> </w:t>
      </w:r>
      <w:r>
        <w:fldChar w:fldCharType="begin"/>
      </w:r>
      <w:r>
        <w:instrText xml:space="preserve"> SEQ Table_SI. \* ARABIC </w:instrText>
      </w:r>
      <w:r>
        <w:fldChar w:fldCharType="separate"/>
      </w:r>
      <w:r w:rsidR="00F25F8C">
        <w:rPr>
          <w:noProof/>
        </w:rPr>
        <w:t>64</w:t>
      </w:r>
      <w:r>
        <w:fldChar w:fldCharType="end"/>
      </w:r>
      <w:bookmarkEnd w:id="277"/>
      <w:r w:rsidR="0004103A">
        <w:t xml:space="preserve"> </w:t>
      </w:r>
      <w:r w:rsidR="0004103A" w:rsidRPr="00415E4C">
        <w:t>– MP_biometh pathway gas flows and energy performances illustrated for bovine manure</w:t>
      </w:r>
      <w:bookmarkEnd w:id="278"/>
      <w:bookmarkEnd w:id="279"/>
    </w:p>
    <w:tbl>
      <w:tblPr>
        <w:tblStyle w:val="Tableausimple2"/>
        <w:tblW w:w="0" w:type="auto"/>
        <w:tblLook w:val="04A0" w:firstRow="1" w:lastRow="0" w:firstColumn="1" w:lastColumn="0" w:noHBand="0" w:noVBand="1"/>
      </w:tblPr>
      <w:tblGrid>
        <w:gridCol w:w="1895"/>
        <w:gridCol w:w="1521"/>
        <w:gridCol w:w="1440"/>
        <w:gridCol w:w="2038"/>
      </w:tblGrid>
      <w:tr w:rsidR="0004103A" w:rsidRPr="00AE0E28" w14:paraId="370EEB26"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EBDC359" w14:textId="77777777" w:rsidR="0004103A" w:rsidRPr="00AE0E28" w:rsidRDefault="0004103A" w:rsidP="003B1307">
            <w:pPr>
              <w:jc w:val="right"/>
              <w:rPr>
                <w:sz w:val="18"/>
                <w:szCs w:val="18"/>
              </w:rPr>
            </w:pPr>
            <w:r w:rsidRPr="00AE0E28">
              <w:rPr>
                <w:sz w:val="18"/>
                <w:szCs w:val="18"/>
              </w:rPr>
              <w:t>Gas composition (%</w:t>
            </w:r>
            <w:r w:rsidRPr="00AE0E28">
              <w:rPr>
                <w:sz w:val="18"/>
                <w:szCs w:val="18"/>
                <w:vertAlign w:val="subscript"/>
              </w:rPr>
              <w:t>vol</w:t>
            </w:r>
            <w:r w:rsidRPr="00AE0E28">
              <w:rPr>
                <w:sz w:val="18"/>
                <w:szCs w:val="18"/>
              </w:rPr>
              <w:t>)</w:t>
            </w:r>
          </w:p>
        </w:tc>
        <w:tc>
          <w:tcPr>
            <w:tcW w:w="0" w:type="auto"/>
          </w:tcPr>
          <w:p w14:paraId="10FBF3D8" w14:textId="77777777" w:rsidR="0004103A" w:rsidRPr="00AE0E28" w:rsidRDefault="0004103A" w:rsidP="003B1307">
            <w:pPr>
              <w:cnfStyle w:val="100000000000" w:firstRow="1" w:lastRow="0" w:firstColumn="0" w:lastColumn="0" w:oddVBand="0" w:evenVBand="0" w:oddHBand="0" w:evenHBand="0" w:firstRowFirstColumn="0" w:firstRowLastColumn="0" w:lastRowFirstColumn="0" w:lastRowLastColumn="0"/>
              <w:rPr>
                <w:sz w:val="18"/>
                <w:szCs w:val="18"/>
              </w:rPr>
            </w:pPr>
            <w:r w:rsidRPr="00AE0E28">
              <w:rPr>
                <w:sz w:val="18"/>
                <w:szCs w:val="18"/>
              </w:rPr>
              <w:t>Biogas</w:t>
            </w:r>
            <w:r w:rsidRPr="00AE0E28">
              <w:rPr>
                <w:sz w:val="18"/>
                <w:szCs w:val="18"/>
                <w:vertAlign w:val="superscript"/>
              </w:rPr>
              <w:t>*</w:t>
            </w:r>
          </w:p>
        </w:tc>
        <w:tc>
          <w:tcPr>
            <w:tcW w:w="0" w:type="auto"/>
          </w:tcPr>
          <w:p w14:paraId="2CC65606" w14:textId="77777777" w:rsidR="0004103A" w:rsidRPr="00AE0E28" w:rsidRDefault="0004103A" w:rsidP="003B1307">
            <w:pPr>
              <w:cnfStyle w:val="100000000000" w:firstRow="1" w:lastRow="0" w:firstColumn="0" w:lastColumn="0" w:oddVBand="0" w:evenVBand="0" w:oddHBand="0" w:evenHBand="0" w:firstRowFirstColumn="0" w:firstRowLastColumn="0" w:lastRowFirstColumn="0" w:lastRowLastColumn="0"/>
              <w:rPr>
                <w:sz w:val="18"/>
                <w:szCs w:val="18"/>
              </w:rPr>
            </w:pPr>
            <w:r w:rsidRPr="00AE0E28">
              <w:rPr>
                <w:sz w:val="18"/>
                <w:szCs w:val="18"/>
              </w:rPr>
              <w:t>Hot biomethane</w:t>
            </w:r>
          </w:p>
        </w:tc>
        <w:tc>
          <w:tcPr>
            <w:tcW w:w="0" w:type="auto"/>
          </w:tcPr>
          <w:p w14:paraId="4FDEF2A1" w14:textId="77777777" w:rsidR="0004103A" w:rsidRPr="00AE0E28" w:rsidRDefault="0004103A" w:rsidP="003B1307">
            <w:pPr>
              <w:cnfStyle w:val="100000000000" w:firstRow="1" w:lastRow="0" w:firstColumn="0" w:lastColumn="0" w:oddVBand="0" w:evenVBand="0" w:oddHBand="0" w:evenHBand="0" w:firstRowFirstColumn="0" w:firstRowLastColumn="0" w:lastRowFirstColumn="0" w:lastRowLastColumn="0"/>
              <w:rPr>
                <w:sz w:val="18"/>
                <w:szCs w:val="18"/>
              </w:rPr>
            </w:pPr>
            <w:r w:rsidRPr="00AE0E28">
              <w:rPr>
                <w:sz w:val="18"/>
                <w:szCs w:val="18"/>
              </w:rPr>
              <w:t>Biomethane</w:t>
            </w:r>
          </w:p>
        </w:tc>
      </w:tr>
      <w:tr w:rsidR="0004103A" w:rsidRPr="00AE0E28" w14:paraId="0744CF43"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25FD06B" w14:textId="77777777" w:rsidR="0004103A" w:rsidRPr="00AE0E28" w:rsidRDefault="0004103A" w:rsidP="003B1307">
            <w:pPr>
              <w:jc w:val="right"/>
              <w:rPr>
                <w:b w:val="0"/>
                <w:sz w:val="18"/>
                <w:szCs w:val="18"/>
              </w:rPr>
            </w:pPr>
            <w:r w:rsidRPr="00AE0E28">
              <w:rPr>
                <w:b w:val="0"/>
                <w:sz w:val="18"/>
                <w:szCs w:val="18"/>
              </w:rPr>
              <w:t>H</w:t>
            </w:r>
            <w:r w:rsidRPr="00AE0E28">
              <w:rPr>
                <w:b w:val="0"/>
                <w:sz w:val="18"/>
                <w:szCs w:val="18"/>
                <w:vertAlign w:val="subscript"/>
              </w:rPr>
              <w:t>2</w:t>
            </w:r>
          </w:p>
        </w:tc>
        <w:tc>
          <w:tcPr>
            <w:tcW w:w="0" w:type="auto"/>
          </w:tcPr>
          <w:p w14:paraId="40CB7AE1" w14:textId="77777777" w:rsidR="0004103A" w:rsidRPr="00AE0E28"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0%</w:t>
            </w:r>
          </w:p>
        </w:tc>
        <w:tc>
          <w:tcPr>
            <w:tcW w:w="0" w:type="auto"/>
          </w:tcPr>
          <w:p w14:paraId="5935D3B1" w14:textId="77777777" w:rsidR="0004103A" w:rsidRPr="00AE0E28"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4%</w:t>
            </w:r>
          </w:p>
        </w:tc>
        <w:tc>
          <w:tcPr>
            <w:tcW w:w="0" w:type="auto"/>
          </w:tcPr>
          <w:p w14:paraId="010711DC" w14:textId="77777777" w:rsidR="0004103A" w:rsidRPr="00AE0E28"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6%</w:t>
            </w:r>
          </w:p>
        </w:tc>
      </w:tr>
      <w:tr w:rsidR="0004103A" w:rsidRPr="00AE0E28" w14:paraId="014706D0"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75CFE281" w14:textId="77777777" w:rsidR="0004103A" w:rsidRPr="00AE0E28" w:rsidRDefault="0004103A" w:rsidP="003B1307">
            <w:pPr>
              <w:jc w:val="right"/>
              <w:rPr>
                <w:b w:val="0"/>
                <w:sz w:val="18"/>
                <w:szCs w:val="18"/>
              </w:rPr>
            </w:pPr>
            <w:r w:rsidRPr="00AE0E28">
              <w:rPr>
                <w:b w:val="0"/>
                <w:sz w:val="18"/>
                <w:szCs w:val="18"/>
              </w:rPr>
              <w:t>H</w:t>
            </w:r>
            <w:r w:rsidRPr="00AE0E28">
              <w:rPr>
                <w:b w:val="0"/>
                <w:sz w:val="18"/>
                <w:szCs w:val="18"/>
                <w:vertAlign w:val="subscript"/>
              </w:rPr>
              <w:t>2</w:t>
            </w:r>
            <w:r w:rsidRPr="00AE0E28">
              <w:rPr>
                <w:b w:val="0"/>
                <w:sz w:val="18"/>
                <w:szCs w:val="18"/>
              </w:rPr>
              <w:t>O</w:t>
            </w:r>
          </w:p>
        </w:tc>
        <w:tc>
          <w:tcPr>
            <w:tcW w:w="0" w:type="auto"/>
          </w:tcPr>
          <w:p w14:paraId="433157CD" w14:textId="77777777" w:rsidR="0004103A" w:rsidRPr="00AE0E28"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0%</w:t>
            </w:r>
          </w:p>
        </w:tc>
        <w:tc>
          <w:tcPr>
            <w:tcW w:w="0" w:type="auto"/>
          </w:tcPr>
          <w:p w14:paraId="5702291D" w14:textId="77777777" w:rsidR="0004103A" w:rsidRPr="00AE0E28"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38%</w:t>
            </w:r>
          </w:p>
        </w:tc>
        <w:tc>
          <w:tcPr>
            <w:tcW w:w="0" w:type="auto"/>
          </w:tcPr>
          <w:p w14:paraId="08F02EFB" w14:textId="77777777" w:rsidR="0004103A" w:rsidRPr="00AE0E28"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0%</w:t>
            </w:r>
          </w:p>
        </w:tc>
      </w:tr>
      <w:tr w:rsidR="0004103A" w:rsidRPr="00AE0E28" w14:paraId="54E2CF8E"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CDD12CF" w14:textId="77777777" w:rsidR="0004103A" w:rsidRPr="00AE0E28" w:rsidRDefault="0004103A" w:rsidP="003B1307">
            <w:pPr>
              <w:jc w:val="right"/>
              <w:rPr>
                <w:b w:val="0"/>
                <w:sz w:val="18"/>
                <w:szCs w:val="18"/>
              </w:rPr>
            </w:pPr>
            <w:r w:rsidRPr="00AE0E28">
              <w:rPr>
                <w:b w:val="0"/>
                <w:sz w:val="18"/>
                <w:szCs w:val="18"/>
              </w:rPr>
              <w:t>CO</w:t>
            </w:r>
            <w:r w:rsidRPr="00AE0E28">
              <w:rPr>
                <w:b w:val="0"/>
                <w:sz w:val="18"/>
                <w:szCs w:val="18"/>
                <w:vertAlign w:val="subscript"/>
              </w:rPr>
              <w:t>2</w:t>
            </w:r>
          </w:p>
        </w:tc>
        <w:tc>
          <w:tcPr>
            <w:tcW w:w="0" w:type="auto"/>
          </w:tcPr>
          <w:p w14:paraId="68276058" w14:textId="77777777" w:rsidR="0004103A" w:rsidRPr="00AE0E28"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34%</w:t>
            </w:r>
          </w:p>
        </w:tc>
        <w:tc>
          <w:tcPr>
            <w:tcW w:w="0" w:type="auto"/>
          </w:tcPr>
          <w:p w14:paraId="49A810CF" w14:textId="77777777" w:rsidR="0004103A" w:rsidRPr="00AE0E28"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1%</w:t>
            </w:r>
          </w:p>
        </w:tc>
        <w:tc>
          <w:tcPr>
            <w:tcW w:w="0" w:type="auto"/>
          </w:tcPr>
          <w:p w14:paraId="4F99A885" w14:textId="77777777" w:rsidR="0004103A" w:rsidRPr="00AE0E28"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2%</w:t>
            </w:r>
          </w:p>
        </w:tc>
      </w:tr>
      <w:tr w:rsidR="0004103A" w:rsidRPr="00AE0E28" w14:paraId="6431F2C8"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1C41613D" w14:textId="77777777" w:rsidR="0004103A" w:rsidRPr="00AE0E28" w:rsidRDefault="0004103A" w:rsidP="003B1307">
            <w:pPr>
              <w:jc w:val="right"/>
              <w:rPr>
                <w:b w:val="0"/>
                <w:sz w:val="18"/>
                <w:szCs w:val="18"/>
              </w:rPr>
            </w:pPr>
            <w:r w:rsidRPr="00AE0E28">
              <w:rPr>
                <w:b w:val="0"/>
                <w:sz w:val="18"/>
                <w:szCs w:val="18"/>
              </w:rPr>
              <w:t>CH</w:t>
            </w:r>
            <w:r w:rsidRPr="00AE0E28">
              <w:rPr>
                <w:b w:val="0"/>
                <w:sz w:val="18"/>
                <w:szCs w:val="18"/>
                <w:vertAlign w:val="subscript"/>
              </w:rPr>
              <w:t>4</w:t>
            </w:r>
          </w:p>
        </w:tc>
        <w:tc>
          <w:tcPr>
            <w:tcW w:w="0" w:type="auto"/>
          </w:tcPr>
          <w:p w14:paraId="133C3528" w14:textId="77777777" w:rsidR="0004103A" w:rsidRPr="00AE0E28"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66%</w:t>
            </w:r>
          </w:p>
        </w:tc>
        <w:tc>
          <w:tcPr>
            <w:tcW w:w="0" w:type="auto"/>
          </w:tcPr>
          <w:p w14:paraId="07D00AC3" w14:textId="77777777" w:rsidR="0004103A" w:rsidRPr="00AE0E28"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57%</w:t>
            </w:r>
          </w:p>
        </w:tc>
        <w:tc>
          <w:tcPr>
            <w:tcW w:w="0" w:type="auto"/>
          </w:tcPr>
          <w:p w14:paraId="53399C67" w14:textId="77777777" w:rsidR="0004103A" w:rsidRPr="00AE0E28"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92%</w:t>
            </w:r>
          </w:p>
        </w:tc>
      </w:tr>
      <w:tr w:rsidR="0004103A" w:rsidRPr="00AE0E28" w14:paraId="23523F33"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B3BDAEA" w14:textId="77777777" w:rsidR="0004103A" w:rsidRPr="00AE0E28" w:rsidRDefault="0004103A" w:rsidP="003B1307">
            <w:pPr>
              <w:jc w:val="right"/>
              <w:rPr>
                <w:sz w:val="18"/>
                <w:szCs w:val="18"/>
              </w:rPr>
            </w:pPr>
            <w:r w:rsidRPr="00AE0E28">
              <w:rPr>
                <w:sz w:val="18"/>
                <w:szCs w:val="18"/>
              </w:rPr>
              <w:t>Characteristics</w:t>
            </w:r>
          </w:p>
        </w:tc>
        <w:tc>
          <w:tcPr>
            <w:tcW w:w="0" w:type="auto"/>
            <w:gridSpan w:val="3"/>
          </w:tcPr>
          <w:p w14:paraId="724A314D" w14:textId="77777777" w:rsidR="0004103A" w:rsidRPr="00AE0E28" w:rsidRDefault="0004103A" w:rsidP="003B1307">
            <w:pPr>
              <w:cnfStyle w:val="000000100000" w:firstRow="0" w:lastRow="0" w:firstColumn="0" w:lastColumn="0" w:oddVBand="0" w:evenVBand="0" w:oddHBand="1" w:evenHBand="0" w:firstRowFirstColumn="0" w:firstRowLastColumn="0" w:lastRowFirstColumn="0" w:lastRowLastColumn="0"/>
              <w:rPr>
                <w:b/>
                <w:sz w:val="18"/>
                <w:szCs w:val="18"/>
              </w:rPr>
            </w:pPr>
          </w:p>
        </w:tc>
      </w:tr>
      <w:tr w:rsidR="0004103A" w:rsidRPr="00AE0E28" w14:paraId="3D01CAD8"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254F547B" w14:textId="77777777" w:rsidR="0004103A" w:rsidRPr="00AE0E28" w:rsidRDefault="0004103A" w:rsidP="003B1307">
            <w:pPr>
              <w:jc w:val="right"/>
              <w:rPr>
                <w:b w:val="0"/>
                <w:sz w:val="18"/>
                <w:szCs w:val="18"/>
              </w:rPr>
            </w:pPr>
            <w:r w:rsidRPr="00AE0E28">
              <w:rPr>
                <w:b w:val="0"/>
                <w:sz w:val="18"/>
                <w:szCs w:val="18"/>
              </w:rPr>
              <w:t>Nm</w:t>
            </w:r>
            <w:r w:rsidRPr="00AE0E28">
              <w:rPr>
                <w:b w:val="0"/>
                <w:sz w:val="18"/>
                <w:szCs w:val="18"/>
                <w:vertAlign w:val="superscript"/>
              </w:rPr>
              <w:t>3</w:t>
            </w:r>
            <w:r w:rsidRPr="00AE0E28">
              <w:rPr>
                <w:b w:val="0"/>
                <w:sz w:val="18"/>
                <w:szCs w:val="18"/>
              </w:rPr>
              <w:t>.t</w:t>
            </w:r>
            <w:r w:rsidRPr="00AE0E28">
              <w:rPr>
                <w:b w:val="0"/>
                <w:sz w:val="18"/>
                <w:szCs w:val="18"/>
                <w:vertAlign w:val="subscript"/>
              </w:rPr>
              <w:t>ww</w:t>
            </w:r>
            <w:r w:rsidRPr="00AE0E28">
              <w:rPr>
                <w:b w:val="0"/>
                <w:sz w:val="18"/>
                <w:szCs w:val="18"/>
                <w:vertAlign w:val="superscript"/>
              </w:rPr>
              <w:t>-1</w:t>
            </w:r>
          </w:p>
        </w:tc>
        <w:tc>
          <w:tcPr>
            <w:tcW w:w="0" w:type="auto"/>
          </w:tcPr>
          <w:p w14:paraId="6F68BB10" w14:textId="77777777" w:rsidR="0004103A" w:rsidRPr="00AE0E28"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96</w:t>
            </w:r>
          </w:p>
        </w:tc>
        <w:tc>
          <w:tcPr>
            <w:tcW w:w="0" w:type="auto"/>
          </w:tcPr>
          <w:p w14:paraId="1FDD407D" w14:textId="77777777" w:rsidR="0004103A" w:rsidRPr="00AE0E28"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163</w:t>
            </w:r>
          </w:p>
        </w:tc>
        <w:tc>
          <w:tcPr>
            <w:tcW w:w="0" w:type="auto"/>
          </w:tcPr>
          <w:p w14:paraId="05FFAFA4" w14:textId="77777777" w:rsidR="0004103A" w:rsidRPr="00AE0E28"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102</w:t>
            </w:r>
          </w:p>
        </w:tc>
      </w:tr>
      <w:tr w:rsidR="0004103A" w:rsidRPr="00AE0E28" w14:paraId="0EA20DF6"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8CF9704" w14:textId="77777777" w:rsidR="0004103A" w:rsidRPr="00AE0E28" w:rsidRDefault="0004103A" w:rsidP="003B1307">
            <w:pPr>
              <w:jc w:val="right"/>
              <w:rPr>
                <w:b w:val="0"/>
                <w:sz w:val="18"/>
                <w:szCs w:val="18"/>
              </w:rPr>
            </w:pPr>
            <w:r w:rsidRPr="00AE0E28">
              <w:rPr>
                <w:b w:val="0"/>
                <w:sz w:val="18"/>
                <w:szCs w:val="18"/>
              </w:rPr>
              <w:t>GJ</w:t>
            </w:r>
            <w:r w:rsidRPr="00AE0E28">
              <w:rPr>
                <w:b w:val="0"/>
                <w:sz w:val="18"/>
                <w:szCs w:val="18"/>
                <w:vertAlign w:val="subscript"/>
              </w:rPr>
              <w:t>HHV</w:t>
            </w:r>
            <w:r w:rsidRPr="00AE0E28">
              <w:rPr>
                <w:b w:val="0"/>
                <w:sz w:val="18"/>
                <w:szCs w:val="18"/>
              </w:rPr>
              <w:t>.t</w:t>
            </w:r>
            <w:r w:rsidRPr="00AE0E28">
              <w:rPr>
                <w:b w:val="0"/>
                <w:sz w:val="18"/>
                <w:szCs w:val="18"/>
                <w:vertAlign w:val="subscript"/>
              </w:rPr>
              <w:t>ww</w:t>
            </w:r>
            <w:r w:rsidRPr="00AE0E28">
              <w:rPr>
                <w:b w:val="0"/>
                <w:sz w:val="18"/>
                <w:szCs w:val="18"/>
                <w:vertAlign w:val="superscript"/>
              </w:rPr>
              <w:t>-1</w:t>
            </w:r>
          </w:p>
        </w:tc>
        <w:tc>
          <w:tcPr>
            <w:tcW w:w="0" w:type="auto"/>
          </w:tcPr>
          <w:p w14:paraId="1EE12010" w14:textId="77777777" w:rsidR="0004103A" w:rsidRPr="00AE0E28"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2.4</w:t>
            </w:r>
          </w:p>
        </w:tc>
        <w:tc>
          <w:tcPr>
            <w:tcW w:w="0" w:type="auto"/>
          </w:tcPr>
          <w:p w14:paraId="3D97D4B6" w14:textId="77777777" w:rsidR="0004103A" w:rsidRPr="00AE0E28"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3.6</w:t>
            </w:r>
            <w:r w:rsidRPr="00AE0E28">
              <w:rPr>
                <w:sz w:val="18"/>
                <w:szCs w:val="18"/>
                <w:vertAlign w:val="superscript"/>
              </w:rPr>
              <w:t>**</w:t>
            </w:r>
          </w:p>
        </w:tc>
        <w:tc>
          <w:tcPr>
            <w:tcW w:w="0" w:type="auto"/>
          </w:tcPr>
          <w:p w14:paraId="04C82E3A" w14:textId="77777777" w:rsidR="0004103A" w:rsidRPr="00AE0E28"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3.5</w:t>
            </w:r>
            <w:r w:rsidRPr="00AE0E28">
              <w:rPr>
                <w:sz w:val="18"/>
                <w:szCs w:val="18"/>
                <w:vertAlign w:val="superscript"/>
              </w:rPr>
              <w:t>**</w:t>
            </w:r>
          </w:p>
        </w:tc>
      </w:tr>
      <w:tr w:rsidR="0004103A" w:rsidRPr="00AE0E28" w14:paraId="773FDA38"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79FE5441" w14:textId="77777777" w:rsidR="0004103A" w:rsidRPr="00AE0E28" w:rsidRDefault="0004103A" w:rsidP="003B1307">
            <w:pPr>
              <w:jc w:val="right"/>
              <w:rPr>
                <w:b w:val="0"/>
                <w:sz w:val="18"/>
                <w:szCs w:val="18"/>
              </w:rPr>
            </w:pPr>
            <w:r w:rsidRPr="00AE0E28">
              <w:rPr>
                <w:b w:val="0"/>
                <w:sz w:val="18"/>
                <w:szCs w:val="18"/>
              </w:rPr>
              <w:t>MJ</w:t>
            </w:r>
            <w:r w:rsidRPr="00AE0E28">
              <w:rPr>
                <w:b w:val="0"/>
                <w:sz w:val="18"/>
                <w:szCs w:val="18"/>
                <w:vertAlign w:val="subscript"/>
              </w:rPr>
              <w:t>HHV</w:t>
            </w:r>
            <w:r w:rsidRPr="00AE0E28">
              <w:rPr>
                <w:b w:val="0"/>
                <w:sz w:val="18"/>
                <w:szCs w:val="18"/>
              </w:rPr>
              <w:t>.Nm</w:t>
            </w:r>
            <w:r w:rsidRPr="00AE0E28">
              <w:rPr>
                <w:b w:val="0"/>
                <w:sz w:val="18"/>
                <w:szCs w:val="18"/>
                <w:vertAlign w:val="superscript"/>
              </w:rPr>
              <w:t>-3</w:t>
            </w:r>
          </w:p>
        </w:tc>
        <w:tc>
          <w:tcPr>
            <w:tcW w:w="0" w:type="auto"/>
          </w:tcPr>
          <w:p w14:paraId="2CF3432A" w14:textId="77777777" w:rsidR="0004103A" w:rsidRPr="00AE0E28"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25</w:t>
            </w:r>
          </w:p>
        </w:tc>
        <w:tc>
          <w:tcPr>
            <w:tcW w:w="0" w:type="auto"/>
          </w:tcPr>
          <w:p w14:paraId="0B647E59" w14:textId="77777777" w:rsidR="0004103A" w:rsidRPr="00AE0E28"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22</w:t>
            </w:r>
            <w:r w:rsidRPr="00AE0E28">
              <w:rPr>
                <w:sz w:val="18"/>
                <w:szCs w:val="18"/>
                <w:vertAlign w:val="superscript"/>
              </w:rPr>
              <w:t>**</w:t>
            </w:r>
          </w:p>
        </w:tc>
        <w:tc>
          <w:tcPr>
            <w:tcW w:w="0" w:type="auto"/>
          </w:tcPr>
          <w:p w14:paraId="294FD8E0" w14:textId="77777777" w:rsidR="0004103A" w:rsidRPr="00AE0E28"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34</w:t>
            </w:r>
            <w:r w:rsidRPr="00AE0E28">
              <w:rPr>
                <w:sz w:val="18"/>
                <w:szCs w:val="18"/>
                <w:vertAlign w:val="superscript"/>
              </w:rPr>
              <w:t>**</w:t>
            </w:r>
          </w:p>
        </w:tc>
      </w:tr>
      <w:tr w:rsidR="0004103A" w:rsidRPr="00AE0E28" w14:paraId="2B68F68F"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7A3962B" w14:textId="77777777" w:rsidR="0004103A" w:rsidRPr="00AE0E28" w:rsidRDefault="0004103A" w:rsidP="003B1307">
            <w:pPr>
              <w:jc w:val="right"/>
              <w:rPr>
                <w:b w:val="0"/>
                <w:sz w:val="18"/>
                <w:szCs w:val="18"/>
              </w:rPr>
            </w:pPr>
            <w:r w:rsidRPr="00AE0E28">
              <w:rPr>
                <w:b w:val="0"/>
                <w:sz w:val="18"/>
                <w:szCs w:val="18"/>
              </w:rPr>
              <w:t>HGE %</w:t>
            </w:r>
            <w:r w:rsidRPr="00AE0E28">
              <w:rPr>
                <w:b w:val="0"/>
                <w:sz w:val="18"/>
                <w:szCs w:val="18"/>
                <w:vertAlign w:val="subscript"/>
              </w:rPr>
              <w:t>HHVin</w:t>
            </w:r>
          </w:p>
        </w:tc>
        <w:tc>
          <w:tcPr>
            <w:tcW w:w="0" w:type="auto"/>
          </w:tcPr>
          <w:p w14:paraId="09C4EB55" w14:textId="77777777" w:rsidR="0004103A" w:rsidRPr="00AE0E28"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46%</w:t>
            </w:r>
          </w:p>
        </w:tc>
        <w:tc>
          <w:tcPr>
            <w:tcW w:w="0" w:type="auto"/>
          </w:tcPr>
          <w:p w14:paraId="6284CB15" w14:textId="77777777" w:rsidR="0004103A" w:rsidRPr="00AE0E28"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51%</w:t>
            </w:r>
            <w:r w:rsidRPr="00AE0E28">
              <w:rPr>
                <w:sz w:val="18"/>
                <w:szCs w:val="18"/>
                <w:vertAlign w:val="superscript"/>
              </w:rPr>
              <w:t>**</w:t>
            </w:r>
          </w:p>
        </w:tc>
        <w:tc>
          <w:tcPr>
            <w:tcW w:w="0" w:type="auto"/>
          </w:tcPr>
          <w:p w14:paraId="1B6FCF1B" w14:textId="77777777" w:rsidR="0004103A" w:rsidRPr="00AE0E28"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AE0E28">
              <w:rPr>
                <w:sz w:val="18"/>
                <w:szCs w:val="18"/>
              </w:rPr>
              <w:t>49%</w:t>
            </w:r>
            <w:r w:rsidRPr="00AE0E28">
              <w:rPr>
                <w:sz w:val="18"/>
                <w:szCs w:val="18"/>
                <w:vertAlign w:val="superscript"/>
              </w:rPr>
              <w:t>**</w:t>
            </w:r>
          </w:p>
        </w:tc>
      </w:tr>
      <w:tr w:rsidR="0004103A" w:rsidRPr="00AE0E28" w14:paraId="51619809"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74C784D1" w14:textId="77777777" w:rsidR="0004103A" w:rsidRPr="00AE0E28" w:rsidRDefault="0004103A" w:rsidP="003B1307">
            <w:pPr>
              <w:jc w:val="right"/>
              <w:rPr>
                <w:b w:val="0"/>
                <w:sz w:val="18"/>
                <w:szCs w:val="18"/>
              </w:rPr>
            </w:pPr>
            <w:r w:rsidRPr="00AE0E28">
              <w:rPr>
                <w:b w:val="0"/>
                <w:sz w:val="18"/>
                <w:szCs w:val="18"/>
              </w:rPr>
              <w:t>°C</w:t>
            </w:r>
          </w:p>
        </w:tc>
        <w:tc>
          <w:tcPr>
            <w:tcW w:w="0" w:type="auto"/>
          </w:tcPr>
          <w:p w14:paraId="253F40F6" w14:textId="77777777" w:rsidR="0004103A" w:rsidRPr="00AE0E28"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37</w:t>
            </w:r>
          </w:p>
        </w:tc>
        <w:tc>
          <w:tcPr>
            <w:tcW w:w="0" w:type="auto"/>
          </w:tcPr>
          <w:p w14:paraId="06ABDABD" w14:textId="77777777" w:rsidR="0004103A" w:rsidRPr="00AE0E28"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340</w:t>
            </w:r>
          </w:p>
        </w:tc>
        <w:tc>
          <w:tcPr>
            <w:tcW w:w="0" w:type="auto"/>
          </w:tcPr>
          <w:p w14:paraId="09F32F13" w14:textId="77777777" w:rsidR="0004103A" w:rsidRPr="00AE0E28"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AE0E28">
              <w:rPr>
                <w:sz w:val="18"/>
                <w:szCs w:val="18"/>
              </w:rPr>
              <w:t>35</w:t>
            </w:r>
          </w:p>
        </w:tc>
      </w:tr>
      <w:tr w:rsidR="0004103A" w:rsidRPr="00AE0E28" w14:paraId="239020FA"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8126A96" w14:textId="77777777" w:rsidR="0004103A" w:rsidRPr="00AE0E28" w:rsidRDefault="0004103A" w:rsidP="003B1307">
            <w:pPr>
              <w:jc w:val="right"/>
              <w:rPr>
                <w:b w:val="0"/>
                <w:i/>
                <w:sz w:val="18"/>
                <w:szCs w:val="18"/>
              </w:rPr>
            </w:pPr>
            <w:r w:rsidRPr="00AE0E28">
              <w:rPr>
                <w:b w:val="0"/>
                <w:i/>
                <w:sz w:val="18"/>
                <w:szCs w:val="18"/>
              </w:rPr>
              <w:t>Comment</w:t>
            </w:r>
          </w:p>
        </w:tc>
        <w:tc>
          <w:tcPr>
            <w:tcW w:w="0" w:type="auto"/>
          </w:tcPr>
          <w:p w14:paraId="658FC3BF" w14:textId="77777777" w:rsidR="0004103A" w:rsidRPr="00AE0E28" w:rsidRDefault="0004103A" w:rsidP="003B1307">
            <w:pPr>
              <w:cnfStyle w:val="000000100000" w:firstRow="0" w:lastRow="0" w:firstColumn="0" w:lastColumn="0" w:oddVBand="0" w:evenVBand="0" w:oddHBand="1" w:evenHBand="0" w:firstRowFirstColumn="0" w:firstRowLastColumn="0" w:lastRowFirstColumn="0" w:lastRowLastColumn="0"/>
              <w:rPr>
                <w:i/>
                <w:sz w:val="18"/>
                <w:szCs w:val="18"/>
              </w:rPr>
            </w:pPr>
            <w:r w:rsidRPr="00AE0E28">
              <w:rPr>
                <w:i/>
                <w:sz w:val="18"/>
                <w:szCs w:val="18"/>
              </w:rPr>
              <w:t>Composition fixed</w:t>
            </w:r>
          </w:p>
        </w:tc>
        <w:tc>
          <w:tcPr>
            <w:tcW w:w="0" w:type="auto"/>
          </w:tcPr>
          <w:p w14:paraId="57556C9F" w14:textId="77777777" w:rsidR="0004103A" w:rsidRPr="00AE0E28" w:rsidRDefault="0004103A" w:rsidP="003B1307">
            <w:pPr>
              <w:cnfStyle w:val="000000100000" w:firstRow="0" w:lastRow="0" w:firstColumn="0" w:lastColumn="0" w:oddVBand="0" w:evenVBand="0" w:oddHBand="1" w:evenHBand="0" w:firstRowFirstColumn="0" w:firstRowLastColumn="0" w:lastRowFirstColumn="0" w:lastRowLastColumn="0"/>
              <w:rPr>
                <w:i/>
                <w:sz w:val="18"/>
                <w:szCs w:val="18"/>
              </w:rPr>
            </w:pPr>
          </w:p>
        </w:tc>
        <w:tc>
          <w:tcPr>
            <w:tcW w:w="0" w:type="auto"/>
          </w:tcPr>
          <w:p w14:paraId="033501BB" w14:textId="77777777" w:rsidR="0004103A" w:rsidRPr="00AE0E28" w:rsidRDefault="0004103A" w:rsidP="003B1307">
            <w:pPr>
              <w:cnfStyle w:val="000000100000" w:firstRow="0" w:lastRow="0" w:firstColumn="0" w:lastColumn="0" w:oddVBand="0" w:evenVBand="0" w:oddHBand="1" w:evenHBand="0" w:firstRowFirstColumn="0" w:firstRowLastColumn="0" w:lastRowFirstColumn="0" w:lastRowLastColumn="0"/>
              <w:rPr>
                <w:i/>
                <w:sz w:val="18"/>
                <w:szCs w:val="18"/>
              </w:rPr>
            </w:pPr>
            <w:r w:rsidRPr="00AE0E28">
              <w:rPr>
                <w:i/>
                <w:sz w:val="18"/>
                <w:szCs w:val="18"/>
              </w:rPr>
              <w:t>Entering MOB bioreactor</w:t>
            </w:r>
          </w:p>
        </w:tc>
      </w:tr>
    </w:tbl>
    <w:p w14:paraId="6B4DD995" w14:textId="77777777" w:rsidR="0004103A" w:rsidRPr="003F5DA8" w:rsidRDefault="0004103A" w:rsidP="006B5342">
      <w:pPr>
        <w:jc w:val="both"/>
        <w:rPr>
          <w:sz w:val="18"/>
        </w:rPr>
      </w:pPr>
      <w:r w:rsidRPr="003F5DA8">
        <w:rPr>
          <w:sz w:val="18"/>
        </w:rPr>
        <w:t xml:space="preserve">Baseline technology values, rounded values. </w:t>
      </w:r>
      <w:r w:rsidRPr="003F5DA8">
        <w:rPr>
          <w:sz w:val="18"/>
          <w:vertAlign w:val="superscript"/>
        </w:rPr>
        <w:t>*</w:t>
      </w:r>
      <w:r w:rsidRPr="003F5DA8">
        <w:rPr>
          <w:sz w:val="18"/>
        </w:rPr>
        <w:t xml:space="preserve">: after cleaning losses. </w:t>
      </w:r>
      <w:r w:rsidRPr="003F5DA8">
        <w:rPr>
          <w:sz w:val="18"/>
          <w:vertAlign w:val="superscript"/>
        </w:rPr>
        <w:t>**</w:t>
      </w:r>
      <w:r w:rsidRPr="003F5DA8">
        <w:rPr>
          <w:sz w:val="18"/>
        </w:rPr>
        <w:t>: accounting for electricity input of electrolysis.</w:t>
      </w:r>
    </w:p>
    <w:p w14:paraId="5285589D" w14:textId="77777777" w:rsidR="0004103A" w:rsidRPr="0004103A" w:rsidRDefault="0004103A" w:rsidP="00C942CE">
      <w:pPr>
        <w:pStyle w:val="Titre4"/>
      </w:pPr>
      <w:r w:rsidRPr="0004103A">
        <w:t>Syngas hydrogen enrichment</w:t>
      </w:r>
    </w:p>
    <w:p w14:paraId="60A554C0" w14:textId="73035B79" w:rsidR="0004103A" w:rsidRPr="003F5DA8" w:rsidRDefault="0004103A" w:rsidP="0004103A">
      <w:pPr>
        <w:tabs>
          <w:tab w:val="left" w:pos="1157"/>
        </w:tabs>
        <w:jc w:val="both"/>
      </w:pPr>
      <w:r w:rsidRPr="003F5DA8">
        <w:t>This sequence of stages allows to increase the share of H</w:t>
      </w:r>
      <w:r w:rsidRPr="003F5DA8">
        <w:rPr>
          <w:vertAlign w:val="subscript"/>
        </w:rPr>
        <w:t>2</w:t>
      </w:r>
      <w:r w:rsidRPr="003F5DA8">
        <w:t xml:space="preserve"> in syngas, and targets HOB production (MP_shifts; as proposed in e.g. Matassa et al., 2020</w:t>
      </w:r>
      <w:r w:rsidRPr="003F5DA8">
        <w:fldChar w:fldCharType="begin"/>
      </w:r>
      <w:r w:rsidR="005413B4">
        <w:instrText xml:space="preserve"> ADDIN ZOTERO_ITEM CSL_CITATION {"citationID":"c9obCtyT","properties":{"formattedCitation":"\\super 194\\nosupersub{}","plainCitation":"194","noteIndex":0},"citationItems":[{"id":2354,"uris":["http://zotero.org/users/6423791/items/E7ZZWGWS"],"itemData":{"id":2354,"type":"article-journal","container-title":"Green Chem.","DOI":"10.1039/D0GC01382J","issue":"15","journalAbbreviation":"Green Chem.","language":"en","note":"publisher: Royal Society of Chemistry","page":"4912-4929","source":"pubs-rsc-org.gorgone.univ-toulouse.fr","title":"Upcycling of biowaste carbon and nutrients in line with consumer confidence: the “full gas” route to single cell protein","title-short":"Upcycling of biowaste carbon and nutrients in line with consumer confidence","volume":"22","author":[{"family":"Matassa","given":"Silvio"},{"family":"Papirio","given":"Stefano"},{"family":"Pikaar","given":"Ilje"},{"family":"Hülsen","given":"Tim"},{"family":"Leijenhorst","given":"Evert"},{"family":"Esposito","given":"Giovanni"},{"family":"Pirozzi","given":"Francesco"},{"family":"Verstraete","given":"Willy"}],"issued":{"date-parts":[["2020"]]}}}],"schema":"https://github.com/citation-style-language/schema/raw/master/csl-citation.json"} </w:instrText>
      </w:r>
      <w:r w:rsidRPr="003F5DA8">
        <w:fldChar w:fldCharType="separate"/>
      </w:r>
      <w:r w:rsidR="005413B4" w:rsidRPr="005413B4">
        <w:rPr>
          <w:rFonts w:ascii="Calibri" w:hAnsi="Calibri" w:cs="Calibri"/>
          <w:szCs w:val="24"/>
          <w:vertAlign w:val="superscript"/>
        </w:rPr>
        <w:t>194</w:t>
      </w:r>
      <w:r w:rsidRPr="003F5DA8">
        <w:fldChar w:fldCharType="end"/>
      </w:r>
      <w:r w:rsidRPr="003F5DA8">
        <w:t>). The established set-up consists in implementing a steam reforming (SR) operation, followed by water conversion shifts (WCS), as documented by Megret et al., 2015</w:t>
      </w:r>
      <w:r w:rsidRPr="003F5DA8">
        <w:fldChar w:fldCharType="begin"/>
      </w:r>
      <w:r w:rsidR="005413B4">
        <w:instrText xml:space="preserve"> ADDIN ZOTERO_ITEM CSL_CITATION {"citationID":"dJzWQUWl","properties":{"formattedCitation":"\\super 223\\nosupersub{}","plainCitation":"223","noteIndex":0},"citationItems":[{"id":12940,"uris":["http://zotero.org/users/6423791/items/KBVGJC6I"],"itemData":{"id":12940,"type":"report","language":"fr","number":"RECORD 13-0239/1A","page":"228","publisher":"Réseau Coopératif de Recherche sur les Déchets et l’Environnement","source":"Zotero","title":"Production d'hydrogène à partir de déchets: Etat de l'art et potentiel d'émergence","URL":"https://hal.archives-ouvertes.fr/hal-01602165","author":[{"family":"Megret","given":"Olivier"},{"family":"Hubert","given":"Loreline"},{"family":"Calbry","given":"M"},{"family":"Trably","given":"Eric"},{"family":"Carrère","given":"Hélène"},{"family":"Garcia-Bernet","given":"Diana"},{"family":"Bernet","given":"Nicolas"}],"issued":{"date-parts":[["2015"]]}}}],"schema":"https://github.com/citation-style-language/schema/raw/master/csl-citation.json"} </w:instrText>
      </w:r>
      <w:r w:rsidRPr="003F5DA8">
        <w:fldChar w:fldCharType="separate"/>
      </w:r>
      <w:r w:rsidR="005413B4" w:rsidRPr="005413B4">
        <w:rPr>
          <w:rFonts w:ascii="Calibri" w:hAnsi="Calibri" w:cs="Calibri"/>
          <w:szCs w:val="24"/>
          <w:vertAlign w:val="superscript"/>
        </w:rPr>
        <w:t>223</w:t>
      </w:r>
      <w:r w:rsidRPr="003F5DA8">
        <w:fldChar w:fldCharType="end"/>
      </w:r>
      <w:r w:rsidRPr="003F5DA8">
        <w:t>.</w:t>
      </w:r>
    </w:p>
    <w:p w14:paraId="41B14229" w14:textId="77777777" w:rsidR="0004103A" w:rsidRPr="001C16B9" w:rsidRDefault="0004103A" w:rsidP="00877BEE">
      <w:pPr>
        <w:pStyle w:val="Titre5"/>
      </w:pPr>
      <w:r w:rsidRPr="001C16B9">
        <w:t>Steam reforming</w:t>
      </w:r>
    </w:p>
    <w:p w14:paraId="4843F4C3" w14:textId="350E5CE4" w:rsidR="0004103A" w:rsidRPr="003F5DA8" w:rsidRDefault="0004103A" w:rsidP="0004103A">
      <w:pPr>
        <w:tabs>
          <w:tab w:val="left" w:pos="1157"/>
        </w:tabs>
        <w:jc w:val="both"/>
      </w:pPr>
      <w:r w:rsidRPr="003F5DA8">
        <w:t>Steam reforming is currently the most used reforming technique</w:t>
      </w:r>
      <w:r w:rsidRPr="003F5DA8">
        <w:fldChar w:fldCharType="begin"/>
      </w:r>
      <w:r w:rsidR="005413B4">
        <w:instrText xml:space="preserve"> ADDIN ZOTERO_ITEM CSL_CITATION {"citationID":"bdneSOdG","properties":{"formattedCitation":"\\super 223\\nosupersub{}","plainCitation":"223","noteIndex":0},"citationItems":[{"id":12940,"uris":["http://zotero.org/users/6423791/items/KBVGJC6I"],"itemData":{"id":12940,"type":"report","language":"fr","number":"RECORD 13-0239/1A","page":"228","publisher":"Réseau Coopératif de Recherche sur les Déchets et l’Environnement","source":"Zotero","title":"Production d'hydrogène à partir de déchets: Etat de l'art et potentiel d'émergence","URL":"https://hal.archives-ouvertes.fr/hal-01602165","author":[{"family":"Megret","given":"Olivier"},{"family":"Hubert","given":"Loreline"},{"family":"Calbry","given":"M"},{"family":"Trably","given":"Eric"},{"family":"Carrère","given":"Hélène"},{"family":"Garcia-Bernet","given":"Diana"},{"family":"Bernet","given":"Nicolas"}],"issued":{"date-parts":[["2015"]]}}}],"schema":"https://github.com/citation-style-language/schema/raw/master/csl-citation.json"} </w:instrText>
      </w:r>
      <w:r w:rsidRPr="003F5DA8">
        <w:fldChar w:fldCharType="separate"/>
      </w:r>
      <w:r w:rsidR="005413B4" w:rsidRPr="005413B4">
        <w:rPr>
          <w:rFonts w:ascii="Calibri" w:hAnsi="Calibri" w:cs="Calibri"/>
          <w:szCs w:val="24"/>
          <w:vertAlign w:val="superscript"/>
        </w:rPr>
        <w:t>223</w:t>
      </w:r>
      <w:r w:rsidRPr="003F5DA8">
        <w:fldChar w:fldCharType="end"/>
      </w:r>
      <w:r w:rsidRPr="003F5DA8">
        <w:t xml:space="preserve">. SR is endothermic, and usually requires a temperature of 800-1000°C and a steam pressure of 30-40 bars. Hot syngas being already at 900°C, only steam production energy and water requirements </w:t>
      </w:r>
      <w:r w:rsidRPr="005C20E4">
        <w:t>were accounted (</w:t>
      </w:r>
      <w:r w:rsidR="00C942CE" w:rsidRPr="00C942CE">
        <w:rPr>
          <w:b/>
        </w:rPr>
        <w:fldChar w:fldCharType="begin"/>
      </w:r>
      <w:r w:rsidR="00C942CE" w:rsidRPr="00C942CE">
        <w:rPr>
          <w:b/>
        </w:rPr>
        <w:instrText xml:space="preserve"> REF _Ref144826576 \h </w:instrText>
      </w:r>
      <w:r w:rsidR="00C942CE">
        <w:rPr>
          <w:b/>
        </w:rPr>
        <w:instrText xml:space="preserve"> \* MERGEFORMAT </w:instrText>
      </w:r>
      <w:r w:rsidR="00C942CE" w:rsidRPr="00C942CE">
        <w:rPr>
          <w:b/>
        </w:rPr>
      </w:r>
      <w:r w:rsidR="00C942CE" w:rsidRPr="00C942CE">
        <w:rPr>
          <w:b/>
        </w:rPr>
        <w:fldChar w:fldCharType="separate"/>
      </w:r>
      <w:r w:rsidR="00F25F8C" w:rsidRPr="00F25F8C">
        <w:rPr>
          <w:b/>
        </w:rPr>
        <w:t xml:space="preserve">Equation </w:t>
      </w:r>
      <w:r w:rsidR="00F25F8C" w:rsidRPr="00F25F8C">
        <w:rPr>
          <w:b/>
          <w:noProof/>
        </w:rPr>
        <w:t>11</w:t>
      </w:r>
      <w:r w:rsidR="00C942CE" w:rsidRPr="00C942CE">
        <w:rPr>
          <w:b/>
        </w:rPr>
        <w:fldChar w:fldCharType="end"/>
      </w:r>
      <w:r w:rsidRPr="005C20E4">
        <w:t>). Steam and</w:t>
      </w:r>
      <w:r w:rsidRPr="003F5DA8">
        <w:t xml:space="preserve"> syngas were both compressed to target pressure </w:t>
      </w:r>
      <w:r>
        <w:t>(</w:t>
      </w:r>
      <w:r w:rsidR="00C942CE" w:rsidRPr="00C942CE">
        <w:rPr>
          <w:b/>
        </w:rPr>
        <w:fldChar w:fldCharType="begin"/>
      </w:r>
      <w:r w:rsidR="00C942CE" w:rsidRPr="00C942CE">
        <w:rPr>
          <w:b/>
        </w:rPr>
        <w:instrText xml:space="preserve"> REF _Ref144736057 \h </w:instrText>
      </w:r>
      <w:r w:rsidR="00C942CE">
        <w:rPr>
          <w:b/>
        </w:rPr>
        <w:instrText xml:space="preserve"> \* MERGEFORMAT </w:instrText>
      </w:r>
      <w:r w:rsidR="00C942CE" w:rsidRPr="00C942CE">
        <w:rPr>
          <w:b/>
        </w:rPr>
      </w:r>
      <w:r w:rsidR="00C942CE" w:rsidRPr="00C942CE">
        <w:rPr>
          <w:b/>
        </w:rPr>
        <w:fldChar w:fldCharType="separate"/>
      </w:r>
      <w:r w:rsidR="00F25F8C" w:rsidRPr="00F25F8C">
        <w:rPr>
          <w:b/>
        </w:rPr>
        <w:t xml:space="preserve">Equation </w:t>
      </w:r>
      <w:r w:rsidR="00F25F8C" w:rsidRPr="00F25F8C">
        <w:rPr>
          <w:b/>
          <w:noProof/>
        </w:rPr>
        <w:t>1</w:t>
      </w:r>
      <w:r w:rsidR="00C942CE" w:rsidRPr="00C942CE">
        <w:rPr>
          <w:b/>
        </w:rPr>
        <w:fldChar w:fldCharType="end"/>
      </w:r>
      <w:r w:rsidRPr="003F5DA8">
        <w:t>). Most of the process parameters were documented from biogas-based SR reactions for the data available, assumed unchanged for syngas (</w:t>
      </w:r>
      <w:r w:rsidR="00C942CE" w:rsidRPr="00C942CE">
        <w:rPr>
          <w:b/>
        </w:rPr>
        <w:fldChar w:fldCharType="begin"/>
      </w:r>
      <w:r w:rsidR="00C942CE" w:rsidRPr="00C942CE">
        <w:rPr>
          <w:b/>
        </w:rPr>
        <w:instrText xml:space="preserve"> REF _Ref144826360 \h </w:instrText>
      </w:r>
      <w:r w:rsidR="00C942CE">
        <w:rPr>
          <w:b/>
        </w:rPr>
        <w:instrText xml:space="preserve"> \* MERGEFORMAT </w:instrText>
      </w:r>
      <w:r w:rsidR="00C942CE" w:rsidRPr="00C942CE">
        <w:rPr>
          <w:b/>
        </w:rPr>
      </w:r>
      <w:r w:rsidR="00C942CE" w:rsidRPr="00C942CE">
        <w:rPr>
          <w:b/>
        </w:rPr>
        <w:fldChar w:fldCharType="separate"/>
      </w:r>
      <w:r w:rsidR="00F25F8C" w:rsidRPr="00F25F8C">
        <w:rPr>
          <w:b/>
        </w:rPr>
        <w:t xml:space="preserve">Table SI. </w:t>
      </w:r>
      <w:r w:rsidR="00F25F8C" w:rsidRPr="00F25F8C">
        <w:rPr>
          <w:b/>
          <w:noProof/>
        </w:rPr>
        <w:t>70</w:t>
      </w:r>
      <w:r w:rsidR="00C942CE" w:rsidRPr="00C942CE">
        <w:rPr>
          <w:b/>
        </w:rPr>
        <w:fldChar w:fldCharType="end"/>
      </w:r>
      <w:r w:rsidRPr="003F5DA8">
        <w:t>). SR was modeled with a Ni-based catalysis (</w:t>
      </w:r>
      <w:r w:rsidR="00C942CE" w:rsidRPr="00C942CE">
        <w:rPr>
          <w:b/>
        </w:rPr>
        <w:fldChar w:fldCharType="begin"/>
      </w:r>
      <w:r w:rsidR="00C942CE" w:rsidRPr="00C942CE">
        <w:rPr>
          <w:b/>
        </w:rPr>
        <w:instrText xml:space="preserve"> REF _Ref144826674 \h </w:instrText>
      </w:r>
      <w:r w:rsidR="00C942CE">
        <w:rPr>
          <w:b/>
        </w:rPr>
        <w:instrText xml:space="preserve"> \* MERGEFORMAT </w:instrText>
      </w:r>
      <w:r w:rsidR="00C942CE" w:rsidRPr="00C942CE">
        <w:rPr>
          <w:b/>
        </w:rPr>
      </w:r>
      <w:r w:rsidR="00C942CE" w:rsidRPr="00C942CE">
        <w:rPr>
          <w:b/>
        </w:rPr>
        <w:fldChar w:fldCharType="separate"/>
      </w:r>
      <w:r w:rsidR="00F25F8C" w:rsidRPr="00F25F8C">
        <w:rPr>
          <w:b/>
        </w:rPr>
        <w:t xml:space="preserve">Table SI. </w:t>
      </w:r>
      <w:r w:rsidR="00F25F8C" w:rsidRPr="00F25F8C">
        <w:rPr>
          <w:b/>
          <w:noProof/>
        </w:rPr>
        <w:t>65</w:t>
      </w:r>
      <w:r w:rsidR="00C942CE" w:rsidRPr="00C942CE">
        <w:rPr>
          <w:b/>
        </w:rPr>
        <w:fldChar w:fldCharType="end"/>
      </w:r>
      <w:r w:rsidRPr="005C20E4">
        <w:t>),</w:t>
      </w:r>
      <w:r w:rsidRPr="003F5DA8">
        <w:t xml:space="preserve"> neglecting current complications (e.g. coke formations). Mass and energy balances are available </w:t>
      </w:r>
      <w:r w:rsidRPr="00383842">
        <w:t xml:space="preserve">in </w:t>
      </w:r>
      <w:r w:rsidR="00AE0E28" w:rsidRPr="00AE0E28">
        <w:rPr>
          <w:i/>
        </w:rPr>
        <w:t>B.GA_module spreadsheet</w:t>
      </w:r>
      <w:r w:rsidRPr="00AE0E28">
        <w:rPr>
          <w:i/>
        </w:rPr>
        <w:t>.</w:t>
      </w:r>
    </w:p>
    <w:p w14:paraId="7211BCD2" w14:textId="0ECA2888" w:rsidR="0004103A" w:rsidRDefault="00874128" w:rsidP="006B5342">
      <w:pPr>
        <w:pStyle w:val="Lgende"/>
        <w:jc w:val="left"/>
        <w:rPr>
          <w:b w:val="0"/>
        </w:rPr>
      </w:pPr>
      <w:bookmarkStart w:id="280" w:name="_Ref144826576"/>
      <w:r>
        <w:t>Equation</w:t>
      </w:r>
      <w:r w:rsidR="0004103A">
        <w:t xml:space="preserve"> </w:t>
      </w:r>
      <w:r>
        <w:fldChar w:fldCharType="begin"/>
      </w:r>
      <w:r>
        <w:instrText xml:space="preserve"> SEQ Equation \* ARABIC </w:instrText>
      </w:r>
      <w:r>
        <w:fldChar w:fldCharType="separate"/>
      </w:r>
      <w:r w:rsidR="00F25F8C">
        <w:rPr>
          <w:noProof/>
        </w:rPr>
        <w:t>11</w:t>
      </w:r>
      <w:r>
        <w:fldChar w:fldCharType="end"/>
      </w:r>
      <w:bookmarkEnd w:id="280"/>
    </w:p>
    <w:p w14:paraId="2D85B848" w14:textId="77777777" w:rsidR="0004103A" w:rsidRPr="00415E4C" w:rsidRDefault="0004103A" w:rsidP="006B5342">
      <w:pPr>
        <w:rPr>
          <w:sz w:val="20"/>
        </w:rPr>
      </w:pPr>
      <w:r w:rsidRPr="00415E4C">
        <w:rPr>
          <w:b/>
          <w:sz w:val="20"/>
        </w:rPr>
        <w:t>Steam Reforming (SR)</w:t>
      </w:r>
    </w:p>
    <w:p w14:paraId="7DFB5C86" w14:textId="77777777" w:rsidR="0004103A" w:rsidRPr="006B5342" w:rsidRDefault="00827449" w:rsidP="006B5342">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O=CO+</m:t>
          </m:r>
          <m:sSub>
            <m:sSubPr>
              <m:ctrlPr>
                <w:rPr>
                  <w:rFonts w:ascii="Cambria Math" w:hAnsi="Cambria Math"/>
                  <w:i/>
                </w:rPr>
              </m:ctrlPr>
            </m:sSubPr>
            <m:e>
              <m:r>
                <w:rPr>
                  <w:rFonts w:ascii="Cambria Math" w:hAnsi="Cambria Math"/>
                </w:rPr>
                <m:t>3H</m:t>
              </m:r>
            </m:e>
            <m:sub>
              <m:r>
                <w:rPr>
                  <w:rFonts w:ascii="Cambria Math" w:hAnsi="Cambria Math"/>
                </w:rPr>
                <m:t>2</m:t>
              </m:r>
            </m:sub>
          </m:sSub>
        </m:oMath>
      </m:oMathPara>
    </w:p>
    <w:p w14:paraId="7D8F7128" w14:textId="0323ACE7" w:rsidR="0004103A" w:rsidRPr="005C20E4" w:rsidRDefault="00874128" w:rsidP="006B5342">
      <w:pPr>
        <w:pStyle w:val="Lgende"/>
        <w:jc w:val="left"/>
        <w:rPr>
          <w:b w:val="0"/>
          <w:i/>
        </w:rPr>
      </w:pPr>
      <w:bookmarkStart w:id="281" w:name="_Ref144826674"/>
      <w:bookmarkStart w:id="282" w:name="_Toc134537631"/>
      <w:bookmarkStart w:id="283" w:name="_Toc151967949"/>
      <w:r>
        <w:t>Table SI.</w:t>
      </w:r>
      <w:r w:rsidR="0004103A">
        <w:t xml:space="preserve"> </w:t>
      </w:r>
      <w:r>
        <w:fldChar w:fldCharType="begin"/>
      </w:r>
      <w:r>
        <w:instrText xml:space="preserve"> SEQ Table_SI. \* ARABIC </w:instrText>
      </w:r>
      <w:r>
        <w:fldChar w:fldCharType="separate"/>
      </w:r>
      <w:r w:rsidR="00F25F8C">
        <w:rPr>
          <w:noProof/>
        </w:rPr>
        <w:t>65</w:t>
      </w:r>
      <w:r>
        <w:fldChar w:fldCharType="end"/>
      </w:r>
      <w:bookmarkEnd w:id="281"/>
      <w:r w:rsidR="0004103A" w:rsidRPr="00415E4C">
        <w:t xml:space="preserve"> – SR building and catalysis modeling parameters</w:t>
      </w:r>
      <w:bookmarkEnd w:id="282"/>
      <w:bookmarkEnd w:id="283"/>
    </w:p>
    <w:tbl>
      <w:tblPr>
        <w:tblStyle w:val="Tableausimple2"/>
        <w:tblW w:w="0" w:type="auto"/>
        <w:tblLook w:val="04A0" w:firstRow="1" w:lastRow="0" w:firstColumn="1" w:lastColumn="0" w:noHBand="0" w:noVBand="1"/>
      </w:tblPr>
      <w:tblGrid>
        <w:gridCol w:w="2112"/>
        <w:gridCol w:w="1134"/>
        <w:gridCol w:w="708"/>
        <w:gridCol w:w="4237"/>
      </w:tblGrid>
      <w:tr w:rsidR="0004103A" w:rsidRPr="00AE0E28" w14:paraId="1674F523"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02F50A2A" w14:textId="77777777" w:rsidR="0004103A" w:rsidRPr="00AE0E28" w:rsidRDefault="0004103A" w:rsidP="003B1307">
            <w:pPr>
              <w:jc w:val="right"/>
              <w:rPr>
                <w:sz w:val="18"/>
              </w:rPr>
            </w:pPr>
            <w:r w:rsidRPr="00AE0E28">
              <w:rPr>
                <w:sz w:val="18"/>
              </w:rPr>
              <w:t>Parameter</w:t>
            </w:r>
          </w:p>
        </w:tc>
        <w:tc>
          <w:tcPr>
            <w:tcW w:w="1134" w:type="dxa"/>
          </w:tcPr>
          <w:p w14:paraId="0D939FD6" w14:textId="77777777" w:rsidR="0004103A" w:rsidRPr="00AE0E28" w:rsidRDefault="0004103A" w:rsidP="003B1307">
            <w:pPr>
              <w:cnfStyle w:val="100000000000" w:firstRow="1" w:lastRow="0" w:firstColumn="0" w:lastColumn="0" w:oddVBand="0" w:evenVBand="0" w:oddHBand="0" w:evenHBand="0" w:firstRowFirstColumn="0" w:firstRowLastColumn="0" w:lastRowFirstColumn="0" w:lastRowLastColumn="0"/>
              <w:rPr>
                <w:sz w:val="18"/>
              </w:rPr>
            </w:pPr>
            <w:r w:rsidRPr="00AE0E28">
              <w:rPr>
                <w:sz w:val="18"/>
              </w:rPr>
              <w:t>Unit</w:t>
            </w:r>
          </w:p>
        </w:tc>
        <w:tc>
          <w:tcPr>
            <w:tcW w:w="708" w:type="dxa"/>
          </w:tcPr>
          <w:p w14:paraId="73679F85" w14:textId="77777777" w:rsidR="0004103A" w:rsidRPr="00AE0E28" w:rsidRDefault="0004103A" w:rsidP="003B1307">
            <w:pPr>
              <w:cnfStyle w:val="100000000000" w:firstRow="1" w:lastRow="0" w:firstColumn="0" w:lastColumn="0" w:oddVBand="0" w:evenVBand="0" w:oddHBand="0" w:evenHBand="0" w:firstRowFirstColumn="0" w:firstRowLastColumn="0" w:lastRowFirstColumn="0" w:lastRowLastColumn="0"/>
              <w:rPr>
                <w:sz w:val="18"/>
              </w:rPr>
            </w:pPr>
            <w:r w:rsidRPr="00AE0E28">
              <w:rPr>
                <w:sz w:val="18"/>
              </w:rPr>
              <w:t>Value</w:t>
            </w:r>
          </w:p>
        </w:tc>
        <w:tc>
          <w:tcPr>
            <w:tcW w:w="4237" w:type="dxa"/>
          </w:tcPr>
          <w:p w14:paraId="695FACCC" w14:textId="77777777" w:rsidR="0004103A" w:rsidRPr="00AE0E28" w:rsidRDefault="0004103A" w:rsidP="003B1307">
            <w:pPr>
              <w:cnfStyle w:val="100000000000" w:firstRow="1" w:lastRow="0" w:firstColumn="0" w:lastColumn="0" w:oddVBand="0" w:evenVBand="0" w:oddHBand="0" w:evenHBand="0" w:firstRowFirstColumn="0" w:firstRowLastColumn="0" w:lastRowFirstColumn="0" w:lastRowLastColumn="0"/>
              <w:rPr>
                <w:sz w:val="18"/>
              </w:rPr>
            </w:pPr>
            <w:r w:rsidRPr="00AE0E28">
              <w:rPr>
                <w:sz w:val="18"/>
              </w:rPr>
              <w:t>Comment</w:t>
            </w:r>
          </w:p>
        </w:tc>
      </w:tr>
      <w:tr w:rsidR="0004103A" w:rsidRPr="00AE0E28" w14:paraId="6492DE6C" w14:textId="77777777" w:rsidTr="006B5342">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8191" w:type="dxa"/>
            <w:gridSpan w:val="4"/>
          </w:tcPr>
          <w:p w14:paraId="1FED1031" w14:textId="52E01B87" w:rsidR="0004103A" w:rsidRPr="00AE0E28" w:rsidRDefault="0004103A" w:rsidP="003B1307">
            <w:pPr>
              <w:rPr>
                <w:b w:val="0"/>
                <w:i/>
                <w:sz w:val="18"/>
              </w:rPr>
            </w:pPr>
            <w:r w:rsidRPr="00AE0E28">
              <w:rPr>
                <w:b w:val="0"/>
                <w:i/>
                <w:sz w:val="18"/>
              </w:rPr>
              <w:t>To proxy SR reactor and buildin</w:t>
            </w:r>
            <w:r w:rsidRPr="00AE0E28">
              <w:rPr>
                <w:b w:val="0"/>
                <w:i/>
                <w:sz w:val="18"/>
                <w:szCs w:val="18"/>
              </w:rPr>
              <w:t>g, the inventory of Battista et al., 2017</w:t>
            </w:r>
            <w:r w:rsidRPr="00AE0E28">
              <w:rPr>
                <w:i/>
                <w:sz w:val="18"/>
                <w:szCs w:val="18"/>
              </w:rPr>
              <w:fldChar w:fldCharType="begin"/>
            </w:r>
            <w:r w:rsidR="005413B4">
              <w:rPr>
                <w:b w:val="0"/>
                <w:i/>
                <w:sz w:val="18"/>
                <w:szCs w:val="18"/>
              </w:rPr>
              <w:instrText xml:space="preserve"> ADDIN ZOTERO_ITEM CSL_CITATION {"citationID":"aoiE1HnX","properties":{"formattedCitation":"\\super 245\\nosupersub{}","plainCitation":"245","noteIndex":0},"citationItems":[{"id":12986,"uris":["http://zotero.org/users/6423791/items/MZMDZFXZ"],"itemData":{"id":12986,"type":"article-journal","abstract":"BioRobur is a project aimed to produce hydrogen from biogas through an auto-thermal reforming (ATR) process, in which innovative catalytic systems are used to promote the ATR reactions involved in the process for the conversion of biogas into syngas. A detailed LCA study of hydrogen production from biogas ATR using the BioRobur technology has been performed. LCA analysis has been also conducted for other two conventional processes for the production of hydrogen from biogas: the steam reforming and water hydrolysis (a biogas-fueled Internal Combustion engine (ICE) followed by an Electrolyser). A comparison between these technologies has been made from both the environmental and the energetic viewpoints. The LCA has demonstrated that BioRobur is the most environmentally friendly of considered processes. Moreover, the ICE plus Electrolyser has resulted to be the because of the very large amount of biogas needed for the least efficient process, due to the low conversion yield of biogas into energy of the ICE.","collection-title":"Special Issue on The 21st World Hydrogen Energy Conference (WHEC 2016), 13-16 June 2016, Zaragoza, Spain","container-title":"International Journal of Hydrogen Energy","DOI":"10.1016/j.ijhydene.2016.12.065","ISSN":"0360-3199","issue":"19","journalAbbreviation":"International Journal of Hydrogen Energy","language":"en","page":"14030-14043","source":"ScienceDirect","title":"LCA evaluation for the hydrogen production from biogas through the innovative BioRobur project concept","volume":"42","author":[{"family":"Battista","given":"F."},{"family":"Montenegro Camacho","given":"Y. S."},{"family":"Hernández","given":"S."},{"family":"Bensaid","given":"S."},{"family":"Herrmann","given":"A."},{"family":"Krause","given":"H."},{"family":"Trimis","given":"D."},{"family":"Fino","given":"D."}],"issued":{"date-parts":[["2017",5,11]]}}}],"schema":"https://github.com/citation-style-language/schema/raw/master/csl-citation.json"} </w:instrText>
            </w:r>
            <w:r w:rsidRPr="00AE0E28">
              <w:rPr>
                <w:i/>
                <w:sz w:val="18"/>
                <w:szCs w:val="18"/>
              </w:rPr>
              <w:fldChar w:fldCharType="separate"/>
            </w:r>
            <w:r w:rsidR="005413B4" w:rsidRPr="005413B4">
              <w:rPr>
                <w:rFonts w:ascii="Calibri" w:hAnsi="Calibri" w:cs="Calibri"/>
                <w:sz w:val="18"/>
                <w:szCs w:val="24"/>
                <w:vertAlign w:val="superscript"/>
              </w:rPr>
              <w:t>245</w:t>
            </w:r>
            <w:r w:rsidRPr="00AE0E28">
              <w:rPr>
                <w:i/>
                <w:sz w:val="18"/>
                <w:szCs w:val="18"/>
              </w:rPr>
              <w:fldChar w:fldCharType="end"/>
            </w:r>
            <w:r w:rsidRPr="00AE0E28">
              <w:rPr>
                <w:b w:val="0"/>
                <w:i/>
                <w:sz w:val="18"/>
                <w:szCs w:val="18"/>
              </w:rPr>
              <w:t xml:space="preserve"> was reused</w:t>
            </w:r>
          </w:p>
        </w:tc>
      </w:tr>
      <w:tr w:rsidR="0004103A" w:rsidRPr="00AE0E28" w14:paraId="32A87DB3" w14:textId="77777777" w:rsidTr="006B5342">
        <w:tc>
          <w:tcPr>
            <w:cnfStyle w:val="001000000000" w:firstRow="0" w:lastRow="0" w:firstColumn="1" w:lastColumn="0" w:oddVBand="0" w:evenVBand="0" w:oddHBand="0" w:evenHBand="0" w:firstRowFirstColumn="0" w:firstRowLastColumn="0" w:lastRowFirstColumn="0" w:lastRowLastColumn="0"/>
            <w:tcW w:w="2112" w:type="dxa"/>
          </w:tcPr>
          <w:p w14:paraId="716BBF08" w14:textId="77777777" w:rsidR="0004103A" w:rsidRPr="00AE0E28" w:rsidRDefault="0004103A" w:rsidP="003B1307">
            <w:pPr>
              <w:jc w:val="right"/>
              <w:rPr>
                <w:b w:val="0"/>
                <w:sz w:val="18"/>
              </w:rPr>
            </w:pPr>
            <w:r w:rsidRPr="00AE0E28">
              <w:rPr>
                <w:b w:val="0"/>
                <w:sz w:val="18"/>
              </w:rPr>
              <w:t>Nickel oxide</w:t>
            </w:r>
          </w:p>
        </w:tc>
        <w:tc>
          <w:tcPr>
            <w:tcW w:w="1134" w:type="dxa"/>
            <w:vMerge w:val="restart"/>
          </w:tcPr>
          <w:p w14:paraId="4D8C8207" w14:textId="77777777" w:rsidR="0004103A" w:rsidRPr="00AE0E28" w:rsidRDefault="0004103A" w:rsidP="003B1307">
            <w:pPr>
              <w:cnfStyle w:val="000000000000" w:firstRow="0" w:lastRow="0" w:firstColumn="0" w:lastColumn="0" w:oddVBand="0" w:evenVBand="0" w:oddHBand="0" w:evenHBand="0" w:firstRowFirstColumn="0" w:firstRowLastColumn="0" w:lastRowFirstColumn="0" w:lastRowLastColumn="0"/>
              <w:rPr>
                <w:sz w:val="18"/>
              </w:rPr>
            </w:pPr>
            <w:proofErr w:type="gramStart"/>
            <w:r w:rsidRPr="00AE0E28">
              <w:rPr>
                <w:sz w:val="18"/>
              </w:rPr>
              <w:t>mg.Nm</w:t>
            </w:r>
            <w:proofErr w:type="gramEnd"/>
            <w:r w:rsidRPr="00AE0E28">
              <w:rPr>
                <w:sz w:val="18"/>
                <w:vertAlign w:val="superscript"/>
              </w:rPr>
              <w:t>-3</w:t>
            </w:r>
            <w:r w:rsidRPr="00AE0E28">
              <w:rPr>
                <w:sz w:val="18"/>
                <w:vertAlign w:val="subscript"/>
              </w:rPr>
              <w:t>in</w:t>
            </w:r>
          </w:p>
        </w:tc>
        <w:tc>
          <w:tcPr>
            <w:tcW w:w="708" w:type="dxa"/>
          </w:tcPr>
          <w:p w14:paraId="22652495" w14:textId="77777777" w:rsidR="0004103A" w:rsidRPr="00AE0E28" w:rsidRDefault="0004103A" w:rsidP="003B1307">
            <w:pPr>
              <w:cnfStyle w:val="000000000000" w:firstRow="0" w:lastRow="0" w:firstColumn="0" w:lastColumn="0" w:oddVBand="0" w:evenVBand="0" w:oddHBand="0" w:evenHBand="0" w:firstRowFirstColumn="0" w:firstRowLastColumn="0" w:lastRowFirstColumn="0" w:lastRowLastColumn="0"/>
              <w:rPr>
                <w:sz w:val="18"/>
              </w:rPr>
            </w:pPr>
            <w:r w:rsidRPr="00AE0E28">
              <w:rPr>
                <w:sz w:val="18"/>
              </w:rPr>
              <w:t>1.80</w:t>
            </w:r>
          </w:p>
        </w:tc>
        <w:tc>
          <w:tcPr>
            <w:tcW w:w="4237" w:type="dxa"/>
            <w:vMerge w:val="restart"/>
          </w:tcPr>
          <w:p w14:paraId="1D391A09" w14:textId="56DF3604" w:rsidR="0004103A" w:rsidRPr="00AE0E28" w:rsidRDefault="0004103A" w:rsidP="003B1307">
            <w:pPr>
              <w:cnfStyle w:val="000000000000" w:firstRow="0" w:lastRow="0" w:firstColumn="0" w:lastColumn="0" w:oddVBand="0" w:evenVBand="0" w:oddHBand="0" w:evenHBand="0" w:firstRowFirstColumn="0" w:firstRowLastColumn="0" w:lastRowFirstColumn="0" w:lastRowLastColumn="0"/>
              <w:rPr>
                <w:i/>
                <w:sz w:val="18"/>
              </w:rPr>
            </w:pPr>
            <w:r w:rsidRPr="00AE0E28">
              <w:rPr>
                <w:i/>
                <w:sz w:val="18"/>
              </w:rPr>
              <w:t xml:space="preserve">Proxy of SR catalyst </w:t>
            </w:r>
            <w:r w:rsidRPr="00AE0E28">
              <w:rPr>
                <w:i/>
                <w:sz w:val="18"/>
                <w:szCs w:val="18"/>
              </w:rPr>
              <w:t>composition</w:t>
            </w:r>
            <w:r w:rsidRPr="00AE0E28">
              <w:rPr>
                <w:i/>
                <w:sz w:val="18"/>
                <w:szCs w:val="18"/>
              </w:rPr>
              <w:fldChar w:fldCharType="begin"/>
            </w:r>
            <w:r w:rsidR="005413B4">
              <w:rPr>
                <w:i/>
                <w:sz w:val="18"/>
                <w:szCs w:val="18"/>
              </w:rPr>
              <w:instrText xml:space="preserve"> ADDIN ZOTERO_ITEM CSL_CITATION {"citationID":"NivkXZLF","properties":{"formattedCitation":"\\super 246\\nosupersub{}","plainCitation":"246","noteIndex":0},"citationItems":[{"id":13035,"uris":["http://zotero.org/users/6423791/items/LN65AP83"],"itemData":{"id":13035,"type":"article-journal","container-title":"Frontiers in Energy Research","DOI":"10.3389/fenrg.2020.533850","ISSN":"2296-598X","journalAbbreviation":"Front. Energy Res.","page":"533850","source":"DOI.org (Crossref)","title":"Life Cycle Assessment of Power-to-Syngas: Comparing High Temperature Co-Electrolysis and Steam Methane Reforming","title-short":"Life Cycle Assessment of Power-to-Syngas","volume":"8","author":[{"family":"Schreiber","given":"Andrea"},{"family":"Peschel","given":"Andreas"},{"family":"Hentschel","given":"Benjamin"},{"family":"Zapp","given":"Petra"}],"issued":{"date-parts":[["2020",11,9]]}}}],"schema":"https://github.com/citation-style-language/schema/raw/master/csl-citation.json"} </w:instrText>
            </w:r>
            <w:r w:rsidRPr="00AE0E28">
              <w:rPr>
                <w:i/>
                <w:sz w:val="18"/>
                <w:szCs w:val="18"/>
              </w:rPr>
              <w:fldChar w:fldCharType="separate"/>
            </w:r>
            <w:r w:rsidR="005413B4" w:rsidRPr="005413B4">
              <w:rPr>
                <w:rFonts w:ascii="Calibri" w:hAnsi="Calibri" w:cs="Calibri"/>
                <w:sz w:val="18"/>
                <w:szCs w:val="24"/>
                <w:vertAlign w:val="superscript"/>
              </w:rPr>
              <w:t>246</w:t>
            </w:r>
            <w:r w:rsidRPr="00AE0E28">
              <w:rPr>
                <w:i/>
                <w:sz w:val="18"/>
                <w:szCs w:val="18"/>
              </w:rPr>
              <w:fldChar w:fldCharType="end"/>
            </w:r>
          </w:p>
        </w:tc>
      </w:tr>
      <w:tr w:rsidR="0004103A" w:rsidRPr="00AE0E28" w14:paraId="2FA7E724"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04EAF8E0" w14:textId="77777777" w:rsidR="0004103A" w:rsidRPr="00AE0E28" w:rsidRDefault="0004103A" w:rsidP="003B1307">
            <w:pPr>
              <w:jc w:val="right"/>
              <w:rPr>
                <w:b w:val="0"/>
                <w:sz w:val="18"/>
              </w:rPr>
            </w:pPr>
            <w:r w:rsidRPr="00AE0E28">
              <w:rPr>
                <w:b w:val="0"/>
                <w:sz w:val="18"/>
              </w:rPr>
              <w:t>Aluminum oxide</w:t>
            </w:r>
          </w:p>
        </w:tc>
        <w:tc>
          <w:tcPr>
            <w:tcW w:w="1134" w:type="dxa"/>
            <w:vMerge/>
          </w:tcPr>
          <w:p w14:paraId="455A495F" w14:textId="77777777" w:rsidR="0004103A" w:rsidRPr="00AE0E28" w:rsidRDefault="0004103A" w:rsidP="003B1307">
            <w:pPr>
              <w:cnfStyle w:val="000000100000" w:firstRow="0" w:lastRow="0" w:firstColumn="0" w:lastColumn="0" w:oddVBand="0" w:evenVBand="0" w:oddHBand="1" w:evenHBand="0" w:firstRowFirstColumn="0" w:firstRowLastColumn="0" w:lastRowFirstColumn="0" w:lastRowLastColumn="0"/>
              <w:rPr>
                <w:sz w:val="18"/>
              </w:rPr>
            </w:pPr>
          </w:p>
        </w:tc>
        <w:tc>
          <w:tcPr>
            <w:tcW w:w="708" w:type="dxa"/>
          </w:tcPr>
          <w:p w14:paraId="33BD8A7E" w14:textId="77777777" w:rsidR="0004103A" w:rsidRPr="00AE0E28" w:rsidRDefault="0004103A" w:rsidP="003B1307">
            <w:pPr>
              <w:cnfStyle w:val="000000100000" w:firstRow="0" w:lastRow="0" w:firstColumn="0" w:lastColumn="0" w:oddVBand="0" w:evenVBand="0" w:oddHBand="1" w:evenHBand="0" w:firstRowFirstColumn="0" w:firstRowLastColumn="0" w:lastRowFirstColumn="0" w:lastRowLastColumn="0"/>
              <w:rPr>
                <w:sz w:val="18"/>
              </w:rPr>
            </w:pPr>
            <w:r w:rsidRPr="00AE0E28">
              <w:rPr>
                <w:sz w:val="18"/>
              </w:rPr>
              <w:t>1.62</w:t>
            </w:r>
          </w:p>
        </w:tc>
        <w:tc>
          <w:tcPr>
            <w:tcW w:w="4237" w:type="dxa"/>
            <w:vMerge/>
          </w:tcPr>
          <w:p w14:paraId="0976DA78" w14:textId="77777777" w:rsidR="0004103A" w:rsidRPr="00AE0E28" w:rsidRDefault="0004103A" w:rsidP="003B1307">
            <w:pPr>
              <w:cnfStyle w:val="000000100000" w:firstRow="0" w:lastRow="0" w:firstColumn="0" w:lastColumn="0" w:oddVBand="0" w:evenVBand="0" w:oddHBand="1" w:evenHBand="0" w:firstRowFirstColumn="0" w:firstRowLastColumn="0" w:lastRowFirstColumn="0" w:lastRowLastColumn="0"/>
              <w:rPr>
                <w:i/>
                <w:sz w:val="18"/>
              </w:rPr>
            </w:pPr>
          </w:p>
        </w:tc>
      </w:tr>
      <w:tr w:rsidR="0004103A" w:rsidRPr="00AE0E28" w14:paraId="39A7B617" w14:textId="77777777" w:rsidTr="006B5342">
        <w:tc>
          <w:tcPr>
            <w:cnfStyle w:val="001000000000" w:firstRow="0" w:lastRow="0" w:firstColumn="1" w:lastColumn="0" w:oddVBand="0" w:evenVBand="0" w:oddHBand="0" w:evenHBand="0" w:firstRowFirstColumn="0" w:firstRowLastColumn="0" w:lastRowFirstColumn="0" w:lastRowLastColumn="0"/>
            <w:tcW w:w="2112" w:type="dxa"/>
          </w:tcPr>
          <w:p w14:paraId="575B16BC" w14:textId="77777777" w:rsidR="0004103A" w:rsidRPr="00AE0E28" w:rsidRDefault="0004103A" w:rsidP="003B1307">
            <w:pPr>
              <w:jc w:val="right"/>
              <w:rPr>
                <w:b w:val="0"/>
                <w:sz w:val="18"/>
              </w:rPr>
            </w:pPr>
            <w:r w:rsidRPr="00AE0E28">
              <w:rPr>
                <w:b w:val="0"/>
                <w:sz w:val="18"/>
              </w:rPr>
              <w:t>Heat treatment (J)</w:t>
            </w:r>
          </w:p>
        </w:tc>
        <w:tc>
          <w:tcPr>
            <w:tcW w:w="1134" w:type="dxa"/>
            <w:vMerge/>
          </w:tcPr>
          <w:p w14:paraId="5C840F26" w14:textId="77777777" w:rsidR="0004103A" w:rsidRPr="00AE0E28" w:rsidRDefault="0004103A" w:rsidP="003B1307">
            <w:pPr>
              <w:cnfStyle w:val="000000000000" w:firstRow="0" w:lastRow="0" w:firstColumn="0" w:lastColumn="0" w:oddVBand="0" w:evenVBand="0" w:oddHBand="0" w:evenHBand="0" w:firstRowFirstColumn="0" w:firstRowLastColumn="0" w:lastRowFirstColumn="0" w:lastRowLastColumn="0"/>
              <w:rPr>
                <w:sz w:val="18"/>
              </w:rPr>
            </w:pPr>
          </w:p>
        </w:tc>
        <w:tc>
          <w:tcPr>
            <w:tcW w:w="708" w:type="dxa"/>
          </w:tcPr>
          <w:p w14:paraId="51461160" w14:textId="77777777" w:rsidR="0004103A" w:rsidRPr="00AE0E28" w:rsidRDefault="0004103A" w:rsidP="003B1307">
            <w:pPr>
              <w:cnfStyle w:val="000000000000" w:firstRow="0" w:lastRow="0" w:firstColumn="0" w:lastColumn="0" w:oddVBand="0" w:evenVBand="0" w:oddHBand="0" w:evenHBand="0" w:firstRowFirstColumn="0" w:firstRowLastColumn="0" w:lastRowFirstColumn="0" w:lastRowLastColumn="0"/>
              <w:rPr>
                <w:sz w:val="18"/>
              </w:rPr>
            </w:pPr>
            <w:r w:rsidRPr="00AE0E28">
              <w:rPr>
                <w:sz w:val="18"/>
              </w:rPr>
              <w:t>9.0</w:t>
            </w:r>
          </w:p>
        </w:tc>
        <w:tc>
          <w:tcPr>
            <w:tcW w:w="4237" w:type="dxa"/>
            <w:vMerge/>
          </w:tcPr>
          <w:p w14:paraId="08157149" w14:textId="77777777" w:rsidR="0004103A" w:rsidRPr="00AE0E28" w:rsidRDefault="0004103A" w:rsidP="003B1307">
            <w:pPr>
              <w:cnfStyle w:val="000000000000" w:firstRow="0" w:lastRow="0" w:firstColumn="0" w:lastColumn="0" w:oddVBand="0" w:evenVBand="0" w:oddHBand="0" w:evenHBand="0" w:firstRowFirstColumn="0" w:firstRowLastColumn="0" w:lastRowFirstColumn="0" w:lastRowLastColumn="0"/>
              <w:rPr>
                <w:i/>
                <w:sz w:val="18"/>
              </w:rPr>
            </w:pPr>
          </w:p>
        </w:tc>
      </w:tr>
    </w:tbl>
    <w:p w14:paraId="72016F83" w14:textId="77777777" w:rsidR="0004103A" w:rsidRPr="003F5DA8" w:rsidRDefault="0004103A" w:rsidP="006B5342">
      <w:pPr>
        <w:jc w:val="both"/>
      </w:pPr>
      <w:r w:rsidRPr="003F5DA8">
        <w:rPr>
          <w:sz w:val="18"/>
        </w:rPr>
        <w:t>The parameters present in this table were not retained in the sensitivity analysis, these were considered as constants.</w:t>
      </w:r>
    </w:p>
    <w:p w14:paraId="2F2D3672" w14:textId="77777777" w:rsidR="0004103A" w:rsidRPr="001C16B9" w:rsidRDefault="0004103A" w:rsidP="00877BEE">
      <w:pPr>
        <w:pStyle w:val="Titre5"/>
      </w:pPr>
      <w:r w:rsidRPr="001C16B9">
        <w:t>Water conversion shift</w:t>
      </w:r>
    </w:p>
    <w:p w14:paraId="2F92CD08" w14:textId="69C3B7B9" w:rsidR="00C942CE" w:rsidRDefault="0004103A" w:rsidP="0004103A">
      <w:pPr>
        <w:tabs>
          <w:tab w:val="left" w:pos="1157"/>
        </w:tabs>
        <w:jc w:val="both"/>
      </w:pPr>
      <w:r w:rsidRPr="003F5DA8">
        <w:t xml:space="preserve">Water conversion shift is used to convert CO present in reformed syngas. WCS was modeled as already detailed </w:t>
      </w:r>
      <w:r w:rsidRPr="00C942CE">
        <w:t xml:space="preserve">in </w:t>
      </w:r>
      <w:r w:rsidR="00C942CE" w:rsidRPr="00C942CE">
        <w:t>the</w:t>
      </w:r>
      <w:r w:rsidR="00C942CE">
        <w:rPr>
          <w:b/>
        </w:rPr>
        <w:t xml:space="preserve"> syngas methanation section.</w:t>
      </w:r>
      <w:r w:rsidRPr="003F5DA8">
        <w:t xml:space="preserve"> Due to the difference between SR and WCS temperatures, reformed syngas was first cooled (</w:t>
      </w:r>
      <w:r w:rsidR="00C942CE" w:rsidRPr="00C942CE">
        <w:rPr>
          <w:b/>
        </w:rPr>
        <w:fldChar w:fldCharType="begin"/>
      </w:r>
      <w:r w:rsidR="00C942CE" w:rsidRPr="00C942CE">
        <w:rPr>
          <w:b/>
        </w:rPr>
        <w:instrText xml:space="preserve"> REF _Ref144826804 \h </w:instrText>
      </w:r>
      <w:r w:rsidR="00C942CE">
        <w:rPr>
          <w:b/>
        </w:rPr>
        <w:instrText xml:space="preserve"> \* MERGEFORMAT </w:instrText>
      </w:r>
      <w:r w:rsidR="00C942CE" w:rsidRPr="00C942CE">
        <w:rPr>
          <w:b/>
        </w:rPr>
      </w:r>
      <w:r w:rsidR="00C942CE" w:rsidRPr="00C942CE">
        <w:rPr>
          <w:b/>
        </w:rPr>
        <w:fldChar w:fldCharType="separate"/>
      </w:r>
      <w:r w:rsidR="00F25F8C" w:rsidRPr="00F25F8C">
        <w:rPr>
          <w:b/>
        </w:rPr>
        <w:t xml:space="preserve">Table SI. </w:t>
      </w:r>
      <w:r w:rsidR="00F25F8C" w:rsidRPr="00F25F8C">
        <w:rPr>
          <w:b/>
          <w:noProof/>
        </w:rPr>
        <w:t>66</w:t>
      </w:r>
      <w:r w:rsidR="00C942CE" w:rsidRPr="00C942CE">
        <w:rPr>
          <w:b/>
        </w:rPr>
        <w:fldChar w:fldCharType="end"/>
      </w:r>
      <w:r w:rsidRPr="003F5DA8">
        <w:t xml:space="preserve">). Shifted syngas (WCS outlet) </w:t>
      </w:r>
      <w:r w:rsidR="00C942CE">
        <w:t>wa</w:t>
      </w:r>
      <w:r w:rsidRPr="003F5DA8">
        <w:t>s further cooled down towards bioreactor’s requirements, assuming all the water condensates at this stage. No CO</w:t>
      </w:r>
      <w:r w:rsidRPr="003F5DA8">
        <w:rPr>
          <w:vertAlign w:val="subscript"/>
        </w:rPr>
        <w:t>2</w:t>
      </w:r>
      <w:r w:rsidRPr="003F5DA8">
        <w:t xml:space="preserve"> removal from shifted syngas was considered; this compound being required for HOB production.</w:t>
      </w:r>
    </w:p>
    <w:p w14:paraId="2EE4F8E5" w14:textId="096CCB93" w:rsidR="00C942CE" w:rsidRDefault="00C942CE" w:rsidP="00877BEE">
      <w:pPr>
        <w:pStyle w:val="Titre5"/>
      </w:pPr>
      <w:r>
        <w:lastRenderedPageBreak/>
        <w:t>Summary of technical assumptions and calculation</w:t>
      </w:r>
    </w:p>
    <w:p w14:paraId="748E7CD7" w14:textId="3B840E55" w:rsidR="0004103A" w:rsidRPr="00C942CE" w:rsidRDefault="00C942CE" w:rsidP="00C942CE">
      <w:pPr>
        <w:jc w:val="both"/>
        <w:rPr>
          <w:b/>
        </w:rPr>
      </w:pPr>
      <w:r>
        <w:t>C</w:t>
      </w:r>
      <w:r w:rsidRPr="0046308C">
        <w:t xml:space="preserve">alculation </w:t>
      </w:r>
      <w:r>
        <w:t>assumptions and intermediary results illustrated for one case study</w:t>
      </w:r>
      <w:r w:rsidRPr="0046308C">
        <w:t xml:space="preserve"> </w:t>
      </w:r>
      <w:r>
        <w:t>(MP_meths gas post-treatment)</w:t>
      </w:r>
      <w:r w:rsidRPr="0046308C">
        <w:t xml:space="preserve"> are presented in</w:t>
      </w:r>
      <w:r>
        <w:t xml:space="preserve"> </w:t>
      </w:r>
      <w:r w:rsidRPr="00C942CE">
        <w:rPr>
          <w:b/>
        </w:rPr>
        <w:fldChar w:fldCharType="begin"/>
      </w:r>
      <w:r w:rsidRPr="00C942CE">
        <w:rPr>
          <w:b/>
        </w:rPr>
        <w:instrText xml:space="preserve"> REF _Ref144826804 \h </w:instrText>
      </w:r>
      <w:r>
        <w:rPr>
          <w:b/>
        </w:rPr>
        <w:instrText xml:space="preserve"> \* MERGEFORMAT </w:instrText>
      </w:r>
      <w:r w:rsidRPr="00C942CE">
        <w:rPr>
          <w:b/>
        </w:rPr>
      </w:r>
      <w:r w:rsidRPr="00C942CE">
        <w:rPr>
          <w:b/>
        </w:rPr>
        <w:fldChar w:fldCharType="separate"/>
      </w:r>
      <w:r w:rsidR="00F25F8C" w:rsidRPr="00F25F8C">
        <w:rPr>
          <w:b/>
        </w:rPr>
        <w:t xml:space="preserve">Table SI. </w:t>
      </w:r>
      <w:r w:rsidR="00F25F8C" w:rsidRPr="00F25F8C">
        <w:rPr>
          <w:b/>
          <w:noProof/>
        </w:rPr>
        <w:t>66</w:t>
      </w:r>
      <w:r w:rsidRPr="00C942CE">
        <w:rPr>
          <w:b/>
        </w:rPr>
        <w:fldChar w:fldCharType="end"/>
      </w:r>
      <w:r>
        <w:t xml:space="preserve"> and </w:t>
      </w:r>
      <w:r w:rsidRPr="00C942CE">
        <w:rPr>
          <w:b/>
        </w:rPr>
        <w:fldChar w:fldCharType="begin"/>
      </w:r>
      <w:r w:rsidRPr="00C942CE">
        <w:rPr>
          <w:b/>
        </w:rPr>
        <w:instrText xml:space="preserve"> REF _Ref144826830 \h </w:instrText>
      </w:r>
      <w:r>
        <w:rPr>
          <w:b/>
        </w:rPr>
        <w:instrText xml:space="preserve"> \* MERGEFORMAT </w:instrText>
      </w:r>
      <w:r w:rsidRPr="00C942CE">
        <w:rPr>
          <w:b/>
        </w:rPr>
      </w:r>
      <w:r w:rsidRPr="00C942CE">
        <w:rPr>
          <w:b/>
        </w:rPr>
        <w:fldChar w:fldCharType="separate"/>
      </w:r>
      <w:r w:rsidR="00F25F8C" w:rsidRPr="00F25F8C">
        <w:rPr>
          <w:b/>
        </w:rPr>
        <w:t xml:space="preserve">Table SI. </w:t>
      </w:r>
      <w:r w:rsidR="00F25F8C" w:rsidRPr="00F25F8C">
        <w:rPr>
          <w:b/>
          <w:noProof/>
        </w:rPr>
        <w:t>67</w:t>
      </w:r>
      <w:r w:rsidRPr="00C942CE">
        <w:rPr>
          <w:b/>
        </w:rPr>
        <w:fldChar w:fldCharType="end"/>
      </w:r>
      <w:r w:rsidR="0004103A" w:rsidRPr="003F5DA8">
        <w:t>.</w:t>
      </w:r>
    </w:p>
    <w:p w14:paraId="1958449C" w14:textId="7A699F6D" w:rsidR="0004103A" w:rsidRPr="00383842" w:rsidRDefault="00874128" w:rsidP="006B5342">
      <w:pPr>
        <w:pStyle w:val="Lgende"/>
        <w:jc w:val="left"/>
        <w:rPr>
          <w:b w:val="0"/>
          <w:i/>
        </w:rPr>
      </w:pPr>
      <w:bookmarkStart w:id="284" w:name="_Ref144826804"/>
      <w:bookmarkStart w:id="285" w:name="_Toc134537632"/>
      <w:bookmarkStart w:id="286" w:name="_Toc151967950"/>
      <w:r>
        <w:t>Table SI.</w:t>
      </w:r>
      <w:r w:rsidR="0004103A">
        <w:t xml:space="preserve"> </w:t>
      </w:r>
      <w:r>
        <w:fldChar w:fldCharType="begin"/>
      </w:r>
      <w:r>
        <w:instrText xml:space="preserve"> SEQ Table_SI. \* ARABIC </w:instrText>
      </w:r>
      <w:r>
        <w:fldChar w:fldCharType="separate"/>
      </w:r>
      <w:r w:rsidR="00F25F8C">
        <w:rPr>
          <w:noProof/>
        </w:rPr>
        <w:t>66</w:t>
      </w:r>
      <w:r>
        <w:fldChar w:fldCharType="end"/>
      </w:r>
      <w:bookmarkEnd w:id="284"/>
      <w:r w:rsidR="0004103A">
        <w:t xml:space="preserve"> </w:t>
      </w:r>
      <w:r w:rsidR="0004103A" w:rsidRPr="00415E4C">
        <w:t>– Heat recovery modeling involved in MP_shifts pathway pretreatment</w:t>
      </w:r>
      <w:bookmarkEnd w:id="285"/>
      <w:bookmarkEnd w:id="286"/>
    </w:p>
    <w:tbl>
      <w:tblPr>
        <w:tblStyle w:val="Tableausimple2"/>
        <w:tblW w:w="0" w:type="auto"/>
        <w:tblLook w:val="04A0" w:firstRow="1" w:lastRow="0" w:firstColumn="1" w:lastColumn="0" w:noHBand="0" w:noVBand="1"/>
      </w:tblPr>
      <w:tblGrid>
        <w:gridCol w:w="1879"/>
        <w:gridCol w:w="2126"/>
        <w:gridCol w:w="1526"/>
        <w:gridCol w:w="1532"/>
      </w:tblGrid>
      <w:tr w:rsidR="0004103A" w:rsidRPr="006C0789" w14:paraId="4B291923"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A4CDBED" w14:textId="77777777" w:rsidR="0004103A" w:rsidRPr="006C0789" w:rsidRDefault="0004103A" w:rsidP="006C0789">
            <w:pPr>
              <w:jc w:val="right"/>
              <w:rPr>
                <w:sz w:val="18"/>
              </w:rPr>
            </w:pPr>
            <w:r w:rsidRPr="006C0789">
              <w:rPr>
                <w:sz w:val="18"/>
              </w:rPr>
              <w:t>Unit operation</w:t>
            </w:r>
          </w:p>
        </w:tc>
        <w:tc>
          <w:tcPr>
            <w:tcW w:w="0" w:type="auto"/>
          </w:tcPr>
          <w:p w14:paraId="219E0956" w14:textId="77777777" w:rsidR="0004103A" w:rsidRPr="006C0789" w:rsidRDefault="0004103A" w:rsidP="003B1307">
            <w:pPr>
              <w:cnfStyle w:val="100000000000" w:firstRow="1" w:lastRow="0" w:firstColumn="0" w:lastColumn="0" w:oddVBand="0" w:evenVBand="0" w:oddHBand="0" w:evenHBand="0" w:firstRowFirstColumn="0" w:firstRowLastColumn="0" w:lastRowFirstColumn="0" w:lastRowLastColumn="0"/>
              <w:rPr>
                <w:sz w:val="18"/>
              </w:rPr>
            </w:pPr>
            <w:r w:rsidRPr="006C0789">
              <w:rPr>
                <w:sz w:val="18"/>
              </w:rPr>
              <w:t>Heat recovery</w:t>
            </w:r>
          </w:p>
        </w:tc>
        <w:tc>
          <w:tcPr>
            <w:tcW w:w="0" w:type="auto"/>
          </w:tcPr>
          <w:p w14:paraId="46D8F3D8" w14:textId="77777777" w:rsidR="0004103A" w:rsidRPr="006C0789" w:rsidRDefault="0004103A" w:rsidP="003B1307">
            <w:pPr>
              <w:cnfStyle w:val="100000000000" w:firstRow="1" w:lastRow="0" w:firstColumn="0" w:lastColumn="0" w:oddVBand="0" w:evenVBand="0" w:oddHBand="0" w:evenHBand="0" w:firstRowFirstColumn="0" w:firstRowLastColumn="0" w:lastRowFirstColumn="0" w:lastRowLastColumn="0"/>
              <w:rPr>
                <w:sz w:val="18"/>
              </w:rPr>
            </w:pPr>
            <w:r w:rsidRPr="006C0789">
              <w:rPr>
                <w:sz w:val="18"/>
              </w:rPr>
              <w:t>Temperatures</w:t>
            </w:r>
          </w:p>
        </w:tc>
        <w:tc>
          <w:tcPr>
            <w:tcW w:w="0" w:type="auto"/>
          </w:tcPr>
          <w:p w14:paraId="0C0F89E0" w14:textId="77777777" w:rsidR="0004103A" w:rsidRPr="006C0789" w:rsidRDefault="0004103A" w:rsidP="003B1307">
            <w:pPr>
              <w:cnfStyle w:val="100000000000" w:firstRow="1" w:lastRow="0" w:firstColumn="0" w:lastColumn="0" w:oddVBand="0" w:evenVBand="0" w:oddHBand="0" w:evenHBand="0" w:firstRowFirstColumn="0" w:firstRowLastColumn="0" w:lastRowFirstColumn="0" w:lastRowLastColumn="0"/>
              <w:rPr>
                <w:sz w:val="18"/>
              </w:rPr>
            </w:pPr>
            <w:r w:rsidRPr="006C0789">
              <w:rPr>
                <w:sz w:val="18"/>
              </w:rPr>
              <w:t>Modeling</w:t>
            </w:r>
          </w:p>
        </w:tc>
      </w:tr>
      <w:tr w:rsidR="0004103A" w:rsidRPr="006C0789" w14:paraId="56B1F509"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2B6277D" w14:textId="77777777" w:rsidR="0004103A" w:rsidRPr="006C0789" w:rsidRDefault="0004103A" w:rsidP="006C0789">
            <w:pPr>
              <w:jc w:val="right"/>
              <w:rPr>
                <w:b w:val="0"/>
                <w:sz w:val="18"/>
              </w:rPr>
            </w:pPr>
            <w:r w:rsidRPr="006C0789">
              <w:rPr>
                <w:b w:val="0"/>
                <w:sz w:val="18"/>
              </w:rPr>
              <w:t>Steam reforming</w:t>
            </w:r>
          </w:p>
        </w:tc>
        <w:tc>
          <w:tcPr>
            <w:tcW w:w="0" w:type="auto"/>
          </w:tcPr>
          <w:p w14:paraId="21159CBC"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rPr>
            </w:pPr>
            <w:r w:rsidRPr="006C0789">
              <w:rPr>
                <w:sz w:val="18"/>
              </w:rPr>
              <w:t>Reformed gas cooling</w:t>
            </w:r>
          </w:p>
        </w:tc>
        <w:tc>
          <w:tcPr>
            <w:tcW w:w="0" w:type="auto"/>
          </w:tcPr>
          <w:p w14:paraId="552AA639"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rPr>
            </w:pPr>
            <w:r w:rsidRPr="006C0789">
              <w:rPr>
                <w:sz w:val="18"/>
              </w:rPr>
              <w:t>900°C to 340°C</w:t>
            </w:r>
          </w:p>
        </w:tc>
        <w:tc>
          <w:tcPr>
            <w:tcW w:w="0" w:type="auto"/>
            <w:vMerge w:val="restart"/>
          </w:tcPr>
          <w:p w14:paraId="6037C5F3"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rPr>
            </w:pPr>
            <w:r w:rsidRPr="006C0789">
              <w:rPr>
                <w:sz w:val="18"/>
              </w:rPr>
              <w:t>HT WHR</w:t>
            </w:r>
          </w:p>
        </w:tc>
      </w:tr>
      <w:tr w:rsidR="0004103A" w:rsidRPr="006C0789" w14:paraId="2B0F9FED"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04123A7B" w14:textId="77777777" w:rsidR="0004103A" w:rsidRPr="006C0789" w:rsidRDefault="0004103A" w:rsidP="006C0789">
            <w:pPr>
              <w:jc w:val="right"/>
              <w:rPr>
                <w:b w:val="0"/>
                <w:sz w:val="18"/>
              </w:rPr>
            </w:pPr>
            <w:r w:rsidRPr="006C0789">
              <w:rPr>
                <w:b w:val="0"/>
                <w:sz w:val="18"/>
              </w:rPr>
              <w:t>Water conversion shift</w:t>
            </w:r>
          </w:p>
        </w:tc>
        <w:tc>
          <w:tcPr>
            <w:tcW w:w="0" w:type="auto"/>
          </w:tcPr>
          <w:p w14:paraId="4A5A3CDA"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rPr>
            </w:pPr>
            <w:r w:rsidRPr="006C0789">
              <w:rPr>
                <w:sz w:val="18"/>
              </w:rPr>
              <w:t>Exothermic reaction</w:t>
            </w:r>
          </w:p>
        </w:tc>
        <w:tc>
          <w:tcPr>
            <w:tcW w:w="0" w:type="auto"/>
          </w:tcPr>
          <w:p w14:paraId="02DD4B92"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rPr>
            </w:pPr>
            <w:r w:rsidRPr="006C0789">
              <w:rPr>
                <w:sz w:val="18"/>
              </w:rPr>
              <w:t>340°C</w:t>
            </w:r>
          </w:p>
        </w:tc>
        <w:tc>
          <w:tcPr>
            <w:tcW w:w="0" w:type="auto"/>
            <w:vMerge/>
          </w:tcPr>
          <w:p w14:paraId="7EA8C161"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rPr>
            </w:pPr>
          </w:p>
        </w:tc>
      </w:tr>
      <w:tr w:rsidR="0004103A" w:rsidRPr="006C0789" w14:paraId="69A46868"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177110E" w14:textId="77777777" w:rsidR="0004103A" w:rsidRPr="006C0789" w:rsidRDefault="0004103A" w:rsidP="006C0789">
            <w:pPr>
              <w:jc w:val="right"/>
              <w:rPr>
                <w:b w:val="0"/>
                <w:sz w:val="18"/>
              </w:rPr>
            </w:pPr>
            <w:r w:rsidRPr="006C0789">
              <w:rPr>
                <w:b w:val="0"/>
                <w:sz w:val="18"/>
              </w:rPr>
              <w:t>Water conversion shift</w:t>
            </w:r>
          </w:p>
        </w:tc>
        <w:tc>
          <w:tcPr>
            <w:tcW w:w="0" w:type="auto"/>
          </w:tcPr>
          <w:p w14:paraId="1FD60447"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rPr>
            </w:pPr>
            <w:r w:rsidRPr="006C0789">
              <w:rPr>
                <w:sz w:val="18"/>
              </w:rPr>
              <w:t>Shifted syngas cooling</w:t>
            </w:r>
          </w:p>
        </w:tc>
        <w:tc>
          <w:tcPr>
            <w:tcW w:w="0" w:type="auto"/>
          </w:tcPr>
          <w:p w14:paraId="706EE87D"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rPr>
            </w:pPr>
            <w:r w:rsidRPr="006C0789">
              <w:rPr>
                <w:sz w:val="18"/>
              </w:rPr>
              <w:t>340°C to 35°C</w:t>
            </w:r>
          </w:p>
        </w:tc>
        <w:tc>
          <w:tcPr>
            <w:tcW w:w="0" w:type="auto"/>
            <w:vMerge/>
          </w:tcPr>
          <w:p w14:paraId="69D9F54D"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rPr>
            </w:pPr>
          </w:p>
        </w:tc>
      </w:tr>
      <w:tr w:rsidR="0004103A" w:rsidRPr="006C0789" w14:paraId="4442AE39"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63464B06" w14:textId="20A76BDF" w:rsidR="0004103A" w:rsidRPr="006C0789" w:rsidRDefault="0004103A" w:rsidP="006C0789">
            <w:pPr>
              <w:jc w:val="right"/>
              <w:rPr>
                <w:b w:val="0"/>
                <w:i/>
                <w:sz w:val="18"/>
              </w:rPr>
            </w:pPr>
          </w:p>
        </w:tc>
        <w:tc>
          <w:tcPr>
            <w:tcW w:w="0" w:type="auto"/>
            <w:gridSpan w:val="2"/>
          </w:tcPr>
          <w:p w14:paraId="1AB91EF1"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i/>
                <w:sz w:val="18"/>
              </w:rPr>
            </w:pPr>
            <w:r w:rsidRPr="006C0789">
              <w:rPr>
                <w:i/>
                <w:sz w:val="18"/>
              </w:rPr>
              <w:t>Only processes linked with gas post-treatments</w:t>
            </w:r>
          </w:p>
        </w:tc>
        <w:tc>
          <w:tcPr>
            <w:tcW w:w="0" w:type="auto"/>
          </w:tcPr>
          <w:p w14:paraId="4AE4BD65" w14:textId="5C7B954C" w:rsidR="0004103A" w:rsidRPr="006C0789" w:rsidRDefault="00C942CE" w:rsidP="003B1307">
            <w:pPr>
              <w:cnfStyle w:val="000000000000" w:firstRow="0" w:lastRow="0" w:firstColumn="0" w:lastColumn="0" w:oddVBand="0" w:evenVBand="0" w:oddHBand="0" w:evenHBand="0" w:firstRowFirstColumn="0" w:firstRowLastColumn="0" w:lastRowFirstColumn="0" w:lastRowLastColumn="0"/>
              <w:rPr>
                <w:i/>
                <w:sz w:val="18"/>
              </w:rPr>
            </w:pPr>
            <w:r w:rsidRPr="006C0789">
              <w:rPr>
                <w:i/>
                <w:sz w:val="18"/>
              </w:rPr>
              <w:t xml:space="preserve">See </w:t>
            </w:r>
            <w:r w:rsidRPr="006C0789">
              <w:rPr>
                <w:b/>
                <w:i/>
                <w:sz w:val="18"/>
              </w:rPr>
              <w:t xml:space="preserve">section </w:t>
            </w:r>
            <w:r w:rsidR="000C6C37">
              <w:rPr>
                <w:b/>
                <w:i/>
                <w:sz w:val="18"/>
              </w:rPr>
              <w:t xml:space="preserve">SI. </w:t>
            </w:r>
            <w:r w:rsidRPr="006C0789">
              <w:rPr>
                <w:b/>
                <w:i/>
                <w:sz w:val="18"/>
              </w:rPr>
              <w:fldChar w:fldCharType="begin"/>
            </w:r>
            <w:r w:rsidRPr="006C0789">
              <w:rPr>
                <w:b/>
                <w:i/>
                <w:sz w:val="18"/>
              </w:rPr>
              <w:instrText xml:space="preserve"> REF _Ref144802667 \r \h </w:instrText>
            </w:r>
            <w:r w:rsidR="006C0789" w:rsidRPr="006C0789">
              <w:rPr>
                <w:b/>
                <w:i/>
                <w:sz w:val="18"/>
              </w:rPr>
              <w:instrText xml:space="preserve"> \* MERGEFORMAT </w:instrText>
            </w:r>
            <w:r w:rsidRPr="006C0789">
              <w:rPr>
                <w:b/>
                <w:i/>
                <w:sz w:val="18"/>
              </w:rPr>
            </w:r>
            <w:r w:rsidRPr="006C0789">
              <w:rPr>
                <w:b/>
                <w:i/>
                <w:sz w:val="18"/>
              </w:rPr>
              <w:fldChar w:fldCharType="separate"/>
            </w:r>
            <w:r w:rsidR="00F25F8C" w:rsidRPr="006C0789">
              <w:rPr>
                <w:b/>
                <w:i/>
                <w:sz w:val="18"/>
              </w:rPr>
              <w:t>4.1</w:t>
            </w:r>
            <w:r w:rsidRPr="006C0789">
              <w:rPr>
                <w:b/>
                <w:i/>
                <w:sz w:val="18"/>
              </w:rPr>
              <w:fldChar w:fldCharType="end"/>
            </w:r>
          </w:p>
        </w:tc>
      </w:tr>
    </w:tbl>
    <w:p w14:paraId="4D229513" w14:textId="77777777" w:rsidR="0004103A" w:rsidRPr="003F5DA8" w:rsidRDefault="0004103A" w:rsidP="0004103A">
      <w:pPr>
        <w:jc w:val="center"/>
        <w:rPr>
          <w:highlight w:val="yellow"/>
        </w:rPr>
      </w:pPr>
    </w:p>
    <w:p w14:paraId="42BDE7F9" w14:textId="3A260BD9" w:rsidR="0004103A" w:rsidRPr="00383842" w:rsidRDefault="00874128" w:rsidP="006B5342">
      <w:pPr>
        <w:pStyle w:val="Lgende"/>
        <w:jc w:val="left"/>
        <w:rPr>
          <w:b w:val="0"/>
          <w:i/>
        </w:rPr>
      </w:pPr>
      <w:bookmarkStart w:id="287" w:name="_Ref144826830"/>
      <w:bookmarkStart w:id="288" w:name="_Toc134537633"/>
      <w:bookmarkStart w:id="289" w:name="_Toc151967951"/>
      <w:r>
        <w:t>Table SI.</w:t>
      </w:r>
      <w:r w:rsidR="0004103A">
        <w:t xml:space="preserve"> </w:t>
      </w:r>
      <w:r>
        <w:fldChar w:fldCharType="begin"/>
      </w:r>
      <w:r>
        <w:instrText xml:space="preserve"> SEQ Table_SI. \* ARABIC </w:instrText>
      </w:r>
      <w:r>
        <w:fldChar w:fldCharType="separate"/>
      </w:r>
      <w:r w:rsidR="00F25F8C">
        <w:rPr>
          <w:noProof/>
        </w:rPr>
        <w:t>67</w:t>
      </w:r>
      <w:r>
        <w:fldChar w:fldCharType="end"/>
      </w:r>
      <w:bookmarkEnd w:id="287"/>
      <w:r w:rsidR="0004103A">
        <w:t xml:space="preserve"> </w:t>
      </w:r>
      <w:r w:rsidR="0004103A" w:rsidRPr="00415E4C">
        <w:t>– MP_shifts pathway gas flows and energy performances illustrated for hardwood residues</w:t>
      </w:r>
      <w:bookmarkEnd w:id="288"/>
      <w:bookmarkEnd w:id="289"/>
    </w:p>
    <w:tbl>
      <w:tblPr>
        <w:tblStyle w:val="Tableausimple2"/>
        <w:tblW w:w="0" w:type="auto"/>
        <w:tblLook w:val="04A0" w:firstRow="1" w:lastRow="0" w:firstColumn="1" w:lastColumn="0" w:noHBand="0" w:noVBand="1"/>
      </w:tblPr>
      <w:tblGrid>
        <w:gridCol w:w="1560"/>
        <w:gridCol w:w="1559"/>
        <w:gridCol w:w="1276"/>
        <w:gridCol w:w="1842"/>
        <w:gridCol w:w="1169"/>
        <w:gridCol w:w="1666"/>
      </w:tblGrid>
      <w:tr w:rsidR="006C0789" w:rsidRPr="006C0789" w14:paraId="5F628F3A"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0A790EC8" w14:textId="77777777" w:rsidR="0004103A" w:rsidRPr="006C0789" w:rsidRDefault="0004103A" w:rsidP="003B1307">
            <w:pPr>
              <w:jc w:val="right"/>
              <w:rPr>
                <w:sz w:val="18"/>
                <w:szCs w:val="18"/>
              </w:rPr>
            </w:pPr>
            <w:r w:rsidRPr="006C0789">
              <w:rPr>
                <w:sz w:val="18"/>
                <w:szCs w:val="18"/>
              </w:rPr>
              <w:t>Gas composition (%</w:t>
            </w:r>
            <w:r w:rsidRPr="006C0789">
              <w:rPr>
                <w:sz w:val="18"/>
                <w:szCs w:val="18"/>
                <w:vertAlign w:val="subscript"/>
              </w:rPr>
              <w:t>vol</w:t>
            </w:r>
            <w:r w:rsidRPr="006C0789">
              <w:rPr>
                <w:sz w:val="18"/>
                <w:szCs w:val="18"/>
              </w:rPr>
              <w:t>)</w:t>
            </w:r>
          </w:p>
        </w:tc>
        <w:tc>
          <w:tcPr>
            <w:tcW w:w="1559" w:type="dxa"/>
          </w:tcPr>
          <w:p w14:paraId="6138C188" w14:textId="77777777" w:rsidR="0004103A" w:rsidRPr="006C0789" w:rsidRDefault="0004103A" w:rsidP="003B1307">
            <w:pPr>
              <w:cnfStyle w:val="100000000000" w:firstRow="1" w:lastRow="0" w:firstColumn="0" w:lastColumn="0" w:oddVBand="0" w:evenVBand="0" w:oddHBand="0" w:evenHBand="0" w:firstRowFirstColumn="0" w:firstRowLastColumn="0" w:lastRowFirstColumn="0" w:lastRowLastColumn="0"/>
              <w:rPr>
                <w:sz w:val="18"/>
                <w:szCs w:val="18"/>
              </w:rPr>
            </w:pPr>
            <w:r w:rsidRPr="006C0789">
              <w:rPr>
                <w:sz w:val="18"/>
                <w:szCs w:val="18"/>
              </w:rPr>
              <w:t>Hot syngas</w:t>
            </w:r>
            <w:r w:rsidRPr="006C0789">
              <w:rPr>
                <w:sz w:val="18"/>
                <w:szCs w:val="18"/>
                <w:vertAlign w:val="superscript"/>
              </w:rPr>
              <w:t>*</w:t>
            </w:r>
          </w:p>
        </w:tc>
        <w:tc>
          <w:tcPr>
            <w:tcW w:w="1276" w:type="dxa"/>
          </w:tcPr>
          <w:p w14:paraId="5965650F" w14:textId="77777777" w:rsidR="0004103A" w:rsidRPr="006C0789" w:rsidRDefault="0004103A" w:rsidP="003B1307">
            <w:pPr>
              <w:cnfStyle w:val="100000000000" w:firstRow="1" w:lastRow="0" w:firstColumn="0" w:lastColumn="0" w:oddVBand="0" w:evenVBand="0" w:oddHBand="0" w:evenHBand="0" w:firstRowFirstColumn="0" w:firstRowLastColumn="0" w:lastRowFirstColumn="0" w:lastRowLastColumn="0"/>
              <w:rPr>
                <w:sz w:val="18"/>
                <w:szCs w:val="18"/>
              </w:rPr>
            </w:pPr>
            <w:r w:rsidRPr="006C0789">
              <w:rPr>
                <w:sz w:val="18"/>
                <w:szCs w:val="18"/>
              </w:rPr>
              <w:t>Reformed gas</w:t>
            </w:r>
          </w:p>
        </w:tc>
        <w:tc>
          <w:tcPr>
            <w:tcW w:w="1842" w:type="dxa"/>
          </w:tcPr>
          <w:p w14:paraId="21E2C472" w14:textId="77777777" w:rsidR="0004103A" w:rsidRPr="006C0789" w:rsidRDefault="0004103A" w:rsidP="003B1307">
            <w:pPr>
              <w:cnfStyle w:val="100000000000" w:firstRow="1" w:lastRow="0" w:firstColumn="0" w:lastColumn="0" w:oddVBand="0" w:evenVBand="0" w:oddHBand="0" w:evenHBand="0" w:firstRowFirstColumn="0" w:firstRowLastColumn="0" w:lastRowFirstColumn="0" w:lastRowLastColumn="0"/>
              <w:rPr>
                <w:sz w:val="18"/>
                <w:szCs w:val="18"/>
              </w:rPr>
            </w:pPr>
            <w:r w:rsidRPr="006C0789">
              <w:rPr>
                <w:sz w:val="18"/>
                <w:szCs w:val="18"/>
              </w:rPr>
              <w:t>Cooled reformed gas</w:t>
            </w:r>
          </w:p>
        </w:tc>
        <w:tc>
          <w:tcPr>
            <w:tcW w:w="1169" w:type="dxa"/>
          </w:tcPr>
          <w:p w14:paraId="139714A5" w14:textId="77777777" w:rsidR="0004103A" w:rsidRPr="006C0789" w:rsidRDefault="0004103A" w:rsidP="003B1307">
            <w:pPr>
              <w:cnfStyle w:val="100000000000" w:firstRow="1" w:lastRow="0" w:firstColumn="0" w:lastColumn="0" w:oddVBand="0" w:evenVBand="0" w:oddHBand="0" w:evenHBand="0" w:firstRowFirstColumn="0" w:firstRowLastColumn="0" w:lastRowFirstColumn="0" w:lastRowLastColumn="0"/>
              <w:rPr>
                <w:sz w:val="18"/>
                <w:szCs w:val="18"/>
              </w:rPr>
            </w:pPr>
            <w:r w:rsidRPr="006C0789">
              <w:rPr>
                <w:sz w:val="18"/>
                <w:szCs w:val="18"/>
              </w:rPr>
              <w:t>Shifted gas</w:t>
            </w:r>
          </w:p>
        </w:tc>
        <w:tc>
          <w:tcPr>
            <w:tcW w:w="1666" w:type="dxa"/>
          </w:tcPr>
          <w:p w14:paraId="25FFBF81" w14:textId="77777777" w:rsidR="0004103A" w:rsidRPr="006C0789" w:rsidRDefault="0004103A" w:rsidP="003B1307">
            <w:pPr>
              <w:cnfStyle w:val="100000000000" w:firstRow="1" w:lastRow="0" w:firstColumn="0" w:lastColumn="0" w:oddVBand="0" w:evenVBand="0" w:oddHBand="0" w:evenHBand="0" w:firstRowFirstColumn="0" w:firstRowLastColumn="0" w:lastRowFirstColumn="0" w:lastRowLastColumn="0"/>
              <w:rPr>
                <w:sz w:val="18"/>
                <w:szCs w:val="18"/>
              </w:rPr>
            </w:pPr>
            <w:r w:rsidRPr="006C0789">
              <w:rPr>
                <w:sz w:val="18"/>
                <w:szCs w:val="18"/>
              </w:rPr>
              <w:t>Cooled shifted gas</w:t>
            </w:r>
          </w:p>
        </w:tc>
      </w:tr>
      <w:tr w:rsidR="006C0789" w:rsidRPr="006C0789" w14:paraId="57685F37"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631D9C54" w14:textId="77777777" w:rsidR="0004103A" w:rsidRPr="006C0789" w:rsidRDefault="0004103A" w:rsidP="003B1307">
            <w:pPr>
              <w:jc w:val="right"/>
              <w:rPr>
                <w:b w:val="0"/>
                <w:sz w:val="18"/>
                <w:szCs w:val="18"/>
              </w:rPr>
            </w:pPr>
            <w:r w:rsidRPr="006C0789">
              <w:rPr>
                <w:b w:val="0"/>
                <w:sz w:val="18"/>
                <w:szCs w:val="18"/>
              </w:rPr>
              <w:t>H</w:t>
            </w:r>
            <w:r w:rsidRPr="006C0789">
              <w:rPr>
                <w:b w:val="0"/>
                <w:sz w:val="18"/>
                <w:szCs w:val="18"/>
                <w:vertAlign w:val="subscript"/>
              </w:rPr>
              <w:t>2</w:t>
            </w:r>
          </w:p>
        </w:tc>
        <w:tc>
          <w:tcPr>
            <w:tcW w:w="1559" w:type="dxa"/>
          </w:tcPr>
          <w:p w14:paraId="020330D0"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12%</w:t>
            </w:r>
          </w:p>
        </w:tc>
        <w:tc>
          <w:tcPr>
            <w:tcW w:w="1276" w:type="dxa"/>
          </w:tcPr>
          <w:p w14:paraId="4F745D6D"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18%</w:t>
            </w:r>
          </w:p>
        </w:tc>
        <w:tc>
          <w:tcPr>
            <w:tcW w:w="1842" w:type="dxa"/>
          </w:tcPr>
          <w:p w14:paraId="3E30EB7A"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i/>
                <w:sz w:val="18"/>
                <w:szCs w:val="18"/>
              </w:rPr>
            </w:pPr>
            <w:r w:rsidRPr="006C0789">
              <w:rPr>
                <w:sz w:val="18"/>
                <w:szCs w:val="18"/>
              </w:rPr>
              <w:t>18%</w:t>
            </w:r>
          </w:p>
        </w:tc>
        <w:tc>
          <w:tcPr>
            <w:tcW w:w="1169" w:type="dxa"/>
          </w:tcPr>
          <w:p w14:paraId="75C67FBC"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28%</w:t>
            </w:r>
          </w:p>
        </w:tc>
        <w:tc>
          <w:tcPr>
            <w:tcW w:w="1666" w:type="dxa"/>
          </w:tcPr>
          <w:p w14:paraId="5B1F3606"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31.5%</w:t>
            </w:r>
          </w:p>
        </w:tc>
      </w:tr>
      <w:tr w:rsidR="006C0789" w:rsidRPr="006C0789" w14:paraId="3AFE3D96" w14:textId="77777777" w:rsidTr="006B5342">
        <w:tc>
          <w:tcPr>
            <w:cnfStyle w:val="001000000000" w:firstRow="0" w:lastRow="0" w:firstColumn="1" w:lastColumn="0" w:oddVBand="0" w:evenVBand="0" w:oddHBand="0" w:evenHBand="0" w:firstRowFirstColumn="0" w:firstRowLastColumn="0" w:lastRowFirstColumn="0" w:lastRowLastColumn="0"/>
            <w:tcW w:w="1560" w:type="dxa"/>
          </w:tcPr>
          <w:p w14:paraId="5A19B56B" w14:textId="77777777" w:rsidR="0004103A" w:rsidRPr="006C0789" w:rsidRDefault="0004103A" w:rsidP="003B1307">
            <w:pPr>
              <w:jc w:val="right"/>
              <w:rPr>
                <w:b w:val="0"/>
                <w:sz w:val="18"/>
                <w:szCs w:val="18"/>
              </w:rPr>
            </w:pPr>
            <w:r w:rsidRPr="006C0789">
              <w:rPr>
                <w:b w:val="0"/>
                <w:sz w:val="18"/>
                <w:szCs w:val="18"/>
              </w:rPr>
              <w:t>CO</w:t>
            </w:r>
          </w:p>
        </w:tc>
        <w:tc>
          <w:tcPr>
            <w:tcW w:w="1559" w:type="dxa"/>
          </w:tcPr>
          <w:p w14:paraId="2751AE0D"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19%</w:t>
            </w:r>
          </w:p>
        </w:tc>
        <w:tc>
          <w:tcPr>
            <w:tcW w:w="1276" w:type="dxa"/>
          </w:tcPr>
          <w:p w14:paraId="038EFCF2"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20%</w:t>
            </w:r>
          </w:p>
        </w:tc>
        <w:tc>
          <w:tcPr>
            <w:tcW w:w="1842" w:type="dxa"/>
          </w:tcPr>
          <w:p w14:paraId="1F8A89B0"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i/>
                <w:sz w:val="18"/>
                <w:szCs w:val="18"/>
              </w:rPr>
            </w:pPr>
            <w:r w:rsidRPr="006C0789">
              <w:rPr>
                <w:sz w:val="18"/>
                <w:szCs w:val="18"/>
              </w:rPr>
              <w:t>20%</w:t>
            </w:r>
          </w:p>
        </w:tc>
        <w:tc>
          <w:tcPr>
            <w:tcW w:w="1169" w:type="dxa"/>
          </w:tcPr>
          <w:p w14:paraId="20D0DA24"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2.5%</w:t>
            </w:r>
          </w:p>
        </w:tc>
        <w:tc>
          <w:tcPr>
            <w:tcW w:w="1666" w:type="dxa"/>
          </w:tcPr>
          <w:p w14:paraId="074D4935"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2%</w:t>
            </w:r>
          </w:p>
        </w:tc>
      </w:tr>
      <w:tr w:rsidR="006C0789" w:rsidRPr="006C0789" w14:paraId="23644F85"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468D7A56" w14:textId="77777777" w:rsidR="0004103A" w:rsidRPr="006C0789" w:rsidRDefault="0004103A" w:rsidP="003B1307">
            <w:pPr>
              <w:jc w:val="right"/>
              <w:rPr>
                <w:b w:val="0"/>
                <w:sz w:val="18"/>
                <w:szCs w:val="18"/>
              </w:rPr>
            </w:pPr>
            <w:r w:rsidRPr="006C0789">
              <w:rPr>
                <w:b w:val="0"/>
                <w:sz w:val="18"/>
                <w:szCs w:val="18"/>
              </w:rPr>
              <w:t>H</w:t>
            </w:r>
            <w:r w:rsidRPr="006C0789">
              <w:rPr>
                <w:b w:val="0"/>
                <w:sz w:val="18"/>
                <w:szCs w:val="18"/>
                <w:vertAlign w:val="subscript"/>
              </w:rPr>
              <w:t>2</w:t>
            </w:r>
            <w:r w:rsidRPr="006C0789">
              <w:rPr>
                <w:b w:val="0"/>
                <w:sz w:val="18"/>
                <w:szCs w:val="18"/>
              </w:rPr>
              <w:t>O</w:t>
            </w:r>
          </w:p>
        </w:tc>
        <w:tc>
          <w:tcPr>
            <w:tcW w:w="1559" w:type="dxa"/>
          </w:tcPr>
          <w:p w14:paraId="3C9AFCB9"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5%</w:t>
            </w:r>
          </w:p>
        </w:tc>
        <w:tc>
          <w:tcPr>
            <w:tcW w:w="1276" w:type="dxa"/>
          </w:tcPr>
          <w:p w14:paraId="20DE29FD"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6%</w:t>
            </w:r>
          </w:p>
        </w:tc>
        <w:tc>
          <w:tcPr>
            <w:tcW w:w="1842" w:type="dxa"/>
          </w:tcPr>
          <w:p w14:paraId="05FD8E27"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i/>
                <w:sz w:val="18"/>
                <w:szCs w:val="18"/>
              </w:rPr>
            </w:pPr>
            <w:r w:rsidRPr="006C0789">
              <w:rPr>
                <w:sz w:val="18"/>
                <w:szCs w:val="18"/>
              </w:rPr>
              <w:t>6%</w:t>
            </w:r>
          </w:p>
        </w:tc>
        <w:tc>
          <w:tcPr>
            <w:tcW w:w="1169" w:type="dxa"/>
          </w:tcPr>
          <w:p w14:paraId="6B432D55"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11%</w:t>
            </w:r>
          </w:p>
        </w:tc>
        <w:tc>
          <w:tcPr>
            <w:tcW w:w="1666" w:type="dxa"/>
          </w:tcPr>
          <w:p w14:paraId="0B2EF471"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0%</w:t>
            </w:r>
          </w:p>
        </w:tc>
      </w:tr>
      <w:tr w:rsidR="006C0789" w:rsidRPr="006C0789" w14:paraId="44C6AE54" w14:textId="77777777" w:rsidTr="006B5342">
        <w:tc>
          <w:tcPr>
            <w:cnfStyle w:val="001000000000" w:firstRow="0" w:lastRow="0" w:firstColumn="1" w:lastColumn="0" w:oddVBand="0" w:evenVBand="0" w:oddHBand="0" w:evenHBand="0" w:firstRowFirstColumn="0" w:firstRowLastColumn="0" w:lastRowFirstColumn="0" w:lastRowLastColumn="0"/>
            <w:tcW w:w="1560" w:type="dxa"/>
          </w:tcPr>
          <w:p w14:paraId="5A4B6B32" w14:textId="77777777" w:rsidR="0004103A" w:rsidRPr="006C0789" w:rsidRDefault="0004103A" w:rsidP="003B1307">
            <w:pPr>
              <w:jc w:val="right"/>
              <w:rPr>
                <w:b w:val="0"/>
                <w:sz w:val="18"/>
                <w:szCs w:val="18"/>
              </w:rPr>
            </w:pPr>
            <w:r w:rsidRPr="006C0789">
              <w:rPr>
                <w:b w:val="0"/>
                <w:sz w:val="18"/>
                <w:szCs w:val="18"/>
              </w:rPr>
              <w:t>CO</w:t>
            </w:r>
            <w:r w:rsidRPr="006C0789">
              <w:rPr>
                <w:b w:val="0"/>
                <w:sz w:val="18"/>
                <w:szCs w:val="18"/>
                <w:vertAlign w:val="subscript"/>
              </w:rPr>
              <w:t>2</w:t>
            </w:r>
          </w:p>
        </w:tc>
        <w:tc>
          <w:tcPr>
            <w:tcW w:w="1559" w:type="dxa"/>
          </w:tcPr>
          <w:p w14:paraId="1A5C3AC1"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13%</w:t>
            </w:r>
          </w:p>
        </w:tc>
        <w:tc>
          <w:tcPr>
            <w:tcW w:w="1276" w:type="dxa"/>
          </w:tcPr>
          <w:p w14:paraId="5F46AC91"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11.5%</w:t>
            </w:r>
          </w:p>
        </w:tc>
        <w:tc>
          <w:tcPr>
            <w:tcW w:w="1842" w:type="dxa"/>
          </w:tcPr>
          <w:p w14:paraId="35572831"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i/>
                <w:sz w:val="18"/>
                <w:szCs w:val="18"/>
              </w:rPr>
            </w:pPr>
            <w:r w:rsidRPr="006C0789">
              <w:rPr>
                <w:sz w:val="18"/>
                <w:szCs w:val="18"/>
              </w:rPr>
              <w:t>11.5%</w:t>
            </w:r>
          </w:p>
        </w:tc>
        <w:tc>
          <w:tcPr>
            <w:tcW w:w="1169" w:type="dxa"/>
          </w:tcPr>
          <w:p w14:paraId="6BADC0C1"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23%</w:t>
            </w:r>
          </w:p>
        </w:tc>
        <w:tc>
          <w:tcPr>
            <w:tcW w:w="1666" w:type="dxa"/>
          </w:tcPr>
          <w:p w14:paraId="03C8ADF8"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26%</w:t>
            </w:r>
          </w:p>
        </w:tc>
      </w:tr>
      <w:tr w:rsidR="006C0789" w:rsidRPr="006C0789" w14:paraId="3AD7E7D7"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151A9EF1" w14:textId="77777777" w:rsidR="0004103A" w:rsidRPr="006C0789" w:rsidRDefault="0004103A" w:rsidP="003B1307">
            <w:pPr>
              <w:jc w:val="right"/>
              <w:rPr>
                <w:b w:val="0"/>
                <w:sz w:val="18"/>
                <w:szCs w:val="18"/>
              </w:rPr>
            </w:pPr>
            <w:r w:rsidRPr="006C0789">
              <w:rPr>
                <w:b w:val="0"/>
                <w:sz w:val="18"/>
                <w:szCs w:val="18"/>
              </w:rPr>
              <w:t>CH</w:t>
            </w:r>
            <w:r w:rsidRPr="006C0789">
              <w:rPr>
                <w:b w:val="0"/>
                <w:sz w:val="18"/>
                <w:szCs w:val="18"/>
                <w:vertAlign w:val="subscript"/>
              </w:rPr>
              <w:t>4</w:t>
            </w:r>
          </w:p>
        </w:tc>
        <w:tc>
          <w:tcPr>
            <w:tcW w:w="1559" w:type="dxa"/>
          </w:tcPr>
          <w:p w14:paraId="39502F89"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3%</w:t>
            </w:r>
          </w:p>
        </w:tc>
        <w:tc>
          <w:tcPr>
            <w:tcW w:w="1276" w:type="dxa"/>
          </w:tcPr>
          <w:p w14:paraId="543C6626"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0.5%</w:t>
            </w:r>
          </w:p>
        </w:tc>
        <w:tc>
          <w:tcPr>
            <w:tcW w:w="1842" w:type="dxa"/>
          </w:tcPr>
          <w:p w14:paraId="2C278F4E"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i/>
                <w:sz w:val="18"/>
                <w:szCs w:val="18"/>
              </w:rPr>
            </w:pPr>
            <w:r w:rsidRPr="006C0789">
              <w:rPr>
                <w:sz w:val="18"/>
                <w:szCs w:val="18"/>
              </w:rPr>
              <w:t>0.5%</w:t>
            </w:r>
          </w:p>
        </w:tc>
        <w:tc>
          <w:tcPr>
            <w:tcW w:w="1169" w:type="dxa"/>
          </w:tcPr>
          <w:p w14:paraId="04B17277"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0.5%</w:t>
            </w:r>
          </w:p>
        </w:tc>
        <w:tc>
          <w:tcPr>
            <w:tcW w:w="1666" w:type="dxa"/>
          </w:tcPr>
          <w:p w14:paraId="2680EB84"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0.5%</w:t>
            </w:r>
          </w:p>
        </w:tc>
      </w:tr>
      <w:tr w:rsidR="006C0789" w:rsidRPr="006C0789" w14:paraId="1B05D38A" w14:textId="77777777" w:rsidTr="006B5342">
        <w:tc>
          <w:tcPr>
            <w:cnfStyle w:val="001000000000" w:firstRow="0" w:lastRow="0" w:firstColumn="1" w:lastColumn="0" w:oddVBand="0" w:evenVBand="0" w:oddHBand="0" w:evenHBand="0" w:firstRowFirstColumn="0" w:firstRowLastColumn="0" w:lastRowFirstColumn="0" w:lastRowLastColumn="0"/>
            <w:tcW w:w="1560" w:type="dxa"/>
          </w:tcPr>
          <w:p w14:paraId="07E6087D" w14:textId="77777777" w:rsidR="0004103A" w:rsidRPr="006C0789" w:rsidRDefault="0004103A" w:rsidP="003B1307">
            <w:pPr>
              <w:jc w:val="right"/>
              <w:rPr>
                <w:b w:val="0"/>
                <w:sz w:val="18"/>
                <w:szCs w:val="18"/>
              </w:rPr>
            </w:pPr>
            <w:r w:rsidRPr="006C0789">
              <w:rPr>
                <w:b w:val="0"/>
                <w:sz w:val="18"/>
                <w:szCs w:val="18"/>
              </w:rPr>
              <w:t>N</w:t>
            </w:r>
            <w:r w:rsidRPr="006C0789">
              <w:rPr>
                <w:b w:val="0"/>
                <w:sz w:val="18"/>
                <w:szCs w:val="18"/>
                <w:vertAlign w:val="subscript"/>
              </w:rPr>
              <w:t>2</w:t>
            </w:r>
          </w:p>
        </w:tc>
        <w:tc>
          <w:tcPr>
            <w:tcW w:w="1559" w:type="dxa"/>
          </w:tcPr>
          <w:p w14:paraId="1EE04DAC"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48%</w:t>
            </w:r>
          </w:p>
        </w:tc>
        <w:tc>
          <w:tcPr>
            <w:tcW w:w="1276" w:type="dxa"/>
          </w:tcPr>
          <w:p w14:paraId="1E10840C"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44%</w:t>
            </w:r>
          </w:p>
        </w:tc>
        <w:tc>
          <w:tcPr>
            <w:tcW w:w="1842" w:type="dxa"/>
          </w:tcPr>
          <w:p w14:paraId="7AA67B8D"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i/>
                <w:sz w:val="18"/>
                <w:szCs w:val="18"/>
              </w:rPr>
            </w:pPr>
            <w:r w:rsidRPr="006C0789">
              <w:rPr>
                <w:sz w:val="18"/>
                <w:szCs w:val="18"/>
              </w:rPr>
              <w:t>44%</w:t>
            </w:r>
          </w:p>
        </w:tc>
        <w:tc>
          <w:tcPr>
            <w:tcW w:w="1169" w:type="dxa"/>
          </w:tcPr>
          <w:p w14:paraId="5FDEBD18"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35%</w:t>
            </w:r>
          </w:p>
        </w:tc>
        <w:tc>
          <w:tcPr>
            <w:tcW w:w="1666" w:type="dxa"/>
          </w:tcPr>
          <w:p w14:paraId="7F0918B5"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40%</w:t>
            </w:r>
          </w:p>
        </w:tc>
      </w:tr>
      <w:tr w:rsidR="0004103A" w:rsidRPr="006C0789" w14:paraId="265A5F6D"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49910B4E" w14:textId="77777777" w:rsidR="0004103A" w:rsidRPr="006C0789" w:rsidRDefault="0004103A" w:rsidP="003B1307">
            <w:pPr>
              <w:jc w:val="right"/>
              <w:rPr>
                <w:sz w:val="18"/>
                <w:szCs w:val="18"/>
              </w:rPr>
            </w:pPr>
            <w:r w:rsidRPr="006C0789">
              <w:rPr>
                <w:sz w:val="18"/>
                <w:szCs w:val="18"/>
              </w:rPr>
              <w:t>Characteristics</w:t>
            </w:r>
          </w:p>
        </w:tc>
        <w:tc>
          <w:tcPr>
            <w:tcW w:w="7512" w:type="dxa"/>
            <w:gridSpan w:val="5"/>
          </w:tcPr>
          <w:p w14:paraId="5C6B95B0"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p>
        </w:tc>
      </w:tr>
      <w:tr w:rsidR="006C0789" w:rsidRPr="006C0789" w14:paraId="5B96119C" w14:textId="77777777" w:rsidTr="006B5342">
        <w:tc>
          <w:tcPr>
            <w:cnfStyle w:val="001000000000" w:firstRow="0" w:lastRow="0" w:firstColumn="1" w:lastColumn="0" w:oddVBand="0" w:evenVBand="0" w:oddHBand="0" w:evenHBand="0" w:firstRowFirstColumn="0" w:firstRowLastColumn="0" w:lastRowFirstColumn="0" w:lastRowLastColumn="0"/>
            <w:tcW w:w="1560" w:type="dxa"/>
          </w:tcPr>
          <w:p w14:paraId="740B8DF2" w14:textId="77777777" w:rsidR="0004103A" w:rsidRPr="006C0789" w:rsidRDefault="0004103A" w:rsidP="003B1307">
            <w:pPr>
              <w:jc w:val="right"/>
              <w:rPr>
                <w:b w:val="0"/>
                <w:sz w:val="18"/>
                <w:szCs w:val="18"/>
              </w:rPr>
            </w:pPr>
            <w:r w:rsidRPr="006C0789">
              <w:rPr>
                <w:b w:val="0"/>
                <w:sz w:val="18"/>
                <w:szCs w:val="18"/>
              </w:rPr>
              <w:t>Nm</w:t>
            </w:r>
            <w:r w:rsidRPr="006C0789">
              <w:rPr>
                <w:b w:val="0"/>
                <w:sz w:val="18"/>
                <w:szCs w:val="18"/>
                <w:vertAlign w:val="superscript"/>
              </w:rPr>
              <w:t>3</w:t>
            </w:r>
            <w:r w:rsidRPr="006C0789">
              <w:rPr>
                <w:b w:val="0"/>
                <w:sz w:val="18"/>
                <w:szCs w:val="18"/>
              </w:rPr>
              <w:t>.t</w:t>
            </w:r>
            <w:r w:rsidRPr="006C0789">
              <w:rPr>
                <w:b w:val="0"/>
                <w:sz w:val="18"/>
                <w:szCs w:val="18"/>
                <w:vertAlign w:val="subscript"/>
              </w:rPr>
              <w:t>ww</w:t>
            </w:r>
            <w:r w:rsidRPr="006C0789">
              <w:rPr>
                <w:b w:val="0"/>
                <w:sz w:val="18"/>
                <w:szCs w:val="18"/>
                <w:vertAlign w:val="superscript"/>
              </w:rPr>
              <w:t>-1</w:t>
            </w:r>
          </w:p>
        </w:tc>
        <w:tc>
          <w:tcPr>
            <w:tcW w:w="1559" w:type="dxa"/>
          </w:tcPr>
          <w:p w14:paraId="7A516356"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2089</w:t>
            </w:r>
          </w:p>
        </w:tc>
        <w:tc>
          <w:tcPr>
            <w:tcW w:w="1276" w:type="dxa"/>
          </w:tcPr>
          <w:p w14:paraId="1F5CE623"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2256</w:t>
            </w:r>
          </w:p>
        </w:tc>
        <w:tc>
          <w:tcPr>
            <w:tcW w:w="1842" w:type="dxa"/>
          </w:tcPr>
          <w:p w14:paraId="49F584FC"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2256</w:t>
            </w:r>
          </w:p>
        </w:tc>
        <w:tc>
          <w:tcPr>
            <w:tcW w:w="1169" w:type="dxa"/>
          </w:tcPr>
          <w:p w14:paraId="6AFBA132"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2773</w:t>
            </w:r>
          </w:p>
        </w:tc>
        <w:tc>
          <w:tcPr>
            <w:tcW w:w="1666" w:type="dxa"/>
          </w:tcPr>
          <w:p w14:paraId="5263D959"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2477</w:t>
            </w:r>
          </w:p>
        </w:tc>
      </w:tr>
      <w:tr w:rsidR="006C0789" w:rsidRPr="006C0789" w14:paraId="77014F52"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272E6531" w14:textId="77777777" w:rsidR="0004103A" w:rsidRPr="006C0789" w:rsidRDefault="0004103A" w:rsidP="003B1307">
            <w:pPr>
              <w:jc w:val="right"/>
              <w:rPr>
                <w:b w:val="0"/>
                <w:sz w:val="18"/>
                <w:szCs w:val="18"/>
              </w:rPr>
            </w:pPr>
            <w:r w:rsidRPr="006C0789">
              <w:rPr>
                <w:b w:val="0"/>
                <w:sz w:val="18"/>
                <w:szCs w:val="18"/>
              </w:rPr>
              <w:t>GJ</w:t>
            </w:r>
            <w:r w:rsidRPr="006C0789">
              <w:rPr>
                <w:b w:val="0"/>
                <w:sz w:val="18"/>
                <w:szCs w:val="18"/>
                <w:vertAlign w:val="subscript"/>
              </w:rPr>
              <w:t>HHV</w:t>
            </w:r>
            <w:r w:rsidRPr="006C0789">
              <w:rPr>
                <w:b w:val="0"/>
                <w:sz w:val="18"/>
                <w:szCs w:val="18"/>
              </w:rPr>
              <w:t>.t</w:t>
            </w:r>
            <w:r w:rsidRPr="006C0789">
              <w:rPr>
                <w:b w:val="0"/>
                <w:sz w:val="18"/>
                <w:szCs w:val="18"/>
                <w:vertAlign w:val="subscript"/>
              </w:rPr>
              <w:t>ww</w:t>
            </w:r>
            <w:r w:rsidRPr="006C0789">
              <w:rPr>
                <w:b w:val="0"/>
                <w:sz w:val="18"/>
                <w:szCs w:val="18"/>
                <w:vertAlign w:val="superscript"/>
              </w:rPr>
              <w:t>-1</w:t>
            </w:r>
          </w:p>
        </w:tc>
        <w:tc>
          <w:tcPr>
            <w:tcW w:w="1559" w:type="dxa"/>
          </w:tcPr>
          <w:p w14:paraId="39ECC245"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12.7</w:t>
            </w:r>
          </w:p>
        </w:tc>
        <w:tc>
          <w:tcPr>
            <w:tcW w:w="1276" w:type="dxa"/>
          </w:tcPr>
          <w:p w14:paraId="4AE5B71E"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13.4</w:t>
            </w:r>
            <w:r w:rsidRPr="006C0789">
              <w:rPr>
                <w:sz w:val="18"/>
                <w:szCs w:val="18"/>
                <w:vertAlign w:val="superscript"/>
              </w:rPr>
              <w:t>**</w:t>
            </w:r>
          </w:p>
        </w:tc>
        <w:tc>
          <w:tcPr>
            <w:tcW w:w="1842" w:type="dxa"/>
          </w:tcPr>
          <w:p w14:paraId="69AEE2DF"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12.4</w:t>
            </w:r>
            <w:r w:rsidRPr="006C0789">
              <w:rPr>
                <w:sz w:val="18"/>
                <w:szCs w:val="18"/>
                <w:vertAlign w:val="superscript"/>
              </w:rPr>
              <w:t>**</w:t>
            </w:r>
          </w:p>
        </w:tc>
        <w:tc>
          <w:tcPr>
            <w:tcW w:w="1169" w:type="dxa"/>
          </w:tcPr>
          <w:p w14:paraId="75427135"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11.6</w:t>
            </w:r>
            <w:r w:rsidRPr="006C0789">
              <w:rPr>
                <w:sz w:val="18"/>
                <w:szCs w:val="18"/>
                <w:vertAlign w:val="superscript"/>
              </w:rPr>
              <w:t>**</w:t>
            </w:r>
          </w:p>
        </w:tc>
        <w:tc>
          <w:tcPr>
            <w:tcW w:w="1666" w:type="dxa"/>
          </w:tcPr>
          <w:p w14:paraId="10FDE32F"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10.5</w:t>
            </w:r>
            <w:r w:rsidRPr="006C0789">
              <w:rPr>
                <w:sz w:val="18"/>
                <w:szCs w:val="18"/>
                <w:vertAlign w:val="superscript"/>
              </w:rPr>
              <w:t>**</w:t>
            </w:r>
          </w:p>
        </w:tc>
      </w:tr>
      <w:tr w:rsidR="006C0789" w:rsidRPr="006C0789" w14:paraId="45ECF868" w14:textId="77777777" w:rsidTr="006B5342">
        <w:tc>
          <w:tcPr>
            <w:cnfStyle w:val="001000000000" w:firstRow="0" w:lastRow="0" w:firstColumn="1" w:lastColumn="0" w:oddVBand="0" w:evenVBand="0" w:oddHBand="0" w:evenHBand="0" w:firstRowFirstColumn="0" w:firstRowLastColumn="0" w:lastRowFirstColumn="0" w:lastRowLastColumn="0"/>
            <w:tcW w:w="1560" w:type="dxa"/>
          </w:tcPr>
          <w:p w14:paraId="084D0769" w14:textId="77777777" w:rsidR="0004103A" w:rsidRPr="006C0789" w:rsidRDefault="0004103A" w:rsidP="003B1307">
            <w:pPr>
              <w:jc w:val="right"/>
              <w:rPr>
                <w:b w:val="0"/>
                <w:sz w:val="18"/>
                <w:szCs w:val="18"/>
              </w:rPr>
            </w:pPr>
            <w:r w:rsidRPr="006C0789">
              <w:rPr>
                <w:b w:val="0"/>
                <w:sz w:val="18"/>
                <w:szCs w:val="18"/>
              </w:rPr>
              <w:t>MJ</w:t>
            </w:r>
            <w:r w:rsidRPr="006C0789">
              <w:rPr>
                <w:b w:val="0"/>
                <w:sz w:val="18"/>
                <w:szCs w:val="18"/>
                <w:vertAlign w:val="subscript"/>
              </w:rPr>
              <w:t>HHV</w:t>
            </w:r>
            <w:r w:rsidRPr="006C0789">
              <w:rPr>
                <w:b w:val="0"/>
                <w:sz w:val="18"/>
                <w:szCs w:val="18"/>
              </w:rPr>
              <w:t>.Nm</w:t>
            </w:r>
            <w:r w:rsidRPr="006C0789">
              <w:rPr>
                <w:b w:val="0"/>
                <w:sz w:val="18"/>
                <w:szCs w:val="18"/>
                <w:vertAlign w:val="superscript"/>
              </w:rPr>
              <w:t>-3</w:t>
            </w:r>
          </w:p>
        </w:tc>
        <w:tc>
          <w:tcPr>
            <w:tcW w:w="1559" w:type="dxa"/>
          </w:tcPr>
          <w:p w14:paraId="0E21FC1F"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6.1</w:t>
            </w:r>
          </w:p>
        </w:tc>
        <w:tc>
          <w:tcPr>
            <w:tcW w:w="1276" w:type="dxa"/>
          </w:tcPr>
          <w:p w14:paraId="48D1F4D9"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5.9</w:t>
            </w:r>
            <w:r w:rsidRPr="006C0789">
              <w:rPr>
                <w:sz w:val="18"/>
                <w:szCs w:val="18"/>
                <w:vertAlign w:val="superscript"/>
              </w:rPr>
              <w:t>**</w:t>
            </w:r>
          </w:p>
        </w:tc>
        <w:tc>
          <w:tcPr>
            <w:tcW w:w="1842" w:type="dxa"/>
          </w:tcPr>
          <w:p w14:paraId="39AAFC87"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5.5</w:t>
            </w:r>
            <w:r w:rsidRPr="006C0789">
              <w:rPr>
                <w:sz w:val="18"/>
                <w:szCs w:val="18"/>
                <w:vertAlign w:val="superscript"/>
              </w:rPr>
              <w:t>**</w:t>
            </w:r>
          </w:p>
        </w:tc>
        <w:tc>
          <w:tcPr>
            <w:tcW w:w="1169" w:type="dxa"/>
          </w:tcPr>
          <w:p w14:paraId="6FA69CC2"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4.2</w:t>
            </w:r>
            <w:r w:rsidRPr="006C0789">
              <w:rPr>
                <w:sz w:val="18"/>
                <w:szCs w:val="18"/>
                <w:vertAlign w:val="superscript"/>
              </w:rPr>
              <w:t>**</w:t>
            </w:r>
          </w:p>
        </w:tc>
        <w:tc>
          <w:tcPr>
            <w:tcW w:w="1666" w:type="dxa"/>
          </w:tcPr>
          <w:p w14:paraId="65D8B6E2"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4.2</w:t>
            </w:r>
            <w:r w:rsidRPr="006C0789">
              <w:rPr>
                <w:sz w:val="18"/>
                <w:szCs w:val="18"/>
                <w:vertAlign w:val="superscript"/>
              </w:rPr>
              <w:t>**</w:t>
            </w:r>
          </w:p>
        </w:tc>
      </w:tr>
      <w:tr w:rsidR="006C0789" w:rsidRPr="006C0789" w14:paraId="1E0DD1CE"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2F0294BC" w14:textId="77777777" w:rsidR="0004103A" w:rsidRPr="006C0789" w:rsidRDefault="0004103A" w:rsidP="003B1307">
            <w:pPr>
              <w:jc w:val="right"/>
              <w:rPr>
                <w:b w:val="0"/>
                <w:sz w:val="18"/>
                <w:szCs w:val="18"/>
              </w:rPr>
            </w:pPr>
            <w:r w:rsidRPr="006C0789">
              <w:rPr>
                <w:b w:val="0"/>
                <w:sz w:val="18"/>
                <w:szCs w:val="18"/>
              </w:rPr>
              <w:t>HGE %</w:t>
            </w:r>
            <w:r w:rsidRPr="006C0789">
              <w:rPr>
                <w:b w:val="0"/>
                <w:sz w:val="18"/>
                <w:szCs w:val="18"/>
                <w:vertAlign w:val="subscript"/>
              </w:rPr>
              <w:t>HHVin</w:t>
            </w:r>
          </w:p>
        </w:tc>
        <w:tc>
          <w:tcPr>
            <w:tcW w:w="1559" w:type="dxa"/>
          </w:tcPr>
          <w:p w14:paraId="1110B9CE"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78%</w:t>
            </w:r>
          </w:p>
        </w:tc>
        <w:tc>
          <w:tcPr>
            <w:tcW w:w="1276" w:type="dxa"/>
          </w:tcPr>
          <w:p w14:paraId="49B4CE94"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69%</w:t>
            </w:r>
            <w:r w:rsidRPr="006C0789">
              <w:rPr>
                <w:sz w:val="18"/>
                <w:szCs w:val="18"/>
                <w:vertAlign w:val="superscript"/>
              </w:rPr>
              <w:t>**</w:t>
            </w:r>
          </w:p>
        </w:tc>
        <w:tc>
          <w:tcPr>
            <w:tcW w:w="1842" w:type="dxa"/>
          </w:tcPr>
          <w:p w14:paraId="3865ED31"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64%</w:t>
            </w:r>
            <w:r w:rsidRPr="006C0789">
              <w:rPr>
                <w:sz w:val="18"/>
                <w:szCs w:val="18"/>
                <w:vertAlign w:val="superscript"/>
              </w:rPr>
              <w:t>**</w:t>
            </w:r>
          </w:p>
        </w:tc>
        <w:tc>
          <w:tcPr>
            <w:tcW w:w="1169" w:type="dxa"/>
          </w:tcPr>
          <w:p w14:paraId="39493A15"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60%</w:t>
            </w:r>
            <w:r w:rsidRPr="006C0789">
              <w:rPr>
                <w:sz w:val="18"/>
                <w:szCs w:val="18"/>
                <w:vertAlign w:val="superscript"/>
              </w:rPr>
              <w:t>**</w:t>
            </w:r>
          </w:p>
        </w:tc>
        <w:tc>
          <w:tcPr>
            <w:tcW w:w="1666" w:type="dxa"/>
          </w:tcPr>
          <w:p w14:paraId="494603D5"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54%</w:t>
            </w:r>
            <w:r w:rsidRPr="006C0789">
              <w:rPr>
                <w:sz w:val="18"/>
                <w:szCs w:val="18"/>
                <w:vertAlign w:val="superscript"/>
              </w:rPr>
              <w:t>**</w:t>
            </w:r>
          </w:p>
        </w:tc>
      </w:tr>
      <w:tr w:rsidR="006C0789" w:rsidRPr="006C0789" w14:paraId="6A85A1D6" w14:textId="77777777" w:rsidTr="006B5342">
        <w:tc>
          <w:tcPr>
            <w:cnfStyle w:val="001000000000" w:firstRow="0" w:lastRow="0" w:firstColumn="1" w:lastColumn="0" w:oddVBand="0" w:evenVBand="0" w:oddHBand="0" w:evenHBand="0" w:firstRowFirstColumn="0" w:firstRowLastColumn="0" w:lastRowFirstColumn="0" w:lastRowLastColumn="0"/>
            <w:tcW w:w="1560" w:type="dxa"/>
          </w:tcPr>
          <w:p w14:paraId="133693FF" w14:textId="77777777" w:rsidR="0004103A" w:rsidRPr="006C0789" w:rsidRDefault="0004103A" w:rsidP="003B1307">
            <w:pPr>
              <w:jc w:val="right"/>
              <w:rPr>
                <w:b w:val="0"/>
                <w:sz w:val="18"/>
                <w:szCs w:val="18"/>
              </w:rPr>
            </w:pPr>
            <w:r w:rsidRPr="006C0789">
              <w:rPr>
                <w:b w:val="0"/>
                <w:sz w:val="18"/>
                <w:szCs w:val="18"/>
              </w:rPr>
              <w:t>°C</w:t>
            </w:r>
          </w:p>
        </w:tc>
        <w:tc>
          <w:tcPr>
            <w:tcW w:w="1559" w:type="dxa"/>
          </w:tcPr>
          <w:p w14:paraId="2FD84E0B"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900</w:t>
            </w:r>
          </w:p>
        </w:tc>
        <w:tc>
          <w:tcPr>
            <w:tcW w:w="1276" w:type="dxa"/>
          </w:tcPr>
          <w:p w14:paraId="1836BC83"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900</w:t>
            </w:r>
          </w:p>
        </w:tc>
        <w:tc>
          <w:tcPr>
            <w:tcW w:w="1842" w:type="dxa"/>
          </w:tcPr>
          <w:p w14:paraId="06EAB021"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340</w:t>
            </w:r>
          </w:p>
        </w:tc>
        <w:tc>
          <w:tcPr>
            <w:tcW w:w="1169" w:type="dxa"/>
          </w:tcPr>
          <w:p w14:paraId="7473A0DA"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340</w:t>
            </w:r>
          </w:p>
        </w:tc>
        <w:tc>
          <w:tcPr>
            <w:tcW w:w="1666" w:type="dxa"/>
          </w:tcPr>
          <w:p w14:paraId="12EEB43F"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35</w:t>
            </w:r>
          </w:p>
        </w:tc>
      </w:tr>
      <w:tr w:rsidR="006C0789" w:rsidRPr="006C0789" w14:paraId="104AB9F8"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239E7D7D" w14:textId="77777777" w:rsidR="0004103A" w:rsidRPr="006C0789" w:rsidRDefault="0004103A" w:rsidP="003B1307">
            <w:pPr>
              <w:jc w:val="right"/>
              <w:rPr>
                <w:b w:val="0"/>
                <w:i/>
                <w:sz w:val="18"/>
                <w:szCs w:val="18"/>
              </w:rPr>
            </w:pPr>
            <w:r w:rsidRPr="006C0789">
              <w:rPr>
                <w:b w:val="0"/>
                <w:i/>
                <w:sz w:val="18"/>
                <w:szCs w:val="18"/>
              </w:rPr>
              <w:t>Comment</w:t>
            </w:r>
          </w:p>
        </w:tc>
        <w:tc>
          <w:tcPr>
            <w:tcW w:w="1559" w:type="dxa"/>
          </w:tcPr>
          <w:p w14:paraId="1240E9B9" w14:textId="039C1FC1"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i/>
                <w:sz w:val="18"/>
                <w:szCs w:val="18"/>
              </w:rPr>
            </w:pPr>
            <w:r w:rsidRPr="006C0789">
              <w:rPr>
                <w:i/>
                <w:sz w:val="18"/>
                <w:szCs w:val="18"/>
              </w:rPr>
              <w:t>Composition fixed (</w:t>
            </w:r>
            <w:r w:rsidR="006C0789" w:rsidRPr="006C0789">
              <w:rPr>
                <w:b/>
                <w:i/>
                <w:sz w:val="18"/>
                <w:szCs w:val="18"/>
              </w:rPr>
              <w:t>Table SI. 97</w:t>
            </w:r>
            <w:r w:rsidRPr="006C0789">
              <w:rPr>
                <w:i/>
                <w:sz w:val="18"/>
                <w:szCs w:val="18"/>
              </w:rPr>
              <w:t>).</w:t>
            </w:r>
          </w:p>
        </w:tc>
        <w:tc>
          <w:tcPr>
            <w:tcW w:w="1276" w:type="dxa"/>
          </w:tcPr>
          <w:p w14:paraId="5F53125B"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i/>
                <w:sz w:val="18"/>
                <w:szCs w:val="18"/>
              </w:rPr>
            </w:pPr>
          </w:p>
        </w:tc>
        <w:tc>
          <w:tcPr>
            <w:tcW w:w="1842" w:type="dxa"/>
          </w:tcPr>
          <w:p w14:paraId="10F41716"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i/>
                <w:sz w:val="18"/>
                <w:szCs w:val="18"/>
              </w:rPr>
            </w:pPr>
          </w:p>
        </w:tc>
        <w:tc>
          <w:tcPr>
            <w:tcW w:w="1169" w:type="dxa"/>
          </w:tcPr>
          <w:p w14:paraId="7F265B4A"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i/>
                <w:sz w:val="18"/>
                <w:szCs w:val="18"/>
              </w:rPr>
            </w:pPr>
          </w:p>
        </w:tc>
        <w:tc>
          <w:tcPr>
            <w:tcW w:w="1666" w:type="dxa"/>
          </w:tcPr>
          <w:p w14:paraId="7D891DD7"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i/>
                <w:sz w:val="18"/>
                <w:szCs w:val="18"/>
              </w:rPr>
            </w:pPr>
            <w:r w:rsidRPr="006C0789">
              <w:rPr>
                <w:i/>
                <w:sz w:val="18"/>
                <w:szCs w:val="18"/>
              </w:rPr>
              <w:t>Entering HOB bioreactor</w:t>
            </w:r>
          </w:p>
        </w:tc>
      </w:tr>
    </w:tbl>
    <w:p w14:paraId="1DCD121F" w14:textId="77777777" w:rsidR="0004103A" w:rsidRPr="003F5DA8" w:rsidRDefault="0004103A" w:rsidP="006B5342">
      <w:pPr>
        <w:jc w:val="both"/>
        <w:rPr>
          <w:sz w:val="18"/>
        </w:rPr>
      </w:pPr>
      <w:r w:rsidRPr="003F5DA8">
        <w:rPr>
          <w:sz w:val="18"/>
        </w:rPr>
        <w:t xml:space="preserve">Baseline technology values, rounded values. </w:t>
      </w:r>
      <w:r w:rsidRPr="003F5DA8">
        <w:rPr>
          <w:sz w:val="18"/>
          <w:vertAlign w:val="superscript"/>
        </w:rPr>
        <w:t>*</w:t>
      </w:r>
      <w:r w:rsidRPr="003F5DA8">
        <w:rPr>
          <w:sz w:val="18"/>
        </w:rPr>
        <w:t xml:space="preserve">: after cleaning losses. </w:t>
      </w:r>
      <w:r w:rsidRPr="003F5DA8">
        <w:rPr>
          <w:sz w:val="18"/>
          <w:vertAlign w:val="superscript"/>
        </w:rPr>
        <w:t>**</w:t>
      </w:r>
      <w:r w:rsidRPr="003F5DA8">
        <w:rPr>
          <w:sz w:val="18"/>
        </w:rPr>
        <w:t>: accounting for SR steam energy input.</w:t>
      </w:r>
    </w:p>
    <w:p w14:paraId="5F3CFD7C" w14:textId="77777777" w:rsidR="0004103A" w:rsidRPr="003F5DA8" w:rsidRDefault="0004103A" w:rsidP="0004103A">
      <w:pPr>
        <w:tabs>
          <w:tab w:val="left" w:pos="1157"/>
        </w:tabs>
        <w:jc w:val="both"/>
      </w:pPr>
    </w:p>
    <w:p w14:paraId="41D5702A" w14:textId="77777777" w:rsidR="0004103A" w:rsidRPr="0004103A" w:rsidRDefault="0004103A" w:rsidP="00C942CE">
      <w:pPr>
        <w:pStyle w:val="Titre4"/>
      </w:pPr>
      <w:r w:rsidRPr="0004103A">
        <w:t>Hydrogen production from biogas</w:t>
      </w:r>
    </w:p>
    <w:p w14:paraId="343CC73C" w14:textId="3569CD62" w:rsidR="0004103A" w:rsidRDefault="0004103A" w:rsidP="0004103A">
      <w:pPr>
        <w:tabs>
          <w:tab w:val="left" w:pos="1157"/>
        </w:tabs>
        <w:jc w:val="both"/>
      </w:pPr>
      <w:r w:rsidRPr="003F5DA8">
        <w:t>This sequence of steps allows to produce HOB from biogas (MP_shiftb pathways), and is based on the already established pilot-scale biogas-to-hydrogen set-up</w:t>
      </w:r>
      <w:r w:rsidRPr="003F5DA8">
        <w:fldChar w:fldCharType="begin"/>
      </w:r>
      <w:r w:rsidR="005413B4">
        <w:instrText xml:space="preserve"> ADDIN ZOTERO_ITEM CSL_CITATION {"citationID":"sGFNeQvv","properties":{"formattedCitation":"\\super 247\\uc0\\u8211{}249\\nosupersub{}","plainCitation":"247–249","noteIndex":0},"citationItems":[{"id":12948,"uris":["http://zotero.org/users/6423791/items/K75N7HJR"],"itemData":{"id":12948,"type":"chapter","container-title":"Hydrogen Supply Chains","ISBN":"978-0-12-811197-0","language":"en","note":"DOI: 10.1016/B978-0-12-811197-0.00004-X","page":"111-166","publisher":"Elsevier","source":"DOI.org (Crossref)","title":"Hydrogen Production From Biogas Reforming: An Overview of Steam Reforming, Dry Reforming, Dual Reforming, and Tri-Reforming of Methane","title-short":"Hydrogen Production From Biogas Reforming","URL":"https://linkinghub.elsevier.com/retrieve/pii/B978012811197000004X","author":[{"family":"Pham Minh","given":"Doan"},{"family":"Siang","given":"Tan Ji"},{"family":"Vo","given":"Dai-Viet N."},{"family":"Phan","given":"Thanh Son"},{"family":"Ridart","given":"Cyrille"},{"family":"Nzihou","given":"Ange"},{"family":"Grouset","given":"Didier"}],"accessed":{"date-parts":[["2022",2,3]]},"issued":{"date-parts":[["2018"]]}}},{"id":12981,"uris":["http://zotero.org/users/6423791/items/8G5SCIXS"],"itemData":{"id":12981,"type":"article-journal","abstract":"The aim of this paper is to demonstrate and to quantify energy flows in a life cycle of biogas to biohydrogen production, starting from feedstock materials via anaerobic digestion, biogas upgrading, biohydrogen production, to the end of biogas system (application of digestate as fertilizer in agriculture). The performance of the biogas plant of Mirotin dairy farm in Serbia has been assessed. According to Life Cycle Energy Assessment approach, results obtained in this study have shown that biohydrogen production via biogas steam reforming has negative energy balance (with −16,837 GJ). It has also been demonstrated that this process is energy unsustainable in an environmental context. In future analysis it would be necessary to consider the other aspects of sustainability, e.g. the economical and social factors in order to estimate the overall sustainability of the biogas utilization pathways, especially having in mind that the technology of converting biogas to hydrogen is still in the development phase.","container-title":"International Journal of Hydrogen Energy","DOI":"10.1016/j.ijhydene.2021.01.181","ISSN":"0360-3199","issue":"27","journalAbbreviation":"International Journal of Hydrogen Energy","language":"en","page":"14130-14137","source":"ScienceDirect","title":"Life Cycle Energy Assessment of biohydrogen production via biogas steam reforming: Case study of biogas plant on a farm in Serbia","title-short":"Life Cycle Energy Assessment of biohydrogen production via biogas steam reforming","volume":"46","author":[{"family":"Cvetković","given":"Slobodan M."},{"family":"Radoičić","given":"Tatjana Kaluđerović"},{"family":"Kijevčanin","given":"Mirjana"},{"family":"Novaković","given":"Jasmina Grbović"}],"issued":{"date-parts":[["2021",4,19]]}}},{"id":12983,"uris":["http://zotero.org/users/6423791/items/6Y2HS8EK"],"itemData":{"id":12983,"type":"article-journal","abstract":"This work investigates the environmental and economic performances of a membrane reactor for hydrogen production from raw biogas. Potential benefits of the innovative technology are compared against reference hydrogen production processes based on steam (or autothermal) reforming, water gas shift reactors and a pressure swing adsorption unit. Both biogas produced by landfill and anaerobic digestion are considered to evaluate the impact of biogas composition. Starting from the thermodynamic results, the environmental analysis is carried out using environmental Life cycle assessment (LCA). Results show that the adoption of the membrane reactor increases the system efficiency by more than 20 percentage points with respect to the reference cases. LCA analysis shows that the innovative BIONICO system performs better than reference systems when biogas becomes a limiting factor for hydrogen production to satisfy market demand, as a higher biogas conversion efficiency can potentially substitute more hydrogen produced by fossil fuels (natural gas). However, when biogas is not a limiting factor for hydrogen production, the innovative system can perform either similar or worse than reference systems, as in this case impacts are largely dominated by grid electric energy demand and component use rather than conversion efficiency. Focusing on the economic results, hydrogen production cost shows lower value with respect to the reference cases (4 €/kgH2 vs 4.2 €/kgH2) at the same hydrogen delivery pressure of 20 bar. Between landfill and anaerobic digestion cases, the latter has the lower costs as a consequence of the higher methane content.","container-title":"Processes","DOI":"10.3390/pr7020086","ISSN":"2227-9717","issue":"2","language":"en","license":"http://creativecommons.org/licenses/by/3.0/","note":"number: 2\npublisher: Multidisciplinary Digital Publishing Institute","page":"86","source":"www.mdpi.com","title":"Life Cycle Assessment and Economic Analysis of an Innovative Biogas Membrane Reformer for Hydrogen Production","volume":"7","author":[{"family":"Di Marcoberardino","given":"Gioele"},{"family":"Liao","given":"Xun"},{"family":"Dauriat","given":"Arnaud"},{"family":"Binotti","given":"Marco"},{"family":"Manzolini","given":"Giampaolo"}],"issued":{"date-parts":[["2019",2]]}}}],"schema":"https://github.com/citation-style-language/schema/raw/master/csl-citation.json"} </w:instrText>
      </w:r>
      <w:r w:rsidRPr="003F5DA8">
        <w:fldChar w:fldCharType="separate"/>
      </w:r>
      <w:r w:rsidR="005413B4" w:rsidRPr="005413B4">
        <w:rPr>
          <w:rFonts w:ascii="Calibri" w:hAnsi="Calibri" w:cs="Calibri"/>
          <w:szCs w:val="24"/>
          <w:vertAlign w:val="superscript"/>
        </w:rPr>
        <w:t>247–249</w:t>
      </w:r>
      <w:r w:rsidRPr="003F5DA8">
        <w:fldChar w:fldCharType="end"/>
      </w:r>
      <w:r w:rsidRPr="003F5DA8">
        <w:t>. It involves SR to first convert CH</w:t>
      </w:r>
      <w:r w:rsidRPr="003F5DA8">
        <w:rPr>
          <w:vertAlign w:val="subscript"/>
        </w:rPr>
        <w:t>4</w:t>
      </w:r>
      <w:r w:rsidRPr="003F5DA8">
        <w:t xml:space="preserve"> into CO and H</w:t>
      </w:r>
      <w:r w:rsidRPr="003F5DA8">
        <w:rPr>
          <w:vertAlign w:val="subscript"/>
        </w:rPr>
        <w:t>2</w:t>
      </w:r>
      <w:r w:rsidRPr="003F5DA8">
        <w:t xml:space="preserve"> (</w:t>
      </w:r>
      <w:r w:rsidR="009B4A71" w:rsidRPr="009B4A71">
        <w:rPr>
          <w:b/>
        </w:rPr>
        <w:fldChar w:fldCharType="begin"/>
      </w:r>
      <w:r w:rsidR="009B4A71" w:rsidRPr="009B4A71">
        <w:rPr>
          <w:b/>
        </w:rPr>
        <w:instrText xml:space="preserve"> REF _Ref144826576 \h </w:instrText>
      </w:r>
      <w:r w:rsidR="009B4A71">
        <w:rPr>
          <w:b/>
        </w:rPr>
        <w:instrText xml:space="preserve"> \* MERGEFORMAT </w:instrText>
      </w:r>
      <w:r w:rsidR="009B4A71" w:rsidRPr="009B4A71">
        <w:rPr>
          <w:b/>
        </w:rPr>
      </w:r>
      <w:r w:rsidR="009B4A71" w:rsidRPr="009B4A71">
        <w:rPr>
          <w:b/>
        </w:rPr>
        <w:fldChar w:fldCharType="separate"/>
      </w:r>
      <w:r w:rsidR="00F25F8C" w:rsidRPr="00F25F8C">
        <w:rPr>
          <w:b/>
        </w:rPr>
        <w:t xml:space="preserve">Equation </w:t>
      </w:r>
      <w:r w:rsidR="00F25F8C" w:rsidRPr="00F25F8C">
        <w:rPr>
          <w:b/>
          <w:noProof/>
        </w:rPr>
        <w:t>11</w:t>
      </w:r>
      <w:r w:rsidR="009B4A71" w:rsidRPr="009B4A71">
        <w:rPr>
          <w:b/>
        </w:rPr>
        <w:fldChar w:fldCharType="end"/>
      </w:r>
      <w:r w:rsidRPr="003F5DA8">
        <w:t>), followed by WCS to convert CO (</w:t>
      </w:r>
      <w:r w:rsidR="009B4A71" w:rsidRPr="009B4A71">
        <w:rPr>
          <w:b/>
        </w:rPr>
        <w:fldChar w:fldCharType="begin"/>
      </w:r>
      <w:r w:rsidR="009B4A71" w:rsidRPr="009B4A71">
        <w:rPr>
          <w:b/>
        </w:rPr>
        <w:instrText xml:space="preserve"> REF _Ref144824446 \h </w:instrText>
      </w:r>
      <w:r w:rsidR="009B4A71">
        <w:rPr>
          <w:b/>
        </w:rPr>
        <w:instrText xml:space="preserve"> \* MERGEFORMAT </w:instrText>
      </w:r>
      <w:r w:rsidR="009B4A71" w:rsidRPr="009B4A71">
        <w:rPr>
          <w:b/>
        </w:rPr>
      </w:r>
      <w:r w:rsidR="009B4A71" w:rsidRPr="009B4A71">
        <w:rPr>
          <w:b/>
        </w:rPr>
        <w:fldChar w:fldCharType="separate"/>
      </w:r>
      <w:r w:rsidR="00F25F8C" w:rsidRPr="00F25F8C">
        <w:rPr>
          <w:b/>
        </w:rPr>
        <w:t xml:space="preserve">Equation </w:t>
      </w:r>
      <w:r w:rsidR="00F25F8C" w:rsidRPr="00F25F8C">
        <w:rPr>
          <w:b/>
          <w:noProof/>
        </w:rPr>
        <w:t>8</w:t>
      </w:r>
      <w:r w:rsidR="009B4A71" w:rsidRPr="009B4A71">
        <w:rPr>
          <w:b/>
        </w:rPr>
        <w:fldChar w:fldCharType="end"/>
      </w:r>
      <w:r w:rsidRPr="009B4A71">
        <w:rPr>
          <w:b/>
        </w:rPr>
        <w:t>)</w:t>
      </w:r>
      <w:r w:rsidRPr="003F5DA8">
        <w:t>. Accordingly, the modeling assumptions were exactly the same than used for MP_shifts pathway. The heat recovery systems considered as well as an illustration of the key flows involved in MP_shiftb pathway are presented in</w:t>
      </w:r>
      <w:r w:rsidR="009B4A71">
        <w:t xml:space="preserve"> </w:t>
      </w:r>
      <w:r w:rsidR="009B4A71" w:rsidRPr="009B4A71">
        <w:rPr>
          <w:b/>
        </w:rPr>
        <w:fldChar w:fldCharType="begin"/>
      </w:r>
      <w:r w:rsidR="009B4A71" w:rsidRPr="009B4A71">
        <w:rPr>
          <w:b/>
        </w:rPr>
        <w:instrText xml:space="preserve"> REF _Ref144827117 \h </w:instrText>
      </w:r>
      <w:r w:rsidR="009B4A71">
        <w:rPr>
          <w:b/>
        </w:rPr>
        <w:instrText xml:space="preserve"> \* MERGEFORMAT </w:instrText>
      </w:r>
      <w:r w:rsidR="009B4A71" w:rsidRPr="009B4A71">
        <w:rPr>
          <w:b/>
        </w:rPr>
      </w:r>
      <w:r w:rsidR="009B4A71" w:rsidRPr="009B4A71">
        <w:rPr>
          <w:b/>
        </w:rPr>
        <w:fldChar w:fldCharType="separate"/>
      </w:r>
      <w:r w:rsidR="00F25F8C" w:rsidRPr="00F25F8C">
        <w:rPr>
          <w:b/>
        </w:rPr>
        <w:t xml:space="preserve">Table SI. </w:t>
      </w:r>
      <w:r w:rsidR="00F25F8C" w:rsidRPr="00F25F8C">
        <w:rPr>
          <w:b/>
          <w:noProof/>
        </w:rPr>
        <w:t>68</w:t>
      </w:r>
      <w:r w:rsidR="009B4A71" w:rsidRPr="009B4A71">
        <w:rPr>
          <w:b/>
        </w:rPr>
        <w:fldChar w:fldCharType="end"/>
      </w:r>
      <w:r w:rsidR="009B4A71">
        <w:t xml:space="preserve"> and </w:t>
      </w:r>
      <w:r w:rsidR="009B4A71" w:rsidRPr="009B4A71">
        <w:rPr>
          <w:b/>
        </w:rPr>
        <w:fldChar w:fldCharType="begin"/>
      </w:r>
      <w:r w:rsidR="009B4A71" w:rsidRPr="009B4A71">
        <w:rPr>
          <w:b/>
        </w:rPr>
        <w:instrText xml:space="preserve"> REF _Ref144827120 \h </w:instrText>
      </w:r>
      <w:r w:rsidR="009B4A71">
        <w:rPr>
          <w:b/>
        </w:rPr>
        <w:instrText xml:space="preserve"> \* MERGEFORMAT </w:instrText>
      </w:r>
      <w:r w:rsidR="009B4A71" w:rsidRPr="009B4A71">
        <w:rPr>
          <w:b/>
        </w:rPr>
      </w:r>
      <w:r w:rsidR="009B4A71" w:rsidRPr="009B4A71">
        <w:rPr>
          <w:b/>
        </w:rPr>
        <w:fldChar w:fldCharType="separate"/>
      </w:r>
      <w:r w:rsidR="00F25F8C" w:rsidRPr="00F25F8C">
        <w:rPr>
          <w:b/>
        </w:rPr>
        <w:t xml:space="preserve">Table SI. </w:t>
      </w:r>
      <w:r w:rsidR="00F25F8C" w:rsidRPr="00F25F8C">
        <w:rPr>
          <w:b/>
          <w:noProof/>
        </w:rPr>
        <w:t>69</w:t>
      </w:r>
      <w:r w:rsidR="009B4A71" w:rsidRPr="009B4A71">
        <w:rPr>
          <w:b/>
        </w:rPr>
        <w:fldChar w:fldCharType="end"/>
      </w:r>
      <w:r w:rsidRPr="003F5DA8">
        <w:t>.</w:t>
      </w:r>
    </w:p>
    <w:p w14:paraId="0CAFCCBC" w14:textId="06959581" w:rsidR="0004103A" w:rsidRPr="00383842" w:rsidRDefault="00874128" w:rsidP="006B5342">
      <w:pPr>
        <w:pStyle w:val="Lgende"/>
        <w:jc w:val="left"/>
        <w:rPr>
          <w:b w:val="0"/>
          <w:i/>
        </w:rPr>
      </w:pPr>
      <w:bookmarkStart w:id="290" w:name="_Ref144827117"/>
      <w:bookmarkStart w:id="291" w:name="_Toc134537634"/>
      <w:bookmarkStart w:id="292" w:name="_Toc151967952"/>
      <w:r>
        <w:t>Table SI.</w:t>
      </w:r>
      <w:r w:rsidR="0004103A">
        <w:t xml:space="preserve"> </w:t>
      </w:r>
      <w:r>
        <w:fldChar w:fldCharType="begin"/>
      </w:r>
      <w:r>
        <w:instrText xml:space="preserve"> SEQ Table_SI. \* ARABIC </w:instrText>
      </w:r>
      <w:r>
        <w:fldChar w:fldCharType="separate"/>
      </w:r>
      <w:r w:rsidR="00F25F8C">
        <w:rPr>
          <w:noProof/>
        </w:rPr>
        <w:t>68</w:t>
      </w:r>
      <w:r>
        <w:fldChar w:fldCharType="end"/>
      </w:r>
      <w:bookmarkEnd w:id="290"/>
      <w:r w:rsidR="0004103A">
        <w:t xml:space="preserve"> </w:t>
      </w:r>
      <w:r w:rsidR="0004103A" w:rsidRPr="00415E4C">
        <w:t>– Heat recovery modeling involved in MP_shiftb pathway pretreatment</w:t>
      </w:r>
      <w:bookmarkEnd w:id="291"/>
      <w:bookmarkEnd w:id="292"/>
    </w:p>
    <w:tbl>
      <w:tblPr>
        <w:tblStyle w:val="Tableausimple2"/>
        <w:tblW w:w="0" w:type="auto"/>
        <w:tblLook w:val="04A0" w:firstRow="1" w:lastRow="0" w:firstColumn="1" w:lastColumn="0" w:noHBand="0" w:noVBand="1"/>
      </w:tblPr>
      <w:tblGrid>
        <w:gridCol w:w="1879"/>
        <w:gridCol w:w="2126"/>
        <w:gridCol w:w="1526"/>
        <w:gridCol w:w="1532"/>
      </w:tblGrid>
      <w:tr w:rsidR="0004103A" w:rsidRPr="006C0789" w14:paraId="37DF488E"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F4DF793" w14:textId="77777777" w:rsidR="0004103A" w:rsidRPr="006C0789" w:rsidRDefault="0004103A" w:rsidP="006C0789">
            <w:pPr>
              <w:jc w:val="right"/>
              <w:rPr>
                <w:sz w:val="18"/>
              </w:rPr>
            </w:pPr>
            <w:r w:rsidRPr="006C0789">
              <w:rPr>
                <w:sz w:val="18"/>
              </w:rPr>
              <w:t>Unit operation</w:t>
            </w:r>
          </w:p>
        </w:tc>
        <w:tc>
          <w:tcPr>
            <w:tcW w:w="0" w:type="auto"/>
          </w:tcPr>
          <w:p w14:paraId="7D1FB3D7" w14:textId="77777777" w:rsidR="0004103A" w:rsidRPr="006C0789" w:rsidRDefault="0004103A" w:rsidP="003B1307">
            <w:pPr>
              <w:cnfStyle w:val="100000000000" w:firstRow="1" w:lastRow="0" w:firstColumn="0" w:lastColumn="0" w:oddVBand="0" w:evenVBand="0" w:oddHBand="0" w:evenHBand="0" w:firstRowFirstColumn="0" w:firstRowLastColumn="0" w:lastRowFirstColumn="0" w:lastRowLastColumn="0"/>
              <w:rPr>
                <w:sz w:val="18"/>
              </w:rPr>
            </w:pPr>
            <w:r w:rsidRPr="006C0789">
              <w:rPr>
                <w:sz w:val="18"/>
              </w:rPr>
              <w:t>Heat recovery</w:t>
            </w:r>
          </w:p>
        </w:tc>
        <w:tc>
          <w:tcPr>
            <w:tcW w:w="0" w:type="auto"/>
          </w:tcPr>
          <w:p w14:paraId="44433F75" w14:textId="77777777" w:rsidR="0004103A" w:rsidRPr="006C0789" w:rsidRDefault="0004103A" w:rsidP="003B1307">
            <w:pPr>
              <w:cnfStyle w:val="100000000000" w:firstRow="1" w:lastRow="0" w:firstColumn="0" w:lastColumn="0" w:oddVBand="0" w:evenVBand="0" w:oddHBand="0" w:evenHBand="0" w:firstRowFirstColumn="0" w:firstRowLastColumn="0" w:lastRowFirstColumn="0" w:lastRowLastColumn="0"/>
              <w:rPr>
                <w:sz w:val="18"/>
              </w:rPr>
            </w:pPr>
            <w:r w:rsidRPr="006C0789">
              <w:rPr>
                <w:sz w:val="18"/>
              </w:rPr>
              <w:t>Temperatures</w:t>
            </w:r>
          </w:p>
        </w:tc>
        <w:tc>
          <w:tcPr>
            <w:tcW w:w="0" w:type="auto"/>
          </w:tcPr>
          <w:p w14:paraId="62E64B2F" w14:textId="77777777" w:rsidR="0004103A" w:rsidRPr="006C0789" w:rsidRDefault="0004103A" w:rsidP="003B1307">
            <w:pPr>
              <w:cnfStyle w:val="100000000000" w:firstRow="1" w:lastRow="0" w:firstColumn="0" w:lastColumn="0" w:oddVBand="0" w:evenVBand="0" w:oddHBand="0" w:evenHBand="0" w:firstRowFirstColumn="0" w:firstRowLastColumn="0" w:lastRowFirstColumn="0" w:lastRowLastColumn="0"/>
              <w:rPr>
                <w:sz w:val="18"/>
              </w:rPr>
            </w:pPr>
            <w:r w:rsidRPr="006C0789">
              <w:rPr>
                <w:sz w:val="18"/>
              </w:rPr>
              <w:t>Modeling</w:t>
            </w:r>
          </w:p>
        </w:tc>
      </w:tr>
      <w:tr w:rsidR="0004103A" w:rsidRPr="006C0789" w14:paraId="13B4B9C3"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BEF3A71" w14:textId="77777777" w:rsidR="0004103A" w:rsidRPr="006C0789" w:rsidRDefault="0004103A" w:rsidP="006C0789">
            <w:pPr>
              <w:jc w:val="right"/>
              <w:rPr>
                <w:b w:val="0"/>
                <w:sz w:val="18"/>
              </w:rPr>
            </w:pPr>
            <w:r w:rsidRPr="006C0789">
              <w:rPr>
                <w:b w:val="0"/>
                <w:sz w:val="18"/>
              </w:rPr>
              <w:t>Steam reforming</w:t>
            </w:r>
          </w:p>
        </w:tc>
        <w:tc>
          <w:tcPr>
            <w:tcW w:w="0" w:type="auto"/>
          </w:tcPr>
          <w:p w14:paraId="73A1C622"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rPr>
            </w:pPr>
            <w:r w:rsidRPr="006C0789">
              <w:rPr>
                <w:sz w:val="18"/>
              </w:rPr>
              <w:t>Biogas heating</w:t>
            </w:r>
          </w:p>
        </w:tc>
        <w:tc>
          <w:tcPr>
            <w:tcW w:w="0" w:type="auto"/>
          </w:tcPr>
          <w:p w14:paraId="203AF253"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rPr>
            </w:pPr>
            <w:r w:rsidRPr="006C0789">
              <w:rPr>
                <w:sz w:val="18"/>
              </w:rPr>
              <w:t>37°C to 900°C</w:t>
            </w:r>
          </w:p>
        </w:tc>
        <w:tc>
          <w:tcPr>
            <w:tcW w:w="0" w:type="auto"/>
            <w:vMerge w:val="restart"/>
          </w:tcPr>
          <w:p w14:paraId="106F2A41"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rPr>
            </w:pPr>
            <w:r w:rsidRPr="006C0789">
              <w:rPr>
                <w:sz w:val="18"/>
              </w:rPr>
              <w:t>HT WHR</w:t>
            </w:r>
          </w:p>
        </w:tc>
      </w:tr>
      <w:tr w:rsidR="0004103A" w:rsidRPr="006C0789" w14:paraId="0B59E7F9"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17471F85" w14:textId="77777777" w:rsidR="0004103A" w:rsidRPr="006C0789" w:rsidRDefault="0004103A" w:rsidP="006C0789">
            <w:pPr>
              <w:jc w:val="right"/>
              <w:rPr>
                <w:b w:val="0"/>
                <w:sz w:val="18"/>
              </w:rPr>
            </w:pPr>
            <w:r w:rsidRPr="006C0789">
              <w:rPr>
                <w:b w:val="0"/>
                <w:sz w:val="18"/>
              </w:rPr>
              <w:t>Steam reforming</w:t>
            </w:r>
          </w:p>
        </w:tc>
        <w:tc>
          <w:tcPr>
            <w:tcW w:w="0" w:type="auto"/>
          </w:tcPr>
          <w:p w14:paraId="1E90F534"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rPr>
            </w:pPr>
            <w:r w:rsidRPr="006C0789">
              <w:rPr>
                <w:sz w:val="18"/>
              </w:rPr>
              <w:t>Reformed gas cooling</w:t>
            </w:r>
          </w:p>
        </w:tc>
        <w:tc>
          <w:tcPr>
            <w:tcW w:w="0" w:type="auto"/>
          </w:tcPr>
          <w:p w14:paraId="3A1B9519"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rPr>
            </w:pPr>
            <w:r w:rsidRPr="006C0789">
              <w:rPr>
                <w:sz w:val="18"/>
              </w:rPr>
              <w:t>900°C to 340°C</w:t>
            </w:r>
          </w:p>
        </w:tc>
        <w:tc>
          <w:tcPr>
            <w:tcW w:w="0" w:type="auto"/>
            <w:vMerge/>
          </w:tcPr>
          <w:p w14:paraId="4F33A551"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rPr>
            </w:pPr>
          </w:p>
        </w:tc>
      </w:tr>
      <w:tr w:rsidR="0004103A" w:rsidRPr="006C0789" w14:paraId="5F4185D1"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325033E" w14:textId="77777777" w:rsidR="0004103A" w:rsidRPr="006C0789" w:rsidRDefault="0004103A" w:rsidP="006C0789">
            <w:pPr>
              <w:jc w:val="right"/>
              <w:rPr>
                <w:b w:val="0"/>
                <w:sz w:val="18"/>
              </w:rPr>
            </w:pPr>
            <w:r w:rsidRPr="006C0789">
              <w:rPr>
                <w:b w:val="0"/>
                <w:sz w:val="18"/>
              </w:rPr>
              <w:t>Water conversion shift</w:t>
            </w:r>
          </w:p>
        </w:tc>
        <w:tc>
          <w:tcPr>
            <w:tcW w:w="0" w:type="auto"/>
          </w:tcPr>
          <w:p w14:paraId="0DFA1574"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rPr>
            </w:pPr>
            <w:r w:rsidRPr="006C0789">
              <w:rPr>
                <w:sz w:val="18"/>
              </w:rPr>
              <w:t>Exothermic reaction</w:t>
            </w:r>
          </w:p>
        </w:tc>
        <w:tc>
          <w:tcPr>
            <w:tcW w:w="0" w:type="auto"/>
          </w:tcPr>
          <w:p w14:paraId="4E15B1E5"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rPr>
            </w:pPr>
            <w:r w:rsidRPr="006C0789">
              <w:rPr>
                <w:sz w:val="18"/>
              </w:rPr>
              <w:t>340°C</w:t>
            </w:r>
          </w:p>
        </w:tc>
        <w:tc>
          <w:tcPr>
            <w:tcW w:w="0" w:type="auto"/>
            <w:vMerge/>
          </w:tcPr>
          <w:p w14:paraId="31568538"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rPr>
            </w:pPr>
          </w:p>
        </w:tc>
      </w:tr>
      <w:tr w:rsidR="0004103A" w:rsidRPr="006C0789" w14:paraId="193A3C16"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6FB77FE9" w14:textId="77777777" w:rsidR="0004103A" w:rsidRPr="006C0789" w:rsidRDefault="0004103A" w:rsidP="006C0789">
            <w:pPr>
              <w:jc w:val="right"/>
              <w:rPr>
                <w:b w:val="0"/>
                <w:sz w:val="18"/>
              </w:rPr>
            </w:pPr>
            <w:r w:rsidRPr="006C0789">
              <w:rPr>
                <w:b w:val="0"/>
                <w:sz w:val="18"/>
              </w:rPr>
              <w:t>Water conversion shift</w:t>
            </w:r>
          </w:p>
        </w:tc>
        <w:tc>
          <w:tcPr>
            <w:tcW w:w="0" w:type="auto"/>
          </w:tcPr>
          <w:p w14:paraId="6DB2F771"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rPr>
            </w:pPr>
            <w:r w:rsidRPr="006C0789">
              <w:rPr>
                <w:sz w:val="18"/>
              </w:rPr>
              <w:t>Shifted syngas cooling</w:t>
            </w:r>
          </w:p>
        </w:tc>
        <w:tc>
          <w:tcPr>
            <w:tcW w:w="0" w:type="auto"/>
          </w:tcPr>
          <w:p w14:paraId="05CB962D"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rPr>
            </w:pPr>
            <w:r w:rsidRPr="006C0789">
              <w:rPr>
                <w:sz w:val="18"/>
              </w:rPr>
              <w:t>340°C to 35°C</w:t>
            </w:r>
          </w:p>
        </w:tc>
        <w:tc>
          <w:tcPr>
            <w:tcW w:w="0" w:type="auto"/>
            <w:vMerge/>
          </w:tcPr>
          <w:p w14:paraId="6E4CF404"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rPr>
            </w:pPr>
          </w:p>
        </w:tc>
      </w:tr>
      <w:tr w:rsidR="0004103A" w:rsidRPr="006C0789" w14:paraId="6C163282"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A1FCA91" w14:textId="2C59E664" w:rsidR="0004103A" w:rsidRPr="006C0789" w:rsidRDefault="0004103A" w:rsidP="006C0789">
            <w:pPr>
              <w:jc w:val="right"/>
              <w:rPr>
                <w:b w:val="0"/>
                <w:i/>
                <w:sz w:val="18"/>
              </w:rPr>
            </w:pPr>
          </w:p>
        </w:tc>
        <w:tc>
          <w:tcPr>
            <w:tcW w:w="0" w:type="auto"/>
            <w:gridSpan w:val="2"/>
          </w:tcPr>
          <w:p w14:paraId="60AB0DD1"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i/>
                <w:sz w:val="18"/>
              </w:rPr>
            </w:pPr>
            <w:r w:rsidRPr="006C0789">
              <w:rPr>
                <w:i/>
                <w:sz w:val="18"/>
              </w:rPr>
              <w:t>Only processes linked with gas post-treatments</w:t>
            </w:r>
          </w:p>
        </w:tc>
        <w:tc>
          <w:tcPr>
            <w:tcW w:w="0" w:type="auto"/>
          </w:tcPr>
          <w:p w14:paraId="1D3DEF68" w14:textId="193C1132" w:rsidR="0004103A" w:rsidRPr="006C0789" w:rsidRDefault="009B4A71" w:rsidP="003B1307">
            <w:pPr>
              <w:cnfStyle w:val="000000100000" w:firstRow="0" w:lastRow="0" w:firstColumn="0" w:lastColumn="0" w:oddVBand="0" w:evenVBand="0" w:oddHBand="1" w:evenHBand="0" w:firstRowFirstColumn="0" w:firstRowLastColumn="0" w:lastRowFirstColumn="0" w:lastRowLastColumn="0"/>
              <w:rPr>
                <w:i/>
                <w:sz w:val="18"/>
              </w:rPr>
            </w:pPr>
            <w:r w:rsidRPr="006C0789">
              <w:rPr>
                <w:i/>
                <w:sz w:val="18"/>
              </w:rPr>
              <w:t xml:space="preserve">See </w:t>
            </w:r>
            <w:r w:rsidRPr="006C0789">
              <w:rPr>
                <w:b/>
                <w:i/>
                <w:sz w:val="18"/>
              </w:rPr>
              <w:t xml:space="preserve">section </w:t>
            </w:r>
            <w:r w:rsidR="000C6C37">
              <w:rPr>
                <w:b/>
                <w:i/>
                <w:sz w:val="18"/>
              </w:rPr>
              <w:t xml:space="preserve">SI. </w:t>
            </w:r>
            <w:r w:rsidRPr="006C0789">
              <w:rPr>
                <w:b/>
                <w:i/>
                <w:sz w:val="18"/>
              </w:rPr>
              <w:fldChar w:fldCharType="begin"/>
            </w:r>
            <w:r w:rsidRPr="006C0789">
              <w:rPr>
                <w:b/>
                <w:i/>
                <w:sz w:val="18"/>
              </w:rPr>
              <w:instrText xml:space="preserve"> REF _Ref144802667 \r \h </w:instrText>
            </w:r>
            <w:r w:rsidR="006C0789" w:rsidRPr="006C0789">
              <w:rPr>
                <w:b/>
                <w:i/>
                <w:sz w:val="18"/>
              </w:rPr>
              <w:instrText xml:space="preserve"> \* MERGEFORMAT </w:instrText>
            </w:r>
            <w:r w:rsidRPr="006C0789">
              <w:rPr>
                <w:b/>
                <w:i/>
                <w:sz w:val="18"/>
              </w:rPr>
            </w:r>
            <w:r w:rsidRPr="006C0789">
              <w:rPr>
                <w:b/>
                <w:i/>
                <w:sz w:val="18"/>
              </w:rPr>
              <w:fldChar w:fldCharType="separate"/>
            </w:r>
            <w:r w:rsidR="00F25F8C" w:rsidRPr="006C0789">
              <w:rPr>
                <w:b/>
                <w:i/>
                <w:sz w:val="18"/>
              </w:rPr>
              <w:t>4.1</w:t>
            </w:r>
            <w:r w:rsidRPr="006C0789">
              <w:rPr>
                <w:b/>
                <w:i/>
                <w:sz w:val="18"/>
              </w:rPr>
              <w:fldChar w:fldCharType="end"/>
            </w:r>
          </w:p>
        </w:tc>
      </w:tr>
    </w:tbl>
    <w:p w14:paraId="2A9C9B3E" w14:textId="7AC4AEED" w:rsidR="006C0789" w:rsidRDefault="006C0789" w:rsidP="0004103A">
      <w:pPr>
        <w:pStyle w:val="Lgende"/>
      </w:pPr>
    </w:p>
    <w:p w14:paraId="6677AB50" w14:textId="77777777" w:rsidR="006C0789" w:rsidRDefault="006C0789">
      <w:pPr>
        <w:rPr>
          <w:rFonts w:eastAsia="BatangChe" w:cs="Angsana New"/>
          <w:b/>
          <w:bCs/>
          <w:kern w:val="2"/>
          <w:sz w:val="20"/>
          <w:szCs w:val="20"/>
          <w:lang w:eastAsia="ko-KR"/>
        </w:rPr>
      </w:pPr>
      <w:r>
        <w:br w:type="page"/>
      </w:r>
    </w:p>
    <w:p w14:paraId="54FC504C" w14:textId="1F4358C2" w:rsidR="0004103A" w:rsidRPr="00415E4C" w:rsidRDefault="00874128" w:rsidP="006B5342">
      <w:pPr>
        <w:pStyle w:val="Lgende"/>
        <w:jc w:val="left"/>
        <w:rPr>
          <w:highlight w:val="yellow"/>
        </w:rPr>
      </w:pPr>
      <w:bookmarkStart w:id="293" w:name="_Ref144827120"/>
      <w:bookmarkStart w:id="294" w:name="_Toc134537635"/>
      <w:bookmarkStart w:id="295" w:name="_Toc151967953"/>
      <w:r>
        <w:lastRenderedPageBreak/>
        <w:t>Table SI.</w:t>
      </w:r>
      <w:r w:rsidR="0004103A">
        <w:t xml:space="preserve"> </w:t>
      </w:r>
      <w:r>
        <w:fldChar w:fldCharType="begin"/>
      </w:r>
      <w:r>
        <w:instrText xml:space="preserve"> SEQ Table_SI. \* ARABIC </w:instrText>
      </w:r>
      <w:r>
        <w:fldChar w:fldCharType="separate"/>
      </w:r>
      <w:r w:rsidR="00F25F8C">
        <w:rPr>
          <w:noProof/>
        </w:rPr>
        <w:t>69</w:t>
      </w:r>
      <w:r>
        <w:fldChar w:fldCharType="end"/>
      </w:r>
      <w:bookmarkEnd w:id="293"/>
      <w:r w:rsidR="0004103A">
        <w:t xml:space="preserve"> </w:t>
      </w:r>
      <w:r w:rsidR="0004103A" w:rsidRPr="00415E4C">
        <w:t>– MP_shiftb pathway gas flows and energy performances illustrated for bovine manure</w:t>
      </w:r>
      <w:bookmarkEnd w:id="294"/>
      <w:bookmarkEnd w:id="295"/>
    </w:p>
    <w:tbl>
      <w:tblPr>
        <w:tblStyle w:val="Tableausimple2"/>
        <w:tblW w:w="0" w:type="auto"/>
        <w:tblLook w:val="04A0" w:firstRow="1" w:lastRow="0" w:firstColumn="1" w:lastColumn="0" w:noHBand="0" w:noVBand="1"/>
      </w:tblPr>
      <w:tblGrid>
        <w:gridCol w:w="1820"/>
        <w:gridCol w:w="1512"/>
        <w:gridCol w:w="1210"/>
        <w:gridCol w:w="1663"/>
        <w:gridCol w:w="1000"/>
        <w:gridCol w:w="1867"/>
      </w:tblGrid>
      <w:tr w:rsidR="0004103A" w:rsidRPr="006C0789" w14:paraId="1BB80E65" w14:textId="77777777" w:rsidTr="006B534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EA144FB" w14:textId="77777777" w:rsidR="0004103A" w:rsidRPr="006C0789" w:rsidRDefault="0004103A" w:rsidP="003B1307">
            <w:pPr>
              <w:jc w:val="right"/>
              <w:rPr>
                <w:sz w:val="18"/>
                <w:szCs w:val="18"/>
              </w:rPr>
            </w:pPr>
            <w:r w:rsidRPr="006C0789">
              <w:rPr>
                <w:sz w:val="18"/>
                <w:szCs w:val="18"/>
              </w:rPr>
              <w:t>Gas composition (%</w:t>
            </w:r>
            <w:r w:rsidRPr="006C0789">
              <w:rPr>
                <w:sz w:val="18"/>
                <w:szCs w:val="18"/>
                <w:vertAlign w:val="subscript"/>
              </w:rPr>
              <w:t>vol</w:t>
            </w:r>
            <w:r w:rsidRPr="006C0789">
              <w:rPr>
                <w:sz w:val="18"/>
                <w:szCs w:val="18"/>
              </w:rPr>
              <w:t>)</w:t>
            </w:r>
          </w:p>
        </w:tc>
        <w:tc>
          <w:tcPr>
            <w:tcW w:w="0" w:type="auto"/>
          </w:tcPr>
          <w:p w14:paraId="3BE03510" w14:textId="77777777" w:rsidR="0004103A" w:rsidRPr="006C0789" w:rsidRDefault="0004103A" w:rsidP="003B1307">
            <w:pPr>
              <w:cnfStyle w:val="100000000000" w:firstRow="1" w:lastRow="0" w:firstColumn="0" w:lastColumn="0" w:oddVBand="0" w:evenVBand="0" w:oddHBand="0" w:evenHBand="0" w:firstRowFirstColumn="0" w:firstRowLastColumn="0" w:lastRowFirstColumn="0" w:lastRowLastColumn="0"/>
              <w:rPr>
                <w:sz w:val="18"/>
                <w:szCs w:val="18"/>
              </w:rPr>
            </w:pPr>
            <w:r w:rsidRPr="006C0789">
              <w:rPr>
                <w:sz w:val="18"/>
                <w:szCs w:val="18"/>
              </w:rPr>
              <w:t>Biogas</w:t>
            </w:r>
            <w:r w:rsidRPr="006C0789">
              <w:rPr>
                <w:sz w:val="18"/>
                <w:szCs w:val="18"/>
                <w:vertAlign w:val="superscript"/>
              </w:rPr>
              <w:t>*</w:t>
            </w:r>
          </w:p>
        </w:tc>
        <w:tc>
          <w:tcPr>
            <w:tcW w:w="0" w:type="auto"/>
          </w:tcPr>
          <w:p w14:paraId="23608599" w14:textId="77777777" w:rsidR="0004103A" w:rsidRPr="006C0789" w:rsidRDefault="0004103A" w:rsidP="003B1307">
            <w:pPr>
              <w:cnfStyle w:val="100000000000" w:firstRow="1" w:lastRow="0" w:firstColumn="0" w:lastColumn="0" w:oddVBand="0" w:evenVBand="0" w:oddHBand="0" w:evenHBand="0" w:firstRowFirstColumn="0" w:firstRowLastColumn="0" w:lastRowFirstColumn="0" w:lastRowLastColumn="0"/>
              <w:rPr>
                <w:sz w:val="18"/>
                <w:szCs w:val="18"/>
              </w:rPr>
            </w:pPr>
            <w:r w:rsidRPr="006C0789">
              <w:rPr>
                <w:sz w:val="18"/>
                <w:szCs w:val="18"/>
              </w:rPr>
              <w:t>Reformed gas</w:t>
            </w:r>
          </w:p>
        </w:tc>
        <w:tc>
          <w:tcPr>
            <w:tcW w:w="0" w:type="auto"/>
          </w:tcPr>
          <w:p w14:paraId="48F20FCE" w14:textId="77777777" w:rsidR="0004103A" w:rsidRPr="006C0789" w:rsidRDefault="0004103A" w:rsidP="003B1307">
            <w:pPr>
              <w:cnfStyle w:val="100000000000" w:firstRow="1" w:lastRow="0" w:firstColumn="0" w:lastColumn="0" w:oddVBand="0" w:evenVBand="0" w:oddHBand="0" w:evenHBand="0" w:firstRowFirstColumn="0" w:firstRowLastColumn="0" w:lastRowFirstColumn="0" w:lastRowLastColumn="0"/>
              <w:rPr>
                <w:sz w:val="18"/>
                <w:szCs w:val="18"/>
              </w:rPr>
            </w:pPr>
            <w:r w:rsidRPr="006C0789">
              <w:rPr>
                <w:sz w:val="18"/>
                <w:szCs w:val="18"/>
              </w:rPr>
              <w:t>Cooled reformed gas</w:t>
            </w:r>
          </w:p>
        </w:tc>
        <w:tc>
          <w:tcPr>
            <w:tcW w:w="0" w:type="auto"/>
          </w:tcPr>
          <w:p w14:paraId="095527C8" w14:textId="77777777" w:rsidR="0004103A" w:rsidRPr="006C0789" w:rsidRDefault="0004103A" w:rsidP="003B1307">
            <w:pPr>
              <w:cnfStyle w:val="100000000000" w:firstRow="1" w:lastRow="0" w:firstColumn="0" w:lastColumn="0" w:oddVBand="0" w:evenVBand="0" w:oddHBand="0" w:evenHBand="0" w:firstRowFirstColumn="0" w:firstRowLastColumn="0" w:lastRowFirstColumn="0" w:lastRowLastColumn="0"/>
              <w:rPr>
                <w:sz w:val="18"/>
                <w:szCs w:val="18"/>
              </w:rPr>
            </w:pPr>
            <w:r w:rsidRPr="006C0789">
              <w:rPr>
                <w:sz w:val="18"/>
                <w:szCs w:val="18"/>
              </w:rPr>
              <w:t>Shifted gas</w:t>
            </w:r>
          </w:p>
        </w:tc>
        <w:tc>
          <w:tcPr>
            <w:tcW w:w="0" w:type="auto"/>
          </w:tcPr>
          <w:p w14:paraId="22E3E43F" w14:textId="77777777" w:rsidR="0004103A" w:rsidRPr="006C0789" w:rsidRDefault="0004103A" w:rsidP="003B1307">
            <w:pPr>
              <w:cnfStyle w:val="100000000000" w:firstRow="1" w:lastRow="0" w:firstColumn="0" w:lastColumn="0" w:oddVBand="0" w:evenVBand="0" w:oddHBand="0" w:evenHBand="0" w:firstRowFirstColumn="0" w:firstRowLastColumn="0" w:lastRowFirstColumn="0" w:lastRowLastColumn="0"/>
              <w:rPr>
                <w:sz w:val="18"/>
                <w:szCs w:val="18"/>
              </w:rPr>
            </w:pPr>
            <w:r w:rsidRPr="006C0789">
              <w:rPr>
                <w:sz w:val="18"/>
                <w:szCs w:val="18"/>
              </w:rPr>
              <w:t>Cooled shifted gas</w:t>
            </w:r>
          </w:p>
        </w:tc>
      </w:tr>
      <w:tr w:rsidR="0004103A" w:rsidRPr="006C0789" w14:paraId="105A8295"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F0CF36F" w14:textId="77777777" w:rsidR="0004103A" w:rsidRPr="006C0789" w:rsidRDefault="0004103A" w:rsidP="003B1307">
            <w:pPr>
              <w:jc w:val="right"/>
              <w:rPr>
                <w:b w:val="0"/>
                <w:sz w:val="18"/>
                <w:szCs w:val="18"/>
              </w:rPr>
            </w:pPr>
            <w:r w:rsidRPr="006C0789">
              <w:rPr>
                <w:b w:val="0"/>
                <w:sz w:val="18"/>
                <w:szCs w:val="18"/>
              </w:rPr>
              <w:t>H</w:t>
            </w:r>
            <w:r w:rsidRPr="006C0789">
              <w:rPr>
                <w:b w:val="0"/>
                <w:sz w:val="18"/>
                <w:szCs w:val="18"/>
                <w:vertAlign w:val="subscript"/>
              </w:rPr>
              <w:t>2</w:t>
            </w:r>
          </w:p>
        </w:tc>
        <w:tc>
          <w:tcPr>
            <w:tcW w:w="0" w:type="auto"/>
          </w:tcPr>
          <w:p w14:paraId="2EE3D2C0"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0%</w:t>
            </w:r>
          </w:p>
        </w:tc>
        <w:tc>
          <w:tcPr>
            <w:tcW w:w="0" w:type="auto"/>
          </w:tcPr>
          <w:p w14:paraId="7518D91A"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41%</w:t>
            </w:r>
          </w:p>
        </w:tc>
        <w:tc>
          <w:tcPr>
            <w:tcW w:w="0" w:type="auto"/>
          </w:tcPr>
          <w:p w14:paraId="554DB3FA"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41%</w:t>
            </w:r>
          </w:p>
        </w:tc>
        <w:tc>
          <w:tcPr>
            <w:tcW w:w="0" w:type="auto"/>
          </w:tcPr>
          <w:p w14:paraId="20FE6FA3"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50%</w:t>
            </w:r>
          </w:p>
        </w:tc>
        <w:tc>
          <w:tcPr>
            <w:tcW w:w="0" w:type="auto"/>
          </w:tcPr>
          <w:p w14:paraId="5C0D96AE"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68.5%</w:t>
            </w:r>
          </w:p>
        </w:tc>
      </w:tr>
      <w:tr w:rsidR="0004103A" w:rsidRPr="006C0789" w14:paraId="4BBEE9B2"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7B503AC8" w14:textId="77777777" w:rsidR="0004103A" w:rsidRPr="006C0789" w:rsidRDefault="0004103A" w:rsidP="003B1307">
            <w:pPr>
              <w:jc w:val="right"/>
              <w:rPr>
                <w:b w:val="0"/>
                <w:sz w:val="18"/>
                <w:szCs w:val="18"/>
              </w:rPr>
            </w:pPr>
            <w:r w:rsidRPr="006C0789">
              <w:rPr>
                <w:b w:val="0"/>
                <w:sz w:val="18"/>
                <w:szCs w:val="18"/>
              </w:rPr>
              <w:t>CO</w:t>
            </w:r>
          </w:p>
        </w:tc>
        <w:tc>
          <w:tcPr>
            <w:tcW w:w="0" w:type="auto"/>
          </w:tcPr>
          <w:p w14:paraId="4FEC14C0"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0%</w:t>
            </w:r>
          </w:p>
        </w:tc>
        <w:tc>
          <w:tcPr>
            <w:tcW w:w="0" w:type="auto"/>
          </w:tcPr>
          <w:p w14:paraId="2EE4DA99"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13.5%</w:t>
            </w:r>
          </w:p>
        </w:tc>
        <w:tc>
          <w:tcPr>
            <w:tcW w:w="0" w:type="auto"/>
          </w:tcPr>
          <w:p w14:paraId="1CA2F90D"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13.5%</w:t>
            </w:r>
          </w:p>
        </w:tc>
        <w:tc>
          <w:tcPr>
            <w:tcW w:w="0" w:type="auto"/>
          </w:tcPr>
          <w:p w14:paraId="3339168E"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2%</w:t>
            </w:r>
          </w:p>
        </w:tc>
        <w:tc>
          <w:tcPr>
            <w:tcW w:w="0" w:type="auto"/>
          </w:tcPr>
          <w:p w14:paraId="30230D38"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2.5%</w:t>
            </w:r>
          </w:p>
        </w:tc>
      </w:tr>
      <w:tr w:rsidR="0004103A" w:rsidRPr="006C0789" w14:paraId="5CFD3678"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6182F06" w14:textId="77777777" w:rsidR="0004103A" w:rsidRPr="006C0789" w:rsidRDefault="0004103A" w:rsidP="003B1307">
            <w:pPr>
              <w:jc w:val="right"/>
              <w:rPr>
                <w:b w:val="0"/>
                <w:sz w:val="18"/>
                <w:szCs w:val="18"/>
              </w:rPr>
            </w:pPr>
            <w:r w:rsidRPr="006C0789">
              <w:rPr>
                <w:b w:val="0"/>
                <w:sz w:val="18"/>
                <w:szCs w:val="18"/>
              </w:rPr>
              <w:t>H</w:t>
            </w:r>
            <w:r w:rsidRPr="006C0789">
              <w:rPr>
                <w:b w:val="0"/>
                <w:sz w:val="18"/>
                <w:szCs w:val="18"/>
                <w:vertAlign w:val="subscript"/>
              </w:rPr>
              <w:t>2</w:t>
            </w:r>
            <w:r w:rsidRPr="006C0789">
              <w:rPr>
                <w:b w:val="0"/>
                <w:sz w:val="18"/>
                <w:szCs w:val="18"/>
              </w:rPr>
              <w:t>O</w:t>
            </w:r>
          </w:p>
        </w:tc>
        <w:tc>
          <w:tcPr>
            <w:tcW w:w="0" w:type="auto"/>
          </w:tcPr>
          <w:p w14:paraId="18D0DF76"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0%</w:t>
            </w:r>
          </w:p>
        </w:tc>
        <w:tc>
          <w:tcPr>
            <w:tcW w:w="0" w:type="auto"/>
          </w:tcPr>
          <w:p w14:paraId="20196319"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34.5%</w:t>
            </w:r>
          </w:p>
        </w:tc>
        <w:tc>
          <w:tcPr>
            <w:tcW w:w="0" w:type="auto"/>
          </w:tcPr>
          <w:p w14:paraId="08FB7686"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34.5%</w:t>
            </w:r>
          </w:p>
        </w:tc>
        <w:tc>
          <w:tcPr>
            <w:tcW w:w="0" w:type="auto"/>
          </w:tcPr>
          <w:p w14:paraId="31FEAE40"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26.5%</w:t>
            </w:r>
          </w:p>
        </w:tc>
        <w:tc>
          <w:tcPr>
            <w:tcW w:w="0" w:type="auto"/>
          </w:tcPr>
          <w:p w14:paraId="126F903D"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0%</w:t>
            </w:r>
          </w:p>
        </w:tc>
      </w:tr>
      <w:tr w:rsidR="0004103A" w:rsidRPr="006C0789" w14:paraId="1B3050EC"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791F9047" w14:textId="77777777" w:rsidR="0004103A" w:rsidRPr="006C0789" w:rsidRDefault="0004103A" w:rsidP="003B1307">
            <w:pPr>
              <w:jc w:val="right"/>
              <w:rPr>
                <w:b w:val="0"/>
                <w:sz w:val="18"/>
                <w:szCs w:val="18"/>
              </w:rPr>
            </w:pPr>
            <w:r w:rsidRPr="006C0789">
              <w:rPr>
                <w:b w:val="0"/>
                <w:sz w:val="18"/>
                <w:szCs w:val="18"/>
              </w:rPr>
              <w:t>CO</w:t>
            </w:r>
            <w:r w:rsidRPr="006C0789">
              <w:rPr>
                <w:b w:val="0"/>
                <w:sz w:val="18"/>
                <w:szCs w:val="18"/>
                <w:vertAlign w:val="subscript"/>
              </w:rPr>
              <w:t>2</w:t>
            </w:r>
          </w:p>
        </w:tc>
        <w:tc>
          <w:tcPr>
            <w:tcW w:w="0" w:type="auto"/>
          </w:tcPr>
          <w:p w14:paraId="4AEEE935"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34%</w:t>
            </w:r>
          </w:p>
        </w:tc>
        <w:tc>
          <w:tcPr>
            <w:tcW w:w="0" w:type="auto"/>
          </w:tcPr>
          <w:p w14:paraId="4A756202"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8.5%</w:t>
            </w:r>
          </w:p>
        </w:tc>
        <w:tc>
          <w:tcPr>
            <w:tcW w:w="0" w:type="auto"/>
          </w:tcPr>
          <w:p w14:paraId="143DB2B5"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8.5%</w:t>
            </w:r>
          </w:p>
        </w:tc>
        <w:tc>
          <w:tcPr>
            <w:tcW w:w="0" w:type="auto"/>
          </w:tcPr>
          <w:p w14:paraId="1DFD8446"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19%</w:t>
            </w:r>
          </w:p>
        </w:tc>
        <w:tc>
          <w:tcPr>
            <w:tcW w:w="0" w:type="auto"/>
          </w:tcPr>
          <w:p w14:paraId="21C845F3"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26%</w:t>
            </w:r>
          </w:p>
        </w:tc>
      </w:tr>
      <w:tr w:rsidR="0004103A" w:rsidRPr="006C0789" w14:paraId="5F040110"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79D38D0" w14:textId="77777777" w:rsidR="0004103A" w:rsidRPr="006C0789" w:rsidRDefault="0004103A" w:rsidP="003B1307">
            <w:pPr>
              <w:jc w:val="right"/>
              <w:rPr>
                <w:b w:val="0"/>
                <w:sz w:val="18"/>
                <w:szCs w:val="18"/>
              </w:rPr>
            </w:pPr>
            <w:r w:rsidRPr="006C0789">
              <w:rPr>
                <w:b w:val="0"/>
                <w:sz w:val="18"/>
                <w:szCs w:val="18"/>
              </w:rPr>
              <w:t>CH</w:t>
            </w:r>
            <w:r w:rsidRPr="006C0789">
              <w:rPr>
                <w:b w:val="0"/>
                <w:sz w:val="18"/>
                <w:szCs w:val="18"/>
                <w:vertAlign w:val="subscript"/>
              </w:rPr>
              <w:t>4</w:t>
            </w:r>
          </w:p>
        </w:tc>
        <w:tc>
          <w:tcPr>
            <w:tcW w:w="0" w:type="auto"/>
          </w:tcPr>
          <w:p w14:paraId="55995D8D"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66%</w:t>
            </w:r>
          </w:p>
        </w:tc>
        <w:tc>
          <w:tcPr>
            <w:tcW w:w="0" w:type="auto"/>
          </w:tcPr>
          <w:p w14:paraId="77A6C9D4"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2.5%</w:t>
            </w:r>
          </w:p>
        </w:tc>
        <w:tc>
          <w:tcPr>
            <w:tcW w:w="0" w:type="auto"/>
          </w:tcPr>
          <w:p w14:paraId="5499C186"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2.5%</w:t>
            </w:r>
          </w:p>
        </w:tc>
        <w:tc>
          <w:tcPr>
            <w:tcW w:w="0" w:type="auto"/>
          </w:tcPr>
          <w:p w14:paraId="29A22718"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2.5%</w:t>
            </w:r>
          </w:p>
        </w:tc>
        <w:tc>
          <w:tcPr>
            <w:tcW w:w="0" w:type="auto"/>
          </w:tcPr>
          <w:p w14:paraId="4CC28F65"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3%</w:t>
            </w:r>
          </w:p>
        </w:tc>
      </w:tr>
      <w:tr w:rsidR="0004103A" w:rsidRPr="006C0789" w14:paraId="153C78B5"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37A9A7D1" w14:textId="77777777" w:rsidR="0004103A" w:rsidRPr="006C0789" w:rsidRDefault="0004103A" w:rsidP="003B1307">
            <w:pPr>
              <w:jc w:val="right"/>
              <w:rPr>
                <w:sz w:val="18"/>
                <w:szCs w:val="18"/>
              </w:rPr>
            </w:pPr>
            <w:r w:rsidRPr="006C0789">
              <w:rPr>
                <w:sz w:val="18"/>
                <w:szCs w:val="18"/>
              </w:rPr>
              <w:t>Characteristics</w:t>
            </w:r>
          </w:p>
        </w:tc>
        <w:tc>
          <w:tcPr>
            <w:tcW w:w="0" w:type="auto"/>
            <w:gridSpan w:val="5"/>
          </w:tcPr>
          <w:p w14:paraId="0297D113"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b/>
                <w:sz w:val="18"/>
                <w:szCs w:val="18"/>
              </w:rPr>
            </w:pPr>
          </w:p>
        </w:tc>
      </w:tr>
      <w:tr w:rsidR="0004103A" w:rsidRPr="006C0789" w14:paraId="1836A33A"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BEF7113" w14:textId="77777777" w:rsidR="0004103A" w:rsidRPr="006C0789" w:rsidRDefault="0004103A" w:rsidP="003B1307">
            <w:pPr>
              <w:jc w:val="right"/>
              <w:rPr>
                <w:b w:val="0"/>
                <w:sz w:val="18"/>
                <w:szCs w:val="18"/>
              </w:rPr>
            </w:pPr>
            <w:r w:rsidRPr="006C0789">
              <w:rPr>
                <w:b w:val="0"/>
                <w:sz w:val="18"/>
                <w:szCs w:val="18"/>
              </w:rPr>
              <w:t>Nm</w:t>
            </w:r>
            <w:r w:rsidRPr="006C0789">
              <w:rPr>
                <w:b w:val="0"/>
                <w:sz w:val="18"/>
                <w:szCs w:val="18"/>
                <w:vertAlign w:val="superscript"/>
              </w:rPr>
              <w:t>3</w:t>
            </w:r>
            <w:r w:rsidRPr="006C0789">
              <w:rPr>
                <w:b w:val="0"/>
                <w:sz w:val="18"/>
                <w:szCs w:val="18"/>
              </w:rPr>
              <w:t>.t</w:t>
            </w:r>
            <w:r w:rsidRPr="006C0789">
              <w:rPr>
                <w:b w:val="0"/>
                <w:sz w:val="18"/>
                <w:szCs w:val="18"/>
                <w:vertAlign w:val="subscript"/>
              </w:rPr>
              <w:t>ww</w:t>
            </w:r>
            <w:r w:rsidRPr="006C0789">
              <w:rPr>
                <w:b w:val="0"/>
                <w:sz w:val="18"/>
                <w:szCs w:val="18"/>
                <w:vertAlign w:val="superscript"/>
              </w:rPr>
              <w:t>-1</w:t>
            </w:r>
          </w:p>
        </w:tc>
        <w:tc>
          <w:tcPr>
            <w:tcW w:w="0" w:type="auto"/>
          </w:tcPr>
          <w:p w14:paraId="3BD1D506"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96</w:t>
            </w:r>
          </w:p>
        </w:tc>
        <w:tc>
          <w:tcPr>
            <w:tcW w:w="0" w:type="auto"/>
          </w:tcPr>
          <w:p w14:paraId="7BE608F7"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391</w:t>
            </w:r>
          </w:p>
        </w:tc>
        <w:tc>
          <w:tcPr>
            <w:tcW w:w="0" w:type="auto"/>
          </w:tcPr>
          <w:p w14:paraId="42F2D801"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391</w:t>
            </w:r>
          </w:p>
        </w:tc>
        <w:tc>
          <w:tcPr>
            <w:tcW w:w="0" w:type="auto"/>
          </w:tcPr>
          <w:p w14:paraId="795563F8"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405</w:t>
            </w:r>
          </w:p>
        </w:tc>
        <w:tc>
          <w:tcPr>
            <w:tcW w:w="0" w:type="auto"/>
          </w:tcPr>
          <w:p w14:paraId="5BE9177B"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298</w:t>
            </w:r>
          </w:p>
        </w:tc>
      </w:tr>
      <w:tr w:rsidR="0004103A" w:rsidRPr="006C0789" w14:paraId="35E0A824"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03209DDF" w14:textId="77777777" w:rsidR="0004103A" w:rsidRPr="006C0789" w:rsidRDefault="0004103A" w:rsidP="003B1307">
            <w:pPr>
              <w:jc w:val="right"/>
              <w:rPr>
                <w:b w:val="0"/>
                <w:sz w:val="18"/>
                <w:szCs w:val="18"/>
              </w:rPr>
            </w:pPr>
            <w:r w:rsidRPr="006C0789">
              <w:rPr>
                <w:b w:val="0"/>
                <w:sz w:val="18"/>
                <w:szCs w:val="18"/>
              </w:rPr>
              <w:t>GJ</w:t>
            </w:r>
            <w:r w:rsidRPr="006C0789">
              <w:rPr>
                <w:b w:val="0"/>
                <w:sz w:val="18"/>
                <w:szCs w:val="18"/>
                <w:vertAlign w:val="subscript"/>
              </w:rPr>
              <w:t>HHV</w:t>
            </w:r>
            <w:r w:rsidRPr="006C0789">
              <w:rPr>
                <w:b w:val="0"/>
                <w:sz w:val="18"/>
                <w:szCs w:val="18"/>
              </w:rPr>
              <w:t>.t</w:t>
            </w:r>
            <w:r w:rsidRPr="006C0789">
              <w:rPr>
                <w:b w:val="0"/>
                <w:sz w:val="18"/>
                <w:szCs w:val="18"/>
                <w:vertAlign w:val="subscript"/>
              </w:rPr>
              <w:t>ww</w:t>
            </w:r>
            <w:r w:rsidRPr="006C0789">
              <w:rPr>
                <w:b w:val="0"/>
                <w:sz w:val="18"/>
                <w:szCs w:val="18"/>
                <w:vertAlign w:val="superscript"/>
              </w:rPr>
              <w:t>-1</w:t>
            </w:r>
          </w:p>
        </w:tc>
        <w:tc>
          <w:tcPr>
            <w:tcW w:w="0" w:type="auto"/>
          </w:tcPr>
          <w:p w14:paraId="15553786"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2.4</w:t>
            </w:r>
          </w:p>
        </w:tc>
        <w:tc>
          <w:tcPr>
            <w:tcW w:w="0" w:type="auto"/>
          </w:tcPr>
          <w:p w14:paraId="013FDC6A"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3.5</w:t>
            </w:r>
            <w:r w:rsidRPr="006C0789">
              <w:rPr>
                <w:sz w:val="18"/>
                <w:szCs w:val="18"/>
                <w:vertAlign w:val="superscript"/>
              </w:rPr>
              <w:t>**</w:t>
            </w:r>
          </w:p>
        </w:tc>
        <w:tc>
          <w:tcPr>
            <w:tcW w:w="0" w:type="auto"/>
          </w:tcPr>
          <w:p w14:paraId="09F772A0"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3.1</w:t>
            </w:r>
            <w:r w:rsidRPr="006C0789">
              <w:rPr>
                <w:sz w:val="18"/>
                <w:szCs w:val="18"/>
                <w:vertAlign w:val="superscript"/>
              </w:rPr>
              <w:t>**</w:t>
            </w:r>
          </w:p>
        </w:tc>
        <w:tc>
          <w:tcPr>
            <w:tcW w:w="0" w:type="auto"/>
          </w:tcPr>
          <w:p w14:paraId="74F52CBB"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3.1</w:t>
            </w:r>
            <w:r w:rsidRPr="006C0789">
              <w:rPr>
                <w:sz w:val="18"/>
                <w:szCs w:val="18"/>
                <w:vertAlign w:val="superscript"/>
              </w:rPr>
              <w:t>**</w:t>
            </w:r>
          </w:p>
        </w:tc>
        <w:tc>
          <w:tcPr>
            <w:tcW w:w="0" w:type="auto"/>
          </w:tcPr>
          <w:p w14:paraId="7CC1E7A5"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2.9</w:t>
            </w:r>
            <w:r w:rsidRPr="006C0789">
              <w:rPr>
                <w:sz w:val="18"/>
                <w:szCs w:val="18"/>
                <w:vertAlign w:val="superscript"/>
              </w:rPr>
              <w:t>**</w:t>
            </w:r>
          </w:p>
        </w:tc>
      </w:tr>
      <w:tr w:rsidR="0004103A" w:rsidRPr="006C0789" w14:paraId="4D5BE985"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69F4905" w14:textId="77777777" w:rsidR="0004103A" w:rsidRPr="006C0789" w:rsidRDefault="0004103A" w:rsidP="003B1307">
            <w:pPr>
              <w:jc w:val="right"/>
              <w:rPr>
                <w:b w:val="0"/>
                <w:sz w:val="18"/>
                <w:szCs w:val="18"/>
              </w:rPr>
            </w:pPr>
            <w:r w:rsidRPr="006C0789">
              <w:rPr>
                <w:b w:val="0"/>
                <w:sz w:val="18"/>
                <w:szCs w:val="18"/>
              </w:rPr>
              <w:t>MJ</w:t>
            </w:r>
            <w:r w:rsidRPr="006C0789">
              <w:rPr>
                <w:b w:val="0"/>
                <w:sz w:val="18"/>
                <w:szCs w:val="18"/>
                <w:vertAlign w:val="subscript"/>
              </w:rPr>
              <w:t>HHV</w:t>
            </w:r>
            <w:r w:rsidRPr="006C0789">
              <w:rPr>
                <w:b w:val="0"/>
                <w:sz w:val="18"/>
                <w:szCs w:val="18"/>
              </w:rPr>
              <w:t>.Nm</w:t>
            </w:r>
            <w:r w:rsidRPr="006C0789">
              <w:rPr>
                <w:b w:val="0"/>
                <w:sz w:val="18"/>
                <w:szCs w:val="18"/>
                <w:vertAlign w:val="superscript"/>
              </w:rPr>
              <w:t>-3</w:t>
            </w:r>
          </w:p>
        </w:tc>
        <w:tc>
          <w:tcPr>
            <w:tcW w:w="0" w:type="auto"/>
          </w:tcPr>
          <w:p w14:paraId="27C0F36C"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25</w:t>
            </w:r>
          </w:p>
        </w:tc>
        <w:tc>
          <w:tcPr>
            <w:tcW w:w="0" w:type="auto"/>
          </w:tcPr>
          <w:p w14:paraId="30474F53"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8.9</w:t>
            </w:r>
            <w:r w:rsidRPr="006C0789">
              <w:rPr>
                <w:sz w:val="18"/>
                <w:szCs w:val="18"/>
                <w:vertAlign w:val="superscript"/>
              </w:rPr>
              <w:t>**</w:t>
            </w:r>
          </w:p>
        </w:tc>
        <w:tc>
          <w:tcPr>
            <w:tcW w:w="0" w:type="auto"/>
          </w:tcPr>
          <w:p w14:paraId="3ABAFBDE"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8</w:t>
            </w:r>
            <w:r w:rsidRPr="006C0789">
              <w:rPr>
                <w:sz w:val="18"/>
                <w:szCs w:val="18"/>
                <w:vertAlign w:val="superscript"/>
              </w:rPr>
              <w:t>**</w:t>
            </w:r>
          </w:p>
        </w:tc>
        <w:tc>
          <w:tcPr>
            <w:tcW w:w="0" w:type="auto"/>
          </w:tcPr>
          <w:p w14:paraId="325D4FE3"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7.7</w:t>
            </w:r>
            <w:r w:rsidRPr="006C0789">
              <w:rPr>
                <w:sz w:val="18"/>
                <w:szCs w:val="18"/>
                <w:vertAlign w:val="superscript"/>
              </w:rPr>
              <w:t>**</w:t>
            </w:r>
          </w:p>
        </w:tc>
        <w:tc>
          <w:tcPr>
            <w:tcW w:w="0" w:type="auto"/>
          </w:tcPr>
          <w:p w14:paraId="40CE81F2"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9.7</w:t>
            </w:r>
            <w:r w:rsidRPr="006C0789">
              <w:rPr>
                <w:sz w:val="18"/>
                <w:szCs w:val="18"/>
                <w:vertAlign w:val="superscript"/>
              </w:rPr>
              <w:t>**</w:t>
            </w:r>
          </w:p>
        </w:tc>
      </w:tr>
      <w:tr w:rsidR="0004103A" w:rsidRPr="006C0789" w14:paraId="5C8E5BD0"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5A1A6D87" w14:textId="77777777" w:rsidR="0004103A" w:rsidRPr="006C0789" w:rsidRDefault="0004103A" w:rsidP="003B1307">
            <w:pPr>
              <w:jc w:val="right"/>
              <w:rPr>
                <w:b w:val="0"/>
                <w:sz w:val="18"/>
                <w:szCs w:val="18"/>
              </w:rPr>
            </w:pPr>
            <w:r w:rsidRPr="006C0789">
              <w:rPr>
                <w:b w:val="0"/>
                <w:sz w:val="18"/>
                <w:szCs w:val="18"/>
              </w:rPr>
              <w:t>HGE %</w:t>
            </w:r>
            <w:r w:rsidRPr="006C0789">
              <w:rPr>
                <w:b w:val="0"/>
                <w:sz w:val="18"/>
                <w:szCs w:val="18"/>
                <w:vertAlign w:val="subscript"/>
              </w:rPr>
              <w:t>HHVin</w:t>
            </w:r>
          </w:p>
        </w:tc>
        <w:tc>
          <w:tcPr>
            <w:tcW w:w="0" w:type="auto"/>
          </w:tcPr>
          <w:p w14:paraId="42E8C88E"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46%</w:t>
            </w:r>
          </w:p>
        </w:tc>
        <w:tc>
          <w:tcPr>
            <w:tcW w:w="0" w:type="auto"/>
          </w:tcPr>
          <w:p w14:paraId="7762DABB"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64%</w:t>
            </w:r>
            <w:r w:rsidRPr="006C0789">
              <w:rPr>
                <w:sz w:val="18"/>
                <w:szCs w:val="18"/>
                <w:vertAlign w:val="superscript"/>
              </w:rPr>
              <w:t>**</w:t>
            </w:r>
          </w:p>
        </w:tc>
        <w:tc>
          <w:tcPr>
            <w:tcW w:w="0" w:type="auto"/>
          </w:tcPr>
          <w:p w14:paraId="266E2E66"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56%</w:t>
            </w:r>
            <w:r w:rsidRPr="006C0789">
              <w:rPr>
                <w:sz w:val="18"/>
                <w:szCs w:val="18"/>
                <w:vertAlign w:val="superscript"/>
              </w:rPr>
              <w:t>**</w:t>
            </w:r>
          </w:p>
        </w:tc>
        <w:tc>
          <w:tcPr>
            <w:tcW w:w="0" w:type="auto"/>
          </w:tcPr>
          <w:p w14:paraId="6BF6B946"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56%</w:t>
            </w:r>
            <w:r w:rsidRPr="006C0789">
              <w:rPr>
                <w:sz w:val="18"/>
                <w:szCs w:val="18"/>
                <w:vertAlign w:val="superscript"/>
              </w:rPr>
              <w:t>**</w:t>
            </w:r>
          </w:p>
        </w:tc>
        <w:tc>
          <w:tcPr>
            <w:tcW w:w="0" w:type="auto"/>
          </w:tcPr>
          <w:p w14:paraId="732E9170"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52%</w:t>
            </w:r>
            <w:r w:rsidRPr="006C0789">
              <w:rPr>
                <w:sz w:val="18"/>
                <w:szCs w:val="18"/>
                <w:vertAlign w:val="superscript"/>
              </w:rPr>
              <w:t>**</w:t>
            </w:r>
          </w:p>
        </w:tc>
      </w:tr>
      <w:tr w:rsidR="0004103A" w:rsidRPr="006C0789" w14:paraId="4FC6E406" w14:textId="77777777" w:rsidTr="006B534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C652A94" w14:textId="77777777" w:rsidR="0004103A" w:rsidRPr="006C0789" w:rsidRDefault="0004103A" w:rsidP="003B1307">
            <w:pPr>
              <w:jc w:val="right"/>
              <w:rPr>
                <w:b w:val="0"/>
                <w:sz w:val="18"/>
                <w:szCs w:val="18"/>
              </w:rPr>
            </w:pPr>
            <w:r w:rsidRPr="006C0789">
              <w:rPr>
                <w:b w:val="0"/>
                <w:sz w:val="18"/>
                <w:szCs w:val="18"/>
              </w:rPr>
              <w:t>°C</w:t>
            </w:r>
          </w:p>
        </w:tc>
        <w:tc>
          <w:tcPr>
            <w:tcW w:w="0" w:type="auto"/>
          </w:tcPr>
          <w:p w14:paraId="301F5ED0"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37</w:t>
            </w:r>
          </w:p>
        </w:tc>
        <w:tc>
          <w:tcPr>
            <w:tcW w:w="0" w:type="auto"/>
          </w:tcPr>
          <w:p w14:paraId="3E850C62"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900</w:t>
            </w:r>
          </w:p>
        </w:tc>
        <w:tc>
          <w:tcPr>
            <w:tcW w:w="0" w:type="auto"/>
          </w:tcPr>
          <w:p w14:paraId="1138D5A2"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340</w:t>
            </w:r>
          </w:p>
        </w:tc>
        <w:tc>
          <w:tcPr>
            <w:tcW w:w="0" w:type="auto"/>
          </w:tcPr>
          <w:p w14:paraId="4C686D03"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340</w:t>
            </w:r>
          </w:p>
        </w:tc>
        <w:tc>
          <w:tcPr>
            <w:tcW w:w="0" w:type="auto"/>
          </w:tcPr>
          <w:p w14:paraId="5D2AD8AA" w14:textId="77777777" w:rsidR="0004103A" w:rsidRPr="006C0789" w:rsidRDefault="0004103A"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35°C</w:t>
            </w:r>
          </w:p>
        </w:tc>
      </w:tr>
      <w:tr w:rsidR="0004103A" w:rsidRPr="006C0789" w14:paraId="21894CE4" w14:textId="77777777" w:rsidTr="006B5342">
        <w:tc>
          <w:tcPr>
            <w:cnfStyle w:val="001000000000" w:firstRow="0" w:lastRow="0" w:firstColumn="1" w:lastColumn="0" w:oddVBand="0" w:evenVBand="0" w:oddHBand="0" w:evenHBand="0" w:firstRowFirstColumn="0" w:firstRowLastColumn="0" w:lastRowFirstColumn="0" w:lastRowLastColumn="0"/>
            <w:tcW w:w="0" w:type="auto"/>
          </w:tcPr>
          <w:p w14:paraId="1C269419" w14:textId="77777777" w:rsidR="0004103A" w:rsidRPr="006C0789" w:rsidRDefault="0004103A" w:rsidP="003B1307">
            <w:pPr>
              <w:jc w:val="right"/>
              <w:rPr>
                <w:b w:val="0"/>
                <w:i/>
                <w:sz w:val="18"/>
                <w:szCs w:val="18"/>
              </w:rPr>
            </w:pPr>
            <w:r w:rsidRPr="006C0789">
              <w:rPr>
                <w:b w:val="0"/>
                <w:i/>
                <w:sz w:val="18"/>
                <w:szCs w:val="18"/>
              </w:rPr>
              <w:t>Comment</w:t>
            </w:r>
          </w:p>
        </w:tc>
        <w:tc>
          <w:tcPr>
            <w:tcW w:w="0" w:type="auto"/>
          </w:tcPr>
          <w:p w14:paraId="0F0C355D"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i/>
                <w:sz w:val="18"/>
                <w:szCs w:val="18"/>
              </w:rPr>
            </w:pPr>
            <w:r w:rsidRPr="006C0789">
              <w:rPr>
                <w:i/>
                <w:sz w:val="18"/>
                <w:szCs w:val="18"/>
              </w:rPr>
              <w:t>Composition fixed.</w:t>
            </w:r>
          </w:p>
        </w:tc>
        <w:tc>
          <w:tcPr>
            <w:tcW w:w="0" w:type="auto"/>
          </w:tcPr>
          <w:p w14:paraId="6267DFB0"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i/>
                <w:sz w:val="18"/>
                <w:szCs w:val="18"/>
              </w:rPr>
            </w:pPr>
          </w:p>
        </w:tc>
        <w:tc>
          <w:tcPr>
            <w:tcW w:w="0" w:type="auto"/>
          </w:tcPr>
          <w:p w14:paraId="45FD57E7"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i/>
                <w:sz w:val="18"/>
                <w:szCs w:val="18"/>
              </w:rPr>
            </w:pPr>
          </w:p>
        </w:tc>
        <w:tc>
          <w:tcPr>
            <w:tcW w:w="0" w:type="auto"/>
          </w:tcPr>
          <w:p w14:paraId="23220127"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i/>
                <w:sz w:val="18"/>
                <w:szCs w:val="18"/>
              </w:rPr>
            </w:pPr>
          </w:p>
        </w:tc>
        <w:tc>
          <w:tcPr>
            <w:tcW w:w="0" w:type="auto"/>
          </w:tcPr>
          <w:p w14:paraId="6A92EC8A" w14:textId="77777777" w:rsidR="0004103A" w:rsidRPr="006C0789" w:rsidRDefault="0004103A" w:rsidP="003B1307">
            <w:pPr>
              <w:cnfStyle w:val="000000000000" w:firstRow="0" w:lastRow="0" w:firstColumn="0" w:lastColumn="0" w:oddVBand="0" w:evenVBand="0" w:oddHBand="0" w:evenHBand="0" w:firstRowFirstColumn="0" w:firstRowLastColumn="0" w:lastRowFirstColumn="0" w:lastRowLastColumn="0"/>
              <w:rPr>
                <w:i/>
                <w:sz w:val="18"/>
                <w:szCs w:val="18"/>
              </w:rPr>
            </w:pPr>
            <w:r w:rsidRPr="006C0789">
              <w:rPr>
                <w:i/>
                <w:sz w:val="18"/>
                <w:szCs w:val="18"/>
              </w:rPr>
              <w:t>Entering HOB bioreactor</w:t>
            </w:r>
          </w:p>
        </w:tc>
      </w:tr>
    </w:tbl>
    <w:p w14:paraId="2B5789BE" w14:textId="77777777" w:rsidR="0004103A" w:rsidRDefault="0004103A" w:rsidP="006B5342">
      <w:pPr>
        <w:jc w:val="both"/>
        <w:rPr>
          <w:sz w:val="18"/>
        </w:rPr>
      </w:pPr>
      <w:r w:rsidRPr="003F5DA8">
        <w:rPr>
          <w:sz w:val="18"/>
        </w:rPr>
        <w:t xml:space="preserve">Baseline technology values, rounded values. </w:t>
      </w:r>
      <w:r w:rsidRPr="003F5DA8">
        <w:rPr>
          <w:sz w:val="18"/>
          <w:vertAlign w:val="superscript"/>
        </w:rPr>
        <w:t>*</w:t>
      </w:r>
      <w:r w:rsidRPr="003F5DA8">
        <w:rPr>
          <w:sz w:val="18"/>
        </w:rPr>
        <w:t xml:space="preserve">: after cleaning losses. </w:t>
      </w:r>
      <w:r w:rsidRPr="003F5DA8">
        <w:rPr>
          <w:sz w:val="18"/>
          <w:vertAlign w:val="superscript"/>
        </w:rPr>
        <w:t>**</w:t>
      </w:r>
      <w:r w:rsidRPr="003F5DA8">
        <w:rPr>
          <w:sz w:val="18"/>
        </w:rPr>
        <w:t>: accounting for SR steam energy input.</w:t>
      </w:r>
    </w:p>
    <w:p w14:paraId="584BF95E" w14:textId="77777777" w:rsidR="0004103A" w:rsidRPr="003964BB" w:rsidRDefault="0004103A" w:rsidP="0004103A"/>
    <w:p w14:paraId="75AA5F97" w14:textId="53334753" w:rsidR="0004103A" w:rsidRPr="0004103A" w:rsidRDefault="0004103A" w:rsidP="009839C2">
      <w:pPr>
        <w:pStyle w:val="Titre3"/>
      </w:pPr>
      <w:bookmarkStart w:id="296" w:name="_Toc145069127"/>
      <w:r w:rsidRPr="0004103A">
        <w:t>Technology parameters and background processes</w:t>
      </w:r>
      <w:r w:rsidR="009839C2">
        <w:t xml:space="preserve"> – gas post-treatments</w:t>
      </w:r>
      <w:bookmarkEnd w:id="296"/>
    </w:p>
    <w:p w14:paraId="242218E5" w14:textId="2E1978CE" w:rsidR="0004103A" w:rsidRDefault="0004103A" w:rsidP="0004103A">
      <w:pPr>
        <w:jc w:val="both"/>
      </w:pPr>
      <w:r w:rsidRPr="003F5DA8">
        <w:t>The technology parameters retained for MP pathways pretreatment</w:t>
      </w:r>
      <w:r w:rsidR="004D7AB5">
        <w:t>s</w:t>
      </w:r>
      <w:r w:rsidRPr="003F5DA8">
        <w:t xml:space="preserve"> modeling (i.e. AD and GA gases post-treatments) are displayed in</w:t>
      </w:r>
      <w:r w:rsidR="009839C2">
        <w:t xml:space="preserve"> </w:t>
      </w:r>
      <w:r w:rsidR="009839C2" w:rsidRPr="009839C2">
        <w:rPr>
          <w:b/>
        </w:rPr>
        <w:fldChar w:fldCharType="begin"/>
      </w:r>
      <w:r w:rsidR="009839C2" w:rsidRPr="009839C2">
        <w:rPr>
          <w:b/>
        </w:rPr>
        <w:instrText xml:space="preserve"> REF _Ref144826360 \h </w:instrText>
      </w:r>
      <w:r w:rsidR="009839C2">
        <w:rPr>
          <w:b/>
        </w:rPr>
        <w:instrText xml:space="preserve"> \* MERGEFORMAT </w:instrText>
      </w:r>
      <w:r w:rsidR="009839C2" w:rsidRPr="009839C2">
        <w:rPr>
          <w:b/>
        </w:rPr>
      </w:r>
      <w:r w:rsidR="009839C2" w:rsidRPr="009839C2">
        <w:rPr>
          <w:b/>
        </w:rPr>
        <w:fldChar w:fldCharType="separate"/>
      </w:r>
      <w:r w:rsidR="00F25F8C" w:rsidRPr="00F25F8C">
        <w:rPr>
          <w:b/>
        </w:rPr>
        <w:t xml:space="preserve">Table SI. </w:t>
      </w:r>
      <w:r w:rsidR="00F25F8C" w:rsidRPr="00F25F8C">
        <w:rPr>
          <w:b/>
          <w:noProof/>
        </w:rPr>
        <w:t>70</w:t>
      </w:r>
      <w:r w:rsidR="009839C2" w:rsidRPr="009839C2">
        <w:rPr>
          <w:b/>
        </w:rPr>
        <w:fldChar w:fldCharType="end"/>
      </w:r>
      <w:r w:rsidRPr="003F5DA8">
        <w:t>.</w:t>
      </w:r>
    </w:p>
    <w:p w14:paraId="6C7D0DAE" w14:textId="04604DF5" w:rsidR="0004103A" w:rsidRPr="00383842" w:rsidRDefault="00874128" w:rsidP="006B5342">
      <w:pPr>
        <w:pStyle w:val="Lgende"/>
        <w:jc w:val="left"/>
        <w:rPr>
          <w:b w:val="0"/>
          <w:i/>
        </w:rPr>
      </w:pPr>
      <w:bookmarkStart w:id="297" w:name="_Ref144826360"/>
      <w:bookmarkStart w:id="298" w:name="_Toc134537636"/>
      <w:bookmarkStart w:id="299" w:name="_Toc151967954"/>
      <w:r>
        <w:t>Table SI.</w:t>
      </w:r>
      <w:r w:rsidR="0004103A">
        <w:t xml:space="preserve"> </w:t>
      </w:r>
      <w:r>
        <w:fldChar w:fldCharType="begin"/>
      </w:r>
      <w:r>
        <w:instrText xml:space="preserve"> SEQ Table_SI. \* ARABIC </w:instrText>
      </w:r>
      <w:r>
        <w:fldChar w:fldCharType="separate"/>
      </w:r>
      <w:r w:rsidR="00F25F8C">
        <w:rPr>
          <w:noProof/>
        </w:rPr>
        <w:t>70</w:t>
      </w:r>
      <w:r>
        <w:fldChar w:fldCharType="end"/>
      </w:r>
      <w:bookmarkEnd w:id="297"/>
      <w:r w:rsidR="0004103A">
        <w:t xml:space="preserve"> </w:t>
      </w:r>
      <w:r w:rsidR="0004103A" w:rsidRPr="00415E4C">
        <w:t>– Parameters specific to MP pathways pretreatment</w:t>
      </w:r>
      <w:bookmarkEnd w:id="298"/>
      <w:r w:rsidR="004D7AB5">
        <w:t>s</w:t>
      </w:r>
      <w:bookmarkEnd w:id="299"/>
    </w:p>
    <w:tbl>
      <w:tblPr>
        <w:tblStyle w:val="Tableausimple2"/>
        <w:tblW w:w="0" w:type="auto"/>
        <w:tblLayout w:type="fixed"/>
        <w:tblLook w:val="04A0" w:firstRow="1" w:lastRow="0" w:firstColumn="1" w:lastColumn="0" w:noHBand="0" w:noVBand="1"/>
      </w:tblPr>
      <w:tblGrid>
        <w:gridCol w:w="490"/>
        <w:gridCol w:w="1495"/>
        <w:gridCol w:w="1417"/>
        <w:gridCol w:w="851"/>
        <w:gridCol w:w="992"/>
        <w:gridCol w:w="3827"/>
      </w:tblGrid>
      <w:tr w:rsidR="0004103A" w:rsidRPr="006C0789" w14:paraId="214FA369" w14:textId="77777777" w:rsidTr="009427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0" w:type="dxa"/>
          </w:tcPr>
          <w:p w14:paraId="1482CD77" w14:textId="77777777" w:rsidR="0004103A" w:rsidRPr="006C0789" w:rsidRDefault="0004103A" w:rsidP="003B1307">
            <w:pPr>
              <w:rPr>
                <w:sz w:val="18"/>
                <w:szCs w:val="18"/>
              </w:rPr>
            </w:pPr>
            <w:r w:rsidRPr="006C0789">
              <w:rPr>
                <w:sz w:val="18"/>
                <w:szCs w:val="18"/>
              </w:rPr>
              <w:t>n°</w:t>
            </w:r>
          </w:p>
        </w:tc>
        <w:tc>
          <w:tcPr>
            <w:tcW w:w="1495" w:type="dxa"/>
          </w:tcPr>
          <w:p w14:paraId="79110E71" w14:textId="77777777" w:rsidR="0004103A" w:rsidRPr="006C0789" w:rsidRDefault="0004103A" w:rsidP="003B1307">
            <w:pPr>
              <w:jc w:val="right"/>
              <w:cnfStyle w:val="100000000000" w:firstRow="1" w:lastRow="0" w:firstColumn="0" w:lastColumn="0" w:oddVBand="0" w:evenVBand="0" w:oddHBand="0" w:evenHBand="0" w:firstRowFirstColumn="0" w:firstRowLastColumn="0" w:lastRowFirstColumn="0" w:lastRowLastColumn="0"/>
              <w:rPr>
                <w:sz w:val="18"/>
                <w:szCs w:val="18"/>
              </w:rPr>
            </w:pPr>
            <w:r w:rsidRPr="006C0789">
              <w:rPr>
                <w:sz w:val="18"/>
                <w:szCs w:val="18"/>
              </w:rPr>
              <w:t>Parameter</w:t>
            </w:r>
          </w:p>
        </w:tc>
        <w:tc>
          <w:tcPr>
            <w:tcW w:w="1417" w:type="dxa"/>
          </w:tcPr>
          <w:p w14:paraId="1E63F871" w14:textId="77777777" w:rsidR="0004103A" w:rsidRPr="006C0789" w:rsidRDefault="0004103A" w:rsidP="003B1307">
            <w:pPr>
              <w:cnfStyle w:val="100000000000" w:firstRow="1" w:lastRow="0" w:firstColumn="0" w:lastColumn="0" w:oddVBand="0" w:evenVBand="0" w:oddHBand="0" w:evenHBand="0" w:firstRowFirstColumn="0" w:firstRowLastColumn="0" w:lastRowFirstColumn="0" w:lastRowLastColumn="0"/>
              <w:rPr>
                <w:sz w:val="18"/>
                <w:szCs w:val="18"/>
              </w:rPr>
            </w:pPr>
            <w:r w:rsidRPr="006C0789">
              <w:rPr>
                <w:sz w:val="18"/>
                <w:szCs w:val="18"/>
              </w:rPr>
              <w:t>Unit</w:t>
            </w:r>
          </w:p>
        </w:tc>
        <w:tc>
          <w:tcPr>
            <w:tcW w:w="851" w:type="dxa"/>
          </w:tcPr>
          <w:p w14:paraId="7C3ED666" w14:textId="77777777" w:rsidR="0004103A" w:rsidRPr="006C0789" w:rsidRDefault="0004103A" w:rsidP="003B1307">
            <w:pPr>
              <w:cnfStyle w:val="100000000000" w:firstRow="1" w:lastRow="0" w:firstColumn="0" w:lastColumn="0" w:oddVBand="0" w:evenVBand="0" w:oddHBand="0" w:evenHBand="0" w:firstRowFirstColumn="0" w:firstRowLastColumn="0" w:lastRowFirstColumn="0" w:lastRowLastColumn="0"/>
              <w:rPr>
                <w:sz w:val="18"/>
                <w:szCs w:val="18"/>
              </w:rPr>
            </w:pPr>
            <w:r w:rsidRPr="006C0789">
              <w:rPr>
                <w:sz w:val="18"/>
                <w:szCs w:val="18"/>
              </w:rPr>
              <w:t>Baseline value</w:t>
            </w:r>
          </w:p>
        </w:tc>
        <w:tc>
          <w:tcPr>
            <w:tcW w:w="992" w:type="dxa"/>
          </w:tcPr>
          <w:p w14:paraId="11B3EE9C" w14:textId="77777777" w:rsidR="0004103A" w:rsidRPr="006C0789" w:rsidRDefault="0004103A" w:rsidP="003B1307">
            <w:pPr>
              <w:cnfStyle w:val="100000000000" w:firstRow="1" w:lastRow="0" w:firstColumn="0" w:lastColumn="0" w:oddVBand="0" w:evenVBand="0" w:oddHBand="0" w:evenHBand="0" w:firstRowFirstColumn="0" w:firstRowLastColumn="0" w:lastRowFirstColumn="0" w:lastRowLastColumn="0"/>
              <w:rPr>
                <w:sz w:val="18"/>
                <w:szCs w:val="18"/>
              </w:rPr>
            </w:pPr>
            <w:r w:rsidRPr="006C0789">
              <w:rPr>
                <w:sz w:val="18"/>
                <w:szCs w:val="18"/>
              </w:rPr>
              <w:t>Variation range</w:t>
            </w:r>
          </w:p>
        </w:tc>
        <w:tc>
          <w:tcPr>
            <w:tcW w:w="3827" w:type="dxa"/>
          </w:tcPr>
          <w:p w14:paraId="3ED58B59" w14:textId="77777777" w:rsidR="0004103A" w:rsidRPr="006C0789" w:rsidRDefault="0004103A" w:rsidP="004D7AB5">
            <w:pPr>
              <w:cnfStyle w:val="100000000000" w:firstRow="1" w:lastRow="0" w:firstColumn="0" w:lastColumn="0" w:oddVBand="0" w:evenVBand="0" w:oddHBand="0" w:evenHBand="0" w:firstRowFirstColumn="0" w:firstRowLastColumn="0" w:lastRowFirstColumn="0" w:lastRowLastColumn="0"/>
              <w:rPr>
                <w:i/>
                <w:sz w:val="18"/>
                <w:szCs w:val="18"/>
              </w:rPr>
            </w:pPr>
            <w:r w:rsidRPr="006C0789">
              <w:rPr>
                <w:i/>
                <w:sz w:val="18"/>
                <w:szCs w:val="18"/>
              </w:rPr>
              <w:t>Comment</w:t>
            </w:r>
          </w:p>
        </w:tc>
      </w:tr>
      <w:tr w:rsidR="0004103A" w:rsidRPr="006C0789" w14:paraId="3E5DA196"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72" w:type="dxa"/>
            <w:gridSpan w:val="6"/>
          </w:tcPr>
          <w:p w14:paraId="073CB0F7" w14:textId="6FF1978C" w:rsidR="0004103A" w:rsidRPr="006C0789" w:rsidRDefault="0004103A" w:rsidP="004D7AB5">
            <w:pPr>
              <w:rPr>
                <w:b w:val="0"/>
                <w:i/>
                <w:sz w:val="18"/>
                <w:szCs w:val="18"/>
              </w:rPr>
            </w:pPr>
            <w:r w:rsidRPr="006C0789">
              <w:rPr>
                <w:b w:val="0"/>
                <w:i/>
                <w:sz w:val="18"/>
                <w:szCs w:val="18"/>
              </w:rPr>
              <w:t>Gate-to-gas technology parameters for AD and GA are detailed in</w:t>
            </w:r>
            <w:r w:rsidR="006C0789">
              <w:rPr>
                <w:b w:val="0"/>
                <w:i/>
                <w:sz w:val="18"/>
                <w:szCs w:val="18"/>
              </w:rPr>
              <w:t xml:space="preserve"> Javourez et al., </w:t>
            </w:r>
            <w:r w:rsidR="006C0789" w:rsidRPr="000C6C37">
              <w:rPr>
                <w:b w:val="0"/>
                <w:i/>
                <w:sz w:val="18"/>
                <w:szCs w:val="18"/>
              </w:rPr>
              <w:t>202</w:t>
            </w:r>
            <w:r w:rsidR="000C6C37" w:rsidRPr="000C6C37">
              <w:rPr>
                <w:b w:val="0"/>
                <w:i/>
                <w:sz w:val="18"/>
                <w:szCs w:val="18"/>
              </w:rPr>
              <w:t>4</w:t>
            </w:r>
            <w:r w:rsidR="006C0789" w:rsidRPr="000C6C37">
              <w:rPr>
                <w:i/>
                <w:sz w:val="18"/>
                <w:szCs w:val="18"/>
              </w:rPr>
              <w:fldChar w:fldCharType="begin"/>
            </w:r>
            <w:r w:rsidR="00827449">
              <w:rPr>
                <w:b w:val="0"/>
                <w:i/>
                <w:sz w:val="18"/>
                <w:szCs w:val="18"/>
              </w:rPr>
              <w:instrText xml:space="preserve"> ADDIN ZOTERO_ITEM CSL_CITATION {"citationID":"a9v77cupmq","properties":{"formattedCitation":"\\super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6C0789" w:rsidRPr="000C6C37">
              <w:rPr>
                <w:i/>
                <w:sz w:val="18"/>
                <w:szCs w:val="18"/>
              </w:rPr>
              <w:fldChar w:fldCharType="separate"/>
            </w:r>
            <w:r w:rsidR="008C451C" w:rsidRPr="000C6C37">
              <w:rPr>
                <w:rFonts w:ascii="Calibri" w:hAnsi="Calibri" w:cs="Calibri"/>
                <w:sz w:val="18"/>
                <w:szCs w:val="24"/>
                <w:vertAlign w:val="superscript"/>
              </w:rPr>
              <w:t>1</w:t>
            </w:r>
            <w:r w:rsidR="006C0789" w:rsidRPr="000C6C37">
              <w:rPr>
                <w:i/>
                <w:sz w:val="18"/>
                <w:szCs w:val="18"/>
              </w:rPr>
              <w:fldChar w:fldCharType="end"/>
            </w:r>
            <w:r w:rsidR="006C0789" w:rsidRPr="000C6C37">
              <w:rPr>
                <w:b w:val="0"/>
                <w:i/>
                <w:sz w:val="18"/>
                <w:szCs w:val="18"/>
              </w:rPr>
              <w:t xml:space="preserve"> and</w:t>
            </w:r>
            <w:r w:rsidR="006C0789">
              <w:rPr>
                <w:b w:val="0"/>
                <w:i/>
                <w:sz w:val="18"/>
                <w:szCs w:val="18"/>
              </w:rPr>
              <w:t xml:space="preserve"> </w:t>
            </w:r>
            <w:r w:rsidR="006C0789" w:rsidRPr="006C0789">
              <w:rPr>
                <w:i/>
                <w:sz w:val="18"/>
                <w:szCs w:val="18"/>
              </w:rPr>
              <w:t>Table SI. 101</w:t>
            </w:r>
            <w:r w:rsidR="006C0789">
              <w:rPr>
                <w:b w:val="0"/>
                <w:i/>
                <w:sz w:val="18"/>
                <w:szCs w:val="18"/>
              </w:rPr>
              <w:t xml:space="preserve"> respectively</w:t>
            </w:r>
          </w:p>
        </w:tc>
      </w:tr>
      <w:tr w:rsidR="004D7AB5" w:rsidRPr="006C0789" w14:paraId="7B6CE6B8" w14:textId="77777777" w:rsidTr="00942782">
        <w:tc>
          <w:tcPr>
            <w:cnfStyle w:val="001000000000" w:firstRow="0" w:lastRow="0" w:firstColumn="1" w:lastColumn="0" w:oddVBand="0" w:evenVBand="0" w:oddHBand="0" w:evenHBand="0" w:firstRowFirstColumn="0" w:firstRowLastColumn="0" w:lastRowFirstColumn="0" w:lastRowLastColumn="0"/>
            <w:tcW w:w="490" w:type="dxa"/>
          </w:tcPr>
          <w:p w14:paraId="290CD7A0" w14:textId="3B17BE1D" w:rsidR="004D7AB5" w:rsidRPr="006C0789" w:rsidRDefault="004D7AB5" w:rsidP="004D7AB5">
            <w:pPr>
              <w:rPr>
                <w:sz w:val="18"/>
                <w:szCs w:val="18"/>
              </w:rPr>
            </w:pPr>
            <w:r w:rsidRPr="006C0789">
              <w:rPr>
                <w:sz w:val="18"/>
                <w:szCs w:val="18"/>
              </w:rPr>
              <w:t>167</w:t>
            </w:r>
          </w:p>
        </w:tc>
        <w:tc>
          <w:tcPr>
            <w:tcW w:w="1495" w:type="dxa"/>
          </w:tcPr>
          <w:p w14:paraId="6CB8F0AF" w14:textId="18E543FE" w:rsidR="004D7AB5" w:rsidRPr="006C0789" w:rsidRDefault="004D7AB5" w:rsidP="004D7AB5">
            <w:pPr>
              <w:jc w:val="right"/>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Steam turbine efficiency</w:t>
            </w:r>
          </w:p>
        </w:tc>
        <w:tc>
          <w:tcPr>
            <w:tcW w:w="1417" w:type="dxa"/>
          </w:tcPr>
          <w:p w14:paraId="0DF6686E" w14:textId="2E6E1881"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w:t>
            </w:r>
            <w:r w:rsidRPr="006C0789">
              <w:rPr>
                <w:sz w:val="18"/>
                <w:szCs w:val="18"/>
                <w:vertAlign w:val="subscript"/>
              </w:rPr>
              <w:t>MJ</w:t>
            </w:r>
          </w:p>
        </w:tc>
        <w:tc>
          <w:tcPr>
            <w:tcW w:w="851" w:type="dxa"/>
          </w:tcPr>
          <w:p w14:paraId="41110B5E" w14:textId="50AECD4D"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85%</w:t>
            </w:r>
          </w:p>
        </w:tc>
        <w:tc>
          <w:tcPr>
            <w:tcW w:w="992" w:type="dxa"/>
          </w:tcPr>
          <w:p w14:paraId="45EDF2F5" w14:textId="5D06E4E7"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80-90%</w:t>
            </w:r>
          </w:p>
        </w:tc>
        <w:tc>
          <w:tcPr>
            <w:tcW w:w="3827" w:type="dxa"/>
          </w:tcPr>
          <w:p w14:paraId="548E8ABA" w14:textId="57A54428"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i/>
                <w:sz w:val="18"/>
                <w:szCs w:val="18"/>
              </w:rPr>
            </w:pPr>
            <w:r w:rsidRPr="006C0789">
              <w:rPr>
                <w:i/>
                <w:sz w:val="18"/>
                <w:szCs w:val="18"/>
              </w:rPr>
              <w:t>Lower value for current situation</w:t>
            </w:r>
            <w:r w:rsidRPr="006C0789">
              <w:rPr>
                <w:i/>
                <w:sz w:val="18"/>
                <w:szCs w:val="18"/>
              </w:rPr>
              <w:fldChar w:fldCharType="begin"/>
            </w:r>
            <w:r w:rsidR="008C451C">
              <w:rPr>
                <w:i/>
                <w:sz w:val="18"/>
                <w:szCs w:val="18"/>
              </w:rPr>
              <w:instrText xml:space="preserve"> ADDIN ZOTERO_ITEM CSL_CITATION {"citationID":"fVcBZlYL","properties":{"formattedCitation":"\\super 36\\nosupersub{}","plainCitation":"36","noteIndex":0},"citationItems":[{"id":13191,"uris":["http://zotero.org/users/6423791/items/6U6T5CIP"],"itemData":{"id":13191,"type":"article-journal","abstract":"This paper presents a spatial model of industrial heat loads and technical recovery potentials in the UK, by recourse to energetic and exergetic analysis methods. The aims were to categorise heat users into broad temperature bands; quantify heat usage and wastage at different temperatures; and to estimate the technical potential for heat recovery based on current technologies (whilst ignoring spatial and temporal constraints). The main data source was the UK National Allocation Plan for the EU Emissions Trading Scheme, supplemented by capacity/output and specific energy consumption data for certain heterogeneous sectors. Around 60% of industry has been covered in terms of energy use, and 90% of energy-intensive sectors. The total annual heat use for these sectors was estimated at 650PJ, with technically feasible annual savings in the region 36–71PJ. This is in agreement with the only extant estimates for heat recovery from industrial processes, which are 65 and 144PJ, respectively.","collection-title":"The socio-economic transition towards a hydrogen economy - findings from European research, with regular papers","container-title":"Energy Policy","DOI":"10.1016/j.enpol.2010.05.042","ISSN":"0301-4215","issue":"10","journalAbbreviation":"Energy Policy","language":"en","page":"5878-5891","source":"ScienceDirect","title":"Spatial modelling of industrial heat loads and recovery potentials in the UK","volume":"38","author":[{"family":"McKenna","given":"R. C."},{"family":"Norman","given":"J. B."}],"issued":{"date-parts":[["2010",10,1]]}}}],"schema":"https://github.com/citation-style-language/schema/raw/master/csl-citation.json"} </w:instrText>
            </w:r>
            <w:r w:rsidRPr="006C0789">
              <w:rPr>
                <w:i/>
                <w:sz w:val="18"/>
                <w:szCs w:val="18"/>
              </w:rPr>
              <w:fldChar w:fldCharType="separate"/>
            </w:r>
            <w:r w:rsidR="008C451C" w:rsidRPr="008C451C">
              <w:rPr>
                <w:rFonts w:ascii="Calibri" w:hAnsi="Calibri" w:cs="Calibri"/>
                <w:sz w:val="18"/>
                <w:szCs w:val="24"/>
                <w:vertAlign w:val="superscript"/>
              </w:rPr>
              <w:t>36</w:t>
            </w:r>
            <w:r w:rsidRPr="006C0789">
              <w:rPr>
                <w:i/>
                <w:sz w:val="18"/>
                <w:szCs w:val="18"/>
              </w:rPr>
              <w:fldChar w:fldCharType="end"/>
            </w:r>
            <w:r w:rsidRPr="006C0789">
              <w:rPr>
                <w:i/>
                <w:sz w:val="18"/>
                <w:szCs w:val="18"/>
              </w:rPr>
              <w:t>, higher value forecasted in 2050</w:t>
            </w:r>
            <w:r w:rsidRPr="006C0789">
              <w:rPr>
                <w:i/>
                <w:sz w:val="18"/>
                <w:szCs w:val="18"/>
              </w:rPr>
              <w:fldChar w:fldCharType="begin"/>
            </w:r>
            <w:r w:rsidR="008C451C">
              <w:rPr>
                <w:i/>
                <w:sz w:val="18"/>
                <w:szCs w:val="18"/>
              </w:rPr>
              <w:instrText xml:space="preserve"> ADDIN ZOTERO_ITEM CSL_CITATION {"citationID":"mkLoK6Eg","properties":{"formattedCitation":"\\super 46\\nosupersub{}","plainCitation":"46","noteIndex":0},"citationItems":[{"id":13241,"uris":["http://zotero.org/users/6423791/items/4I7TA53T"],"itemData":{"id":13241,"type":"book","event-place":"LU","ISBN":"978-92-76-39356-6","language":"en","number-of-pages":"184","publisher":"Publications Office of the European Union","publisher-place":"LU","source":"DOI.org (CSL JSON)","title":"EU reference scenario 2020: energy, transport and GHG emissions : trends to 2050.","title-short":"EU reference scenario 2020","URL":"https://data.europa.eu/doi/10.2833/35750","author":[{"literal":"European Commission"}],"accessed":{"date-parts":[["2022",5,1]]},"issued":{"date-parts":[["2021"]]}}}],"schema":"https://github.com/citation-style-language/schema/raw/master/csl-citation.json"} </w:instrText>
            </w:r>
            <w:r w:rsidRPr="006C0789">
              <w:rPr>
                <w:i/>
                <w:sz w:val="18"/>
                <w:szCs w:val="18"/>
              </w:rPr>
              <w:fldChar w:fldCharType="separate"/>
            </w:r>
            <w:r w:rsidR="008C451C" w:rsidRPr="008C451C">
              <w:rPr>
                <w:rFonts w:ascii="Calibri" w:hAnsi="Calibri" w:cs="Calibri"/>
                <w:sz w:val="18"/>
                <w:szCs w:val="24"/>
                <w:vertAlign w:val="superscript"/>
              </w:rPr>
              <w:t>46</w:t>
            </w:r>
            <w:r w:rsidRPr="006C0789">
              <w:rPr>
                <w:i/>
                <w:sz w:val="18"/>
                <w:szCs w:val="18"/>
              </w:rPr>
              <w:fldChar w:fldCharType="end"/>
            </w:r>
            <w:r w:rsidRPr="006C0789">
              <w:rPr>
                <w:i/>
                <w:sz w:val="18"/>
                <w:szCs w:val="18"/>
              </w:rPr>
              <w:t>. Baseline also used by Megret et al., 2015</w:t>
            </w:r>
            <w:r w:rsidRPr="006C0789">
              <w:rPr>
                <w:i/>
                <w:sz w:val="18"/>
                <w:szCs w:val="18"/>
              </w:rPr>
              <w:fldChar w:fldCharType="begin"/>
            </w:r>
            <w:r w:rsidR="005413B4">
              <w:rPr>
                <w:i/>
                <w:sz w:val="18"/>
                <w:szCs w:val="18"/>
              </w:rPr>
              <w:instrText xml:space="preserve"> ADDIN ZOTERO_ITEM CSL_CITATION {"citationID":"Re4pkPmx","properties":{"formattedCitation":"\\super 223\\nosupersub{}","plainCitation":"223","noteIndex":0},"citationItems":[{"id":12940,"uris":["http://zotero.org/users/6423791/items/KBVGJC6I"],"itemData":{"id":12940,"type":"report","language":"fr","number":"RECORD 13-0239/1A","page":"228","publisher":"Réseau Coopératif de Recherche sur les Déchets et l’Environnement","source":"Zotero","title":"Production d'hydrogène à partir de déchets: Etat de l'art et potentiel d'émergence","URL":"https://hal.archives-ouvertes.fr/hal-01602165","author":[{"family":"Megret","given":"Olivier"},{"family":"Hubert","given":"Loreline"},{"family":"Calbry","given":"M"},{"family":"Trably","given":"Eric"},{"family":"Carrère","given":"Hélène"},{"family":"Garcia-Bernet","given":"Diana"},{"family":"Bernet","given":"Nicolas"}],"issued":{"date-parts":[["2015"]]}}}],"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223</w:t>
            </w:r>
            <w:r w:rsidRPr="006C0789">
              <w:rPr>
                <w:i/>
                <w:sz w:val="18"/>
                <w:szCs w:val="18"/>
              </w:rPr>
              <w:fldChar w:fldCharType="end"/>
            </w:r>
            <w:r w:rsidRPr="006C0789">
              <w:rPr>
                <w:i/>
                <w:sz w:val="18"/>
                <w:szCs w:val="18"/>
              </w:rPr>
              <w:t>.</w:t>
            </w:r>
          </w:p>
        </w:tc>
      </w:tr>
      <w:tr w:rsidR="004D7AB5" w:rsidRPr="006C0789" w14:paraId="3EF9F1FF"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0" w:type="dxa"/>
          </w:tcPr>
          <w:p w14:paraId="5D7772B4" w14:textId="3B0F9A28" w:rsidR="004D7AB5" w:rsidRPr="006C0789" w:rsidRDefault="004D7AB5" w:rsidP="004D7AB5">
            <w:pPr>
              <w:rPr>
                <w:sz w:val="18"/>
                <w:szCs w:val="18"/>
              </w:rPr>
            </w:pPr>
            <w:r w:rsidRPr="006C0789">
              <w:rPr>
                <w:sz w:val="18"/>
                <w:szCs w:val="18"/>
              </w:rPr>
              <w:t>168</w:t>
            </w:r>
          </w:p>
        </w:tc>
        <w:tc>
          <w:tcPr>
            <w:tcW w:w="1495" w:type="dxa"/>
          </w:tcPr>
          <w:p w14:paraId="4A785428" w14:textId="6099CECA" w:rsidR="004D7AB5" w:rsidRPr="006C0789" w:rsidRDefault="004D7AB5" w:rsidP="004D7AB5">
            <w:pPr>
              <w:jc w:val="right"/>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SR electricity</w:t>
            </w:r>
          </w:p>
        </w:tc>
        <w:tc>
          <w:tcPr>
            <w:tcW w:w="1417" w:type="dxa"/>
          </w:tcPr>
          <w:p w14:paraId="05416A89" w14:textId="079F088F"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kWh.kg</w:t>
            </w:r>
            <w:r w:rsidRPr="006C0789">
              <w:rPr>
                <w:sz w:val="18"/>
                <w:szCs w:val="18"/>
                <w:vertAlign w:val="subscript"/>
              </w:rPr>
              <w:t>H2</w:t>
            </w:r>
            <w:r w:rsidRPr="006C0789">
              <w:rPr>
                <w:sz w:val="18"/>
                <w:szCs w:val="18"/>
                <w:vertAlign w:val="superscript"/>
              </w:rPr>
              <w:t>-1</w:t>
            </w:r>
          </w:p>
        </w:tc>
        <w:tc>
          <w:tcPr>
            <w:tcW w:w="851" w:type="dxa"/>
          </w:tcPr>
          <w:p w14:paraId="39A0C1BE" w14:textId="7B17FC02"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1.11</w:t>
            </w:r>
          </w:p>
        </w:tc>
        <w:tc>
          <w:tcPr>
            <w:tcW w:w="992" w:type="dxa"/>
          </w:tcPr>
          <w:p w14:paraId="673563CC" w14:textId="622BE36B"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0.2-4.3</w:t>
            </w:r>
          </w:p>
        </w:tc>
        <w:tc>
          <w:tcPr>
            <w:tcW w:w="3827" w:type="dxa"/>
          </w:tcPr>
          <w:p w14:paraId="064277C8" w14:textId="314F0F15"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i/>
                <w:sz w:val="18"/>
                <w:szCs w:val="18"/>
              </w:rPr>
            </w:pPr>
            <w:r w:rsidRPr="006C0789">
              <w:rPr>
                <w:i/>
                <w:sz w:val="18"/>
                <w:szCs w:val="18"/>
              </w:rPr>
              <w:t>Here proxy of both SR &amp; WCS (coming together). Linde plant reports 0.2</w:t>
            </w:r>
            <w:r w:rsidRPr="006C0789">
              <w:rPr>
                <w:i/>
                <w:sz w:val="18"/>
                <w:szCs w:val="18"/>
              </w:rPr>
              <w:fldChar w:fldCharType="begin"/>
            </w:r>
            <w:r w:rsidR="005413B4">
              <w:rPr>
                <w:i/>
                <w:sz w:val="18"/>
                <w:szCs w:val="18"/>
              </w:rPr>
              <w:instrText xml:space="preserve"> ADDIN ZOTERO_ITEM CSL_CITATION {"citationID":"MyJ2mVKY","properties":{"formattedCitation":"\\super 247\\nosupersub{}","plainCitation":"247","noteIndex":0},"citationItems":[{"id":12948,"uris":["http://zotero.org/users/6423791/items/K75N7HJR"],"itemData":{"id":12948,"type":"chapter","container-title":"Hydrogen Supply Chains","ISBN":"978-0-12-811197-0","language":"en","note":"DOI: 10.1016/B978-0-12-811197-0.00004-X","page":"111-166","publisher":"Elsevier","source":"DOI.org (Crossref)","title":"Hydrogen Production From Biogas Reforming: An Overview of Steam Reforming, Dry Reforming, Dual Reforming, and Tri-Reforming of Methane","title-short":"Hydrogen Production From Biogas Reforming","URL":"https://linkinghub.elsevier.com/retrieve/pii/B978012811197000004X","author":[{"family":"Pham Minh","given":"Doan"},{"family":"Siang","given":"Tan Ji"},{"family":"Vo","given":"Dai-Viet N."},{"family":"Phan","given":"Thanh Son"},{"family":"Ridart","given":"Cyrille"},{"family":"Nzihou","given":"Ange"},{"family":"Grouset","given":"Didier"}],"accessed":{"date-parts":[["2022",2,3]]},"issued":{"date-parts":[["2018"]]}}}],"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247</w:t>
            </w:r>
            <w:r w:rsidRPr="006C0789">
              <w:rPr>
                <w:i/>
                <w:sz w:val="18"/>
                <w:szCs w:val="18"/>
              </w:rPr>
              <w:fldChar w:fldCharType="end"/>
            </w:r>
            <w:r w:rsidRPr="006C0789">
              <w:rPr>
                <w:i/>
                <w:sz w:val="18"/>
                <w:szCs w:val="18"/>
              </w:rPr>
              <w:t xml:space="preserve">, while 2.7 </w:t>
            </w:r>
            <w:r w:rsidRPr="006C0789">
              <w:rPr>
                <w:i/>
                <w:sz w:val="18"/>
                <w:szCs w:val="18"/>
              </w:rPr>
              <w:fldChar w:fldCharType="begin"/>
            </w:r>
            <w:r w:rsidR="005413B4">
              <w:rPr>
                <w:i/>
                <w:sz w:val="18"/>
                <w:szCs w:val="18"/>
              </w:rPr>
              <w:instrText xml:space="preserve"> ADDIN ZOTERO_ITEM CSL_CITATION {"citationID":"aXo3MSh7","properties":{"formattedCitation":"\\super 223\\nosupersub{}","plainCitation":"223","noteIndex":0},"citationItems":[{"id":12940,"uris":["http://zotero.org/users/6423791/items/KBVGJC6I"],"itemData":{"id":12940,"type":"report","language":"fr","number":"RECORD 13-0239/1A","page":"228","publisher":"Réseau Coopératif de Recherche sur les Déchets et l’Environnement","source":"Zotero","title":"Production d'hydrogène à partir de déchets: Etat de l'art et potentiel d'émergence","URL":"https://hal.archives-ouvertes.fr/hal-01602165","author":[{"family":"Megret","given":"Olivier"},{"family":"Hubert","given":"Loreline"},{"family":"Calbry","given":"M"},{"family":"Trably","given":"Eric"},{"family":"Carrère","given":"Hélène"},{"family":"Garcia-Bernet","given":"Diana"},{"family":"Bernet","given":"Nicolas"}],"issued":{"date-parts":[["2015"]]}}}],"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223</w:t>
            </w:r>
            <w:r w:rsidRPr="006C0789">
              <w:rPr>
                <w:i/>
                <w:sz w:val="18"/>
                <w:szCs w:val="18"/>
              </w:rPr>
              <w:fldChar w:fldCharType="end"/>
            </w:r>
            <w:r w:rsidRPr="006C0789">
              <w:rPr>
                <w:i/>
                <w:sz w:val="18"/>
                <w:szCs w:val="18"/>
              </w:rPr>
              <w:t xml:space="preserve"> and 4.3 </w:t>
            </w:r>
            <w:r w:rsidRPr="006C0789">
              <w:rPr>
                <w:i/>
                <w:sz w:val="18"/>
                <w:szCs w:val="18"/>
              </w:rPr>
              <w:fldChar w:fldCharType="begin"/>
            </w:r>
            <w:r w:rsidR="005413B4">
              <w:rPr>
                <w:i/>
                <w:sz w:val="18"/>
                <w:szCs w:val="18"/>
              </w:rPr>
              <w:instrText xml:space="preserve"> ADDIN ZOTERO_ITEM CSL_CITATION {"citationID":"xgXpfnAN","properties":{"formattedCitation":"\\super 249\\nosupersub{}","plainCitation":"249","noteIndex":0},"citationItems":[{"id":12983,"uris":["http://zotero.org/users/6423791/items/6Y2HS8EK"],"itemData":{"id":12983,"type":"article-journal","abstract":"This work investigates the environmental and economic performances of a membrane reactor for hydrogen production from raw biogas. Potential benefits of the innovative technology are compared against reference hydrogen production processes based on steam (or autothermal) reforming, water gas shift reactors and a pressure swing adsorption unit. Both biogas produced by landfill and anaerobic digestion are considered to evaluate the impact of biogas composition. Starting from the thermodynamic results, the environmental analysis is carried out using environmental Life cycle assessment (LCA). Results show that the adoption of the membrane reactor increases the system efficiency by more than 20 percentage points with respect to the reference cases. LCA analysis shows that the innovative BIONICO system performs better than reference systems when biogas becomes a limiting factor for hydrogen production to satisfy market demand, as a higher biogas conversion efficiency can potentially substitute more hydrogen produced by fossil fuels (natural gas). However, when biogas is not a limiting factor for hydrogen production, the innovative system can perform either similar or worse than reference systems, as in this case impacts are largely dominated by grid electric energy demand and component use rather than conversion efficiency. Focusing on the economic results, hydrogen production cost shows lower value with respect to the reference cases (4 €/kgH2 vs 4.2 €/kgH2) at the same hydrogen delivery pressure of 20 bar. Between landfill and anaerobic digestion cases, the latter has the lower costs as a consequence of the higher methane content.","container-title":"Processes","DOI":"10.3390/pr7020086","ISSN":"2227-9717","issue":"2","language":"en","license":"http://creativecommons.org/licenses/by/3.0/","note":"number: 2\npublisher: Multidisciplinary Digital Publishing Institute","page":"86","source":"www.mdpi.com","title":"Life Cycle Assessment and Economic Analysis of an Innovative Biogas Membrane Reformer for Hydrogen Production","volume":"7","author":[{"family":"Di Marcoberardino","given":"Gioele"},{"family":"Liao","given":"Xun"},{"family":"Dauriat","given":"Arnaud"},{"family":"Binotti","given":"Marco"},{"family":"Manzolini","given":"Giampaolo"}],"issued":{"date-parts":[["2019",2]]}}}],"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249</w:t>
            </w:r>
            <w:r w:rsidRPr="006C0789">
              <w:rPr>
                <w:i/>
                <w:sz w:val="18"/>
                <w:szCs w:val="18"/>
              </w:rPr>
              <w:fldChar w:fldCharType="end"/>
            </w:r>
            <w:r w:rsidRPr="006C0789">
              <w:rPr>
                <w:i/>
                <w:sz w:val="18"/>
                <w:szCs w:val="18"/>
              </w:rPr>
              <w:t xml:space="preserve"> are also reported.</w:t>
            </w:r>
          </w:p>
        </w:tc>
      </w:tr>
      <w:tr w:rsidR="004D7AB5" w:rsidRPr="006C0789" w14:paraId="27E03F02" w14:textId="77777777" w:rsidTr="00942782">
        <w:tc>
          <w:tcPr>
            <w:cnfStyle w:val="001000000000" w:firstRow="0" w:lastRow="0" w:firstColumn="1" w:lastColumn="0" w:oddVBand="0" w:evenVBand="0" w:oddHBand="0" w:evenHBand="0" w:firstRowFirstColumn="0" w:firstRowLastColumn="0" w:lastRowFirstColumn="0" w:lastRowLastColumn="0"/>
            <w:tcW w:w="490" w:type="dxa"/>
          </w:tcPr>
          <w:p w14:paraId="1BDC294A" w14:textId="77777777" w:rsidR="004D7AB5" w:rsidRPr="006C0789" w:rsidRDefault="004D7AB5" w:rsidP="004D7AB5">
            <w:pPr>
              <w:rPr>
                <w:sz w:val="18"/>
                <w:szCs w:val="18"/>
              </w:rPr>
            </w:pPr>
            <w:r w:rsidRPr="006C0789">
              <w:rPr>
                <w:sz w:val="18"/>
                <w:szCs w:val="18"/>
              </w:rPr>
              <w:t>169</w:t>
            </w:r>
          </w:p>
        </w:tc>
        <w:tc>
          <w:tcPr>
            <w:tcW w:w="1495" w:type="dxa"/>
          </w:tcPr>
          <w:p w14:paraId="6828CCE1" w14:textId="77777777" w:rsidR="004D7AB5" w:rsidRPr="006C0789" w:rsidRDefault="004D7AB5" w:rsidP="004D7AB5">
            <w:pPr>
              <w:jc w:val="right"/>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SR pressure</w:t>
            </w:r>
          </w:p>
        </w:tc>
        <w:tc>
          <w:tcPr>
            <w:tcW w:w="1417" w:type="dxa"/>
          </w:tcPr>
          <w:p w14:paraId="0048BB25" w14:textId="77777777"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bar</w:t>
            </w:r>
          </w:p>
        </w:tc>
        <w:tc>
          <w:tcPr>
            <w:tcW w:w="851" w:type="dxa"/>
          </w:tcPr>
          <w:p w14:paraId="01402109" w14:textId="77777777"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35</w:t>
            </w:r>
          </w:p>
        </w:tc>
        <w:tc>
          <w:tcPr>
            <w:tcW w:w="992" w:type="dxa"/>
          </w:tcPr>
          <w:p w14:paraId="143FF84B" w14:textId="77777777"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30-40</w:t>
            </w:r>
          </w:p>
        </w:tc>
        <w:tc>
          <w:tcPr>
            <w:tcW w:w="3827" w:type="dxa"/>
          </w:tcPr>
          <w:p w14:paraId="75250290" w14:textId="10CD6FBD"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i/>
                <w:sz w:val="18"/>
                <w:szCs w:val="18"/>
              </w:rPr>
            </w:pPr>
            <w:r w:rsidRPr="006C0789">
              <w:rPr>
                <w:i/>
                <w:sz w:val="18"/>
                <w:szCs w:val="18"/>
              </w:rPr>
              <w:t>Range reviewed by Megret et al., 2015</w:t>
            </w:r>
            <w:r w:rsidRPr="006C0789">
              <w:rPr>
                <w:i/>
                <w:sz w:val="18"/>
                <w:szCs w:val="18"/>
              </w:rPr>
              <w:fldChar w:fldCharType="begin"/>
            </w:r>
            <w:r w:rsidR="005413B4">
              <w:rPr>
                <w:i/>
                <w:sz w:val="18"/>
                <w:szCs w:val="18"/>
              </w:rPr>
              <w:instrText xml:space="preserve"> ADDIN ZOTERO_ITEM CSL_CITATION {"citationID":"TNQTl5iq","properties":{"formattedCitation":"\\super 223\\nosupersub{}","plainCitation":"223","noteIndex":0},"citationItems":[{"id":12940,"uris":["http://zotero.org/users/6423791/items/KBVGJC6I"],"itemData":{"id":12940,"type":"report","language":"fr","number":"RECORD 13-0239/1A","page":"228","publisher":"Réseau Coopératif de Recherche sur les Déchets et l’Environnement","source":"Zotero","title":"Production d'hydrogène à partir de déchets: Etat de l'art et potentiel d'émergence","URL":"https://hal.archives-ouvertes.fr/hal-01602165","author":[{"family":"Megret","given":"Olivier"},{"family":"Hubert","given":"Loreline"},{"family":"Calbry","given":"M"},{"family":"Trably","given":"Eric"},{"family":"Carrère","given":"Hélène"},{"family":"Garcia-Bernet","given":"Diana"},{"family":"Bernet","given":"Nicolas"}],"issued":{"date-parts":[["2015"]]}}}],"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223</w:t>
            </w:r>
            <w:r w:rsidRPr="006C0789">
              <w:rPr>
                <w:i/>
                <w:sz w:val="18"/>
                <w:szCs w:val="18"/>
              </w:rPr>
              <w:fldChar w:fldCharType="end"/>
            </w:r>
          </w:p>
        </w:tc>
      </w:tr>
      <w:tr w:rsidR="004D7AB5" w:rsidRPr="006C0789" w14:paraId="0BE48728"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0" w:type="dxa"/>
          </w:tcPr>
          <w:p w14:paraId="60DDEA65" w14:textId="77777777" w:rsidR="004D7AB5" w:rsidRPr="006C0789" w:rsidRDefault="004D7AB5" w:rsidP="004D7AB5">
            <w:pPr>
              <w:rPr>
                <w:sz w:val="18"/>
                <w:szCs w:val="18"/>
              </w:rPr>
            </w:pPr>
            <w:r w:rsidRPr="006C0789">
              <w:rPr>
                <w:sz w:val="18"/>
                <w:szCs w:val="18"/>
              </w:rPr>
              <w:t>170</w:t>
            </w:r>
          </w:p>
        </w:tc>
        <w:tc>
          <w:tcPr>
            <w:tcW w:w="1495" w:type="dxa"/>
          </w:tcPr>
          <w:p w14:paraId="3C760726" w14:textId="77777777" w:rsidR="004D7AB5" w:rsidRPr="006C0789" w:rsidRDefault="004D7AB5" w:rsidP="004D7AB5">
            <w:pPr>
              <w:jc w:val="right"/>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SR steam:C ratio</w:t>
            </w:r>
          </w:p>
        </w:tc>
        <w:tc>
          <w:tcPr>
            <w:tcW w:w="1417" w:type="dxa"/>
          </w:tcPr>
          <w:p w14:paraId="16FD0A35" w14:textId="77777777"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molH</w:t>
            </w:r>
            <w:r w:rsidRPr="006C0789">
              <w:rPr>
                <w:sz w:val="18"/>
                <w:szCs w:val="18"/>
                <w:vertAlign w:val="subscript"/>
              </w:rPr>
              <w:t>2</w:t>
            </w:r>
            <w:r w:rsidRPr="006C0789">
              <w:rPr>
                <w:sz w:val="18"/>
                <w:szCs w:val="18"/>
              </w:rPr>
              <w:t>O.molC</w:t>
            </w:r>
            <w:r w:rsidRPr="006C0789">
              <w:rPr>
                <w:sz w:val="18"/>
                <w:szCs w:val="18"/>
                <w:vertAlign w:val="superscript"/>
              </w:rPr>
              <w:t>-1</w:t>
            </w:r>
          </w:p>
        </w:tc>
        <w:tc>
          <w:tcPr>
            <w:tcW w:w="851" w:type="dxa"/>
          </w:tcPr>
          <w:p w14:paraId="047D5F16" w14:textId="77777777"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3</w:t>
            </w:r>
          </w:p>
        </w:tc>
        <w:tc>
          <w:tcPr>
            <w:tcW w:w="992" w:type="dxa"/>
          </w:tcPr>
          <w:p w14:paraId="58B57B93" w14:textId="77777777"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2.5-4</w:t>
            </w:r>
          </w:p>
        </w:tc>
        <w:tc>
          <w:tcPr>
            <w:tcW w:w="3827" w:type="dxa"/>
          </w:tcPr>
          <w:p w14:paraId="4552932A" w14:textId="54846D47"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i/>
                <w:sz w:val="18"/>
                <w:szCs w:val="18"/>
              </w:rPr>
            </w:pPr>
            <w:r w:rsidRPr="006C0789">
              <w:rPr>
                <w:i/>
                <w:sz w:val="18"/>
                <w:szCs w:val="18"/>
              </w:rPr>
              <w:t>3 used by modelers</w:t>
            </w:r>
            <w:r w:rsidRPr="006C0789">
              <w:rPr>
                <w:i/>
                <w:sz w:val="18"/>
                <w:szCs w:val="18"/>
              </w:rPr>
              <w:fldChar w:fldCharType="begin"/>
            </w:r>
            <w:r w:rsidR="005413B4">
              <w:rPr>
                <w:i/>
                <w:sz w:val="18"/>
                <w:szCs w:val="18"/>
              </w:rPr>
              <w:instrText xml:space="preserve"> ADDIN ZOTERO_ITEM CSL_CITATION {"citationID":"ZVzItU9W","properties":{"formattedCitation":"\\super 223,247\\nosupersub{}","plainCitation":"223,247","noteIndex":0},"citationItems":[{"id":12940,"uris":["http://zotero.org/users/6423791/items/KBVGJC6I"],"itemData":{"id":12940,"type":"report","language":"fr","number":"RECORD 13-0239/1A","page":"228","publisher":"Réseau Coopératif de Recherche sur les Déchets et l’Environnement","source":"Zotero","title":"Production d'hydrogène à partir de déchets: Etat de l'art et potentiel d'émergence","URL":"https://hal.archives-ouvertes.fr/hal-01602165","author":[{"family":"Megret","given":"Olivier"},{"family":"Hubert","given":"Loreline"},{"family":"Calbry","given":"M"},{"family":"Trably","given":"Eric"},{"family":"Carrère","given":"Hélène"},{"family":"Garcia-Bernet","given":"Diana"},{"family":"Bernet","given":"Nicolas"}],"issued":{"date-parts":[["2015"]]}}},{"id":12948,"uris":["http://zotero.org/users/6423791/items/K75N7HJR"],"itemData":{"id":12948,"type":"chapter","container-title":"Hydrogen Supply Chains","ISBN":"978-0-12-811197-0","language":"en","note":"DOI: 10.1016/B978-0-12-811197-0.00004-X","page":"111-166","publisher":"Elsevier","source":"DOI.org (Crossref)","title":"Hydrogen Production From Biogas Reforming: An Overview of Steam Reforming, Dry Reforming, Dual Reforming, and Tri-Reforming of Methane","title-short":"Hydrogen Production From Biogas Reforming","URL":"https://linkinghub.elsevier.com/retrieve/pii/B978012811197000004X","author":[{"family":"Pham Minh","given":"Doan"},{"family":"Siang","given":"Tan Ji"},{"family":"Vo","given":"Dai-Viet N."},{"family":"Phan","given":"Thanh Son"},{"family":"Ridart","given":"Cyrille"},{"family":"Nzihou","given":"Ange"},{"family":"Grouset","given":"Didier"}],"accessed":{"date-parts":[["2022",2,3]]},"issued":{"date-parts":[["2018"]]}}}],"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223,247</w:t>
            </w:r>
            <w:r w:rsidRPr="006C0789">
              <w:rPr>
                <w:i/>
                <w:sz w:val="18"/>
                <w:szCs w:val="18"/>
              </w:rPr>
              <w:fldChar w:fldCharType="end"/>
            </w:r>
            <w:r w:rsidRPr="006C0789">
              <w:rPr>
                <w:i/>
                <w:sz w:val="18"/>
                <w:szCs w:val="18"/>
              </w:rPr>
              <w:t>, but 4 also mentioned</w:t>
            </w:r>
            <w:r w:rsidRPr="006C0789">
              <w:rPr>
                <w:i/>
                <w:sz w:val="18"/>
                <w:szCs w:val="18"/>
              </w:rPr>
              <w:fldChar w:fldCharType="begin"/>
            </w:r>
            <w:r w:rsidR="005413B4">
              <w:rPr>
                <w:i/>
                <w:sz w:val="18"/>
                <w:szCs w:val="18"/>
              </w:rPr>
              <w:instrText xml:space="preserve"> ADDIN ZOTERO_ITEM CSL_CITATION {"citationID":"qn4gTmlJ","properties":{"formattedCitation":"\\super 249\\nosupersub{}","plainCitation":"249","noteIndex":0},"citationItems":[{"id":12983,"uris":["http://zotero.org/users/6423791/items/6Y2HS8EK"],"itemData":{"id":12983,"type":"article-journal","abstract":"This work investigates the environmental and economic performances of a membrane reactor for hydrogen production from raw biogas. Potential benefits of the innovative technology are compared against reference hydrogen production processes based on steam (or autothermal) reforming, water gas shift reactors and a pressure swing adsorption unit. Both biogas produced by landfill and anaerobic digestion are considered to evaluate the impact of biogas composition. Starting from the thermodynamic results, the environmental analysis is carried out using environmental Life cycle assessment (LCA). Results show that the adoption of the membrane reactor increases the system efficiency by more than 20 percentage points with respect to the reference cases. LCA analysis shows that the innovative BIONICO system performs better than reference systems when biogas becomes a limiting factor for hydrogen production to satisfy market demand, as a higher biogas conversion efficiency can potentially substitute more hydrogen produced by fossil fuels (natural gas). However, when biogas is not a limiting factor for hydrogen production, the innovative system can perform either similar or worse than reference systems, as in this case impacts are largely dominated by grid electric energy demand and component use rather than conversion efficiency. Focusing on the economic results, hydrogen production cost shows lower value with respect to the reference cases (4 €/kgH2 vs 4.2 €/kgH2) at the same hydrogen delivery pressure of 20 bar. Between landfill and anaerobic digestion cases, the latter has the lower costs as a consequence of the higher methane content.","container-title":"Processes","DOI":"10.3390/pr7020086","ISSN":"2227-9717","issue":"2","language":"en","license":"http://creativecommons.org/licenses/by/3.0/","note":"number: 2\npublisher: Multidisciplinary Digital Publishing Institute","page":"86","source":"www.mdpi.com","title":"Life Cycle Assessment and Economic Analysis of an Innovative Biogas Membrane Reformer for Hydrogen Production","volume":"7","author":[{"family":"Di Marcoberardino","given":"Gioele"},{"family":"Liao","given":"Xun"},{"family":"Dauriat","given":"Arnaud"},{"family":"Binotti","given":"Marco"},{"family":"Manzolini","given":"Giampaolo"}],"issued":{"date-parts":[["2019",2]]}}}],"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249</w:t>
            </w:r>
            <w:r w:rsidRPr="006C0789">
              <w:rPr>
                <w:i/>
                <w:sz w:val="18"/>
                <w:szCs w:val="18"/>
              </w:rPr>
              <w:fldChar w:fldCharType="end"/>
            </w:r>
            <w:r w:rsidRPr="006C0789">
              <w:rPr>
                <w:i/>
                <w:sz w:val="18"/>
                <w:szCs w:val="18"/>
              </w:rPr>
              <w:t>. Stoichiometric is 1.</w:t>
            </w:r>
          </w:p>
        </w:tc>
      </w:tr>
      <w:tr w:rsidR="004D7AB5" w:rsidRPr="006C0789" w14:paraId="14FF2DAE" w14:textId="77777777" w:rsidTr="00942782">
        <w:tc>
          <w:tcPr>
            <w:cnfStyle w:val="001000000000" w:firstRow="0" w:lastRow="0" w:firstColumn="1" w:lastColumn="0" w:oddVBand="0" w:evenVBand="0" w:oddHBand="0" w:evenHBand="0" w:firstRowFirstColumn="0" w:firstRowLastColumn="0" w:lastRowFirstColumn="0" w:lastRowLastColumn="0"/>
            <w:tcW w:w="490" w:type="dxa"/>
          </w:tcPr>
          <w:p w14:paraId="5921B54A" w14:textId="77777777" w:rsidR="004D7AB5" w:rsidRPr="006C0789" w:rsidRDefault="004D7AB5" w:rsidP="004D7AB5">
            <w:pPr>
              <w:rPr>
                <w:sz w:val="18"/>
                <w:szCs w:val="18"/>
              </w:rPr>
            </w:pPr>
            <w:r w:rsidRPr="006C0789">
              <w:rPr>
                <w:sz w:val="18"/>
                <w:szCs w:val="18"/>
              </w:rPr>
              <w:t>171</w:t>
            </w:r>
          </w:p>
        </w:tc>
        <w:tc>
          <w:tcPr>
            <w:tcW w:w="1495" w:type="dxa"/>
          </w:tcPr>
          <w:p w14:paraId="7D34B4B7" w14:textId="77777777" w:rsidR="004D7AB5" w:rsidRPr="006C0789" w:rsidRDefault="004D7AB5" w:rsidP="004D7AB5">
            <w:pPr>
              <w:jc w:val="right"/>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SR CH</w:t>
            </w:r>
            <w:r w:rsidRPr="006C0789">
              <w:rPr>
                <w:sz w:val="18"/>
                <w:szCs w:val="18"/>
                <w:vertAlign w:val="subscript"/>
              </w:rPr>
              <w:t>4</w:t>
            </w:r>
            <w:r w:rsidRPr="006C0789">
              <w:rPr>
                <w:sz w:val="18"/>
                <w:szCs w:val="18"/>
              </w:rPr>
              <w:t xml:space="preserve"> conversion yield</w:t>
            </w:r>
          </w:p>
        </w:tc>
        <w:tc>
          <w:tcPr>
            <w:tcW w:w="1417" w:type="dxa"/>
          </w:tcPr>
          <w:p w14:paraId="6A05D2B4" w14:textId="77777777"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%CH</w:t>
            </w:r>
            <w:r w:rsidRPr="006C0789">
              <w:rPr>
                <w:sz w:val="18"/>
                <w:szCs w:val="18"/>
                <w:vertAlign w:val="subscript"/>
              </w:rPr>
              <w:t>4</w:t>
            </w:r>
          </w:p>
        </w:tc>
        <w:tc>
          <w:tcPr>
            <w:tcW w:w="851" w:type="dxa"/>
          </w:tcPr>
          <w:p w14:paraId="7C7137E7" w14:textId="77777777"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85%</w:t>
            </w:r>
          </w:p>
        </w:tc>
        <w:tc>
          <w:tcPr>
            <w:tcW w:w="992" w:type="dxa"/>
          </w:tcPr>
          <w:p w14:paraId="1E7A8411" w14:textId="77777777"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76-95%</w:t>
            </w:r>
          </w:p>
        </w:tc>
        <w:tc>
          <w:tcPr>
            <w:tcW w:w="3827" w:type="dxa"/>
          </w:tcPr>
          <w:p w14:paraId="5D29506C" w14:textId="3419A71A"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i/>
                <w:sz w:val="18"/>
                <w:szCs w:val="18"/>
              </w:rPr>
            </w:pPr>
            <w:r w:rsidRPr="006C0789">
              <w:rPr>
                <w:i/>
                <w:sz w:val="18"/>
                <w:szCs w:val="18"/>
              </w:rPr>
              <w:t>Base value achieved at pilot scale</w:t>
            </w:r>
            <w:r w:rsidRPr="006C0789">
              <w:rPr>
                <w:i/>
                <w:sz w:val="18"/>
                <w:szCs w:val="18"/>
              </w:rPr>
              <w:fldChar w:fldCharType="begin"/>
            </w:r>
            <w:r w:rsidR="005413B4">
              <w:rPr>
                <w:i/>
                <w:sz w:val="18"/>
                <w:szCs w:val="18"/>
              </w:rPr>
              <w:instrText xml:space="preserve"> ADDIN ZOTERO_ITEM CSL_CITATION {"citationID":"KAXFpe8w","properties":{"formattedCitation":"\\super 223,248\\nosupersub{}","plainCitation":"223,248","noteIndex":0},"citationItems":[{"id":12940,"uris":["http://zotero.org/users/6423791/items/KBVGJC6I"],"itemData":{"id":12940,"type":"report","language":"fr","number":"RECORD 13-0239/1A","page":"228","publisher":"Réseau Coopératif de Recherche sur les Déchets et l’Environnement","source":"Zotero","title":"Production d'hydrogène à partir de déchets: Etat de l'art et potentiel d'émergence","URL":"https://hal.archives-ouvertes.fr/hal-01602165","author":[{"family":"Megret","given":"Olivier"},{"family":"Hubert","given":"Loreline"},{"family":"Calbry","given":"M"},{"family":"Trably","given":"Eric"},{"family":"Carrère","given":"Hélène"},{"family":"Garcia-Bernet","given":"Diana"},{"family":"Bernet","given":"Nicolas"}],"issued":{"date-parts":[["2015"]]}}},{"id":12981,"uris":["http://zotero.org/users/6423791/items/8G5SCIXS"],"itemData":{"id":12981,"type":"article-journal","abstract":"The aim of this paper is to demonstrate and to quantify energy flows in a life cycle of biogas to biohydrogen production, starting from feedstock materials via anaerobic digestion, biogas upgrading, biohydrogen production, to the end of biogas system (application of digestate as fertilizer in agriculture). The performance of the biogas plant of Mirotin dairy farm in Serbia has been assessed. According to Life Cycle Energy Assessment approach, results obtained in this study have shown that biohydrogen production via biogas steam reforming has negative energy balance (with −16,837 GJ). It has also been demonstrated that this process is energy unsustainable in an environmental context. In future analysis it would be necessary to consider the other aspects of sustainability, e.g. the economical and social factors in order to estimate the overall sustainability of the biogas utilization pathways, especially having in mind that the technology of converting biogas to hydrogen is still in the development phase.","container-title":"International Journal of Hydrogen Energy","DOI":"10.1016/j.ijhydene.2021.01.181","ISSN":"0360-3199","issue":"27","journalAbbreviation":"International Journal of Hydrogen Energy","language":"en","page":"14130-14137","source":"ScienceDirect","title":"Life Cycle Energy Assessment of biohydrogen production via biogas steam reforming: Case study of biogas plant on a farm in Serbia","title-short":"Life Cycle Energy Assessment of biohydrogen production via biogas steam reforming","volume":"46","author":[{"family":"Cvetković","given":"Slobodan M."},{"family":"Radoičić","given":"Tatjana Kaluđerović"},{"family":"Kijevčanin","given":"Mirjana"},{"family":"Novaković","given":"Jasmina Grbović"}],"issued":{"date-parts":[["2021",4,19]]}}}],"schema":"https://github.com/citation-style-language/schema/raw/master/csl-citation.json"}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223,248</w:t>
            </w:r>
            <w:r w:rsidRPr="006C0789">
              <w:rPr>
                <w:i/>
                <w:sz w:val="18"/>
                <w:szCs w:val="18"/>
              </w:rPr>
              <w:fldChar w:fldCharType="end"/>
            </w:r>
            <w:r w:rsidRPr="006C0789">
              <w:rPr>
                <w:i/>
                <w:sz w:val="18"/>
                <w:szCs w:val="18"/>
              </w:rPr>
              <w:t>, but higher value reported by Linde plant</w:t>
            </w:r>
            <w:r w:rsidRPr="006C0789">
              <w:rPr>
                <w:i/>
                <w:sz w:val="18"/>
                <w:szCs w:val="18"/>
              </w:rPr>
              <w:fldChar w:fldCharType="begin"/>
            </w:r>
            <w:r w:rsidR="005413B4">
              <w:rPr>
                <w:i/>
                <w:sz w:val="18"/>
                <w:szCs w:val="18"/>
              </w:rPr>
              <w:instrText xml:space="preserve"> ADDIN ZOTERO_ITEM CSL_CITATION {"citationID":"H5xmOUcC","properties":{"formattedCitation":"\\super 247\\nosupersub{}","plainCitation":"247","noteIndex":0},"citationItems":[{"id":12948,"uris":["http://zotero.org/users/6423791/items/K75N7HJR"],"itemData":{"id":12948,"type":"chapter","container-title":"Hydrogen Supply Chains","ISBN":"978-0-12-811197-0","language":"en","note":"DOI: 10.1016/B978-0-12-811197-0.00004-X","page":"111-166","publisher":"Elsevier","source":"DOI.org (Crossref)","title":"Hydrogen Production From Biogas Reforming: An Overview of Steam Reforming, Dry Reforming, Dual Reforming, and Tri-Reforming of Methane","title-short":"Hydrogen Production From Biogas Reforming","URL":"https://linkinghub.elsevier.com/retrieve/pii/B978012811197000004X","author":[{"family":"Pham Minh","given":"Doan"},{"family":"Siang","given":"Tan Ji"},{"family":"Vo","given":"Dai-Viet N."},{"family":"Phan","given":"Thanh Son"},{"family":"Ridart","given":"Cyrille"},{"family":"Nzihou","given":"Ange"},{"family":"Grouset","given":"Didier"}],"accessed":{"date-parts":[["2022",2,3]]},"issued":{"date-parts":[["2018"]]}}}],"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247</w:t>
            </w:r>
            <w:r w:rsidRPr="006C0789">
              <w:rPr>
                <w:i/>
                <w:sz w:val="18"/>
                <w:szCs w:val="18"/>
              </w:rPr>
              <w:fldChar w:fldCharType="end"/>
            </w:r>
            <w:r w:rsidRPr="006C0789">
              <w:rPr>
                <w:i/>
                <w:sz w:val="18"/>
                <w:szCs w:val="18"/>
              </w:rPr>
              <w:t>. Lower value reviewed</w:t>
            </w:r>
            <w:r w:rsidRPr="006C0789">
              <w:rPr>
                <w:i/>
                <w:sz w:val="18"/>
                <w:szCs w:val="18"/>
              </w:rPr>
              <w:fldChar w:fldCharType="begin"/>
            </w:r>
            <w:r w:rsidR="005413B4">
              <w:rPr>
                <w:i/>
                <w:sz w:val="18"/>
                <w:szCs w:val="18"/>
              </w:rPr>
              <w:instrText xml:space="preserve"> ADDIN ZOTERO_ITEM CSL_CITATION {"citationID":"PHKJSDsO","properties":{"formattedCitation":"\\super 160\\nosupersub{}","plainCitation":"160","noteIndex":0},"citationItems":[{"id":14068,"uris":["http://zotero.org/users/6423791/items/TS3JFBRR"],"itemData":{"id":14068,"type":"article-journal","abstract":"Climate neutrality is becoming a core long-term competitiveness asset within the aviation industry, as demonstrated by the several innovations and targets set within that sector, prior to and especially after the COVID-19 crisis. Ambitious timelines are set, involving important investment decisions to be taken in a 5-years horizon time. Here, we provide an in-depth review of alternative technologies for sustainable aviation revealed to date, which we classified into four main categories, namely i) biofuels, ii) electrofuels, iii) electric (battery-based), and iv) hydrogen aviation. Nine biofuel and nine electrofuel pathways were reviewed, for which we supply the detailed process flow picturing all input, output, and co-products generated. The market uptake and use of these co-products was also investigated, along with the overall international regulations and targets for future aviation. As most of the inventoried pathways require hydrogen, we further reviewed six existing and emerging carbon-free hydrogen production technologies. Our review also details the five key battery technologies available (lithium-ion, advanced lithium-ion, solid-state battery, lithium-sulfur, lithium-air) for aviation. A semi-quantitative ranking covering environmental-, economic-, and technological performance indicators has been established to guide the selection of promising routes. The possible configuration schemes for electric propulsion systems are documented and classified as: i) battery-based, ii) fuel cell-based and iii) turboelectric configurations. Our review studied these four categories of sustainable aviation systems as modular technologies, yet these still have to be used in a hybridized fashion with conventional fossil-based kerosene. This is among others due to an aromatics content below the standardized requirements for biofuels and electrofuels, to a too low energy storage capacity in the case of batteries, or a sub-optimal gas turbine engine in the case of cryogenic hydrogen. Yet, we found that the latter was the only available option, based on the current and emerging technologies reviewed, for long-range aviation completely decoupled of fossil-based hydrocarbon fuels. The various challenges and opportunities associated with all these technologies are summarized in this study.","container-title":"Progress in Energy and Combustion Science","DOI":"10.1016/j.pecs.2023.101073","ISSN":"0360-1285","journalAbbreviation":"Prog. Energy Combust. Sci.","language":"en","page":"101073","source":"ScienceDirect","title":"Biofuels, electrofuels, electric or hydrogen?: A review of current and emerging sustainable aviation systems","title-short":"Biofuels, electrofuels, electric or hydrogen?","volume":"96","author":[{"family":"Su-ungkavatin","given":"Pimchanok"},{"family":"Tiruta-Barna","given":"Ligia"},{"family":"Hamelin","given":"Lorie"}],"issued":{"date-parts":[["2023",5,1]]}}}],"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160</w:t>
            </w:r>
            <w:r w:rsidRPr="006C0789">
              <w:rPr>
                <w:i/>
                <w:sz w:val="18"/>
                <w:szCs w:val="18"/>
              </w:rPr>
              <w:fldChar w:fldCharType="end"/>
            </w:r>
            <w:r w:rsidRPr="006C0789">
              <w:rPr>
                <w:i/>
                <w:sz w:val="18"/>
                <w:szCs w:val="18"/>
              </w:rPr>
              <w:t>.</w:t>
            </w:r>
          </w:p>
        </w:tc>
      </w:tr>
      <w:tr w:rsidR="004D7AB5" w:rsidRPr="006C0789" w14:paraId="01F3BAB1"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0" w:type="dxa"/>
          </w:tcPr>
          <w:p w14:paraId="1C883C03" w14:textId="77777777" w:rsidR="004D7AB5" w:rsidRPr="006C0789" w:rsidRDefault="004D7AB5" w:rsidP="004D7AB5">
            <w:pPr>
              <w:rPr>
                <w:sz w:val="18"/>
                <w:szCs w:val="18"/>
              </w:rPr>
            </w:pPr>
            <w:r w:rsidRPr="006C0789">
              <w:rPr>
                <w:sz w:val="18"/>
                <w:szCs w:val="18"/>
              </w:rPr>
              <w:t>172</w:t>
            </w:r>
          </w:p>
        </w:tc>
        <w:tc>
          <w:tcPr>
            <w:tcW w:w="1495" w:type="dxa"/>
          </w:tcPr>
          <w:p w14:paraId="317303BA" w14:textId="77777777" w:rsidR="004D7AB5" w:rsidRPr="006C0789" w:rsidRDefault="004D7AB5" w:rsidP="004D7AB5">
            <w:pPr>
              <w:jc w:val="right"/>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SR outlet losses</w:t>
            </w:r>
          </w:p>
        </w:tc>
        <w:tc>
          <w:tcPr>
            <w:tcW w:w="1417" w:type="dxa"/>
          </w:tcPr>
          <w:p w14:paraId="2462B8BC" w14:textId="77777777"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w:t>
            </w:r>
            <w:r w:rsidRPr="006C0789">
              <w:rPr>
                <w:sz w:val="18"/>
                <w:szCs w:val="18"/>
                <w:vertAlign w:val="subscript"/>
              </w:rPr>
              <w:t>out</w:t>
            </w:r>
          </w:p>
        </w:tc>
        <w:tc>
          <w:tcPr>
            <w:tcW w:w="851" w:type="dxa"/>
          </w:tcPr>
          <w:p w14:paraId="7A55C6AE" w14:textId="77777777"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1%</w:t>
            </w:r>
          </w:p>
        </w:tc>
        <w:tc>
          <w:tcPr>
            <w:tcW w:w="992" w:type="dxa"/>
          </w:tcPr>
          <w:p w14:paraId="47B3FEDE" w14:textId="77777777"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1-2%</w:t>
            </w:r>
          </w:p>
        </w:tc>
        <w:tc>
          <w:tcPr>
            <w:tcW w:w="3827" w:type="dxa"/>
          </w:tcPr>
          <w:p w14:paraId="5F4555A6" w14:textId="77777777"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i/>
                <w:sz w:val="18"/>
                <w:szCs w:val="18"/>
              </w:rPr>
            </w:pPr>
            <w:r w:rsidRPr="006C0789">
              <w:rPr>
                <w:i/>
                <w:sz w:val="18"/>
                <w:szCs w:val="18"/>
              </w:rPr>
              <w:t>Assumed, no references found.</w:t>
            </w:r>
          </w:p>
        </w:tc>
      </w:tr>
      <w:tr w:rsidR="004D7AB5" w:rsidRPr="006C0789" w14:paraId="20C586CE" w14:textId="77777777" w:rsidTr="00942782">
        <w:tc>
          <w:tcPr>
            <w:cnfStyle w:val="001000000000" w:firstRow="0" w:lastRow="0" w:firstColumn="1" w:lastColumn="0" w:oddVBand="0" w:evenVBand="0" w:oddHBand="0" w:evenHBand="0" w:firstRowFirstColumn="0" w:firstRowLastColumn="0" w:lastRowFirstColumn="0" w:lastRowLastColumn="0"/>
            <w:tcW w:w="490" w:type="dxa"/>
          </w:tcPr>
          <w:p w14:paraId="1058342A" w14:textId="11092E66" w:rsidR="004D7AB5" w:rsidRPr="006C0789" w:rsidRDefault="004D7AB5" w:rsidP="004D7AB5">
            <w:pPr>
              <w:rPr>
                <w:sz w:val="18"/>
                <w:szCs w:val="18"/>
              </w:rPr>
            </w:pPr>
            <w:r w:rsidRPr="006C0789">
              <w:rPr>
                <w:sz w:val="18"/>
                <w:szCs w:val="18"/>
              </w:rPr>
              <w:t>173</w:t>
            </w:r>
          </w:p>
        </w:tc>
        <w:tc>
          <w:tcPr>
            <w:tcW w:w="1495" w:type="dxa"/>
          </w:tcPr>
          <w:p w14:paraId="22D5EEF3" w14:textId="2845C9C3" w:rsidR="004D7AB5" w:rsidRPr="006C0789" w:rsidRDefault="004D7AB5" w:rsidP="004D7AB5">
            <w:pPr>
              <w:jc w:val="right"/>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WCS steam:gas ratio</w:t>
            </w:r>
          </w:p>
        </w:tc>
        <w:tc>
          <w:tcPr>
            <w:tcW w:w="1417" w:type="dxa"/>
          </w:tcPr>
          <w:p w14:paraId="043CA2E4" w14:textId="1859F4FD"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vol basis</w:t>
            </w:r>
          </w:p>
        </w:tc>
        <w:tc>
          <w:tcPr>
            <w:tcW w:w="851" w:type="dxa"/>
          </w:tcPr>
          <w:p w14:paraId="2541CAAA" w14:textId="4E185BC3"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0.6</w:t>
            </w:r>
          </w:p>
        </w:tc>
        <w:tc>
          <w:tcPr>
            <w:tcW w:w="992" w:type="dxa"/>
          </w:tcPr>
          <w:p w14:paraId="68089A52" w14:textId="1785171E"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0.5-0.7</w:t>
            </w:r>
          </w:p>
        </w:tc>
        <w:tc>
          <w:tcPr>
            <w:tcW w:w="3827" w:type="dxa"/>
          </w:tcPr>
          <w:p w14:paraId="2D152F54" w14:textId="31EE264D"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i/>
                <w:sz w:val="18"/>
                <w:szCs w:val="18"/>
              </w:rPr>
            </w:pPr>
            <w:r w:rsidRPr="006C0789">
              <w:rPr>
                <w:i/>
                <w:sz w:val="18"/>
                <w:szCs w:val="18"/>
                <w:lang w:val="fr-FR"/>
              </w:rPr>
              <w:t>Based on Megret et al., 2015</w:t>
            </w:r>
            <w:r w:rsidRPr="006C0789">
              <w:rPr>
                <w:i/>
                <w:sz w:val="18"/>
                <w:szCs w:val="18"/>
              </w:rPr>
              <w:fldChar w:fldCharType="begin"/>
            </w:r>
            <w:r w:rsidR="005413B4">
              <w:rPr>
                <w:i/>
                <w:sz w:val="18"/>
                <w:szCs w:val="18"/>
                <w:lang w:val="fr-FR"/>
              </w:rPr>
              <w:instrText xml:space="preserve"> ADDIN ZOTERO_ITEM CSL_CITATION {"citationID":"o9w2277F","properties":{"formattedCitation":"\\super 223\\nosupersub{}","plainCitation":"223","noteIndex":0},"citationItems":[{"id":12940,"uris":["http://zotero.org/users/6423791/items/KBVGJC6I"],"itemData":{"id":12940,"type":"report","language":"fr","number":"RECORD 13-0239/1A","page":"228","publisher":"Réseau Coopératif de Recherche sur les Déchets et l’Environnement","source":"Zotero","title":"Production d'hydrogène à partir de déchets: Etat de l'art et potentiel d'émergence","URL":"https://hal.archives-ouvertes.fr/hal-01602165","author":[{"family":"Megret","given":"Olivier"},{"family":"Hubert","given":"Loreline"},{"family":"Calbry","given":"M"},{"family":"Trably","given":"Eric"},{"family":"Carrère","given":"Hélène"},{"family":"Garcia-Bernet","given":"Diana"},{"family":"Bernet","given":"Nicolas"}],"issued":{"date-parts":[["2015"]]}}}],"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lang w:val="fr-FR"/>
              </w:rPr>
              <w:t>223</w:t>
            </w:r>
            <w:r w:rsidRPr="006C0789">
              <w:rPr>
                <w:i/>
                <w:sz w:val="18"/>
                <w:szCs w:val="18"/>
              </w:rPr>
              <w:fldChar w:fldCharType="end"/>
            </w:r>
            <w:r w:rsidRPr="006C0789">
              <w:rPr>
                <w:i/>
                <w:sz w:val="18"/>
                <w:szCs w:val="18"/>
                <w:lang w:val="fr-FR"/>
              </w:rPr>
              <w:t xml:space="preserve">. </w:t>
            </w:r>
            <w:r w:rsidRPr="006C0789">
              <w:rPr>
                <w:i/>
                <w:sz w:val="18"/>
                <w:szCs w:val="18"/>
              </w:rPr>
              <w:t>Gas considered dried and without N</w:t>
            </w:r>
            <w:r w:rsidRPr="006C0789">
              <w:rPr>
                <w:i/>
                <w:sz w:val="18"/>
                <w:szCs w:val="18"/>
                <w:vertAlign w:val="subscript"/>
              </w:rPr>
              <w:t>2</w:t>
            </w:r>
            <w:r w:rsidRPr="006C0789">
              <w:rPr>
                <w:i/>
                <w:sz w:val="18"/>
                <w:szCs w:val="18"/>
              </w:rPr>
              <w:t>.</w:t>
            </w:r>
          </w:p>
        </w:tc>
      </w:tr>
      <w:tr w:rsidR="004D7AB5" w:rsidRPr="006C0789" w14:paraId="6CEF66FC"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0" w:type="dxa"/>
          </w:tcPr>
          <w:p w14:paraId="39AB3CFD" w14:textId="614321E8" w:rsidR="004D7AB5" w:rsidRPr="006C0789" w:rsidRDefault="004D7AB5" w:rsidP="004D7AB5">
            <w:pPr>
              <w:rPr>
                <w:sz w:val="18"/>
                <w:szCs w:val="18"/>
              </w:rPr>
            </w:pPr>
            <w:r w:rsidRPr="006C0789">
              <w:rPr>
                <w:sz w:val="18"/>
                <w:szCs w:val="18"/>
              </w:rPr>
              <w:t>174</w:t>
            </w:r>
          </w:p>
        </w:tc>
        <w:tc>
          <w:tcPr>
            <w:tcW w:w="1495" w:type="dxa"/>
          </w:tcPr>
          <w:p w14:paraId="794F84BB" w14:textId="6778A768" w:rsidR="004D7AB5" w:rsidRPr="006C0789" w:rsidRDefault="004D7AB5" w:rsidP="004D7AB5">
            <w:pPr>
              <w:jc w:val="right"/>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WCS CO conversion yield</w:t>
            </w:r>
          </w:p>
        </w:tc>
        <w:tc>
          <w:tcPr>
            <w:tcW w:w="1417" w:type="dxa"/>
          </w:tcPr>
          <w:p w14:paraId="7AA3FD6E" w14:textId="1ABB30BA"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w:t>
            </w:r>
            <w:r w:rsidRPr="006C0789">
              <w:rPr>
                <w:sz w:val="18"/>
                <w:szCs w:val="18"/>
                <w:vertAlign w:val="subscript"/>
              </w:rPr>
              <w:t>CO</w:t>
            </w:r>
          </w:p>
        </w:tc>
        <w:tc>
          <w:tcPr>
            <w:tcW w:w="851" w:type="dxa"/>
          </w:tcPr>
          <w:p w14:paraId="003E5CC7" w14:textId="1A491149"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85%</w:t>
            </w:r>
          </w:p>
        </w:tc>
        <w:tc>
          <w:tcPr>
            <w:tcW w:w="992" w:type="dxa"/>
          </w:tcPr>
          <w:p w14:paraId="7379DC7C" w14:textId="0028DC77"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80-89%</w:t>
            </w:r>
          </w:p>
        </w:tc>
        <w:tc>
          <w:tcPr>
            <w:tcW w:w="3827" w:type="dxa"/>
          </w:tcPr>
          <w:p w14:paraId="250C88F8" w14:textId="75FDA5F2"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i/>
                <w:sz w:val="18"/>
                <w:szCs w:val="18"/>
              </w:rPr>
            </w:pPr>
            <w:r w:rsidRPr="006C0789">
              <w:rPr>
                <w:i/>
                <w:sz w:val="18"/>
                <w:szCs w:val="18"/>
              </w:rPr>
              <w:t>Megret et al., 2015 considered 85% while Pham Minh et al., 2018</w:t>
            </w:r>
            <w:r w:rsidRPr="006C0789">
              <w:rPr>
                <w:i/>
                <w:sz w:val="18"/>
                <w:szCs w:val="18"/>
              </w:rPr>
              <w:fldChar w:fldCharType="begin"/>
            </w:r>
            <w:r w:rsidR="005413B4">
              <w:rPr>
                <w:i/>
                <w:sz w:val="18"/>
                <w:szCs w:val="18"/>
              </w:rPr>
              <w:instrText xml:space="preserve"> ADDIN ZOTERO_ITEM CSL_CITATION {"citationID":"m8o6BNoj","properties":{"formattedCitation":"\\super 247\\nosupersub{}","plainCitation":"247","noteIndex":0},"citationItems":[{"id":12948,"uris":["http://zotero.org/users/6423791/items/K75N7HJR"],"itemData":{"id":12948,"type":"chapter","container-title":"Hydrogen Supply Chains","ISBN":"978-0-12-811197-0","language":"en","note":"DOI: 10.1016/B978-0-12-811197-0.00004-X","page":"111-166","publisher":"Elsevier","source":"DOI.org (Crossref)","title":"Hydrogen Production From Biogas Reforming: An Overview of Steam Reforming, Dry Reforming, Dual Reforming, and Tri-Reforming of Methane","title-short":"Hydrogen Production From Biogas Reforming","URL":"https://linkinghub.elsevier.com/retrieve/pii/B978012811197000004X","author":[{"family":"Pham Minh","given":"Doan"},{"family":"Siang","given":"Tan Ji"},{"family":"Vo","given":"Dai-Viet N."},{"family":"Phan","given":"Thanh Son"},{"family":"Ridart","given":"Cyrille"},{"family":"Nzihou","given":"Ange"},{"family":"Grouset","given":"Didier"}],"accessed":{"date-parts":[["2022",2,3]]},"issued":{"date-parts":[["2018"]]}}}],"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247</w:t>
            </w:r>
            <w:r w:rsidRPr="006C0789">
              <w:rPr>
                <w:i/>
                <w:sz w:val="18"/>
                <w:szCs w:val="18"/>
              </w:rPr>
              <w:fldChar w:fldCharType="end"/>
            </w:r>
            <w:r w:rsidRPr="006C0789">
              <w:rPr>
                <w:i/>
                <w:sz w:val="18"/>
                <w:szCs w:val="18"/>
              </w:rPr>
              <w:t xml:space="preserve"> used 89%. Lower value assumed.</w:t>
            </w:r>
          </w:p>
        </w:tc>
      </w:tr>
      <w:tr w:rsidR="004D7AB5" w:rsidRPr="006C0789" w14:paraId="54578B4A" w14:textId="77777777" w:rsidTr="00942782">
        <w:tc>
          <w:tcPr>
            <w:cnfStyle w:val="001000000000" w:firstRow="0" w:lastRow="0" w:firstColumn="1" w:lastColumn="0" w:oddVBand="0" w:evenVBand="0" w:oddHBand="0" w:evenHBand="0" w:firstRowFirstColumn="0" w:firstRowLastColumn="0" w:lastRowFirstColumn="0" w:lastRowLastColumn="0"/>
            <w:tcW w:w="490" w:type="dxa"/>
          </w:tcPr>
          <w:p w14:paraId="4E71E07C" w14:textId="6983315C" w:rsidR="004D7AB5" w:rsidRPr="006C0789" w:rsidRDefault="004D7AB5" w:rsidP="004D7AB5">
            <w:pPr>
              <w:rPr>
                <w:sz w:val="18"/>
                <w:szCs w:val="18"/>
              </w:rPr>
            </w:pPr>
            <w:r w:rsidRPr="006C0789">
              <w:rPr>
                <w:sz w:val="18"/>
                <w:szCs w:val="18"/>
              </w:rPr>
              <w:t>175</w:t>
            </w:r>
          </w:p>
        </w:tc>
        <w:tc>
          <w:tcPr>
            <w:tcW w:w="1495" w:type="dxa"/>
          </w:tcPr>
          <w:p w14:paraId="01BDDAF4" w14:textId="690985FD" w:rsidR="004D7AB5" w:rsidRPr="006C0789" w:rsidRDefault="004D7AB5" w:rsidP="004D7AB5">
            <w:pPr>
              <w:jc w:val="right"/>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WCS outlet losses</w:t>
            </w:r>
          </w:p>
        </w:tc>
        <w:tc>
          <w:tcPr>
            <w:tcW w:w="1417" w:type="dxa"/>
          </w:tcPr>
          <w:p w14:paraId="6B857750" w14:textId="2D662682"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w:t>
            </w:r>
            <w:r w:rsidRPr="006C0789">
              <w:rPr>
                <w:sz w:val="18"/>
                <w:szCs w:val="18"/>
                <w:vertAlign w:val="subscript"/>
              </w:rPr>
              <w:t>out</w:t>
            </w:r>
          </w:p>
        </w:tc>
        <w:tc>
          <w:tcPr>
            <w:tcW w:w="851" w:type="dxa"/>
          </w:tcPr>
          <w:p w14:paraId="7A3F2C80" w14:textId="42E01CC6"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1%</w:t>
            </w:r>
          </w:p>
        </w:tc>
        <w:tc>
          <w:tcPr>
            <w:tcW w:w="992" w:type="dxa"/>
          </w:tcPr>
          <w:p w14:paraId="649B25C1" w14:textId="2ABC9FB6"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0-1%</w:t>
            </w:r>
          </w:p>
        </w:tc>
        <w:tc>
          <w:tcPr>
            <w:tcW w:w="3827" w:type="dxa"/>
          </w:tcPr>
          <w:p w14:paraId="2F0455AD" w14:textId="2147E368"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i/>
                <w:sz w:val="18"/>
                <w:szCs w:val="18"/>
              </w:rPr>
            </w:pPr>
            <w:r w:rsidRPr="006C0789">
              <w:rPr>
                <w:i/>
                <w:sz w:val="18"/>
                <w:szCs w:val="18"/>
              </w:rPr>
              <w:t>Assumed</w:t>
            </w:r>
          </w:p>
        </w:tc>
      </w:tr>
      <w:tr w:rsidR="004D7AB5" w:rsidRPr="006C0789" w14:paraId="4FDBFE81"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0" w:type="dxa"/>
          </w:tcPr>
          <w:p w14:paraId="63F9E223" w14:textId="5DEBE1E6" w:rsidR="004D7AB5" w:rsidRPr="006C0789" w:rsidRDefault="004D7AB5" w:rsidP="004D7AB5">
            <w:pPr>
              <w:rPr>
                <w:sz w:val="18"/>
                <w:szCs w:val="18"/>
              </w:rPr>
            </w:pPr>
            <w:r w:rsidRPr="006C0789">
              <w:rPr>
                <w:sz w:val="18"/>
                <w:szCs w:val="18"/>
              </w:rPr>
              <w:t>176</w:t>
            </w:r>
          </w:p>
        </w:tc>
        <w:tc>
          <w:tcPr>
            <w:tcW w:w="1495" w:type="dxa"/>
          </w:tcPr>
          <w:p w14:paraId="04653807" w14:textId="3D461B95" w:rsidR="004D7AB5" w:rsidRPr="006C0789" w:rsidRDefault="004D7AB5" w:rsidP="004D7AB5">
            <w:pPr>
              <w:jc w:val="right"/>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Methanation conversion yield</w:t>
            </w:r>
          </w:p>
        </w:tc>
        <w:tc>
          <w:tcPr>
            <w:tcW w:w="1417" w:type="dxa"/>
          </w:tcPr>
          <w:p w14:paraId="3A2319D1" w14:textId="459CF39A"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w:t>
            </w:r>
            <w:r w:rsidRPr="006C0789">
              <w:rPr>
                <w:sz w:val="18"/>
                <w:szCs w:val="18"/>
                <w:vertAlign w:val="subscript"/>
              </w:rPr>
              <w:t>C</w:t>
            </w:r>
          </w:p>
        </w:tc>
        <w:tc>
          <w:tcPr>
            <w:tcW w:w="851" w:type="dxa"/>
          </w:tcPr>
          <w:p w14:paraId="6FA24662" w14:textId="313A37EF"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95%</w:t>
            </w:r>
          </w:p>
        </w:tc>
        <w:tc>
          <w:tcPr>
            <w:tcW w:w="992" w:type="dxa"/>
          </w:tcPr>
          <w:p w14:paraId="3F73072D" w14:textId="21808F43"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92-98%</w:t>
            </w:r>
          </w:p>
        </w:tc>
        <w:tc>
          <w:tcPr>
            <w:tcW w:w="3827" w:type="dxa"/>
          </w:tcPr>
          <w:p w14:paraId="3AE720A4" w14:textId="3F2495AD"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i/>
                <w:sz w:val="18"/>
                <w:szCs w:val="18"/>
              </w:rPr>
            </w:pPr>
            <w:r w:rsidRPr="006C0789">
              <w:rPr>
                <w:i/>
                <w:sz w:val="18"/>
                <w:szCs w:val="18"/>
              </w:rPr>
              <w:t>Forecasted performances of 95-98%, currently lower</w:t>
            </w:r>
            <w:r w:rsidRPr="006C0789">
              <w:rPr>
                <w:i/>
                <w:sz w:val="18"/>
                <w:szCs w:val="18"/>
              </w:rPr>
              <w:fldChar w:fldCharType="begin"/>
            </w:r>
            <w:r w:rsidR="005413B4">
              <w:rPr>
                <w:i/>
                <w:sz w:val="18"/>
                <w:szCs w:val="18"/>
              </w:rPr>
              <w:instrText xml:space="preserve"> ADDIN ZOTERO_ITEM CSL_CITATION {"citationID":"IyJlj89Q","properties":{"formattedCitation":"\\super 240\\nosupersub{}","plainCitation":"240","noteIndex":0},"citationItems":[{"id":12938,"uris":["http://zotero.org/users/6423791/items/A38JDL8H"],"itemData":{"id":12938,"type":"report","number":"0005","page":"313","publisher":"Energinet","title":"Technology Data - Renewable fuels","URL":"http://www.ens.dk/teknologikatalog","author":[{"literal":"Danish Energy Agency"}],"issued":{"date-parts":[["2022"]]}}}],"schema":"https://github.com/citation-style-language/schema/raw/master/csl-citation.json"}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240</w:t>
            </w:r>
            <w:r w:rsidRPr="006C0789">
              <w:rPr>
                <w:i/>
                <w:sz w:val="18"/>
                <w:szCs w:val="18"/>
              </w:rPr>
              <w:fldChar w:fldCharType="end"/>
            </w:r>
          </w:p>
        </w:tc>
      </w:tr>
      <w:tr w:rsidR="004D7AB5" w:rsidRPr="006C0789" w14:paraId="64E3ABE2" w14:textId="77777777" w:rsidTr="00942782">
        <w:tc>
          <w:tcPr>
            <w:cnfStyle w:val="001000000000" w:firstRow="0" w:lastRow="0" w:firstColumn="1" w:lastColumn="0" w:oddVBand="0" w:evenVBand="0" w:oddHBand="0" w:evenHBand="0" w:firstRowFirstColumn="0" w:firstRowLastColumn="0" w:lastRowFirstColumn="0" w:lastRowLastColumn="0"/>
            <w:tcW w:w="490" w:type="dxa"/>
          </w:tcPr>
          <w:p w14:paraId="3A358071" w14:textId="3DBD740B" w:rsidR="004D7AB5" w:rsidRPr="006C0789" w:rsidRDefault="004D7AB5" w:rsidP="004D7AB5">
            <w:pPr>
              <w:rPr>
                <w:sz w:val="18"/>
                <w:szCs w:val="18"/>
              </w:rPr>
            </w:pPr>
            <w:r w:rsidRPr="006C0789">
              <w:rPr>
                <w:sz w:val="18"/>
                <w:szCs w:val="18"/>
              </w:rPr>
              <w:t>177</w:t>
            </w:r>
          </w:p>
        </w:tc>
        <w:tc>
          <w:tcPr>
            <w:tcW w:w="1495" w:type="dxa"/>
          </w:tcPr>
          <w:p w14:paraId="318D443F" w14:textId="28199B4C" w:rsidR="004D7AB5" w:rsidRPr="006C0789" w:rsidRDefault="004D7AB5" w:rsidP="004D7AB5">
            <w:pPr>
              <w:jc w:val="right"/>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Methanation outlet losses</w:t>
            </w:r>
          </w:p>
        </w:tc>
        <w:tc>
          <w:tcPr>
            <w:tcW w:w="1417" w:type="dxa"/>
          </w:tcPr>
          <w:p w14:paraId="137FEC85" w14:textId="79676927"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w:t>
            </w:r>
            <w:r w:rsidRPr="006C0789">
              <w:rPr>
                <w:sz w:val="18"/>
                <w:szCs w:val="18"/>
                <w:vertAlign w:val="subscript"/>
              </w:rPr>
              <w:t>out</w:t>
            </w:r>
          </w:p>
        </w:tc>
        <w:tc>
          <w:tcPr>
            <w:tcW w:w="851" w:type="dxa"/>
          </w:tcPr>
          <w:p w14:paraId="2DA176AB" w14:textId="0F3A065D"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1%</w:t>
            </w:r>
          </w:p>
        </w:tc>
        <w:tc>
          <w:tcPr>
            <w:tcW w:w="992" w:type="dxa"/>
          </w:tcPr>
          <w:p w14:paraId="26525B7C" w14:textId="4012E7BD"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0-1%</w:t>
            </w:r>
          </w:p>
        </w:tc>
        <w:tc>
          <w:tcPr>
            <w:tcW w:w="3827" w:type="dxa"/>
          </w:tcPr>
          <w:p w14:paraId="408C63F6" w14:textId="30512237"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i/>
                <w:sz w:val="18"/>
                <w:szCs w:val="18"/>
              </w:rPr>
            </w:pPr>
            <w:r w:rsidRPr="006C0789">
              <w:rPr>
                <w:i/>
                <w:sz w:val="18"/>
                <w:szCs w:val="18"/>
              </w:rPr>
              <w:t>Assumed</w:t>
            </w:r>
          </w:p>
        </w:tc>
      </w:tr>
      <w:tr w:rsidR="004D7AB5" w:rsidRPr="006C0789" w14:paraId="38B9C98C"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0" w:type="dxa"/>
          </w:tcPr>
          <w:p w14:paraId="3D92584F" w14:textId="339A68AE" w:rsidR="004D7AB5" w:rsidRPr="006C0789" w:rsidRDefault="004D7AB5" w:rsidP="004D7AB5">
            <w:pPr>
              <w:rPr>
                <w:sz w:val="18"/>
                <w:szCs w:val="18"/>
              </w:rPr>
            </w:pPr>
            <w:r w:rsidRPr="006C0789">
              <w:rPr>
                <w:sz w:val="18"/>
                <w:szCs w:val="18"/>
              </w:rPr>
              <w:t>178</w:t>
            </w:r>
          </w:p>
        </w:tc>
        <w:tc>
          <w:tcPr>
            <w:tcW w:w="1495" w:type="dxa"/>
          </w:tcPr>
          <w:p w14:paraId="3252A9BE" w14:textId="45AEA6BD" w:rsidR="004D7AB5" w:rsidRPr="006C0789" w:rsidRDefault="004D7AB5" w:rsidP="004D7AB5">
            <w:pPr>
              <w:jc w:val="right"/>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Methanation electricity, GA</w:t>
            </w:r>
          </w:p>
        </w:tc>
        <w:tc>
          <w:tcPr>
            <w:tcW w:w="1417" w:type="dxa"/>
          </w:tcPr>
          <w:p w14:paraId="28469CBD" w14:textId="583F7E18"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kWh.kg</w:t>
            </w:r>
            <w:r w:rsidRPr="006C0789">
              <w:rPr>
                <w:sz w:val="18"/>
                <w:szCs w:val="18"/>
                <w:vertAlign w:val="subscript"/>
              </w:rPr>
              <w:t>CH4</w:t>
            </w:r>
            <w:r w:rsidRPr="006C0789">
              <w:rPr>
                <w:sz w:val="18"/>
                <w:szCs w:val="18"/>
                <w:vertAlign w:val="superscript"/>
              </w:rPr>
              <w:t>-1</w:t>
            </w:r>
          </w:p>
        </w:tc>
        <w:tc>
          <w:tcPr>
            <w:tcW w:w="851" w:type="dxa"/>
          </w:tcPr>
          <w:p w14:paraId="37F7D9C6" w14:textId="16D54BF8"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1.24</w:t>
            </w:r>
          </w:p>
        </w:tc>
        <w:tc>
          <w:tcPr>
            <w:tcW w:w="992" w:type="dxa"/>
          </w:tcPr>
          <w:p w14:paraId="3A6A55F9" w14:textId="0FD01621"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1-10</w:t>
            </w:r>
          </w:p>
        </w:tc>
        <w:tc>
          <w:tcPr>
            <w:tcW w:w="3827" w:type="dxa"/>
          </w:tcPr>
          <w:p w14:paraId="1C711185" w14:textId="5F2BF7D0"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i/>
                <w:sz w:val="18"/>
                <w:szCs w:val="18"/>
              </w:rPr>
            </w:pPr>
            <w:r w:rsidRPr="006C0789">
              <w:rPr>
                <w:i/>
                <w:sz w:val="18"/>
                <w:szCs w:val="18"/>
              </w:rPr>
              <w:t>Proxy of both syngas WCS and methanation. Higher value used by Lodato et al., 2022</w:t>
            </w:r>
            <w:r w:rsidRPr="006C0789">
              <w:rPr>
                <w:i/>
                <w:sz w:val="18"/>
                <w:szCs w:val="18"/>
              </w:rPr>
              <w:fldChar w:fldCharType="begin"/>
            </w:r>
            <w:r w:rsidR="00827449">
              <w:rPr>
                <w:i/>
                <w:sz w:val="18"/>
                <w:szCs w:val="18"/>
              </w:rPr>
              <w:instrText xml:space="preserve"> ADDIN ZOTERO_ITEM CSL_CITATION {"citationID":"fBBfH01D","properties":{"formattedCitation":"\\super 6\\nosupersub{}","plainCitation":"6","noteIndex":0},"citationItems":[{"id":13623,"uris":["http://zotero.org/users/6423791/items/NEF2RYU2"],"itemData":{"id":13623,"type":"article-journal","abstract":"Methane is a versatile and storable energy carrier, which is likely to play an important role in the European transition towards a low fossil carbon energy sector. We investigate the potentials for meeting regional methane demands through conversion of local residual bioresources for supply of bio-based CH4. We have developed a tiered assessment framework involving i) allocation of residual and constrained bioresources to conversion pathways based on physical and biochemical properties, ii) life cycle assessment (LCA) of technology conversion pathways through process-oriented parameterisation of the LCA model, and iii) LCA modelling of system-level technology implementation scenarios for quantification of regional potentials for bio-based CH4 supply and environmental savings, in view of current uses of the same bioresources. Two main technology conversion pathways are included: gasification and anaerobic digestion, both with hydrogen enhancement. The latter was also considered with water scrubbing upgrading. The framework is implemented for the French region, Occitania, with a residual bioresource potential of 48 TWh·y−1 (distributed on 41 different bioresources), and an annual methane demand of 17.5 TWh·y−1, currently supplied by natural gas. The assessment results clearly demonstrate that utilisation of available residual bioresources has tremendous potential both for covering current gas demands in the region (up to about seven times in some scenarios) but also for a reduction in climate change impacts from the region (up to about 37%).","container-title":"Applied Energy","DOI":"10.1016/j.apenergy.2022.119568","ISSN":"0306-2619","journalAbbreviation":"Appl. Energy","language":"en","page":"119568","source":"ScienceDirect","title":"Towards sustainable methane supply from local bioresources: Anaerobic digestion, gasification, and gas upgrading","title-short":"Towards sustainable methane supply from local bioresources","volume":"323","author":[{"family":"Lodato","given":"Concetta"},{"family":"Hamelin","given":"Lorie"},{"family":"Tonini","given":"Davide"},{"family":"Astrup","given":"Thomas Fruergaard"}],"issued":{"date-parts":[["2022",10,1]]}}}],"schema":"https://github.com/citation-style-language/schema/raw/master/csl-citation.json"} </w:instrText>
            </w:r>
            <w:r w:rsidRPr="006C0789">
              <w:rPr>
                <w:i/>
                <w:sz w:val="18"/>
                <w:szCs w:val="18"/>
              </w:rPr>
              <w:fldChar w:fldCharType="separate"/>
            </w:r>
            <w:r w:rsidR="00682E10" w:rsidRPr="006C0789">
              <w:rPr>
                <w:rFonts w:ascii="Calibri" w:hAnsi="Calibri" w:cs="Calibri"/>
                <w:sz w:val="18"/>
                <w:szCs w:val="18"/>
                <w:vertAlign w:val="superscript"/>
              </w:rPr>
              <w:t>6</w:t>
            </w:r>
            <w:r w:rsidRPr="006C0789">
              <w:rPr>
                <w:i/>
                <w:sz w:val="18"/>
                <w:szCs w:val="18"/>
              </w:rPr>
              <w:fldChar w:fldCharType="end"/>
            </w:r>
            <w:r w:rsidRPr="006C0789">
              <w:rPr>
                <w:i/>
                <w:sz w:val="18"/>
                <w:szCs w:val="18"/>
              </w:rPr>
              <w:t>. 1-1.24 used in ecoinvent (depend on included processes)</w:t>
            </w:r>
            <w:r w:rsidRPr="006C0789">
              <w:rPr>
                <w:i/>
                <w:sz w:val="18"/>
                <w:szCs w:val="18"/>
              </w:rPr>
              <w:fldChar w:fldCharType="begin"/>
            </w:r>
            <w:r w:rsidR="008C451C">
              <w:rPr>
                <w:i/>
                <w:sz w:val="18"/>
                <w:szCs w:val="18"/>
              </w:rPr>
              <w:instrText xml:space="preserve"> ADDIN ZOTERO_ITEM CSL_CITATION {"citationID":"Dq8jUDah","properties":{"formattedCitation":"\\super 48\\nosupersub{}","plainCitation":"48","noteIndex":0},"citationItems":[{"id":13212,"uris":["http://zotero.org/users/6423791/items/ANAMP6NH"],"itemData":{"id":13212,"type":"webpage","language":"en-US","title":"ecoinvent databases","URL":"https://ecoinvent.org/","author":[{"literal":"ecoinvent"}],"accessed":{"date-parts":[["2022",5,1]]},"issued":{"date-parts":[["2022"]]}}}],"schema":"https://github.com/citation-style-language/schema/raw/master/csl-citation.json"} </w:instrText>
            </w:r>
            <w:r w:rsidRPr="006C0789">
              <w:rPr>
                <w:i/>
                <w:sz w:val="18"/>
                <w:szCs w:val="18"/>
              </w:rPr>
              <w:fldChar w:fldCharType="separate"/>
            </w:r>
            <w:r w:rsidR="008C451C" w:rsidRPr="008C451C">
              <w:rPr>
                <w:rFonts w:ascii="Calibri" w:hAnsi="Calibri" w:cs="Calibri"/>
                <w:sz w:val="18"/>
                <w:szCs w:val="24"/>
                <w:vertAlign w:val="superscript"/>
              </w:rPr>
              <w:t>48</w:t>
            </w:r>
            <w:r w:rsidRPr="006C0789">
              <w:rPr>
                <w:i/>
                <w:sz w:val="18"/>
                <w:szCs w:val="18"/>
              </w:rPr>
              <w:fldChar w:fldCharType="end"/>
            </w:r>
          </w:p>
        </w:tc>
      </w:tr>
      <w:tr w:rsidR="004D7AB5" w:rsidRPr="006C0789" w14:paraId="48602300" w14:textId="77777777" w:rsidTr="00942782">
        <w:tc>
          <w:tcPr>
            <w:cnfStyle w:val="001000000000" w:firstRow="0" w:lastRow="0" w:firstColumn="1" w:lastColumn="0" w:oddVBand="0" w:evenVBand="0" w:oddHBand="0" w:evenHBand="0" w:firstRowFirstColumn="0" w:firstRowLastColumn="0" w:lastRowFirstColumn="0" w:lastRowLastColumn="0"/>
            <w:tcW w:w="490" w:type="dxa"/>
          </w:tcPr>
          <w:p w14:paraId="26DB3032" w14:textId="77777777" w:rsidR="004D7AB5" w:rsidRPr="006C0789" w:rsidRDefault="004D7AB5" w:rsidP="004D7AB5">
            <w:pPr>
              <w:rPr>
                <w:sz w:val="18"/>
                <w:szCs w:val="18"/>
              </w:rPr>
            </w:pPr>
            <w:r w:rsidRPr="006C0789">
              <w:rPr>
                <w:sz w:val="18"/>
                <w:szCs w:val="18"/>
              </w:rPr>
              <w:lastRenderedPageBreak/>
              <w:t>179</w:t>
            </w:r>
          </w:p>
        </w:tc>
        <w:tc>
          <w:tcPr>
            <w:tcW w:w="1495" w:type="dxa"/>
          </w:tcPr>
          <w:p w14:paraId="41D4BE56" w14:textId="77777777" w:rsidR="004D7AB5" w:rsidRPr="006C0789" w:rsidRDefault="004D7AB5" w:rsidP="004D7AB5">
            <w:pPr>
              <w:jc w:val="right"/>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Methanation electricity, AD</w:t>
            </w:r>
          </w:p>
        </w:tc>
        <w:tc>
          <w:tcPr>
            <w:tcW w:w="1417" w:type="dxa"/>
          </w:tcPr>
          <w:p w14:paraId="1996D0B9" w14:textId="77777777"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w:t>
            </w:r>
            <w:r w:rsidRPr="006C0789">
              <w:rPr>
                <w:sz w:val="18"/>
                <w:szCs w:val="18"/>
                <w:vertAlign w:val="subscript"/>
              </w:rPr>
              <w:t>HHVin</w:t>
            </w:r>
          </w:p>
        </w:tc>
        <w:tc>
          <w:tcPr>
            <w:tcW w:w="851" w:type="dxa"/>
          </w:tcPr>
          <w:p w14:paraId="49D1F6C3" w14:textId="77777777"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1.1%</w:t>
            </w:r>
          </w:p>
        </w:tc>
        <w:tc>
          <w:tcPr>
            <w:tcW w:w="992" w:type="dxa"/>
          </w:tcPr>
          <w:p w14:paraId="16F48177" w14:textId="77777777"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1.0-1.4%</w:t>
            </w:r>
          </w:p>
        </w:tc>
        <w:tc>
          <w:tcPr>
            <w:tcW w:w="3827" w:type="dxa"/>
          </w:tcPr>
          <w:p w14:paraId="3D1777EA" w14:textId="07CD5B2F"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i/>
                <w:sz w:val="18"/>
                <w:szCs w:val="18"/>
              </w:rPr>
            </w:pPr>
            <w:r w:rsidRPr="006C0789">
              <w:rPr>
                <w:i/>
                <w:sz w:val="18"/>
                <w:szCs w:val="18"/>
              </w:rPr>
              <w:t>Higher value is based on forecasted performances</w:t>
            </w:r>
            <w:r w:rsidRPr="006C0789">
              <w:rPr>
                <w:i/>
                <w:sz w:val="18"/>
                <w:szCs w:val="18"/>
              </w:rPr>
              <w:fldChar w:fldCharType="begin"/>
            </w:r>
            <w:r w:rsidR="005413B4">
              <w:rPr>
                <w:i/>
                <w:sz w:val="18"/>
                <w:szCs w:val="18"/>
              </w:rPr>
              <w:instrText xml:space="preserve"> ADDIN ZOTERO_ITEM CSL_CITATION {"citationID":"m9NUuwxf","properties":{"formattedCitation":"\\super 240\\nosupersub{}","plainCitation":"240","noteIndex":0},"citationItems":[{"id":12938,"uris":["http://zotero.org/users/6423791/items/A38JDL8H"],"itemData":{"id":12938,"type":"report","number":"0005","page":"313","publisher":"Energinet","title":"Technology Data - Renewable fuels","URL":"http://www.ens.dk/teknologikatalog","author":[{"literal":"Danish Energy Agency"}],"issued":{"date-parts":[["2022"]]}}}],"schema":"https://github.com/citation-style-language/schema/raw/master/csl-citation.json"}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240</w:t>
            </w:r>
            <w:r w:rsidRPr="006C0789">
              <w:rPr>
                <w:i/>
                <w:sz w:val="18"/>
                <w:szCs w:val="18"/>
              </w:rPr>
              <w:fldChar w:fldCharType="end"/>
            </w:r>
            <w:r w:rsidRPr="006C0789">
              <w:rPr>
                <w:i/>
                <w:sz w:val="18"/>
                <w:szCs w:val="18"/>
              </w:rPr>
              <w:t>, but dedicated process in ecoinvent corresponds to ca. 1-1.1%</w:t>
            </w:r>
            <w:r w:rsidRPr="006C0789">
              <w:rPr>
                <w:i/>
                <w:sz w:val="18"/>
                <w:szCs w:val="18"/>
              </w:rPr>
              <w:fldChar w:fldCharType="begin"/>
            </w:r>
            <w:r w:rsidR="008C451C">
              <w:rPr>
                <w:i/>
                <w:sz w:val="18"/>
                <w:szCs w:val="18"/>
              </w:rPr>
              <w:instrText xml:space="preserve"> ADDIN ZOTERO_ITEM CSL_CITATION {"citationID":"4hZ8OpGv","properties":{"formattedCitation":"\\super 48\\nosupersub{}","plainCitation":"48","noteIndex":0},"citationItems":[{"id":13212,"uris":["http://zotero.org/users/6423791/items/ANAMP6NH"],"itemData":{"id":13212,"type":"webpage","language":"en-US","title":"ecoinvent databases","URL":"https://ecoinvent.org/","author":[{"literal":"ecoinvent"}],"accessed":{"date-parts":[["2022",5,1]]},"issued":{"date-parts":[["2022"]]}}}],"schema":"https://github.com/citation-style-language/schema/raw/master/csl-citation.json"} </w:instrText>
            </w:r>
            <w:r w:rsidRPr="006C0789">
              <w:rPr>
                <w:i/>
                <w:sz w:val="18"/>
                <w:szCs w:val="18"/>
              </w:rPr>
              <w:fldChar w:fldCharType="separate"/>
            </w:r>
            <w:r w:rsidR="008C451C" w:rsidRPr="008C451C">
              <w:rPr>
                <w:rFonts w:ascii="Calibri" w:hAnsi="Calibri" w:cs="Calibri"/>
                <w:sz w:val="18"/>
                <w:szCs w:val="24"/>
                <w:vertAlign w:val="superscript"/>
              </w:rPr>
              <w:t>48</w:t>
            </w:r>
            <w:r w:rsidRPr="006C0789">
              <w:rPr>
                <w:i/>
                <w:sz w:val="18"/>
                <w:szCs w:val="18"/>
              </w:rPr>
              <w:fldChar w:fldCharType="end"/>
            </w:r>
            <w:r w:rsidRPr="006C0789">
              <w:rPr>
                <w:i/>
                <w:sz w:val="18"/>
                <w:szCs w:val="18"/>
              </w:rPr>
              <w:t>.</w:t>
            </w:r>
          </w:p>
        </w:tc>
      </w:tr>
      <w:tr w:rsidR="004D7AB5" w:rsidRPr="006C0789" w14:paraId="67F76A45"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0" w:type="dxa"/>
          </w:tcPr>
          <w:p w14:paraId="4196BBBD" w14:textId="500C9217" w:rsidR="004D7AB5" w:rsidRPr="006C0789" w:rsidRDefault="004D7AB5" w:rsidP="004D7AB5">
            <w:pPr>
              <w:rPr>
                <w:sz w:val="18"/>
                <w:szCs w:val="18"/>
              </w:rPr>
            </w:pPr>
            <w:r w:rsidRPr="006C0789">
              <w:rPr>
                <w:sz w:val="18"/>
                <w:szCs w:val="18"/>
              </w:rPr>
              <w:t>141</w:t>
            </w:r>
          </w:p>
        </w:tc>
        <w:tc>
          <w:tcPr>
            <w:tcW w:w="1495" w:type="dxa"/>
          </w:tcPr>
          <w:p w14:paraId="4EAD2218" w14:textId="0D4D6CD4" w:rsidR="004D7AB5" w:rsidRPr="006C0789" w:rsidRDefault="004D7AB5" w:rsidP="004D7AB5">
            <w:pPr>
              <w:jc w:val="right"/>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Electrolysis efficiency</w:t>
            </w:r>
          </w:p>
        </w:tc>
        <w:tc>
          <w:tcPr>
            <w:tcW w:w="1417" w:type="dxa"/>
          </w:tcPr>
          <w:p w14:paraId="6301C3CA" w14:textId="6E54A6C7"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w:t>
            </w:r>
            <w:r w:rsidRPr="006C0789">
              <w:rPr>
                <w:sz w:val="18"/>
                <w:szCs w:val="18"/>
                <w:vertAlign w:val="subscript"/>
              </w:rPr>
              <w:t>HHV</w:t>
            </w:r>
          </w:p>
        </w:tc>
        <w:tc>
          <w:tcPr>
            <w:tcW w:w="851" w:type="dxa"/>
          </w:tcPr>
          <w:p w14:paraId="55C10AC0" w14:textId="408F0F1D"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80%</w:t>
            </w:r>
          </w:p>
        </w:tc>
        <w:tc>
          <w:tcPr>
            <w:tcW w:w="992" w:type="dxa"/>
          </w:tcPr>
          <w:p w14:paraId="69C656F1" w14:textId="4B4397E3"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70-82%</w:t>
            </w:r>
          </w:p>
        </w:tc>
        <w:tc>
          <w:tcPr>
            <w:tcW w:w="3827" w:type="dxa"/>
          </w:tcPr>
          <w:p w14:paraId="79024AAB" w14:textId="01F9F9D8"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i/>
                <w:sz w:val="18"/>
                <w:szCs w:val="18"/>
              </w:rPr>
            </w:pPr>
            <w:r w:rsidRPr="006C0789">
              <w:rPr>
                <w:i/>
                <w:sz w:val="18"/>
                <w:szCs w:val="18"/>
              </w:rPr>
              <w:t>Range reviewed by Khoshnevisan et al., 2022</w:t>
            </w:r>
            <w:r w:rsidRPr="006C0789">
              <w:rPr>
                <w:i/>
                <w:sz w:val="18"/>
                <w:szCs w:val="18"/>
              </w:rPr>
              <w:fldChar w:fldCharType="begin"/>
            </w:r>
            <w:r w:rsidR="00827449">
              <w:rPr>
                <w:i/>
                <w:sz w:val="18"/>
                <w:szCs w:val="18"/>
              </w:rPr>
              <w:instrText xml:space="preserve"> ADDIN ZOTERO_ITEM CSL_CITATION {"citationID":"2mpG19IB","properties":{"formattedCitation":"\\super 22\\nosupersub{}","plainCitation":"22","noteIndex":0},"citationItems":[{"id":12862,"uris":["http://zotero.org/users/6423791/items/YGDJPK4F"],"itemData":{"id":12862,"type":"article-journal","abstract":"The concerns over food security and protein scarcity, driven by population increase and higher standards of living, have pushed scientists toward finding new protein sources. A considerable proportion of resources and agricultural lands are currently dedicated to proteinaceous feed production to raise livestock and poultry for human consumption. The 1st generation of microbial protein (MP) came into the market as land-independent proteinaceous feed for livestock and aquaculture. However, MP may be a less sustainable alternative to conventional feeds, such as soybean meal and fishmeal, because this technology currently requires natural gas and synthetic chemicals. These challenges have directed researchers toward the production of 2nd generation MP by integrating renewable energies, anaerobic digestion, nutrient recovery, biogas cleaning and upgrading, carbon-capture technologies, and fermentation. The fermentation of methane-oxidizing bacteria (MOB) and hydrogen-oxidizing bacteria (HOB), i.e., two protein rich microorganisms, has shown a great potential, on the one hand, to upcycle effluents from anaerobic digestion into protein rich biomass, and on the other hand, to be coupled to renewable energy systems under the concept of Power-to-X. This work compares various production routes for 2nd generation MP by reviewing the latest studies conducted in this context and introducing the state-of-the-art technologies, hoping that the findings can accelerate and facilitate upscaling of MP production. The results show that 2nd generation MP depends on the expansion of renewable energies. In countries with high penetration of renewable electricity, such as Nordic countries, off-peak surplus electricity can be used within MP-industry by supplying electrolytic H2, which is the driving factor for both MOB and HOB-based MP production. However, nutrient recovery technologies are the heart of the 2nd generation MP industry as they determine the process costs and quality of the final product. Although huge attempts have been made to date in this context, some bottlenecks such as immature nutrient recovery technologies, less efficient fermenters with insufficient gas-to-liquid transfer, and costly electrolytic hydrogen production and storage have hindered the scale up of MP production. Furthermore, further research into techno-economic feasibility and life cycle assessment (LCA) of coupled technologies is still needed to identify key points for improvement and thereby secure a sustainable production system.","container-title":"Renewable and Sustainable Energy Reviews","DOI":"10.1016/j.rser.2021.112041","ISSN":"1364-0321","journalAbbreviation":"Renew. Sust. Energ. Rev.","language":"en","page":"112041","source":"ScienceDirect","title":"From renewable energy to sustainable protein sources: Advancement, challenges, and future roadmaps","title-short":"From renewable energy to sustainable protein sources","volume":"157","author":[{"family":"Khoshnevisan","given":"Benyamin"},{"family":"He","given":"Li"},{"family":"Xu","given":"Mingyi"},{"family":"Valverde-Pérez","given":"Borja"},{"family":"Sillman","given":"Jani"},{"family":"Mitraka","given":"Georgia-Christina"},{"family":"Kougias","given":"Panagiotis G."},{"family":"Zhang","given":"Yifeng"},{"family":"Yan","given":"Shuiping"},{"family":"Ji","given":"Long"},{"family":"Carbajales-Dale","given":"Michael"},{"family":"Elyasi","given":"Seyedeh Nashmin"},{"family":"Marami","given":"Hadis"},{"family":"Tsapekos","given":"Panagiotis"},{"family":"Liu","given":"Hongbin"},{"family":"Angelidaki","given":"Irini"}],"issued":{"date-parts":[["2022",4,1]]}}}],"schema":"https://github.com/citation-style-language/schema/raw/master/csl-citation.json"} </w:instrText>
            </w:r>
            <w:r w:rsidRPr="006C0789">
              <w:rPr>
                <w:i/>
                <w:sz w:val="18"/>
                <w:szCs w:val="18"/>
              </w:rPr>
              <w:fldChar w:fldCharType="separate"/>
            </w:r>
            <w:r w:rsidR="00682E10" w:rsidRPr="006C0789">
              <w:rPr>
                <w:rFonts w:ascii="Calibri" w:hAnsi="Calibri" w:cs="Calibri"/>
                <w:sz w:val="18"/>
                <w:szCs w:val="18"/>
                <w:vertAlign w:val="superscript"/>
              </w:rPr>
              <w:t>22</w:t>
            </w:r>
            <w:r w:rsidRPr="006C0789">
              <w:rPr>
                <w:i/>
                <w:sz w:val="18"/>
                <w:szCs w:val="18"/>
              </w:rPr>
              <w:fldChar w:fldCharType="end"/>
            </w:r>
            <w:r w:rsidRPr="006C0789">
              <w:rPr>
                <w:i/>
                <w:sz w:val="18"/>
                <w:szCs w:val="18"/>
              </w:rPr>
              <w:t>. Baseline value used by Megret et al., 2015</w:t>
            </w:r>
            <w:r w:rsidRPr="006C0789">
              <w:rPr>
                <w:i/>
                <w:sz w:val="18"/>
                <w:szCs w:val="18"/>
              </w:rPr>
              <w:fldChar w:fldCharType="begin"/>
            </w:r>
            <w:r w:rsidR="005413B4">
              <w:rPr>
                <w:i/>
                <w:sz w:val="18"/>
                <w:szCs w:val="18"/>
              </w:rPr>
              <w:instrText xml:space="preserve"> ADDIN ZOTERO_ITEM CSL_CITATION {"citationID":"RFunuHjw","properties":{"formattedCitation":"\\super 223\\nosupersub{}","plainCitation":"223","noteIndex":0},"citationItems":[{"id":12940,"uris":["http://zotero.org/users/6423791/items/KBVGJC6I"],"itemData":{"id":12940,"type":"report","language":"fr","number":"RECORD 13-0239/1A","page":"228","publisher":"Réseau Coopératif de Recherche sur les Déchets et l’Environnement","source":"Zotero","title":"Production d'hydrogène à partir de déchets: Etat de l'art et potentiel d'émergence","URL":"https://hal.archives-ouvertes.fr/hal-01602165","author":[{"family":"Megret","given":"Olivier"},{"family":"Hubert","given":"Loreline"},{"family":"Calbry","given":"M"},{"family":"Trably","given":"Eric"},{"family":"Carrère","given":"Hélène"},{"family":"Garcia-Bernet","given":"Diana"},{"family":"Bernet","given":"Nicolas"}],"issued":{"date-parts":[["2015"]]}}}],"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223</w:t>
            </w:r>
            <w:r w:rsidRPr="006C0789">
              <w:rPr>
                <w:i/>
                <w:sz w:val="18"/>
                <w:szCs w:val="18"/>
              </w:rPr>
              <w:fldChar w:fldCharType="end"/>
            </w:r>
            <w:r w:rsidRPr="006C0789">
              <w:rPr>
                <w:i/>
                <w:sz w:val="18"/>
                <w:szCs w:val="18"/>
              </w:rPr>
              <w:t>.</w:t>
            </w:r>
          </w:p>
        </w:tc>
      </w:tr>
      <w:tr w:rsidR="004D7AB5" w:rsidRPr="006C0789" w14:paraId="03578ACF" w14:textId="77777777" w:rsidTr="00942782">
        <w:tc>
          <w:tcPr>
            <w:cnfStyle w:val="001000000000" w:firstRow="0" w:lastRow="0" w:firstColumn="1" w:lastColumn="0" w:oddVBand="0" w:evenVBand="0" w:oddHBand="0" w:evenHBand="0" w:firstRowFirstColumn="0" w:firstRowLastColumn="0" w:lastRowFirstColumn="0" w:lastRowLastColumn="0"/>
            <w:tcW w:w="490" w:type="dxa"/>
          </w:tcPr>
          <w:p w14:paraId="0E772736" w14:textId="1826D0EF" w:rsidR="004D7AB5" w:rsidRPr="006C0789" w:rsidRDefault="004D7AB5" w:rsidP="004D7AB5">
            <w:pPr>
              <w:rPr>
                <w:sz w:val="18"/>
                <w:szCs w:val="18"/>
              </w:rPr>
            </w:pPr>
            <w:r w:rsidRPr="006C0789">
              <w:rPr>
                <w:sz w:val="18"/>
                <w:szCs w:val="18"/>
              </w:rPr>
              <w:t>142</w:t>
            </w:r>
          </w:p>
        </w:tc>
        <w:tc>
          <w:tcPr>
            <w:tcW w:w="1495" w:type="dxa"/>
          </w:tcPr>
          <w:p w14:paraId="0C27F75F" w14:textId="242A120E" w:rsidR="004D7AB5" w:rsidRPr="006C0789" w:rsidRDefault="004D7AB5" w:rsidP="004D7AB5">
            <w:pPr>
              <w:jc w:val="right"/>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Electrolysis O</w:t>
            </w:r>
            <w:r w:rsidRPr="006C0789">
              <w:rPr>
                <w:sz w:val="18"/>
                <w:szCs w:val="18"/>
                <w:vertAlign w:val="subscript"/>
              </w:rPr>
              <w:t>2</w:t>
            </w:r>
            <w:r w:rsidRPr="006C0789">
              <w:rPr>
                <w:sz w:val="18"/>
                <w:szCs w:val="18"/>
              </w:rPr>
              <w:t xml:space="preserve"> reuse</w:t>
            </w:r>
          </w:p>
        </w:tc>
        <w:tc>
          <w:tcPr>
            <w:tcW w:w="1417" w:type="dxa"/>
          </w:tcPr>
          <w:p w14:paraId="7449BD31" w14:textId="7D036385"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%O</w:t>
            </w:r>
            <w:r w:rsidRPr="006C0789">
              <w:rPr>
                <w:sz w:val="18"/>
                <w:szCs w:val="18"/>
                <w:vertAlign w:val="subscript"/>
              </w:rPr>
              <w:t>2</w:t>
            </w:r>
          </w:p>
        </w:tc>
        <w:tc>
          <w:tcPr>
            <w:tcW w:w="851" w:type="dxa"/>
          </w:tcPr>
          <w:p w14:paraId="4BEBFE28" w14:textId="060DED9D"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95%</w:t>
            </w:r>
          </w:p>
        </w:tc>
        <w:tc>
          <w:tcPr>
            <w:tcW w:w="992" w:type="dxa"/>
          </w:tcPr>
          <w:p w14:paraId="37821A06" w14:textId="5F616318"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10-95%</w:t>
            </w:r>
          </w:p>
        </w:tc>
        <w:tc>
          <w:tcPr>
            <w:tcW w:w="3827" w:type="dxa"/>
          </w:tcPr>
          <w:p w14:paraId="152D3BB0" w14:textId="454799CD"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i/>
                <w:sz w:val="18"/>
                <w:szCs w:val="18"/>
              </w:rPr>
            </w:pPr>
            <w:r w:rsidRPr="006C0789">
              <w:rPr>
                <w:i/>
                <w:sz w:val="18"/>
                <w:szCs w:val="18"/>
              </w:rPr>
              <w:t>Share of co-produced O</w:t>
            </w:r>
            <w:r w:rsidRPr="006C0789">
              <w:rPr>
                <w:i/>
                <w:sz w:val="18"/>
                <w:szCs w:val="18"/>
                <w:vertAlign w:val="subscript"/>
              </w:rPr>
              <w:t>2</w:t>
            </w:r>
            <w:r w:rsidRPr="006C0789">
              <w:rPr>
                <w:i/>
                <w:sz w:val="18"/>
                <w:szCs w:val="18"/>
              </w:rPr>
              <w:t xml:space="preserve"> effectively substituting the need of pure O</w:t>
            </w:r>
            <w:r w:rsidRPr="006C0789">
              <w:rPr>
                <w:i/>
                <w:sz w:val="18"/>
                <w:szCs w:val="18"/>
                <w:vertAlign w:val="subscript"/>
              </w:rPr>
              <w:t>2</w:t>
            </w:r>
            <w:r w:rsidRPr="006C0789">
              <w:rPr>
                <w:i/>
                <w:sz w:val="18"/>
                <w:szCs w:val="18"/>
              </w:rPr>
              <w:t xml:space="preserve"> supplies. Depend on future integration of electrolysis within symbiotic relations (e.g. can fully meet MP production needs; see </w:t>
            </w:r>
            <w:r w:rsidRPr="006C0789">
              <w:rPr>
                <w:b/>
                <w:i/>
                <w:sz w:val="18"/>
                <w:szCs w:val="18"/>
              </w:rPr>
              <w:t xml:space="preserve">section </w:t>
            </w:r>
            <w:r w:rsidR="00C913E1">
              <w:rPr>
                <w:b/>
                <w:i/>
                <w:sz w:val="18"/>
                <w:szCs w:val="18"/>
              </w:rPr>
              <w:t xml:space="preserve">SI. </w:t>
            </w:r>
            <w:r w:rsidR="006C0789" w:rsidRPr="006C0789">
              <w:rPr>
                <w:b/>
                <w:i/>
                <w:sz w:val="18"/>
                <w:szCs w:val="18"/>
              </w:rPr>
              <w:t>4.6.4.</w:t>
            </w:r>
            <w:r w:rsidRPr="006C0789">
              <w:rPr>
                <w:i/>
                <w:sz w:val="18"/>
                <w:szCs w:val="18"/>
              </w:rPr>
              <w:t>)</w:t>
            </w:r>
          </w:p>
        </w:tc>
      </w:tr>
      <w:tr w:rsidR="004D7AB5" w:rsidRPr="006C0789" w14:paraId="40B6C168"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72" w:type="dxa"/>
            <w:gridSpan w:val="6"/>
          </w:tcPr>
          <w:p w14:paraId="2B2B8C6B" w14:textId="3F63E56B" w:rsidR="004D7AB5" w:rsidRPr="006C0789" w:rsidRDefault="004D7AB5" w:rsidP="004D7AB5">
            <w:pPr>
              <w:rPr>
                <w:b w:val="0"/>
                <w:i/>
                <w:sz w:val="18"/>
                <w:szCs w:val="18"/>
              </w:rPr>
            </w:pPr>
            <w:r w:rsidRPr="006C0789">
              <w:rPr>
                <w:b w:val="0"/>
                <w:i/>
                <w:sz w:val="18"/>
                <w:szCs w:val="18"/>
              </w:rPr>
              <w:t xml:space="preserve">Other common parameters in in </w:t>
            </w:r>
            <w:r w:rsidRPr="006C0789">
              <w:rPr>
                <w:i/>
                <w:sz w:val="18"/>
                <w:szCs w:val="18"/>
              </w:rPr>
              <w:t xml:space="preserve">section </w:t>
            </w:r>
            <w:r w:rsidR="000C6C37">
              <w:rPr>
                <w:i/>
                <w:sz w:val="18"/>
                <w:szCs w:val="18"/>
              </w:rPr>
              <w:t xml:space="preserve">SI. </w:t>
            </w:r>
            <w:r w:rsidRPr="006C0789">
              <w:rPr>
                <w:i/>
                <w:sz w:val="18"/>
                <w:szCs w:val="18"/>
              </w:rPr>
              <w:fldChar w:fldCharType="begin"/>
            </w:r>
            <w:r w:rsidRPr="006C0789">
              <w:rPr>
                <w:i/>
                <w:sz w:val="18"/>
                <w:szCs w:val="18"/>
              </w:rPr>
              <w:instrText xml:space="preserve"> REF _Ref144802667 \r \h </w:instrText>
            </w:r>
            <w:r w:rsidR="006C0789" w:rsidRPr="006C0789">
              <w:rPr>
                <w:i/>
                <w:sz w:val="18"/>
                <w:szCs w:val="18"/>
              </w:rPr>
              <w:instrText xml:space="preserve"> \* MERGEFORMAT </w:instrText>
            </w:r>
            <w:r w:rsidRPr="006C0789">
              <w:rPr>
                <w:i/>
                <w:sz w:val="18"/>
                <w:szCs w:val="18"/>
              </w:rPr>
            </w:r>
            <w:r w:rsidRPr="006C0789">
              <w:rPr>
                <w:i/>
                <w:sz w:val="18"/>
                <w:szCs w:val="18"/>
              </w:rPr>
              <w:fldChar w:fldCharType="separate"/>
            </w:r>
            <w:r w:rsidR="00F25F8C" w:rsidRPr="006C0789">
              <w:rPr>
                <w:i/>
                <w:sz w:val="18"/>
                <w:szCs w:val="18"/>
              </w:rPr>
              <w:t>4.1</w:t>
            </w:r>
            <w:r w:rsidRPr="006C0789">
              <w:rPr>
                <w:i/>
                <w:sz w:val="18"/>
                <w:szCs w:val="18"/>
              </w:rPr>
              <w:fldChar w:fldCharType="end"/>
            </w:r>
          </w:p>
        </w:tc>
      </w:tr>
    </w:tbl>
    <w:p w14:paraId="3E269922" w14:textId="359468F2" w:rsidR="0004103A" w:rsidRPr="003F5DA8" w:rsidRDefault="0004103A" w:rsidP="00942782">
      <w:pPr>
        <w:jc w:val="both"/>
        <w:rPr>
          <w:sz w:val="18"/>
        </w:rPr>
      </w:pPr>
      <w:r w:rsidRPr="003F5DA8">
        <w:rPr>
          <w:sz w:val="18"/>
        </w:rPr>
        <w:t xml:space="preserve">Numbering of parameters corresponds to the one </w:t>
      </w:r>
      <w:r>
        <w:rPr>
          <w:sz w:val="18"/>
        </w:rPr>
        <w:t xml:space="preserve">of </w:t>
      </w:r>
      <w:r w:rsidR="00877BEE" w:rsidRPr="006C0789">
        <w:rPr>
          <w:b/>
          <w:sz w:val="18"/>
          <w:szCs w:val="18"/>
        </w:rPr>
        <w:fldChar w:fldCharType="begin"/>
      </w:r>
      <w:r w:rsidR="00877BEE" w:rsidRPr="006C0789">
        <w:rPr>
          <w:b/>
          <w:sz w:val="18"/>
          <w:szCs w:val="18"/>
        </w:rPr>
        <w:instrText xml:space="preserve"> REF _Ref144914839 \h  \* MERGEFORMAT </w:instrText>
      </w:r>
      <w:r w:rsidR="00877BEE" w:rsidRPr="006C0789">
        <w:rPr>
          <w:b/>
          <w:sz w:val="18"/>
          <w:szCs w:val="18"/>
        </w:rPr>
      </w:r>
      <w:r w:rsidR="00877BEE" w:rsidRPr="006C0789">
        <w:rPr>
          <w:b/>
          <w:sz w:val="18"/>
          <w:szCs w:val="18"/>
        </w:rPr>
        <w:fldChar w:fldCharType="separate"/>
      </w:r>
      <w:r w:rsidR="00877BEE" w:rsidRPr="006C0789">
        <w:rPr>
          <w:b/>
          <w:sz w:val="18"/>
          <w:szCs w:val="18"/>
        </w:rPr>
        <w:t xml:space="preserve">Table SI. </w:t>
      </w:r>
      <w:r w:rsidR="00877BEE" w:rsidRPr="006C0789">
        <w:rPr>
          <w:b/>
          <w:noProof/>
          <w:sz w:val="18"/>
          <w:szCs w:val="18"/>
        </w:rPr>
        <w:t>103</w:t>
      </w:r>
      <w:r w:rsidR="00877BEE" w:rsidRPr="006C0789">
        <w:rPr>
          <w:b/>
          <w:sz w:val="18"/>
          <w:szCs w:val="18"/>
        </w:rPr>
        <w:fldChar w:fldCharType="end"/>
      </w:r>
      <w:r w:rsidRPr="006C0789">
        <w:rPr>
          <w:sz w:val="18"/>
        </w:rPr>
        <w:t xml:space="preserve">. </w:t>
      </w:r>
      <w:r w:rsidRPr="003F5DA8">
        <w:rPr>
          <w:sz w:val="18"/>
        </w:rPr>
        <w:t xml:space="preserve">Parameters specific to </w:t>
      </w:r>
      <w:r>
        <w:rPr>
          <w:sz w:val="18"/>
        </w:rPr>
        <w:t>MP pretreatment</w:t>
      </w:r>
      <w:r w:rsidRPr="003F5DA8">
        <w:rPr>
          <w:sz w:val="18"/>
        </w:rPr>
        <w:t xml:space="preserve"> but not mentioned in this table were assumed as constants. Transportation requirements in </w:t>
      </w:r>
      <w:r w:rsidR="004D7AB5" w:rsidRPr="00042BF3">
        <w:rPr>
          <w:b/>
          <w:sz w:val="18"/>
          <w:szCs w:val="18"/>
        </w:rPr>
        <w:fldChar w:fldCharType="begin"/>
      </w:r>
      <w:r w:rsidR="004D7AB5" w:rsidRPr="00042BF3">
        <w:rPr>
          <w:b/>
          <w:sz w:val="18"/>
          <w:szCs w:val="18"/>
        </w:rPr>
        <w:instrText xml:space="preserve"> REF _Ref144738047 \h  \* MERGEFORMAT </w:instrText>
      </w:r>
      <w:r w:rsidR="004D7AB5" w:rsidRPr="00042BF3">
        <w:rPr>
          <w:b/>
          <w:sz w:val="18"/>
          <w:szCs w:val="18"/>
        </w:rPr>
      </w:r>
      <w:r w:rsidR="004D7AB5" w:rsidRPr="00042BF3">
        <w:rPr>
          <w:b/>
          <w:sz w:val="18"/>
          <w:szCs w:val="18"/>
        </w:rPr>
        <w:fldChar w:fldCharType="separate"/>
      </w:r>
      <w:r w:rsidR="00F25F8C" w:rsidRPr="00F25F8C">
        <w:rPr>
          <w:b/>
          <w:sz w:val="18"/>
          <w:szCs w:val="18"/>
        </w:rPr>
        <w:t xml:space="preserve">Table SI. </w:t>
      </w:r>
      <w:r w:rsidR="00F25F8C" w:rsidRPr="00F25F8C">
        <w:rPr>
          <w:b/>
          <w:noProof/>
          <w:sz w:val="18"/>
          <w:szCs w:val="18"/>
        </w:rPr>
        <w:t>15</w:t>
      </w:r>
      <w:r w:rsidR="004D7AB5" w:rsidRPr="00042BF3">
        <w:rPr>
          <w:b/>
          <w:sz w:val="18"/>
          <w:szCs w:val="18"/>
        </w:rPr>
        <w:fldChar w:fldCharType="end"/>
      </w:r>
      <w:r w:rsidRPr="003F5DA8">
        <w:rPr>
          <w:sz w:val="18"/>
        </w:rPr>
        <w:t>.</w:t>
      </w:r>
    </w:p>
    <w:p w14:paraId="0D7A6C75" w14:textId="02D12811" w:rsidR="0004103A" w:rsidRDefault="004D7AB5" w:rsidP="004D7AB5">
      <w:pPr>
        <w:jc w:val="both"/>
      </w:pPr>
      <w:r>
        <w:t xml:space="preserve">Corresponding </w:t>
      </w:r>
      <w:r w:rsidR="0004103A" w:rsidRPr="003F5DA8">
        <w:t>background processes</w:t>
      </w:r>
      <w:r w:rsidR="006C0789">
        <w:t xml:space="preserve"> used specifically for GA LCI model</w:t>
      </w:r>
      <w:r w:rsidR="0004103A" w:rsidRPr="003F5DA8">
        <w:t xml:space="preserve"> </w:t>
      </w:r>
      <w:r>
        <w:t>are</w:t>
      </w:r>
      <w:r w:rsidR="0004103A" w:rsidRPr="003F5DA8">
        <w:t xml:space="preserve"> detailed in</w:t>
      </w:r>
      <w:r>
        <w:rPr>
          <w:b/>
        </w:rPr>
        <w:t xml:space="preserve"> </w:t>
      </w:r>
      <w:r w:rsidRPr="006C0789">
        <w:rPr>
          <w:b/>
        </w:rPr>
        <w:fldChar w:fldCharType="begin"/>
      </w:r>
      <w:r w:rsidRPr="006C0789">
        <w:rPr>
          <w:b/>
        </w:rPr>
        <w:instrText xml:space="preserve"> REF _Ref144827517 \h  \* MERGEFORMAT </w:instrText>
      </w:r>
      <w:r w:rsidRPr="006C0789">
        <w:rPr>
          <w:b/>
        </w:rPr>
      </w:r>
      <w:r w:rsidRPr="006C0789">
        <w:rPr>
          <w:b/>
        </w:rPr>
        <w:fldChar w:fldCharType="separate"/>
      </w:r>
      <w:r w:rsidR="00F25F8C" w:rsidRPr="006C0789">
        <w:rPr>
          <w:b/>
        </w:rPr>
        <w:t xml:space="preserve">Table SI. </w:t>
      </w:r>
      <w:r w:rsidR="00F25F8C" w:rsidRPr="006C0789">
        <w:rPr>
          <w:b/>
          <w:noProof/>
        </w:rPr>
        <w:t>71</w:t>
      </w:r>
      <w:r w:rsidRPr="006C0789">
        <w:rPr>
          <w:b/>
        </w:rPr>
        <w:fldChar w:fldCharType="end"/>
      </w:r>
      <w:r w:rsidR="0004103A" w:rsidRPr="003F5DA8">
        <w:t>.</w:t>
      </w:r>
    </w:p>
    <w:p w14:paraId="2C9F8492" w14:textId="69B500E9" w:rsidR="0004103A" w:rsidRPr="00415E4C" w:rsidRDefault="00874128" w:rsidP="00942782">
      <w:pPr>
        <w:pStyle w:val="Lgende"/>
        <w:jc w:val="left"/>
      </w:pPr>
      <w:bookmarkStart w:id="300" w:name="_Ref144827517"/>
      <w:bookmarkStart w:id="301" w:name="_Toc134537637"/>
      <w:bookmarkStart w:id="302" w:name="_Toc151967955"/>
      <w:r>
        <w:t>Table SI.</w:t>
      </w:r>
      <w:r w:rsidR="0004103A">
        <w:t xml:space="preserve"> </w:t>
      </w:r>
      <w:r>
        <w:fldChar w:fldCharType="begin"/>
      </w:r>
      <w:r>
        <w:instrText xml:space="preserve"> SEQ Table_SI. \* ARABIC </w:instrText>
      </w:r>
      <w:r>
        <w:fldChar w:fldCharType="separate"/>
      </w:r>
      <w:r w:rsidR="00F25F8C">
        <w:rPr>
          <w:noProof/>
        </w:rPr>
        <w:t>71</w:t>
      </w:r>
      <w:r>
        <w:fldChar w:fldCharType="end"/>
      </w:r>
      <w:bookmarkEnd w:id="300"/>
      <w:r w:rsidR="0004103A">
        <w:t xml:space="preserve"> </w:t>
      </w:r>
      <w:r w:rsidR="0004103A" w:rsidRPr="00415E4C">
        <w:t xml:space="preserve">– Background processes used specifically for </w:t>
      </w:r>
      <w:bookmarkEnd w:id="301"/>
      <w:r w:rsidR="004D7AB5">
        <w:t>MP pathways pretreatments</w:t>
      </w:r>
      <w:bookmarkEnd w:id="302"/>
    </w:p>
    <w:tbl>
      <w:tblPr>
        <w:tblStyle w:val="Tableausimple2"/>
        <w:tblW w:w="0" w:type="auto"/>
        <w:tblLook w:val="04A0" w:firstRow="1" w:lastRow="0" w:firstColumn="1" w:lastColumn="0" w:noHBand="0" w:noVBand="1"/>
      </w:tblPr>
      <w:tblGrid>
        <w:gridCol w:w="3923"/>
        <w:gridCol w:w="5149"/>
      </w:tblGrid>
      <w:tr w:rsidR="0004103A" w:rsidRPr="006C0789" w14:paraId="1CFC4DA5" w14:textId="77777777" w:rsidTr="006C07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EAD9420" w14:textId="77777777" w:rsidR="0004103A" w:rsidRPr="006C0789" w:rsidRDefault="0004103A" w:rsidP="003B1307">
            <w:pPr>
              <w:jc w:val="right"/>
              <w:rPr>
                <w:sz w:val="18"/>
                <w:szCs w:val="18"/>
              </w:rPr>
            </w:pPr>
            <w:r w:rsidRPr="006C0789">
              <w:rPr>
                <w:sz w:val="18"/>
                <w:szCs w:val="18"/>
              </w:rPr>
              <w:t>Background process</w:t>
            </w:r>
          </w:p>
        </w:tc>
        <w:tc>
          <w:tcPr>
            <w:tcW w:w="0" w:type="auto"/>
          </w:tcPr>
          <w:p w14:paraId="64188D94" w14:textId="77777777" w:rsidR="0004103A" w:rsidRPr="006C0789" w:rsidRDefault="0004103A" w:rsidP="004D7AB5">
            <w:pPr>
              <w:cnfStyle w:val="100000000000" w:firstRow="1" w:lastRow="0" w:firstColumn="0" w:lastColumn="0" w:oddVBand="0" w:evenVBand="0" w:oddHBand="0" w:evenHBand="0" w:firstRowFirstColumn="0" w:firstRowLastColumn="0" w:lastRowFirstColumn="0" w:lastRowLastColumn="0"/>
              <w:rPr>
                <w:i/>
                <w:sz w:val="18"/>
                <w:szCs w:val="18"/>
              </w:rPr>
            </w:pPr>
            <w:r w:rsidRPr="006C0789">
              <w:rPr>
                <w:i/>
                <w:sz w:val="18"/>
                <w:szCs w:val="18"/>
              </w:rPr>
              <w:t>Comment</w:t>
            </w:r>
          </w:p>
        </w:tc>
      </w:tr>
      <w:tr w:rsidR="0004103A" w:rsidRPr="006C0789" w14:paraId="3B3319E9" w14:textId="77777777" w:rsidTr="006C07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63B757B" w14:textId="77777777" w:rsidR="0004103A" w:rsidRPr="006C0789" w:rsidRDefault="0004103A" w:rsidP="003B1307">
            <w:pPr>
              <w:jc w:val="right"/>
              <w:rPr>
                <w:b w:val="0"/>
                <w:sz w:val="18"/>
                <w:szCs w:val="18"/>
              </w:rPr>
            </w:pPr>
            <w:r w:rsidRPr="006C0789">
              <w:rPr>
                <w:b w:val="0"/>
                <w:sz w:val="18"/>
                <w:szCs w:val="18"/>
              </w:rPr>
              <w:t>Market for cast iron, GLO</w:t>
            </w:r>
          </w:p>
        </w:tc>
        <w:tc>
          <w:tcPr>
            <w:tcW w:w="0" w:type="auto"/>
            <w:vMerge w:val="restart"/>
          </w:tcPr>
          <w:p w14:paraId="0216AE8D" w14:textId="63D4A1B9" w:rsidR="0004103A" w:rsidRPr="006C0789" w:rsidRDefault="0004103A" w:rsidP="004D7AB5">
            <w:pPr>
              <w:cnfStyle w:val="000000100000" w:firstRow="0" w:lastRow="0" w:firstColumn="0" w:lastColumn="0" w:oddVBand="0" w:evenVBand="0" w:oddHBand="1" w:evenHBand="0" w:firstRowFirstColumn="0" w:firstRowLastColumn="0" w:lastRowFirstColumn="0" w:lastRowLastColumn="0"/>
              <w:rPr>
                <w:i/>
                <w:sz w:val="18"/>
                <w:szCs w:val="18"/>
              </w:rPr>
            </w:pPr>
            <w:r w:rsidRPr="006C0789">
              <w:rPr>
                <w:i/>
                <w:sz w:val="18"/>
                <w:szCs w:val="18"/>
              </w:rPr>
              <w:t>Based on biogas-to-hydrogen SR plant modeled by Battista et al., 2017</w:t>
            </w:r>
            <w:r w:rsidRPr="006C0789">
              <w:rPr>
                <w:i/>
                <w:sz w:val="18"/>
                <w:szCs w:val="18"/>
              </w:rPr>
              <w:fldChar w:fldCharType="begin"/>
            </w:r>
            <w:r w:rsidR="005413B4">
              <w:rPr>
                <w:i/>
                <w:sz w:val="18"/>
                <w:szCs w:val="18"/>
              </w:rPr>
              <w:instrText xml:space="preserve"> ADDIN ZOTERO_ITEM CSL_CITATION {"citationID":"dPeyzyo1","properties":{"formattedCitation":"\\super 245\\nosupersub{}","plainCitation":"245","noteIndex":0},"citationItems":[{"id":12986,"uris":["http://zotero.org/users/6423791/items/MZMDZFXZ"],"itemData":{"id":12986,"type":"article-journal","abstract":"BioRobur is a project aimed to produce hydrogen from biogas through an auto-thermal reforming (ATR) process, in which innovative catalytic systems are used to promote the ATR reactions involved in the process for the conversion of biogas into syngas. A detailed LCA study of hydrogen production from biogas ATR using the BioRobur technology has been performed. LCA analysis has been also conducted for other two conventional processes for the production of hydrogen from biogas: the steam reforming and water hydrolysis (a biogas-fueled Internal Combustion engine (ICE) followed by an Electrolyser). A comparison between these technologies has been made from both the environmental and the energetic viewpoints. The LCA has demonstrated that BioRobur is the most environmentally friendly of considered processes. Moreover, the ICE plus Electrolyser has resulted to be the because of the very large amount of biogas needed for the least efficient process, due to the low conversion yield of biogas into energy of the ICE.","collection-title":"Special Issue on The 21st World Hydrogen Energy Conference (WHEC 2016), 13-16 June 2016, Zaragoza, Spain","container-title":"International Journal of Hydrogen Energy","DOI":"10.1016/j.ijhydene.2016.12.065","ISSN":"0360-3199","issue":"19","journalAbbreviation":"International Journal of Hydrogen Energy","language":"en","page":"14030-14043","source":"ScienceDirect","title":"LCA evaluation for the hydrogen production from biogas through the innovative BioRobur project concept","volume":"42","author":[{"family":"Battista","given":"F."},{"family":"Montenegro Camacho","given":"Y. S."},{"family":"Hernández","given":"S."},{"family":"Bensaid","given":"S."},{"family":"Herrmann","given":"A."},{"family":"Krause","given":"H."},{"family":"Trimis","given":"D."},{"family":"Fino","given":"D."}],"issued":{"date-parts":[["2017",5,11]]}}}],"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245</w:t>
            </w:r>
            <w:r w:rsidRPr="006C0789">
              <w:rPr>
                <w:i/>
                <w:sz w:val="18"/>
                <w:szCs w:val="18"/>
              </w:rPr>
              <w:fldChar w:fldCharType="end"/>
            </w:r>
          </w:p>
        </w:tc>
      </w:tr>
      <w:tr w:rsidR="0004103A" w:rsidRPr="006C0789" w14:paraId="35075A8E" w14:textId="77777777" w:rsidTr="006C0789">
        <w:tc>
          <w:tcPr>
            <w:cnfStyle w:val="001000000000" w:firstRow="0" w:lastRow="0" w:firstColumn="1" w:lastColumn="0" w:oddVBand="0" w:evenVBand="0" w:oddHBand="0" w:evenHBand="0" w:firstRowFirstColumn="0" w:firstRowLastColumn="0" w:lastRowFirstColumn="0" w:lastRowLastColumn="0"/>
            <w:tcW w:w="0" w:type="auto"/>
          </w:tcPr>
          <w:p w14:paraId="3275CC73" w14:textId="77777777" w:rsidR="0004103A" w:rsidRPr="006C0789" w:rsidRDefault="0004103A" w:rsidP="003B1307">
            <w:pPr>
              <w:jc w:val="right"/>
              <w:rPr>
                <w:b w:val="0"/>
                <w:sz w:val="18"/>
                <w:szCs w:val="18"/>
              </w:rPr>
            </w:pPr>
            <w:r w:rsidRPr="006C0789">
              <w:rPr>
                <w:b w:val="0"/>
                <w:sz w:val="18"/>
                <w:szCs w:val="18"/>
              </w:rPr>
              <w:t>Market for concrete, normal, CH</w:t>
            </w:r>
          </w:p>
        </w:tc>
        <w:tc>
          <w:tcPr>
            <w:tcW w:w="0" w:type="auto"/>
            <w:vMerge/>
          </w:tcPr>
          <w:p w14:paraId="6C312939" w14:textId="77777777" w:rsidR="0004103A" w:rsidRPr="006C0789" w:rsidRDefault="0004103A" w:rsidP="004D7AB5">
            <w:pPr>
              <w:cnfStyle w:val="000000000000" w:firstRow="0" w:lastRow="0" w:firstColumn="0" w:lastColumn="0" w:oddVBand="0" w:evenVBand="0" w:oddHBand="0" w:evenHBand="0" w:firstRowFirstColumn="0" w:firstRowLastColumn="0" w:lastRowFirstColumn="0" w:lastRowLastColumn="0"/>
              <w:rPr>
                <w:i/>
                <w:sz w:val="18"/>
                <w:szCs w:val="18"/>
              </w:rPr>
            </w:pPr>
          </w:p>
        </w:tc>
      </w:tr>
      <w:tr w:rsidR="0004103A" w:rsidRPr="006C0789" w14:paraId="0862FD4C" w14:textId="77777777" w:rsidTr="006C07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629D452" w14:textId="77777777" w:rsidR="0004103A" w:rsidRPr="006C0789" w:rsidRDefault="0004103A" w:rsidP="003B1307">
            <w:pPr>
              <w:jc w:val="right"/>
              <w:rPr>
                <w:b w:val="0"/>
                <w:sz w:val="18"/>
                <w:szCs w:val="18"/>
              </w:rPr>
            </w:pPr>
            <w:r w:rsidRPr="006C0789">
              <w:rPr>
                <w:b w:val="0"/>
                <w:sz w:val="18"/>
                <w:szCs w:val="18"/>
              </w:rPr>
              <w:t>Market for steel, chromium steel 18/8, GLO</w:t>
            </w:r>
          </w:p>
        </w:tc>
        <w:tc>
          <w:tcPr>
            <w:tcW w:w="0" w:type="auto"/>
            <w:vMerge/>
          </w:tcPr>
          <w:p w14:paraId="3DC34CB8" w14:textId="77777777" w:rsidR="0004103A" w:rsidRPr="006C0789" w:rsidRDefault="0004103A" w:rsidP="004D7AB5">
            <w:pPr>
              <w:cnfStyle w:val="000000100000" w:firstRow="0" w:lastRow="0" w:firstColumn="0" w:lastColumn="0" w:oddVBand="0" w:evenVBand="0" w:oddHBand="1" w:evenHBand="0" w:firstRowFirstColumn="0" w:firstRowLastColumn="0" w:lastRowFirstColumn="0" w:lastRowLastColumn="0"/>
              <w:rPr>
                <w:i/>
                <w:sz w:val="18"/>
                <w:szCs w:val="18"/>
              </w:rPr>
            </w:pPr>
          </w:p>
        </w:tc>
      </w:tr>
      <w:tr w:rsidR="0004103A" w:rsidRPr="006C0789" w14:paraId="45D28033" w14:textId="77777777" w:rsidTr="006C0789">
        <w:tc>
          <w:tcPr>
            <w:cnfStyle w:val="001000000000" w:firstRow="0" w:lastRow="0" w:firstColumn="1" w:lastColumn="0" w:oddVBand="0" w:evenVBand="0" w:oddHBand="0" w:evenHBand="0" w:firstRowFirstColumn="0" w:firstRowLastColumn="0" w:lastRowFirstColumn="0" w:lastRowLastColumn="0"/>
            <w:tcW w:w="0" w:type="auto"/>
          </w:tcPr>
          <w:p w14:paraId="589C06E7" w14:textId="77777777" w:rsidR="0004103A" w:rsidRPr="006C0789" w:rsidRDefault="0004103A" w:rsidP="003B1307">
            <w:pPr>
              <w:jc w:val="right"/>
              <w:rPr>
                <w:b w:val="0"/>
                <w:sz w:val="18"/>
                <w:szCs w:val="18"/>
              </w:rPr>
            </w:pPr>
            <w:r w:rsidRPr="006C0789">
              <w:rPr>
                <w:b w:val="0"/>
                <w:sz w:val="18"/>
                <w:szCs w:val="18"/>
              </w:rPr>
              <w:t>Market for steel, unalloyed, GLO</w:t>
            </w:r>
          </w:p>
        </w:tc>
        <w:tc>
          <w:tcPr>
            <w:tcW w:w="0" w:type="auto"/>
            <w:vMerge/>
          </w:tcPr>
          <w:p w14:paraId="74C1B1E4" w14:textId="77777777" w:rsidR="0004103A" w:rsidRPr="006C0789" w:rsidRDefault="0004103A" w:rsidP="004D7AB5">
            <w:pPr>
              <w:cnfStyle w:val="000000000000" w:firstRow="0" w:lastRow="0" w:firstColumn="0" w:lastColumn="0" w:oddVBand="0" w:evenVBand="0" w:oddHBand="0" w:evenHBand="0" w:firstRowFirstColumn="0" w:firstRowLastColumn="0" w:lastRowFirstColumn="0" w:lastRowLastColumn="0"/>
              <w:rPr>
                <w:i/>
                <w:sz w:val="18"/>
                <w:szCs w:val="18"/>
              </w:rPr>
            </w:pPr>
          </w:p>
        </w:tc>
      </w:tr>
      <w:tr w:rsidR="0004103A" w:rsidRPr="006C0789" w14:paraId="5725F9DB" w14:textId="77777777" w:rsidTr="006C07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78CEE7B" w14:textId="77777777" w:rsidR="0004103A" w:rsidRPr="006C0789" w:rsidRDefault="0004103A" w:rsidP="003B1307">
            <w:pPr>
              <w:jc w:val="right"/>
              <w:rPr>
                <w:b w:val="0"/>
                <w:sz w:val="18"/>
                <w:szCs w:val="18"/>
              </w:rPr>
            </w:pPr>
            <w:r w:rsidRPr="006C0789">
              <w:rPr>
                <w:b w:val="0"/>
                <w:sz w:val="18"/>
                <w:szCs w:val="18"/>
              </w:rPr>
              <w:t>Market for Nickel, class 1, GLO</w:t>
            </w:r>
          </w:p>
        </w:tc>
        <w:tc>
          <w:tcPr>
            <w:tcW w:w="0" w:type="auto"/>
            <w:vMerge/>
          </w:tcPr>
          <w:p w14:paraId="34A5C93D" w14:textId="77777777" w:rsidR="0004103A" w:rsidRPr="006C0789" w:rsidRDefault="0004103A" w:rsidP="004D7AB5">
            <w:pPr>
              <w:cnfStyle w:val="000000100000" w:firstRow="0" w:lastRow="0" w:firstColumn="0" w:lastColumn="0" w:oddVBand="0" w:evenVBand="0" w:oddHBand="1" w:evenHBand="0" w:firstRowFirstColumn="0" w:firstRowLastColumn="0" w:lastRowFirstColumn="0" w:lastRowLastColumn="0"/>
              <w:rPr>
                <w:i/>
                <w:sz w:val="18"/>
                <w:szCs w:val="18"/>
              </w:rPr>
            </w:pPr>
          </w:p>
        </w:tc>
      </w:tr>
      <w:tr w:rsidR="0004103A" w:rsidRPr="006C0789" w14:paraId="22E511DD" w14:textId="77777777" w:rsidTr="006C0789">
        <w:tc>
          <w:tcPr>
            <w:cnfStyle w:val="001000000000" w:firstRow="0" w:lastRow="0" w:firstColumn="1" w:lastColumn="0" w:oddVBand="0" w:evenVBand="0" w:oddHBand="0" w:evenHBand="0" w:firstRowFirstColumn="0" w:firstRowLastColumn="0" w:lastRowFirstColumn="0" w:lastRowLastColumn="0"/>
            <w:tcW w:w="0" w:type="auto"/>
          </w:tcPr>
          <w:p w14:paraId="66EF3873" w14:textId="77777777" w:rsidR="0004103A" w:rsidRPr="006C0789" w:rsidRDefault="0004103A" w:rsidP="003B1307">
            <w:pPr>
              <w:jc w:val="right"/>
              <w:rPr>
                <w:b w:val="0"/>
                <w:sz w:val="18"/>
                <w:szCs w:val="18"/>
              </w:rPr>
            </w:pPr>
            <w:r w:rsidRPr="006C0789">
              <w:rPr>
                <w:b w:val="0"/>
                <w:sz w:val="18"/>
                <w:szCs w:val="18"/>
              </w:rPr>
              <w:t>market for iron-nickel-chromium alloy, GLO</w:t>
            </w:r>
          </w:p>
        </w:tc>
        <w:tc>
          <w:tcPr>
            <w:tcW w:w="0" w:type="auto"/>
            <w:vMerge/>
          </w:tcPr>
          <w:p w14:paraId="02557138" w14:textId="77777777" w:rsidR="0004103A" w:rsidRPr="006C0789" w:rsidRDefault="0004103A" w:rsidP="004D7AB5">
            <w:pPr>
              <w:cnfStyle w:val="000000000000" w:firstRow="0" w:lastRow="0" w:firstColumn="0" w:lastColumn="0" w:oddVBand="0" w:evenVBand="0" w:oddHBand="0" w:evenHBand="0" w:firstRowFirstColumn="0" w:firstRowLastColumn="0" w:lastRowFirstColumn="0" w:lastRowLastColumn="0"/>
              <w:rPr>
                <w:i/>
                <w:sz w:val="18"/>
                <w:szCs w:val="18"/>
              </w:rPr>
            </w:pPr>
          </w:p>
        </w:tc>
      </w:tr>
      <w:tr w:rsidR="0004103A" w:rsidRPr="006C0789" w14:paraId="7B8838B2" w14:textId="77777777" w:rsidTr="006C07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8EB1EAF" w14:textId="77777777" w:rsidR="0004103A" w:rsidRPr="006C0789" w:rsidRDefault="0004103A" w:rsidP="003B1307">
            <w:pPr>
              <w:jc w:val="right"/>
              <w:rPr>
                <w:b w:val="0"/>
                <w:sz w:val="18"/>
                <w:szCs w:val="18"/>
              </w:rPr>
            </w:pPr>
            <w:r w:rsidRPr="006C0789">
              <w:rPr>
                <w:b w:val="0"/>
                <w:sz w:val="18"/>
                <w:szCs w:val="18"/>
              </w:rPr>
              <w:t>Market for Aluminium alloy, AlMg3, GLO</w:t>
            </w:r>
          </w:p>
        </w:tc>
        <w:tc>
          <w:tcPr>
            <w:tcW w:w="0" w:type="auto"/>
            <w:vMerge/>
          </w:tcPr>
          <w:p w14:paraId="7F04F06B" w14:textId="77777777" w:rsidR="0004103A" w:rsidRPr="006C0789" w:rsidRDefault="0004103A" w:rsidP="004D7AB5">
            <w:pPr>
              <w:cnfStyle w:val="000000100000" w:firstRow="0" w:lastRow="0" w:firstColumn="0" w:lastColumn="0" w:oddVBand="0" w:evenVBand="0" w:oddHBand="1" w:evenHBand="0" w:firstRowFirstColumn="0" w:firstRowLastColumn="0" w:lastRowFirstColumn="0" w:lastRowLastColumn="0"/>
              <w:rPr>
                <w:i/>
                <w:sz w:val="18"/>
                <w:szCs w:val="18"/>
              </w:rPr>
            </w:pPr>
          </w:p>
        </w:tc>
      </w:tr>
      <w:tr w:rsidR="0004103A" w:rsidRPr="006C0789" w14:paraId="6728539B" w14:textId="77777777" w:rsidTr="006C0789">
        <w:tc>
          <w:tcPr>
            <w:cnfStyle w:val="001000000000" w:firstRow="0" w:lastRow="0" w:firstColumn="1" w:lastColumn="0" w:oddVBand="0" w:evenVBand="0" w:oddHBand="0" w:evenHBand="0" w:firstRowFirstColumn="0" w:firstRowLastColumn="0" w:lastRowFirstColumn="0" w:lastRowLastColumn="0"/>
            <w:tcW w:w="0" w:type="auto"/>
          </w:tcPr>
          <w:p w14:paraId="33F4005F" w14:textId="77777777" w:rsidR="0004103A" w:rsidRPr="006C0789" w:rsidRDefault="0004103A" w:rsidP="003B1307">
            <w:pPr>
              <w:jc w:val="right"/>
              <w:rPr>
                <w:b w:val="0"/>
                <w:sz w:val="18"/>
                <w:szCs w:val="18"/>
              </w:rPr>
            </w:pPr>
            <w:r w:rsidRPr="006C0789">
              <w:rPr>
                <w:b w:val="0"/>
                <w:sz w:val="18"/>
                <w:szCs w:val="18"/>
              </w:rPr>
              <w:t>Market for aluminium, primary, ingot, IAI Area EU27</w:t>
            </w:r>
          </w:p>
        </w:tc>
        <w:tc>
          <w:tcPr>
            <w:tcW w:w="0" w:type="auto"/>
            <w:vMerge/>
          </w:tcPr>
          <w:p w14:paraId="32BF1228" w14:textId="77777777" w:rsidR="0004103A" w:rsidRPr="006C0789" w:rsidRDefault="0004103A" w:rsidP="004D7AB5">
            <w:pPr>
              <w:cnfStyle w:val="000000000000" w:firstRow="0" w:lastRow="0" w:firstColumn="0" w:lastColumn="0" w:oddVBand="0" w:evenVBand="0" w:oddHBand="0" w:evenHBand="0" w:firstRowFirstColumn="0" w:firstRowLastColumn="0" w:lastRowFirstColumn="0" w:lastRowLastColumn="0"/>
              <w:rPr>
                <w:i/>
                <w:sz w:val="18"/>
                <w:szCs w:val="18"/>
              </w:rPr>
            </w:pPr>
          </w:p>
        </w:tc>
      </w:tr>
      <w:tr w:rsidR="0004103A" w:rsidRPr="006C0789" w14:paraId="6564A782" w14:textId="77777777" w:rsidTr="006C07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11C61AA" w14:textId="77777777" w:rsidR="0004103A" w:rsidRPr="006C0789" w:rsidRDefault="0004103A" w:rsidP="003B1307">
            <w:pPr>
              <w:jc w:val="right"/>
              <w:rPr>
                <w:b w:val="0"/>
                <w:sz w:val="18"/>
                <w:szCs w:val="18"/>
              </w:rPr>
            </w:pPr>
            <w:r w:rsidRPr="006C0789">
              <w:rPr>
                <w:b w:val="0"/>
                <w:sz w:val="18"/>
                <w:szCs w:val="18"/>
              </w:rPr>
              <w:t>Market for zinc, GLO</w:t>
            </w:r>
          </w:p>
        </w:tc>
        <w:tc>
          <w:tcPr>
            <w:tcW w:w="0" w:type="auto"/>
            <w:vMerge/>
          </w:tcPr>
          <w:p w14:paraId="08DB7002" w14:textId="77777777" w:rsidR="0004103A" w:rsidRPr="006C0789" w:rsidRDefault="0004103A" w:rsidP="004D7AB5">
            <w:pPr>
              <w:cnfStyle w:val="000000100000" w:firstRow="0" w:lastRow="0" w:firstColumn="0" w:lastColumn="0" w:oddVBand="0" w:evenVBand="0" w:oddHBand="1" w:evenHBand="0" w:firstRowFirstColumn="0" w:firstRowLastColumn="0" w:lastRowFirstColumn="0" w:lastRowLastColumn="0"/>
              <w:rPr>
                <w:i/>
                <w:sz w:val="18"/>
                <w:szCs w:val="18"/>
              </w:rPr>
            </w:pPr>
          </w:p>
        </w:tc>
      </w:tr>
      <w:tr w:rsidR="0004103A" w:rsidRPr="006C0789" w14:paraId="2714F519" w14:textId="77777777" w:rsidTr="006C0789">
        <w:tc>
          <w:tcPr>
            <w:cnfStyle w:val="001000000000" w:firstRow="0" w:lastRow="0" w:firstColumn="1" w:lastColumn="0" w:oddVBand="0" w:evenVBand="0" w:oddHBand="0" w:evenHBand="0" w:firstRowFirstColumn="0" w:firstRowLastColumn="0" w:lastRowFirstColumn="0" w:lastRowLastColumn="0"/>
            <w:tcW w:w="0" w:type="auto"/>
          </w:tcPr>
          <w:p w14:paraId="617B1B90" w14:textId="77777777" w:rsidR="0004103A" w:rsidRPr="006C0789" w:rsidRDefault="0004103A" w:rsidP="003B1307">
            <w:pPr>
              <w:jc w:val="right"/>
              <w:rPr>
                <w:b w:val="0"/>
                <w:sz w:val="18"/>
                <w:szCs w:val="18"/>
              </w:rPr>
            </w:pPr>
            <w:r w:rsidRPr="006C0789">
              <w:rPr>
                <w:b w:val="0"/>
                <w:sz w:val="18"/>
                <w:szCs w:val="18"/>
              </w:rPr>
              <w:t>Market for zinc oxide, GLO</w:t>
            </w:r>
          </w:p>
        </w:tc>
        <w:tc>
          <w:tcPr>
            <w:tcW w:w="0" w:type="auto"/>
            <w:vMerge/>
          </w:tcPr>
          <w:p w14:paraId="4ADD4E62" w14:textId="77777777" w:rsidR="0004103A" w:rsidRPr="006C0789" w:rsidRDefault="0004103A" w:rsidP="004D7AB5">
            <w:pPr>
              <w:cnfStyle w:val="000000000000" w:firstRow="0" w:lastRow="0" w:firstColumn="0" w:lastColumn="0" w:oddVBand="0" w:evenVBand="0" w:oddHBand="0" w:evenHBand="0" w:firstRowFirstColumn="0" w:firstRowLastColumn="0" w:lastRowFirstColumn="0" w:lastRowLastColumn="0"/>
              <w:rPr>
                <w:i/>
                <w:sz w:val="18"/>
                <w:szCs w:val="18"/>
              </w:rPr>
            </w:pPr>
          </w:p>
        </w:tc>
      </w:tr>
      <w:tr w:rsidR="0004103A" w:rsidRPr="006C0789" w14:paraId="176F6B69" w14:textId="77777777" w:rsidTr="006C07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A0B7E58" w14:textId="77777777" w:rsidR="0004103A" w:rsidRPr="006C0789" w:rsidRDefault="0004103A" w:rsidP="003B1307">
            <w:pPr>
              <w:jc w:val="right"/>
              <w:rPr>
                <w:b w:val="0"/>
                <w:sz w:val="18"/>
                <w:szCs w:val="18"/>
              </w:rPr>
            </w:pPr>
            <w:r w:rsidRPr="006C0789">
              <w:rPr>
                <w:b w:val="0"/>
                <w:sz w:val="18"/>
                <w:szCs w:val="18"/>
              </w:rPr>
              <w:t>Market for copper-rich materials, GLO</w:t>
            </w:r>
          </w:p>
        </w:tc>
        <w:tc>
          <w:tcPr>
            <w:tcW w:w="0" w:type="auto"/>
            <w:vMerge/>
          </w:tcPr>
          <w:p w14:paraId="55FAF3FF" w14:textId="77777777" w:rsidR="0004103A" w:rsidRPr="006C0789" w:rsidRDefault="0004103A" w:rsidP="004D7AB5">
            <w:pPr>
              <w:cnfStyle w:val="000000100000" w:firstRow="0" w:lastRow="0" w:firstColumn="0" w:lastColumn="0" w:oddVBand="0" w:evenVBand="0" w:oddHBand="1" w:evenHBand="0" w:firstRowFirstColumn="0" w:firstRowLastColumn="0" w:lastRowFirstColumn="0" w:lastRowLastColumn="0"/>
              <w:rPr>
                <w:i/>
                <w:sz w:val="18"/>
                <w:szCs w:val="18"/>
              </w:rPr>
            </w:pPr>
          </w:p>
        </w:tc>
      </w:tr>
      <w:tr w:rsidR="004D7AB5" w:rsidRPr="006C0789" w14:paraId="3DE42EE2" w14:textId="77777777" w:rsidTr="006C0789">
        <w:tc>
          <w:tcPr>
            <w:cnfStyle w:val="001000000000" w:firstRow="0" w:lastRow="0" w:firstColumn="1" w:lastColumn="0" w:oddVBand="0" w:evenVBand="0" w:oddHBand="0" w:evenHBand="0" w:firstRowFirstColumn="0" w:firstRowLastColumn="0" w:lastRowFirstColumn="0" w:lastRowLastColumn="0"/>
            <w:tcW w:w="0" w:type="auto"/>
          </w:tcPr>
          <w:p w14:paraId="21D4AD22" w14:textId="44599641" w:rsidR="004D7AB5" w:rsidRPr="006C0789" w:rsidRDefault="004D7AB5" w:rsidP="004D7AB5">
            <w:pPr>
              <w:jc w:val="right"/>
              <w:rPr>
                <w:b w:val="0"/>
                <w:sz w:val="18"/>
                <w:szCs w:val="18"/>
              </w:rPr>
            </w:pPr>
            <w:r w:rsidRPr="006C0789">
              <w:rPr>
                <w:b w:val="0"/>
                <w:sz w:val="18"/>
                <w:szCs w:val="18"/>
              </w:rPr>
              <w:t>Market for steel, unalloyed, GLO</w:t>
            </w:r>
          </w:p>
        </w:tc>
        <w:tc>
          <w:tcPr>
            <w:tcW w:w="0" w:type="auto"/>
            <w:vMerge w:val="restart"/>
          </w:tcPr>
          <w:p w14:paraId="7702B4EF" w14:textId="40C524F5"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i/>
                <w:sz w:val="18"/>
                <w:szCs w:val="18"/>
              </w:rPr>
            </w:pPr>
            <w:r w:rsidRPr="006C0789">
              <w:rPr>
                <w:i/>
                <w:sz w:val="18"/>
                <w:szCs w:val="18"/>
              </w:rPr>
              <w:t xml:space="preserve">Proxies for the four processes mentioned in </w:t>
            </w:r>
            <w:r w:rsidR="00D954FE" w:rsidRPr="006C0789">
              <w:rPr>
                <w:b/>
                <w:i/>
                <w:sz w:val="18"/>
                <w:szCs w:val="18"/>
              </w:rPr>
              <w:fldChar w:fldCharType="begin"/>
            </w:r>
            <w:r w:rsidR="00D954FE" w:rsidRPr="006C0789">
              <w:rPr>
                <w:b/>
                <w:i/>
                <w:sz w:val="18"/>
                <w:szCs w:val="18"/>
              </w:rPr>
              <w:instrText xml:space="preserve"> REF _Ref144824772 \h  \* MERGEFORMAT </w:instrText>
            </w:r>
            <w:r w:rsidR="00D954FE" w:rsidRPr="006C0789">
              <w:rPr>
                <w:b/>
                <w:i/>
                <w:sz w:val="18"/>
                <w:szCs w:val="18"/>
              </w:rPr>
            </w:r>
            <w:r w:rsidR="00D954FE" w:rsidRPr="006C0789">
              <w:rPr>
                <w:b/>
                <w:i/>
                <w:sz w:val="18"/>
                <w:szCs w:val="18"/>
              </w:rPr>
              <w:fldChar w:fldCharType="separate"/>
            </w:r>
            <w:r w:rsidR="00F25F8C" w:rsidRPr="006C0789">
              <w:rPr>
                <w:b/>
                <w:i/>
                <w:sz w:val="18"/>
                <w:szCs w:val="18"/>
              </w:rPr>
              <w:t xml:space="preserve">Table SI. </w:t>
            </w:r>
            <w:r w:rsidR="00F25F8C" w:rsidRPr="006C0789">
              <w:rPr>
                <w:b/>
                <w:i/>
                <w:noProof/>
                <w:sz w:val="18"/>
                <w:szCs w:val="18"/>
              </w:rPr>
              <w:t>58</w:t>
            </w:r>
            <w:r w:rsidR="00D954FE" w:rsidRPr="006C0789">
              <w:rPr>
                <w:b/>
                <w:i/>
                <w:sz w:val="18"/>
                <w:szCs w:val="18"/>
              </w:rPr>
              <w:fldChar w:fldCharType="end"/>
            </w:r>
            <w:r w:rsidR="00D954FE" w:rsidRPr="006C0789">
              <w:rPr>
                <w:i/>
                <w:sz w:val="18"/>
                <w:szCs w:val="18"/>
              </w:rPr>
              <w:t xml:space="preserve"> </w:t>
            </w:r>
            <w:r w:rsidRPr="006C0789">
              <w:rPr>
                <w:i/>
                <w:sz w:val="18"/>
                <w:szCs w:val="18"/>
              </w:rPr>
              <w:t>(WCS facilities)</w:t>
            </w:r>
          </w:p>
        </w:tc>
      </w:tr>
      <w:tr w:rsidR="004D7AB5" w:rsidRPr="006C0789" w14:paraId="688280C6" w14:textId="77777777" w:rsidTr="006C07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F405EDA" w14:textId="3BE61DFF" w:rsidR="004D7AB5" w:rsidRPr="006C0789" w:rsidRDefault="004D7AB5" w:rsidP="004D7AB5">
            <w:pPr>
              <w:jc w:val="right"/>
              <w:rPr>
                <w:b w:val="0"/>
                <w:sz w:val="18"/>
                <w:szCs w:val="18"/>
              </w:rPr>
            </w:pPr>
            <w:r w:rsidRPr="006C0789">
              <w:rPr>
                <w:b w:val="0"/>
                <w:sz w:val="18"/>
                <w:szCs w:val="18"/>
              </w:rPr>
              <w:t>Market or cast iron, LO</w:t>
            </w:r>
          </w:p>
        </w:tc>
        <w:tc>
          <w:tcPr>
            <w:tcW w:w="0" w:type="auto"/>
            <w:vMerge/>
          </w:tcPr>
          <w:p w14:paraId="03838B45" w14:textId="77777777"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i/>
                <w:sz w:val="18"/>
                <w:szCs w:val="18"/>
              </w:rPr>
            </w:pPr>
          </w:p>
        </w:tc>
      </w:tr>
      <w:tr w:rsidR="004D7AB5" w:rsidRPr="006C0789" w14:paraId="091BC8A8" w14:textId="77777777" w:rsidTr="006C0789">
        <w:tc>
          <w:tcPr>
            <w:cnfStyle w:val="001000000000" w:firstRow="0" w:lastRow="0" w:firstColumn="1" w:lastColumn="0" w:oddVBand="0" w:evenVBand="0" w:oddHBand="0" w:evenHBand="0" w:firstRowFirstColumn="0" w:firstRowLastColumn="0" w:lastRowFirstColumn="0" w:lastRowLastColumn="0"/>
            <w:tcW w:w="0" w:type="auto"/>
          </w:tcPr>
          <w:p w14:paraId="31DFF73F" w14:textId="06198613" w:rsidR="004D7AB5" w:rsidRPr="006C0789" w:rsidRDefault="004D7AB5" w:rsidP="004D7AB5">
            <w:pPr>
              <w:jc w:val="right"/>
              <w:rPr>
                <w:b w:val="0"/>
                <w:sz w:val="18"/>
                <w:szCs w:val="18"/>
              </w:rPr>
            </w:pPr>
            <w:r w:rsidRPr="006C0789">
              <w:rPr>
                <w:b w:val="0"/>
                <w:sz w:val="18"/>
                <w:szCs w:val="18"/>
              </w:rPr>
              <w:t>Market for steel, chromium steel 18/8, GLO</w:t>
            </w:r>
          </w:p>
        </w:tc>
        <w:tc>
          <w:tcPr>
            <w:tcW w:w="0" w:type="auto"/>
            <w:vMerge/>
          </w:tcPr>
          <w:p w14:paraId="781CEF78" w14:textId="77777777"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i/>
                <w:sz w:val="18"/>
                <w:szCs w:val="18"/>
              </w:rPr>
            </w:pPr>
          </w:p>
        </w:tc>
      </w:tr>
      <w:tr w:rsidR="004D7AB5" w:rsidRPr="006C0789" w14:paraId="184B96BC" w14:textId="77777777" w:rsidTr="006C07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5A51747" w14:textId="1C39307D" w:rsidR="004D7AB5" w:rsidRPr="006C0789" w:rsidRDefault="004D7AB5" w:rsidP="004D7AB5">
            <w:pPr>
              <w:jc w:val="right"/>
              <w:rPr>
                <w:b w:val="0"/>
                <w:sz w:val="18"/>
                <w:szCs w:val="18"/>
              </w:rPr>
            </w:pPr>
            <w:r w:rsidRPr="006C0789">
              <w:rPr>
                <w:b w:val="0"/>
                <w:sz w:val="18"/>
                <w:szCs w:val="18"/>
              </w:rPr>
              <w:t>Market for zeolite, powder, GLO</w:t>
            </w:r>
          </w:p>
        </w:tc>
        <w:tc>
          <w:tcPr>
            <w:tcW w:w="0" w:type="auto"/>
            <w:vMerge/>
          </w:tcPr>
          <w:p w14:paraId="197AD50A" w14:textId="77777777"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i/>
                <w:sz w:val="18"/>
                <w:szCs w:val="18"/>
              </w:rPr>
            </w:pPr>
          </w:p>
        </w:tc>
      </w:tr>
      <w:tr w:rsidR="004D7AB5" w:rsidRPr="006C0789" w14:paraId="599D1D8A" w14:textId="77777777" w:rsidTr="006C0789">
        <w:tc>
          <w:tcPr>
            <w:cnfStyle w:val="001000000000" w:firstRow="0" w:lastRow="0" w:firstColumn="1" w:lastColumn="0" w:oddVBand="0" w:evenVBand="0" w:oddHBand="0" w:evenHBand="0" w:firstRowFirstColumn="0" w:firstRowLastColumn="0" w:lastRowFirstColumn="0" w:lastRowLastColumn="0"/>
            <w:tcW w:w="0" w:type="auto"/>
          </w:tcPr>
          <w:p w14:paraId="13B3CCA1" w14:textId="5905FDFB" w:rsidR="004D7AB5" w:rsidRPr="006C0789" w:rsidRDefault="004D7AB5" w:rsidP="004D7AB5">
            <w:pPr>
              <w:jc w:val="right"/>
              <w:rPr>
                <w:b w:val="0"/>
                <w:sz w:val="18"/>
                <w:szCs w:val="18"/>
              </w:rPr>
            </w:pPr>
            <w:r w:rsidRPr="006C0789">
              <w:rPr>
                <w:b w:val="0"/>
                <w:sz w:val="18"/>
                <w:szCs w:val="18"/>
              </w:rPr>
              <w:t>Market for copper oxides, GLO</w:t>
            </w:r>
          </w:p>
        </w:tc>
        <w:tc>
          <w:tcPr>
            <w:tcW w:w="0" w:type="auto"/>
            <w:vMerge w:val="restart"/>
          </w:tcPr>
          <w:p w14:paraId="73BDF641" w14:textId="1E7BF78C"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i/>
                <w:sz w:val="18"/>
                <w:szCs w:val="18"/>
              </w:rPr>
            </w:pPr>
            <w:r w:rsidRPr="006C0789">
              <w:rPr>
                <w:i/>
                <w:sz w:val="18"/>
                <w:szCs w:val="18"/>
              </w:rPr>
              <w:t xml:space="preserve">Proxies for the three processes mentioned in </w:t>
            </w:r>
            <w:r w:rsidR="00D954FE" w:rsidRPr="006C0789">
              <w:rPr>
                <w:b/>
                <w:i/>
                <w:sz w:val="18"/>
                <w:szCs w:val="18"/>
              </w:rPr>
              <w:fldChar w:fldCharType="begin"/>
            </w:r>
            <w:r w:rsidR="00D954FE" w:rsidRPr="006C0789">
              <w:rPr>
                <w:b/>
                <w:i/>
                <w:sz w:val="18"/>
                <w:szCs w:val="18"/>
              </w:rPr>
              <w:instrText xml:space="preserve"> REF _Ref144824772 \h  \* MERGEFORMAT </w:instrText>
            </w:r>
            <w:r w:rsidR="00D954FE" w:rsidRPr="006C0789">
              <w:rPr>
                <w:b/>
                <w:i/>
                <w:sz w:val="18"/>
                <w:szCs w:val="18"/>
              </w:rPr>
            </w:r>
            <w:r w:rsidR="00D954FE" w:rsidRPr="006C0789">
              <w:rPr>
                <w:b/>
                <w:i/>
                <w:sz w:val="18"/>
                <w:szCs w:val="18"/>
              </w:rPr>
              <w:fldChar w:fldCharType="separate"/>
            </w:r>
            <w:r w:rsidR="00F25F8C" w:rsidRPr="006C0789">
              <w:rPr>
                <w:b/>
                <w:i/>
                <w:sz w:val="18"/>
                <w:szCs w:val="18"/>
              </w:rPr>
              <w:t xml:space="preserve">Table SI. </w:t>
            </w:r>
            <w:r w:rsidR="00F25F8C" w:rsidRPr="006C0789">
              <w:rPr>
                <w:b/>
                <w:i/>
                <w:noProof/>
                <w:sz w:val="18"/>
                <w:szCs w:val="18"/>
              </w:rPr>
              <w:t>58</w:t>
            </w:r>
            <w:r w:rsidR="00D954FE" w:rsidRPr="006C0789">
              <w:rPr>
                <w:b/>
                <w:i/>
                <w:sz w:val="18"/>
                <w:szCs w:val="18"/>
              </w:rPr>
              <w:fldChar w:fldCharType="end"/>
            </w:r>
            <w:r w:rsidR="00D954FE" w:rsidRPr="006C0789">
              <w:rPr>
                <w:i/>
                <w:sz w:val="18"/>
                <w:szCs w:val="18"/>
              </w:rPr>
              <w:t xml:space="preserve"> </w:t>
            </w:r>
            <w:r w:rsidRPr="006C0789">
              <w:rPr>
                <w:i/>
                <w:sz w:val="18"/>
                <w:szCs w:val="18"/>
              </w:rPr>
              <w:t>(WCS catalyst)</w:t>
            </w:r>
          </w:p>
        </w:tc>
      </w:tr>
      <w:tr w:rsidR="004D7AB5" w:rsidRPr="006C0789" w14:paraId="7029B96B" w14:textId="77777777" w:rsidTr="006C07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D0B1754" w14:textId="55ED6677" w:rsidR="004D7AB5" w:rsidRPr="006C0789" w:rsidRDefault="004D7AB5" w:rsidP="004D7AB5">
            <w:pPr>
              <w:jc w:val="right"/>
              <w:rPr>
                <w:b w:val="0"/>
                <w:sz w:val="18"/>
                <w:szCs w:val="18"/>
              </w:rPr>
            </w:pPr>
            <w:r w:rsidRPr="006C0789">
              <w:rPr>
                <w:b w:val="0"/>
                <w:sz w:val="18"/>
                <w:szCs w:val="18"/>
              </w:rPr>
              <w:t>Market for zinc oxides, GLO</w:t>
            </w:r>
          </w:p>
        </w:tc>
        <w:tc>
          <w:tcPr>
            <w:tcW w:w="0" w:type="auto"/>
            <w:vMerge/>
          </w:tcPr>
          <w:p w14:paraId="1D8AC80F" w14:textId="77777777"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i/>
                <w:sz w:val="18"/>
                <w:szCs w:val="18"/>
              </w:rPr>
            </w:pPr>
          </w:p>
        </w:tc>
      </w:tr>
      <w:tr w:rsidR="004D7AB5" w:rsidRPr="006C0789" w14:paraId="68339986" w14:textId="77777777" w:rsidTr="006C0789">
        <w:tc>
          <w:tcPr>
            <w:cnfStyle w:val="001000000000" w:firstRow="0" w:lastRow="0" w:firstColumn="1" w:lastColumn="0" w:oddVBand="0" w:evenVBand="0" w:oddHBand="0" w:evenHBand="0" w:firstRowFirstColumn="0" w:firstRowLastColumn="0" w:lastRowFirstColumn="0" w:lastRowLastColumn="0"/>
            <w:tcW w:w="0" w:type="auto"/>
          </w:tcPr>
          <w:p w14:paraId="3DA97600" w14:textId="0F80CCBC" w:rsidR="004D7AB5" w:rsidRPr="006C0789" w:rsidRDefault="004D7AB5" w:rsidP="004D7AB5">
            <w:pPr>
              <w:jc w:val="right"/>
              <w:rPr>
                <w:b w:val="0"/>
                <w:sz w:val="18"/>
                <w:szCs w:val="18"/>
              </w:rPr>
            </w:pPr>
            <w:r w:rsidRPr="006C0789">
              <w:rPr>
                <w:b w:val="0"/>
                <w:sz w:val="18"/>
                <w:szCs w:val="18"/>
              </w:rPr>
              <w:t>Market for aluminum oxide, non-metallurgical, IAI Area EU27</w:t>
            </w:r>
          </w:p>
        </w:tc>
        <w:tc>
          <w:tcPr>
            <w:tcW w:w="0" w:type="auto"/>
            <w:vMerge/>
          </w:tcPr>
          <w:p w14:paraId="2920BE5C" w14:textId="77777777"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i/>
                <w:sz w:val="18"/>
                <w:szCs w:val="18"/>
              </w:rPr>
            </w:pPr>
          </w:p>
        </w:tc>
      </w:tr>
      <w:tr w:rsidR="004D7AB5" w:rsidRPr="006C0789" w14:paraId="7E6E9A2D" w14:textId="77777777" w:rsidTr="006C07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06416F9" w14:textId="5C36239B" w:rsidR="004D7AB5" w:rsidRPr="006C0789" w:rsidRDefault="004D7AB5" w:rsidP="004D7AB5">
            <w:pPr>
              <w:jc w:val="right"/>
              <w:rPr>
                <w:b w:val="0"/>
                <w:sz w:val="18"/>
                <w:szCs w:val="18"/>
              </w:rPr>
            </w:pPr>
            <w:r w:rsidRPr="006C0789">
              <w:rPr>
                <w:b w:val="0"/>
                <w:sz w:val="18"/>
                <w:szCs w:val="18"/>
              </w:rPr>
              <w:t>Market for steel, chromium steel 18/8, GLO</w:t>
            </w:r>
          </w:p>
        </w:tc>
        <w:tc>
          <w:tcPr>
            <w:tcW w:w="0" w:type="auto"/>
            <w:vMerge w:val="restart"/>
          </w:tcPr>
          <w:p w14:paraId="4AD23CAD" w14:textId="6286F877"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i/>
                <w:sz w:val="18"/>
                <w:szCs w:val="18"/>
              </w:rPr>
            </w:pPr>
            <w:r w:rsidRPr="006C0789">
              <w:rPr>
                <w:i/>
                <w:sz w:val="18"/>
                <w:szCs w:val="18"/>
              </w:rPr>
              <w:t xml:space="preserve">Proxies for the two processes mentioned in </w:t>
            </w:r>
            <w:r w:rsidR="00D954FE" w:rsidRPr="006C0789">
              <w:rPr>
                <w:b/>
                <w:i/>
                <w:sz w:val="18"/>
                <w:szCs w:val="18"/>
              </w:rPr>
              <w:fldChar w:fldCharType="begin"/>
            </w:r>
            <w:r w:rsidR="00D954FE" w:rsidRPr="006C0789">
              <w:rPr>
                <w:b/>
                <w:i/>
                <w:sz w:val="18"/>
                <w:szCs w:val="18"/>
              </w:rPr>
              <w:instrText xml:space="preserve"> REF _Ref144824979 \h  \* MERGEFORMAT </w:instrText>
            </w:r>
            <w:r w:rsidR="00D954FE" w:rsidRPr="006C0789">
              <w:rPr>
                <w:b/>
                <w:i/>
                <w:sz w:val="18"/>
                <w:szCs w:val="18"/>
              </w:rPr>
            </w:r>
            <w:r w:rsidR="00D954FE" w:rsidRPr="006C0789">
              <w:rPr>
                <w:b/>
                <w:i/>
                <w:sz w:val="18"/>
                <w:szCs w:val="18"/>
              </w:rPr>
              <w:fldChar w:fldCharType="separate"/>
            </w:r>
            <w:r w:rsidR="00F25F8C" w:rsidRPr="006C0789">
              <w:rPr>
                <w:b/>
                <w:i/>
                <w:sz w:val="18"/>
                <w:szCs w:val="18"/>
              </w:rPr>
              <w:t xml:space="preserve">Table SI. </w:t>
            </w:r>
            <w:r w:rsidR="00F25F8C" w:rsidRPr="006C0789">
              <w:rPr>
                <w:b/>
                <w:i/>
                <w:noProof/>
                <w:sz w:val="18"/>
                <w:szCs w:val="18"/>
              </w:rPr>
              <w:t>59</w:t>
            </w:r>
            <w:r w:rsidR="00D954FE" w:rsidRPr="006C0789">
              <w:rPr>
                <w:b/>
                <w:i/>
                <w:sz w:val="18"/>
                <w:szCs w:val="18"/>
              </w:rPr>
              <w:fldChar w:fldCharType="end"/>
            </w:r>
            <w:r w:rsidR="00D954FE" w:rsidRPr="006C0789">
              <w:rPr>
                <w:i/>
                <w:sz w:val="18"/>
                <w:szCs w:val="18"/>
              </w:rPr>
              <w:t xml:space="preserve"> </w:t>
            </w:r>
            <w:r w:rsidRPr="006C0789">
              <w:rPr>
                <w:i/>
                <w:sz w:val="18"/>
                <w:szCs w:val="18"/>
              </w:rPr>
              <w:t>(methanation facility)</w:t>
            </w:r>
          </w:p>
        </w:tc>
      </w:tr>
      <w:tr w:rsidR="004D7AB5" w:rsidRPr="006C0789" w14:paraId="440BEE22" w14:textId="77777777" w:rsidTr="006C0789">
        <w:tc>
          <w:tcPr>
            <w:cnfStyle w:val="001000000000" w:firstRow="0" w:lastRow="0" w:firstColumn="1" w:lastColumn="0" w:oddVBand="0" w:evenVBand="0" w:oddHBand="0" w:evenHBand="0" w:firstRowFirstColumn="0" w:firstRowLastColumn="0" w:lastRowFirstColumn="0" w:lastRowLastColumn="0"/>
            <w:tcW w:w="0" w:type="auto"/>
          </w:tcPr>
          <w:p w14:paraId="18260BFD" w14:textId="2400C6BB" w:rsidR="004D7AB5" w:rsidRPr="006C0789" w:rsidRDefault="004D7AB5" w:rsidP="004D7AB5">
            <w:pPr>
              <w:jc w:val="right"/>
              <w:rPr>
                <w:b w:val="0"/>
                <w:sz w:val="18"/>
                <w:szCs w:val="18"/>
              </w:rPr>
            </w:pPr>
            <w:r w:rsidRPr="006C0789">
              <w:rPr>
                <w:b w:val="0"/>
                <w:sz w:val="18"/>
                <w:szCs w:val="18"/>
              </w:rPr>
              <w:t>Market for industrial furnace, natural gas, GLO</w:t>
            </w:r>
          </w:p>
        </w:tc>
        <w:tc>
          <w:tcPr>
            <w:tcW w:w="0" w:type="auto"/>
            <w:vMerge/>
          </w:tcPr>
          <w:p w14:paraId="06A6B21E" w14:textId="77777777"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i/>
                <w:sz w:val="18"/>
                <w:szCs w:val="18"/>
              </w:rPr>
            </w:pPr>
          </w:p>
        </w:tc>
      </w:tr>
      <w:tr w:rsidR="004D7AB5" w:rsidRPr="006C0789" w14:paraId="174D4D36" w14:textId="77777777" w:rsidTr="006C07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DE618DF" w14:textId="4CD4AA1B" w:rsidR="004D7AB5" w:rsidRPr="006C0789" w:rsidRDefault="004D7AB5" w:rsidP="004D7AB5">
            <w:pPr>
              <w:jc w:val="right"/>
              <w:rPr>
                <w:b w:val="0"/>
                <w:sz w:val="18"/>
                <w:szCs w:val="18"/>
              </w:rPr>
            </w:pPr>
            <w:r w:rsidRPr="006C0789">
              <w:rPr>
                <w:b w:val="0"/>
                <w:sz w:val="18"/>
                <w:szCs w:val="18"/>
              </w:rPr>
              <w:t>Market for Nickel, class 1, GLO</w:t>
            </w:r>
          </w:p>
        </w:tc>
        <w:tc>
          <w:tcPr>
            <w:tcW w:w="0" w:type="auto"/>
            <w:vMerge w:val="restart"/>
          </w:tcPr>
          <w:p w14:paraId="1F54E7CC" w14:textId="4C04A495"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i/>
                <w:sz w:val="18"/>
                <w:szCs w:val="18"/>
              </w:rPr>
            </w:pPr>
            <w:r w:rsidRPr="006C0789">
              <w:rPr>
                <w:i/>
                <w:sz w:val="18"/>
                <w:szCs w:val="18"/>
              </w:rPr>
              <w:t xml:space="preserve">Proxies for the two processes mentioned in </w:t>
            </w:r>
            <w:r w:rsidR="00D954FE" w:rsidRPr="006C0789">
              <w:rPr>
                <w:b/>
                <w:i/>
                <w:sz w:val="18"/>
                <w:szCs w:val="18"/>
              </w:rPr>
              <w:fldChar w:fldCharType="begin"/>
            </w:r>
            <w:r w:rsidR="00D954FE" w:rsidRPr="006C0789">
              <w:rPr>
                <w:b/>
                <w:i/>
                <w:sz w:val="18"/>
                <w:szCs w:val="18"/>
              </w:rPr>
              <w:instrText xml:space="preserve"> REF _Ref144824979 \h  \* MERGEFORMAT </w:instrText>
            </w:r>
            <w:r w:rsidR="00D954FE" w:rsidRPr="006C0789">
              <w:rPr>
                <w:b/>
                <w:i/>
                <w:sz w:val="18"/>
                <w:szCs w:val="18"/>
              </w:rPr>
            </w:r>
            <w:r w:rsidR="00D954FE" w:rsidRPr="006C0789">
              <w:rPr>
                <w:b/>
                <w:i/>
                <w:sz w:val="18"/>
                <w:szCs w:val="18"/>
              </w:rPr>
              <w:fldChar w:fldCharType="separate"/>
            </w:r>
            <w:r w:rsidR="00F25F8C" w:rsidRPr="006C0789">
              <w:rPr>
                <w:b/>
                <w:i/>
                <w:sz w:val="18"/>
                <w:szCs w:val="18"/>
              </w:rPr>
              <w:t xml:space="preserve">Table SI. </w:t>
            </w:r>
            <w:r w:rsidR="00F25F8C" w:rsidRPr="006C0789">
              <w:rPr>
                <w:b/>
                <w:i/>
                <w:noProof/>
                <w:sz w:val="18"/>
                <w:szCs w:val="18"/>
              </w:rPr>
              <w:t>59</w:t>
            </w:r>
            <w:r w:rsidR="00D954FE" w:rsidRPr="006C0789">
              <w:rPr>
                <w:b/>
                <w:i/>
                <w:sz w:val="18"/>
                <w:szCs w:val="18"/>
              </w:rPr>
              <w:fldChar w:fldCharType="end"/>
            </w:r>
            <w:r w:rsidR="00D954FE" w:rsidRPr="006C0789">
              <w:rPr>
                <w:i/>
                <w:sz w:val="18"/>
                <w:szCs w:val="18"/>
              </w:rPr>
              <w:t xml:space="preserve"> </w:t>
            </w:r>
            <w:r w:rsidRPr="006C0789">
              <w:rPr>
                <w:i/>
                <w:sz w:val="18"/>
                <w:szCs w:val="18"/>
              </w:rPr>
              <w:t>(methanation catalyst)</w:t>
            </w:r>
          </w:p>
        </w:tc>
      </w:tr>
      <w:tr w:rsidR="004D7AB5" w:rsidRPr="006C0789" w14:paraId="33751202" w14:textId="77777777" w:rsidTr="006C0789">
        <w:tc>
          <w:tcPr>
            <w:cnfStyle w:val="001000000000" w:firstRow="0" w:lastRow="0" w:firstColumn="1" w:lastColumn="0" w:oddVBand="0" w:evenVBand="0" w:oddHBand="0" w:evenHBand="0" w:firstRowFirstColumn="0" w:firstRowLastColumn="0" w:lastRowFirstColumn="0" w:lastRowLastColumn="0"/>
            <w:tcW w:w="0" w:type="auto"/>
          </w:tcPr>
          <w:p w14:paraId="09E3D36F" w14:textId="158EB42A" w:rsidR="004D7AB5" w:rsidRPr="006C0789" w:rsidRDefault="004D7AB5" w:rsidP="004D7AB5">
            <w:pPr>
              <w:jc w:val="right"/>
              <w:rPr>
                <w:b w:val="0"/>
                <w:sz w:val="18"/>
                <w:szCs w:val="18"/>
              </w:rPr>
            </w:pPr>
            <w:r w:rsidRPr="006C0789">
              <w:rPr>
                <w:b w:val="0"/>
                <w:sz w:val="18"/>
                <w:szCs w:val="18"/>
              </w:rPr>
              <w:t>Market for Aluminum alloy, AlMg3, GLO</w:t>
            </w:r>
          </w:p>
        </w:tc>
        <w:tc>
          <w:tcPr>
            <w:tcW w:w="0" w:type="auto"/>
            <w:vMerge/>
          </w:tcPr>
          <w:p w14:paraId="0432FF34" w14:textId="77777777"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i/>
                <w:sz w:val="18"/>
                <w:szCs w:val="18"/>
              </w:rPr>
            </w:pPr>
          </w:p>
        </w:tc>
      </w:tr>
      <w:tr w:rsidR="004D7AB5" w:rsidRPr="006C0789" w14:paraId="2AEE2754" w14:textId="77777777" w:rsidTr="006C07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BF0CA86" w14:textId="1EA26762" w:rsidR="004D7AB5" w:rsidRPr="006C0789" w:rsidRDefault="004D7AB5" w:rsidP="004D7AB5">
            <w:pPr>
              <w:jc w:val="right"/>
              <w:rPr>
                <w:b w:val="0"/>
                <w:sz w:val="18"/>
                <w:szCs w:val="18"/>
              </w:rPr>
            </w:pPr>
            <w:r w:rsidRPr="006C0789">
              <w:rPr>
                <w:b w:val="0"/>
                <w:sz w:val="18"/>
                <w:szCs w:val="18"/>
              </w:rPr>
              <w:t>Market for zinc, GLO</w:t>
            </w:r>
          </w:p>
        </w:tc>
        <w:tc>
          <w:tcPr>
            <w:tcW w:w="0" w:type="auto"/>
            <w:vMerge/>
          </w:tcPr>
          <w:p w14:paraId="5F967AB4" w14:textId="77777777"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i/>
                <w:sz w:val="18"/>
                <w:szCs w:val="18"/>
              </w:rPr>
            </w:pPr>
          </w:p>
        </w:tc>
      </w:tr>
      <w:tr w:rsidR="004D7AB5" w:rsidRPr="006C0789" w14:paraId="4DBD803A" w14:textId="77777777" w:rsidTr="006C0789">
        <w:tc>
          <w:tcPr>
            <w:cnfStyle w:val="001000000000" w:firstRow="0" w:lastRow="0" w:firstColumn="1" w:lastColumn="0" w:oddVBand="0" w:evenVBand="0" w:oddHBand="0" w:evenHBand="0" w:firstRowFirstColumn="0" w:firstRowLastColumn="0" w:lastRowFirstColumn="0" w:lastRowLastColumn="0"/>
            <w:tcW w:w="0" w:type="auto"/>
          </w:tcPr>
          <w:p w14:paraId="406AD9F9" w14:textId="5764CFF3" w:rsidR="004D7AB5" w:rsidRPr="006C0789" w:rsidRDefault="004D7AB5" w:rsidP="004D7AB5">
            <w:pPr>
              <w:jc w:val="right"/>
              <w:rPr>
                <w:b w:val="0"/>
                <w:sz w:val="18"/>
                <w:szCs w:val="18"/>
              </w:rPr>
            </w:pPr>
            <w:r w:rsidRPr="006C0789">
              <w:rPr>
                <w:b w:val="0"/>
                <w:sz w:val="18"/>
                <w:szCs w:val="18"/>
              </w:rPr>
              <w:t>Air separation, cryogenic, RER</w:t>
            </w:r>
          </w:p>
        </w:tc>
        <w:tc>
          <w:tcPr>
            <w:tcW w:w="0" w:type="auto"/>
          </w:tcPr>
          <w:p w14:paraId="5E390D3B" w14:textId="5427EF42"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i/>
                <w:sz w:val="18"/>
                <w:szCs w:val="18"/>
              </w:rPr>
            </w:pPr>
            <w:r w:rsidRPr="006C0789">
              <w:rPr>
                <w:i/>
                <w:sz w:val="18"/>
                <w:szCs w:val="18"/>
              </w:rPr>
              <w:t>Considered as marginal oxygen supply process. (background electricity harmonized)</w:t>
            </w:r>
          </w:p>
        </w:tc>
      </w:tr>
      <w:tr w:rsidR="004D7AB5" w:rsidRPr="006C0789" w14:paraId="16AD77F3" w14:textId="77777777" w:rsidTr="006C07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BC7ED81" w14:textId="518A83B4" w:rsidR="004D7AB5" w:rsidRPr="006C0789" w:rsidRDefault="004D7AB5" w:rsidP="004D7AB5">
            <w:pPr>
              <w:jc w:val="right"/>
              <w:rPr>
                <w:b w:val="0"/>
                <w:sz w:val="18"/>
                <w:szCs w:val="18"/>
              </w:rPr>
            </w:pPr>
            <w:r w:rsidRPr="006C0789">
              <w:rPr>
                <w:b w:val="0"/>
                <w:sz w:val="18"/>
                <w:szCs w:val="18"/>
              </w:rPr>
              <w:t>Market for potassium hydroxide, GLO</w:t>
            </w:r>
          </w:p>
        </w:tc>
        <w:tc>
          <w:tcPr>
            <w:tcW w:w="0" w:type="auto"/>
            <w:vMerge w:val="restart"/>
          </w:tcPr>
          <w:p w14:paraId="7FEF3411" w14:textId="3541A722"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i/>
                <w:sz w:val="18"/>
                <w:szCs w:val="18"/>
              </w:rPr>
            </w:pPr>
            <w:r w:rsidRPr="006C0789">
              <w:rPr>
                <w:i/>
                <w:sz w:val="18"/>
                <w:szCs w:val="18"/>
              </w:rPr>
              <w:t xml:space="preserve">Proxies for processes mentioned in </w:t>
            </w:r>
            <w:r w:rsidR="00D954FE" w:rsidRPr="006C0789">
              <w:rPr>
                <w:b/>
                <w:i/>
                <w:sz w:val="18"/>
                <w:szCs w:val="18"/>
              </w:rPr>
              <w:fldChar w:fldCharType="begin"/>
            </w:r>
            <w:r w:rsidR="00D954FE" w:rsidRPr="006C0789">
              <w:rPr>
                <w:b/>
                <w:i/>
                <w:sz w:val="18"/>
                <w:szCs w:val="18"/>
              </w:rPr>
              <w:instrText xml:space="preserve"> REF _Ref144825236 \h  \* MERGEFORMAT </w:instrText>
            </w:r>
            <w:r w:rsidR="00D954FE" w:rsidRPr="006C0789">
              <w:rPr>
                <w:b/>
                <w:i/>
                <w:sz w:val="18"/>
                <w:szCs w:val="18"/>
              </w:rPr>
            </w:r>
            <w:r w:rsidR="00D954FE" w:rsidRPr="006C0789">
              <w:rPr>
                <w:b/>
                <w:i/>
                <w:sz w:val="18"/>
                <w:szCs w:val="18"/>
              </w:rPr>
              <w:fldChar w:fldCharType="separate"/>
            </w:r>
            <w:r w:rsidR="00F25F8C" w:rsidRPr="006C0789">
              <w:rPr>
                <w:b/>
                <w:i/>
                <w:sz w:val="18"/>
                <w:szCs w:val="18"/>
              </w:rPr>
              <w:t xml:space="preserve">Table SI. </w:t>
            </w:r>
            <w:r w:rsidR="00F25F8C" w:rsidRPr="006C0789">
              <w:rPr>
                <w:b/>
                <w:i/>
                <w:noProof/>
                <w:sz w:val="18"/>
                <w:szCs w:val="18"/>
              </w:rPr>
              <w:t>60</w:t>
            </w:r>
            <w:r w:rsidR="00D954FE" w:rsidRPr="006C0789">
              <w:rPr>
                <w:b/>
                <w:i/>
                <w:sz w:val="18"/>
                <w:szCs w:val="18"/>
              </w:rPr>
              <w:fldChar w:fldCharType="end"/>
            </w:r>
            <w:r w:rsidR="00D954FE" w:rsidRPr="006C0789">
              <w:rPr>
                <w:i/>
                <w:sz w:val="18"/>
                <w:szCs w:val="18"/>
              </w:rPr>
              <w:t xml:space="preserve"> </w:t>
            </w:r>
            <w:r w:rsidRPr="006C0789">
              <w:rPr>
                <w:i/>
                <w:sz w:val="18"/>
                <w:szCs w:val="18"/>
              </w:rPr>
              <w:t>(electrolysis</w:t>
            </w:r>
          </w:p>
        </w:tc>
      </w:tr>
      <w:tr w:rsidR="004D7AB5" w:rsidRPr="006C0789" w14:paraId="72BCDF99" w14:textId="77777777" w:rsidTr="006C0789">
        <w:tc>
          <w:tcPr>
            <w:cnfStyle w:val="001000000000" w:firstRow="0" w:lastRow="0" w:firstColumn="1" w:lastColumn="0" w:oddVBand="0" w:evenVBand="0" w:oddHBand="0" w:evenHBand="0" w:firstRowFirstColumn="0" w:firstRowLastColumn="0" w:lastRowFirstColumn="0" w:lastRowLastColumn="0"/>
            <w:tcW w:w="0" w:type="auto"/>
          </w:tcPr>
          <w:p w14:paraId="2A3CF412" w14:textId="49EB75D8" w:rsidR="004D7AB5" w:rsidRPr="006C0789" w:rsidRDefault="004D7AB5" w:rsidP="004D7AB5">
            <w:pPr>
              <w:jc w:val="right"/>
              <w:rPr>
                <w:b w:val="0"/>
                <w:sz w:val="18"/>
                <w:szCs w:val="18"/>
              </w:rPr>
            </w:pPr>
            <w:r w:rsidRPr="006C0789">
              <w:rPr>
                <w:b w:val="0"/>
                <w:sz w:val="18"/>
                <w:szCs w:val="18"/>
              </w:rPr>
              <w:t>Market for nitrogen, liquid, RER</w:t>
            </w:r>
          </w:p>
        </w:tc>
        <w:tc>
          <w:tcPr>
            <w:tcW w:w="0" w:type="auto"/>
            <w:vMerge/>
          </w:tcPr>
          <w:p w14:paraId="7F6C2463" w14:textId="77777777"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i/>
                <w:sz w:val="18"/>
                <w:szCs w:val="18"/>
              </w:rPr>
            </w:pPr>
          </w:p>
        </w:tc>
      </w:tr>
      <w:tr w:rsidR="004D7AB5" w:rsidRPr="006C0789" w14:paraId="774FFE26" w14:textId="77777777" w:rsidTr="006C07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1D088E0" w14:textId="6914B70F" w:rsidR="004D7AB5" w:rsidRPr="006C0789" w:rsidRDefault="004D7AB5" w:rsidP="004D7AB5">
            <w:pPr>
              <w:jc w:val="right"/>
              <w:rPr>
                <w:b w:val="0"/>
                <w:sz w:val="18"/>
                <w:szCs w:val="18"/>
              </w:rPr>
            </w:pPr>
            <w:r w:rsidRPr="006C0789">
              <w:rPr>
                <w:b w:val="0"/>
                <w:sz w:val="18"/>
                <w:szCs w:val="18"/>
              </w:rPr>
              <w:t>Building construction, hall, CH</w:t>
            </w:r>
          </w:p>
        </w:tc>
        <w:tc>
          <w:tcPr>
            <w:tcW w:w="0" w:type="auto"/>
            <w:vMerge/>
          </w:tcPr>
          <w:p w14:paraId="781FCEDD" w14:textId="77777777"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i/>
                <w:sz w:val="18"/>
                <w:szCs w:val="18"/>
              </w:rPr>
            </w:pPr>
          </w:p>
        </w:tc>
      </w:tr>
      <w:tr w:rsidR="004D7AB5" w:rsidRPr="006C0789" w14:paraId="72A12C05" w14:textId="77777777" w:rsidTr="006C0789">
        <w:tc>
          <w:tcPr>
            <w:cnfStyle w:val="001000000000" w:firstRow="0" w:lastRow="0" w:firstColumn="1" w:lastColumn="0" w:oddVBand="0" w:evenVBand="0" w:oddHBand="0" w:evenHBand="0" w:firstRowFirstColumn="0" w:firstRowLastColumn="0" w:lastRowFirstColumn="0" w:lastRowLastColumn="0"/>
            <w:tcW w:w="0" w:type="auto"/>
            <w:gridSpan w:val="2"/>
          </w:tcPr>
          <w:p w14:paraId="6676B240" w14:textId="2A722DC8" w:rsidR="004D7AB5" w:rsidRPr="006C0789" w:rsidRDefault="004D7AB5" w:rsidP="004D7AB5">
            <w:pPr>
              <w:rPr>
                <w:i/>
                <w:sz w:val="18"/>
                <w:szCs w:val="18"/>
              </w:rPr>
            </w:pPr>
            <w:r w:rsidRPr="006C0789">
              <w:rPr>
                <w:b w:val="0"/>
                <w:i/>
                <w:sz w:val="18"/>
                <w:szCs w:val="18"/>
              </w:rPr>
              <w:t>Background inventory of the electrolysis stack composition was directly taken from pilot values from Lee et al., 2021</w:t>
            </w:r>
            <w:r w:rsidRPr="006C0789">
              <w:rPr>
                <w:i/>
                <w:sz w:val="18"/>
                <w:szCs w:val="18"/>
              </w:rPr>
              <w:fldChar w:fldCharType="begin"/>
            </w:r>
            <w:r w:rsidR="005413B4">
              <w:rPr>
                <w:b w:val="0"/>
                <w:i/>
                <w:sz w:val="18"/>
                <w:szCs w:val="18"/>
              </w:rPr>
              <w:instrText xml:space="preserve"> ADDIN ZOTERO_ITEM CSL_CITATION {"citationID":"gzFgApA1","properties":{"formattedCitation":"\\super 242\\nosupersub{}","plainCitation":"242","noteIndex":0},"citationItems":[{"id":13047,"uris":["http://zotero.org/users/6423791/items/4C7PKAD3"],"itemData":{"id":13047,"type":"article-journal","abstract":"Alkaline water electrolysis has been in the spotlight for green H2 production using electricity generated from renewable energy because of its high technology readiness level and low investment. However, commercialization of alkaline water electrolysis is challenging because of the low current density. Therefore, a techno-economic and environmental assessment was conducted for green H2 production by alkaline water electrolysis with experimental data from the advanced alkaline water electrolysis system of the Korea Institute of Energy Research (KIER) to identify the potential of this technology. Based on techno-economic analysis results, the stack cost and unit electricity price must be below 0.035 $ kWh−1 and 406 $ kW−1, respectively, to make this technology cost-competitive compared to the conventional H2 production method (&lt; 2 $ kgH2−1). Furthermore, CO2 emissions of 30.7, 17.4, 7.04, and 3.12 kgCO2-eq kgH2−1 were obtained for the current, 2030, 2050, and renewable Korean electricity mix scenarios, respectively, indicating that both scenarios (Korean electricity mix in 2050 and renewable) have lower CO2 emissions than the conventional H2 production method (11.5 kgCO2-eq kgH2−1). In addition, environmental impact reductions of 89.8%, 83.6%, 65.9%, and 91.0% for CO2 emissions, stratospheric ozone depletion, fine particulate matter formation, and fossil resource scarcity, respectively, were obtained for the renewable scenario compared to the current Korean electricity mix. Therefore, the electricity source has significant effects on the economic feasibility and environmental impacts for green H2 production.","container-title":"Journal of Environmental Chemical Engineering","DOI":"10.1016/j.jece.2021.106349","ISSN":"2213-3437","issue":"6","journalAbbreviation":"Journal of Environmental Chemical Engineering","language":"en","page":"106349","source":"ScienceDirect","title":"Integrative techno-economic and environmental assessment for green H2 production by alkaline water electrolysis based on experimental data","volume":"9","author":[{"family":"Lee","given":"Boreum"},{"family":"Cho","given":"Hyun-Seok"},{"family":"Kim","given":"Heehyang"},{"family":"Lim","given":"Dongjun"},{"family":"Cho","given":"Wonchul"},{"family":"Kim","given":"Chang-Hee"},{"family":"Lim","given":"Hankwon"}],"issued":{"date-parts":[["2021",12,1]]}}}],"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242</w:t>
            </w:r>
            <w:r w:rsidRPr="006C0789">
              <w:rPr>
                <w:i/>
                <w:sz w:val="18"/>
                <w:szCs w:val="18"/>
              </w:rPr>
              <w:fldChar w:fldCharType="end"/>
            </w:r>
          </w:p>
        </w:tc>
      </w:tr>
      <w:tr w:rsidR="004D7AB5" w:rsidRPr="006C0789" w14:paraId="068A96EC" w14:textId="77777777" w:rsidTr="006C07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8785298" w14:textId="77777777" w:rsidR="004D7AB5" w:rsidRPr="006C0789" w:rsidRDefault="004D7AB5" w:rsidP="004D7AB5">
            <w:pPr>
              <w:jc w:val="right"/>
              <w:rPr>
                <w:b w:val="0"/>
                <w:sz w:val="18"/>
                <w:szCs w:val="18"/>
              </w:rPr>
            </w:pPr>
            <w:r w:rsidRPr="006C0789">
              <w:rPr>
                <w:b w:val="0"/>
                <w:sz w:val="18"/>
                <w:szCs w:val="18"/>
              </w:rPr>
              <w:t>market for aluminium oxide, non-metallurgical, IAI Area EU27</w:t>
            </w:r>
          </w:p>
        </w:tc>
        <w:tc>
          <w:tcPr>
            <w:tcW w:w="0" w:type="auto"/>
            <w:vMerge w:val="restart"/>
          </w:tcPr>
          <w:p w14:paraId="2B055495" w14:textId="27F915ED" w:rsidR="004D7AB5" w:rsidRPr="006C0789" w:rsidRDefault="004D7AB5" w:rsidP="004D7AB5">
            <w:pPr>
              <w:cnfStyle w:val="000000100000" w:firstRow="0" w:lastRow="0" w:firstColumn="0" w:lastColumn="0" w:oddVBand="0" w:evenVBand="0" w:oddHBand="1" w:evenHBand="0" w:firstRowFirstColumn="0" w:firstRowLastColumn="0" w:lastRowFirstColumn="0" w:lastRowLastColumn="0"/>
              <w:rPr>
                <w:i/>
                <w:sz w:val="18"/>
                <w:szCs w:val="18"/>
              </w:rPr>
            </w:pPr>
            <w:r w:rsidRPr="006C0789">
              <w:rPr>
                <w:i/>
                <w:sz w:val="18"/>
                <w:szCs w:val="18"/>
              </w:rPr>
              <w:t>Proxies for the two processes mentioned</w:t>
            </w:r>
            <w:r w:rsidR="00D954FE" w:rsidRPr="006C0789">
              <w:rPr>
                <w:i/>
                <w:sz w:val="18"/>
                <w:szCs w:val="18"/>
              </w:rPr>
              <w:t xml:space="preserve"> </w:t>
            </w:r>
            <w:r w:rsidR="00D954FE" w:rsidRPr="006C0789">
              <w:rPr>
                <w:b/>
                <w:i/>
                <w:sz w:val="18"/>
                <w:szCs w:val="18"/>
              </w:rPr>
              <w:fldChar w:fldCharType="begin"/>
            </w:r>
            <w:r w:rsidR="00D954FE" w:rsidRPr="006C0789">
              <w:rPr>
                <w:b/>
                <w:i/>
                <w:sz w:val="18"/>
                <w:szCs w:val="18"/>
              </w:rPr>
              <w:instrText xml:space="preserve"> REF _Ref144826674 \h  \* MERGEFORMAT </w:instrText>
            </w:r>
            <w:r w:rsidR="00D954FE" w:rsidRPr="006C0789">
              <w:rPr>
                <w:b/>
                <w:i/>
                <w:sz w:val="18"/>
                <w:szCs w:val="18"/>
              </w:rPr>
            </w:r>
            <w:r w:rsidR="00D954FE" w:rsidRPr="006C0789">
              <w:rPr>
                <w:b/>
                <w:i/>
                <w:sz w:val="18"/>
                <w:szCs w:val="18"/>
              </w:rPr>
              <w:fldChar w:fldCharType="separate"/>
            </w:r>
            <w:r w:rsidR="00F25F8C" w:rsidRPr="006C0789">
              <w:rPr>
                <w:b/>
                <w:i/>
                <w:sz w:val="18"/>
                <w:szCs w:val="18"/>
              </w:rPr>
              <w:t xml:space="preserve">Table SI. </w:t>
            </w:r>
            <w:r w:rsidR="00F25F8C" w:rsidRPr="006C0789">
              <w:rPr>
                <w:b/>
                <w:i/>
                <w:noProof/>
                <w:sz w:val="18"/>
                <w:szCs w:val="18"/>
              </w:rPr>
              <w:t>65</w:t>
            </w:r>
            <w:r w:rsidR="00D954FE" w:rsidRPr="006C0789">
              <w:rPr>
                <w:b/>
                <w:i/>
                <w:sz w:val="18"/>
                <w:szCs w:val="18"/>
              </w:rPr>
              <w:fldChar w:fldCharType="end"/>
            </w:r>
            <w:r w:rsidRPr="006C0789">
              <w:rPr>
                <w:i/>
                <w:sz w:val="18"/>
                <w:szCs w:val="18"/>
              </w:rPr>
              <w:t xml:space="preserve"> (</w:t>
            </w:r>
            <w:r w:rsidR="00D954FE" w:rsidRPr="006C0789">
              <w:rPr>
                <w:i/>
                <w:sz w:val="18"/>
                <w:szCs w:val="18"/>
              </w:rPr>
              <w:t>SR catalyst</w:t>
            </w:r>
            <w:r w:rsidRPr="006C0789">
              <w:rPr>
                <w:i/>
                <w:sz w:val="18"/>
                <w:szCs w:val="18"/>
              </w:rPr>
              <w:t>)</w:t>
            </w:r>
          </w:p>
        </w:tc>
      </w:tr>
      <w:tr w:rsidR="004D7AB5" w:rsidRPr="006C0789" w14:paraId="7AB75C3E" w14:textId="77777777" w:rsidTr="006C0789">
        <w:tc>
          <w:tcPr>
            <w:cnfStyle w:val="001000000000" w:firstRow="0" w:lastRow="0" w:firstColumn="1" w:lastColumn="0" w:oddVBand="0" w:evenVBand="0" w:oddHBand="0" w:evenHBand="0" w:firstRowFirstColumn="0" w:firstRowLastColumn="0" w:lastRowFirstColumn="0" w:lastRowLastColumn="0"/>
            <w:tcW w:w="0" w:type="auto"/>
          </w:tcPr>
          <w:p w14:paraId="0DCC9775" w14:textId="77777777" w:rsidR="004D7AB5" w:rsidRPr="006C0789" w:rsidRDefault="004D7AB5" w:rsidP="004D7AB5">
            <w:pPr>
              <w:jc w:val="right"/>
              <w:rPr>
                <w:b w:val="0"/>
                <w:sz w:val="18"/>
                <w:szCs w:val="18"/>
              </w:rPr>
            </w:pPr>
            <w:r w:rsidRPr="006C0789">
              <w:rPr>
                <w:b w:val="0"/>
                <w:sz w:val="18"/>
                <w:szCs w:val="18"/>
              </w:rPr>
              <w:t>Market for Nickel, class 1, GLO</w:t>
            </w:r>
          </w:p>
        </w:tc>
        <w:tc>
          <w:tcPr>
            <w:tcW w:w="0" w:type="auto"/>
            <w:vMerge/>
          </w:tcPr>
          <w:p w14:paraId="7CDB0E0F" w14:textId="77777777" w:rsidR="004D7AB5" w:rsidRPr="006C0789" w:rsidRDefault="004D7AB5" w:rsidP="004D7AB5">
            <w:pPr>
              <w:cnfStyle w:val="000000000000" w:firstRow="0" w:lastRow="0" w:firstColumn="0" w:lastColumn="0" w:oddVBand="0" w:evenVBand="0" w:oddHBand="0" w:evenHBand="0" w:firstRowFirstColumn="0" w:firstRowLastColumn="0" w:lastRowFirstColumn="0" w:lastRowLastColumn="0"/>
              <w:rPr>
                <w:i/>
                <w:sz w:val="18"/>
                <w:szCs w:val="18"/>
              </w:rPr>
            </w:pPr>
          </w:p>
        </w:tc>
      </w:tr>
    </w:tbl>
    <w:p w14:paraId="675AAE08" w14:textId="404B2A86" w:rsidR="0004103A" w:rsidRPr="003F5DA8" w:rsidRDefault="0004103A" w:rsidP="00942782">
      <w:pPr>
        <w:jc w:val="both"/>
        <w:rPr>
          <w:sz w:val="18"/>
        </w:rPr>
      </w:pPr>
      <w:r w:rsidRPr="004D7AB5">
        <w:rPr>
          <w:sz w:val="18"/>
        </w:rPr>
        <w:t xml:space="preserve">All processes are from the ecoinvent 3.8 consequential database. </w:t>
      </w:r>
      <w:r w:rsidR="004D7AB5" w:rsidRPr="004D7AB5">
        <w:rPr>
          <w:sz w:val="18"/>
        </w:rPr>
        <w:t xml:space="preserve">EU is used instead of the full name ecoinvent label “Europe without Switzerland”. Additional pipeline network was neglected. </w:t>
      </w:r>
      <w:r w:rsidRPr="004D7AB5">
        <w:rPr>
          <w:sz w:val="18"/>
        </w:rPr>
        <w:t>Direct flows to biosphere are displayed in</w:t>
      </w:r>
      <w:r w:rsidRPr="002C1FB2">
        <w:rPr>
          <w:sz w:val="18"/>
        </w:rPr>
        <w:t xml:space="preserve"> </w:t>
      </w:r>
      <w:r w:rsidR="006C0789" w:rsidRPr="006C0789">
        <w:rPr>
          <w:i/>
          <w:sz w:val="18"/>
        </w:rPr>
        <w:t>B.GA_module spreadsheet</w:t>
      </w:r>
      <w:r w:rsidRPr="002C1FB2">
        <w:rPr>
          <w:sz w:val="18"/>
        </w:rPr>
        <w:t>.</w:t>
      </w:r>
    </w:p>
    <w:p w14:paraId="5A75A102" w14:textId="1176ED35" w:rsidR="00FF3A0C" w:rsidRDefault="00D954FE" w:rsidP="00074F88">
      <w:pPr>
        <w:tabs>
          <w:tab w:val="left" w:pos="1157"/>
        </w:tabs>
        <w:jc w:val="both"/>
      </w:pPr>
      <w:r w:rsidRPr="006C0789">
        <w:t>The s</w:t>
      </w:r>
      <w:r w:rsidR="0004103A" w:rsidRPr="006C0789">
        <w:t>preadsheets</w:t>
      </w:r>
      <w:r w:rsidR="0004103A" w:rsidRPr="006C0789">
        <w:rPr>
          <w:b/>
        </w:rPr>
        <w:t xml:space="preserve"> </w:t>
      </w:r>
      <w:r w:rsidR="0004103A" w:rsidRPr="006C0789">
        <w:rPr>
          <w:i/>
        </w:rPr>
        <w:t>B.AD_module</w:t>
      </w:r>
      <w:r w:rsidR="006C0789">
        <w:rPr>
          <w:b/>
        </w:rPr>
        <w:t xml:space="preserve"> </w:t>
      </w:r>
      <w:r w:rsidR="006C0789" w:rsidRPr="006C0789">
        <w:t xml:space="preserve">(Javourez et </w:t>
      </w:r>
      <w:r w:rsidR="006C0789" w:rsidRPr="000C6C37">
        <w:t>al., 202</w:t>
      </w:r>
      <w:r w:rsidR="000C6C37" w:rsidRPr="000C6C37">
        <w:t>4</w:t>
      </w:r>
      <w:r w:rsidR="006C0789" w:rsidRPr="000C6C37">
        <w:rPr>
          <w:szCs w:val="18"/>
        </w:rPr>
        <w:fldChar w:fldCharType="begin"/>
      </w:r>
      <w:r w:rsidR="00827449">
        <w:rPr>
          <w:szCs w:val="18"/>
        </w:rPr>
        <w:instrText xml:space="preserve"> ADDIN ZOTERO_ITEM CSL_CITATION {"citationID":"KBSPVNFh","properties":{"formattedCitation":"\\super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6C0789" w:rsidRPr="000C6C37">
        <w:rPr>
          <w:szCs w:val="18"/>
        </w:rPr>
        <w:fldChar w:fldCharType="separate"/>
      </w:r>
      <w:r w:rsidR="008C451C" w:rsidRPr="000C6C37">
        <w:rPr>
          <w:rFonts w:ascii="Calibri" w:hAnsi="Calibri" w:cs="Calibri"/>
          <w:szCs w:val="24"/>
          <w:vertAlign w:val="superscript"/>
        </w:rPr>
        <w:t>1</w:t>
      </w:r>
      <w:r w:rsidR="006C0789" w:rsidRPr="000C6C37">
        <w:rPr>
          <w:szCs w:val="18"/>
        </w:rPr>
        <w:fldChar w:fldCharType="end"/>
      </w:r>
      <w:r w:rsidR="006C0789" w:rsidRPr="000C6C37">
        <w:rPr>
          <w:szCs w:val="18"/>
        </w:rPr>
        <w:t>)</w:t>
      </w:r>
      <w:r w:rsidR="0004103A" w:rsidRPr="000C6C37">
        <w:t xml:space="preserve"> and</w:t>
      </w:r>
      <w:r w:rsidR="0004103A" w:rsidRPr="006C0789">
        <w:rPr>
          <w:b/>
        </w:rPr>
        <w:t xml:space="preserve"> </w:t>
      </w:r>
      <w:r w:rsidR="0004103A" w:rsidRPr="006C0789">
        <w:rPr>
          <w:i/>
        </w:rPr>
        <w:t>B.GA_module</w:t>
      </w:r>
      <w:r w:rsidR="0004103A" w:rsidRPr="006C0789">
        <w:t xml:space="preserve"> </w:t>
      </w:r>
      <w:r w:rsidR="006C0789">
        <w:t xml:space="preserve">(this study) </w:t>
      </w:r>
      <w:r w:rsidR="0004103A" w:rsidRPr="006C0789">
        <w:t>provide full AD and GA gate-to-</w:t>
      </w:r>
      <w:r w:rsidRPr="006C0789">
        <w:t>upgraded-</w:t>
      </w:r>
      <w:r w:rsidR="0004103A" w:rsidRPr="006C0789">
        <w:t>gas LCI.</w:t>
      </w:r>
    </w:p>
    <w:p w14:paraId="0665CC1C" w14:textId="4FFD8F43" w:rsidR="006F4E6C" w:rsidRPr="006F4E6C" w:rsidRDefault="006F4E6C" w:rsidP="00F87563">
      <w:pPr>
        <w:pStyle w:val="Titre3"/>
      </w:pPr>
      <w:bookmarkStart w:id="303" w:name="_Toc145069128"/>
      <w:bookmarkStart w:id="304" w:name="_Ref145070370"/>
      <w:r w:rsidRPr="006F4E6C">
        <w:lastRenderedPageBreak/>
        <w:t>Unit operation design and assumptions – MP production</w:t>
      </w:r>
      <w:r w:rsidR="00F87563">
        <w:t xml:space="preserve"> stage</w:t>
      </w:r>
      <w:bookmarkEnd w:id="303"/>
      <w:bookmarkEnd w:id="304"/>
    </w:p>
    <w:p w14:paraId="0A53F045" w14:textId="77777777" w:rsidR="006F4E6C" w:rsidRPr="006F4E6C" w:rsidRDefault="006F4E6C" w:rsidP="00F87563">
      <w:pPr>
        <w:pStyle w:val="Titre4"/>
      </w:pPr>
      <w:r w:rsidRPr="006F4E6C">
        <w:t>Bioreactor</w:t>
      </w:r>
    </w:p>
    <w:p w14:paraId="51352CFB" w14:textId="5A1377FC" w:rsidR="006F4E6C" w:rsidRDefault="006F4E6C" w:rsidP="00F87563">
      <w:pPr>
        <w:ind w:firstLine="360"/>
        <w:jc w:val="both"/>
      </w:pPr>
      <w:r w:rsidRPr="003F5DA8">
        <w:t>Among the many bioreactor possibilities to develop C</w:t>
      </w:r>
      <w:r w:rsidRPr="003F5DA8">
        <w:rPr>
          <w:vertAlign w:val="subscript"/>
        </w:rPr>
        <w:t>1</w:t>
      </w:r>
      <w:r w:rsidRPr="003F5DA8">
        <w:t xml:space="preserve"> gas fermentation</w:t>
      </w:r>
      <w:r w:rsidRPr="003F5DA8">
        <w:fldChar w:fldCharType="begin"/>
      </w:r>
      <w:r w:rsidR="005413B4">
        <w:instrText xml:space="preserve"> ADDIN ZOTERO_ITEM CSL_CITATION {"citationID":"J65jc3YN","properties":{"formattedCitation":"\\super 250\\nosupersub{}","plainCitation":"250","noteIndex":0},"citationItems":[{"id":14002,"uris":["http://zotero.org/users/6423791/items/GL5ZQTHH"],"itemData":{"id":14002,"type":"article-journal","abstract":"Food scarcity and environmental deterioration are two major problems that human populations currently face. Fortunately, the disruptive innovation of raw food materials has been stimulated by the rapid evolution of biomanufacturing. Therefore, it is expected that the new trends in technology will not only alter the natural resource-dependent food production systems and the traditional way of life but also reduce and assimilate the greenhouse gases released into the atmosphere. This review article summarizes the metabolic pathways associated with C1 gas conversion and the production of single-cell protein for animal feed. Moreover, the protein function, worldwide authorization, market access, and methods to overcome challenges in C1 gas assimilation microbial cell factory construction are also provided. With widespread attention and increasing policy support, the production of C1 gas protein will bring more opportunities and make tremendous contributions to our sustainable future.","container-title":"Biotechnology Advances","DOI":"10.1016/j.biotechadv.2023.108096","ISSN":"0734-9750","journalAbbreviation":"Biotechnol. Adv.","language":"en","page":"108096","source":"ScienceDirect","title":"Embracing a low-carbon future by the production and marketing of C1 gas protein","volume":"63","author":[{"family":"Xu","given":"Jian"},{"family":"Wang","given":"Jie"},{"family":"Ma","given":"Chunling"},{"family":"Wei","given":"Zuoxi"},{"family":"Zhai","given":"Yida"},{"family":"Tian","given":"Na"},{"family":"Zhu","given":"Zhiguang"},{"family":"Xue","given":"Min"},{"family":"Li","given":"Demao"}],"issued":{"date-parts":[["2023",3,1]]}}}],"schema":"https://github.com/citation-style-language/schema/raw/master/csl-citation.json"} </w:instrText>
      </w:r>
      <w:r w:rsidRPr="003F5DA8">
        <w:fldChar w:fldCharType="separate"/>
      </w:r>
      <w:r w:rsidR="005413B4" w:rsidRPr="005413B4">
        <w:rPr>
          <w:rFonts w:ascii="Calibri" w:hAnsi="Calibri" w:cs="Calibri"/>
          <w:szCs w:val="24"/>
          <w:vertAlign w:val="superscript"/>
        </w:rPr>
        <w:t>250</w:t>
      </w:r>
      <w:r w:rsidRPr="003F5DA8">
        <w:fldChar w:fldCharType="end"/>
      </w:r>
      <w:r w:rsidRPr="003F5DA8">
        <w:t>, the U-loop design was selected because corresponding to the scaled design for MOB production</w:t>
      </w:r>
      <w:r w:rsidRPr="003F5DA8">
        <w:fldChar w:fldCharType="begin"/>
      </w:r>
      <w:r w:rsidR="005413B4">
        <w:instrText xml:space="preserve"> ADDIN ZOTERO_ITEM CSL_CITATION {"citationID":"0NaK46dH","properties":{"formattedCitation":"\\super 232\\nosupersub{}","plainCitation":"232","noteIndex":0},"citationItems":[{"id":2653,"uris":["http://zotero.org/users/6423791/items/2BUJJKPH"],"itemData":{"id":2653,"type":"webpage","language":"en-GB","title":"Unibio","URL":"https://www.unibio.dk/","author":[{"literal":"Unibio"}],"accessed":{"date-parts":[["2020",10,23]]},"issued":{"date-parts":[["2020"]]}}}],"schema":"https://github.com/citation-style-language/schema/raw/master/csl-citation.json"} </w:instrText>
      </w:r>
      <w:r w:rsidRPr="003F5DA8">
        <w:fldChar w:fldCharType="separate"/>
      </w:r>
      <w:r w:rsidR="005413B4" w:rsidRPr="005413B4">
        <w:rPr>
          <w:rFonts w:ascii="Calibri" w:hAnsi="Calibri" w:cs="Calibri"/>
          <w:szCs w:val="24"/>
          <w:vertAlign w:val="superscript"/>
        </w:rPr>
        <w:t>232</w:t>
      </w:r>
      <w:r w:rsidRPr="003F5DA8">
        <w:fldChar w:fldCharType="end"/>
      </w:r>
      <w:r w:rsidRPr="003F5DA8">
        <w:t>. A scaled volume of 250 m</w:t>
      </w:r>
      <w:r w:rsidRPr="003F5DA8">
        <w:rPr>
          <w:vertAlign w:val="superscript"/>
        </w:rPr>
        <w:t>3</w:t>
      </w:r>
      <w:r w:rsidRPr="003F5DA8">
        <w:t xml:space="preserve"> was considered (including 25% extra-volume)</w:t>
      </w:r>
      <w:bookmarkStart w:id="305" w:name="_Hlk141440477"/>
      <w:r w:rsidRPr="003F5DA8">
        <w:fldChar w:fldCharType="begin"/>
      </w:r>
      <w:r w:rsidR="005413B4">
        <w:instrText xml:space="preserve"> ADDIN ZOTERO_ITEM CSL_CITATION {"citationID":"RA83GTAZ","properties":{"formattedCitation":"\\super 173,203\\nosupersub{}","plainCitation":"173,203","noteIndex":0},"citationItems":[{"id":10967,"uris":["http://zotero.org/users/6423791/items/P67XNRD9"],"itemData":{"id":10967,"type":"report","abstract":"UK The overall aim was to investigate if soybean products from South American can be replaced by protein sources produced in Europe in a sustainable way. Based on data from literature, and based on the systematics of the FeedPrint programme, the nutritional value and the carbon footprint (CFP) of these protein sources is determined. These protein sources are used in feed optimizations of a starter diet for pigs, thereby maintaining the nutritional value of the diet. Subsequently, the CFP of the grower diet is calculated. The results and conclusions will be discussed in this report.","collection-title":"Wageningen UR Livestock Research","event-place":"Lelystad","language":"en","number":"819","page":"47","publisher":"Wageningen","publisher-place":"Lelystad","source":"Zotero","title":"Replacement of soybean meal in compound feed by European protein sources","author":[{"family":"Boer","given":"H C","non-dropping-particle":"de"},{"family":"Krimpen","given":"M M","non-dropping-particle":"van"},{"family":"Blonk","given":"H"},{"family":"Tyszler","given":"M"}],"issued":{"date-parts":[["2014"]]}}},{"id":10970,"uris":["http://zotero.org/users/6423791/items/5E2YP43S"],"itemData":{"id":10970,"type":"report","abstract":"Het InnovatieNetwerk Groene Ruimte en Agrocluster heeft eerder een haalbaarheidsstudie laten opstellen voor het ontwerp van een nieuw visteeltsysteem op een schip of drijvende bak. Onderdeel hiervan is een eerste aanzet van een haalbaarheidsonderzoek van de productie op het schip van het eiwitrijke Single Cell Protein (SCP). In een voortgezette haalbaarheidsstudie is onderzoek gedaan naar de mogelijkheid van SCP-productie voor veevoeders in een centrale installatie om zo de import van soja te verminderen.","language":"nl","note":"OCLC: 1012527642","publisher":"InnovatieNetwerk","source":"Open WorldCat","title":"Single Cell Protein (SCP) als alternatief voor soja: een haalbaarheidsstudie","title-short":"Single Cell Protein (SCP) als alternatief voor soja","URL":"http://edepot.wur.nl/116725","author":[{"family":"Huizing","given":"H.J."}],"accessed":{"date-parts":[["2021",4,14]]},"issued":{"date-parts":[["2005"]]}}}],"schema":"https://github.com/citation-style-language/schema/raw/master/csl-citation.json"} </w:instrText>
      </w:r>
      <w:r w:rsidRPr="003F5DA8">
        <w:fldChar w:fldCharType="separate"/>
      </w:r>
      <w:r w:rsidR="005413B4" w:rsidRPr="005413B4">
        <w:rPr>
          <w:rFonts w:ascii="Calibri" w:hAnsi="Calibri" w:cs="Calibri"/>
          <w:szCs w:val="24"/>
          <w:vertAlign w:val="superscript"/>
        </w:rPr>
        <w:t>173,203</w:t>
      </w:r>
      <w:r w:rsidRPr="003F5DA8">
        <w:fldChar w:fldCharType="end"/>
      </w:r>
      <w:bookmarkEnd w:id="305"/>
      <w:r w:rsidRPr="003F5DA8">
        <w:t>, which remains lower than the 500 m3 technically-feasible threshold calculated by El Abbadi et al., 2021</w:t>
      </w:r>
      <w:r w:rsidRPr="003F5DA8">
        <w:fldChar w:fldCharType="begin"/>
      </w:r>
      <w:r w:rsidR="008C451C">
        <w:instrText xml:space="preserve"> ADDIN ZOTERO_ITEM CSL_CITATION {"citationID":"FSejZxrz","properties":{"formattedCitation":"\\super 40\\nosupersub{}","plainCitation":"40","noteIndex":0},"citationItems":[{"id":12853,"uris":["http://zotero.org/users/6423791/items/NHUWJREK"],"itemData":{"id":12853,"type":"article-journal","abstract":"Methane emitted and flared from industrial sources across the United States is a major contributor to global climate change. Methanotrophic bacteria can transform this methane into useful protein-rich biomass, already approved for inclusion into animal feed. In the rapidly growing aquaculture industry, methanotrophic additives have a favourable amino acid profile and can offset ocean-caught fishmeal, reducing demands on over-harvested fisheries. Here we analyse the economic potential of producing methanotrophic microbial protein from stranded methane produced at wastewater treatment plants, landfills, and oil and gas facilities. Our results show that current technology can enable production, in the United States alone, equivalent to 14% of the global fishmeal market at prices at or below the current cost of fishmeal (roughly US$1,600 per metric ton). A sensitivity analysis highlights technically and economically feasible cost reductions (such as reduced cooling or labour requirements), which could allow stranded methane from the United States alone to satisfy global fishmeal demand.","container-title":"Nature Sustainability","DOI":"10.1038/s41893-021-00796-2","ISSN":"2398-9629","journalAbbreviation":"Nat. Sustain.","language":"en","license":"2021 The Author(s), under exclusive licence to Springer Nature Limited","note":"Bandiera_abtest: a\nCg_type: Nature Research Journals\nPrimary_atype: Research\npublisher: Nature Publishing Group\nSubject_term: Environmental biotechnology;Environmental economics\nSubject_term_id: environmental-biotechnology;environmental-economics","page":"1-10","source":"www.nature.com","title":"Displacing fishmeal with protein derived from stranded methane","author":[{"family":"El Abbadi","given":"Sahar H."},{"family":"Sherwin","given":"Evan D."},{"family":"Brandt","given":"Adam R."},{"family":"Luby","given":"Stephen P."},{"family":"Criddle","given":"Craig S."}],"issued":{"date-parts":[["2021",11,22]]}}}],"schema":"https://github.com/citation-style-language/schema/raw/master/csl-citation.json"} </w:instrText>
      </w:r>
      <w:r w:rsidRPr="003F5DA8">
        <w:fldChar w:fldCharType="separate"/>
      </w:r>
      <w:r w:rsidR="008C451C" w:rsidRPr="008C451C">
        <w:rPr>
          <w:rFonts w:ascii="Calibri" w:hAnsi="Calibri" w:cs="Calibri"/>
          <w:szCs w:val="24"/>
          <w:vertAlign w:val="superscript"/>
        </w:rPr>
        <w:t>40</w:t>
      </w:r>
      <w:r w:rsidRPr="003F5DA8">
        <w:fldChar w:fldCharType="end"/>
      </w:r>
      <w:r w:rsidRPr="003F5DA8">
        <w:t xml:space="preserve">. Due to the similarity with Quorn’s bioreactor (detailed in </w:t>
      </w:r>
      <w:r w:rsidR="00F87563">
        <w:rPr>
          <w:b/>
        </w:rPr>
        <w:t xml:space="preserve">section </w:t>
      </w:r>
      <w:r w:rsidR="000C6C37">
        <w:rPr>
          <w:b/>
        </w:rPr>
        <w:t xml:space="preserve">SI. </w:t>
      </w:r>
      <w:r w:rsidR="00F87563">
        <w:rPr>
          <w:b/>
        </w:rPr>
        <w:fldChar w:fldCharType="begin"/>
      </w:r>
      <w:r w:rsidR="00F87563">
        <w:rPr>
          <w:b/>
        </w:rPr>
        <w:instrText xml:space="preserve"> REF _Ref144828611 \r \h </w:instrText>
      </w:r>
      <w:r w:rsidR="00F87563">
        <w:rPr>
          <w:b/>
        </w:rPr>
      </w:r>
      <w:r w:rsidR="00F87563">
        <w:rPr>
          <w:b/>
        </w:rPr>
        <w:fldChar w:fldCharType="separate"/>
      </w:r>
      <w:r w:rsidR="00F25F8C">
        <w:rPr>
          <w:b/>
        </w:rPr>
        <w:t>4.5.5</w:t>
      </w:r>
      <w:r w:rsidR="00F87563">
        <w:rPr>
          <w:b/>
        </w:rPr>
        <w:fldChar w:fldCharType="end"/>
      </w:r>
      <w:r w:rsidRPr="003F5DA8">
        <w:t>), the same height of 50m was considered. Yearly availability was set to 333 d.y</w:t>
      </w:r>
      <w:r w:rsidRPr="003F5DA8">
        <w:rPr>
          <w:vertAlign w:val="superscript"/>
        </w:rPr>
        <w:t>-1</w:t>
      </w:r>
      <w:r w:rsidRPr="003F5DA8">
        <w:t xml:space="preserve"> to match with AD and GA plant availabilit</w:t>
      </w:r>
      <w:r w:rsidR="00F87563">
        <w:t>ies</w:t>
      </w:r>
      <w:r w:rsidRPr="003F5DA8">
        <w:t>. The bioreactor runs continuously, only stopped for planned outage (maintenance, cleaning, etc.). Accordingly, MP seed production was neglected. Additionally, for simplifications, no gas storage facilities were modeled; the production is “just-in-time”. Storage would likely be limited for hydrogen as storage losses as reported to yield up to 0.5 %</w:t>
      </w:r>
      <w:r w:rsidRPr="003F5DA8">
        <w:rPr>
          <w:vertAlign w:val="subscript"/>
        </w:rPr>
        <w:t>H2</w:t>
      </w:r>
      <w:r w:rsidRPr="003F5DA8">
        <w:t>.d</w:t>
      </w:r>
      <w:r w:rsidRPr="003F5DA8">
        <w:rPr>
          <w:vertAlign w:val="superscript"/>
        </w:rPr>
        <w:t xml:space="preserve">-1 </w:t>
      </w:r>
      <w:r w:rsidRPr="003F5DA8">
        <w:rPr>
          <w:vertAlign w:val="superscript"/>
        </w:rPr>
        <w:fldChar w:fldCharType="begin"/>
      </w:r>
      <w:r w:rsidR="005413B4">
        <w:rPr>
          <w:vertAlign w:val="superscript"/>
        </w:rPr>
        <w:instrText xml:space="preserve"> ADDIN ZOTERO_ITEM CSL_CITATION {"citationID":"EKH8xDtJ","properties":{"formattedCitation":"\\super 223\\nosupersub{}","plainCitation":"223","noteIndex":0},"citationItems":[{"id":12940,"uris":["http://zotero.org/users/6423791/items/KBVGJC6I"],"itemData":{"id":12940,"type":"report","language":"fr","number":"RECORD 13-0239/1A","page":"228","publisher":"Réseau Coopératif de Recherche sur les Déchets et l’Environnement","source":"Zotero","title":"Production d'hydrogène à partir de déchets: Etat de l'art et potentiel d'émergence","URL":"https://hal.archives-ouvertes.fr/hal-01602165","author":[{"family":"Megret","given":"Olivier"},{"family":"Hubert","given":"Loreline"},{"family":"Calbry","given":"M"},{"family":"Trably","given":"Eric"},{"family":"Carrère","given":"Hélène"},{"family":"Garcia-Bernet","given":"Diana"},{"family":"Bernet","given":"Nicolas"}],"issued":{"date-parts":[["2015"]]}}}],"schema":"https://github.com/citation-style-language/schema/raw/master/csl-citation.json"} </w:instrText>
      </w:r>
      <w:r w:rsidRPr="003F5DA8">
        <w:rPr>
          <w:vertAlign w:val="superscript"/>
        </w:rPr>
        <w:fldChar w:fldCharType="separate"/>
      </w:r>
      <w:r w:rsidR="005413B4" w:rsidRPr="005413B4">
        <w:rPr>
          <w:rFonts w:ascii="Calibri" w:hAnsi="Calibri" w:cs="Calibri"/>
          <w:szCs w:val="24"/>
          <w:vertAlign w:val="superscript"/>
        </w:rPr>
        <w:t>223</w:t>
      </w:r>
      <w:r w:rsidRPr="003F5DA8">
        <w:rPr>
          <w:vertAlign w:val="superscript"/>
        </w:rPr>
        <w:fldChar w:fldCharType="end"/>
      </w:r>
      <w:r w:rsidRPr="003F5DA8">
        <w:t>. Finally, MP installations were assumed directly located next to AD and GA facilities, to neglect additional gas grid connections and gas transportation.</w:t>
      </w:r>
    </w:p>
    <w:p w14:paraId="363A0947" w14:textId="67F74EEB" w:rsidR="003B1307" w:rsidRPr="003B1307" w:rsidRDefault="003B1307" w:rsidP="00F87563">
      <w:pPr>
        <w:pStyle w:val="Titre4"/>
      </w:pPr>
      <w:r w:rsidRPr="003B1307">
        <w:t>Microbial strains</w:t>
      </w:r>
    </w:p>
    <w:p w14:paraId="55D0BC63" w14:textId="23EFE099" w:rsidR="003B1307" w:rsidRPr="003F5DA8" w:rsidRDefault="00F87563" w:rsidP="00F87563">
      <w:pPr>
        <w:ind w:firstLine="360"/>
        <w:jc w:val="both"/>
      </w:pPr>
      <w:r w:rsidRPr="00F87563">
        <w:rPr>
          <w:b/>
        </w:rPr>
        <w:fldChar w:fldCharType="begin"/>
      </w:r>
      <w:r w:rsidRPr="00F87563">
        <w:rPr>
          <w:b/>
        </w:rPr>
        <w:instrText xml:space="preserve"> REF _Ref144828671 \h </w:instrText>
      </w:r>
      <w:r>
        <w:rPr>
          <w:b/>
        </w:rPr>
        <w:instrText xml:space="preserve"> \* MERGEFORMAT </w:instrText>
      </w:r>
      <w:r w:rsidRPr="00F87563">
        <w:rPr>
          <w:b/>
        </w:rPr>
      </w:r>
      <w:r w:rsidRPr="00F87563">
        <w:rPr>
          <w:b/>
        </w:rPr>
        <w:fldChar w:fldCharType="separate"/>
      </w:r>
      <w:r w:rsidR="00F25F8C" w:rsidRPr="00F25F8C">
        <w:rPr>
          <w:b/>
        </w:rPr>
        <w:t xml:space="preserve">Table SI. </w:t>
      </w:r>
      <w:r w:rsidR="00F25F8C" w:rsidRPr="00F25F8C">
        <w:rPr>
          <w:b/>
          <w:noProof/>
        </w:rPr>
        <w:t>72</w:t>
      </w:r>
      <w:r w:rsidRPr="00F87563">
        <w:rPr>
          <w:b/>
        </w:rPr>
        <w:fldChar w:fldCharType="end"/>
      </w:r>
      <w:r>
        <w:t xml:space="preserve"> </w:t>
      </w:r>
      <w:r w:rsidR="003B1307" w:rsidRPr="003F5DA8">
        <w:t>summarizes the main assumptions and indicators considered regarding microbial biomass production.</w:t>
      </w:r>
    </w:p>
    <w:p w14:paraId="43D809E4" w14:textId="4CBC9C6F" w:rsidR="003B1307" w:rsidRPr="002C1FB2" w:rsidRDefault="00874128" w:rsidP="00942782">
      <w:pPr>
        <w:pStyle w:val="Lgende"/>
        <w:jc w:val="left"/>
        <w:rPr>
          <w:b w:val="0"/>
          <w:i/>
        </w:rPr>
      </w:pPr>
      <w:bookmarkStart w:id="306" w:name="_Ref144828671"/>
      <w:bookmarkStart w:id="307" w:name="_Toc134537638"/>
      <w:bookmarkStart w:id="308" w:name="_Toc151967956"/>
      <w:r>
        <w:t>Table SI.</w:t>
      </w:r>
      <w:r w:rsidR="003B1307">
        <w:t xml:space="preserve"> </w:t>
      </w:r>
      <w:r>
        <w:fldChar w:fldCharType="begin"/>
      </w:r>
      <w:r>
        <w:instrText xml:space="preserve"> SEQ Table_SI. \* ARABIC </w:instrText>
      </w:r>
      <w:r>
        <w:fldChar w:fldCharType="separate"/>
      </w:r>
      <w:r w:rsidR="00F25F8C">
        <w:rPr>
          <w:noProof/>
        </w:rPr>
        <w:t>72</w:t>
      </w:r>
      <w:r>
        <w:fldChar w:fldCharType="end"/>
      </w:r>
      <w:bookmarkEnd w:id="306"/>
      <w:r w:rsidR="003B1307">
        <w:t xml:space="preserve"> </w:t>
      </w:r>
      <w:r w:rsidR="003B1307" w:rsidRPr="00415E4C">
        <w:t xml:space="preserve">– </w:t>
      </w:r>
      <w:r w:rsidR="003B1307">
        <w:t>R</w:t>
      </w:r>
      <w:r w:rsidR="003B1307" w:rsidRPr="00415E4C">
        <w:t>eview and calculation of MOB and HOB growth performances</w:t>
      </w:r>
      <w:bookmarkEnd w:id="307"/>
      <w:bookmarkEnd w:id="308"/>
    </w:p>
    <w:tbl>
      <w:tblPr>
        <w:tblStyle w:val="Tableausimple2"/>
        <w:tblW w:w="0" w:type="auto"/>
        <w:tblLook w:val="04A0" w:firstRow="1" w:lastRow="0" w:firstColumn="1" w:lastColumn="0" w:noHBand="0" w:noVBand="1"/>
      </w:tblPr>
      <w:tblGrid>
        <w:gridCol w:w="1403"/>
        <w:gridCol w:w="995"/>
        <w:gridCol w:w="719"/>
        <w:gridCol w:w="769"/>
        <w:gridCol w:w="643"/>
        <w:gridCol w:w="716"/>
        <w:gridCol w:w="3827"/>
      </w:tblGrid>
      <w:tr w:rsidR="003B1307" w:rsidRPr="006C0789" w14:paraId="25C51C8D" w14:textId="77777777" w:rsidTr="009427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vMerge w:val="restart"/>
          </w:tcPr>
          <w:p w14:paraId="52004732" w14:textId="77777777" w:rsidR="003B1307" w:rsidRPr="006C0789" w:rsidRDefault="003B1307" w:rsidP="003B1307">
            <w:pPr>
              <w:jc w:val="right"/>
              <w:rPr>
                <w:sz w:val="18"/>
                <w:szCs w:val="18"/>
              </w:rPr>
            </w:pPr>
            <w:r w:rsidRPr="006C0789">
              <w:rPr>
                <w:sz w:val="18"/>
                <w:szCs w:val="18"/>
              </w:rPr>
              <w:t>Performance indicators</w:t>
            </w:r>
          </w:p>
        </w:tc>
        <w:tc>
          <w:tcPr>
            <w:tcW w:w="995" w:type="dxa"/>
            <w:vMerge w:val="restart"/>
          </w:tcPr>
          <w:p w14:paraId="6FB81B0F" w14:textId="77777777" w:rsidR="003B1307" w:rsidRPr="006C0789" w:rsidRDefault="003B1307" w:rsidP="003B1307">
            <w:pPr>
              <w:cnfStyle w:val="100000000000" w:firstRow="1" w:lastRow="0" w:firstColumn="0" w:lastColumn="0" w:oddVBand="0" w:evenVBand="0" w:oddHBand="0" w:evenHBand="0" w:firstRowFirstColumn="0" w:firstRowLastColumn="0" w:lastRowFirstColumn="0" w:lastRowLastColumn="0"/>
              <w:rPr>
                <w:sz w:val="18"/>
                <w:szCs w:val="18"/>
              </w:rPr>
            </w:pPr>
            <w:r w:rsidRPr="006C0789">
              <w:rPr>
                <w:sz w:val="18"/>
                <w:szCs w:val="18"/>
              </w:rPr>
              <w:t>Unit</w:t>
            </w:r>
          </w:p>
        </w:tc>
        <w:tc>
          <w:tcPr>
            <w:tcW w:w="0" w:type="auto"/>
            <w:gridSpan w:val="2"/>
          </w:tcPr>
          <w:p w14:paraId="04F2FCBF" w14:textId="77777777" w:rsidR="003B1307" w:rsidRPr="006C0789" w:rsidRDefault="003B1307" w:rsidP="003B1307">
            <w:pPr>
              <w:cnfStyle w:val="100000000000" w:firstRow="1" w:lastRow="0" w:firstColumn="0" w:lastColumn="0" w:oddVBand="0" w:evenVBand="0" w:oddHBand="0" w:evenHBand="0" w:firstRowFirstColumn="0" w:firstRowLastColumn="0" w:lastRowFirstColumn="0" w:lastRowLastColumn="0"/>
              <w:rPr>
                <w:sz w:val="18"/>
                <w:szCs w:val="18"/>
              </w:rPr>
            </w:pPr>
            <w:r w:rsidRPr="006C0789">
              <w:rPr>
                <w:sz w:val="18"/>
                <w:szCs w:val="18"/>
              </w:rPr>
              <w:t>MOB</w:t>
            </w:r>
          </w:p>
        </w:tc>
        <w:tc>
          <w:tcPr>
            <w:tcW w:w="1359" w:type="dxa"/>
            <w:gridSpan w:val="2"/>
          </w:tcPr>
          <w:p w14:paraId="78D6ED3F" w14:textId="77777777" w:rsidR="003B1307" w:rsidRPr="006C0789" w:rsidRDefault="003B1307" w:rsidP="003B1307">
            <w:pPr>
              <w:cnfStyle w:val="100000000000" w:firstRow="1" w:lastRow="0" w:firstColumn="0" w:lastColumn="0" w:oddVBand="0" w:evenVBand="0" w:oddHBand="0" w:evenHBand="0" w:firstRowFirstColumn="0" w:firstRowLastColumn="0" w:lastRowFirstColumn="0" w:lastRowLastColumn="0"/>
              <w:rPr>
                <w:sz w:val="18"/>
                <w:szCs w:val="18"/>
              </w:rPr>
            </w:pPr>
            <w:r w:rsidRPr="006C0789">
              <w:rPr>
                <w:sz w:val="18"/>
                <w:szCs w:val="18"/>
              </w:rPr>
              <w:t>HOB</w:t>
            </w:r>
          </w:p>
        </w:tc>
        <w:tc>
          <w:tcPr>
            <w:tcW w:w="3827" w:type="dxa"/>
            <w:vMerge w:val="restart"/>
          </w:tcPr>
          <w:p w14:paraId="68587D20" w14:textId="77777777" w:rsidR="003B1307" w:rsidRPr="006C0789" w:rsidRDefault="003B1307" w:rsidP="00F87563">
            <w:pPr>
              <w:cnfStyle w:val="100000000000" w:firstRow="1" w:lastRow="0" w:firstColumn="0" w:lastColumn="0" w:oddVBand="0" w:evenVBand="0" w:oddHBand="0" w:evenHBand="0" w:firstRowFirstColumn="0" w:firstRowLastColumn="0" w:lastRowFirstColumn="0" w:lastRowLastColumn="0"/>
              <w:rPr>
                <w:i/>
                <w:sz w:val="18"/>
                <w:szCs w:val="18"/>
              </w:rPr>
            </w:pPr>
            <w:r w:rsidRPr="006C0789">
              <w:rPr>
                <w:i/>
                <w:sz w:val="18"/>
                <w:szCs w:val="18"/>
              </w:rPr>
              <w:t>Comment</w:t>
            </w:r>
          </w:p>
        </w:tc>
      </w:tr>
      <w:tr w:rsidR="003B1307" w:rsidRPr="006C0789" w14:paraId="4B115775"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vMerge/>
          </w:tcPr>
          <w:p w14:paraId="15E52498" w14:textId="77777777" w:rsidR="003B1307" w:rsidRPr="006C0789" w:rsidRDefault="003B1307" w:rsidP="003B1307">
            <w:pPr>
              <w:jc w:val="right"/>
              <w:rPr>
                <w:b w:val="0"/>
                <w:sz w:val="18"/>
                <w:szCs w:val="18"/>
              </w:rPr>
            </w:pPr>
          </w:p>
        </w:tc>
        <w:tc>
          <w:tcPr>
            <w:tcW w:w="995" w:type="dxa"/>
            <w:vMerge/>
          </w:tcPr>
          <w:p w14:paraId="12B986C1"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b/>
                <w:sz w:val="18"/>
                <w:szCs w:val="18"/>
              </w:rPr>
            </w:pPr>
          </w:p>
        </w:tc>
        <w:tc>
          <w:tcPr>
            <w:tcW w:w="0" w:type="auto"/>
          </w:tcPr>
          <w:p w14:paraId="7273620B"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b/>
                <w:sz w:val="18"/>
                <w:szCs w:val="18"/>
              </w:rPr>
            </w:pPr>
            <w:r w:rsidRPr="006C0789">
              <w:rPr>
                <w:b/>
                <w:sz w:val="18"/>
                <w:szCs w:val="18"/>
              </w:rPr>
              <w:t>Value</w:t>
            </w:r>
          </w:p>
        </w:tc>
        <w:tc>
          <w:tcPr>
            <w:tcW w:w="0" w:type="auto"/>
          </w:tcPr>
          <w:p w14:paraId="4F852839"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b/>
                <w:sz w:val="18"/>
                <w:szCs w:val="18"/>
              </w:rPr>
            </w:pPr>
            <w:r w:rsidRPr="006C0789">
              <w:rPr>
                <w:b/>
                <w:sz w:val="18"/>
                <w:szCs w:val="18"/>
              </w:rPr>
              <w:t>Range</w:t>
            </w:r>
          </w:p>
        </w:tc>
        <w:tc>
          <w:tcPr>
            <w:tcW w:w="0" w:type="auto"/>
          </w:tcPr>
          <w:p w14:paraId="4264DFA9"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b/>
                <w:sz w:val="18"/>
                <w:szCs w:val="18"/>
              </w:rPr>
            </w:pPr>
            <w:r w:rsidRPr="006C0789">
              <w:rPr>
                <w:b/>
                <w:sz w:val="18"/>
                <w:szCs w:val="18"/>
              </w:rPr>
              <w:t xml:space="preserve">Value </w:t>
            </w:r>
          </w:p>
        </w:tc>
        <w:tc>
          <w:tcPr>
            <w:tcW w:w="716" w:type="dxa"/>
          </w:tcPr>
          <w:p w14:paraId="32E51EC7"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b/>
                <w:sz w:val="18"/>
                <w:szCs w:val="18"/>
              </w:rPr>
            </w:pPr>
            <w:r w:rsidRPr="006C0789">
              <w:rPr>
                <w:b/>
                <w:sz w:val="18"/>
                <w:szCs w:val="18"/>
              </w:rPr>
              <w:t>Range</w:t>
            </w:r>
          </w:p>
        </w:tc>
        <w:tc>
          <w:tcPr>
            <w:tcW w:w="3827" w:type="dxa"/>
            <w:vMerge/>
          </w:tcPr>
          <w:p w14:paraId="1ADA7D9B" w14:textId="77777777" w:rsidR="003B1307" w:rsidRPr="006C0789" w:rsidRDefault="003B1307" w:rsidP="00F87563">
            <w:pPr>
              <w:cnfStyle w:val="000000100000" w:firstRow="0" w:lastRow="0" w:firstColumn="0" w:lastColumn="0" w:oddVBand="0" w:evenVBand="0" w:oddHBand="1" w:evenHBand="0" w:firstRowFirstColumn="0" w:firstRowLastColumn="0" w:lastRowFirstColumn="0" w:lastRowLastColumn="0"/>
              <w:rPr>
                <w:b/>
                <w:i/>
                <w:sz w:val="18"/>
                <w:szCs w:val="18"/>
              </w:rPr>
            </w:pPr>
          </w:p>
        </w:tc>
      </w:tr>
      <w:tr w:rsidR="003B1307" w:rsidRPr="006C0789" w14:paraId="341D8AD4" w14:textId="77777777" w:rsidTr="00942782">
        <w:tc>
          <w:tcPr>
            <w:cnfStyle w:val="001000000000" w:firstRow="0" w:lastRow="0" w:firstColumn="1" w:lastColumn="0" w:oddVBand="0" w:evenVBand="0" w:oddHBand="0" w:evenHBand="0" w:firstRowFirstColumn="0" w:firstRowLastColumn="0" w:lastRowFirstColumn="0" w:lastRowLastColumn="0"/>
            <w:tcW w:w="1403" w:type="dxa"/>
          </w:tcPr>
          <w:p w14:paraId="73550D86" w14:textId="77777777" w:rsidR="003B1307" w:rsidRPr="006C0789" w:rsidRDefault="003B1307" w:rsidP="003B1307">
            <w:pPr>
              <w:jc w:val="right"/>
              <w:rPr>
                <w:sz w:val="18"/>
                <w:szCs w:val="18"/>
              </w:rPr>
            </w:pPr>
            <w:r w:rsidRPr="006C0789">
              <w:rPr>
                <w:sz w:val="18"/>
                <w:szCs w:val="18"/>
              </w:rPr>
              <w:t>Yield (Y</w:t>
            </w:r>
            <w:r w:rsidRPr="006C0789">
              <w:rPr>
                <w:sz w:val="18"/>
                <w:szCs w:val="18"/>
                <w:vertAlign w:val="subscript"/>
              </w:rPr>
              <w:t>x/s</w:t>
            </w:r>
            <w:r w:rsidRPr="006C0789">
              <w:rPr>
                <w:sz w:val="18"/>
                <w:szCs w:val="18"/>
              </w:rPr>
              <w:t xml:space="preserve">) </w:t>
            </w:r>
            <w:r w:rsidRPr="006C0789">
              <w:rPr>
                <w:sz w:val="18"/>
                <w:szCs w:val="18"/>
                <w:vertAlign w:val="superscript"/>
              </w:rPr>
              <w:t>*</w:t>
            </w:r>
          </w:p>
        </w:tc>
        <w:tc>
          <w:tcPr>
            <w:tcW w:w="995" w:type="dxa"/>
          </w:tcPr>
          <w:p w14:paraId="20F4CEB5" w14:textId="77777777" w:rsidR="003B1307" w:rsidRPr="006C0789" w:rsidRDefault="003B1307" w:rsidP="003B1307">
            <w:pP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6C0789">
              <w:rPr>
                <w:color w:val="000000"/>
                <w:sz w:val="18"/>
                <w:szCs w:val="18"/>
              </w:rPr>
              <w:t>g</w:t>
            </w:r>
            <w:r w:rsidRPr="006C0789">
              <w:rPr>
                <w:color w:val="000000"/>
                <w:sz w:val="18"/>
                <w:szCs w:val="18"/>
                <w:vertAlign w:val="subscript"/>
              </w:rPr>
              <w:t>X</w:t>
            </w:r>
            <w:r w:rsidRPr="006C0789">
              <w:rPr>
                <w:color w:val="000000"/>
                <w:sz w:val="18"/>
                <w:szCs w:val="18"/>
              </w:rPr>
              <w:t>.g</w:t>
            </w:r>
            <w:r w:rsidRPr="006C0789">
              <w:rPr>
                <w:color w:val="000000"/>
                <w:sz w:val="18"/>
                <w:szCs w:val="18"/>
                <w:vertAlign w:val="subscript"/>
              </w:rPr>
              <w:t>S</w:t>
            </w:r>
            <w:proofErr w:type="gramEnd"/>
            <w:r w:rsidRPr="006C0789">
              <w:rPr>
                <w:color w:val="000000"/>
                <w:sz w:val="18"/>
                <w:szCs w:val="18"/>
                <w:vertAlign w:val="superscript"/>
              </w:rPr>
              <w:t>-1</w:t>
            </w:r>
          </w:p>
        </w:tc>
        <w:tc>
          <w:tcPr>
            <w:tcW w:w="0" w:type="auto"/>
          </w:tcPr>
          <w:p w14:paraId="6AAAC780" w14:textId="77777777" w:rsidR="003B1307" w:rsidRPr="006C0789" w:rsidRDefault="003B1307" w:rsidP="003B1307">
            <w:pPr>
              <w:cnfStyle w:val="000000000000" w:firstRow="0" w:lastRow="0" w:firstColumn="0" w:lastColumn="0" w:oddVBand="0" w:evenVBand="0" w:oddHBand="0" w:evenHBand="0" w:firstRowFirstColumn="0" w:firstRowLastColumn="0" w:lastRowFirstColumn="0" w:lastRowLastColumn="0"/>
              <w:rPr>
                <w:b/>
                <w:sz w:val="18"/>
                <w:szCs w:val="18"/>
              </w:rPr>
            </w:pPr>
            <w:r w:rsidRPr="006C0789">
              <w:rPr>
                <w:b/>
                <w:sz w:val="18"/>
                <w:szCs w:val="18"/>
              </w:rPr>
              <w:t>0.71</w:t>
            </w:r>
          </w:p>
        </w:tc>
        <w:tc>
          <w:tcPr>
            <w:tcW w:w="0" w:type="auto"/>
          </w:tcPr>
          <w:p w14:paraId="34B459DC" w14:textId="77777777" w:rsidR="003B1307" w:rsidRPr="006C0789" w:rsidRDefault="003B1307"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0.63-1.11</w:t>
            </w:r>
          </w:p>
        </w:tc>
        <w:tc>
          <w:tcPr>
            <w:tcW w:w="0" w:type="auto"/>
          </w:tcPr>
          <w:p w14:paraId="05E81708" w14:textId="77777777" w:rsidR="003B1307" w:rsidRPr="006C0789" w:rsidRDefault="003B1307" w:rsidP="003B1307">
            <w:pPr>
              <w:cnfStyle w:val="000000000000" w:firstRow="0" w:lastRow="0" w:firstColumn="0" w:lastColumn="0" w:oddVBand="0" w:evenVBand="0" w:oddHBand="0" w:evenHBand="0" w:firstRowFirstColumn="0" w:firstRowLastColumn="0" w:lastRowFirstColumn="0" w:lastRowLastColumn="0"/>
              <w:rPr>
                <w:b/>
                <w:sz w:val="18"/>
                <w:szCs w:val="18"/>
              </w:rPr>
            </w:pPr>
            <w:r w:rsidRPr="006C0789">
              <w:rPr>
                <w:b/>
                <w:sz w:val="18"/>
                <w:szCs w:val="18"/>
              </w:rPr>
              <w:t>2.94</w:t>
            </w:r>
          </w:p>
        </w:tc>
        <w:tc>
          <w:tcPr>
            <w:tcW w:w="716" w:type="dxa"/>
          </w:tcPr>
          <w:p w14:paraId="33C833AC" w14:textId="77777777" w:rsidR="003B1307" w:rsidRPr="006C0789" w:rsidRDefault="003B1307"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2.24-3.4</w:t>
            </w:r>
          </w:p>
        </w:tc>
        <w:tc>
          <w:tcPr>
            <w:tcW w:w="3827" w:type="dxa"/>
          </w:tcPr>
          <w:p w14:paraId="227315F1" w14:textId="64EBC3FE" w:rsidR="003B1307" w:rsidRPr="006C0789" w:rsidRDefault="003B1307" w:rsidP="00F87563">
            <w:pPr>
              <w:cnfStyle w:val="000000000000" w:firstRow="0" w:lastRow="0" w:firstColumn="0" w:lastColumn="0" w:oddVBand="0" w:evenVBand="0" w:oddHBand="0" w:evenHBand="0" w:firstRowFirstColumn="0" w:firstRowLastColumn="0" w:lastRowFirstColumn="0" w:lastRowLastColumn="0"/>
              <w:rPr>
                <w:i/>
                <w:sz w:val="18"/>
                <w:szCs w:val="18"/>
              </w:rPr>
            </w:pPr>
            <w:r w:rsidRPr="006C0789">
              <w:rPr>
                <w:b/>
                <w:i/>
                <w:sz w:val="18"/>
                <w:szCs w:val="18"/>
              </w:rPr>
              <w:t>Parameter</w:t>
            </w:r>
            <w:r w:rsidRPr="006C0789">
              <w:rPr>
                <w:i/>
                <w:sz w:val="18"/>
                <w:szCs w:val="18"/>
              </w:rPr>
              <w:t>: baseline values as El Abbadi and Criddle, 2019</w:t>
            </w:r>
            <w:r w:rsidRPr="006C0789">
              <w:rPr>
                <w:i/>
                <w:sz w:val="18"/>
                <w:szCs w:val="18"/>
              </w:rPr>
              <w:fldChar w:fldCharType="begin"/>
            </w:r>
            <w:r w:rsidR="005413B4">
              <w:rPr>
                <w:i/>
                <w:sz w:val="18"/>
                <w:szCs w:val="18"/>
              </w:rPr>
              <w:instrText xml:space="preserve"> ADDIN ZOTERO_ITEM CSL_CITATION {"citationID":"sVO0B0Lb","properties":{"formattedCitation":"\\super 236\\nosupersub{}","plainCitation":"236","noteIndex":0},"citationItems":[{"id":560,"uris":["http://zotero.org/users/6423791/items/7A7PJGNW"],"itemData":{"id":560,"type":"article-journal","abstract":"Meeting global food needs in the face of climate change and resource limitation requires innovative approaches to food production. Here, we explore incorporation of new dark food chains into human food systems, drawing inspiration from natural ecosystems, the history of single cell protein, and opportunities for new food production through wastewater treatment, microbial protein production, and aquaculture. The envisioned dark food chains rely upon chemoautotrophy in lieu of photosynthesis, with primary production based upon assimilation of CH4 and CO2 by methane- and hydrogenoxidizing bacteria. The stoichiometry, kinetics, and thermodynamics of these bacteria are evaluated, and opportunities for recycling of carbon, nitrogen, and water are explored. Because these processes do not require light delivery, high volumetric productivities are possible; because they are exothermic, heat is available for downstream protein processing; because the feedstock gases are cheap, existing pipeline infrastructure could facilitate low-cost energy-eﬃcient delivery in urban environments. Potential life-cycle beneﬁts include: a protein alternative to ﬁshmeal; partial decoupling of animal feed from human food; climate change mitigation due to decreased land use for agriculture; eﬃcient local cycling of carbon and nutrients that oﬀsets the need for energy-intensive fertilizers; and production of high value products, such as the prebiotic polyhydroxybutyrate.","container-title":"Environmental Science &amp; Technology","DOI":"10.1021/acs.est.8b04038","ISSN":"0013-936X, 1520-5851","issue":"5","journalAbbreviation":"Environ. Sci. Technol.","language":"English","page":"2273-2287","source":"DOI.org (Crossref)","title":"Engineering the Dark Food Chain","volume":"53","author":[{"family":"El Abbadi","given":"Sahar H."},{"family":"Criddle","given":"Craig S."}],"issued":{"date-parts":[["2019",3,5]]}}}],"schema":"https://github.com/citation-style-language/schema/raw/master/csl-citation.json"}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236</w:t>
            </w:r>
            <w:r w:rsidRPr="006C0789">
              <w:rPr>
                <w:i/>
                <w:sz w:val="18"/>
                <w:szCs w:val="18"/>
              </w:rPr>
              <w:fldChar w:fldCharType="end"/>
            </w:r>
            <w:r w:rsidRPr="006C0789">
              <w:rPr>
                <w:i/>
                <w:sz w:val="18"/>
                <w:szCs w:val="18"/>
              </w:rPr>
              <w:t xml:space="preserve"> (MOB) and Nappa et al., 2020</w:t>
            </w:r>
            <w:r w:rsidRPr="006C0789">
              <w:rPr>
                <w:i/>
                <w:sz w:val="18"/>
                <w:szCs w:val="18"/>
              </w:rPr>
              <w:fldChar w:fldCharType="begin"/>
            </w:r>
            <w:r w:rsidR="005413B4">
              <w:rPr>
                <w:i/>
                <w:sz w:val="18"/>
                <w:szCs w:val="18"/>
              </w:rPr>
              <w:instrText xml:space="preserve"> ADDIN ZOTERO_ITEM CSL_CITATION {"citationID":"1oObxodE","properties":{"formattedCitation":"\\super 196\\nosupersub{}","plainCitation":"196","noteIndex":0},"citationItems":[{"id":12839,"uris":["http://zotero.org/users/6423791/items/Z8P5BF6M"],"itemData":{"id":12839,"type":"article-journal","abstract":"This study evaluates the techno-economic feasibility of five solar-powered concepts for the production of autotrophic microorganisms for food and feed production; the main focus is on three concepts based on hydrogen-oxidizing bacteria (HOB), which are further compared to two microalgae-related concepts. Two locations with markedly different solar conditions are considered (Finland and Morocco), in which Morocco was found to be the most economically competitive for the cultivation of microalgae in open ponds and closed systems (1.4 and 1.9 € kg–1, respectively). Biomass production by combined water electrolysis and HOB cultivation results in higher costs for all three considered concepts. Among these, the lowest production cost of 5.3 € kg–1 is associated with grid-assisted electricity use in Finland, while the highest production cost of &gt;9.1 € kg–1 is determined for concepts using solely photovoltaics and/or photoelectrochemical technology for on-site electricity production and solar-energy conversion to H2 by water electrolysis. All assessed concepts are capital intensive. Furthermore, a sensitivity analysis suggests that the production costs of HOB biomass can be lowered down to 2.1 € kg–1 by optimization of the process parameters among which volumetric productivity, electricity strategy, and electricity costs have the highest cost-saving potentials. The study reveals that continuously available electricity and H2 supply are essential for the development of a viable HOB concept due to the capital intensity of the needed technologies. In addition, volumetric productivity is the key parameter that needs to be optimized to increase the economic competitiveness of HOB production.","container-title":"ACS Omega","DOI":"10.1021/acsomega.0c04926","issue":"51","note":"publisher: American Chemical Society","page":"33242-33252","source":"ACS Publications","title":"Solar-Powered Carbon Fixation for Food and Feed Production Using Microorganisms—A Comparative Techno-Economic Analysis","volume":"5","author":[{"family":"Nappa","given":"Marja"},{"family":"Lienemann","given":"Michael"},{"family":"Tossi","given":"Camilla"},{"family":"Blomberg","given":"Peter"},{"family":"Jäntti","given":"Jussi"},{"family":"Tittonen","given":"Ilkka Juhani"},{"family":"Penttilä","given":"Merja"}],"issued":{"date-parts":[["2020",12,29]]}}}],"schema":"https://github.com/citation-style-language/schema/raw/master/csl-citation.json"}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196</w:t>
            </w:r>
            <w:r w:rsidRPr="006C0789">
              <w:rPr>
                <w:i/>
                <w:sz w:val="18"/>
                <w:szCs w:val="18"/>
              </w:rPr>
              <w:fldChar w:fldCharType="end"/>
            </w:r>
            <w:r w:rsidRPr="006C0789">
              <w:rPr>
                <w:i/>
                <w:sz w:val="18"/>
                <w:szCs w:val="18"/>
              </w:rPr>
              <w:t>. Range based on benchmark (</w:t>
            </w:r>
            <w:r w:rsidR="00F87563" w:rsidRPr="006C0789">
              <w:rPr>
                <w:b/>
                <w:i/>
                <w:sz w:val="18"/>
                <w:szCs w:val="18"/>
              </w:rPr>
              <w:fldChar w:fldCharType="begin"/>
            </w:r>
            <w:r w:rsidR="00F87563" w:rsidRPr="006C0789">
              <w:rPr>
                <w:b/>
                <w:i/>
                <w:sz w:val="18"/>
                <w:szCs w:val="18"/>
              </w:rPr>
              <w:instrText xml:space="preserve"> REF _Ref144822902 \h  \* MERGEFORMAT </w:instrText>
            </w:r>
            <w:r w:rsidR="00F87563" w:rsidRPr="006C0789">
              <w:rPr>
                <w:b/>
                <w:i/>
                <w:sz w:val="18"/>
                <w:szCs w:val="18"/>
              </w:rPr>
            </w:r>
            <w:r w:rsidR="00F87563" w:rsidRPr="006C0789">
              <w:rPr>
                <w:b/>
                <w:i/>
                <w:sz w:val="18"/>
                <w:szCs w:val="18"/>
              </w:rPr>
              <w:fldChar w:fldCharType="separate"/>
            </w:r>
            <w:r w:rsidR="00F25F8C" w:rsidRPr="006C0789">
              <w:rPr>
                <w:b/>
                <w:i/>
                <w:sz w:val="18"/>
                <w:szCs w:val="18"/>
              </w:rPr>
              <w:t xml:space="preserve">Table SI. </w:t>
            </w:r>
            <w:r w:rsidR="00F25F8C" w:rsidRPr="006C0789">
              <w:rPr>
                <w:b/>
                <w:i/>
                <w:noProof/>
                <w:sz w:val="18"/>
                <w:szCs w:val="18"/>
              </w:rPr>
              <w:t>55</w:t>
            </w:r>
            <w:r w:rsidR="00F87563" w:rsidRPr="006C0789">
              <w:rPr>
                <w:b/>
                <w:i/>
                <w:sz w:val="18"/>
                <w:szCs w:val="18"/>
              </w:rPr>
              <w:fldChar w:fldCharType="end"/>
            </w:r>
            <w:r w:rsidRPr="006C0789">
              <w:rPr>
                <w:i/>
                <w:sz w:val="18"/>
                <w:szCs w:val="18"/>
              </w:rPr>
              <w:t xml:space="preserve">) </w:t>
            </w:r>
          </w:p>
        </w:tc>
      </w:tr>
      <w:tr w:rsidR="003B1307" w:rsidRPr="006C0789" w14:paraId="10EA2251"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tcPr>
          <w:p w14:paraId="6C63BD68" w14:textId="77777777" w:rsidR="003B1307" w:rsidRPr="006C0789" w:rsidRDefault="003B1307" w:rsidP="003B1307">
            <w:pPr>
              <w:jc w:val="right"/>
              <w:rPr>
                <w:sz w:val="18"/>
                <w:szCs w:val="18"/>
              </w:rPr>
            </w:pPr>
            <w:r w:rsidRPr="006C0789">
              <w:rPr>
                <w:sz w:val="18"/>
                <w:szCs w:val="18"/>
              </w:rPr>
              <w:t>Biomass concentration</w:t>
            </w:r>
          </w:p>
        </w:tc>
        <w:tc>
          <w:tcPr>
            <w:tcW w:w="995" w:type="dxa"/>
          </w:tcPr>
          <w:p w14:paraId="4966292E"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6C0789">
              <w:rPr>
                <w:color w:val="000000"/>
                <w:sz w:val="18"/>
                <w:szCs w:val="18"/>
              </w:rPr>
              <w:t>g</w:t>
            </w:r>
            <w:r w:rsidRPr="006C0789">
              <w:rPr>
                <w:color w:val="000000"/>
                <w:sz w:val="18"/>
                <w:szCs w:val="18"/>
                <w:vertAlign w:val="subscript"/>
              </w:rPr>
              <w:t>X</w:t>
            </w:r>
            <w:r w:rsidRPr="006C0789">
              <w:rPr>
                <w:color w:val="000000"/>
                <w:sz w:val="18"/>
                <w:szCs w:val="18"/>
              </w:rPr>
              <w:t>.L</w:t>
            </w:r>
            <w:proofErr w:type="gramEnd"/>
            <w:r w:rsidRPr="006C0789">
              <w:rPr>
                <w:color w:val="000000"/>
                <w:sz w:val="18"/>
                <w:szCs w:val="18"/>
                <w:vertAlign w:val="superscript"/>
              </w:rPr>
              <w:t>-1</w:t>
            </w:r>
          </w:p>
        </w:tc>
        <w:tc>
          <w:tcPr>
            <w:tcW w:w="0" w:type="auto"/>
          </w:tcPr>
          <w:p w14:paraId="6F46A0DA"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b/>
                <w:sz w:val="18"/>
                <w:szCs w:val="18"/>
              </w:rPr>
            </w:pPr>
            <w:r w:rsidRPr="006C0789">
              <w:rPr>
                <w:b/>
                <w:sz w:val="18"/>
                <w:szCs w:val="18"/>
              </w:rPr>
              <w:t>30</w:t>
            </w:r>
          </w:p>
        </w:tc>
        <w:tc>
          <w:tcPr>
            <w:tcW w:w="0" w:type="auto"/>
          </w:tcPr>
          <w:p w14:paraId="0395AE8E"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20-40</w:t>
            </w:r>
          </w:p>
        </w:tc>
        <w:tc>
          <w:tcPr>
            <w:tcW w:w="0" w:type="auto"/>
          </w:tcPr>
          <w:p w14:paraId="20562BAB"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b/>
                <w:sz w:val="18"/>
                <w:szCs w:val="18"/>
              </w:rPr>
            </w:pPr>
            <w:r w:rsidRPr="006C0789">
              <w:rPr>
                <w:b/>
                <w:sz w:val="18"/>
                <w:szCs w:val="18"/>
              </w:rPr>
              <w:t>30</w:t>
            </w:r>
          </w:p>
        </w:tc>
        <w:tc>
          <w:tcPr>
            <w:tcW w:w="716" w:type="dxa"/>
          </w:tcPr>
          <w:p w14:paraId="24D60DCC"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20-40</w:t>
            </w:r>
          </w:p>
        </w:tc>
        <w:tc>
          <w:tcPr>
            <w:tcW w:w="3827" w:type="dxa"/>
          </w:tcPr>
          <w:p w14:paraId="42DC1A4F" w14:textId="203FF9BB" w:rsidR="003B1307" w:rsidRPr="006C0789" w:rsidRDefault="003B1307" w:rsidP="00F87563">
            <w:pPr>
              <w:cnfStyle w:val="000000100000" w:firstRow="0" w:lastRow="0" w:firstColumn="0" w:lastColumn="0" w:oddVBand="0" w:evenVBand="0" w:oddHBand="1" w:evenHBand="0" w:firstRowFirstColumn="0" w:firstRowLastColumn="0" w:lastRowFirstColumn="0" w:lastRowLastColumn="0"/>
              <w:rPr>
                <w:i/>
                <w:sz w:val="18"/>
                <w:szCs w:val="18"/>
              </w:rPr>
            </w:pPr>
            <w:r w:rsidRPr="006C0789">
              <w:rPr>
                <w:b/>
                <w:i/>
                <w:sz w:val="18"/>
                <w:szCs w:val="18"/>
              </w:rPr>
              <w:t>Parameter</w:t>
            </w:r>
            <w:r w:rsidRPr="006C0789">
              <w:rPr>
                <w:i/>
                <w:sz w:val="18"/>
                <w:szCs w:val="18"/>
              </w:rPr>
              <w:t>: MOB and HOB actors mention same range. Average selected as El Abbadi and Criddle, 2019</w:t>
            </w:r>
            <w:r w:rsidRPr="006C0789">
              <w:rPr>
                <w:i/>
                <w:sz w:val="18"/>
                <w:szCs w:val="18"/>
              </w:rPr>
              <w:fldChar w:fldCharType="begin"/>
            </w:r>
            <w:r w:rsidR="005413B4">
              <w:rPr>
                <w:i/>
                <w:sz w:val="18"/>
                <w:szCs w:val="18"/>
              </w:rPr>
              <w:instrText xml:space="preserve"> ADDIN ZOTERO_ITEM CSL_CITATION {"citationID":"j2ACc5r5","properties":{"formattedCitation":"\\super 236\\nosupersub{}","plainCitation":"236","noteIndex":0},"citationItems":[{"id":560,"uris":["http://zotero.org/users/6423791/items/7A7PJGNW"],"itemData":{"id":560,"type":"article-journal","abstract":"Meeting global food needs in the face of climate change and resource limitation requires innovative approaches to food production. Here, we explore incorporation of new dark food chains into human food systems, drawing inspiration from natural ecosystems, the history of single cell protein, and opportunities for new food production through wastewater treatment, microbial protein production, and aquaculture. The envisioned dark food chains rely upon chemoautotrophy in lieu of photosynthesis, with primary production based upon assimilation of CH4 and CO2 by methane- and hydrogenoxidizing bacteria. The stoichiometry, kinetics, and thermodynamics of these bacteria are evaluated, and opportunities for recycling of carbon, nitrogen, and water are explored. Because these processes do not require light delivery, high volumetric productivities are possible; because they are exothermic, heat is available for downstream protein processing; because the feedstock gases are cheap, existing pipeline infrastructure could facilitate low-cost energy-eﬃcient delivery in urban environments. Potential life-cycle beneﬁts include: a protein alternative to ﬁshmeal; partial decoupling of animal feed from human food; climate change mitigation due to decreased land use for agriculture; eﬃcient local cycling of carbon and nutrients that oﬀsets the need for energy-intensive fertilizers; and production of high value products, such as the prebiotic polyhydroxybutyrate.","container-title":"Environmental Science &amp; Technology","DOI":"10.1021/acs.est.8b04038","ISSN":"0013-936X, 1520-5851","issue":"5","journalAbbreviation":"Environ. Sci. Technol.","language":"English","page":"2273-2287","source":"DOI.org (Crossref)","title":"Engineering the Dark Food Chain","volume":"53","author":[{"family":"El Abbadi","given":"Sahar H."},{"family":"Criddle","given":"Craig S."}],"issued":{"date-parts":[["2019",3,5]]}}}],"schema":"https://github.com/citation-style-language/schema/raw/master/csl-citation.json"}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236</w:t>
            </w:r>
            <w:r w:rsidRPr="006C0789">
              <w:rPr>
                <w:i/>
                <w:sz w:val="18"/>
                <w:szCs w:val="18"/>
              </w:rPr>
              <w:fldChar w:fldCharType="end"/>
            </w:r>
            <w:r w:rsidRPr="006C0789">
              <w:rPr>
                <w:i/>
                <w:sz w:val="18"/>
                <w:szCs w:val="18"/>
              </w:rPr>
              <w:t xml:space="preserve"> (MOB) and Leger et al., 2021</w:t>
            </w:r>
            <w:r w:rsidRPr="006C0789">
              <w:rPr>
                <w:i/>
                <w:sz w:val="18"/>
                <w:szCs w:val="18"/>
              </w:rPr>
              <w:fldChar w:fldCharType="begin"/>
            </w:r>
            <w:r w:rsidR="005413B4">
              <w:rPr>
                <w:i/>
                <w:sz w:val="18"/>
                <w:szCs w:val="18"/>
              </w:rPr>
              <w:instrText xml:space="preserve"> ADDIN ZOTERO_ITEM CSL_CITATION {"citationID":"V8BlAO4S","properties":{"formattedCitation":"\\super 175\\nosupersub{}","plainCitation":"175","noteIndex":0},"citationItems":[{"id":11540,"uris":["http://zotero.org/users/6423791/items/L9NYDA2K"],"itemData":{"id":11540,"type":"article-journal","abstract":"Population growth and changes in dietary patterns place an ever-growing pressure on the environment. Feeding the world within sustainable boundaries therefore requires revolutionizing the way we harness natural resources. Microbial biomass can be cultivated to yield protein-rich feed and food supplements, collectively termed single-cell protein (SCP). Yet, we still lack a quantitative comparison between traditional agriculture and photovoltaic-driven SCP systems in terms of land use and energetic efficiency. Here, we analyze the energetic efficiency of harnessing solar energy to produce SCP from air and water. Our model includes photovoltaic electricity generation, direct air capture of carbon dioxide, electrosynthesis of an electron donor and/or carbon source for microbial growth (hydrogen, formate, or methanol), microbial cultivation, and the processing of biomass and proteins. We show that, per unit of land, SCP production can reach an over 10-fold higher protein yield and at least twice the caloric yield compared with any staple crop. Altogether, this quantitative analysis offers an assessment of the future potential of photovoltaic-driven microbial foods to supplement conventional agricultural production and support resource-efficient protein supply on a global scale.","container-title":"Proceedings of the National Academy of Sciences","DOI":"10.1073/pnas.2015025118","ISSN":"0027-8424, 1091-6490","issue":"26","journalAbbreviation":"Proc Natl Acad Sci USA","language":"en","page":"e2015025118","source":"DOI.org (Crossref)","title":"Photovoltaic-driven microbial protein production can use land and sunlight more efficiently than conventional crops","volume":"118","author":[{"family":"Leger","given":"Dorian"},{"family":"Matassa","given":"Silvio"},{"family":"Noor","given":"Elad"},{"family":"Shepon","given":"Alon"},{"family":"Milo","given":"Ron"},{"family":"Bar-Even","given":"Arren"}],"issued":{"date-parts":[["2021",6,29]]}}}],"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175</w:t>
            </w:r>
            <w:r w:rsidRPr="006C0789">
              <w:rPr>
                <w:i/>
                <w:sz w:val="18"/>
                <w:szCs w:val="18"/>
              </w:rPr>
              <w:fldChar w:fldCharType="end"/>
            </w:r>
            <w:r w:rsidRPr="006C0789">
              <w:rPr>
                <w:i/>
                <w:sz w:val="18"/>
                <w:szCs w:val="18"/>
              </w:rPr>
              <w:t xml:space="preserve"> (HOB)</w:t>
            </w:r>
          </w:p>
        </w:tc>
      </w:tr>
      <w:tr w:rsidR="003B1307" w:rsidRPr="006C0789" w14:paraId="48698710" w14:textId="77777777" w:rsidTr="00942782">
        <w:tc>
          <w:tcPr>
            <w:cnfStyle w:val="001000000000" w:firstRow="0" w:lastRow="0" w:firstColumn="1" w:lastColumn="0" w:oddVBand="0" w:evenVBand="0" w:oddHBand="0" w:evenHBand="0" w:firstRowFirstColumn="0" w:firstRowLastColumn="0" w:lastRowFirstColumn="0" w:lastRowLastColumn="0"/>
            <w:tcW w:w="1403" w:type="dxa"/>
          </w:tcPr>
          <w:p w14:paraId="01333A32" w14:textId="77777777" w:rsidR="003B1307" w:rsidRPr="006C0789" w:rsidRDefault="003B1307" w:rsidP="003B1307">
            <w:pPr>
              <w:jc w:val="right"/>
              <w:rPr>
                <w:sz w:val="18"/>
                <w:szCs w:val="18"/>
              </w:rPr>
            </w:pPr>
            <w:r w:rsidRPr="006C0789">
              <w:rPr>
                <w:sz w:val="18"/>
                <w:szCs w:val="18"/>
              </w:rPr>
              <w:t>Dilution rate</w:t>
            </w:r>
          </w:p>
        </w:tc>
        <w:tc>
          <w:tcPr>
            <w:tcW w:w="995" w:type="dxa"/>
          </w:tcPr>
          <w:p w14:paraId="254C4F8E" w14:textId="77777777" w:rsidR="003B1307" w:rsidRPr="006C0789" w:rsidRDefault="003B1307"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color w:val="000000"/>
                <w:sz w:val="18"/>
                <w:szCs w:val="18"/>
              </w:rPr>
              <w:t>h</w:t>
            </w:r>
            <w:r w:rsidRPr="006C0789">
              <w:rPr>
                <w:color w:val="000000"/>
                <w:sz w:val="18"/>
                <w:szCs w:val="18"/>
                <w:vertAlign w:val="superscript"/>
              </w:rPr>
              <w:t>-1</w:t>
            </w:r>
          </w:p>
        </w:tc>
        <w:tc>
          <w:tcPr>
            <w:tcW w:w="0" w:type="auto"/>
          </w:tcPr>
          <w:p w14:paraId="7B94C7AF" w14:textId="77777777" w:rsidR="003B1307" w:rsidRPr="006C0789" w:rsidRDefault="003B1307" w:rsidP="003B1307">
            <w:pPr>
              <w:cnfStyle w:val="000000000000" w:firstRow="0" w:lastRow="0" w:firstColumn="0" w:lastColumn="0" w:oddVBand="0" w:evenVBand="0" w:oddHBand="0" w:evenHBand="0" w:firstRowFirstColumn="0" w:firstRowLastColumn="0" w:lastRowFirstColumn="0" w:lastRowLastColumn="0"/>
              <w:rPr>
                <w:b/>
                <w:sz w:val="18"/>
                <w:szCs w:val="18"/>
              </w:rPr>
            </w:pPr>
            <w:r w:rsidRPr="006C0789">
              <w:rPr>
                <w:b/>
                <w:sz w:val="18"/>
                <w:szCs w:val="18"/>
              </w:rPr>
              <w:t>0.2</w:t>
            </w:r>
          </w:p>
        </w:tc>
        <w:tc>
          <w:tcPr>
            <w:tcW w:w="0" w:type="auto"/>
          </w:tcPr>
          <w:p w14:paraId="15BD8CC2" w14:textId="77777777" w:rsidR="003B1307" w:rsidRPr="006C0789" w:rsidRDefault="003B1307"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0.2-0.25</w:t>
            </w:r>
          </w:p>
        </w:tc>
        <w:tc>
          <w:tcPr>
            <w:tcW w:w="0" w:type="auto"/>
          </w:tcPr>
          <w:p w14:paraId="23CDBA3B" w14:textId="77777777" w:rsidR="003B1307" w:rsidRPr="006C0789" w:rsidRDefault="003B1307" w:rsidP="003B1307">
            <w:pPr>
              <w:cnfStyle w:val="000000000000" w:firstRow="0" w:lastRow="0" w:firstColumn="0" w:lastColumn="0" w:oddVBand="0" w:evenVBand="0" w:oddHBand="0" w:evenHBand="0" w:firstRowFirstColumn="0" w:firstRowLastColumn="0" w:lastRowFirstColumn="0" w:lastRowLastColumn="0"/>
              <w:rPr>
                <w:b/>
                <w:sz w:val="18"/>
                <w:szCs w:val="18"/>
              </w:rPr>
            </w:pPr>
            <w:r w:rsidRPr="006C0789">
              <w:rPr>
                <w:b/>
                <w:sz w:val="18"/>
                <w:szCs w:val="18"/>
              </w:rPr>
              <w:t>0.08</w:t>
            </w:r>
          </w:p>
        </w:tc>
        <w:tc>
          <w:tcPr>
            <w:tcW w:w="716" w:type="dxa"/>
          </w:tcPr>
          <w:p w14:paraId="266E356A" w14:textId="77777777" w:rsidR="003B1307" w:rsidRPr="006C0789" w:rsidRDefault="003B1307"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0.03-0.1</w:t>
            </w:r>
          </w:p>
        </w:tc>
        <w:tc>
          <w:tcPr>
            <w:tcW w:w="3827" w:type="dxa"/>
          </w:tcPr>
          <w:p w14:paraId="6D03DE06" w14:textId="42278FEB" w:rsidR="003B1307" w:rsidRPr="006C0789" w:rsidRDefault="003B1307" w:rsidP="00F87563">
            <w:pPr>
              <w:cnfStyle w:val="000000000000" w:firstRow="0" w:lastRow="0" w:firstColumn="0" w:lastColumn="0" w:oddVBand="0" w:evenVBand="0" w:oddHBand="0" w:evenHBand="0" w:firstRowFirstColumn="0" w:firstRowLastColumn="0" w:lastRowFirstColumn="0" w:lastRowLastColumn="0"/>
              <w:rPr>
                <w:i/>
                <w:sz w:val="18"/>
                <w:szCs w:val="18"/>
              </w:rPr>
            </w:pPr>
            <w:r w:rsidRPr="006C0789">
              <w:rPr>
                <w:b/>
                <w:i/>
                <w:sz w:val="18"/>
                <w:szCs w:val="18"/>
              </w:rPr>
              <w:t>Set value</w:t>
            </w:r>
            <w:r w:rsidRPr="006C0789">
              <w:rPr>
                <w:i/>
                <w:sz w:val="18"/>
                <w:szCs w:val="18"/>
              </w:rPr>
              <w:t>: within benchmarked range (</w:t>
            </w:r>
            <w:r w:rsidR="00F87563" w:rsidRPr="006C0789">
              <w:rPr>
                <w:b/>
                <w:i/>
                <w:sz w:val="18"/>
                <w:szCs w:val="18"/>
              </w:rPr>
              <w:fldChar w:fldCharType="begin"/>
            </w:r>
            <w:r w:rsidR="00F87563" w:rsidRPr="006C0789">
              <w:rPr>
                <w:b/>
                <w:i/>
                <w:sz w:val="18"/>
                <w:szCs w:val="18"/>
              </w:rPr>
              <w:instrText xml:space="preserve"> REF _Ref144822902 \h  \* MERGEFORMAT </w:instrText>
            </w:r>
            <w:r w:rsidR="00F87563" w:rsidRPr="006C0789">
              <w:rPr>
                <w:b/>
                <w:i/>
                <w:sz w:val="18"/>
                <w:szCs w:val="18"/>
              </w:rPr>
            </w:r>
            <w:r w:rsidR="00F87563" w:rsidRPr="006C0789">
              <w:rPr>
                <w:b/>
                <w:i/>
                <w:sz w:val="18"/>
                <w:szCs w:val="18"/>
              </w:rPr>
              <w:fldChar w:fldCharType="separate"/>
            </w:r>
            <w:r w:rsidR="00F25F8C" w:rsidRPr="006C0789">
              <w:rPr>
                <w:b/>
                <w:i/>
                <w:sz w:val="18"/>
                <w:szCs w:val="18"/>
              </w:rPr>
              <w:t xml:space="preserve">Table SI. </w:t>
            </w:r>
            <w:r w:rsidR="00F25F8C" w:rsidRPr="006C0789">
              <w:rPr>
                <w:b/>
                <w:i/>
                <w:noProof/>
                <w:sz w:val="18"/>
                <w:szCs w:val="18"/>
              </w:rPr>
              <w:t>55</w:t>
            </w:r>
            <w:r w:rsidR="00F87563" w:rsidRPr="006C0789">
              <w:rPr>
                <w:b/>
                <w:i/>
                <w:sz w:val="18"/>
                <w:szCs w:val="18"/>
              </w:rPr>
              <w:fldChar w:fldCharType="end"/>
            </w:r>
            <w:r w:rsidR="00F87563" w:rsidRPr="006C0789">
              <w:rPr>
                <w:i/>
                <w:sz w:val="18"/>
                <w:szCs w:val="18"/>
              </w:rPr>
              <w:t>)</w:t>
            </w:r>
            <w:r w:rsidRPr="006C0789">
              <w:rPr>
                <w:i/>
                <w:sz w:val="18"/>
                <w:szCs w:val="18"/>
              </w:rPr>
              <w:t>, set to achieve reported productivity</w:t>
            </w:r>
          </w:p>
        </w:tc>
      </w:tr>
      <w:tr w:rsidR="003B1307" w:rsidRPr="006C0789" w14:paraId="712D0269"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tcPr>
          <w:p w14:paraId="136F4675" w14:textId="77777777" w:rsidR="003B1307" w:rsidRPr="006C0789" w:rsidRDefault="003B1307" w:rsidP="003B1307">
            <w:pPr>
              <w:jc w:val="right"/>
              <w:rPr>
                <w:sz w:val="18"/>
                <w:szCs w:val="18"/>
              </w:rPr>
            </w:pPr>
            <w:r w:rsidRPr="006C0789">
              <w:rPr>
                <w:sz w:val="18"/>
                <w:szCs w:val="18"/>
              </w:rPr>
              <w:t>Productivity</w:t>
            </w:r>
          </w:p>
        </w:tc>
        <w:tc>
          <w:tcPr>
            <w:tcW w:w="995" w:type="dxa"/>
          </w:tcPr>
          <w:p w14:paraId="2EEEC195"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color w:val="000000"/>
                <w:sz w:val="18"/>
                <w:szCs w:val="18"/>
              </w:rPr>
              <w:t>kg.m</w:t>
            </w:r>
            <w:r w:rsidRPr="006C0789">
              <w:rPr>
                <w:color w:val="000000"/>
                <w:sz w:val="18"/>
                <w:szCs w:val="18"/>
                <w:vertAlign w:val="superscript"/>
              </w:rPr>
              <w:t>-3</w:t>
            </w:r>
            <w:r w:rsidRPr="006C0789">
              <w:rPr>
                <w:color w:val="000000"/>
                <w:sz w:val="18"/>
                <w:szCs w:val="18"/>
              </w:rPr>
              <w:t>.h</w:t>
            </w:r>
            <w:r w:rsidRPr="006C0789">
              <w:rPr>
                <w:color w:val="000000"/>
                <w:sz w:val="18"/>
                <w:szCs w:val="18"/>
                <w:vertAlign w:val="superscript"/>
              </w:rPr>
              <w:t>-1</w:t>
            </w:r>
          </w:p>
        </w:tc>
        <w:tc>
          <w:tcPr>
            <w:tcW w:w="0" w:type="auto"/>
          </w:tcPr>
          <w:p w14:paraId="18854B1F"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b/>
                <w:sz w:val="18"/>
                <w:szCs w:val="18"/>
              </w:rPr>
            </w:pPr>
            <w:r w:rsidRPr="006C0789">
              <w:rPr>
                <w:b/>
                <w:sz w:val="18"/>
                <w:szCs w:val="18"/>
              </w:rPr>
              <w:t>6</w:t>
            </w:r>
          </w:p>
        </w:tc>
        <w:tc>
          <w:tcPr>
            <w:tcW w:w="0" w:type="auto"/>
          </w:tcPr>
          <w:p w14:paraId="4C9F9D82"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4-6</w:t>
            </w:r>
          </w:p>
        </w:tc>
        <w:tc>
          <w:tcPr>
            <w:tcW w:w="0" w:type="auto"/>
          </w:tcPr>
          <w:p w14:paraId="226A5560"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b/>
                <w:sz w:val="18"/>
                <w:szCs w:val="18"/>
              </w:rPr>
            </w:pPr>
            <w:r w:rsidRPr="006C0789">
              <w:rPr>
                <w:b/>
                <w:sz w:val="18"/>
                <w:szCs w:val="18"/>
              </w:rPr>
              <w:t>2.4</w:t>
            </w:r>
          </w:p>
        </w:tc>
        <w:tc>
          <w:tcPr>
            <w:tcW w:w="716" w:type="dxa"/>
          </w:tcPr>
          <w:p w14:paraId="645A12D9"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1-3.3</w:t>
            </w:r>
          </w:p>
        </w:tc>
        <w:tc>
          <w:tcPr>
            <w:tcW w:w="3827" w:type="dxa"/>
          </w:tcPr>
          <w:p w14:paraId="6E91F9E7" w14:textId="176C802F" w:rsidR="003B1307" w:rsidRPr="006C0789" w:rsidRDefault="003B1307" w:rsidP="00F87563">
            <w:pPr>
              <w:cnfStyle w:val="000000100000" w:firstRow="0" w:lastRow="0" w:firstColumn="0" w:lastColumn="0" w:oddVBand="0" w:evenVBand="0" w:oddHBand="1" w:evenHBand="0" w:firstRowFirstColumn="0" w:firstRowLastColumn="0" w:lastRowFirstColumn="0" w:lastRowLastColumn="0"/>
              <w:rPr>
                <w:i/>
                <w:sz w:val="18"/>
                <w:szCs w:val="18"/>
              </w:rPr>
            </w:pPr>
            <w:r w:rsidRPr="006C0789">
              <w:rPr>
                <w:b/>
                <w:i/>
                <w:sz w:val="18"/>
                <w:szCs w:val="18"/>
              </w:rPr>
              <w:t>Calculated</w:t>
            </w:r>
            <w:r w:rsidRPr="006C0789">
              <w:rPr>
                <w:i/>
                <w:sz w:val="18"/>
                <w:szCs w:val="18"/>
              </w:rPr>
              <w:t>: fit with commonly achieved MOB</w:t>
            </w:r>
            <w:r w:rsidRPr="006C0789">
              <w:rPr>
                <w:i/>
                <w:sz w:val="18"/>
                <w:szCs w:val="18"/>
              </w:rPr>
              <w:fldChar w:fldCharType="begin"/>
            </w:r>
            <w:r w:rsidR="005413B4">
              <w:rPr>
                <w:i/>
                <w:sz w:val="18"/>
                <w:szCs w:val="18"/>
              </w:rPr>
              <w:instrText xml:space="preserve"> ADDIN ZOTERO_ITEM CSL_CITATION {"citationID":"Wht61yD9","properties":{"formattedCitation":"\\super 175\\nosupersub{}","plainCitation":"175","noteIndex":0},"citationItems":[{"id":11540,"uris":["http://zotero.org/users/6423791/items/L9NYDA2K"],"itemData":{"id":11540,"type":"article-journal","abstract":"Population growth and changes in dietary patterns place an ever-growing pressure on the environment. Feeding the world within sustainable boundaries therefore requires revolutionizing the way we harness natural resources. Microbial biomass can be cultivated to yield protein-rich feed and food supplements, collectively termed single-cell protein (SCP). Yet, we still lack a quantitative comparison between traditional agriculture and photovoltaic-driven SCP systems in terms of land use and energetic efficiency. Here, we analyze the energetic efficiency of harnessing solar energy to produce SCP from air and water. Our model includes photovoltaic electricity generation, direct air capture of carbon dioxide, electrosynthesis of an electron donor and/or carbon source for microbial growth (hydrogen, formate, or methanol), microbial cultivation, and the processing of biomass and proteins. We show that, per unit of land, SCP production can reach an over 10-fold higher protein yield and at least twice the caloric yield compared with any staple crop. Altogether, this quantitative analysis offers an assessment of the future potential of photovoltaic-driven microbial foods to supplement conventional agricultural production and support resource-efficient protein supply on a global scale.","container-title":"Proceedings of the National Academy of Sciences","DOI":"10.1073/pnas.2015025118","ISSN":"0027-8424, 1091-6490","issue":"26","journalAbbreviation":"Proc Natl Acad Sci USA","language":"en","page":"e2015025118","source":"DOI.org (Crossref)","title":"Photovoltaic-driven microbial protein production can use land and sunlight more efficiently than conventional crops","volume":"118","author":[{"family":"Leger","given":"Dorian"},{"family":"Matassa","given":"Silvio"},{"family":"Noor","given":"Elad"},{"family":"Shepon","given":"Alon"},{"family":"Milo","given":"Ron"},{"family":"Bar-Even","given":"Arren"}],"issued":{"date-parts":[["2021",6,29]]}}}],"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175</w:t>
            </w:r>
            <w:r w:rsidRPr="006C0789">
              <w:rPr>
                <w:i/>
                <w:sz w:val="18"/>
                <w:szCs w:val="18"/>
              </w:rPr>
              <w:fldChar w:fldCharType="end"/>
            </w:r>
            <w:r w:rsidRPr="006C0789">
              <w:rPr>
                <w:i/>
                <w:sz w:val="18"/>
                <w:szCs w:val="18"/>
              </w:rPr>
              <w:t xml:space="preserve"> and HOB</w:t>
            </w:r>
            <w:r w:rsidRPr="006C0789">
              <w:rPr>
                <w:i/>
                <w:sz w:val="18"/>
                <w:szCs w:val="18"/>
              </w:rPr>
              <w:fldChar w:fldCharType="begin"/>
            </w:r>
            <w:r w:rsidR="005413B4">
              <w:rPr>
                <w:i/>
                <w:sz w:val="18"/>
                <w:szCs w:val="18"/>
              </w:rPr>
              <w:instrText xml:space="preserve"> ADDIN ZOTERO_ITEM CSL_CITATION {"citationID":"CEXTuR5b","properties":{"formattedCitation":"\\super 195\\nosupersub{}","plainCitation":"195","noteIndex":0},"citationItems":[{"id":1878,"uris":["http://zotero.org/users/6423791/items/J32BCSLB"],"itemData":{"id":1878,"type":"article-journal","abstract":"Anaerobic digesters produce biogas, a mixture of predominantly CH4 and CO2, which is typically incinerated to recover electrical and/or thermal energy. In a context of circular economy, the CH4 and CO2 could be used as chemical feedstock in combination with ammonium from the digestate. Their combination into protein-rich bacterial, used as animal feed additive, could contribute to the ever growing global demand for nutritive protein sources and improve the overall nitrogen efficiency of the current agro- feed/food chain. In this concept, renewable CH4 and H2 can serve as carbon-neutral energy sources for the production of protein-rich cellular biomass, while assimilating and upgrading recovered ammonia from the digestate. This study evaluated the potential of producing sustainable high-quality protein additives in a decentralized way through coupling anaerobic digestion and microbial protein production using methanotrophic and hydrogenotrophic bacteria in an on-farm bioreactor. We show that a practical case digester handling liquid piggery manure, of which the energy content is supplemented for 30% with co-substrates, provides sufficient biogas to allow the subsequent microbial protein as feed production for about 37% of the number of pigs from which the manure was derived. Overall, producing microbial protein on the farm from available methane and ammonia liberated by anaerobic digesters treating manure appears economically and technically feasible within the current range of market prices existing for high-quality protein. The case of producing biomethane for grid injection and upgrading the CO2 with electrolytic hydrogen to microbial protein by means of hydrogen-oxidizing bacteria was also examined but found less attractive at the current production prices of renewable hydrogen. Our calculations show that this route is only of commercial interest if the protein value equals the value of high-value protein additives like fishmeal and if the avoided costs for nutrient removal from the digestate are taken into consideration.","container-title":"Microbial Biotechnology","DOI":"10.1111/1751-7915.13600","ISSN":"1751-7915","issue":"3","journalAbbreviation":"Microb. Biotechnol.","language":"en","license":"© 2020 The Authors. Microbial Biotechnology  published by John Wiley &amp; Sons Ltd and Society for Applied Microbiology.","note":"_eprint: https://onlinelibrary.wiley.com/doi/pdf/10.1111/1751-7915.13600","page":"897-910","source":"Wiley Online Library","title":"Assessing the potential for up-cycling recovered resources from anaerobic digestion through microbial protein production","volume":"14","author":[{"family":"Verbeeck","given":"Kristof"},{"family":"Vrieze","given":"Jo De"},{"family":"Pikaar","given":"Ilje"},{"family":"Verstraete","given":"Willy"},{"family":"Rabaey","given":"Korneel"}],"issued":{"date-parts":[["2020"]]}}}],"schema":"https://github.com/citation-style-language/schema/raw/master/csl-citation.json"}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195</w:t>
            </w:r>
            <w:r w:rsidRPr="006C0789">
              <w:rPr>
                <w:i/>
                <w:sz w:val="18"/>
                <w:szCs w:val="18"/>
              </w:rPr>
              <w:fldChar w:fldCharType="end"/>
            </w:r>
            <w:r w:rsidRPr="006C0789">
              <w:rPr>
                <w:i/>
                <w:sz w:val="18"/>
                <w:szCs w:val="18"/>
              </w:rPr>
              <w:t xml:space="preserve"> productivities</w:t>
            </w:r>
          </w:p>
        </w:tc>
      </w:tr>
      <w:tr w:rsidR="003B1307" w:rsidRPr="006C0789" w14:paraId="4C758629" w14:textId="77777777" w:rsidTr="00942782">
        <w:tc>
          <w:tcPr>
            <w:cnfStyle w:val="001000000000" w:firstRow="0" w:lastRow="0" w:firstColumn="1" w:lastColumn="0" w:oddVBand="0" w:evenVBand="0" w:oddHBand="0" w:evenHBand="0" w:firstRowFirstColumn="0" w:firstRowLastColumn="0" w:lastRowFirstColumn="0" w:lastRowLastColumn="0"/>
            <w:tcW w:w="1403" w:type="dxa"/>
          </w:tcPr>
          <w:p w14:paraId="66C25AC5" w14:textId="77777777" w:rsidR="003B1307" w:rsidRPr="006C0789" w:rsidRDefault="003B1307" w:rsidP="003B1307">
            <w:pPr>
              <w:jc w:val="right"/>
              <w:rPr>
                <w:sz w:val="18"/>
                <w:szCs w:val="18"/>
              </w:rPr>
            </w:pPr>
            <w:r w:rsidRPr="006C0789">
              <w:rPr>
                <w:sz w:val="18"/>
                <w:szCs w:val="18"/>
              </w:rPr>
              <w:t>Production</w:t>
            </w:r>
          </w:p>
        </w:tc>
        <w:tc>
          <w:tcPr>
            <w:tcW w:w="995" w:type="dxa"/>
          </w:tcPr>
          <w:p w14:paraId="492135AC" w14:textId="77777777" w:rsidR="003B1307" w:rsidRPr="006C0789" w:rsidRDefault="003B1307"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color w:val="000000"/>
                <w:sz w:val="18"/>
                <w:szCs w:val="18"/>
              </w:rPr>
              <w:t>kg.h</w:t>
            </w:r>
            <w:r w:rsidRPr="006C0789">
              <w:rPr>
                <w:color w:val="000000"/>
                <w:sz w:val="18"/>
                <w:szCs w:val="18"/>
                <w:vertAlign w:val="superscript"/>
              </w:rPr>
              <w:t>-1</w:t>
            </w:r>
          </w:p>
        </w:tc>
        <w:tc>
          <w:tcPr>
            <w:tcW w:w="0" w:type="auto"/>
          </w:tcPr>
          <w:p w14:paraId="1A14D5DD" w14:textId="77777777" w:rsidR="003B1307" w:rsidRPr="006C0789" w:rsidRDefault="003B1307" w:rsidP="003B1307">
            <w:pPr>
              <w:cnfStyle w:val="000000000000" w:firstRow="0" w:lastRow="0" w:firstColumn="0" w:lastColumn="0" w:oddVBand="0" w:evenVBand="0" w:oddHBand="0" w:evenHBand="0" w:firstRowFirstColumn="0" w:firstRowLastColumn="0" w:lastRowFirstColumn="0" w:lastRowLastColumn="0"/>
              <w:rPr>
                <w:b/>
                <w:sz w:val="18"/>
                <w:szCs w:val="18"/>
              </w:rPr>
            </w:pPr>
            <w:r w:rsidRPr="006C0789">
              <w:rPr>
                <w:b/>
                <w:sz w:val="18"/>
                <w:szCs w:val="18"/>
              </w:rPr>
              <w:t>1215</w:t>
            </w:r>
          </w:p>
        </w:tc>
        <w:tc>
          <w:tcPr>
            <w:tcW w:w="0" w:type="auto"/>
          </w:tcPr>
          <w:p w14:paraId="2C5D329D" w14:textId="77777777" w:rsidR="003B1307" w:rsidRPr="006C0789" w:rsidRDefault="003B1307"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n.a.</w:t>
            </w:r>
          </w:p>
        </w:tc>
        <w:tc>
          <w:tcPr>
            <w:tcW w:w="0" w:type="auto"/>
          </w:tcPr>
          <w:p w14:paraId="0E6B74C6" w14:textId="77777777" w:rsidR="003B1307" w:rsidRPr="006C0789" w:rsidRDefault="003B1307" w:rsidP="003B1307">
            <w:pPr>
              <w:cnfStyle w:val="000000000000" w:firstRow="0" w:lastRow="0" w:firstColumn="0" w:lastColumn="0" w:oddVBand="0" w:evenVBand="0" w:oddHBand="0" w:evenHBand="0" w:firstRowFirstColumn="0" w:firstRowLastColumn="0" w:lastRowFirstColumn="0" w:lastRowLastColumn="0"/>
              <w:rPr>
                <w:b/>
                <w:sz w:val="18"/>
                <w:szCs w:val="18"/>
              </w:rPr>
            </w:pPr>
            <w:r w:rsidRPr="006C0789">
              <w:rPr>
                <w:b/>
                <w:sz w:val="18"/>
                <w:szCs w:val="18"/>
              </w:rPr>
              <w:t>450</w:t>
            </w:r>
          </w:p>
        </w:tc>
        <w:tc>
          <w:tcPr>
            <w:tcW w:w="716" w:type="dxa"/>
          </w:tcPr>
          <w:p w14:paraId="4B6B8B33" w14:textId="77777777" w:rsidR="003B1307" w:rsidRPr="006C0789" w:rsidRDefault="003B1307"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n.a.</w:t>
            </w:r>
          </w:p>
        </w:tc>
        <w:tc>
          <w:tcPr>
            <w:tcW w:w="3827" w:type="dxa"/>
          </w:tcPr>
          <w:p w14:paraId="77C7F100" w14:textId="77777777" w:rsidR="003B1307" w:rsidRPr="006C0789" w:rsidRDefault="003B1307" w:rsidP="00F87563">
            <w:pPr>
              <w:cnfStyle w:val="000000000000" w:firstRow="0" w:lastRow="0" w:firstColumn="0" w:lastColumn="0" w:oddVBand="0" w:evenVBand="0" w:oddHBand="0" w:evenHBand="0" w:firstRowFirstColumn="0" w:firstRowLastColumn="0" w:lastRowFirstColumn="0" w:lastRowLastColumn="0"/>
              <w:rPr>
                <w:i/>
                <w:sz w:val="18"/>
                <w:szCs w:val="18"/>
              </w:rPr>
            </w:pPr>
            <w:r w:rsidRPr="006C0789">
              <w:rPr>
                <w:b/>
                <w:i/>
                <w:sz w:val="18"/>
                <w:szCs w:val="18"/>
              </w:rPr>
              <w:t xml:space="preserve">Calculated: </w:t>
            </w:r>
            <w:r w:rsidRPr="006C0789">
              <w:rPr>
                <w:i/>
                <w:sz w:val="18"/>
                <w:szCs w:val="18"/>
              </w:rPr>
              <w:t>using productivity and volume</w:t>
            </w:r>
          </w:p>
        </w:tc>
      </w:tr>
      <w:tr w:rsidR="003B1307" w:rsidRPr="006C0789" w14:paraId="6F23BE0D"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tcPr>
          <w:p w14:paraId="53A8A1CB" w14:textId="77777777" w:rsidR="003B1307" w:rsidRPr="006C0789" w:rsidRDefault="003B1307" w:rsidP="003B1307">
            <w:pPr>
              <w:jc w:val="right"/>
              <w:rPr>
                <w:sz w:val="18"/>
                <w:szCs w:val="18"/>
              </w:rPr>
            </w:pPr>
            <w:r w:rsidRPr="006C0789">
              <w:rPr>
                <w:sz w:val="18"/>
                <w:szCs w:val="18"/>
              </w:rPr>
              <w:t>Temperature</w:t>
            </w:r>
          </w:p>
        </w:tc>
        <w:tc>
          <w:tcPr>
            <w:tcW w:w="995" w:type="dxa"/>
          </w:tcPr>
          <w:p w14:paraId="0753CCDB"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color w:val="000000"/>
                <w:sz w:val="18"/>
                <w:szCs w:val="18"/>
              </w:rPr>
            </w:pPr>
            <w:r w:rsidRPr="006C0789">
              <w:rPr>
                <w:color w:val="000000"/>
                <w:sz w:val="18"/>
                <w:szCs w:val="18"/>
              </w:rPr>
              <w:t>°C</w:t>
            </w:r>
          </w:p>
        </w:tc>
        <w:tc>
          <w:tcPr>
            <w:tcW w:w="0" w:type="auto"/>
          </w:tcPr>
          <w:p w14:paraId="34E69473"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b/>
                <w:sz w:val="18"/>
                <w:szCs w:val="18"/>
              </w:rPr>
            </w:pPr>
            <w:r w:rsidRPr="006C0789">
              <w:rPr>
                <w:b/>
                <w:sz w:val="18"/>
                <w:szCs w:val="18"/>
              </w:rPr>
              <w:t>40</w:t>
            </w:r>
          </w:p>
        </w:tc>
        <w:tc>
          <w:tcPr>
            <w:tcW w:w="0" w:type="auto"/>
          </w:tcPr>
          <w:p w14:paraId="0CD9BDAC"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n.a.</w:t>
            </w:r>
          </w:p>
        </w:tc>
        <w:tc>
          <w:tcPr>
            <w:tcW w:w="0" w:type="auto"/>
          </w:tcPr>
          <w:p w14:paraId="184E2450"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b/>
                <w:sz w:val="18"/>
                <w:szCs w:val="18"/>
              </w:rPr>
            </w:pPr>
            <w:r w:rsidRPr="006C0789">
              <w:rPr>
                <w:b/>
                <w:sz w:val="18"/>
                <w:szCs w:val="18"/>
              </w:rPr>
              <w:t>30</w:t>
            </w:r>
          </w:p>
        </w:tc>
        <w:tc>
          <w:tcPr>
            <w:tcW w:w="716" w:type="dxa"/>
          </w:tcPr>
          <w:p w14:paraId="08D3C6B7"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n.a.</w:t>
            </w:r>
          </w:p>
        </w:tc>
        <w:tc>
          <w:tcPr>
            <w:tcW w:w="3827" w:type="dxa"/>
          </w:tcPr>
          <w:p w14:paraId="3F7B100E" w14:textId="77777777" w:rsidR="003B1307" w:rsidRPr="006C0789" w:rsidRDefault="003B1307" w:rsidP="00F87563">
            <w:pPr>
              <w:cnfStyle w:val="000000100000" w:firstRow="0" w:lastRow="0" w:firstColumn="0" w:lastColumn="0" w:oddVBand="0" w:evenVBand="0" w:oddHBand="1" w:evenHBand="0" w:firstRowFirstColumn="0" w:firstRowLastColumn="0" w:lastRowFirstColumn="0" w:lastRowLastColumn="0"/>
              <w:rPr>
                <w:i/>
                <w:sz w:val="18"/>
                <w:szCs w:val="18"/>
              </w:rPr>
            </w:pPr>
            <w:r w:rsidRPr="006C0789">
              <w:rPr>
                <w:b/>
                <w:i/>
                <w:sz w:val="18"/>
                <w:szCs w:val="18"/>
              </w:rPr>
              <w:t>Set value</w:t>
            </w:r>
            <w:r w:rsidRPr="006C0789">
              <w:rPr>
                <w:i/>
                <w:sz w:val="18"/>
                <w:szCs w:val="18"/>
              </w:rPr>
              <w:t>: typically reported: 35°C selected</w:t>
            </w:r>
          </w:p>
        </w:tc>
      </w:tr>
      <w:tr w:rsidR="003B1307" w:rsidRPr="006C0789" w14:paraId="42E3BAC5" w14:textId="77777777" w:rsidTr="00942782">
        <w:tc>
          <w:tcPr>
            <w:cnfStyle w:val="001000000000" w:firstRow="0" w:lastRow="0" w:firstColumn="1" w:lastColumn="0" w:oddVBand="0" w:evenVBand="0" w:oddHBand="0" w:evenHBand="0" w:firstRowFirstColumn="0" w:firstRowLastColumn="0" w:lastRowFirstColumn="0" w:lastRowLastColumn="0"/>
            <w:tcW w:w="1403" w:type="dxa"/>
          </w:tcPr>
          <w:p w14:paraId="493EF82D" w14:textId="77777777" w:rsidR="003B1307" w:rsidRPr="006C0789" w:rsidRDefault="003B1307" w:rsidP="003B1307">
            <w:pPr>
              <w:jc w:val="right"/>
              <w:rPr>
                <w:sz w:val="18"/>
                <w:szCs w:val="18"/>
              </w:rPr>
            </w:pPr>
            <w:r w:rsidRPr="006C0789">
              <w:rPr>
                <w:sz w:val="18"/>
                <w:szCs w:val="18"/>
              </w:rPr>
              <w:t>Metabolic heat</w:t>
            </w:r>
          </w:p>
        </w:tc>
        <w:tc>
          <w:tcPr>
            <w:tcW w:w="995" w:type="dxa"/>
          </w:tcPr>
          <w:p w14:paraId="0FC3AF24" w14:textId="77777777" w:rsidR="003B1307" w:rsidRPr="006C0789" w:rsidRDefault="003B1307" w:rsidP="003B1307">
            <w:pPr>
              <w:cnfStyle w:val="000000000000" w:firstRow="0" w:lastRow="0" w:firstColumn="0" w:lastColumn="0" w:oddVBand="0" w:evenVBand="0" w:oddHBand="0" w:evenHBand="0" w:firstRowFirstColumn="0" w:firstRowLastColumn="0" w:lastRowFirstColumn="0" w:lastRowLastColumn="0"/>
              <w:rPr>
                <w:color w:val="000000"/>
                <w:sz w:val="18"/>
                <w:szCs w:val="18"/>
              </w:rPr>
            </w:pPr>
            <w:proofErr w:type="gramStart"/>
            <w:r w:rsidRPr="006C0789">
              <w:rPr>
                <w:color w:val="000000"/>
                <w:sz w:val="18"/>
                <w:szCs w:val="18"/>
              </w:rPr>
              <w:t>kJ.molC</w:t>
            </w:r>
            <w:r w:rsidRPr="006C0789">
              <w:rPr>
                <w:color w:val="000000"/>
                <w:sz w:val="18"/>
                <w:szCs w:val="18"/>
                <w:vertAlign w:val="subscript"/>
              </w:rPr>
              <w:t>X</w:t>
            </w:r>
            <w:proofErr w:type="gramEnd"/>
            <w:r w:rsidRPr="006C0789">
              <w:rPr>
                <w:color w:val="000000"/>
                <w:sz w:val="18"/>
                <w:szCs w:val="18"/>
                <w:vertAlign w:val="superscript"/>
              </w:rPr>
              <w:t>-1</w:t>
            </w:r>
          </w:p>
        </w:tc>
        <w:tc>
          <w:tcPr>
            <w:tcW w:w="0" w:type="auto"/>
          </w:tcPr>
          <w:p w14:paraId="6122B4EB" w14:textId="77777777" w:rsidR="003B1307" w:rsidRPr="006C0789" w:rsidRDefault="003B1307" w:rsidP="003B1307">
            <w:pPr>
              <w:cnfStyle w:val="000000000000" w:firstRow="0" w:lastRow="0" w:firstColumn="0" w:lastColumn="0" w:oddVBand="0" w:evenVBand="0" w:oddHBand="0" w:evenHBand="0" w:firstRowFirstColumn="0" w:firstRowLastColumn="0" w:lastRowFirstColumn="0" w:lastRowLastColumn="0"/>
              <w:rPr>
                <w:b/>
                <w:sz w:val="18"/>
                <w:szCs w:val="18"/>
              </w:rPr>
            </w:pPr>
            <w:r w:rsidRPr="006C0789">
              <w:rPr>
                <w:b/>
                <w:sz w:val="18"/>
                <w:szCs w:val="18"/>
              </w:rPr>
              <w:t>1277</w:t>
            </w:r>
          </w:p>
        </w:tc>
        <w:tc>
          <w:tcPr>
            <w:tcW w:w="0" w:type="auto"/>
          </w:tcPr>
          <w:p w14:paraId="0B838818" w14:textId="77777777" w:rsidR="003B1307" w:rsidRPr="006C0789" w:rsidRDefault="003B1307"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900-1660</w:t>
            </w:r>
          </w:p>
        </w:tc>
        <w:tc>
          <w:tcPr>
            <w:tcW w:w="0" w:type="auto"/>
          </w:tcPr>
          <w:p w14:paraId="5008C9B3" w14:textId="77777777" w:rsidR="003B1307" w:rsidRPr="006C0789" w:rsidRDefault="003B1307" w:rsidP="003B1307">
            <w:pPr>
              <w:cnfStyle w:val="000000000000" w:firstRow="0" w:lastRow="0" w:firstColumn="0" w:lastColumn="0" w:oddVBand="0" w:evenVBand="0" w:oddHBand="0" w:evenHBand="0" w:firstRowFirstColumn="0" w:firstRowLastColumn="0" w:lastRowFirstColumn="0" w:lastRowLastColumn="0"/>
              <w:rPr>
                <w:b/>
                <w:sz w:val="18"/>
                <w:szCs w:val="18"/>
              </w:rPr>
            </w:pPr>
            <w:r w:rsidRPr="006C0789">
              <w:rPr>
                <w:b/>
                <w:sz w:val="18"/>
                <w:szCs w:val="18"/>
              </w:rPr>
              <w:t>744</w:t>
            </w:r>
          </w:p>
        </w:tc>
        <w:tc>
          <w:tcPr>
            <w:tcW w:w="716" w:type="dxa"/>
          </w:tcPr>
          <w:p w14:paraId="7C2EAEB7" w14:textId="77777777" w:rsidR="003B1307" w:rsidRPr="006C0789" w:rsidRDefault="003B1307" w:rsidP="003B1307">
            <w:pPr>
              <w:cnfStyle w:val="000000000000" w:firstRow="0" w:lastRow="0" w:firstColumn="0" w:lastColumn="0" w:oddVBand="0" w:evenVBand="0" w:oddHBand="0" w:evenHBand="0" w:firstRowFirstColumn="0" w:firstRowLastColumn="0" w:lastRowFirstColumn="0" w:lastRowLastColumn="0"/>
              <w:rPr>
                <w:sz w:val="18"/>
                <w:szCs w:val="18"/>
              </w:rPr>
            </w:pPr>
            <w:r w:rsidRPr="006C0789">
              <w:rPr>
                <w:sz w:val="18"/>
                <w:szCs w:val="18"/>
              </w:rPr>
              <w:t>700-800</w:t>
            </w:r>
          </w:p>
        </w:tc>
        <w:tc>
          <w:tcPr>
            <w:tcW w:w="3827" w:type="dxa"/>
          </w:tcPr>
          <w:p w14:paraId="25F1A8C1" w14:textId="4B9A2398" w:rsidR="003B1307" w:rsidRPr="006C0789" w:rsidRDefault="003B1307" w:rsidP="00F87563">
            <w:pPr>
              <w:cnfStyle w:val="000000000000" w:firstRow="0" w:lastRow="0" w:firstColumn="0" w:lastColumn="0" w:oddVBand="0" w:evenVBand="0" w:oddHBand="0" w:evenHBand="0" w:firstRowFirstColumn="0" w:firstRowLastColumn="0" w:lastRowFirstColumn="0" w:lastRowLastColumn="0"/>
              <w:rPr>
                <w:i/>
                <w:sz w:val="18"/>
                <w:szCs w:val="18"/>
              </w:rPr>
            </w:pPr>
            <w:r w:rsidRPr="006C0789">
              <w:rPr>
                <w:b/>
                <w:i/>
                <w:sz w:val="18"/>
                <w:szCs w:val="18"/>
              </w:rPr>
              <w:t>Parameter</w:t>
            </w:r>
            <w:r w:rsidRPr="006C0789">
              <w:rPr>
                <w:i/>
                <w:sz w:val="18"/>
                <w:szCs w:val="18"/>
              </w:rPr>
              <w:t>: thermodynamic balance</w:t>
            </w:r>
            <w:r w:rsidRPr="006C0789">
              <w:rPr>
                <w:i/>
                <w:sz w:val="18"/>
                <w:szCs w:val="18"/>
              </w:rPr>
              <w:fldChar w:fldCharType="begin"/>
            </w:r>
            <w:r w:rsidR="005413B4">
              <w:rPr>
                <w:i/>
                <w:sz w:val="18"/>
                <w:szCs w:val="18"/>
              </w:rPr>
              <w:instrText xml:space="preserve"> ADDIN ZOTERO_ITEM CSL_CITATION {"citationID":"pszzTcWc","properties":{"formattedCitation":"\\super 236\\nosupersub{}","plainCitation":"236","noteIndex":0},"citationItems":[{"id":560,"uris":["http://zotero.org/users/6423791/items/7A7PJGNW"],"itemData":{"id":560,"type":"article-journal","abstract":"Meeting global food needs in the face of climate change and resource limitation requires innovative approaches to food production. Here, we explore incorporation of new dark food chains into human food systems, drawing inspiration from natural ecosystems, the history of single cell protein, and opportunities for new food production through wastewater treatment, microbial protein production, and aquaculture. The envisioned dark food chains rely upon chemoautotrophy in lieu of photosynthesis, with primary production based upon assimilation of CH4 and CO2 by methane- and hydrogenoxidizing bacteria. The stoichiometry, kinetics, and thermodynamics of these bacteria are evaluated, and opportunities for recycling of carbon, nitrogen, and water are explored. Because these processes do not require light delivery, high volumetric productivities are possible; because they are exothermic, heat is available for downstream protein processing; because the feedstock gases are cheap, existing pipeline infrastructure could facilitate low-cost energy-eﬃcient delivery in urban environments. Potential life-cycle beneﬁts include: a protein alternative to ﬁshmeal; partial decoupling of animal feed from human food; climate change mitigation due to decreased land use for agriculture; eﬃcient local cycling of carbon and nutrients that oﬀsets the need for energy-intensive fertilizers; and production of high value products, such as the prebiotic polyhydroxybutyrate.","container-title":"Environmental Science &amp; Technology","DOI":"10.1021/acs.est.8b04038","ISSN":"0013-936X, 1520-5851","issue":"5","journalAbbreviation":"Environ. Sci. Technol.","language":"English","page":"2273-2287","source":"DOI.org (Crossref)","title":"Engineering the Dark Food Chain","volume":"53","author":[{"family":"El Abbadi","given":"Sahar H."},{"family":"Criddle","given":"Craig S."}],"issued":{"date-parts":[["2019",3,5]]}}}],"schema":"https://github.com/citation-style-language/schema/raw/master/csl-citation.json"} </w:instrText>
            </w:r>
            <w:r w:rsidRPr="006C0789">
              <w:rPr>
                <w:i/>
                <w:sz w:val="18"/>
                <w:szCs w:val="18"/>
              </w:rPr>
              <w:fldChar w:fldCharType="separate"/>
            </w:r>
            <w:r w:rsidR="005413B4" w:rsidRPr="005413B4">
              <w:rPr>
                <w:rFonts w:ascii="Calibri" w:hAnsi="Calibri" w:cs="Calibri"/>
                <w:sz w:val="18"/>
                <w:szCs w:val="24"/>
                <w:vertAlign w:val="superscript"/>
              </w:rPr>
              <w:t>236</w:t>
            </w:r>
            <w:r w:rsidRPr="006C0789">
              <w:rPr>
                <w:i/>
                <w:sz w:val="18"/>
                <w:szCs w:val="18"/>
              </w:rPr>
              <w:fldChar w:fldCharType="end"/>
            </w:r>
            <w:r w:rsidRPr="006C0789">
              <w:rPr>
                <w:i/>
                <w:sz w:val="18"/>
                <w:szCs w:val="18"/>
              </w:rPr>
              <w:t>, range based on benchmark (</w:t>
            </w:r>
            <w:r w:rsidR="00F87563" w:rsidRPr="006C0789">
              <w:rPr>
                <w:b/>
                <w:i/>
                <w:sz w:val="18"/>
                <w:szCs w:val="18"/>
              </w:rPr>
              <w:fldChar w:fldCharType="begin"/>
            </w:r>
            <w:r w:rsidR="00F87563" w:rsidRPr="006C0789">
              <w:rPr>
                <w:b/>
                <w:i/>
                <w:sz w:val="18"/>
                <w:szCs w:val="18"/>
              </w:rPr>
              <w:instrText xml:space="preserve"> REF _Ref144822902 \h  \* MERGEFORMAT </w:instrText>
            </w:r>
            <w:r w:rsidR="00F87563" w:rsidRPr="006C0789">
              <w:rPr>
                <w:b/>
                <w:i/>
                <w:sz w:val="18"/>
                <w:szCs w:val="18"/>
              </w:rPr>
            </w:r>
            <w:r w:rsidR="00F87563" w:rsidRPr="006C0789">
              <w:rPr>
                <w:b/>
                <w:i/>
                <w:sz w:val="18"/>
                <w:szCs w:val="18"/>
              </w:rPr>
              <w:fldChar w:fldCharType="separate"/>
            </w:r>
            <w:r w:rsidR="00F25F8C" w:rsidRPr="006C0789">
              <w:rPr>
                <w:b/>
                <w:i/>
                <w:sz w:val="18"/>
                <w:szCs w:val="18"/>
              </w:rPr>
              <w:t xml:space="preserve">Table SI. </w:t>
            </w:r>
            <w:r w:rsidR="00F25F8C" w:rsidRPr="006C0789">
              <w:rPr>
                <w:b/>
                <w:i/>
                <w:noProof/>
                <w:sz w:val="18"/>
                <w:szCs w:val="18"/>
              </w:rPr>
              <w:t>55</w:t>
            </w:r>
            <w:r w:rsidR="00F87563" w:rsidRPr="006C0789">
              <w:rPr>
                <w:b/>
                <w:i/>
                <w:sz w:val="18"/>
                <w:szCs w:val="18"/>
              </w:rPr>
              <w:fldChar w:fldCharType="end"/>
            </w:r>
            <w:r w:rsidRPr="006C0789">
              <w:rPr>
                <w:i/>
                <w:sz w:val="18"/>
                <w:szCs w:val="18"/>
              </w:rPr>
              <w:t>)</w:t>
            </w:r>
          </w:p>
        </w:tc>
      </w:tr>
      <w:tr w:rsidR="003B1307" w:rsidRPr="006C0789" w14:paraId="6618A7E7"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03" w:type="dxa"/>
          </w:tcPr>
          <w:p w14:paraId="3580FC6C" w14:textId="77777777" w:rsidR="003B1307" w:rsidRPr="006C0789" w:rsidRDefault="003B1307" w:rsidP="003B1307">
            <w:pPr>
              <w:jc w:val="right"/>
              <w:rPr>
                <w:sz w:val="18"/>
                <w:szCs w:val="18"/>
              </w:rPr>
            </w:pPr>
            <w:r w:rsidRPr="006C0789">
              <w:rPr>
                <w:sz w:val="18"/>
                <w:szCs w:val="18"/>
              </w:rPr>
              <w:t>Metabolic heat equivalent</w:t>
            </w:r>
          </w:p>
        </w:tc>
        <w:tc>
          <w:tcPr>
            <w:tcW w:w="995" w:type="dxa"/>
          </w:tcPr>
          <w:p w14:paraId="30608172"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persons</w:t>
            </w:r>
          </w:p>
        </w:tc>
        <w:tc>
          <w:tcPr>
            <w:tcW w:w="0" w:type="auto"/>
          </w:tcPr>
          <w:p w14:paraId="0152AD76"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b/>
                <w:sz w:val="18"/>
                <w:szCs w:val="18"/>
              </w:rPr>
            </w:pPr>
            <w:r w:rsidRPr="006C0789">
              <w:rPr>
                <w:b/>
                <w:sz w:val="18"/>
                <w:szCs w:val="18"/>
              </w:rPr>
              <w:t>16,000</w:t>
            </w:r>
          </w:p>
        </w:tc>
        <w:tc>
          <w:tcPr>
            <w:tcW w:w="0" w:type="auto"/>
          </w:tcPr>
          <w:p w14:paraId="5BD54070"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n.a.</w:t>
            </w:r>
          </w:p>
        </w:tc>
        <w:tc>
          <w:tcPr>
            <w:tcW w:w="0" w:type="auto"/>
          </w:tcPr>
          <w:p w14:paraId="1F15E7DA"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b/>
                <w:sz w:val="18"/>
                <w:szCs w:val="18"/>
              </w:rPr>
            </w:pPr>
            <w:r w:rsidRPr="006C0789">
              <w:rPr>
                <w:b/>
                <w:sz w:val="18"/>
                <w:szCs w:val="18"/>
              </w:rPr>
              <w:t>9,500</w:t>
            </w:r>
          </w:p>
        </w:tc>
        <w:tc>
          <w:tcPr>
            <w:tcW w:w="716" w:type="dxa"/>
          </w:tcPr>
          <w:p w14:paraId="266C4900" w14:textId="77777777" w:rsidR="003B1307" w:rsidRPr="006C0789" w:rsidRDefault="003B1307" w:rsidP="003B1307">
            <w:pPr>
              <w:cnfStyle w:val="000000100000" w:firstRow="0" w:lastRow="0" w:firstColumn="0" w:lastColumn="0" w:oddVBand="0" w:evenVBand="0" w:oddHBand="1" w:evenHBand="0" w:firstRowFirstColumn="0" w:firstRowLastColumn="0" w:lastRowFirstColumn="0" w:lastRowLastColumn="0"/>
              <w:rPr>
                <w:sz w:val="18"/>
                <w:szCs w:val="18"/>
              </w:rPr>
            </w:pPr>
            <w:r w:rsidRPr="006C0789">
              <w:rPr>
                <w:sz w:val="18"/>
                <w:szCs w:val="18"/>
              </w:rPr>
              <w:t>n.a.</w:t>
            </w:r>
          </w:p>
        </w:tc>
        <w:tc>
          <w:tcPr>
            <w:tcW w:w="3827" w:type="dxa"/>
          </w:tcPr>
          <w:p w14:paraId="23393E52" w14:textId="77777777" w:rsidR="003B1307" w:rsidRPr="006C0789" w:rsidRDefault="003B1307" w:rsidP="00F87563">
            <w:pPr>
              <w:cnfStyle w:val="000000100000" w:firstRow="0" w:lastRow="0" w:firstColumn="0" w:lastColumn="0" w:oddVBand="0" w:evenVBand="0" w:oddHBand="1" w:evenHBand="0" w:firstRowFirstColumn="0" w:firstRowLastColumn="0" w:lastRowFirstColumn="0" w:lastRowLastColumn="0"/>
              <w:rPr>
                <w:i/>
                <w:sz w:val="18"/>
                <w:szCs w:val="18"/>
              </w:rPr>
            </w:pPr>
            <w:r w:rsidRPr="006C0789">
              <w:rPr>
                <w:b/>
                <w:i/>
                <w:sz w:val="18"/>
                <w:szCs w:val="18"/>
              </w:rPr>
              <w:t>Calculated</w:t>
            </w:r>
            <w:r w:rsidRPr="006C0789">
              <w:rPr>
                <w:i/>
                <w:sz w:val="18"/>
                <w:szCs w:val="18"/>
              </w:rPr>
              <w:t>: heat demand met</w:t>
            </w:r>
            <w:r w:rsidRPr="006C0789">
              <w:rPr>
                <w:i/>
                <w:sz w:val="18"/>
                <w:szCs w:val="18"/>
                <w:vertAlign w:val="superscript"/>
              </w:rPr>
              <w:t>**</w:t>
            </w:r>
          </w:p>
        </w:tc>
      </w:tr>
    </w:tbl>
    <w:p w14:paraId="5AEE3A22" w14:textId="6CA19A4A" w:rsidR="003B1307" w:rsidRPr="003F5DA8" w:rsidRDefault="003B1307" w:rsidP="00F87563">
      <w:pPr>
        <w:jc w:val="both"/>
      </w:pPr>
      <w:r w:rsidRPr="003F5DA8">
        <w:rPr>
          <w:sz w:val="18"/>
        </w:rPr>
        <w:t xml:space="preserve">Calculation developed with baseline values for technology parameters. </w:t>
      </w:r>
      <w:r w:rsidRPr="003F5DA8">
        <w:rPr>
          <w:sz w:val="18"/>
          <w:vertAlign w:val="superscript"/>
        </w:rPr>
        <w:t>*</w:t>
      </w:r>
      <w:r w:rsidRPr="003F5DA8">
        <w:rPr>
          <w:sz w:val="18"/>
        </w:rPr>
        <w:t>: S for “substrate”; CH</w:t>
      </w:r>
      <w:r w:rsidRPr="003F5DA8">
        <w:rPr>
          <w:sz w:val="18"/>
          <w:vertAlign w:val="subscript"/>
        </w:rPr>
        <w:t xml:space="preserve">4 </w:t>
      </w:r>
      <w:r w:rsidRPr="003F5DA8">
        <w:rPr>
          <w:sz w:val="18"/>
        </w:rPr>
        <w:t>for MOB and H</w:t>
      </w:r>
      <w:r w:rsidRPr="003F5DA8">
        <w:rPr>
          <w:sz w:val="18"/>
          <w:vertAlign w:val="subscript"/>
        </w:rPr>
        <w:t>2</w:t>
      </w:r>
      <w:r w:rsidRPr="003F5DA8">
        <w:rPr>
          <w:sz w:val="18"/>
        </w:rPr>
        <w:t xml:space="preserve"> for HOB</w:t>
      </w:r>
      <w:r w:rsidRPr="003F5DA8">
        <w:rPr>
          <w:sz w:val="18"/>
          <w:szCs w:val="18"/>
        </w:rPr>
        <w:t xml:space="preserve">. </w:t>
      </w:r>
      <w:r w:rsidRPr="003F5DA8">
        <w:rPr>
          <w:sz w:val="18"/>
          <w:szCs w:val="18"/>
          <w:vertAlign w:val="superscript"/>
        </w:rPr>
        <w:t>**</w:t>
      </w:r>
      <w:r w:rsidRPr="003F5DA8">
        <w:rPr>
          <w:sz w:val="18"/>
          <w:szCs w:val="18"/>
        </w:rPr>
        <w:t>: considering an average domestic/tertiary heating and hot water demand of 18000 MJh.per</w:t>
      </w:r>
      <w:r w:rsidRPr="003F5DA8">
        <w:rPr>
          <w:sz w:val="18"/>
          <w:szCs w:val="18"/>
          <w:vertAlign w:val="superscript"/>
        </w:rPr>
        <w:t>-1</w:t>
      </w:r>
      <w:r w:rsidRPr="003F5DA8">
        <w:rPr>
          <w:sz w:val="18"/>
          <w:szCs w:val="18"/>
        </w:rPr>
        <w:t>.y</w:t>
      </w:r>
      <w:r w:rsidRPr="003F5DA8">
        <w:rPr>
          <w:sz w:val="18"/>
          <w:szCs w:val="18"/>
          <w:vertAlign w:val="superscript"/>
        </w:rPr>
        <w:t>-1</w:t>
      </w:r>
      <w:r w:rsidRPr="003F5DA8">
        <w:rPr>
          <w:sz w:val="18"/>
          <w:szCs w:val="18"/>
        </w:rPr>
        <w:t xml:space="preserve"> in France (2020)</w:t>
      </w:r>
      <w:r w:rsidRPr="003F5DA8">
        <w:rPr>
          <w:sz w:val="18"/>
          <w:szCs w:val="18"/>
        </w:rPr>
        <w:fldChar w:fldCharType="begin"/>
      </w:r>
      <w:r w:rsidR="005413B4">
        <w:rPr>
          <w:sz w:val="18"/>
          <w:szCs w:val="18"/>
        </w:rPr>
        <w:instrText xml:space="preserve"> ADDIN ZOTERO_ITEM CSL_CITATION {"citationID":"mCz2AGAr","properties":{"formattedCitation":"\\super 251\\nosupersub{}","plainCitation":"251","noteIndex":0},"citationItems":[{"id":13210,"uris":["http://zotero.org/users/6423791/items/GICQBAN8"],"itemData":{"id":13210,"type":"webpage","abstract":"Des données sur la consommation d'énergie dans les logements depuis 1990 sont mises à disposition par le SDES. Ces données sont cohérentes avec les statistiques de consommation résidentielle du bilan de l'énergie.","container-title":"Données et études statistiques pour le changement climatique, l'énergie, l'environnement, le logement et les transports","language":"fr","title":"Consommation d'énergie par usage du résidentiel","URL":"https://www.statistiques.developpement-durable.gouv.fr/consommation-denergie-par-usage-du-residentiel","author":[{"literal":"Ministère de la Transition écologique et solidaire"}],"accessed":{"date-parts":[["2022",5,1]]},"issued":{"date-parts":[["2022"]]}}}],"schema":"https://github.com/citation-style-language/schema/raw/master/csl-citation.json"} </w:instrText>
      </w:r>
      <w:r w:rsidRPr="003F5DA8">
        <w:rPr>
          <w:sz w:val="18"/>
          <w:szCs w:val="18"/>
        </w:rPr>
        <w:fldChar w:fldCharType="separate"/>
      </w:r>
      <w:r w:rsidR="005413B4" w:rsidRPr="005413B4">
        <w:rPr>
          <w:rFonts w:ascii="Calibri" w:hAnsi="Calibri" w:cs="Calibri"/>
          <w:sz w:val="18"/>
          <w:szCs w:val="24"/>
          <w:vertAlign w:val="superscript"/>
        </w:rPr>
        <w:t>251</w:t>
      </w:r>
      <w:r w:rsidRPr="003F5DA8">
        <w:rPr>
          <w:sz w:val="18"/>
          <w:szCs w:val="18"/>
        </w:rPr>
        <w:fldChar w:fldCharType="end"/>
      </w:r>
      <w:r w:rsidRPr="003F5DA8">
        <w:rPr>
          <w:sz w:val="18"/>
          <w:szCs w:val="18"/>
        </w:rPr>
        <w:t>. Estimated based on a 9000 t.y</w:t>
      </w:r>
      <w:r w:rsidRPr="003F5DA8">
        <w:rPr>
          <w:sz w:val="18"/>
          <w:szCs w:val="18"/>
          <w:vertAlign w:val="superscript"/>
        </w:rPr>
        <w:t>-1</w:t>
      </w:r>
      <w:r w:rsidRPr="003F5DA8">
        <w:rPr>
          <w:sz w:val="18"/>
          <w:szCs w:val="18"/>
        </w:rPr>
        <w:t xml:space="preserve"> MP production plant.</w:t>
      </w:r>
    </w:p>
    <w:p w14:paraId="29061F15" w14:textId="2C6AE624" w:rsidR="006F3D27" w:rsidRDefault="00F87563" w:rsidP="003B1307">
      <w:pPr>
        <w:jc w:val="both"/>
      </w:pPr>
      <w:r w:rsidRPr="00F87563">
        <w:rPr>
          <w:b/>
        </w:rPr>
        <w:fldChar w:fldCharType="begin"/>
      </w:r>
      <w:r w:rsidRPr="00F87563">
        <w:rPr>
          <w:b/>
        </w:rPr>
        <w:instrText xml:space="preserve"> REF _Ref144828671 \h </w:instrText>
      </w:r>
      <w:r>
        <w:rPr>
          <w:b/>
        </w:rPr>
        <w:instrText xml:space="preserve"> \* MERGEFORMAT </w:instrText>
      </w:r>
      <w:r w:rsidRPr="00F87563">
        <w:rPr>
          <w:b/>
        </w:rPr>
      </w:r>
      <w:r w:rsidRPr="00F87563">
        <w:rPr>
          <w:b/>
        </w:rPr>
        <w:fldChar w:fldCharType="separate"/>
      </w:r>
      <w:r w:rsidR="00F25F8C" w:rsidRPr="00F25F8C">
        <w:rPr>
          <w:b/>
        </w:rPr>
        <w:t xml:space="preserve">Table SI. </w:t>
      </w:r>
      <w:r w:rsidR="00F25F8C" w:rsidRPr="00F25F8C">
        <w:rPr>
          <w:b/>
          <w:noProof/>
        </w:rPr>
        <w:t>72</w:t>
      </w:r>
      <w:r w:rsidRPr="00F87563">
        <w:rPr>
          <w:b/>
        </w:rPr>
        <w:fldChar w:fldCharType="end"/>
      </w:r>
      <w:r>
        <w:rPr>
          <w:b/>
        </w:rPr>
        <w:t xml:space="preserve"> </w:t>
      </w:r>
      <w:r w:rsidR="003B1307" w:rsidRPr="003F5DA8">
        <w:t xml:space="preserve">also shows that HOB displays a lower volumetric productivity compared to MOB. Therefore, HOB production is more CAPEX-intensive than MOB. It means that in the same bioreactor (assumed here), HOB production is ca. 2.5 times lower than MOB. From the growth parameters, the stoichiometric biomass growth equations were </w:t>
      </w:r>
      <w:r w:rsidR="003B1307" w:rsidRPr="003544BA">
        <w:t xml:space="preserve">derived. </w:t>
      </w:r>
      <w:r w:rsidRPr="00F87563">
        <w:rPr>
          <w:b/>
        </w:rPr>
        <w:fldChar w:fldCharType="begin"/>
      </w:r>
      <w:r w:rsidRPr="00F87563">
        <w:rPr>
          <w:b/>
        </w:rPr>
        <w:instrText xml:space="preserve"> REF _Ref144828798 \h </w:instrText>
      </w:r>
      <w:r>
        <w:rPr>
          <w:b/>
        </w:rPr>
        <w:instrText xml:space="preserve"> \* MERGEFORMAT </w:instrText>
      </w:r>
      <w:r w:rsidRPr="00F87563">
        <w:rPr>
          <w:b/>
        </w:rPr>
      </w:r>
      <w:r w:rsidRPr="00F87563">
        <w:rPr>
          <w:b/>
        </w:rPr>
        <w:fldChar w:fldCharType="separate"/>
      </w:r>
      <w:r w:rsidR="00F25F8C" w:rsidRPr="00F25F8C">
        <w:rPr>
          <w:b/>
        </w:rPr>
        <w:t xml:space="preserve">Equation </w:t>
      </w:r>
      <w:r w:rsidR="00F25F8C" w:rsidRPr="00F25F8C">
        <w:rPr>
          <w:b/>
          <w:noProof/>
        </w:rPr>
        <w:t>12</w:t>
      </w:r>
      <w:r w:rsidRPr="00F87563">
        <w:rPr>
          <w:b/>
        </w:rPr>
        <w:fldChar w:fldCharType="end"/>
      </w:r>
      <w:r w:rsidRPr="00F87563">
        <w:rPr>
          <w:b/>
        </w:rPr>
        <w:t xml:space="preserve"> </w:t>
      </w:r>
      <w:r>
        <w:t xml:space="preserve">and </w:t>
      </w:r>
      <w:r w:rsidRPr="00F87563">
        <w:rPr>
          <w:b/>
        </w:rPr>
        <w:fldChar w:fldCharType="begin"/>
      </w:r>
      <w:r w:rsidRPr="00F87563">
        <w:rPr>
          <w:b/>
        </w:rPr>
        <w:instrText xml:space="preserve"> REF _Ref144828802 \h </w:instrText>
      </w:r>
      <w:r>
        <w:rPr>
          <w:b/>
        </w:rPr>
        <w:instrText xml:space="preserve"> \* MERGEFORMAT </w:instrText>
      </w:r>
      <w:r w:rsidRPr="00F87563">
        <w:rPr>
          <w:b/>
        </w:rPr>
      </w:r>
      <w:r w:rsidRPr="00F87563">
        <w:rPr>
          <w:b/>
        </w:rPr>
        <w:fldChar w:fldCharType="separate"/>
      </w:r>
      <w:r w:rsidR="00F25F8C" w:rsidRPr="00F25F8C">
        <w:rPr>
          <w:b/>
        </w:rPr>
        <w:t xml:space="preserve">Equation </w:t>
      </w:r>
      <w:r w:rsidR="00F25F8C" w:rsidRPr="00F25F8C">
        <w:rPr>
          <w:b/>
          <w:noProof/>
        </w:rPr>
        <w:t>13</w:t>
      </w:r>
      <w:r w:rsidRPr="00F87563">
        <w:rPr>
          <w:b/>
        </w:rPr>
        <w:fldChar w:fldCharType="end"/>
      </w:r>
      <w:r>
        <w:t xml:space="preserve"> </w:t>
      </w:r>
      <w:r w:rsidR="003B1307" w:rsidRPr="003544BA">
        <w:t>display their</w:t>
      </w:r>
      <w:r w:rsidR="003B1307" w:rsidRPr="003F5DA8">
        <w:t xml:space="preserve"> baseline version (using </w:t>
      </w:r>
      <w:r>
        <w:t xml:space="preserve">baseline </w:t>
      </w:r>
      <w:r w:rsidR="003B1307" w:rsidRPr="003F5DA8">
        <w:t xml:space="preserve">values from </w:t>
      </w:r>
      <w:r w:rsidRPr="00F87563">
        <w:rPr>
          <w:b/>
        </w:rPr>
        <w:fldChar w:fldCharType="begin"/>
      </w:r>
      <w:r w:rsidRPr="00F87563">
        <w:rPr>
          <w:b/>
        </w:rPr>
        <w:instrText xml:space="preserve"> REF _Ref144828671 \h </w:instrText>
      </w:r>
      <w:r>
        <w:rPr>
          <w:b/>
        </w:rPr>
        <w:instrText xml:space="preserve"> \* MERGEFORMAT </w:instrText>
      </w:r>
      <w:r w:rsidRPr="00F87563">
        <w:rPr>
          <w:b/>
        </w:rPr>
      </w:r>
      <w:r w:rsidRPr="00F87563">
        <w:rPr>
          <w:b/>
        </w:rPr>
        <w:fldChar w:fldCharType="separate"/>
      </w:r>
      <w:r w:rsidR="00F25F8C" w:rsidRPr="00F25F8C">
        <w:rPr>
          <w:b/>
        </w:rPr>
        <w:t xml:space="preserve">Table SI. </w:t>
      </w:r>
      <w:r w:rsidR="00F25F8C" w:rsidRPr="00F25F8C">
        <w:rPr>
          <w:b/>
          <w:noProof/>
        </w:rPr>
        <w:t>72</w:t>
      </w:r>
      <w:r w:rsidRPr="00F87563">
        <w:rPr>
          <w:b/>
        </w:rPr>
        <w:fldChar w:fldCharType="end"/>
      </w:r>
      <w:r w:rsidR="003B1307" w:rsidRPr="003F5DA8">
        <w:t>), which are in line with the one used by El Abbadi and Criddle, 2019</w:t>
      </w:r>
      <w:r w:rsidR="003B1307" w:rsidRPr="003F5DA8">
        <w:fldChar w:fldCharType="begin"/>
      </w:r>
      <w:r w:rsidR="005413B4">
        <w:instrText xml:space="preserve"> ADDIN ZOTERO_ITEM CSL_CITATION {"citationID":"ySjo8M3J","properties":{"formattedCitation":"\\super 236\\nosupersub{}","plainCitation":"236","noteIndex":0},"citationItems":[{"id":560,"uris":["http://zotero.org/users/6423791/items/7A7PJGNW"],"itemData":{"id":560,"type":"article-journal","abstract":"Meeting global food needs in the face of climate change and resource limitation requires innovative approaches to food production. Here, we explore incorporation of new dark food chains into human food systems, drawing inspiration from natural ecosystems, the history of single cell protein, and opportunities for new food production through wastewater treatment, microbial protein production, and aquaculture. The envisioned dark food chains rely upon chemoautotrophy in lieu of photosynthesis, with primary production based upon assimilation of CH4 and CO2 by methane- and hydrogenoxidizing bacteria. The stoichiometry, kinetics, and thermodynamics of these bacteria are evaluated, and opportunities for recycling of carbon, nitrogen, and water are explored. Because these processes do not require light delivery, high volumetric productivities are possible; because they are exothermic, heat is available for downstream protein processing; because the feedstock gases are cheap, existing pipeline infrastructure could facilitate low-cost energy-eﬃcient delivery in urban environments. Potential life-cycle beneﬁts include: a protein alternative to ﬁshmeal; partial decoupling of animal feed from human food; climate change mitigation due to decreased land use for agriculture; eﬃcient local cycling of carbon and nutrients that oﬀsets the need for energy-intensive fertilizers; and production of high value products, such as the prebiotic polyhydroxybutyrate.","container-title":"Environmental Science &amp; Technology","DOI":"10.1021/acs.est.8b04038","ISSN":"0013-936X, 1520-5851","issue":"5","journalAbbreviation":"Environ. Sci. Technol.","language":"English","page":"2273-2287","source":"DOI.org (Crossref)","title":"Engineering the Dark Food Chain","volume":"53","author":[{"family":"El Abbadi","given":"Sahar H."},{"family":"Criddle","given":"Craig S."}],"issued":{"date-parts":[["2019",3,5]]}}}],"schema":"https://github.com/citation-style-language/schema/raw/master/csl-citation.json"} </w:instrText>
      </w:r>
      <w:r w:rsidR="003B1307" w:rsidRPr="003F5DA8">
        <w:fldChar w:fldCharType="separate"/>
      </w:r>
      <w:r w:rsidR="005413B4" w:rsidRPr="005413B4">
        <w:rPr>
          <w:rFonts w:ascii="Calibri" w:hAnsi="Calibri" w:cs="Calibri"/>
          <w:szCs w:val="24"/>
          <w:vertAlign w:val="superscript"/>
        </w:rPr>
        <w:t>236</w:t>
      </w:r>
      <w:r w:rsidR="003B1307" w:rsidRPr="003F5DA8">
        <w:fldChar w:fldCharType="end"/>
      </w:r>
      <w:r w:rsidR="003B1307" w:rsidRPr="003F5DA8">
        <w:t xml:space="preserve"> and García Martínez et al., 2021</w:t>
      </w:r>
      <w:r w:rsidR="003B1307" w:rsidRPr="003F5DA8">
        <w:fldChar w:fldCharType="begin"/>
      </w:r>
      <w:r w:rsidR="005413B4">
        <w:instrText xml:space="preserve"> ADDIN ZOTERO_ITEM CSL_CITATION {"citationID":"xTa92Y2s","properties":{"formattedCitation":"\\super 197\\nosupersub{}","plainCitation":"197","noteIndex":0},"citationItems":[{"id":2363,"uris":["http://zotero.org/users/6423791/items/RHD6WXUH"],"itemData":{"id":2363,"type":"article-journal","abstract":"Human civilization's food production system is currently unprepared for catastrophes that would reduce global food production by 10% or more, such as nuclear winter, supervolcanic eruptions or asteroid impacts. Alternative foods that do not require much or any sunlight have been proposed as a more cost-effective solution than increasing food stockpiles, given the long duration of many global catastrophic risks (GCRs) that could hamper conventional agriculture for 5 to 10 years. Microbial food from single cell protein (SCP) produced via hydrogen from both gasification and electrolysis is analyzed in this study as alternative food for the most severe food shock scenario: a sun-blocking catastrophe. Capital costs, resource requirements and ramp up rates are quantified to determine its viability. Potential bottlenecks to fast deployment of the technology are reviewed. The ramp up speed of food production for 24/7 construction of the facilities over 6 years is estimated to be lower than other alternatives (3-10% of the global protein requirements could be fulfilled at end of first year), but the nutritional quality of the microbial protein is higher than for most other alternative foods for catastrophes. Results suggest that investment in SCP ramp up should be limited to the production capacity that is needed to fulfill only the minimum recommended protein requirements of humanity during the catastrophe. Further research is needed into more uncertain concerns such as transferability of labor and equipment production. This could help reduce the negative impact of potential food-related GCRs.","container-title":"Sustainable Production and Consumption","DOI":"10.1016/j.spc.2020.08.011","ISSN":"2352-5509","journalAbbreviation":"Sustain. Prod. Consum.","language":"en","page":"234-247","source":"ScienceDirect","title":"Potential of microbial protein from hydrogen for preventing mass starvation in catastrophic scenarios","volume":"25","author":[{"family":"García Martínez","given":"Juan B."},{"family":"Egbejimba","given":"Joseph"},{"family":"Throup","given":"James"},{"family":"Matassa","given":"Silvio"},{"family":"Pearce","given":"Joshua M."},{"family":"Denkenberger","given":"David C."}],"issued":{"date-parts":[["2021",1,1]]}}}],"schema":"https://github.com/citation-style-language/schema/raw/master/csl-citation.json"} </w:instrText>
      </w:r>
      <w:r w:rsidR="003B1307" w:rsidRPr="003F5DA8">
        <w:fldChar w:fldCharType="separate"/>
      </w:r>
      <w:r w:rsidR="005413B4" w:rsidRPr="005413B4">
        <w:rPr>
          <w:rFonts w:ascii="Calibri" w:hAnsi="Calibri" w:cs="Calibri"/>
          <w:szCs w:val="24"/>
          <w:vertAlign w:val="superscript"/>
        </w:rPr>
        <w:t>197</w:t>
      </w:r>
      <w:r w:rsidR="003B1307" w:rsidRPr="003F5DA8">
        <w:fldChar w:fldCharType="end"/>
      </w:r>
      <w:r w:rsidR="003B1307" w:rsidRPr="003F5DA8">
        <w:t>.</w:t>
      </w:r>
    </w:p>
    <w:p w14:paraId="572ED84C" w14:textId="77777777" w:rsidR="006F3D27" w:rsidRDefault="006F3D27">
      <w:r>
        <w:br w:type="page"/>
      </w:r>
    </w:p>
    <w:p w14:paraId="6AE338A7" w14:textId="34E73CB4" w:rsidR="003B1307" w:rsidRDefault="00874128" w:rsidP="00942782">
      <w:pPr>
        <w:pStyle w:val="Lgende"/>
        <w:jc w:val="left"/>
        <w:rPr>
          <w:b w:val="0"/>
        </w:rPr>
      </w:pPr>
      <w:bookmarkStart w:id="309" w:name="_Ref144828798"/>
      <w:r>
        <w:lastRenderedPageBreak/>
        <w:t>Equation</w:t>
      </w:r>
      <w:r w:rsidR="003B1307">
        <w:t xml:space="preserve"> </w:t>
      </w:r>
      <w:r>
        <w:fldChar w:fldCharType="begin"/>
      </w:r>
      <w:r>
        <w:instrText xml:space="preserve"> SEQ Equation \* ARABIC </w:instrText>
      </w:r>
      <w:r>
        <w:fldChar w:fldCharType="separate"/>
      </w:r>
      <w:r w:rsidR="00F25F8C">
        <w:rPr>
          <w:noProof/>
        </w:rPr>
        <w:t>12</w:t>
      </w:r>
      <w:r>
        <w:fldChar w:fldCharType="end"/>
      </w:r>
      <w:bookmarkEnd w:id="309"/>
    </w:p>
    <w:p w14:paraId="2A014698" w14:textId="77777777" w:rsidR="003B1307" w:rsidRPr="00415E4C" w:rsidRDefault="003B1307" w:rsidP="00942782">
      <w:pPr>
        <w:rPr>
          <w:sz w:val="20"/>
        </w:rPr>
      </w:pPr>
      <w:r w:rsidRPr="00415E4C">
        <w:rPr>
          <w:b/>
          <w:sz w:val="20"/>
        </w:rPr>
        <w:t>MOB, baseline value</w:t>
      </w:r>
    </w:p>
    <w:p w14:paraId="0DFE0CAA" w14:textId="77777777" w:rsidR="003B1307" w:rsidRPr="00942782" w:rsidRDefault="00827449" w:rsidP="00942782">
      <w:pPr>
        <w:rPr>
          <w:rFonts w:eastAsiaTheme="minorEastAsia"/>
        </w:rPr>
      </w:pPr>
      <m:oMathPara>
        <m:oMathParaPr>
          <m:jc m:val="left"/>
        </m:oMathParaPr>
        <m:oMath>
          <m:sSub>
            <m:sSubPr>
              <m:ctrlPr>
                <w:rPr>
                  <w:rFonts w:ascii="Cambria Math" w:hAnsi="Cambria Math"/>
                  <w:i/>
                </w:rPr>
              </m:ctrlPr>
            </m:sSubPr>
            <m:e>
              <m:r>
                <w:rPr>
                  <w:rFonts w:ascii="Cambria Math" w:hAnsi="Cambria Math"/>
                </w:rPr>
                <m:t>CH</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1.5O</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0.1NH</m:t>
              </m:r>
            </m:e>
            <m:sub>
              <m:r>
                <w:rPr>
                  <w:rFonts w:ascii="Cambria Math" w:hAnsi="Cambria Math"/>
                </w:rPr>
                <m:t>3</m:t>
              </m:r>
            </m:sub>
          </m:sSub>
          <m:r>
            <w:rPr>
              <w:rFonts w:ascii="Cambria Math" w:hAnsi="Cambria Math"/>
            </w:rPr>
            <m:t>=0.1X+</m:t>
          </m:r>
          <m:sSub>
            <m:sSubPr>
              <m:ctrlPr>
                <w:rPr>
                  <w:rFonts w:ascii="Cambria Math" w:hAnsi="Cambria Math"/>
                  <w:i/>
                </w:rPr>
              </m:ctrlPr>
            </m:sSubPr>
            <m:e>
              <m:r>
                <w:rPr>
                  <w:rFonts w:ascii="Cambria Math" w:hAnsi="Cambria Math"/>
                </w:rPr>
                <m:t>0.5CO</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1.8H</m:t>
              </m:r>
            </m:e>
            <m:sub>
              <m:r>
                <w:rPr>
                  <w:rFonts w:ascii="Cambria Math" w:hAnsi="Cambria Math"/>
                </w:rPr>
                <m:t>2</m:t>
              </m:r>
            </m:sub>
          </m:sSub>
          <m:r>
            <w:rPr>
              <w:rFonts w:ascii="Cambria Math" w:hAnsi="Cambria Math"/>
            </w:rPr>
            <m:t>O</m:t>
          </m:r>
        </m:oMath>
      </m:oMathPara>
    </w:p>
    <w:p w14:paraId="21D03627" w14:textId="0B847009" w:rsidR="003B1307" w:rsidRDefault="00874128" w:rsidP="00942782">
      <w:pPr>
        <w:pStyle w:val="Lgende"/>
        <w:jc w:val="left"/>
        <w:rPr>
          <w:b w:val="0"/>
        </w:rPr>
      </w:pPr>
      <w:bookmarkStart w:id="310" w:name="_Ref144828802"/>
      <w:r>
        <w:t>Equation</w:t>
      </w:r>
      <w:r w:rsidR="003B1307">
        <w:t xml:space="preserve"> </w:t>
      </w:r>
      <w:r>
        <w:fldChar w:fldCharType="begin"/>
      </w:r>
      <w:r>
        <w:instrText xml:space="preserve"> SEQ Equation \* ARABIC </w:instrText>
      </w:r>
      <w:r>
        <w:fldChar w:fldCharType="separate"/>
      </w:r>
      <w:r w:rsidR="00F25F8C">
        <w:rPr>
          <w:noProof/>
        </w:rPr>
        <w:t>13</w:t>
      </w:r>
      <w:r>
        <w:fldChar w:fldCharType="end"/>
      </w:r>
      <w:bookmarkEnd w:id="310"/>
    </w:p>
    <w:p w14:paraId="4BBA3867" w14:textId="77777777" w:rsidR="003B1307" w:rsidRPr="00415E4C" w:rsidRDefault="003B1307" w:rsidP="00942782">
      <w:pPr>
        <w:rPr>
          <w:sz w:val="20"/>
        </w:rPr>
      </w:pPr>
      <w:r w:rsidRPr="00415E4C">
        <w:rPr>
          <w:b/>
          <w:sz w:val="20"/>
        </w:rPr>
        <w:t>HOB, baseline value</w:t>
      </w:r>
    </w:p>
    <w:p w14:paraId="4212B723" w14:textId="77777777" w:rsidR="003B1307" w:rsidRPr="00942782" w:rsidRDefault="00827449" w:rsidP="00942782">
      <m:oMathPara>
        <m:oMathParaPr>
          <m:jc m:val="left"/>
        </m:oMathParaP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0.24O</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0.05NH</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0.26CO</m:t>
              </m:r>
            </m:e>
            <m:sub>
              <m:r>
                <w:rPr>
                  <w:rFonts w:ascii="Cambria Math" w:hAnsi="Cambria Math"/>
                </w:rPr>
                <m:t>2</m:t>
              </m:r>
            </m:sub>
          </m:sSub>
          <m:r>
            <w:rPr>
              <w:rFonts w:ascii="Cambria Math" w:hAnsi="Cambria Math"/>
            </w:rPr>
            <m:t>=0.05X+</m:t>
          </m:r>
          <m:sSub>
            <m:sSubPr>
              <m:ctrlPr>
                <w:rPr>
                  <w:rFonts w:ascii="Cambria Math" w:hAnsi="Cambria Math"/>
                  <w:i/>
                </w:rPr>
              </m:ctrlPr>
            </m:sSubPr>
            <m:e>
              <m:r>
                <w:rPr>
                  <w:rFonts w:ascii="Cambria Math" w:hAnsi="Cambria Math"/>
                </w:rPr>
                <m:t>0.9H</m:t>
              </m:r>
            </m:e>
            <m:sub>
              <m:r>
                <w:rPr>
                  <w:rFonts w:ascii="Cambria Math" w:hAnsi="Cambria Math"/>
                </w:rPr>
                <m:t>2</m:t>
              </m:r>
            </m:sub>
          </m:sSub>
          <m:r>
            <w:rPr>
              <w:rFonts w:ascii="Cambria Math" w:hAnsi="Cambria Math"/>
            </w:rPr>
            <m:t>O</m:t>
          </m:r>
        </m:oMath>
      </m:oMathPara>
    </w:p>
    <w:p w14:paraId="63088CE2" w14:textId="624D1D76" w:rsidR="003B1307" w:rsidRPr="003544BA" w:rsidRDefault="003B1307" w:rsidP="00942782">
      <w:pPr>
        <w:rPr>
          <w:sz w:val="18"/>
        </w:rPr>
      </w:pPr>
      <w:r w:rsidRPr="003544BA">
        <w:rPr>
          <w:sz w:val="18"/>
        </w:rPr>
        <w:t>With X: C</w:t>
      </w:r>
      <w:r w:rsidRPr="003544BA">
        <w:rPr>
          <w:sz w:val="18"/>
          <w:vertAlign w:val="subscript"/>
        </w:rPr>
        <w:t>5</w:t>
      </w:r>
      <w:r w:rsidRPr="003544BA">
        <w:rPr>
          <w:sz w:val="18"/>
        </w:rPr>
        <w:t>O</w:t>
      </w:r>
      <w:r w:rsidRPr="003544BA">
        <w:rPr>
          <w:sz w:val="18"/>
          <w:vertAlign w:val="subscript"/>
        </w:rPr>
        <w:t>2</w:t>
      </w:r>
      <w:r w:rsidRPr="003544BA">
        <w:rPr>
          <w:sz w:val="18"/>
        </w:rPr>
        <w:t>H</w:t>
      </w:r>
      <w:r w:rsidRPr="003544BA">
        <w:rPr>
          <w:sz w:val="18"/>
          <w:vertAlign w:val="subscript"/>
        </w:rPr>
        <w:t>7</w:t>
      </w:r>
      <w:r w:rsidRPr="003544BA">
        <w:rPr>
          <w:sz w:val="18"/>
        </w:rPr>
        <w:t>N being the fixed microbial biomass composition (ash-fre</w:t>
      </w:r>
      <w:r w:rsidRPr="002F7540">
        <w:rPr>
          <w:sz w:val="18"/>
        </w:rPr>
        <w:t>e)</w:t>
      </w:r>
      <w:r w:rsidR="002F7540" w:rsidRPr="002F7540">
        <w:rPr>
          <w:sz w:val="18"/>
        </w:rPr>
        <w:fldChar w:fldCharType="begin"/>
      </w:r>
      <w:r w:rsidR="005413B4">
        <w:rPr>
          <w:sz w:val="18"/>
        </w:rPr>
        <w:instrText xml:space="preserve"> ADDIN ZOTERO_ITEM CSL_CITATION {"citationID":"a2pd2ikf1cv","properties":{"formattedCitation":"\\super 236\\nosupersub{}","plainCitation":"236","noteIndex":0},"citationItems":[{"id":560,"uris":["http://zotero.org/users/6423791/items/7A7PJGNW"],"itemData":{"id":560,"type":"article-journal","abstract":"Meeting global food needs in the face of climate change and resource limitation requires innovative approaches to food production. Here, we explore incorporation of new dark food chains into human food systems, drawing inspiration from natural ecosystems, the history of single cell protein, and opportunities for new food production through wastewater treatment, microbial protein production, and aquaculture. The envisioned dark food chains rely upon chemoautotrophy in lieu of photosynthesis, with primary production based upon assimilation of CH4 and CO2 by methane- and hydrogenoxidizing bacteria. The stoichiometry, kinetics, and thermodynamics of these bacteria are evaluated, and opportunities for recycling of carbon, nitrogen, and water are explored. Because these processes do not require light delivery, high volumetric productivities are possible; because they are exothermic, heat is available for downstream protein processing; because the feedstock gases are cheap, existing pipeline infrastructure could facilitate low-cost energy-eﬃcient delivery in urban environments. Potential life-cycle beneﬁts include: a protein alternative to ﬁshmeal; partial decoupling of animal feed from human food; climate change mitigation due to decreased land use for agriculture; eﬃcient local cycling of carbon and nutrients that oﬀsets the need for energy-intensive fertilizers; and production of high value products, such as the prebiotic polyhydroxybutyrate.","container-title":"Environmental Science &amp; Technology","DOI":"10.1021/acs.est.8b04038","ISSN":"0013-936X, 1520-5851","issue":"5","journalAbbreviation":"Environ. Sci. Technol.","language":"English","page":"2273-2287","source":"DOI.org (Crossref)","title":"Engineering the Dark Food Chain","volume":"53","author":[{"family":"El Abbadi","given":"Sahar H."},{"family":"Criddle","given":"Craig S."}],"issued":{"date-parts":[["2019",3,5]]}}}],"schema":"https://github.com/citation-style-language/schema/raw/master/csl-citation.json"} </w:instrText>
      </w:r>
      <w:r w:rsidR="002F7540" w:rsidRPr="002F7540">
        <w:rPr>
          <w:sz w:val="18"/>
        </w:rPr>
        <w:fldChar w:fldCharType="separate"/>
      </w:r>
      <w:r w:rsidR="005413B4" w:rsidRPr="005413B4">
        <w:rPr>
          <w:rFonts w:ascii="Calibri" w:hAnsi="Calibri" w:cs="Calibri"/>
          <w:sz w:val="18"/>
          <w:szCs w:val="24"/>
          <w:vertAlign w:val="superscript"/>
        </w:rPr>
        <w:t>236</w:t>
      </w:r>
      <w:r w:rsidR="002F7540" w:rsidRPr="002F7540">
        <w:rPr>
          <w:sz w:val="18"/>
        </w:rPr>
        <w:fldChar w:fldCharType="end"/>
      </w:r>
      <w:r w:rsidRPr="002F7540">
        <w:rPr>
          <w:sz w:val="18"/>
        </w:rPr>
        <w:t>.</w:t>
      </w:r>
    </w:p>
    <w:p w14:paraId="30DFBA22" w14:textId="42EF2F7A" w:rsidR="000B1555" w:rsidRPr="008F2922" w:rsidRDefault="003B1307" w:rsidP="000B1555">
      <w:pPr>
        <w:jc w:val="both"/>
      </w:pPr>
      <w:r w:rsidRPr="003F5DA8">
        <w:t xml:space="preserve">It is important to note that the variability of used stoichiometric equations to model microbial growth was higher (primary sources more diverse) for HOB than for MOB in reviewed literature </w:t>
      </w:r>
      <w:r w:rsidRPr="003544BA">
        <w:t>(see</w:t>
      </w:r>
      <w:r w:rsidR="006F3D27">
        <w:rPr>
          <w:b/>
          <w:highlight w:val="yellow"/>
        </w:rPr>
        <w:t xml:space="preserve"> </w:t>
      </w:r>
      <w:r w:rsidR="006F3D27" w:rsidRPr="006F3D27">
        <w:rPr>
          <w:i/>
        </w:rPr>
        <w:t>B.MP_module spreadsheet</w:t>
      </w:r>
      <w:r w:rsidRPr="003544BA">
        <w:t>). Albeit some MOB are reported to also use CO</w:t>
      </w:r>
      <w:r w:rsidRPr="003544BA">
        <w:rPr>
          <w:vertAlign w:val="subscript"/>
        </w:rPr>
        <w:t>2</w:t>
      </w:r>
      <w:r w:rsidRPr="003544BA">
        <w:t xml:space="preserve"> as a carbon source along with CH</w:t>
      </w:r>
      <w:r w:rsidRPr="003544BA">
        <w:rPr>
          <w:vertAlign w:val="subscript"/>
        </w:rPr>
        <w:t>4</w:t>
      </w:r>
      <w:r w:rsidRPr="003544BA">
        <w:t xml:space="preserve"> </w:t>
      </w:r>
      <w:r w:rsidRPr="003544BA">
        <w:fldChar w:fldCharType="begin"/>
      </w:r>
      <w:r w:rsidR="008C451C">
        <w:instrText xml:space="preserve"> ADDIN ZOTERO_ITEM CSL_CITATION {"citationID":"AkNFEOkm","properties":{"formattedCitation":"\\super 40\\nosupersub{}","plainCitation":"40","noteIndex":0},"citationItems":[{"id":12853,"uris":["http://zotero.org/users/6423791/items/NHUWJREK"],"itemData":{"id":12853,"type":"article-journal","abstract":"Methane emitted and flared from industrial sources across the United States is a major contributor to global climate change. Methanotrophic bacteria can transform this methane into useful protein-rich biomass, already approved for inclusion into animal feed. In the rapidly growing aquaculture industry, methanotrophic additives have a favourable amino acid profile and can offset ocean-caught fishmeal, reducing demands on over-harvested fisheries. Here we analyse the economic potential of producing methanotrophic microbial protein from stranded methane produced at wastewater treatment plants, landfills, and oil and gas facilities. Our results show that current technology can enable production, in the United States alone, equivalent to 14% of the global fishmeal market at prices at or below the current cost of fishmeal (roughly US$1,600 per metric ton). A sensitivity analysis highlights technically and economically feasible cost reductions (such as reduced cooling or labour requirements), which could allow stranded methane from the United States alone to satisfy global fishmeal demand.","container-title":"Nature Sustainability","DOI":"10.1038/s41893-021-00796-2","ISSN":"2398-9629","journalAbbreviation":"Nat. Sustain.","language":"en","license":"2021 The Author(s), under exclusive licence to Springer Nature Limited","note":"Bandiera_abtest: a\nCg_type: Nature Research Journals\nPrimary_atype: Research\npublisher: Nature Publishing Group\nSubject_term: Environmental biotechnology;Environmental economics\nSubject_term_id: environmental-biotechnology;environmental-economics","page":"1-10","source":"www.nature.com","title":"Displacing fishmeal with protein derived from stranded methane","author":[{"family":"El Abbadi","given":"Sahar H."},{"family":"Sherwin","given":"Evan D."},{"family":"Brandt","given":"Adam R."},{"family":"Luby","given":"Stephen P."},{"family":"Criddle","given":"Craig S."}],"issued":{"date-parts":[["2021",11,22]]}}}],"schema":"https://github.com/citation-style-language/schema/raw/master/csl-citation.json"} </w:instrText>
      </w:r>
      <w:r w:rsidRPr="003544BA">
        <w:fldChar w:fldCharType="separate"/>
      </w:r>
      <w:r w:rsidR="008C451C" w:rsidRPr="008C451C">
        <w:rPr>
          <w:rFonts w:ascii="Calibri" w:hAnsi="Calibri" w:cs="Calibri"/>
          <w:szCs w:val="24"/>
          <w:vertAlign w:val="superscript"/>
        </w:rPr>
        <w:t>40</w:t>
      </w:r>
      <w:r w:rsidRPr="003544BA">
        <w:fldChar w:fldCharType="end"/>
      </w:r>
      <w:r w:rsidRPr="003544BA">
        <w:t>, this option was not contemplated in this model.</w:t>
      </w:r>
      <w:r w:rsidR="000B1555">
        <w:t xml:space="preserve"> Here, the</w:t>
      </w:r>
      <w:r w:rsidR="000B1555" w:rsidRPr="008F2922">
        <w:t xml:space="preserve"> proposed MP LCI model builds on the outputs of AD and GA </w:t>
      </w:r>
      <w:r w:rsidR="000B1555">
        <w:t xml:space="preserve">LCI </w:t>
      </w:r>
      <w:r w:rsidR="000B1555" w:rsidRPr="008F2922">
        <w:t>models, which supply a carbon- and energy-containing gas mix (CH</w:t>
      </w:r>
      <w:r w:rsidR="000B1555" w:rsidRPr="008F2922">
        <w:rPr>
          <w:vertAlign w:val="subscript"/>
        </w:rPr>
        <w:t>4</w:t>
      </w:r>
      <w:r w:rsidR="000B1555" w:rsidRPr="008F2922">
        <w:t>, CO</w:t>
      </w:r>
      <w:r w:rsidR="000B1555" w:rsidRPr="008F2922">
        <w:rPr>
          <w:vertAlign w:val="subscript"/>
        </w:rPr>
        <w:t>2</w:t>
      </w:r>
      <w:r w:rsidR="000B1555" w:rsidRPr="008F2922">
        <w:t>, H</w:t>
      </w:r>
      <w:r w:rsidR="000B1555" w:rsidRPr="008F2922">
        <w:rPr>
          <w:vertAlign w:val="subscript"/>
        </w:rPr>
        <w:t>2</w:t>
      </w:r>
      <w:r w:rsidR="000B1555" w:rsidRPr="008F2922">
        <w:t>, CO, N</w:t>
      </w:r>
      <w:r w:rsidR="000B1555" w:rsidRPr="008F2922">
        <w:rPr>
          <w:vertAlign w:val="subscript"/>
        </w:rPr>
        <w:t>2</w:t>
      </w:r>
      <w:r w:rsidR="000B1555" w:rsidRPr="008F2922">
        <w:t xml:space="preserve">) which is trace gases- and contaminants-free (removed during cleaning operations). </w:t>
      </w:r>
      <w:r w:rsidR="000B1555">
        <w:t>This is because these effects</w:t>
      </w:r>
      <w:r w:rsidR="000B1555" w:rsidRPr="008F2922">
        <w:t xml:space="preserve"> inhibit microbial growth (e.g. if H</w:t>
      </w:r>
      <w:r w:rsidR="000B1555" w:rsidRPr="008F2922">
        <w:rPr>
          <w:vertAlign w:val="subscript"/>
        </w:rPr>
        <w:t>2</w:t>
      </w:r>
      <w:r w:rsidR="000B1555" w:rsidRPr="008F2922">
        <w:t>S &gt; 1000 ppm in biogas</w:t>
      </w:r>
      <w:r w:rsidR="000B1555" w:rsidRPr="008F2922">
        <w:fldChar w:fldCharType="begin"/>
      </w:r>
      <w:r w:rsidR="000B1555" w:rsidRPr="008F2922">
        <w:instrText xml:space="preserve"> ADDIN ZOTERO_ITEM CSL_CITATION {"citationID":"OfrziRUp","properties":{"formattedCitation":"(El Abbadi, 2021; Xu et al., 2020)","plainCitation":"(El Abbadi, 2021; Xu et al., 2020)","dontUpdate":true,"noteIndex":0},"citationItems":[{"id":12428,"uris":["http://zotero.org/users/6423791/items/6T57THSK"],"itemData":{"id":12428,"type":"thesis","number-of-pages":"149","publisher":"Standford University","title":"Engineering the Dark Food Chain:the Role of Methanotrophic Bacteria Infood Production and Climate Change Mitigation","URL":"https://stacks.stanford.edu/file/druid:bg967bh2013/ElAbbadi_dissertation_2021-07-19-augmented.pdf","author":[{"family":"El Abbadi","given":"Sahar H."}],"accessed":{"date-parts":[["2021",11,30]]},"issued":{"date-parts":[["2021",7]]}}},{"id":11092,"uris":["http://zotero.org/users/6423791/items/5IMQRN9X"],"itemData":{"id":11092,"type":"article-journal","abstract":"Methane-oxidizing bacteria (MOB) that can use biogas and recycled nitrogen from wastewater as a sustainable feedstock for single cell protein (SCP) synthesis are receiving increasing attention. Though promising, limited knowledge is available on the alternative strains especially the ones that can tolerant to strict environments such as acidic conditions. Furthermore, how would the hydrogen sulfide affect the MOB (especially the alternative strains) for SCP synthesis when crude biogas is used as feedstock is still unknown. In this study, the capability of an acidic-tolerant methanotrophic bacterium Methylocapsa acidiphila for SCP production using raw biogas and the associated inhibitory effect of sulfide on the bioconversion was for the first time investigated. Results showed that the inhibitory effect of sulfide on the growth of M. acidiphila was observed starting from 8.13 mg L−1 Na2S (equivalent to approximately 1000 ppm of H2S in crude biogas). The total amino acid content in the dry biomass decreased more than two times due to sulfide inhibition compared with the control samples without the presence of sulfide (585.96 mg/g dry biomass), while the proportion of essential amino acids in the total amino acid was not affected when the concentration of Na2S was lower than 5.73 mg L−1. The performance of M. acidiphila in a sulfide-rich environment was further studied at different operational conditions. The feeding gas with a CH4/O2 ratio of 6:4 could help to alleviate the sulfide inhibition, compared with other ratios (4:6 and 8:2). Moreover, the sequential supply of the feed gas could also alleviate sulfide inhibition. In addition, the MOB’s growth rate was higher when applying a higher mixing rate of 120 rpm, compared with 70 rpm and 0, due to a better gas-liquid mass transfer. The inoculum size of 20% and 10% resulted in a faster growth rate compared with the 5%. Furthermore, M. acidiphila could assimilate either NH4+ or NO3− as nitrogen source with a similar growth rate, giving it the potential to recycle nitrogen from a wide range of wastewaters. The results will not only create new knowledge for better understanding the role of hydrogen sulfide in the assimilation of raw biogas by acid-tolerant M. acidiphila but also provide technical insights into the development of an efficient and robust process for the waste-to-protein conversion.","container-title":"Water Research","DOI":"10.1016/j.watres.2020.116138","ISSN":"0043-1354","journalAbbreviation":"Water Res.","language":"en","page":"116138","source":"ScienceDirect","title":"Sulfide restrains the growth of Methylocapsa acidiphila converting renewable biogas to single cell protein","volume":"184","author":[{"family":"Xu","given":"Mingyi"},{"family":"Zhou","given":"Huihui"},{"family":"Yang","given":"Xiaoyong"},{"family":"Angelidaki","given":"Irini"},{"family":"Zhang","given":"Yifeng"}],"issued":{"date-parts":[["2020",10,1]]}}}],"schema":"https://github.com/citation-style-language/schema/raw/master/csl-citation.json"} </w:instrText>
      </w:r>
      <w:r w:rsidR="000B1555" w:rsidRPr="008F2922">
        <w:fldChar w:fldCharType="separate"/>
      </w:r>
      <w:r w:rsidR="000B1555" w:rsidRPr="008F2922">
        <w:rPr>
          <w:rFonts w:ascii="Calibri" w:hAnsi="Calibri" w:cs="Calibri"/>
        </w:rPr>
        <w:t>; El Abbadi, 2021; Xu et al., 2020)</w:t>
      </w:r>
      <w:r w:rsidR="000B1555" w:rsidRPr="008F2922">
        <w:fldChar w:fldCharType="end"/>
      </w:r>
      <w:r w:rsidR="000B1555" w:rsidRPr="008F2922">
        <w:t xml:space="preserve"> and are considered incompatibles with nutritional applications </w:t>
      </w:r>
      <w:r w:rsidR="000B1555" w:rsidRPr="008F2922">
        <w:fldChar w:fldCharType="begin"/>
      </w:r>
      <w:r w:rsidR="005413B4">
        <w:instrText xml:space="preserve"> ADDIN ZOTERO_ITEM CSL_CITATION {"citationID":"OU4hOLHc","properties":{"formattedCitation":"\\super 23,184\\nosupersub{}","plainCitation":"23,184","noteIndex":0},"citationItems":[{"id":12428,"uris":["http://zotero.org/users/6423791/items/6T57THSK"],"itemData":{"id":12428,"type":"thesis","number-of-pages":"149","publisher":"Standford University","title":"Engineering the Dark Food Chain:the Role of Methanotrophic Bacteria Infood Production and Climate Change Mitigation","URL":"https://stacks.stanford.edu/file/druid:bg967bh2013/ElAbbadi_dissertation_2021-07-19-augmented.pdf","author":[{"family":"El Abbadi","given":"Sahar H."}],"accessed":{"date-parts":[["2021",11,30]]},"issued":{"date-parts":[["2021",7]]}}},{"id":12808,"uris":["http://zotero.org/users/6423791/items/VYPVDFVV"],"itemData":{"id":12808,"type":"article-journal","container-title":"Microbial Biotechnology","DOI":"10.1111/1751-7915.13986","ISSN":"1751-7915, 1751-7915","journalAbbreviation":"Microb. Biotechnol.","language":"en","page":"1751-7915.13986","source":"DOI.org (Crossref)","title":"Engineering microbial technologies for environmental sustainability: choices to make","title-short":"Engineering microbial technologies for environmental sustainability","author":[{"family":"Verstraete","given":"Willy"},{"family":"Yanuka‐Golub","given":"Keren"},{"family":"Driesen","given":"Nele"},{"family":"De Vrieze","given":"Jo"}],"issued":{"date-parts":[["2021",12,7]]}}}],"schema":"https://github.com/citation-style-language/schema/raw/master/csl-citation.json"} </w:instrText>
      </w:r>
      <w:r w:rsidR="000B1555" w:rsidRPr="008F2922">
        <w:fldChar w:fldCharType="separate"/>
      </w:r>
      <w:r w:rsidR="005413B4" w:rsidRPr="005413B4">
        <w:rPr>
          <w:rFonts w:ascii="Calibri" w:hAnsi="Calibri" w:cs="Calibri"/>
          <w:szCs w:val="24"/>
          <w:vertAlign w:val="superscript"/>
        </w:rPr>
        <w:t>23,184</w:t>
      </w:r>
      <w:r w:rsidR="000B1555" w:rsidRPr="008F2922">
        <w:fldChar w:fldCharType="end"/>
      </w:r>
      <w:r w:rsidR="000B1555" w:rsidRPr="008F2922">
        <w:t xml:space="preserve">. Yet, </w:t>
      </w:r>
      <w:r w:rsidR="000B1555">
        <w:t>selected</w:t>
      </w:r>
      <w:r w:rsidR="000B1555" w:rsidRPr="008F2922">
        <w:t xml:space="preserve"> strains </w:t>
      </w:r>
      <w:r w:rsidR="000B1555">
        <w:t xml:space="preserve">were presumed </w:t>
      </w:r>
      <w:r w:rsidR="000B1555" w:rsidRPr="008F2922">
        <w:t xml:space="preserve"> CO-tolerant and able to use raw syngas </w:t>
      </w:r>
      <w:r w:rsidR="000B1555">
        <w:t xml:space="preserve">at industrial scale </w:t>
      </w:r>
      <w:r w:rsidR="000B1555" w:rsidRPr="008F2922">
        <w:t xml:space="preserve">as proposed in e.g. </w:t>
      </w:r>
      <w:r w:rsidR="000B1555" w:rsidRPr="008F2922">
        <w:fldChar w:fldCharType="begin"/>
      </w:r>
      <w:r w:rsidR="000B1555">
        <w:instrText xml:space="preserve"> ADDIN ZOTERO_ITEM CSL_CITATION {"citationID":"wve3itYD","properties":{"formattedCitation":"(Khoshnevisan et al., 2022)","plainCitation":"(Khoshnevisan et al., 2022)","dontUpdate":true,"noteIndex":0},"citationItems":[{"id":12862,"uris":["http://zotero.org/users/6423791/items/YGDJPK4F"],"itemData":{"id":12862,"type":"article-journal","abstract":"The concerns over food security and protein scarcity, driven by population increase and higher standards of living, have pushed scientists toward finding new protein sources. A considerable proportion of resources and agricultural lands are currently dedicated to proteinaceous feed production to raise livestock and poultry for human consumption. The 1st generation of microbial protein (MP) came into the market as land-independent proteinaceous feed for livestock and aquaculture. However, MP may be a less sustainable alternative to conventional feeds, such as soybean meal and fishmeal, because this technology currently requires natural gas and synthetic chemicals. These challenges have directed researchers toward the production of 2nd generation MP by integrating renewable energies, anaerobic digestion, nutrient recovery, biogas cleaning and upgrading, carbon-capture technologies, and fermentation. The fermentation of methane-oxidizing bacteria (MOB) and hydrogen-oxidizing bacteria (HOB), i.e., two protein rich microorganisms, has shown a great potential, on the one hand, to upcycle effluents from anaerobic digestion into protein rich biomass, and on the other hand, to be coupled to renewable energy systems under the concept of Power-to-X. This work compares various production routes for 2nd generation MP by reviewing the latest studies conducted in this context and introducing the state-of-the-art technologies, hoping that the findings can accelerate and facilitate upscaling of MP production. The results show that 2nd generation MP depends on the expansion of renewable energies. In countries with high penetration of renewable electricity, such as Nordic countries, off-peak surplus electricity can be used within MP-industry by supplying electrolytic H2, which is the driving factor for both MOB and HOB-based MP production. However, nutrient recovery technologies are the heart of the 2nd generation MP industry as they determine the process costs and quality of the final product. Although huge attempts have been made to date in this context, some bottlenecks such as immature nutrient recovery technologies, less efficient fermenters with insufficient gas-to-liquid transfer, and costly electrolytic hydrogen production and storage have hindered the scale up of MP production. Furthermore, further research into techno-economic feasibility and life cycle assessment (LCA) of coupled technologies is still needed to identify key points for improvement and thereby secure a sustainable production system.","container-title":"Renewable and Sustainable Energy Reviews","DOI":"10.1016/j.rser.2021.112041","ISSN":"1364-0321","journalAbbreviation":"Renew. Sust. Energ. Rev.","language":"en","page":"112041","source":"ScienceDirect","title":"From renewable energy to sustainable protein sources: Advancement, challenges, and future roadmaps","title-short":"From renewable energy to sustainable protein sources","volume":"157","author":[{"family":"Khoshnevisan","given":"Benyamin"},{"family":"He","given":"Li"},{"family":"Xu","given":"Mingyi"},{"family":"Valverde-Pérez","given":"Borja"},{"family":"Sillman","given":"Jani"},{"family":"Mitraka","given":"Georgia-Christina"},{"family":"Kougias","given":"Panagiotis G."},{"family":"Zhang","given":"Yifeng"},{"family":"Yan","given":"Shuiping"},{"family":"Ji","given":"Long"},{"family":"Carbajales-Dale","given":"Michael"},{"family":"Elyasi","given":"Seyedeh Nashmin"},{"family":"Marami","given":"Hadis"},{"family":"Tsapekos","given":"Panagiotis"},{"family":"Liu","given":"Hongbin"},{"family":"Angelidaki","given":"Irini"}],"issued":{"date-parts":[["2022",4,1]]}}}],"schema":"https://github.com/citation-style-language/schema/raw/master/csl-citation.json"} </w:instrText>
      </w:r>
      <w:r w:rsidR="000B1555" w:rsidRPr="008F2922">
        <w:fldChar w:fldCharType="separate"/>
      </w:r>
      <w:r w:rsidR="000B1555" w:rsidRPr="008F2922">
        <w:rPr>
          <w:rFonts w:ascii="Calibri" w:hAnsi="Calibri" w:cs="Calibri"/>
        </w:rPr>
        <w:t>Khoshnevisan et al., (2022)</w:t>
      </w:r>
      <w:r w:rsidR="000B1555" w:rsidRPr="008F2922">
        <w:fldChar w:fldCharType="end"/>
      </w:r>
      <w:r w:rsidR="000B1555" w:rsidRPr="008F2922">
        <w:t xml:space="preserve"> and </w:t>
      </w:r>
      <w:r w:rsidR="000B1555" w:rsidRPr="008F2922">
        <w:fldChar w:fldCharType="begin"/>
      </w:r>
      <w:r w:rsidR="000B1555">
        <w:instrText xml:space="preserve"> ADDIN ZOTERO_ITEM CSL_CITATION {"citationID":"Y9F6CnSC","properties":{"formattedCitation":"(Pelagalli et al., 2023)","plainCitation":"(Pelagalli et al., 2023)","dontUpdate":true,"noteIndex":0},"citationItems":[{"id":14297,"uris":["http://zotero.org/users/6423791/items/3KQ3F8IC"],"itemData":{"id":14297,"type":"article-journal","abstract":"Treating excess municipal sewage sludge (MSS) by means of thermochemical processes could enable its conversion into high-value microbial protein (MP) through syngas. Nevertheless, the variable composition and content of inhibitory compounds of the latter hinders the application potential of such a biorefinery scheme. Through a series of short- (48 to 96 h) and long-term (30 days) batch aerobic bioconversion tests, the present study aimed at investigating the potential of a mixed culture of hydrogen-oxidizing bacteria (HOB) to produce MP from a simulated syngas mixture characterized by variable H2 and CO2 concentrations, and different levels of CO and H2S as potential inhibitors of the HOB-driven process. Syngas was converted into MP with a protein content as high as 74%, reaching biomass yields of 0.25 g VSS/g H2-COD, close to the maximum reported HOB yield of 0.28 g VSS/g H2-COD, and volumetric productivities of 13 mg VSS/L/h. The potential of the process to provide between 50 and 100% of the total nitrogen requirement of HOB solely by means of the gaseous ammonia nitrogen recovered through syngas was also preliminarily calculated. The presence of H2S and CO concentrations up to 0.4% and up to 40%, respectively, and a wide range of H2/CO2 ratios (2-10) had no negative influence on the main process performances. The role played by H2S- and CO-tolerant HOB species was fundamental to guarantee a high tolerance to microbial inhibitors, and demonstrated the high potential of mixed cultures for resource recovery and valorisation.","container-title":"Water Research","DOI":"10.1016/j.watres.2023.120698","ISSN":"0043-1354","journalAbbreviation":"Water Research","page":"120698","source":"ScienceDirect","title":"Syngas-driven sewage sludge conversion to microbial protein through H2S- and CO-tolerant hydrogen-oxidizing bacteria","author":[{"family":"Pelagalli","given":"Vincenzo"},{"family":"Matassa","given":"Silvio"},{"family":"Race","given":"Marco"},{"family":"Langone","given":"Michela"},{"family":"Papirio","given":"Stefano"},{"family":"Lens","given":"Piet N. L."},{"family":"Lazzazzara","given":"Marco"},{"family":"Frugis","given":"Alessandro"},{"family":"Petta","given":"Luigi"},{"family":"Esposito","given":"Giovanni"}],"issued":{"date-parts":[["2023",10,9]]}}}],"schema":"https://github.com/citation-style-language/schema/raw/master/csl-citation.json"} </w:instrText>
      </w:r>
      <w:r w:rsidR="000B1555" w:rsidRPr="008F2922">
        <w:fldChar w:fldCharType="separate"/>
      </w:r>
      <w:r w:rsidR="000B1555" w:rsidRPr="008F2922">
        <w:rPr>
          <w:rFonts w:ascii="Calibri" w:hAnsi="Calibri" w:cs="Calibri"/>
        </w:rPr>
        <w:t>Pelagalli et al., (2023)</w:t>
      </w:r>
      <w:r w:rsidR="000B1555" w:rsidRPr="008F2922">
        <w:fldChar w:fldCharType="end"/>
      </w:r>
      <w:r w:rsidR="000B1555" w:rsidRPr="008F2922">
        <w:t xml:space="preserve">. This is a rather optimistic assumption, but plausible in front of the wide panel of available strains and possibilities offered by synthetic biology </w:t>
      </w:r>
      <w:r w:rsidR="000B1555" w:rsidRPr="008F2922">
        <w:fldChar w:fldCharType="begin"/>
      </w:r>
      <w:r w:rsidR="005413B4">
        <w:instrText xml:space="preserve"> ADDIN ZOTERO_ITEM CSL_CITATION {"citationID":"5Qowf1xZ","properties":{"formattedCitation":"\\super 224\\nosupersub{}","plainCitation":"224","noteIndex":0},"citationItems":[{"id":12906,"uris":["http://zotero.org/users/6423791/items/T9ILD2IY"],"itemData":{"id":12906,"type":"article-journal","abstract":"Microbial protein (MP) is back on the table after decades of slumbering interest. One-carbon (C1) substrates are attractive for MP production due to their efficient production from CO2 and renewable electricity, linking carbon capture to food while circumventing agriculture. Here we compared all reported combinations of C1 (formate/methanol/methane) and microorganisms (bacteria/yeasts) in terms of engineering and biomass quality parameters, focusing on the amino acid match with human requirements. This meta-analysis based on &gt;100 studies suggests that methanol is the most promising C1, and methanol-grown microorganisms seem most nutritional with bacteria and yeasts having different merits. More sustainable MP could be produced if metabolic engineering tools yielding microorganisms with more efficient C1 assimilation pathways and steered amino acid profiles are deployed.","container-title":"Current Opinion in Biotechnology","DOI":"10.1016/j.copbio.2022.102685","ISSN":"0958-1669","journalAbbreviation":"Curr. Opin. Biotechnol.","language":"en","page":"102685","source":"ScienceDirect","title":"Methylotrophs: from C1 compounds to food","title-short":"Methylotrophs","volume":"75","author":[{"family":"Sakarika","given":"Myrsini"},{"family":"Ganigué","given":"Ramon"},{"family":"Rabaey","given":"Korneel"}],"issued":{"date-parts":[["2022",6,1]]}}}],"schema":"https://github.com/citation-style-language/schema/raw/master/csl-citation.json"} </w:instrText>
      </w:r>
      <w:r w:rsidR="000B1555" w:rsidRPr="008F2922">
        <w:fldChar w:fldCharType="separate"/>
      </w:r>
      <w:r w:rsidR="005413B4" w:rsidRPr="005413B4">
        <w:rPr>
          <w:rFonts w:ascii="Calibri" w:hAnsi="Calibri" w:cs="Calibri"/>
          <w:szCs w:val="24"/>
          <w:vertAlign w:val="superscript"/>
        </w:rPr>
        <w:t>224</w:t>
      </w:r>
      <w:r w:rsidR="000B1555" w:rsidRPr="008F2922">
        <w:fldChar w:fldCharType="end"/>
      </w:r>
      <w:r w:rsidR="000B1555" w:rsidRPr="008F2922">
        <w:t>.</w:t>
      </w:r>
    </w:p>
    <w:p w14:paraId="7A430997" w14:textId="52BD5CB7" w:rsidR="002A6FDB" w:rsidRDefault="002A6FDB" w:rsidP="00F87563">
      <w:pPr>
        <w:pStyle w:val="Titre4"/>
      </w:pPr>
      <w:r w:rsidRPr="002A6FDB">
        <w:t>Gases suppl</w:t>
      </w:r>
      <w:r w:rsidR="00E12655">
        <w:t>y</w:t>
      </w:r>
    </w:p>
    <w:p w14:paraId="459AAC07" w14:textId="4BDC7225" w:rsidR="000B1555" w:rsidRPr="000B1555" w:rsidRDefault="000B1555" w:rsidP="000B1555">
      <w:pPr>
        <w:jc w:val="both"/>
      </w:pPr>
      <w:r>
        <w:t>S</w:t>
      </w:r>
      <w:r w:rsidRPr="008F2922">
        <w:t>olubility, regulation and injection of important gas volumes in U-loop bioreactors were considered solved challenges in the near future. It was assumed that bioprocesses can cope with N</w:t>
      </w:r>
      <w:r w:rsidRPr="008F2922">
        <w:rPr>
          <w:vertAlign w:val="subscript"/>
        </w:rPr>
        <w:t>2</w:t>
      </w:r>
      <w:r w:rsidRPr="008F2922">
        <w:t xml:space="preserve">-diluted gases and explosive/flammable gas mixes </w:t>
      </w:r>
      <w:r w:rsidRPr="008F2922">
        <w:fldChar w:fldCharType="begin"/>
      </w:r>
      <w:r w:rsidR="005413B4">
        <w:instrText xml:space="preserve"> ADDIN ZOTERO_ITEM CSL_CITATION {"citationID":"tLXfLraV","properties":{"formattedCitation":"\\super 40,196,253\\nosupersub{}","plainCitation":"40,196,253","noteIndex":0},"citationItems":[{"id":12853,"uris":["http://zotero.org/users/6423791/items/NHUWJREK"],"itemData":{"id":12853,"type":"article-journal","abstract":"Methane emitted and flared from industrial sources across the United States is a major contributor to global climate change. Methanotrophic bacteria can transform this methane into useful protein-rich biomass, already approved for inclusion into animal feed. In the rapidly growing aquaculture industry, methanotrophic additives have a favourable amino acid profile and can offset ocean-caught fishmeal, reducing demands on over-harvested fisheries. Here we analyse the economic potential of producing methanotrophic microbial protein from stranded methane produced at wastewater treatment plants, landfills, and oil and gas facilities. Our results show that current technology can enable production, in the United States alone, equivalent to 14% of the global fishmeal market at prices at or below the current cost of fishmeal (roughly US$1,600 per metric ton). A sensitivity analysis highlights technically and economically feasible cost reductions (such as reduced cooling or labour requirements), which could allow stranded methane from the United States alone to satisfy global fishmeal demand.","container-title":"Nature Sustainability","DOI":"10.1038/s41893-021-00796-2","ISSN":"2398-9629","journalAbbreviation":"Nat. Sustain.","language":"en","license":"2021 The Author(s), under exclusive licence to Springer Nature Limited","note":"Bandiera_abtest: a\nCg_type: Nature Research Journals\nPrimary_atype: Research\npublisher: Nature Publishing Group\nSubject_term: Environmental biotechnology;Environmental economics\nSubject_term_id: environmental-biotechnology;environmental-economics","page":"1-10","source":"www.nature.com","title":"Displacing fishmeal with protein derived from stranded methane","author":[{"family":"El Abbadi","given":"Sahar H."},{"family":"Sherwin","given":"Evan D."},{"family":"Brandt","given":"Adam R."},{"family":"Luby","given":"Stephen P."},{"family":"Criddle","given":"Craig S."}],"issued":{"date-parts":[["2021",11,22]]}}},{"id":12839,"uris":["http://zotero.org/users/6423791/items/Z8P5BF6M"],"itemData":{"id":12839,"type":"article-journal","abstract":"This study evaluates the techno-economic feasibility of five solar-powered concepts for the production of autotrophic microorganisms for food and feed production; the main focus is on three concepts based on hydrogen-oxidizing bacteria (HOB), which are further compared to two microalgae-related concepts. Two locations with markedly different solar conditions are considered (Finland and Morocco), in which Morocco was found to be the most economically competitive for the cultivation of microalgae in open ponds and closed systems (1.4 and 1.9 € kg–1, respectively). Biomass production by combined water electrolysis and HOB cultivation results in higher costs for all three considered concepts. Among these, the lowest production cost of 5.3 € kg–1 is associated with grid-assisted electricity use in Finland, while the highest production cost of &gt;9.1 € kg–1 is determined for concepts using solely photovoltaics and/or photoelectrochemical technology for on-site electricity production and solar-energy conversion to H2 by water electrolysis. All assessed concepts are capital intensive. Furthermore, a sensitivity analysis suggests that the production costs of HOB biomass can be lowered down to 2.1 € kg–1 by optimization of the process parameters among which volumetric productivity, electricity strategy, and electricity costs have the highest cost-saving potentials. The study reveals that continuously available electricity and H2 supply are essential for the development of a viable HOB concept due to the capital intensity of the needed technologies. In addition, volumetric productivity is the key parameter that needs to be optimized to increase the economic competitiveness of HOB production.","container-title":"ACS Omega","DOI":"10.1021/acsomega.0c04926","issue":"51","note":"publisher: American Chemical Society","page":"33242-33252","source":"ACS Publications","title":"Solar-Powered Carbon Fixation for Food and Feed Production Using Microorganisms—A Comparative Techno-Economic Analysis","volume":"5","author":[{"family":"Nappa","given":"Marja"},{"family":"Lienemann","given":"Michael"},{"family":"Tossi","given":"Camilla"},{"family":"Blomberg","given":"Peter"},{"family":"Jäntti","given":"Jussi"},{"family":"Tittonen","given":"Ilkka Juhani"},{"family":"Penttilä","given":"Merja"}],"issued":{"date-parts":[["2020",12,29]]}}},{"id":12859,"uris":["http://zotero.org/users/6423791/items/9QZTWP9Z"],"itemData":{"id":12859,"type":"article-journal","abstract":"Methane (CH4), a potent greenhouse gas, is globally available as both natural gas and biogas for residential, commercial, and industrial use. Though an excellent source of heat and power, CH4 is often flared or released into the air due to the lack of economically attractive end use options. One promising option is its use as a low-cost feedstock for growth of CH4-oxidizing microorganisms (methanotrophs) and production of single cell protein, methanol, bioplastics, and other bioproducts. However, such opportunities are impeded by the low aqueous solubility of CH4 and concerns about explosion hazards. To enable oxidation of CH4 at low levels, methane monooxygenase enzymes have evolved high affinities for CH4, as reflected in low half-saturation coefficients (Ks &lt; 0.1–6 mg=L). Specific rates of CH4 consumption can therefore become maximum at low levels of dissolved CH4. For such kinetics, high volumetric productivities can be achieved by increasing biomass concentrations. Historically, this has been achieved by pressurizing CH4 feedstock. New methods include coupling high media recirculation rates with in-line mass transfer devices (static mixers, gas permeable membranes); recirculating fluid contactors, such as polymers or oils; and modifying fluid media with hydrophilic additives, such as electrolytes and alcohols. These new methods ensure that a flammable mixture is not created and provide many opportunities for innovation. DOI: 10.1061/(ASCE) EE.1943-7870.0001703. © 2020 American Society of Civil Engineers.","container-title":"Journal of Environmental Engineering","DOI":"10.1061/(ASCE)EE.1943-7870.0001703","ISSN":"0733-9372, 1943-7870","issue":"6","journalAbbreviation":"J. Environ. Eng.","language":"en","page":"03120006","source":"DOI.org (Crossref)","title":"Membrane and Fluid Contactors for Safe and Efficient Methane Delivery in Methanotrophic Bioreactors","volume":"146","author":[{"family":"Meraz","given":"Jorge Luis"},{"family":"Dubrawski","given":"Kristian L."},{"family":"El Abbadi","given":"Sahar H."},{"family":"Choo","given":"Kwang-Ho"},{"family":"Criddle","given":"Craig S."}],"issued":{"date-parts":[["2020",6]]}}}],"schema":"https://github.com/citation-style-language/schema/raw/master/csl-citation.json"} </w:instrText>
      </w:r>
      <w:r w:rsidRPr="008F2922">
        <w:fldChar w:fldCharType="separate"/>
      </w:r>
      <w:r w:rsidR="005413B4" w:rsidRPr="005413B4">
        <w:rPr>
          <w:rFonts w:ascii="Calibri" w:hAnsi="Calibri" w:cs="Calibri"/>
          <w:szCs w:val="24"/>
          <w:vertAlign w:val="superscript"/>
        </w:rPr>
        <w:t>40,196,253</w:t>
      </w:r>
      <w:r w:rsidRPr="008F2922">
        <w:fldChar w:fldCharType="end"/>
      </w:r>
      <w:r w:rsidRPr="008F2922">
        <w:t xml:space="preserve">. </w:t>
      </w:r>
      <w:r>
        <w:t>In addition to</w:t>
      </w:r>
      <w:r w:rsidRPr="008F2922">
        <w:t xml:space="preserve"> AD- and GA-based gases, nitrogen and oxygen supplies are </w:t>
      </w:r>
      <w:r>
        <w:t xml:space="preserve">also </w:t>
      </w:r>
      <w:r w:rsidRPr="008F2922">
        <w:t>required to meet MP stoichiometric requirements.</w:t>
      </w:r>
    </w:p>
    <w:p w14:paraId="4C2ABB7F" w14:textId="77777777" w:rsidR="002A6FDB" w:rsidRPr="001C16B9" w:rsidRDefault="002A6FDB" w:rsidP="00877BEE">
      <w:pPr>
        <w:pStyle w:val="Titre5"/>
      </w:pPr>
      <w:r w:rsidRPr="001C16B9">
        <w:t>Oxygen supply</w:t>
      </w:r>
    </w:p>
    <w:p w14:paraId="2BF409DA" w14:textId="59364C81" w:rsidR="002A6FDB" w:rsidRPr="002A6FDB" w:rsidRDefault="002A6FDB" w:rsidP="002A6FDB">
      <w:pPr>
        <w:jc w:val="both"/>
        <w:rPr>
          <w:i/>
        </w:rPr>
      </w:pPr>
      <w:r w:rsidRPr="003F5DA8">
        <w:t>Usually (see</w:t>
      </w:r>
      <w:r w:rsidR="00F87563">
        <w:t xml:space="preserve"> </w:t>
      </w:r>
      <w:r w:rsidR="00F87563" w:rsidRPr="00F87563">
        <w:rPr>
          <w:b/>
        </w:rPr>
        <w:fldChar w:fldCharType="begin"/>
      </w:r>
      <w:r w:rsidR="00F87563" w:rsidRPr="00F87563">
        <w:rPr>
          <w:b/>
        </w:rPr>
        <w:instrText xml:space="preserve"> REF _Ref144822968 \h </w:instrText>
      </w:r>
      <w:r w:rsidR="00F87563">
        <w:rPr>
          <w:b/>
        </w:rPr>
        <w:instrText xml:space="preserve"> \* MERGEFORMAT </w:instrText>
      </w:r>
      <w:r w:rsidR="00F87563" w:rsidRPr="00F87563">
        <w:rPr>
          <w:b/>
        </w:rPr>
      </w:r>
      <w:r w:rsidR="00F87563" w:rsidRPr="00F87563">
        <w:rPr>
          <w:b/>
        </w:rPr>
        <w:fldChar w:fldCharType="separate"/>
      </w:r>
      <w:r w:rsidR="00F25F8C" w:rsidRPr="00F25F8C">
        <w:rPr>
          <w:b/>
        </w:rPr>
        <w:t xml:space="preserve">Table SI. </w:t>
      </w:r>
      <w:r w:rsidR="00F25F8C" w:rsidRPr="00F25F8C">
        <w:rPr>
          <w:b/>
          <w:noProof/>
        </w:rPr>
        <w:t>56</w:t>
      </w:r>
      <w:r w:rsidR="00F87563" w:rsidRPr="00F87563">
        <w:rPr>
          <w:b/>
        </w:rPr>
        <w:fldChar w:fldCharType="end"/>
      </w:r>
      <w:r w:rsidRPr="003F5DA8">
        <w:t>), pathways following an electrolysis-based HOB production directly reuse the oxygen co-produced (presence in excess)</w:t>
      </w:r>
      <w:r w:rsidRPr="003F5DA8">
        <w:fldChar w:fldCharType="begin"/>
      </w:r>
      <w:r w:rsidR="005413B4">
        <w:instrText xml:space="preserve"> ADDIN ZOTERO_ITEM CSL_CITATION {"citationID":"kVePslWN","properties":{"formattedCitation":"\\super 199\\nosupersub{}","plainCitation":"199","noteIndex":0},"citationItems":[{"id":12866,"uris":["http://zotero.org/users/6423791/items/26C4AHVP"],"itemData":{"id":12866,"type":"article-journal","abstract":"The growing population and the consequent protein scarcity have led to innovation in proteinaceous feed production methods. In this regard, the upcycling of nitrogen rich effluents into microbial protein (MP)/single cell protein (SCP) is considered as an innovative solution. This paper aims to employ life cycle assessment to identify the most environmentally friendly strategy to upcycle nitrogen (N) and carbon (C) flows from wastewater treatment plant (WWTP) into MP. Accordingly, several pathways for integrating WWTP and MP production facility were evaluated, in terms of C source (i.e., biogas or biomethane) and the pretreatment method applied to the reject water (RW) (i.e., centrifugation + filtration + pasteurization, electrochemical extraction, bio-electrochemical extraction). The results indicated that electrochemical and bio-electrochemical N recovery not only safely extracted N from RW but also led to promising solution for MP production from WWTP effluents. The pathway including bio-electrochemical N recovery and use of biologically upgraded biogas for MP had 42.17%, 195.95%, and 172.03% better environmental performance regarding human health, ecosystem quality, and resource scarcity, respectively, compared with standalone WWTP without MP production. However, the electrochemical N recovery outperformed other scenarios in the human health damage category with a net impact of 2.72 DALY/FU and in ecosystem quality damage category with a saving of −0.033 Species/FU. The results reported herein indicated that the use of chemical nutrients to enrich the cultivation medium had significant impacts on the overall environmental performance of the suggested biorefinery. Decreasing the consumption of synthetic nutrients and improving N to protein conversion efficiency by 20% can make the established pathway much more competitive with conventional proteinaceous feed sources such as soybean meal.","container-title":"Renewable and Sustainable Energy Reviews","DOI":"10.1016/j.rser.2021.111895","ISSN":"1364-0321","journalAbbreviation":"Renew. Sust. Energ. Rev.","language":"en","page":"111895","source":"ScienceDirect","title":"Bridging to circular bioeconomy through a novel biorefinery platform on a wastewater treatment plant","volume":"154","author":[{"family":"Marami","given":"Hadis"},{"family":"He","given":"Li"},{"family":"Rafiee","given":"Shahin"},{"family":"Khoshnevisan","given":"Benyamin"},{"family":"Tsapekos","given":"Panagiotis"},{"family":"Mobli","given":"Hossein"},{"family":"Elyasi","given":"Seyedeh Nashmin"},{"family":"Liu","given":"Hongbin"},{"family":"Angelidaki","given":"Irini"}],"issued":{"date-parts":[["2022",2,1]]}}}],"schema":"https://github.com/citation-style-language/schema/raw/master/csl-citation.json"} </w:instrText>
      </w:r>
      <w:r w:rsidRPr="003F5DA8">
        <w:fldChar w:fldCharType="separate"/>
      </w:r>
      <w:r w:rsidR="005413B4" w:rsidRPr="005413B4">
        <w:rPr>
          <w:rFonts w:ascii="Calibri" w:hAnsi="Calibri" w:cs="Calibri"/>
          <w:szCs w:val="24"/>
          <w:vertAlign w:val="superscript"/>
        </w:rPr>
        <w:t>199</w:t>
      </w:r>
      <w:r w:rsidRPr="003F5DA8">
        <w:fldChar w:fldCharType="end"/>
      </w:r>
      <w:r w:rsidRPr="003F5DA8">
        <w:t xml:space="preserve">. Yet, here, not all pathways include electrolysis. To be </w:t>
      </w:r>
      <w:r w:rsidRPr="00F87563">
        <w:t>consistent</w:t>
      </w:r>
      <w:r w:rsidR="00F87563" w:rsidRPr="00F87563">
        <w:t xml:space="preserve"> air was considered as the oxygen source, albeit introducing extra volumes of N</w:t>
      </w:r>
      <w:r w:rsidR="00F87563" w:rsidRPr="00F87563">
        <w:rPr>
          <w:vertAlign w:val="subscript"/>
        </w:rPr>
        <w:t>2</w:t>
      </w:r>
      <w:r w:rsidR="00F87563" w:rsidRPr="00F87563">
        <w:t xml:space="preserve"> in the bioreactor.</w:t>
      </w:r>
      <w:r w:rsidR="00F87563">
        <w:t xml:space="preserve"> </w:t>
      </w:r>
      <w:r w:rsidR="000B1555" w:rsidRPr="008F2922">
        <w:t>This is not a conservative assumption</w:t>
      </w:r>
      <w:r w:rsidR="000B1555">
        <w:t xml:space="preserve"> in terms of energy demand</w:t>
      </w:r>
      <w:r w:rsidR="000B1555" w:rsidRPr="008F2922">
        <w:t xml:space="preserve">, as supplying pure oxygen to the bioreactor requires ca. ten times more </w:t>
      </w:r>
      <w:r w:rsidR="000B1555">
        <w:t>power</w:t>
      </w:r>
      <w:r w:rsidR="000B1555" w:rsidRPr="008F2922">
        <w:t xml:space="preserve"> than compressing the additional volumes of nitrogen present in the air (respectively 3.5 kWh.kg</w:t>
      </w:r>
      <w:r w:rsidR="000B1555" w:rsidRPr="008F2922">
        <w:rPr>
          <w:vertAlign w:val="subscript"/>
        </w:rPr>
        <w:t>O2</w:t>
      </w:r>
      <w:r w:rsidR="000B1555" w:rsidRPr="008F2922">
        <w:rPr>
          <w:vertAlign w:val="superscript"/>
        </w:rPr>
        <w:t>-1</w:t>
      </w:r>
      <w:r w:rsidR="000B1555" w:rsidRPr="008F2922">
        <w:t xml:space="preserve">; </w:t>
      </w:r>
      <w:r w:rsidR="000B1555" w:rsidRPr="008F2922">
        <w:fldChar w:fldCharType="begin"/>
      </w:r>
      <w:r w:rsidR="000B1555" w:rsidRPr="008F2922">
        <w:instrText xml:space="preserve"> ADDIN ZOTERO_ITEM CSL_CITATION {"citationID":"bMdCA4wd","properties":{"formattedCitation":"(ecoinvent, 2022)","plainCitation":"(ecoinvent, 2022)","dontUpdate":true,"noteIndex":0},"citationItems":[{"id":13212,"uris":["http://zotero.org/users/6423791/items/ANAMP6NH"],"itemData":{"id":13212,"type":"webpage","language":"en-US","title":"ecoinvent databases","URL":"https://ecoinvent.org/","author":[{"literal":"ecoinvent"}],"accessed":{"date-parts":[["2022",5,1]]},"issued":{"date-parts":[["2022"]]}}}],"schema":"https://github.com/citation-style-language/schema/raw/master/csl-citation.json"} </w:instrText>
      </w:r>
      <w:r w:rsidR="000B1555" w:rsidRPr="008F2922">
        <w:fldChar w:fldCharType="separate"/>
      </w:r>
      <w:r w:rsidR="000B1555" w:rsidRPr="008F2922">
        <w:rPr>
          <w:rFonts w:ascii="Calibri" w:hAnsi="Calibri" w:cs="Calibri"/>
        </w:rPr>
        <w:t>ecoinvent, 2022</w:t>
      </w:r>
      <w:r w:rsidR="000B1555" w:rsidRPr="008F2922">
        <w:fldChar w:fldCharType="end"/>
      </w:r>
      <w:r w:rsidR="000B1555" w:rsidRPr="008F2922">
        <w:t>; and 0.32 kWh.kg</w:t>
      </w:r>
      <w:r w:rsidR="000B1555" w:rsidRPr="008F2922">
        <w:rPr>
          <w:vertAlign w:val="subscript"/>
        </w:rPr>
        <w:t>O2</w:t>
      </w:r>
      <w:r w:rsidR="000B1555" w:rsidRPr="008F2922">
        <w:rPr>
          <w:vertAlign w:val="superscript"/>
        </w:rPr>
        <w:t>-1</w:t>
      </w:r>
      <w:r w:rsidR="000B1555">
        <w:t xml:space="preserve"> calculated, see </w:t>
      </w:r>
      <w:r w:rsidR="000B1555" w:rsidRPr="000B1555">
        <w:rPr>
          <w:b/>
        </w:rPr>
        <w:t>data repository</w:t>
      </w:r>
      <w:r w:rsidR="000B1555" w:rsidRPr="008F2922">
        <w:t>).</w:t>
      </w:r>
    </w:p>
    <w:p w14:paraId="3262021A" w14:textId="77777777" w:rsidR="002A6FDB" w:rsidRPr="001C16B9" w:rsidRDefault="002A6FDB" w:rsidP="00877BEE">
      <w:pPr>
        <w:pStyle w:val="Titre5"/>
      </w:pPr>
      <w:r w:rsidRPr="001C16B9">
        <w:t>Nitrogen supply</w:t>
      </w:r>
    </w:p>
    <w:p w14:paraId="7E27C83D" w14:textId="13C4F0C9" w:rsidR="002A6FDB" w:rsidRPr="003F5DA8" w:rsidRDefault="002A6FDB" w:rsidP="002A6FDB">
      <w:pPr>
        <w:jc w:val="both"/>
      </w:pPr>
      <w:r w:rsidRPr="003F5DA8">
        <w:t>In the literature reviewed, two nitrogen supply approaches were reported (</w:t>
      </w:r>
      <w:r w:rsidR="00F87563" w:rsidRPr="00F87563">
        <w:rPr>
          <w:b/>
        </w:rPr>
        <w:fldChar w:fldCharType="begin"/>
      </w:r>
      <w:r w:rsidR="00F87563" w:rsidRPr="00F87563">
        <w:rPr>
          <w:b/>
        </w:rPr>
        <w:instrText xml:space="preserve"> REF _Ref144822968 \h </w:instrText>
      </w:r>
      <w:r w:rsidR="00F87563">
        <w:rPr>
          <w:b/>
        </w:rPr>
        <w:instrText xml:space="preserve"> \* MERGEFORMAT </w:instrText>
      </w:r>
      <w:r w:rsidR="00F87563" w:rsidRPr="00F87563">
        <w:rPr>
          <w:b/>
        </w:rPr>
      </w:r>
      <w:r w:rsidR="00F87563" w:rsidRPr="00F87563">
        <w:rPr>
          <w:b/>
        </w:rPr>
        <w:fldChar w:fldCharType="separate"/>
      </w:r>
      <w:r w:rsidR="00F25F8C" w:rsidRPr="00F25F8C">
        <w:rPr>
          <w:b/>
        </w:rPr>
        <w:t xml:space="preserve">Table SI. </w:t>
      </w:r>
      <w:r w:rsidR="00F25F8C" w:rsidRPr="00F25F8C">
        <w:rPr>
          <w:b/>
          <w:noProof/>
        </w:rPr>
        <w:t>56</w:t>
      </w:r>
      <w:r w:rsidR="00F87563" w:rsidRPr="00F87563">
        <w:rPr>
          <w:b/>
        </w:rPr>
        <w:fldChar w:fldCharType="end"/>
      </w:r>
      <w:r w:rsidRPr="003F5DA8">
        <w:t>). The first one directly supplies conventional ammonia to the bioreactor, with the argument that microbes will use it more efficiently than plant, and that N-related losses and emissions will be limited</w:t>
      </w:r>
      <w:r w:rsidRPr="003F5DA8">
        <w:fldChar w:fldCharType="begin"/>
      </w:r>
      <w:r w:rsidR="005413B4">
        <w:instrText xml:space="preserve"> ADDIN ZOTERO_ITEM CSL_CITATION {"citationID":"9jGtuL1Y","properties":{"formattedCitation":"\\super 187\\nosupersub{}","plainCitation":"187","noteIndex":0},"citationItems":[{"id":558,"uris":["http://zotero.org/users/6423791/items/YPK9LCXF"],"itemData":{"id":558,"type":"article-journal","abstract":"One of the main challenges for the 21st century is to balance the increasing demand for high-quality proteins while mitigating environmental impacts. In particular, cropland-based production of protein-rich animal feed for livestock rearing results in large-scale agricultural land-expansion, nitrogen pollution, and greenhouse gas emissions. Here we propose and analyze the longterm potential of alternative animal feed supply routes based on industrial production of microbial proteins (MP). Our analysis reveals that by 2050, MP can replace, depending on socioeconomic development and MP production pathways, between 10−19% of conventional crop-based animal feed protein demand. As a result, global cropland area, global nitrogen losses from croplands and agricultural greenhouse gas emissions can be decreased by 6% (0−13%), 8% (−3−8%), and 7% (−6−9%), respectively. Interestingly, the technology to industrially produce MP at competitive costs is directly accessible for implementation and has the potential to cause a major structural change in the agro-food system.","container-title":"Environmental Science &amp; Technology","DOI":"10.1021/acs.est.8b00216","ISSN":"0013-936X, 1520-5851","issue":"13","journalAbbreviation":"Environ. Sci. Technol.","language":"en","page":"7351-7359","source":"DOI.org (Crossref)","title":"Decoupling Livestock from Land Use through Industrial Feed Production Pathways","volume":"52","author":[{"family":"Pikaar","given":"Ilje"},{"family":"Matassa","given":"Silvio"},{"family":"Bodirsky","given":"Benjamin L."},{"family":"Weindl","given":"Isabelle"},{"family":"Humpenöder","given":"Florian"},{"family":"Rabaey","given":"Korneel"},{"family":"Boon","given":"Nico"},{"family":"Bruschi","given":"Michele"},{"family":"Yuan","given":"Zhiguo"},{"family":"Zanten","given":"Hannah","non-dropping-particle":"van"},{"family":"Herrero","given":"Mario"},{"family":"Verstraete","given":"Willy"},{"family":"Popp","given":"Alexander"}],"issued":{"date-parts":[["2018",7,3]]}}}],"schema":"https://github.com/citation-style-language/schema/raw/master/csl-citation.json"} </w:instrText>
      </w:r>
      <w:r w:rsidRPr="003F5DA8">
        <w:fldChar w:fldCharType="separate"/>
      </w:r>
      <w:r w:rsidR="005413B4" w:rsidRPr="005413B4">
        <w:rPr>
          <w:rFonts w:ascii="Calibri" w:hAnsi="Calibri" w:cs="Calibri"/>
          <w:szCs w:val="24"/>
          <w:vertAlign w:val="superscript"/>
        </w:rPr>
        <w:t>187</w:t>
      </w:r>
      <w:r w:rsidRPr="003F5DA8">
        <w:fldChar w:fldCharType="end"/>
      </w:r>
      <w:r w:rsidRPr="003F5DA8">
        <w:t>. The second one considers that a bio-based N supply is necessary for MP to perform environmentally better than conventional plant proteins</w:t>
      </w:r>
      <w:r w:rsidRPr="003F5DA8">
        <w:fldChar w:fldCharType="begin"/>
      </w:r>
      <w:r w:rsidR="005413B4">
        <w:instrText xml:space="preserve"> ADDIN ZOTERO_ITEM CSL_CITATION {"citationID":"8HhuvP55","properties":{"formattedCitation":"\\super 199\\nosupersub{}","plainCitation":"199","noteIndex":0},"citationItems":[{"id":12866,"uris":["http://zotero.org/users/6423791/items/26C4AHVP"],"itemData":{"id":12866,"type":"article-journal","abstract":"The growing population and the consequent protein scarcity have led to innovation in proteinaceous feed production methods. In this regard, the upcycling of nitrogen rich effluents into microbial protein (MP)/single cell protein (SCP) is considered as an innovative solution. This paper aims to employ life cycle assessment to identify the most environmentally friendly strategy to upcycle nitrogen (N) and carbon (C) flows from wastewater treatment plant (WWTP) into MP. Accordingly, several pathways for integrating WWTP and MP production facility were evaluated, in terms of C source (i.e., biogas or biomethane) and the pretreatment method applied to the reject water (RW) (i.e., centrifugation + filtration + pasteurization, electrochemical extraction, bio-electrochemical extraction). The results indicated that electrochemical and bio-electrochemical N recovery not only safely extracted N from RW but also led to promising solution for MP production from WWTP effluents. The pathway including bio-electrochemical N recovery and use of biologically upgraded biogas for MP had 42.17%, 195.95%, and 172.03% better environmental performance regarding human health, ecosystem quality, and resource scarcity, respectively, compared with standalone WWTP without MP production. However, the electrochemical N recovery outperformed other scenarios in the human health damage category with a net impact of 2.72 DALY/FU and in ecosystem quality damage category with a saving of −0.033 Species/FU. The results reported herein indicated that the use of chemical nutrients to enrich the cultivation medium had significant impacts on the overall environmental performance of the suggested biorefinery. Decreasing the consumption of synthetic nutrients and improving N to protein conversion efficiency by 20% can make the established pathway much more competitive with conventional proteinaceous feed sources such as soybean meal.","container-title":"Renewable and Sustainable Energy Reviews","DOI":"10.1016/j.rser.2021.111895","ISSN":"1364-0321","journalAbbreviation":"Renew. Sust. Energ. Rev.","language":"en","page":"111895","source":"ScienceDirect","title":"Bridging to circular bioeconomy through a novel biorefinery platform on a wastewater treatment plant","volume":"154","author":[{"family":"Marami","given":"Hadis"},{"family":"He","given":"Li"},{"family":"Rafiee","given":"Shahin"},{"family":"Khoshnevisan","given":"Benyamin"},{"family":"Tsapekos","given":"Panagiotis"},{"family":"Mobli","given":"Hossein"},{"family":"Elyasi","given":"Seyedeh Nashmin"},{"family":"Liu","given":"Hongbin"},{"family":"Angelidaki","given":"Irini"}],"issued":{"date-parts":[["2022",2,1]]}}}],"schema":"https://github.com/citation-style-language/schema/raw/master/csl-citation.json"} </w:instrText>
      </w:r>
      <w:r w:rsidRPr="003F5DA8">
        <w:fldChar w:fldCharType="separate"/>
      </w:r>
      <w:r w:rsidR="005413B4" w:rsidRPr="005413B4">
        <w:rPr>
          <w:rFonts w:ascii="Calibri" w:hAnsi="Calibri" w:cs="Calibri"/>
          <w:szCs w:val="24"/>
          <w:vertAlign w:val="superscript"/>
        </w:rPr>
        <w:t>199</w:t>
      </w:r>
      <w:r w:rsidRPr="003F5DA8">
        <w:fldChar w:fldCharType="end"/>
      </w:r>
      <w:r w:rsidRPr="003F5DA8">
        <w:t>. For the latter, nutrients recovery techniques (not only N, but also P and others) from residual streams are increasingly investigated to supply bioprocesses</w:t>
      </w:r>
      <w:r w:rsidRPr="003F5DA8">
        <w:fldChar w:fldCharType="begin"/>
      </w:r>
      <w:r w:rsidR="005413B4">
        <w:instrText xml:space="preserve"> ADDIN ZOTERO_ITEM CSL_CITATION {"citationID":"9AcDBRvB","properties":{"formattedCitation":"\\super 22,254\\nosupersub{}","plainCitation":"22,254","noteIndex":0},"citationItems":[{"id":12862,"uris":["http://zotero.org/users/6423791/items/YGDJPK4F"],"itemData":{"id":12862,"type":"article-journal","abstract":"The concerns over food security and protein scarcity, driven by population increase and higher standards of living, have pushed scientists toward finding new protein sources. A considerable proportion of resources and agricultural lands are currently dedicated to proteinaceous feed production to raise livestock and poultry for human consumption. The 1st generation of microbial protein (MP) came into the market as land-independent proteinaceous feed for livestock and aquaculture. However, MP may be a less sustainable alternative to conventional feeds, such as soybean meal and fishmeal, because this technology currently requires natural gas and synthetic chemicals. These challenges have directed researchers toward the production of 2nd generation MP by integrating renewable energies, anaerobic digestion, nutrient recovery, biogas cleaning and upgrading, carbon-capture technologies, and fermentation. The fermentation of methane-oxidizing bacteria (MOB) and hydrogen-oxidizing bacteria (HOB), i.e., two protein rich microorganisms, has shown a great potential, on the one hand, to upcycle effluents from anaerobic digestion into protein rich biomass, and on the other hand, to be coupled to renewable energy systems under the concept of Power-to-X. This work compares various production routes for 2nd generation MP by reviewing the latest studies conducted in this context and introducing the state-of-the-art technologies, hoping that the findings can accelerate and facilitate upscaling of MP production. The results show that 2nd generation MP depends on the expansion of renewable energies. In countries with high penetration of renewable electricity, such as Nordic countries, off-peak surplus electricity can be used within MP-industry by supplying electrolytic H2, which is the driving factor for both MOB and HOB-based MP production. However, nutrient recovery technologies are the heart of the 2nd generation MP industry as they determine the process costs and quality of the final product. Although huge attempts have been made to date in this context, some bottlenecks such as immature nutrient recovery technologies, less efficient fermenters with insufficient gas-to-liquid transfer, and costly electrolytic hydrogen production and storage have hindered the scale up of MP production. Furthermore, further research into techno-economic feasibility and life cycle assessment (LCA) of coupled technologies is still needed to identify key points for improvement and thereby secure a sustainable production system.","container-title":"Renewable and Sustainable Energy Reviews","DOI":"10.1016/j.rser.2021.112041","ISSN":"1364-0321","journalAbbreviation":"Renew. Sust. Energ. Rev.","language":"en","page":"112041","source":"ScienceDirect","title":"From renewable energy to sustainable protein sources: Advancement, challenges, and future roadmaps","title-short":"From renewable energy to sustainable protein sources","volume":"157","author":[{"family":"Khoshnevisan","given":"Benyamin"},{"family":"He","given":"Li"},{"family":"Xu","given":"Mingyi"},{"family":"Valverde-Pérez","given":"Borja"},{"family":"Sillman","given":"Jani"},{"family":"Mitraka","given":"Georgia-Christina"},{"family":"Kougias","given":"Panagiotis G."},{"family":"Zhang","given":"Yifeng"},{"family":"Yan","given":"Shuiping"},{"family":"Ji","given":"Long"},{"family":"Carbajales-Dale","given":"Michael"},{"family":"Elyasi","given":"Seyedeh Nashmin"},{"family":"Marami","given":"Hadis"},{"family":"Tsapekos","given":"Panagiotis"},{"family":"Liu","given":"Hongbin"},{"family":"Angelidaki","given":"Irini"}],"issued":{"date-parts":[["2022",4,1]]}}},{"id":13107,"uris":["http://zotero.org/users/6423791/items/TXIKT2EQ"],"itemData":{"id":13107,"type":"article-journal","abstract":"A regular supply of nutrients such as nitrogen and phosphorus to agriculture is needed for global food security, and increased recycling of nutrients back to agriculture from organic waste streams is necessary for increased rural–urban sustainability. Anaerobic digestion of sewage sludge and agricultural wastes is widely applied to stabilize the substrate and capture some of its energetic value via biogas production. Anaerobic digestate is a concentrated source of nutrients to which nutrient recovery technologies can be applied. By combining anaerobic digestion and nutrient recovery technologies on the digestate, both energy and nutrient recovery can be achieved. Two promising technologies that could increase nutrient recycling from different types of wastewater are struvite precipitation and ammonia stripping. This review examined the effectiveness of these ecotechnologies for the recovery of nitrogen and phosphorus from anaerobic digestate with the aim of reducing the impact of waste on the environment.","container-title":"Environmental Evidence","DOI":"10.1186/s13750-020-00211-x","ISSN":"2047-2382","issue":"1","journalAbbreviation":"Environmental Evidence","page":"27","source":"BioMed Central","title":"Effectiveness of struvite precipitation and ammonia stripping for recovery of phosphorus and nitrogen from anaerobic digestate: a systematic review","title-short":"Effectiveness of struvite precipitation and ammonia stripping for recovery of phosphorus and nitrogen from anaerobic digestate","volume":"9","author":[{"family":"Lorick","given":"Dag"},{"family":"Macura","given":"Biljana"},{"family":"Ahlström","given":"Marcus"},{"family":"Grimvall","given":"Anders"},{"family":"Harder","given":"Robin"}],"issued":{"date-parts":[["2020",11,11]]}}}],"schema":"https://github.com/citation-style-language/schema/raw/master/csl-citation.json"} </w:instrText>
      </w:r>
      <w:r w:rsidRPr="003F5DA8">
        <w:fldChar w:fldCharType="separate"/>
      </w:r>
      <w:r w:rsidR="005413B4" w:rsidRPr="005413B4">
        <w:rPr>
          <w:rFonts w:ascii="Calibri" w:hAnsi="Calibri" w:cs="Calibri"/>
          <w:szCs w:val="24"/>
          <w:vertAlign w:val="superscript"/>
        </w:rPr>
        <w:t>22,254</w:t>
      </w:r>
      <w:r w:rsidRPr="003F5DA8">
        <w:fldChar w:fldCharType="end"/>
      </w:r>
      <w:r w:rsidRPr="003F5DA8">
        <w:t>. These techniques are particularly targeting digestate (the liquid fraction) and involve different technical solutions (e.g. struvite, stripping, electrochemical extraction)</w:t>
      </w:r>
      <w:r w:rsidRPr="003F5DA8">
        <w:fldChar w:fldCharType="begin"/>
      </w:r>
      <w:r w:rsidR="005413B4">
        <w:instrText xml:space="preserve"> ADDIN ZOTERO_ITEM CSL_CITATION {"citationID":"KCg0ScEj","properties":{"formattedCitation":"\\super 255\\nosupersub{}","plainCitation":"255","noteIndex":0},"citationItems":[{"id":12895,"uris":["http://zotero.org/users/6423791/items/4S54WLTQ"],"itemData":{"id":12895,"type":"chapter","abstract":"Anaerobic digestion (AD) is considered an important brick of the circular economy allowing to treat and stabilize organic residues, produce renewable energy and promote the return to soil of organic matter and mineral nutrients. Digestate has been historically seen as a biogas by-product with a fertilizing value while representing a significant cost sector to AD plant operators. A paradigm shift is now necessary as other renewable energy sources with lowering production costs tend to disrupt an AD economic model greatly relying on subsidized biogas valorisation either via electricity or purification to biomethane. This chapter is focused on digestate post-treatments allowing to generate value-added products while closing and enhancing the loop between major agricultural inputs and outputs, the latter being indirectly present in digestates. Several options exist to generate mineral fertilizers, soil amendments, organo-mineral fertilizers, biostimulants, biocontrol products, energy and beyond from digestate. Consumer behaviour and regulatory framework evolution are necessary for increasing the demand and enabling a more sustainable agriculture based on biosourced upcycled materials. A major global milestone has been recently achieved as the EU has introduced a new fertilizer regulation (CE 2019/1009) that will tend to boost the commercialisation of digestate-based products within the world’s largest common market.","collection-title":"Applied Environmental Science and Engineering for a Sustainable Future","container-title":"Renewable Energy Technologies for Energy Efficient Sustainable Development","event-place":"Cham","ISBN":"978-3-030-87633-3","language":"en","note":"DOI: 10.1007/978-3-030-87633-3_9","page":"227-262","publisher":"Springer International Publishing","publisher-place":"Cham","source":"Springer Link","title":"Valorisation of Anaerobic Digestate: Towards Value-Added Products","title-short":"Valorisation of Anaerobic Digestate","URL":"https://doi.org/10.1007/978-3-030-87633-3_9","author":[{"family":"Guilayn","given":"F."},{"family":"Jimenez","given":"J."},{"family":"Monlau","given":"F."},{"family":"Vaneeckhaute","given":"C."}],"editor":[{"family":"Sinharoy","given":"Arindam"},{"family":"Lens","given":"Piet N. L."}],"accessed":{"date-parts":[["2022",1,8]]},"issued":{"date-parts":[["2022"]]}}}],"schema":"https://github.com/citation-style-language/schema/raw/master/csl-citation.json"} </w:instrText>
      </w:r>
      <w:r w:rsidRPr="003F5DA8">
        <w:fldChar w:fldCharType="separate"/>
      </w:r>
      <w:r w:rsidR="005413B4" w:rsidRPr="005413B4">
        <w:rPr>
          <w:rFonts w:ascii="Calibri" w:hAnsi="Calibri" w:cs="Calibri"/>
          <w:szCs w:val="24"/>
          <w:vertAlign w:val="superscript"/>
        </w:rPr>
        <w:t>255</w:t>
      </w:r>
      <w:r w:rsidRPr="003F5DA8">
        <w:fldChar w:fldCharType="end"/>
      </w:r>
      <w:r w:rsidRPr="003F5DA8">
        <w:t>.</w:t>
      </w:r>
      <w:r w:rsidR="00F87563">
        <w:t xml:space="preserve"> Here, N supplies was modeled as conventional N fertilizer services</w:t>
      </w:r>
      <w:r w:rsidR="000B1555">
        <w:t>, as for all fermentative processes (including SSF and mycoproteins). The option to r</w:t>
      </w:r>
      <w:r w:rsidR="000B1555" w:rsidRPr="008F2922">
        <w:t>ecover</w:t>
      </w:r>
      <w:r w:rsidR="000B1555">
        <w:t xml:space="preserve"> nitrogen</w:t>
      </w:r>
      <w:r w:rsidR="000B1555" w:rsidRPr="008F2922">
        <w:t xml:space="preserve"> from AD’s digestate was not </w:t>
      </w:r>
      <w:r w:rsidR="000B1555">
        <w:t xml:space="preserve">assessed </w:t>
      </w:r>
      <w:r w:rsidR="000B1555" w:rsidRPr="008F2922">
        <w:t xml:space="preserve">for three reasons: digestate is a </w:t>
      </w:r>
      <w:r w:rsidR="000B1555" w:rsidRPr="008F2922">
        <w:lastRenderedPageBreak/>
        <w:t>constrained resource</w:t>
      </w:r>
      <w:r w:rsidR="000B1555">
        <w:t xml:space="preserve"> (thus not available on demand)</w:t>
      </w:r>
      <w:r w:rsidR="000B1555" w:rsidRPr="008F2922">
        <w:t>,</w:t>
      </w:r>
      <w:r w:rsidR="000B1555">
        <w:t xml:space="preserve"> unravelling the best N source to supply bioprocesses remains an open research question (</w:t>
      </w:r>
      <w:r w:rsidR="000B1555" w:rsidRPr="008F2922">
        <w:fldChar w:fldCharType="begin"/>
      </w:r>
      <w:r w:rsidR="000B1555">
        <w:instrText xml:space="preserve"> ADDIN ZOTERO_ITEM CSL_CITATION {"citationID":"c38pj0v7","properties":{"formattedCitation":"(Matassa et al., 2023; Spiller et al., 2022)","plainCitation":"(Matassa et al., 2023; Spiller et al., 2022)","dontUpdate":true,"noteIndex":0},"citationItems":[{"id":14007,"uris":["http://zotero.org/users/6423791/items/C8STKGN2"],"itemData":{"id":14007,"type":"article-journal","abstract":"Our economy drives on reactive nitrogen (Nr); while Nr emissions to the environment surpass the planetary boundary. Increasingly, it is advocated to recover Nr contained in waste streams and to reuse it ‘directly’ in the agri-food chain. Alternatively, Nr in waste streams may be removed as N2 and refixed via the Haber-Bosch process in an ‘indirect’ reuse loop. As a systematic sustainability analysis of ‘direct’ Nr reuse and its comparison to the ‘indirect’ reuse loop is lacking, this structured review aimed to analyze literature determining the environmental and economic sustainability of Nr recovery technologies. Bibliometric records were queried from 2000 to 2020 using Boolean search strings, and manual text coding. In total, 63 studies were selected for the review. Results suggest that ‘direct’ Nr reuse using Nr recovery technologies is the preferred paradigm as the majority of studies concluded that it is sustainable or that it can be sustainable depending on technological assumptions and other scenario variables. Only 17 studies compared the ‘direct’ with the ‘indirect’ Nr reuse route, therefore a system perspective in Nr recovery sustainability assessments should be more widely adopted. Furthermore, Nr reuse should also be analyzed in the context of a ‘new Nr economy’ that relies on decentralized Nr production from renewable energy. It is also recommended that on-par technology readiness level comparisons should be carried out, making use of technology development and technology learning methodologies. Finally, by-products of Nr recovery are important to be accounted for as they are reducing the environmental burdens through avoided impacts.","container-title":"Resources, Conservation and Recycling","DOI":"10.1016/j.resconrec.2022.106406","ISSN":"0921-3449","journalAbbreviation":"Resour. Conserv. Recycl.","language":"en","page":"106406","source":"ScienceDirect","title":"Environmental and economic sustainability of the nitrogen recovery paradigm: Evidence from a structured literature review","title-short":"Environmental and economic sustainability of the nitrogen recovery paradigm","volume":"184","author":[{"family":"Spiller","given":"Marc"},{"family":"Moretti","given":"Michele"},{"family":"De Paepe","given":"Jolien"},{"family":"Vlaeminck","given":"Siegfried E."}],"issued":{"date-parts":[["2022",9,1]]}}},{"id":13917,"uris":["http://zotero.org/users/6423791/items/37FR695Y"],"itemData":{"id":13917,"type":"article-journal","abstract":"Nitrogen is the most crucial element in the production of nutritious feeds and foods. The production of reactive nitrogen by means of fossil fuel has thus far been able to guarantee the protein supply for the world population. Yet, the production and massive use of fertilizer nitrogen constitute a major threat in terms of environmental health and sustainability. It is crucial to promote consumer acceptance and awareness towards proteins produced by highly effective microorganisms, and their potential to replace proteins obtained with poor nitrogen efficiencies from plants and animals. The fact that reactive fertilizer nitrogen, produced by the Haber Bosch process, consumes a significant amount of fossil fuel worldwide is of concern. Moreover, recently, the prices of fossil fuels have increased the cost of reactive nitrogen by a factor of 3 to 5 times, while international policies are fostering the transition towards a more sustainable agro-ecology by reducing mineral fertilizers inputs and increasing organic farming. The combination of these pressures and challenges opens opportunities to use the reactive nitrogen nutrient more carefully. Time has come to effectively recover used nitrogen from secondary resources and to upgrade it to a legal status of fertilizer. Organic nitrogen is a slow-release fertilizer, it has a factor of 2.5 or higher economic value per unit nitrogen as fertilizer and thus adequate technologies to produce it, for instance by implementing photobiological processes, are promising. Finally, it appears wise to start the integration in our overall feed and food supply chains of the exceptional potential of biological nitrogen fixation. Nitrogen produced by the nitrogenase enzyme, either in the soil or in novel biotechnology reactor systems, deserves to have a ‘renaissance’ in the context of planetary governance in general and the increasing number of people who desire to be fed in a sustainable way in particular.","container-title":"Microbial Biotechnology","DOI":"10.1111/1751-7915.14159","ISSN":"1751-7915","issue":"1","journalAbbreviation":"Microb. Biotechnol.","language":"en","note":"_eprint: https://onlinelibrary.wiley.com/doi/pdf/10.1111/1751-7915.14159","page":"15-27","source":"Wiley Online Library","title":"How can we possibly resolve the planet's nitrogen dilemma?","volume":"16","author":[{"family":"Matassa","given":"Silvio"},{"family":"Boeckx","given":"Pascal"},{"family":"Boere","given":"Jos"},{"family":"Erisman","given":"Jan Willem"},{"family":"Guo","given":"Miao"},{"family":"Manzo","given":"Raffaele"},{"family":"Meerburg","given":"Francis"},{"family":"Papirio","given":"Stefano"},{"family":"Pikaar","given":"Ilje"},{"family":"Rabaey","given":"Korneel"},{"family":"Rousseau","given":"Diederik"},{"family":"Schnoor","given":"Jerald"},{"family":"Smith","given":"Peter"},{"family":"Smolders","given":"Erik"},{"family":"Wuertz","given":"Stefan"},{"family":"Verstraete","given":"Willy"}],"issued":{"date-parts":[["2023"]]}}}],"schema":"https://github.com/citation-style-language/schema/raw/master/csl-citation.json"} </w:instrText>
      </w:r>
      <w:r w:rsidR="000B1555" w:rsidRPr="008F2922">
        <w:fldChar w:fldCharType="separate"/>
      </w:r>
      <w:r w:rsidR="000B1555" w:rsidRPr="008F2922">
        <w:rPr>
          <w:rFonts w:ascii="Calibri" w:hAnsi="Calibri" w:cs="Calibri"/>
        </w:rPr>
        <w:t>Matassa et al., 2023; Spiller et al., 2022)</w:t>
      </w:r>
      <w:r w:rsidR="000B1555" w:rsidRPr="008F2922">
        <w:fldChar w:fldCharType="end"/>
      </w:r>
      <w:r w:rsidR="000B1555">
        <w:t>, and</w:t>
      </w:r>
      <w:r w:rsidR="000B1555" w:rsidRPr="008F2922">
        <w:t xml:space="preserve"> </w:t>
      </w:r>
      <w:r w:rsidR="000B1555">
        <w:t>f</w:t>
      </w:r>
      <w:r w:rsidR="000B1555" w:rsidRPr="008F2922">
        <w:t>inally</w:t>
      </w:r>
      <w:r w:rsidR="000B1555">
        <w:t xml:space="preserve">, </w:t>
      </w:r>
      <w:r w:rsidR="000B1555" w:rsidRPr="008F2922">
        <w:t xml:space="preserve">only advanced and multiple risk-clearing barriers N recovery pathways would </w:t>
      </w:r>
      <w:r w:rsidR="000B1555">
        <w:t>unlock</w:t>
      </w:r>
      <w:r w:rsidR="000B1555" w:rsidRPr="008F2922">
        <w:t xml:space="preserve"> the safe reuse of waste-based N for food and feed services</w:t>
      </w:r>
      <w:r w:rsidR="000B1555">
        <w:t xml:space="preserve"> (see </w:t>
      </w:r>
      <w:r w:rsidR="000B1555" w:rsidRPr="008F2922">
        <w:t>risk mitigation</w:t>
      </w:r>
      <w:r w:rsidR="000B1555">
        <w:t xml:space="preserve"> criteria in </w:t>
      </w:r>
      <w:r w:rsidR="000B1555" w:rsidRPr="008F2922">
        <w:rPr>
          <w:b/>
        </w:rPr>
        <w:t>section 2.1.3</w:t>
      </w:r>
      <w:r w:rsidR="000B1555" w:rsidRPr="008F2922">
        <w:t>.)</w:t>
      </w:r>
      <w:r w:rsidR="000B1555">
        <w:t xml:space="preserve">. These recovery </w:t>
      </w:r>
      <w:r w:rsidR="000B1555" w:rsidRPr="008F2922">
        <w:t>technologies are</w:t>
      </w:r>
      <w:r w:rsidR="000B1555">
        <w:t xml:space="preserve"> currently</w:t>
      </w:r>
      <w:r w:rsidR="000B1555" w:rsidRPr="008F2922">
        <w:t xml:space="preserve"> immature </w:t>
      </w:r>
      <w:r w:rsidR="000B1555" w:rsidRPr="008F2922">
        <w:fldChar w:fldCharType="begin"/>
      </w:r>
      <w:r w:rsidR="005413B4">
        <w:instrText xml:space="preserve"> ADDIN ZOTERO_ITEM CSL_CITATION {"citationID":"Ak0t4n7G","properties":{"formattedCitation":"\\super 22\\nosupersub{}","plainCitation":"22","noteIndex":0},"citationItems":[{"id":12862,"uris":["http://zotero.org/users/6423791/items/YGDJPK4F"],"itemData":{"id":12862,"type":"article-journal","abstract":"The concerns over food security and protein scarcity, driven by population increase and higher standards of living, have pushed scientists toward finding new protein sources. A considerable proportion of resources and agricultural lands are currently dedicated to proteinaceous feed production to raise livestock and poultry for human consumption. The 1st generation of microbial protein (MP) came into the market as land-independent proteinaceous feed for livestock and aquaculture. However, MP may be a less sustainable alternative to conventional feeds, such as soybean meal and fishmeal, because this technology currently requires natural gas and synthetic chemicals. These challenges have directed researchers toward the production of 2nd generation MP by integrating renewable energies, anaerobic digestion, nutrient recovery, biogas cleaning and upgrading, carbon-capture technologies, and fermentation. The fermentation of methane-oxidizing bacteria (MOB) and hydrogen-oxidizing bacteria (HOB), i.e., two protein rich microorganisms, has shown a great potential, on the one hand, to upcycle effluents from anaerobic digestion into protein rich biomass, and on the other hand, to be coupled to renewable energy systems under the concept of Power-to-X. This work compares various production routes for 2nd generation MP by reviewing the latest studies conducted in this context and introducing the state-of-the-art technologies, hoping that the findings can accelerate and facilitate upscaling of MP production. The results show that 2nd generation MP depends on the expansion of renewable energies. In countries with high penetration of renewable electricity, such as Nordic countries, off-peak surplus electricity can be used within MP-industry by supplying electrolytic H2, which is the driving factor for both MOB and HOB-based MP production. However, nutrient recovery technologies are the heart of the 2nd generation MP industry as they determine the process costs and quality of the final product. Although huge attempts have been made to date in this context, some bottlenecks such as immature nutrient recovery technologies, less efficient fermenters with insufficient gas-to-liquid transfer, and costly electrolytic hydrogen production and storage have hindered the scale up of MP production. Furthermore, further research into techno-economic feasibility and life cycle assessment (LCA) of coupled technologies is still needed to identify key points for improvement and thereby secure a sustainable production system.","container-title":"Renewable and Sustainable Energy Reviews","DOI":"10.1016/j.rser.2021.112041","ISSN":"1364-0321","journalAbbreviation":"Renew. Sust. Energ. Rev.","language":"en","page":"112041","source":"ScienceDirect","title":"From renewable energy to sustainable protein sources: Advancement, challenges, and future roadmaps","title-short":"From renewable energy to sustainable protein sources","volume":"157","author":[{"family":"Khoshnevisan","given":"Benyamin"},{"family":"He","given":"Li"},{"family":"Xu","given":"Mingyi"},{"family":"Valverde-Pérez","given":"Borja"},{"family":"Sillman","given":"Jani"},{"family":"Mitraka","given":"Georgia-Christina"},{"family":"Kougias","given":"Panagiotis G."},{"family":"Zhang","given":"Yifeng"},{"family":"Yan","given":"Shuiping"},{"family":"Ji","given":"Long"},{"family":"Carbajales-Dale","given":"Michael"},{"family":"Elyasi","given":"Seyedeh Nashmin"},{"family":"Marami","given":"Hadis"},{"family":"Tsapekos","given":"Panagiotis"},{"family":"Liu","given":"Hongbin"},{"family":"Angelidaki","given":"Irini"}],"issued":{"date-parts":[["2022",4,1]]}}}],"schema":"https://github.com/citation-style-language/schema/raw/master/csl-citation.json"} </w:instrText>
      </w:r>
      <w:r w:rsidR="000B1555" w:rsidRPr="008F2922">
        <w:fldChar w:fldCharType="separate"/>
      </w:r>
      <w:r w:rsidR="005413B4" w:rsidRPr="005413B4">
        <w:rPr>
          <w:rFonts w:ascii="Calibri" w:hAnsi="Calibri" w:cs="Calibri"/>
          <w:szCs w:val="24"/>
          <w:vertAlign w:val="superscript"/>
        </w:rPr>
        <w:t>22</w:t>
      </w:r>
      <w:r w:rsidR="000B1555" w:rsidRPr="008F2922">
        <w:fldChar w:fldCharType="end"/>
      </w:r>
      <w:r w:rsidR="000B1555">
        <w:t xml:space="preserve">, </w:t>
      </w:r>
      <w:r w:rsidR="000B1555" w:rsidRPr="008F2922">
        <w:t>prevent</w:t>
      </w:r>
      <w:r w:rsidR="000B1555">
        <w:t>ing</w:t>
      </w:r>
      <w:r w:rsidR="000B1555" w:rsidRPr="008F2922">
        <w:t xml:space="preserve"> robust modeling.</w:t>
      </w:r>
      <w:r w:rsidR="000B1555">
        <w:t xml:space="preserve"> </w:t>
      </w:r>
      <w:r w:rsidR="00F87563">
        <w:t xml:space="preserve">Additionally, </w:t>
      </w:r>
      <w:r w:rsidRPr="003544BA">
        <w:t>syngas</w:t>
      </w:r>
      <w:r w:rsidRPr="003F5DA8">
        <w:t xml:space="preserve"> was considered N-gases-less; all N embedded in the biomass returns to the air, soil or water bodies.</w:t>
      </w:r>
    </w:p>
    <w:p w14:paraId="493D10FC" w14:textId="77777777" w:rsidR="002A6FDB" w:rsidRPr="002A6FDB" w:rsidRDefault="002A6FDB" w:rsidP="00F87563">
      <w:pPr>
        <w:pStyle w:val="Titre4"/>
      </w:pPr>
      <w:r w:rsidRPr="002A6FDB">
        <w:t>Gas injection</w:t>
      </w:r>
    </w:p>
    <w:p w14:paraId="46C17028" w14:textId="2208980F" w:rsidR="002A6FDB" w:rsidRPr="003F5DA8" w:rsidRDefault="002A6FDB" w:rsidP="00F87563">
      <w:pPr>
        <w:ind w:firstLine="360"/>
        <w:jc w:val="both"/>
      </w:pPr>
      <w:r w:rsidRPr="003F5DA8">
        <w:t>Gases compression is a significant contributor to the infrastructure and energy expenses of bioreactors</w:t>
      </w:r>
      <w:r w:rsidRPr="003F5DA8">
        <w:fldChar w:fldCharType="begin"/>
      </w:r>
      <w:r w:rsidR="005413B4">
        <w:instrText xml:space="preserve"> ADDIN ZOTERO_ITEM CSL_CITATION {"citationID":"jrPpflo0","properties":{"formattedCitation":"\\super 186\\nosupersub{}","plainCitation":"186","noteIndex":0},"citationItems":[{"id":12881,"uris":["http://zotero.org/users/6423791/items/XFWA5FUP"],"itemData":{"id":12881,"type":"article-journal","abstract":"A major obstacle preventing the large scale production of polyhydroxyalkanoates (PHAs) has been the lack of a reliable, low cost, large volume feedstock. The abundance and relatively low price of methane therefore marks it as a substrate of interest. This paper presents a techno-economic assessment of the production of poly-3-hydroxybutyrate (PHB) from methane. ASPEN Plus was used for process design and simulation. The design and economic evaluation is presented for production of 100,000t/a PHB through methanotrophic fermentation and acetone-water solvent extraction. Production costs were estimated at $4.1–$6.8/kg PHA, which compares against a median price of $7.5/kg from other studies. Raw material costs are reduced from 30 to 50% of production for sugar feedstocks, to 22% of production for methane. A feature of the work is the revelation that heat removal from the two-stage bioreactor process contributes 28% of the operating cost. Thermophilic methanotrophs could allow the use of cooling water instead of refrigerant, reducing production costs to $3.2–5.4/kg PHA; it is noted that PHB producing thermophilic methanotrophs are yet to be isolated. Energy consumption for air compression and biomass drying were also identified as significant capital and operating costs and therefore optimisation of bioreactor height and pressure and biomass moisture content should be considered in future research.","container-title":"Journal of Environmental Chemical Engineering","DOI":"10.1016/j.jece.2016.07.033","ISSN":"2213-3437","issue":"4, Part A","journalAbbreviation":"J. Environ. Chem. Eng.","language":"en","page":"3724-3733","source":"ScienceDirect","title":"Techno-economic assessment of poly-3-hydroxybutyrate (PHB) production from methane—The case for thermophilic bioprocessing","volume":"4","author":[{"family":"Levett","given":"Ian"},{"family":"Birkett","given":"Greg"},{"family":"Davies","given":"Nick"},{"family":"Bell","given":"Aidan"},{"family":"Langford","given":"Alexandra"},{"family":"Laycock","given":"Bronwyn"},{"family":"Lant","given":"Paul"},{"family":"Pratt","given":"Steven"}],"issued":{"date-parts":[["2016",12,1]]}}}],"schema":"https://github.com/citation-style-language/schema/raw/master/csl-citation.json"} </w:instrText>
      </w:r>
      <w:r w:rsidRPr="003F5DA8">
        <w:fldChar w:fldCharType="separate"/>
      </w:r>
      <w:r w:rsidR="005413B4" w:rsidRPr="005413B4">
        <w:rPr>
          <w:rFonts w:ascii="Calibri" w:hAnsi="Calibri" w:cs="Calibri"/>
          <w:szCs w:val="24"/>
          <w:vertAlign w:val="superscript"/>
        </w:rPr>
        <w:t>186</w:t>
      </w:r>
      <w:r w:rsidRPr="003F5DA8">
        <w:fldChar w:fldCharType="end"/>
      </w:r>
      <w:r w:rsidRPr="003F5DA8">
        <w:t>. Here, the selected U-loop design is based on a head pressure of 6 bars to favor gas-liquid transfers, based on Unibio design</w:t>
      </w:r>
      <w:r w:rsidRPr="003F5DA8">
        <w:fldChar w:fldCharType="begin"/>
      </w:r>
      <w:r w:rsidR="005413B4">
        <w:instrText xml:space="preserve"> ADDIN ZOTERO_ITEM CSL_CITATION {"citationID":"VNZHAvqJ","properties":{"formattedCitation":"\\super 199\\nosupersub{}","plainCitation":"199","noteIndex":0},"citationItems":[{"id":12866,"uris":["http://zotero.org/users/6423791/items/26C4AHVP"],"itemData":{"id":12866,"type":"article-journal","abstract":"The growing population and the consequent protein scarcity have led to innovation in proteinaceous feed production methods. In this regard, the upcycling of nitrogen rich effluents into microbial protein (MP)/single cell protein (SCP) is considered as an innovative solution. This paper aims to employ life cycle assessment to identify the most environmentally friendly strategy to upcycle nitrogen (N) and carbon (C) flows from wastewater treatment plant (WWTP) into MP. Accordingly, several pathways for integrating WWTP and MP production facility were evaluated, in terms of C source (i.e., biogas or biomethane) and the pretreatment method applied to the reject water (RW) (i.e., centrifugation + filtration + pasteurization, electrochemical extraction, bio-electrochemical extraction). The results indicated that electrochemical and bio-electrochemical N recovery not only safely extracted N from RW but also led to promising solution for MP production from WWTP effluents. The pathway including bio-electrochemical N recovery and use of biologically upgraded biogas for MP had 42.17%, 195.95%, and 172.03% better environmental performance regarding human health, ecosystem quality, and resource scarcity, respectively, compared with standalone WWTP without MP production. However, the electrochemical N recovery outperformed other scenarios in the human health damage category with a net impact of 2.72 DALY/FU and in ecosystem quality damage category with a saving of −0.033 Species/FU. The results reported herein indicated that the use of chemical nutrients to enrich the cultivation medium had significant impacts on the overall environmental performance of the suggested biorefinery. Decreasing the consumption of synthetic nutrients and improving N to protein conversion efficiency by 20% can make the established pathway much more competitive with conventional proteinaceous feed sources such as soybean meal.","container-title":"Renewable and Sustainable Energy Reviews","DOI":"10.1016/j.rser.2021.111895","ISSN":"1364-0321","journalAbbreviation":"Renew. Sust. Energ. Rev.","language":"en","page":"111895","source":"ScienceDirect","title":"Bridging to circular bioeconomy through a novel biorefinery platform on a wastewater treatment plant","volume":"154","author":[{"family":"Marami","given":"Hadis"},{"family":"He","given":"Li"},{"family":"Rafiee","given":"Shahin"},{"family":"Khoshnevisan","given":"Benyamin"},{"family":"Tsapekos","given":"Panagiotis"},{"family":"Mobli","given":"Hossein"},{"family":"Elyasi","given":"Seyedeh Nashmin"},{"family":"Liu","given":"Hongbin"},{"family":"Angelidaki","given":"Irini"}],"issued":{"date-parts":[["2022",2,1]]}}}],"schema":"https://github.com/citation-style-language/schema/raw/master/csl-citation.json"} </w:instrText>
      </w:r>
      <w:r w:rsidRPr="003F5DA8">
        <w:fldChar w:fldCharType="separate"/>
      </w:r>
      <w:r w:rsidR="005413B4" w:rsidRPr="005413B4">
        <w:rPr>
          <w:rFonts w:ascii="Calibri" w:hAnsi="Calibri" w:cs="Calibri"/>
          <w:szCs w:val="24"/>
          <w:vertAlign w:val="superscript"/>
        </w:rPr>
        <w:t>199</w:t>
      </w:r>
      <w:r w:rsidRPr="003F5DA8">
        <w:fldChar w:fldCharType="end"/>
      </w:r>
      <w:r w:rsidRPr="003F5DA8">
        <w:t xml:space="preserve"> (but set as a parameter, see</w:t>
      </w:r>
      <w:r w:rsidR="00F87563">
        <w:t xml:space="preserve"> </w:t>
      </w:r>
      <w:r w:rsidR="00F87563" w:rsidRPr="00F87563">
        <w:rPr>
          <w:b/>
        </w:rPr>
        <w:fldChar w:fldCharType="begin"/>
      </w:r>
      <w:r w:rsidR="00F87563" w:rsidRPr="00F87563">
        <w:rPr>
          <w:b/>
        </w:rPr>
        <w:instrText xml:space="preserve"> REF _Ref144829267 \h </w:instrText>
      </w:r>
      <w:r w:rsidR="00F87563">
        <w:rPr>
          <w:b/>
        </w:rPr>
        <w:instrText xml:space="preserve"> \* MERGEFORMAT </w:instrText>
      </w:r>
      <w:r w:rsidR="00F87563" w:rsidRPr="00F87563">
        <w:rPr>
          <w:b/>
        </w:rPr>
      </w:r>
      <w:r w:rsidR="00F87563" w:rsidRPr="00F87563">
        <w:rPr>
          <w:b/>
        </w:rPr>
        <w:fldChar w:fldCharType="separate"/>
      </w:r>
      <w:r w:rsidR="00F25F8C" w:rsidRPr="00F25F8C">
        <w:rPr>
          <w:b/>
        </w:rPr>
        <w:t xml:space="preserve">Table SI. </w:t>
      </w:r>
      <w:r w:rsidR="00F25F8C" w:rsidRPr="00F25F8C">
        <w:rPr>
          <w:b/>
          <w:noProof/>
        </w:rPr>
        <w:t>81</w:t>
      </w:r>
      <w:r w:rsidR="00F87563" w:rsidRPr="00F87563">
        <w:rPr>
          <w:b/>
        </w:rPr>
        <w:fldChar w:fldCharType="end"/>
      </w:r>
      <w:r w:rsidRPr="003F5DA8">
        <w:t>). The hydrostatic pressure due to the 50m height was accounted, because of the bottom gas injection design to ensure proper mixing of the bioreactor. Related energy requirements were calculated as described in</w:t>
      </w:r>
      <w:r w:rsidR="00F87563">
        <w:t xml:space="preserve"> </w:t>
      </w:r>
      <w:r w:rsidR="00F87563" w:rsidRPr="00F87563">
        <w:rPr>
          <w:b/>
        </w:rPr>
        <w:t xml:space="preserve">section </w:t>
      </w:r>
      <w:r w:rsidR="000C6C37">
        <w:rPr>
          <w:b/>
        </w:rPr>
        <w:t xml:space="preserve">SI. </w:t>
      </w:r>
      <w:r w:rsidR="00F87563" w:rsidRPr="00F87563">
        <w:rPr>
          <w:b/>
        </w:rPr>
        <w:fldChar w:fldCharType="begin"/>
      </w:r>
      <w:r w:rsidR="00F87563" w:rsidRPr="00F87563">
        <w:rPr>
          <w:b/>
        </w:rPr>
        <w:instrText xml:space="preserve"> REF _Ref144829309 \r \h </w:instrText>
      </w:r>
      <w:r w:rsidR="00F87563">
        <w:rPr>
          <w:b/>
        </w:rPr>
        <w:instrText xml:space="preserve"> \* MERGEFORMAT </w:instrText>
      </w:r>
      <w:r w:rsidR="00F87563" w:rsidRPr="00F87563">
        <w:rPr>
          <w:b/>
        </w:rPr>
      </w:r>
      <w:r w:rsidR="00F87563" w:rsidRPr="00F87563">
        <w:rPr>
          <w:b/>
        </w:rPr>
        <w:fldChar w:fldCharType="separate"/>
      </w:r>
      <w:r w:rsidR="00F25F8C">
        <w:rPr>
          <w:b/>
        </w:rPr>
        <w:t>4.1.2</w:t>
      </w:r>
      <w:r w:rsidR="00F87563" w:rsidRPr="00F87563">
        <w:rPr>
          <w:b/>
        </w:rPr>
        <w:fldChar w:fldCharType="end"/>
      </w:r>
      <w:r w:rsidRPr="003544BA">
        <w:t>.</w:t>
      </w:r>
      <w:r w:rsidRPr="003F5DA8">
        <w:t xml:space="preserve"> Gas-liquid transfers are also increased through the implementation of efficient gas recirculation system</w:t>
      </w:r>
      <w:r w:rsidRPr="003F5DA8">
        <w:fldChar w:fldCharType="begin"/>
      </w:r>
      <w:r w:rsidR="005413B4">
        <w:instrText xml:space="preserve"> ADDIN ZOTERO_ITEM CSL_CITATION {"citationID":"xGBIapty","properties":{"formattedCitation":"\\super 208\\nosupersub{}","plainCitation":"208","noteIndex":0},"citationItems":[{"id":12861,"uris":["http://zotero.org/users/6423791/items/MMRL8T2B"],"itemData":{"id":12861,"type":"report","abstract":"The research team developed bioprocesses using knallgas microorganisms grown on CO2 and H2 gaseous bases to convert CO2 into oil and other hydrocarbon products. Laboratory development was used to guide the scale up of bioprocesses to 20 L reactor scale and culminated in the design of a 50 L scale mobile pilot facility that could be used for testing at various potential CO2 feedstock locations. This report describes the processes, methods, and equipment used to achieve robust growth of a model knallgas microorganism; oil and other biochemical products generated by the organism, and establishes a proof of concept for knallgas bioprocess technology.","genre":"Final Project Report","language":"en","number":"CEC-500-2017-005","page":"133","publisher":"California Energy Commission","source":"Zotero","title":"CO2 Conversion by Knallgas Microorganism - Evaluation of products and processes","URL":"https://pdfslide.net/documents/co2-conversion-by-knallgas-microorganism-pilot-plant-description-66.html","author":[{"family":"Reed","given":"John"},{"family":"Geller","given":"Jil"},{"family":"McDaniel","given":"Robert"}],"issued":{"date-parts":[["2017",1]]}}}],"schema":"https://github.com/citation-style-language/schema/raw/master/csl-citation.json"} </w:instrText>
      </w:r>
      <w:r w:rsidRPr="003F5DA8">
        <w:fldChar w:fldCharType="separate"/>
      </w:r>
      <w:r w:rsidR="005413B4" w:rsidRPr="005413B4">
        <w:rPr>
          <w:rFonts w:ascii="Calibri" w:hAnsi="Calibri" w:cs="Calibri"/>
          <w:szCs w:val="24"/>
          <w:vertAlign w:val="superscript"/>
        </w:rPr>
        <w:t>208</w:t>
      </w:r>
      <w:r w:rsidRPr="003F5DA8">
        <w:fldChar w:fldCharType="end"/>
      </w:r>
      <w:r w:rsidRPr="003F5DA8">
        <w:t xml:space="preserve">, but associated energy was neglected (no drop in pressure). These systems were assumed </w:t>
      </w:r>
      <w:r w:rsidR="00E12655">
        <w:t xml:space="preserve">designed to achieve </w:t>
      </w:r>
      <w:r w:rsidRPr="003F5DA8">
        <w:t>the gas use rate</w:t>
      </w:r>
      <w:r w:rsidR="00E12655">
        <w:t>s</w:t>
      </w:r>
      <w:r w:rsidRPr="003F5DA8">
        <w:t xml:space="preserve"> </w:t>
      </w:r>
      <w:r w:rsidR="00E12655">
        <w:t>a</w:t>
      </w:r>
      <w:r w:rsidRPr="003F5DA8">
        <w:t xml:space="preserve">s defined in </w:t>
      </w:r>
      <w:r w:rsidR="00E12655" w:rsidRPr="00F87563">
        <w:rPr>
          <w:b/>
        </w:rPr>
        <w:fldChar w:fldCharType="begin"/>
      </w:r>
      <w:r w:rsidR="00E12655" w:rsidRPr="00F87563">
        <w:rPr>
          <w:b/>
        </w:rPr>
        <w:instrText xml:space="preserve"> REF _Ref144829267 \h </w:instrText>
      </w:r>
      <w:r w:rsidR="00E12655">
        <w:rPr>
          <w:b/>
        </w:rPr>
        <w:instrText xml:space="preserve"> \* MERGEFORMAT </w:instrText>
      </w:r>
      <w:r w:rsidR="00E12655" w:rsidRPr="00F87563">
        <w:rPr>
          <w:b/>
        </w:rPr>
      </w:r>
      <w:r w:rsidR="00E12655" w:rsidRPr="00F87563">
        <w:rPr>
          <w:b/>
        </w:rPr>
        <w:fldChar w:fldCharType="separate"/>
      </w:r>
      <w:r w:rsidR="00F25F8C" w:rsidRPr="00F25F8C">
        <w:rPr>
          <w:b/>
        </w:rPr>
        <w:t xml:space="preserve">Table SI. </w:t>
      </w:r>
      <w:r w:rsidR="00F25F8C" w:rsidRPr="00F25F8C">
        <w:rPr>
          <w:b/>
          <w:noProof/>
        </w:rPr>
        <w:t>81</w:t>
      </w:r>
      <w:r w:rsidR="00E12655" w:rsidRPr="00F87563">
        <w:rPr>
          <w:b/>
        </w:rPr>
        <w:fldChar w:fldCharType="end"/>
      </w:r>
      <w:r w:rsidRPr="003F5DA8">
        <w:t>. All compressed gases were modeled as air at this stage, because of their relative high share of O</w:t>
      </w:r>
      <w:r w:rsidRPr="003F5DA8">
        <w:rPr>
          <w:vertAlign w:val="subscript"/>
        </w:rPr>
        <w:t>2</w:t>
      </w:r>
      <w:r w:rsidRPr="003F5DA8">
        <w:t xml:space="preserve"> and N</w:t>
      </w:r>
      <w:r w:rsidRPr="003F5DA8">
        <w:rPr>
          <w:vertAlign w:val="subscript"/>
        </w:rPr>
        <w:t>2</w:t>
      </w:r>
      <w:r w:rsidRPr="003F5DA8">
        <w:t>. Finally, the gases and air were considered sterilized through filter/membranes (&lt;0.2 µm)</w:t>
      </w:r>
      <w:r w:rsidRPr="003F5DA8">
        <w:fldChar w:fldCharType="begin"/>
      </w:r>
      <w:r w:rsidR="005413B4">
        <w:instrText xml:space="preserve"> ADDIN ZOTERO_ITEM CSL_CITATION {"citationID":"q7zL5NBQ","properties":{"formattedCitation":"\\super 41,217\\nosupersub{}","plainCitation":"41,217","noteIndex":0},"citationItems":[{"id":13068,"uris":["http://zotero.org/users/6423791/items/RK8J2DQC"],"itemData":{"id":13068,"type":"article-journal","abstract":"Alternative protein sources such as microbial protein (MP) are currently considered to alleviate the burden that food production exerts on the environment. Even though MP production is highly efficient in land and nutrient utilization, their carbon footprint should be improved. Here we propose the use of CCU as a driver for heterotrophic MP production. By comparing different MP production routes starting from liquid substrates derived from CO2 (i.e., formate, acetate, methanol, and ethanol) and their respective metabolic pathways, the potential of this concept as a carbon–neutral food or feed production process was estimated. Acetate and ethanol appear to be the most beneficial substrates for the integrated CCU-to-MP process in terms of electricity demand (acetate: 25 – 54 kWh/kgproduct, ethanol: 28 – 56 kWh/kgproduct). Moreover, recycling CO2 enables a carbon-negative protein production process by 2030 (considering the projected CO2 emissions from electricity in the EU: 0.096 kgCO2-eq/kWh) for formate, acetate, and ethanol (-1.1 up to 13 kgCO2-eq/kgproduct).","container-title":"Bioresource Technology","DOI":"10.1016/j.biortech.2022.126853","ISSN":"0960-8524","journalAbbreviation":"Bioresour. Technol.","language":"en","page":"126853","source":"ScienceDirect","title":"Towards new carbon–neutral food systems: Combining carbon capture and utilization with microbial protein production","title-short":"Towards new carbon–neutral food systems","volume":"349","author":[{"family":"Van Peteghem","given":"L."},{"family":"Sakarika","given":"M."},{"family":"Matassa","given":"S."},{"family":"Pikaar","given":"I."},{"family":"Ganigué","given":"R."},{"family":"Rabaey","given":"K."}],"issued":{"date-parts":[["2022",4,1]]}}},{"id":11776,"uris":["http://zotero.org/users/6423791/items/BQDYFR2T"],"itemData":{"id":11776,"type":"article-journal","abstract":"Increasing efforts are directed towards the development of sustainable alternative protein sources among which microbial protein (MP) is one of the most promising. Especially when waste streams are used as substrates, the case for MP could become environmentally favorable. The risks of using organic waste streams for MP production–the presence of pathogens or toxicants–can be mitigated by their anaerobic digestion and subsequent aerobic assimilation of the (filter-sterilized) biogas. Even though methane and hydrogen oxidizing bacteria (MOB and HOB) have been intensively studied for MP production, the potential benefits of their co-cultivation remain elusive. Here, we isolated a diverse group of novel HOB (that were capable of autotrophic metabolism), and co-cultured them with a defined set of MOB, which could be grown on a mixture of biogas and H\n              2\n              /O\n              2\n              . The combination of MOB and HOB, apart from the CH\n              4\n              and CO\n              2\n              contained in biogas, can also enable the valorization of the CO\n              2\n              that results from the oxidation of methane by the MOB. Different MOB and HOB combinations were grown in serum vials to identify the best-performing ones. We observed synergistic effects on growth for several combinations, and in all combinations a co-culture consisting out of both HOB and MOB could be maintained during five days of cultivation. Relative to the axenic growth, five out of the ten co-cultures exhibited 1.1–3.8 times higher protein concentration and two combinations presented 2.4–6.1 times higher essential amino acid content. The MP produced in this study generally contained lower amounts of the essential amino acids histidine, lysine and threonine, compared to tofu and fishmeal. The most promising combination in terms of protein concentration and essential amino acid profile was\n              Methyloparacoccus murrelli\n              LMG 27482 with\n              Cupriavidus necator\n              LMG 1201. Microbial protein from\n              M. murrelli\n              and\n              C. necator\n              requires 27–67% less quantity than chicken, whole egg and tofu, while it only requires 15% more quantity than the amino acid-dense soybean to cover the needs of an average adult. In conclusion, while limitations still exist, the co-cultivation of MOB and HOB creates an alternative route for MP production leveraging safe and sustainably-produced gaseous substrates.","container-title":"Frontiers in Bioengineering and Biotechnology","DOI":"10.3389/fbioe.2021.733753","ISSN":"2296-4185","journalAbbreviation":"Front. Bioeng. Biotechnol.","language":"en","page":"733753","source":"DOI.org (Crossref)","title":"From Biogas and Hydrogen to Microbial Protein Through Co-Cultivation of Methane and Hydrogen Oxidizing Bacteria","volume":"9","author":[{"family":"Kerckhof","given":"Frederiek-Maarten"},{"family":"Sakarika","given":"Myrsini"},{"family":"Van Giel","given":"Marie"},{"family":"Muys","given":"Maarten"},{"family":"Vermeir","given":"Pieter"},{"family":"De Vrieze","given":"Jo"},{"family":"Vlaeminck","given":"Siegfried E."},{"family":"Rabaey","given":"Korneel"},{"family":"Boon","given":"Nico"}],"issued":{"date-parts":[["2021",8,30]]}}}],"schema":"https://github.com/citation-style-language/schema/raw/master/csl-citation.json"} </w:instrText>
      </w:r>
      <w:r w:rsidRPr="003F5DA8">
        <w:fldChar w:fldCharType="separate"/>
      </w:r>
      <w:r w:rsidR="005413B4" w:rsidRPr="005413B4">
        <w:rPr>
          <w:rFonts w:ascii="Calibri" w:hAnsi="Calibri" w:cs="Calibri"/>
          <w:szCs w:val="24"/>
          <w:vertAlign w:val="superscript"/>
        </w:rPr>
        <w:t>41,217</w:t>
      </w:r>
      <w:r w:rsidRPr="003F5DA8">
        <w:fldChar w:fldCharType="end"/>
      </w:r>
      <w:r w:rsidRPr="003F5DA8">
        <w:t>, but in front of the low utilities requirements, the inventory related to this stage was neglected.</w:t>
      </w:r>
    </w:p>
    <w:p w14:paraId="17C4F6F6" w14:textId="0AC9139C" w:rsidR="002A6FDB" w:rsidRDefault="002A6FDB" w:rsidP="00E12655">
      <w:pPr>
        <w:pStyle w:val="Titre4"/>
      </w:pPr>
      <w:r w:rsidRPr="001C16B9">
        <w:t>Off-gases reuse</w:t>
      </w:r>
    </w:p>
    <w:p w14:paraId="6A93CC65" w14:textId="33C3AF91" w:rsidR="002A6FDB" w:rsidRPr="003544BA" w:rsidRDefault="002A6FDB" w:rsidP="00E12655">
      <w:pPr>
        <w:ind w:firstLine="360"/>
        <w:jc w:val="both"/>
      </w:pPr>
      <w:r>
        <w:t>Sensible</w:t>
      </w:r>
      <w:r w:rsidRPr="003F5DA8">
        <w:t xml:space="preserve"> heat recovery of off-gases (e.g. mentioned in Levett et al., 2016</w:t>
      </w:r>
      <w:r w:rsidRPr="003F5DA8">
        <w:fldChar w:fldCharType="begin"/>
      </w:r>
      <w:r w:rsidR="005413B4">
        <w:instrText xml:space="preserve"> ADDIN ZOTERO_ITEM CSL_CITATION {"citationID":"DSy61OVe","properties":{"formattedCitation":"\\super 186\\nosupersub{}","plainCitation":"186","noteIndex":0},"citationItems":[{"id":12881,"uris":["http://zotero.org/users/6423791/items/XFWA5FUP"],"itemData":{"id":12881,"type":"article-journal","abstract":"A major obstacle preventing the large scale production of polyhydroxyalkanoates (PHAs) has been the lack of a reliable, low cost, large volume feedstock. The abundance and relatively low price of methane therefore marks it as a substrate of interest. This paper presents a techno-economic assessment of the production of poly-3-hydroxybutyrate (PHB) from methane. ASPEN Plus was used for process design and simulation. The design and economic evaluation is presented for production of 100,000t/a PHB through methanotrophic fermentation and acetone-water solvent extraction. Production costs were estimated at $4.1–$6.8/kg PHA, which compares against a median price of $7.5/kg from other studies. Raw material costs are reduced from 30 to 50% of production for sugar feedstocks, to 22% of production for methane. A feature of the work is the revelation that heat removal from the two-stage bioreactor process contributes 28% of the operating cost. Thermophilic methanotrophs could allow the use of cooling water instead of refrigerant, reducing production costs to $3.2–5.4/kg PHA; it is noted that PHB producing thermophilic methanotrophs are yet to be isolated. Energy consumption for air compression and biomass drying were also identified as significant capital and operating costs and therefore optimisation of bioreactor height and pressure and biomass moisture content should be considered in future research.","container-title":"Journal of Environmental Chemical Engineering","DOI":"10.1016/j.jece.2016.07.033","ISSN":"2213-3437","issue":"4, Part A","journalAbbreviation":"J. Environ. Chem. Eng.","language":"en","page":"3724-3733","source":"ScienceDirect","title":"Techno-economic assessment of poly-3-hydroxybutyrate (PHB) production from methane—The case for thermophilic bioprocessing","volume":"4","author":[{"family":"Levett","given":"Ian"},{"family":"Birkett","given":"Greg"},{"family":"Davies","given":"Nick"},{"family":"Bell","given":"Aidan"},{"family":"Langford","given":"Alexandra"},{"family":"Laycock","given":"Bronwyn"},{"family":"Lant","given":"Paul"},{"family":"Pratt","given":"Steven"}],"issued":{"date-parts":[["2016",12,1]]}}}],"schema":"https://github.com/citation-style-language/schema/raw/master/csl-citation.json"} </w:instrText>
      </w:r>
      <w:r w:rsidRPr="003F5DA8">
        <w:fldChar w:fldCharType="separate"/>
      </w:r>
      <w:r w:rsidR="005413B4" w:rsidRPr="005413B4">
        <w:rPr>
          <w:rFonts w:ascii="Calibri" w:hAnsi="Calibri" w:cs="Calibri"/>
          <w:szCs w:val="24"/>
          <w:vertAlign w:val="superscript"/>
        </w:rPr>
        <w:t>186</w:t>
      </w:r>
      <w:r w:rsidRPr="003F5DA8">
        <w:fldChar w:fldCharType="end"/>
      </w:r>
      <w:r w:rsidRPr="003F5DA8">
        <w:t xml:space="preserve">) was neglected given the low temperatures involved. As these still host non-neglectable </w:t>
      </w:r>
      <w:r>
        <w:t xml:space="preserve">enthalpy </w:t>
      </w:r>
      <w:r w:rsidRPr="003544BA">
        <w:t>(e.g. unused CH</w:t>
      </w:r>
      <w:r w:rsidRPr="003544BA">
        <w:rPr>
          <w:vertAlign w:val="subscript"/>
        </w:rPr>
        <w:t>4</w:t>
      </w:r>
      <w:r w:rsidRPr="003544BA">
        <w:t>, CO, H</w:t>
      </w:r>
      <w:r w:rsidRPr="003544BA">
        <w:rPr>
          <w:vertAlign w:val="subscript"/>
        </w:rPr>
        <w:t>2</w:t>
      </w:r>
      <w:r w:rsidRPr="003544BA">
        <w:t xml:space="preserve"> and NH</w:t>
      </w:r>
      <w:r w:rsidRPr="003544BA">
        <w:rPr>
          <w:vertAlign w:val="subscript"/>
        </w:rPr>
        <w:t>3</w:t>
      </w:r>
      <w:r w:rsidRPr="003544BA">
        <w:t>), their energy valorization was modeled as detailed in</w:t>
      </w:r>
      <w:r w:rsidR="00E12655">
        <w:t xml:space="preserve"> </w:t>
      </w:r>
      <w:r w:rsidR="00E12655" w:rsidRPr="00E12655">
        <w:rPr>
          <w:b/>
        </w:rPr>
        <w:t xml:space="preserve">section </w:t>
      </w:r>
      <w:r w:rsidR="000C6C37">
        <w:rPr>
          <w:b/>
        </w:rPr>
        <w:t xml:space="preserve">SI. </w:t>
      </w:r>
      <w:r w:rsidR="00E12655" w:rsidRPr="00E12655">
        <w:rPr>
          <w:b/>
        </w:rPr>
        <w:fldChar w:fldCharType="begin"/>
      </w:r>
      <w:r w:rsidR="00E12655" w:rsidRPr="00E12655">
        <w:rPr>
          <w:b/>
        </w:rPr>
        <w:instrText xml:space="preserve"> REF _Ref144807454 \r \h </w:instrText>
      </w:r>
      <w:r w:rsidR="00E12655">
        <w:rPr>
          <w:b/>
        </w:rPr>
        <w:instrText xml:space="preserve"> \* MERGEFORMAT </w:instrText>
      </w:r>
      <w:r w:rsidR="00E12655" w:rsidRPr="00E12655">
        <w:rPr>
          <w:b/>
        </w:rPr>
      </w:r>
      <w:r w:rsidR="00E12655" w:rsidRPr="00E12655">
        <w:rPr>
          <w:b/>
        </w:rPr>
        <w:fldChar w:fldCharType="separate"/>
      </w:r>
      <w:r w:rsidR="00F25F8C">
        <w:rPr>
          <w:b/>
        </w:rPr>
        <w:t>4.1.6</w:t>
      </w:r>
      <w:r w:rsidR="00E12655" w:rsidRPr="00E12655">
        <w:rPr>
          <w:b/>
        </w:rPr>
        <w:fldChar w:fldCharType="end"/>
      </w:r>
      <w:r w:rsidRPr="003544BA">
        <w:t>. Effects of low-energy density due to N</w:t>
      </w:r>
      <w:r w:rsidRPr="003544BA">
        <w:rPr>
          <w:vertAlign w:val="subscript"/>
        </w:rPr>
        <w:t>2</w:t>
      </w:r>
      <w:r w:rsidRPr="003544BA">
        <w:t xml:space="preserve"> dilution were neglected.</w:t>
      </w:r>
      <w:r w:rsidR="000B1555">
        <w:t xml:space="preserve"> The share of gases </w:t>
      </w:r>
      <w:r w:rsidR="000B1555" w:rsidRPr="008F2922">
        <w:t xml:space="preserve">dissolved in </w:t>
      </w:r>
      <w:r w:rsidR="000B1555">
        <w:t xml:space="preserve">the </w:t>
      </w:r>
      <w:r w:rsidR="000B1555" w:rsidRPr="008F2922">
        <w:t>liquid medi</w:t>
      </w:r>
      <w:r w:rsidR="000B1555">
        <w:t>um was neglected: all fractions were assumed as part of off-gases</w:t>
      </w:r>
      <w:r w:rsidR="000B1555" w:rsidRPr="008F2922">
        <w:t>.</w:t>
      </w:r>
    </w:p>
    <w:p w14:paraId="3C462D11" w14:textId="77777777" w:rsidR="002A6FDB" w:rsidRPr="002A6FDB" w:rsidRDefault="002A6FDB" w:rsidP="00E12655">
      <w:pPr>
        <w:pStyle w:val="Titre4"/>
      </w:pPr>
      <w:r w:rsidRPr="002A6FDB">
        <w:t>Metabolic heat</w:t>
      </w:r>
    </w:p>
    <w:p w14:paraId="5F01FEAB" w14:textId="7546F823" w:rsidR="002A6FDB" w:rsidRDefault="002A6FDB" w:rsidP="001B2C2E">
      <w:pPr>
        <w:jc w:val="both"/>
      </w:pPr>
      <w:bookmarkStart w:id="311" w:name="_Hlk141451106"/>
      <w:r w:rsidRPr="003F5DA8">
        <w:t xml:space="preserve">Cooling is required to maintain mesophilic conditions (30-40°C) in the bioreactor, due to the exothermic oxygen reduction by HOB and </w:t>
      </w:r>
      <w:r w:rsidRPr="008A775E">
        <w:t xml:space="preserve">MOB </w:t>
      </w:r>
      <w:bookmarkEnd w:id="311"/>
      <w:r w:rsidRPr="008A775E">
        <w:t>(</w:t>
      </w:r>
      <w:r w:rsidR="00E12655" w:rsidRPr="00E12655">
        <w:rPr>
          <w:b/>
        </w:rPr>
        <w:fldChar w:fldCharType="begin"/>
      </w:r>
      <w:r w:rsidR="00E12655" w:rsidRPr="00E12655">
        <w:rPr>
          <w:b/>
        </w:rPr>
        <w:instrText xml:space="preserve"> REF _Ref144828671 \h  \* MERGEFORMAT </w:instrText>
      </w:r>
      <w:r w:rsidR="00E12655" w:rsidRPr="00E12655">
        <w:rPr>
          <w:b/>
        </w:rPr>
      </w:r>
      <w:r w:rsidR="00E12655" w:rsidRPr="00E12655">
        <w:rPr>
          <w:b/>
        </w:rPr>
        <w:fldChar w:fldCharType="separate"/>
      </w:r>
      <w:r w:rsidR="00F25F8C" w:rsidRPr="00F25F8C">
        <w:rPr>
          <w:b/>
        </w:rPr>
        <w:t xml:space="preserve">Table SI. </w:t>
      </w:r>
      <w:r w:rsidR="00F25F8C" w:rsidRPr="00F25F8C">
        <w:rPr>
          <w:b/>
          <w:noProof/>
        </w:rPr>
        <w:t>72</w:t>
      </w:r>
      <w:r w:rsidR="00E12655" w:rsidRPr="00E12655">
        <w:rPr>
          <w:b/>
        </w:rPr>
        <w:fldChar w:fldCharType="end"/>
      </w:r>
      <w:r w:rsidRPr="008A775E">
        <w:t>).</w:t>
      </w:r>
      <w:r w:rsidR="001B2C2E">
        <w:t xml:space="preserve"> Yet, p</w:t>
      </w:r>
      <w:r w:rsidR="001B2C2E" w:rsidRPr="008F2922">
        <w:t xml:space="preserve">assive </w:t>
      </w:r>
      <w:r w:rsidR="001B2C2E">
        <w:t>cooling systems were deemed insufficient</w:t>
      </w:r>
      <w:r w:rsidR="001B2C2E" w:rsidRPr="008F2922">
        <w:t xml:space="preserve"> </w:t>
      </w:r>
      <w:r w:rsidR="001B2C2E" w:rsidRPr="008F2922">
        <w:fldChar w:fldCharType="begin"/>
      </w:r>
      <w:r w:rsidR="005413B4">
        <w:instrText xml:space="preserve"> ADDIN ZOTERO_ITEM CSL_CITATION {"citationID":"umaajgKu","properties":{"formattedCitation":"\\super 208\\nosupersub{}","plainCitation":"208","noteIndex":0},"citationItems":[{"id":12861,"uris":["http://zotero.org/users/6423791/items/MMRL8T2B"],"itemData":{"id":12861,"type":"report","abstract":"The research team developed bioprocesses using knallgas microorganisms grown on CO2 and H2 gaseous bases to convert CO2 into oil and other hydrocarbon products. Laboratory development was used to guide the scale up of bioprocesses to 20 L reactor scale and culminated in the design of a 50 L scale mobile pilot facility that could be used for testing at various potential CO2 feedstock locations. This report describes the processes, methods, and equipment used to achieve robust growth of a model knallgas microorganism; oil and other biochemical products generated by the organism, and establishes a proof of concept for knallgas bioprocess technology.","genre":"Final Project Report","language":"en","number":"CEC-500-2017-005","page":"133","publisher":"California Energy Commission","source":"Zotero","title":"CO2 Conversion by Knallgas Microorganism - Evaluation of products and processes","URL":"https://pdfslide.net/documents/co2-conversion-by-knallgas-microorganism-pilot-plant-description-66.html","author":[{"family":"Reed","given":"John"},{"family":"Geller","given":"Jil"},{"family":"McDaniel","given":"Robert"}],"issued":{"date-parts":[["2017",1]]}}}],"schema":"https://github.com/citation-style-language/schema/raw/master/csl-citation.json"} </w:instrText>
      </w:r>
      <w:r w:rsidR="001B2C2E" w:rsidRPr="008F2922">
        <w:fldChar w:fldCharType="separate"/>
      </w:r>
      <w:r w:rsidR="005413B4" w:rsidRPr="005413B4">
        <w:rPr>
          <w:rFonts w:ascii="Calibri" w:hAnsi="Calibri" w:cs="Calibri"/>
          <w:szCs w:val="24"/>
          <w:vertAlign w:val="superscript"/>
        </w:rPr>
        <w:t>208</w:t>
      </w:r>
      <w:r w:rsidR="001B2C2E" w:rsidRPr="008F2922">
        <w:fldChar w:fldCharType="end"/>
      </w:r>
      <w:r w:rsidR="001B2C2E">
        <w:t xml:space="preserve">, </w:t>
      </w:r>
      <w:r w:rsidR="001B2C2E" w:rsidRPr="008F2922">
        <w:t xml:space="preserve"> </w:t>
      </w:r>
      <w:r w:rsidR="001B2C2E">
        <w:t>and b</w:t>
      </w:r>
      <w:r w:rsidR="001B2C2E" w:rsidRPr="008F2922">
        <w:t>ioreactor cooling was already reported as the most important contributor to MOB production’s operational expenses</w:t>
      </w:r>
      <w:r w:rsidR="001B2C2E">
        <w:t xml:space="preserve">. For example, </w:t>
      </w:r>
      <w:r w:rsidR="001B2C2E" w:rsidRPr="008F2922">
        <w:t xml:space="preserve">it </w:t>
      </w:r>
      <w:r w:rsidR="001B2C2E">
        <w:t>uses</w:t>
      </w:r>
      <w:r w:rsidR="001B2C2E" w:rsidRPr="008F2922">
        <w:t xml:space="preserve"> </w:t>
      </w:r>
      <w:r w:rsidR="001B2C2E">
        <w:t>around</w:t>
      </w:r>
      <w:r w:rsidR="001B2C2E" w:rsidRPr="008F2922">
        <w:t xml:space="preserve"> 60% of installed power according to </w:t>
      </w:r>
      <w:r w:rsidR="001B2C2E" w:rsidRPr="008F2922">
        <w:fldChar w:fldCharType="begin"/>
      </w:r>
      <w:r w:rsidR="001B2C2E" w:rsidRPr="008F2922">
        <w:instrText xml:space="preserve"> ADDIN ZOTERO_ITEM CSL_CITATION {"citationID":"pEa5mZvB","properties":{"formattedCitation":"(El Abbadi et al., 2021)","plainCitation":"(El Abbadi et al., 2021)","dontUpdate":true,"noteIndex":0},"citationItems":[{"id":12853,"uris":["http://zotero.org/users/6423791/items/NHUWJREK"],"itemData":{"id":12853,"type":"article-journal","abstract":"Methane emitted and flared from industrial sources across the United States is a major contributor to global climate change. Methanotrophic bacteria can transform this methane into useful protein-rich biomass, already approved for inclusion into animal feed. In the rapidly growing aquaculture industry, methanotrophic additives have a favourable amino acid profile and can offset ocean-caught fishmeal, reducing demands on over-harvested fisheries. Here we analyse the economic potential of producing methanotrophic microbial protein from stranded methane produced at wastewater treatment plants, landfills, and oil and gas facilities. Our results show that current technology can enable production, in the United States alone, equivalent to 14% of the global fishmeal market at prices at or below the current cost of fishmeal (roughly US$1,600 per metric ton). A sensitivity analysis highlights technically and economically feasible cost reductions (such as reduced cooling or labour requirements), which could allow stranded methane from the United States alone to satisfy global fishmeal demand.","container-title":"Nature Sustainability","DOI":"10.1038/s41893-021-00796-2","ISSN":"2398-9629","journalAbbreviation":"Nat. Sustain.","language":"en","license":"2021 The Author(s), under exclusive licence to Springer Nature Limited","note":"Bandiera_abtest: a\nCg_type: Nature Research Journals\nPrimary_atype: Research\npublisher: Nature Publishing Group\nSubject_term: Environmental biotechnology;Environmental economics\nSubject_term_id: environmental-biotechnology;environmental-economics","page":"1-10","source":"www.nature.com","title":"Displacing fishmeal with protein derived from stranded methane","author":[{"family":"El Abbadi","given":"Sahar H."},{"family":"Sherwin","given":"Evan D."},{"family":"Brandt","given":"Adam R."},{"family":"Luby","given":"Stephen P."},{"family":"Criddle","given":"Craig S."}],"issued":{"date-parts":[["2021",11,22]]}}}],"schema":"https://github.com/citation-style-language/schema/raw/master/csl-citation.json"} </w:instrText>
      </w:r>
      <w:r w:rsidR="001B2C2E" w:rsidRPr="008F2922">
        <w:fldChar w:fldCharType="separate"/>
      </w:r>
      <w:r w:rsidR="001B2C2E" w:rsidRPr="008F2922">
        <w:rPr>
          <w:rFonts w:ascii="Calibri" w:hAnsi="Calibri" w:cs="Calibri"/>
        </w:rPr>
        <w:t>El Abbadi et al., (2021)</w:t>
      </w:r>
      <w:r w:rsidR="001B2C2E" w:rsidRPr="008F2922">
        <w:fldChar w:fldCharType="end"/>
      </w:r>
      <w:r w:rsidR="001B2C2E" w:rsidRPr="008F2922">
        <w:t xml:space="preserve"> and </w:t>
      </w:r>
      <w:r w:rsidR="001B2C2E">
        <w:t>represents</w:t>
      </w:r>
      <w:r w:rsidR="001B2C2E" w:rsidRPr="008F2922">
        <w:t xml:space="preserve"> 33% of total </w:t>
      </w:r>
      <w:r w:rsidR="001B2C2E">
        <w:t xml:space="preserve">production expenses </w:t>
      </w:r>
      <w:r w:rsidR="001B2C2E" w:rsidRPr="008F2922">
        <w:t xml:space="preserve">in the calculation of </w:t>
      </w:r>
      <w:r w:rsidR="001B2C2E" w:rsidRPr="008F2922">
        <w:fldChar w:fldCharType="begin"/>
      </w:r>
      <w:r w:rsidR="001B2C2E">
        <w:instrText xml:space="preserve"> ADDIN ZOTERO_ITEM CSL_CITATION {"citationID":"BRaEXyTZ","properties":{"formattedCitation":"(Levett et al., 2016)","plainCitation":"(Levett et al., 2016)","dontUpdate":true,"noteIndex":0},"citationItems":[{"id":12881,"uris":["http://zotero.org/users/6423791/items/XFWA5FUP"],"itemData":{"id":12881,"type":"article-journal","abstract":"A major obstacle preventing the large scale production of polyhydroxyalkanoates (PHAs) has been the lack of a reliable, low cost, large volume feedstock. The abundance and relatively low price of methane therefore marks it as a substrate of interest. This paper presents a techno-economic assessment of the production of poly-3-hydroxybutyrate (PHB) from methane. ASPEN Plus was used for process design and simulation. The design and economic evaluation is presented for production of 100,000t/a PHB through methanotrophic fermentation and acetone-water solvent extraction. Production costs were estimated at $4.1–$6.8/kg PHA, which compares against a median price of $7.5/kg from other studies. Raw material costs are reduced from 30 to 50% of production for sugar feedstocks, to 22% of production for methane. A feature of the work is the revelation that heat removal from the two-stage bioreactor process contributes 28% of the operating cost. Thermophilic methanotrophs could allow the use of cooling water instead of refrigerant, reducing production costs to $3.2–5.4/kg PHA; it is noted that PHB producing thermophilic methanotrophs are yet to be isolated. Energy consumption for air compression and biomass drying were also identified as significant capital and operating costs and therefore optimisation of bioreactor height and pressure and biomass moisture content should be considered in future research.","container-title":"Journal of Environmental Chemical Engineering","DOI":"10.1016/j.jece.2016.07.033","ISSN":"2213-3437","issue":"4, Part A","journalAbbreviation":"J. Environ. Chem. Eng.","language":"en","page":"3724-3733","source":"ScienceDirect","title":"Techno-economic assessment of poly-3-hydroxybutyrate (PHB) production from methane—The case for thermophilic bioprocessing","volume":"4","author":[{"family":"Levett","given":"Ian"},{"family":"Birkett","given":"Greg"},{"family":"Davies","given":"Nick"},{"family":"Bell","given":"Aidan"},{"family":"Langford","given":"Alexandra"},{"family":"Laycock","given":"Bronwyn"},{"family":"Lant","given":"Paul"},{"family":"Pratt","given":"Steven"}],"issued":{"date-parts":[["2016",12,1]]}}}],"schema":"https://github.com/citation-style-language/schema/raw/master/csl-citation.json"} </w:instrText>
      </w:r>
      <w:r w:rsidR="001B2C2E" w:rsidRPr="008F2922">
        <w:fldChar w:fldCharType="separate"/>
      </w:r>
      <w:r w:rsidR="001B2C2E" w:rsidRPr="008F2922">
        <w:rPr>
          <w:rFonts w:ascii="Calibri" w:hAnsi="Calibri" w:cs="Calibri"/>
        </w:rPr>
        <w:t>Levett et al., (2016)</w:t>
      </w:r>
      <w:r w:rsidR="001B2C2E" w:rsidRPr="008F2922">
        <w:fldChar w:fldCharType="end"/>
      </w:r>
      <w:r w:rsidR="001B2C2E" w:rsidRPr="008F2922">
        <w:t xml:space="preserve">. </w:t>
      </w:r>
      <w:r w:rsidR="001B2C2E">
        <w:t>Yet, this</w:t>
      </w:r>
      <w:r w:rsidR="001B2C2E" w:rsidRPr="008F2922">
        <w:t xml:space="preserve"> </w:t>
      </w:r>
      <w:r w:rsidR="001B2C2E">
        <w:t>low temperature</w:t>
      </w:r>
      <w:r w:rsidR="001B2C2E" w:rsidRPr="008F2922">
        <w:t xml:space="preserve"> </w:t>
      </w:r>
      <w:r w:rsidR="001B2C2E">
        <w:t xml:space="preserve">(LT) </w:t>
      </w:r>
      <w:r w:rsidR="001B2C2E" w:rsidRPr="008F2922">
        <w:t>heat</w:t>
      </w:r>
      <w:r w:rsidR="001B2C2E">
        <w:t xml:space="preserve"> to evacuate</w:t>
      </w:r>
      <w:r w:rsidR="001B2C2E" w:rsidRPr="008F2922">
        <w:t xml:space="preserve"> (</w:t>
      </w:r>
      <w:r w:rsidR="001B2C2E">
        <w:t>at around</w:t>
      </w:r>
      <w:r w:rsidR="001B2C2E" w:rsidRPr="008F2922">
        <w:t xml:space="preserve"> 35°C) c</w:t>
      </w:r>
      <w:r w:rsidR="001B2C2E">
        <w:t xml:space="preserve">an </w:t>
      </w:r>
      <w:r w:rsidR="001B2C2E" w:rsidRPr="008F2922">
        <w:t xml:space="preserve">partly </w:t>
      </w:r>
      <w:r w:rsidR="001B2C2E">
        <w:t xml:space="preserve">be </w:t>
      </w:r>
      <w:r w:rsidR="001B2C2E" w:rsidRPr="008F2922">
        <w:t>recovered through tailored WHR techniques</w:t>
      </w:r>
      <w:r w:rsidR="00E12655" w:rsidRPr="00E12655">
        <w:t xml:space="preserve"> (see</w:t>
      </w:r>
      <w:r w:rsidR="00E12655" w:rsidRPr="00E12655">
        <w:rPr>
          <w:b/>
        </w:rPr>
        <w:t xml:space="preserve"> section</w:t>
      </w:r>
      <w:r w:rsidR="000C6C37">
        <w:rPr>
          <w:b/>
        </w:rPr>
        <w:t xml:space="preserve"> SI.</w:t>
      </w:r>
      <w:r w:rsidR="00E12655" w:rsidRPr="00E12655">
        <w:rPr>
          <w:b/>
        </w:rPr>
        <w:t xml:space="preserve"> </w:t>
      </w:r>
      <w:r w:rsidR="00E12655" w:rsidRPr="00E12655">
        <w:rPr>
          <w:b/>
        </w:rPr>
        <w:fldChar w:fldCharType="begin"/>
      </w:r>
      <w:r w:rsidR="00E12655" w:rsidRPr="00E12655">
        <w:rPr>
          <w:b/>
        </w:rPr>
        <w:instrText xml:space="preserve"> REF _Ref144807454 \r \h </w:instrText>
      </w:r>
      <w:r w:rsidR="00E12655">
        <w:rPr>
          <w:b/>
        </w:rPr>
        <w:instrText xml:space="preserve"> \* MERGEFORMAT </w:instrText>
      </w:r>
      <w:r w:rsidR="00E12655" w:rsidRPr="00E12655">
        <w:rPr>
          <w:b/>
        </w:rPr>
      </w:r>
      <w:r w:rsidR="00E12655" w:rsidRPr="00E12655">
        <w:rPr>
          <w:b/>
        </w:rPr>
        <w:fldChar w:fldCharType="separate"/>
      </w:r>
      <w:r w:rsidR="00F25F8C">
        <w:rPr>
          <w:b/>
        </w:rPr>
        <w:t>4.1.6</w:t>
      </w:r>
      <w:r w:rsidR="00E12655" w:rsidRPr="00E12655">
        <w:rPr>
          <w:b/>
        </w:rPr>
        <w:fldChar w:fldCharType="end"/>
      </w:r>
      <w:r w:rsidR="00E12655" w:rsidRPr="003544BA">
        <w:t>.</w:t>
      </w:r>
      <w:r w:rsidR="00E12655">
        <w:t xml:space="preserve"> </w:t>
      </w:r>
      <w:r w:rsidR="00E12655" w:rsidRPr="00E12655">
        <w:t>for modeling technologies and limitations).</w:t>
      </w:r>
    </w:p>
    <w:p w14:paraId="7E9C1014" w14:textId="77777777" w:rsidR="002A6FDB" w:rsidRPr="002A6FDB" w:rsidRDefault="002A6FDB" w:rsidP="00E12655">
      <w:pPr>
        <w:pStyle w:val="Titre4"/>
      </w:pPr>
      <w:r w:rsidRPr="002A6FDB">
        <w:t>Cleaning requirements</w:t>
      </w:r>
    </w:p>
    <w:p w14:paraId="26D482A7" w14:textId="405AB1DA" w:rsidR="004A3FE2" w:rsidRDefault="002A6FDB" w:rsidP="002A6FDB">
      <w:pPr>
        <w:tabs>
          <w:tab w:val="left" w:pos="1157"/>
        </w:tabs>
        <w:jc w:val="both"/>
      </w:pPr>
      <w:r w:rsidRPr="003F5DA8">
        <w:t xml:space="preserve">Periodic installations outage is not </w:t>
      </w:r>
      <w:r w:rsidR="00E12655">
        <w:t>only</w:t>
      </w:r>
      <w:r w:rsidRPr="003F5DA8">
        <w:t xml:space="preserve"> required for maintenance and cleaning, but also to (i) limit the accumulation of extra-cellular compounds in the production cycle and (ii) prevent apparition of mutants.</w:t>
      </w:r>
      <w:r>
        <w:t xml:space="preserve"> </w:t>
      </w:r>
      <w:r w:rsidR="00E12655" w:rsidRPr="00E12655">
        <w:t>Cleaning was modeled based on the inventory proposed by Järviö et al., 2021</w:t>
      </w:r>
      <w:r w:rsidR="00E12655" w:rsidRPr="00E12655">
        <w:fldChar w:fldCharType="begin"/>
      </w:r>
      <w:r w:rsidR="005413B4">
        <w:instrText xml:space="preserve"> ADDIN ZOTERO_ITEM CSL_CITATION {"citationID":"80hQO3sj","properties":{"formattedCitation":"\\super 183\\nosupersub{}","plainCitation":"183","noteIndex":0},"citationItems":[{"id":5124,"uris":["http://zotero.org/users/6423791/items/QSN5G6WV"],"itemData":{"id":5124,"type":"article-journal","container-title":"Science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L."}],"issued":{"date-parts":[["2021",2]]}}}],"schema":"https://github.com/citation-style-language/schema/raw/master/csl-citation.json"} </w:instrText>
      </w:r>
      <w:r w:rsidR="00E12655" w:rsidRPr="00E12655">
        <w:fldChar w:fldCharType="separate"/>
      </w:r>
      <w:r w:rsidR="005413B4" w:rsidRPr="005413B4">
        <w:rPr>
          <w:rFonts w:ascii="Calibri" w:hAnsi="Calibri" w:cs="Calibri"/>
          <w:szCs w:val="24"/>
          <w:vertAlign w:val="superscript"/>
        </w:rPr>
        <w:t>183</w:t>
      </w:r>
      <w:r w:rsidR="00E12655" w:rsidRPr="00E12655">
        <w:fldChar w:fldCharType="end"/>
      </w:r>
      <w:r w:rsidR="00E12655" w:rsidRPr="00E12655">
        <w:t xml:space="preserve">, which includes </w:t>
      </w:r>
      <w:bookmarkStart w:id="312" w:name="_Hlk141451654"/>
      <w:r w:rsidR="00E12655" w:rsidRPr="00E12655">
        <w:t xml:space="preserve">a clean in place (CIP) procedure for the bioreactor, media preparation, transfer pipelines and downstream processing based on common food industry-grade CIP </w:t>
      </w:r>
      <w:bookmarkEnd w:id="312"/>
      <w:r w:rsidR="00E12655" w:rsidRPr="00E12655">
        <w:t>(see</w:t>
      </w:r>
      <w:r w:rsidR="00E12655">
        <w:t xml:space="preserve"> </w:t>
      </w:r>
      <w:r w:rsidR="00E12655" w:rsidRPr="00E12655">
        <w:rPr>
          <w:b/>
        </w:rPr>
        <w:fldChar w:fldCharType="begin"/>
      </w:r>
      <w:r w:rsidR="00E12655" w:rsidRPr="00E12655">
        <w:rPr>
          <w:b/>
        </w:rPr>
        <w:instrText xml:space="preserve"> REF _Ref144829692 \h </w:instrText>
      </w:r>
      <w:r w:rsidR="00E12655">
        <w:rPr>
          <w:b/>
        </w:rPr>
        <w:instrText xml:space="preserve"> \* MERGEFORMAT </w:instrText>
      </w:r>
      <w:r w:rsidR="00E12655" w:rsidRPr="00E12655">
        <w:rPr>
          <w:b/>
        </w:rPr>
      </w:r>
      <w:r w:rsidR="00E12655" w:rsidRPr="00E12655">
        <w:rPr>
          <w:b/>
        </w:rPr>
        <w:fldChar w:fldCharType="separate"/>
      </w:r>
      <w:r w:rsidR="00F25F8C" w:rsidRPr="00F25F8C">
        <w:rPr>
          <w:b/>
        </w:rPr>
        <w:t xml:space="preserve">Table SI. </w:t>
      </w:r>
      <w:r w:rsidR="00F25F8C" w:rsidRPr="00F25F8C">
        <w:rPr>
          <w:b/>
          <w:noProof/>
        </w:rPr>
        <w:t>73</w:t>
      </w:r>
      <w:r w:rsidR="00E12655" w:rsidRPr="00E12655">
        <w:rPr>
          <w:b/>
        </w:rPr>
        <w:fldChar w:fldCharType="end"/>
      </w:r>
      <w:r w:rsidR="00E12655" w:rsidRPr="00E12655">
        <w:t>)</w:t>
      </w:r>
      <w:r w:rsidR="00E12655" w:rsidRPr="003F5DA8">
        <w:t xml:space="preserve">. </w:t>
      </w:r>
      <w:r w:rsidRPr="003F5DA8">
        <w:t>To assess the influence of cleaning frequency, this was set as a technology parameter (</w:t>
      </w:r>
      <w:r>
        <w:t>see</w:t>
      </w:r>
      <w:r w:rsidR="00E12655">
        <w:t xml:space="preserve"> </w:t>
      </w:r>
      <w:r w:rsidR="00E12655" w:rsidRPr="00E12655">
        <w:rPr>
          <w:b/>
        </w:rPr>
        <w:fldChar w:fldCharType="begin"/>
      </w:r>
      <w:r w:rsidR="00E12655" w:rsidRPr="00E12655">
        <w:rPr>
          <w:b/>
        </w:rPr>
        <w:instrText xml:space="preserve"> REF _Ref144829267 \h </w:instrText>
      </w:r>
      <w:r w:rsidR="00E12655">
        <w:rPr>
          <w:b/>
        </w:rPr>
        <w:instrText xml:space="preserve"> \* MERGEFORMAT </w:instrText>
      </w:r>
      <w:r w:rsidR="00E12655" w:rsidRPr="00E12655">
        <w:rPr>
          <w:b/>
        </w:rPr>
      </w:r>
      <w:r w:rsidR="00E12655" w:rsidRPr="00E12655">
        <w:rPr>
          <w:b/>
        </w:rPr>
        <w:fldChar w:fldCharType="separate"/>
      </w:r>
      <w:r w:rsidR="00F25F8C" w:rsidRPr="00F25F8C">
        <w:rPr>
          <w:b/>
        </w:rPr>
        <w:t xml:space="preserve">Table SI. </w:t>
      </w:r>
      <w:r w:rsidR="00F25F8C" w:rsidRPr="00F25F8C">
        <w:rPr>
          <w:b/>
          <w:noProof/>
        </w:rPr>
        <w:t>81</w:t>
      </w:r>
      <w:r w:rsidR="00E12655" w:rsidRPr="00E12655">
        <w:rPr>
          <w:b/>
        </w:rPr>
        <w:fldChar w:fldCharType="end"/>
      </w:r>
      <w:r w:rsidRPr="003F5DA8">
        <w:t>).</w:t>
      </w:r>
    </w:p>
    <w:p w14:paraId="7265C18C" w14:textId="77777777" w:rsidR="004A3FE2" w:rsidRDefault="004A3FE2">
      <w:r>
        <w:br w:type="page"/>
      </w:r>
    </w:p>
    <w:p w14:paraId="03754ABA" w14:textId="3EA25F3E" w:rsidR="002A6FDB" w:rsidRPr="008A775E" w:rsidRDefault="00874128" w:rsidP="00942782">
      <w:pPr>
        <w:pStyle w:val="Lgende"/>
        <w:jc w:val="left"/>
        <w:rPr>
          <w:b w:val="0"/>
          <w:i/>
        </w:rPr>
      </w:pPr>
      <w:bookmarkStart w:id="313" w:name="_Ref144829692"/>
      <w:bookmarkStart w:id="314" w:name="_Toc134537639"/>
      <w:bookmarkStart w:id="315" w:name="_Toc151967957"/>
      <w:r>
        <w:lastRenderedPageBreak/>
        <w:t>Table SI.</w:t>
      </w:r>
      <w:r w:rsidR="002A6FDB">
        <w:t xml:space="preserve"> </w:t>
      </w:r>
      <w:r>
        <w:fldChar w:fldCharType="begin"/>
      </w:r>
      <w:r>
        <w:instrText xml:space="preserve"> SEQ Table_SI. \* ARABIC </w:instrText>
      </w:r>
      <w:r>
        <w:fldChar w:fldCharType="separate"/>
      </w:r>
      <w:r w:rsidR="00F25F8C">
        <w:rPr>
          <w:noProof/>
        </w:rPr>
        <w:t>73</w:t>
      </w:r>
      <w:r>
        <w:fldChar w:fldCharType="end"/>
      </w:r>
      <w:bookmarkEnd w:id="313"/>
      <w:r w:rsidR="002A6FDB">
        <w:t xml:space="preserve"> </w:t>
      </w:r>
      <w:r w:rsidR="002A6FDB" w:rsidRPr="00415E4C">
        <w:t>– Bioreactor cleaning modeling parameters</w:t>
      </w:r>
      <w:bookmarkEnd w:id="314"/>
      <w:bookmarkEnd w:id="315"/>
    </w:p>
    <w:tbl>
      <w:tblPr>
        <w:tblStyle w:val="Tableausimple2"/>
        <w:tblW w:w="0" w:type="auto"/>
        <w:tblLook w:val="04A0" w:firstRow="1" w:lastRow="0" w:firstColumn="1" w:lastColumn="0" w:noHBand="0" w:noVBand="1"/>
      </w:tblPr>
      <w:tblGrid>
        <w:gridCol w:w="2112"/>
        <w:gridCol w:w="1134"/>
        <w:gridCol w:w="708"/>
        <w:gridCol w:w="4237"/>
      </w:tblGrid>
      <w:tr w:rsidR="002A6FDB" w:rsidRPr="006F3D27" w14:paraId="76901546" w14:textId="77777777" w:rsidTr="009427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45C06CE1" w14:textId="77777777" w:rsidR="002A6FDB" w:rsidRPr="006F3D27" w:rsidRDefault="002A6FDB" w:rsidP="00BB41E9">
            <w:pPr>
              <w:jc w:val="right"/>
              <w:rPr>
                <w:sz w:val="18"/>
              </w:rPr>
            </w:pPr>
            <w:r w:rsidRPr="006F3D27">
              <w:rPr>
                <w:sz w:val="18"/>
              </w:rPr>
              <w:t>Parameter</w:t>
            </w:r>
          </w:p>
        </w:tc>
        <w:tc>
          <w:tcPr>
            <w:tcW w:w="1134" w:type="dxa"/>
          </w:tcPr>
          <w:p w14:paraId="021DCD22" w14:textId="77777777" w:rsidR="002A6FDB" w:rsidRPr="006F3D27" w:rsidRDefault="002A6FDB" w:rsidP="00BB41E9">
            <w:pPr>
              <w:cnfStyle w:val="100000000000" w:firstRow="1" w:lastRow="0" w:firstColumn="0" w:lastColumn="0" w:oddVBand="0" w:evenVBand="0" w:oddHBand="0" w:evenHBand="0" w:firstRowFirstColumn="0" w:firstRowLastColumn="0" w:lastRowFirstColumn="0" w:lastRowLastColumn="0"/>
              <w:rPr>
                <w:sz w:val="18"/>
              </w:rPr>
            </w:pPr>
            <w:r w:rsidRPr="006F3D27">
              <w:rPr>
                <w:sz w:val="18"/>
              </w:rPr>
              <w:t>Unit</w:t>
            </w:r>
          </w:p>
        </w:tc>
        <w:tc>
          <w:tcPr>
            <w:tcW w:w="708" w:type="dxa"/>
          </w:tcPr>
          <w:p w14:paraId="4C533937" w14:textId="77777777" w:rsidR="002A6FDB" w:rsidRPr="006F3D27" w:rsidRDefault="002A6FDB" w:rsidP="00BB41E9">
            <w:pPr>
              <w:cnfStyle w:val="100000000000" w:firstRow="1" w:lastRow="0" w:firstColumn="0" w:lastColumn="0" w:oddVBand="0" w:evenVBand="0" w:oddHBand="0" w:evenHBand="0" w:firstRowFirstColumn="0" w:firstRowLastColumn="0" w:lastRowFirstColumn="0" w:lastRowLastColumn="0"/>
              <w:rPr>
                <w:sz w:val="18"/>
              </w:rPr>
            </w:pPr>
            <w:r w:rsidRPr="006F3D27">
              <w:rPr>
                <w:sz w:val="18"/>
              </w:rPr>
              <w:t>Value</w:t>
            </w:r>
          </w:p>
        </w:tc>
        <w:tc>
          <w:tcPr>
            <w:tcW w:w="4237" w:type="dxa"/>
          </w:tcPr>
          <w:p w14:paraId="2FC6BEBD" w14:textId="77777777" w:rsidR="002A6FDB" w:rsidRPr="006F3D27" w:rsidRDefault="002A6FDB" w:rsidP="00E12655">
            <w:pPr>
              <w:cnfStyle w:val="100000000000" w:firstRow="1" w:lastRow="0" w:firstColumn="0" w:lastColumn="0" w:oddVBand="0" w:evenVBand="0" w:oddHBand="0" w:evenHBand="0" w:firstRowFirstColumn="0" w:firstRowLastColumn="0" w:lastRowFirstColumn="0" w:lastRowLastColumn="0"/>
              <w:rPr>
                <w:sz w:val="18"/>
              </w:rPr>
            </w:pPr>
            <w:r w:rsidRPr="006F3D27">
              <w:rPr>
                <w:sz w:val="18"/>
              </w:rPr>
              <w:t>Comment</w:t>
            </w:r>
          </w:p>
        </w:tc>
      </w:tr>
      <w:tr w:rsidR="002A6FDB" w:rsidRPr="006F3D27" w14:paraId="0D26C7FF"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108D1C9D" w14:textId="77777777" w:rsidR="002A6FDB" w:rsidRPr="006F3D27" w:rsidRDefault="002A6FDB" w:rsidP="00BB41E9">
            <w:pPr>
              <w:jc w:val="right"/>
              <w:rPr>
                <w:b w:val="0"/>
                <w:sz w:val="18"/>
              </w:rPr>
            </w:pPr>
            <w:r w:rsidRPr="006F3D27">
              <w:rPr>
                <w:b w:val="0"/>
                <w:sz w:val="18"/>
              </w:rPr>
              <w:t>NaOH</w:t>
            </w:r>
          </w:p>
        </w:tc>
        <w:tc>
          <w:tcPr>
            <w:tcW w:w="1134" w:type="dxa"/>
          </w:tcPr>
          <w:p w14:paraId="108F6205"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kg.CIP</w:t>
            </w:r>
            <w:r w:rsidRPr="006F3D27">
              <w:rPr>
                <w:sz w:val="18"/>
                <w:vertAlign w:val="superscript"/>
              </w:rPr>
              <w:t>-1</w:t>
            </w:r>
          </w:p>
        </w:tc>
        <w:tc>
          <w:tcPr>
            <w:tcW w:w="708" w:type="dxa"/>
          </w:tcPr>
          <w:p w14:paraId="67B00905"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1758</w:t>
            </w:r>
          </w:p>
        </w:tc>
        <w:tc>
          <w:tcPr>
            <w:tcW w:w="4237" w:type="dxa"/>
            <w:vMerge w:val="restart"/>
          </w:tcPr>
          <w:p w14:paraId="6756EF4A" w14:textId="5C79AC18"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i/>
                <w:sz w:val="18"/>
              </w:rPr>
            </w:pPr>
            <w:r w:rsidRPr="006F3D27">
              <w:rPr>
                <w:i/>
                <w:sz w:val="18"/>
                <w:szCs w:val="18"/>
              </w:rPr>
              <w:t>From Järviö et al., 2021</w:t>
            </w:r>
            <w:r w:rsidRPr="006F3D27">
              <w:rPr>
                <w:i/>
                <w:sz w:val="18"/>
                <w:szCs w:val="18"/>
              </w:rPr>
              <w:fldChar w:fldCharType="begin"/>
            </w:r>
            <w:r w:rsidR="005413B4">
              <w:rPr>
                <w:i/>
                <w:sz w:val="18"/>
                <w:szCs w:val="18"/>
              </w:rPr>
              <w:instrText xml:space="preserve"> ADDIN ZOTERO_ITEM CSL_CITATION {"citationID":"QpYqbznk","properties":{"formattedCitation":"\\super 183\\nosupersub{}","plainCitation":"183","noteIndex":0},"citationItems":[{"id":5124,"uris":["http://zotero.org/users/6423791/items/QSN5G6WV"],"itemData":{"id":5124,"type":"article-journal","container-title":"Science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183</w:t>
            </w:r>
            <w:r w:rsidRPr="006F3D27">
              <w:rPr>
                <w:i/>
                <w:sz w:val="18"/>
                <w:szCs w:val="18"/>
              </w:rPr>
              <w:fldChar w:fldCharType="end"/>
            </w:r>
            <w:r w:rsidRPr="006F3D27">
              <w:rPr>
                <w:i/>
                <w:sz w:val="18"/>
                <w:szCs w:val="18"/>
              </w:rPr>
              <w:t xml:space="preserve"> , but adapting the production capacity of (160 kg.h</w:t>
            </w:r>
            <w:r w:rsidRPr="006F3D27">
              <w:rPr>
                <w:i/>
                <w:sz w:val="18"/>
                <w:szCs w:val="18"/>
                <w:vertAlign w:val="superscript"/>
              </w:rPr>
              <w:t>-1</w:t>
            </w:r>
            <w:r w:rsidRPr="006F3D27">
              <w:rPr>
                <w:i/>
                <w:sz w:val="18"/>
                <w:szCs w:val="18"/>
              </w:rPr>
              <w:t>) to the ones of this study (see</w:t>
            </w:r>
            <w:r w:rsidR="00E12655" w:rsidRPr="006F3D27">
              <w:rPr>
                <w:i/>
                <w:sz w:val="18"/>
                <w:szCs w:val="18"/>
              </w:rPr>
              <w:t xml:space="preserve"> </w:t>
            </w:r>
            <w:r w:rsidR="00E12655" w:rsidRPr="006F3D27">
              <w:rPr>
                <w:b/>
                <w:i/>
                <w:sz w:val="18"/>
                <w:szCs w:val="18"/>
              </w:rPr>
              <w:fldChar w:fldCharType="begin"/>
            </w:r>
            <w:r w:rsidR="00E12655" w:rsidRPr="006F3D27">
              <w:rPr>
                <w:b/>
                <w:i/>
                <w:sz w:val="18"/>
                <w:szCs w:val="18"/>
              </w:rPr>
              <w:instrText xml:space="preserve"> REF _Ref144828671 \h  \* MERGEFORMAT </w:instrText>
            </w:r>
            <w:r w:rsidR="00E12655" w:rsidRPr="006F3D27">
              <w:rPr>
                <w:b/>
                <w:i/>
                <w:sz w:val="18"/>
                <w:szCs w:val="18"/>
              </w:rPr>
            </w:r>
            <w:r w:rsidR="00E12655" w:rsidRPr="006F3D27">
              <w:rPr>
                <w:b/>
                <w:i/>
                <w:sz w:val="18"/>
                <w:szCs w:val="18"/>
              </w:rPr>
              <w:fldChar w:fldCharType="separate"/>
            </w:r>
            <w:r w:rsidR="00F25F8C" w:rsidRPr="006F3D27">
              <w:rPr>
                <w:b/>
                <w:i/>
                <w:sz w:val="18"/>
              </w:rPr>
              <w:t xml:space="preserve">Table SI. </w:t>
            </w:r>
            <w:r w:rsidR="00F25F8C" w:rsidRPr="006F3D27">
              <w:rPr>
                <w:b/>
                <w:i/>
                <w:noProof/>
                <w:sz w:val="18"/>
              </w:rPr>
              <w:t>72</w:t>
            </w:r>
            <w:r w:rsidR="00E12655" w:rsidRPr="006F3D27">
              <w:rPr>
                <w:b/>
                <w:i/>
                <w:sz w:val="18"/>
                <w:szCs w:val="18"/>
              </w:rPr>
              <w:fldChar w:fldCharType="end"/>
            </w:r>
            <w:r w:rsidRPr="006F3D27">
              <w:rPr>
                <w:i/>
                <w:sz w:val="18"/>
                <w:szCs w:val="18"/>
              </w:rPr>
              <w:t>). Cleaning wastewater considered at 5.3 g</w:t>
            </w:r>
            <w:r w:rsidRPr="006F3D27">
              <w:rPr>
                <w:i/>
                <w:sz w:val="18"/>
                <w:szCs w:val="18"/>
                <w:vertAlign w:val="subscript"/>
              </w:rPr>
              <w:t>COD</w:t>
            </w:r>
            <w:r w:rsidRPr="006F3D27">
              <w:rPr>
                <w:i/>
                <w:sz w:val="18"/>
                <w:szCs w:val="18"/>
              </w:rPr>
              <w:t>.L</w:t>
            </w:r>
            <w:r w:rsidRPr="006F3D27">
              <w:rPr>
                <w:i/>
                <w:sz w:val="18"/>
                <w:szCs w:val="18"/>
                <w:vertAlign w:val="superscript"/>
              </w:rPr>
              <w:t xml:space="preserve">-1 </w:t>
            </w:r>
            <w:r w:rsidRPr="006F3D27">
              <w:rPr>
                <w:i/>
                <w:sz w:val="18"/>
                <w:szCs w:val="18"/>
              </w:rPr>
              <w:fldChar w:fldCharType="begin"/>
            </w:r>
            <w:r w:rsidR="005413B4">
              <w:rPr>
                <w:i/>
                <w:sz w:val="18"/>
                <w:szCs w:val="18"/>
              </w:rPr>
              <w:instrText xml:space="preserve"> ADDIN ZOTERO_ITEM CSL_CITATION {"citationID":"IGaTRvnc","properties":{"formattedCitation":"\\super 183\\nosupersub{}","plainCitation":"183","noteIndex":0},"citationItems":[{"id":5124,"uris":["http://zotero.org/users/6423791/items/QSN5G6WV"],"itemData":{"id":5124,"type":"article-journal","container-title":"Science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183</w:t>
            </w:r>
            <w:r w:rsidRPr="006F3D27">
              <w:rPr>
                <w:i/>
                <w:sz w:val="18"/>
                <w:szCs w:val="18"/>
              </w:rPr>
              <w:fldChar w:fldCharType="end"/>
            </w:r>
            <w:r w:rsidRPr="006F3D27">
              <w:rPr>
                <w:i/>
                <w:sz w:val="18"/>
                <w:szCs w:val="18"/>
              </w:rPr>
              <w:t>.</w:t>
            </w:r>
          </w:p>
        </w:tc>
      </w:tr>
      <w:tr w:rsidR="002A6FDB" w:rsidRPr="006F3D27" w14:paraId="2180C8D0" w14:textId="77777777" w:rsidTr="00942782">
        <w:tc>
          <w:tcPr>
            <w:cnfStyle w:val="001000000000" w:firstRow="0" w:lastRow="0" w:firstColumn="1" w:lastColumn="0" w:oddVBand="0" w:evenVBand="0" w:oddHBand="0" w:evenHBand="0" w:firstRowFirstColumn="0" w:firstRowLastColumn="0" w:lastRowFirstColumn="0" w:lastRowLastColumn="0"/>
            <w:tcW w:w="2112" w:type="dxa"/>
          </w:tcPr>
          <w:p w14:paraId="23D33A82" w14:textId="77777777" w:rsidR="002A6FDB" w:rsidRPr="006F3D27" w:rsidRDefault="002A6FDB" w:rsidP="00BB41E9">
            <w:pPr>
              <w:jc w:val="right"/>
              <w:rPr>
                <w:b w:val="0"/>
                <w:sz w:val="18"/>
              </w:rPr>
            </w:pPr>
            <w:r w:rsidRPr="006F3D27">
              <w:rPr>
                <w:b w:val="0"/>
                <w:sz w:val="18"/>
              </w:rPr>
              <w:t>HNO3</w:t>
            </w:r>
          </w:p>
        </w:tc>
        <w:tc>
          <w:tcPr>
            <w:tcW w:w="1134" w:type="dxa"/>
          </w:tcPr>
          <w:p w14:paraId="797861E4"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kg.CIP</w:t>
            </w:r>
            <w:r w:rsidRPr="006F3D27">
              <w:rPr>
                <w:sz w:val="18"/>
                <w:vertAlign w:val="superscript"/>
              </w:rPr>
              <w:t>-1</w:t>
            </w:r>
          </w:p>
        </w:tc>
        <w:tc>
          <w:tcPr>
            <w:tcW w:w="708" w:type="dxa"/>
          </w:tcPr>
          <w:p w14:paraId="1A5071C6"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1118</w:t>
            </w:r>
          </w:p>
        </w:tc>
        <w:tc>
          <w:tcPr>
            <w:tcW w:w="4237" w:type="dxa"/>
            <w:vMerge/>
          </w:tcPr>
          <w:p w14:paraId="1B297BD8"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i/>
                <w:sz w:val="18"/>
              </w:rPr>
            </w:pPr>
          </w:p>
        </w:tc>
      </w:tr>
      <w:tr w:rsidR="002A6FDB" w:rsidRPr="006F3D27" w14:paraId="37ADBE39"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64A4A801" w14:textId="77777777" w:rsidR="002A6FDB" w:rsidRPr="006F3D27" w:rsidRDefault="002A6FDB" w:rsidP="00BB41E9">
            <w:pPr>
              <w:jc w:val="right"/>
              <w:rPr>
                <w:b w:val="0"/>
                <w:sz w:val="18"/>
              </w:rPr>
            </w:pPr>
            <w:r w:rsidRPr="006F3D27">
              <w:rPr>
                <w:b w:val="0"/>
                <w:sz w:val="18"/>
              </w:rPr>
              <w:t>Water</w:t>
            </w:r>
          </w:p>
        </w:tc>
        <w:tc>
          <w:tcPr>
            <w:tcW w:w="1134" w:type="dxa"/>
          </w:tcPr>
          <w:p w14:paraId="1BCE2367"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m</w:t>
            </w:r>
            <w:r w:rsidRPr="006F3D27">
              <w:rPr>
                <w:sz w:val="18"/>
                <w:vertAlign w:val="superscript"/>
              </w:rPr>
              <w:t>3</w:t>
            </w:r>
            <w:r w:rsidRPr="006F3D27">
              <w:rPr>
                <w:sz w:val="18"/>
              </w:rPr>
              <w:t>.CIP</w:t>
            </w:r>
            <w:r w:rsidRPr="006F3D27">
              <w:rPr>
                <w:sz w:val="18"/>
                <w:vertAlign w:val="superscript"/>
              </w:rPr>
              <w:t>-1</w:t>
            </w:r>
          </w:p>
        </w:tc>
        <w:tc>
          <w:tcPr>
            <w:tcW w:w="708" w:type="dxa"/>
          </w:tcPr>
          <w:p w14:paraId="4E30F59E"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1406</w:t>
            </w:r>
          </w:p>
        </w:tc>
        <w:tc>
          <w:tcPr>
            <w:tcW w:w="4237" w:type="dxa"/>
            <w:vMerge/>
          </w:tcPr>
          <w:p w14:paraId="474B8803"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i/>
                <w:sz w:val="18"/>
              </w:rPr>
            </w:pPr>
          </w:p>
        </w:tc>
      </w:tr>
      <w:tr w:rsidR="002A6FDB" w:rsidRPr="006F3D27" w14:paraId="7357A5BD" w14:textId="77777777" w:rsidTr="00942782">
        <w:tc>
          <w:tcPr>
            <w:cnfStyle w:val="001000000000" w:firstRow="0" w:lastRow="0" w:firstColumn="1" w:lastColumn="0" w:oddVBand="0" w:evenVBand="0" w:oddHBand="0" w:evenHBand="0" w:firstRowFirstColumn="0" w:firstRowLastColumn="0" w:lastRowFirstColumn="0" w:lastRowLastColumn="0"/>
            <w:tcW w:w="2112" w:type="dxa"/>
          </w:tcPr>
          <w:p w14:paraId="1F675019" w14:textId="77777777" w:rsidR="002A6FDB" w:rsidRPr="006F3D27" w:rsidRDefault="002A6FDB" w:rsidP="00BB41E9">
            <w:pPr>
              <w:jc w:val="right"/>
              <w:rPr>
                <w:b w:val="0"/>
                <w:sz w:val="18"/>
              </w:rPr>
            </w:pPr>
            <w:r w:rsidRPr="006F3D27">
              <w:rPr>
                <w:b w:val="0"/>
                <w:sz w:val="18"/>
              </w:rPr>
              <w:t>Autoclave</w:t>
            </w:r>
          </w:p>
        </w:tc>
        <w:tc>
          <w:tcPr>
            <w:tcW w:w="1134" w:type="dxa"/>
          </w:tcPr>
          <w:p w14:paraId="59789C2F"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MWh.CIP</w:t>
            </w:r>
            <w:r w:rsidRPr="006F3D27">
              <w:rPr>
                <w:sz w:val="18"/>
                <w:vertAlign w:val="superscript"/>
              </w:rPr>
              <w:t>-1</w:t>
            </w:r>
          </w:p>
        </w:tc>
        <w:tc>
          <w:tcPr>
            <w:tcW w:w="708" w:type="dxa"/>
          </w:tcPr>
          <w:p w14:paraId="030C8D65"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155</w:t>
            </w:r>
          </w:p>
        </w:tc>
        <w:tc>
          <w:tcPr>
            <w:tcW w:w="4237" w:type="dxa"/>
            <w:vMerge/>
          </w:tcPr>
          <w:p w14:paraId="139918C3"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i/>
                <w:sz w:val="18"/>
              </w:rPr>
            </w:pPr>
          </w:p>
        </w:tc>
      </w:tr>
      <w:tr w:rsidR="002A6FDB" w:rsidRPr="006F3D27" w14:paraId="14B78D3E"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047E3DA6" w14:textId="77777777" w:rsidR="002A6FDB" w:rsidRPr="006F3D27" w:rsidRDefault="002A6FDB" w:rsidP="00BB41E9">
            <w:pPr>
              <w:jc w:val="right"/>
              <w:rPr>
                <w:b w:val="0"/>
                <w:sz w:val="18"/>
              </w:rPr>
            </w:pPr>
            <w:r w:rsidRPr="006F3D27">
              <w:rPr>
                <w:b w:val="0"/>
                <w:sz w:val="18"/>
              </w:rPr>
              <w:t>Wastewater</w:t>
            </w:r>
          </w:p>
        </w:tc>
        <w:tc>
          <w:tcPr>
            <w:tcW w:w="1134" w:type="dxa"/>
          </w:tcPr>
          <w:p w14:paraId="7A0FB1B0"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m</w:t>
            </w:r>
            <w:r w:rsidRPr="006F3D27">
              <w:rPr>
                <w:sz w:val="18"/>
                <w:vertAlign w:val="superscript"/>
              </w:rPr>
              <w:t>3</w:t>
            </w:r>
            <w:r w:rsidRPr="006F3D27">
              <w:rPr>
                <w:sz w:val="18"/>
              </w:rPr>
              <w:t>.CIP</w:t>
            </w:r>
            <w:r w:rsidRPr="006F3D27">
              <w:rPr>
                <w:sz w:val="18"/>
                <w:vertAlign w:val="superscript"/>
              </w:rPr>
              <w:t>-1</w:t>
            </w:r>
          </w:p>
        </w:tc>
        <w:tc>
          <w:tcPr>
            <w:tcW w:w="708" w:type="dxa"/>
          </w:tcPr>
          <w:p w14:paraId="4720A978"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1410</w:t>
            </w:r>
          </w:p>
        </w:tc>
        <w:tc>
          <w:tcPr>
            <w:tcW w:w="4237" w:type="dxa"/>
            <w:vMerge/>
          </w:tcPr>
          <w:p w14:paraId="4B12363D"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i/>
                <w:sz w:val="18"/>
              </w:rPr>
            </w:pPr>
          </w:p>
        </w:tc>
      </w:tr>
    </w:tbl>
    <w:p w14:paraId="60B23726" w14:textId="77777777" w:rsidR="002A6FDB" w:rsidRDefault="002A6FDB" w:rsidP="002A6FDB">
      <w:pPr>
        <w:jc w:val="both"/>
        <w:rPr>
          <w:sz w:val="18"/>
        </w:rPr>
      </w:pPr>
      <w:r w:rsidRPr="003F5DA8">
        <w:rPr>
          <w:sz w:val="18"/>
        </w:rPr>
        <w:t>The parameters present in this table were not retained in the sensitivity analysis, these were considered as constants</w:t>
      </w:r>
    </w:p>
    <w:p w14:paraId="39E98FA8" w14:textId="77777777" w:rsidR="002A6FDB" w:rsidRPr="002A6FDB" w:rsidRDefault="002A6FDB" w:rsidP="00E12655">
      <w:pPr>
        <w:pStyle w:val="Titre4"/>
      </w:pPr>
      <w:r w:rsidRPr="002A6FDB">
        <w:t>Medium preparation</w:t>
      </w:r>
    </w:p>
    <w:p w14:paraId="5038EF01" w14:textId="5D4BA10D" w:rsidR="006F3D27" w:rsidRDefault="002A6FDB" w:rsidP="00E12655">
      <w:pPr>
        <w:ind w:firstLine="360"/>
        <w:jc w:val="both"/>
      </w:pPr>
      <w:r w:rsidRPr="003F5DA8">
        <w:t>Microbial culture requires many trace compounds and micronutrients (e.g. Cu, Fe, Mo, Ni, etc.). These seems hardly recoverable from residual substrates as not targeted by current nutrient recovery technologies and likely difficult to separate from undesirable/hazardous compounds</w:t>
      </w:r>
      <w:r w:rsidRPr="003F5DA8">
        <w:fldChar w:fldCharType="begin"/>
      </w:r>
      <w:r w:rsidR="00827449">
        <w:instrText xml:space="preserve"> ADDIN ZOTERO_ITEM CSL_CITATION {"citationID":"4CekRyTi","properties":{"formattedCitation":"\\super 22\\nosupersub{}","plainCitation":"22","noteIndex":0},"citationItems":[{"id":12862,"uris":["http://zotero.org/users/6423791/items/YGDJPK4F"],"itemData":{"id":12862,"type":"article-journal","abstract":"The concerns over food security and protein scarcity, driven by population increase and higher standards of living, have pushed scientists toward finding new protein sources. A considerable proportion of resources and agricultural lands are currently dedicated to proteinaceous feed production to raise livestock and poultry for human consumption. The 1st generation of microbial protein (MP) came into the market as land-independent proteinaceous feed for livestock and aquaculture. However, MP may be a less sustainable alternative to conventional feeds, such as soybean meal and fishmeal, because this technology currently requires natural gas and synthetic chemicals. These challenges have directed researchers toward the production of 2nd generation MP by integrating renewable energies, anaerobic digestion, nutrient recovery, biogas cleaning and upgrading, carbon-capture technologies, and fermentation. The fermentation of methane-oxidizing bacteria (MOB) and hydrogen-oxidizing bacteria (HOB), i.e., two protein rich microorganisms, has shown a great potential, on the one hand, to upcycle effluents from anaerobic digestion into protein rich biomass, and on the other hand, to be coupled to renewable energy systems under the concept of Power-to-X. This work compares various production routes for 2nd generation MP by reviewing the latest studies conducted in this context and introducing the state-of-the-art technologies, hoping that the findings can accelerate and facilitate upscaling of MP production. The results show that 2nd generation MP depends on the expansion of renewable energies. In countries with high penetration of renewable electricity, such as Nordic countries, off-peak surplus electricity can be used within MP-industry by supplying electrolytic H2, which is the driving factor for both MOB and HOB-based MP production. However, nutrient recovery technologies are the heart of the 2nd generation MP industry as they determine the process costs and quality of the final product. Although huge attempts have been made to date in this context, some bottlenecks such as immature nutrient recovery technologies, less efficient fermenters with insufficient gas-to-liquid transfer, and costly electrolytic hydrogen production and storage have hindered the scale up of MP production. Furthermore, further research into techno-economic feasibility and life cycle assessment (LCA) of coupled technologies is still needed to identify key points for improvement and thereby secure a sustainable production system.","container-title":"Renewable and Sustainable Energy Reviews","DOI":"10.1016/j.rser.2021.112041","ISSN":"1364-0321","journalAbbreviation":"Renew. Sust. Energ. Rev.","language":"en","page":"112041","source":"ScienceDirect","title":"From renewable energy to sustainable protein sources: Advancement, challenges, and future roadmaps","title-short":"From renewable energy to sustainable protein sources","volume":"157","author":[{"family":"Khoshnevisan","given":"Benyamin"},{"family":"He","given":"Li"},{"family":"Xu","given":"Mingyi"},{"family":"Valverde-Pérez","given":"Borja"},{"family":"Sillman","given":"Jani"},{"family":"Mitraka","given":"Georgia-Christina"},{"family":"Kougias","given":"Panagiotis G."},{"family":"Zhang","given":"Yifeng"},{"family":"Yan","given":"Shuiping"},{"family":"Ji","given":"Long"},{"family":"Carbajales-Dale","given":"Michael"},{"family":"Elyasi","given":"Seyedeh Nashmin"},{"family":"Marami","given":"Hadis"},{"family":"Tsapekos","given":"Panagiotis"},{"family":"Liu","given":"Hongbin"},{"family":"Angelidaki","given":"Irini"}],"issued":{"date-parts":[["2022",4,1]]}}}],"schema":"https://github.com/citation-style-language/schema/raw/master/csl-citation.json"} </w:instrText>
      </w:r>
      <w:r w:rsidRPr="003F5DA8">
        <w:fldChar w:fldCharType="separate"/>
      </w:r>
      <w:r w:rsidR="00682E10" w:rsidRPr="00682E10">
        <w:rPr>
          <w:rFonts w:ascii="Calibri" w:hAnsi="Calibri" w:cs="Calibri"/>
          <w:szCs w:val="24"/>
          <w:vertAlign w:val="superscript"/>
        </w:rPr>
        <w:t>22</w:t>
      </w:r>
      <w:r w:rsidRPr="003F5DA8">
        <w:fldChar w:fldCharType="end"/>
      </w:r>
      <w:r w:rsidRPr="003F5DA8">
        <w:t>. Therefore, medium was assumed formulated from raw materials. Requirements were assumed the same for HOB and MOB, and were based on already existing inventories (see</w:t>
      </w:r>
      <w:r w:rsidR="00E12655">
        <w:t xml:space="preserve"> </w:t>
      </w:r>
      <w:r w:rsidR="00E12655" w:rsidRPr="00E12655">
        <w:rPr>
          <w:b/>
        </w:rPr>
        <w:fldChar w:fldCharType="begin"/>
      </w:r>
      <w:r w:rsidR="00E12655" w:rsidRPr="00E12655">
        <w:rPr>
          <w:b/>
        </w:rPr>
        <w:instrText xml:space="preserve"> REF _Ref144829786 \h </w:instrText>
      </w:r>
      <w:r w:rsidR="00E12655">
        <w:rPr>
          <w:b/>
        </w:rPr>
        <w:instrText xml:space="preserve"> \* MERGEFORMAT </w:instrText>
      </w:r>
      <w:r w:rsidR="00E12655" w:rsidRPr="00E12655">
        <w:rPr>
          <w:b/>
        </w:rPr>
      </w:r>
      <w:r w:rsidR="00E12655" w:rsidRPr="00E12655">
        <w:rPr>
          <w:b/>
        </w:rPr>
        <w:fldChar w:fldCharType="separate"/>
      </w:r>
      <w:r w:rsidR="00F25F8C" w:rsidRPr="00F25F8C">
        <w:rPr>
          <w:b/>
        </w:rPr>
        <w:t xml:space="preserve">Table SI. </w:t>
      </w:r>
      <w:r w:rsidR="00F25F8C" w:rsidRPr="00F25F8C">
        <w:rPr>
          <w:b/>
          <w:noProof/>
        </w:rPr>
        <w:t>74</w:t>
      </w:r>
      <w:r w:rsidR="00E12655" w:rsidRPr="00E12655">
        <w:rPr>
          <w:b/>
        </w:rPr>
        <w:fldChar w:fldCharType="end"/>
      </w:r>
      <w:r w:rsidRPr="003F5DA8">
        <w:t>).</w:t>
      </w:r>
    </w:p>
    <w:p w14:paraId="3335E470" w14:textId="5DCB517D" w:rsidR="002A6FDB" w:rsidRPr="008A775E" w:rsidRDefault="00874128" w:rsidP="00942782">
      <w:pPr>
        <w:pStyle w:val="Lgende"/>
        <w:jc w:val="left"/>
        <w:rPr>
          <w:b w:val="0"/>
          <w:i/>
        </w:rPr>
      </w:pPr>
      <w:bookmarkStart w:id="316" w:name="_Ref144829786"/>
      <w:bookmarkStart w:id="317" w:name="_Toc134537640"/>
      <w:bookmarkStart w:id="318" w:name="_Toc151967958"/>
      <w:r>
        <w:t>Table SI.</w:t>
      </w:r>
      <w:r w:rsidR="002A6FDB">
        <w:t xml:space="preserve"> </w:t>
      </w:r>
      <w:r>
        <w:fldChar w:fldCharType="begin"/>
      </w:r>
      <w:r>
        <w:instrText xml:space="preserve"> SEQ Table_SI. \* ARABIC </w:instrText>
      </w:r>
      <w:r>
        <w:fldChar w:fldCharType="separate"/>
      </w:r>
      <w:r w:rsidR="00F25F8C">
        <w:rPr>
          <w:noProof/>
        </w:rPr>
        <w:t>74</w:t>
      </w:r>
      <w:r>
        <w:fldChar w:fldCharType="end"/>
      </w:r>
      <w:bookmarkEnd w:id="316"/>
      <w:r w:rsidR="002A6FDB">
        <w:t xml:space="preserve"> </w:t>
      </w:r>
      <w:r w:rsidR="002A6FDB" w:rsidRPr="00415E4C">
        <w:t>– Medium formulation modeling parameters</w:t>
      </w:r>
      <w:bookmarkEnd w:id="317"/>
      <w:bookmarkEnd w:id="318"/>
    </w:p>
    <w:tbl>
      <w:tblPr>
        <w:tblStyle w:val="Tableausimple2"/>
        <w:tblW w:w="0" w:type="auto"/>
        <w:tblLook w:val="04A0" w:firstRow="1" w:lastRow="0" w:firstColumn="1" w:lastColumn="0" w:noHBand="0" w:noVBand="1"/>
      </w:tblPr>
      <w:tblGrid>
        <w:gridCol w:w="2112"/>
        <w:gridCol w:w="1134"/>
        <w:gridCol w:w="708"/>
        <w:gridCol w:w="4237"/>
      </w:tblGrid>
      <w:tr w:rsidR="002A6FDB" w:rsidRPr="006F3D27" w14:paraId="1A88885F" w14:textId="77777777" w:rsidTr="009427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358965D2" w14:textId="77777777" w:rsidR="002A6FDB" w:rsidRPr="006F3D27" w:rsidRDefault="002A6FDB" w:rsidP="00BB41E9">
            <w:pPr>
              <w:jc w:val="right"/>
              <w:rPr>
                <w:sz w:val="18"/>
                <w:szCs w:val="18"/>
              </w:rPr>
            </w:pPr>
            <w:r w:rsidRPr="006F3D27">
              <w:rPr>
                <w:sz w:val="18"/>
                <w:szCs w:val="18"/>
              </w:rPr>
              <w:t>Compounds</w:t>
            </w:r>
          </w:p>
        </w:tc>
        <w:tc>
          <w:tcPr>
            <w:tcW w:w="1134" w:type="dxa"/>
          </w:tcPr>
          <w:p w14:paraId="7313E78D" w14:textId="77777777" w:rsidR="002A6FDB" w:rsidRPr="006F3D27" w:rsidRDefault="002A6FDB" w:rsidP="00BB41E9">
            <w:pPr>
              <w:cnfStyle w:val="100000000000" w:firstRow="1" w:lastRow="0" w:firstColumn="0" w:lastColumn="0" w:oddVBand="0" w:evenVBand="0" w:oddHBand="0" w:evenHBand="0" w:firstRowFirstColumn="0" w:firstRowLastColumn="0" w:lastRowFirstColumn="0" w:lastRowLastColumn="0"/>
              <w:rPr>
                <w:sz w:val="18"/>
                <w:szCs w:val="18"/>
              </w:rPr>
            </w:pPr>
            <w:r w:rsidRPr="006F3D27">
              <w:rPr>
                <w:sz w:val="18"/>
                <w:szCs w:val="18"/>
              </w:rPr>
              <w:t>Unit</w:t>
            </w:r>
          </w:p>
        </w:tc>
        <w:tc>
          <w:tcPr>
            <w:tcW w:w="708" w:type="dxa"/>
          </w:tcPr>
          <w:p w14:paraId="5DA70A40" w14:textId="77777777" w:rsidR="002A6FDB" w:rsidRPr="006F3D27" w:rsidRDefault="002A6FDB" w:rsidP="00BB41E9">
            <w:pPr>
              <w:cnfStyle w:val="100000000000" w:firstRow="1" w:lastRow="0" w:firstColumn="0" w:lastColumn="0" w:oddVBand="0" w:evenVBand="0" w:oddHBand="0" w:evenHBand="0" w:firstRowFirstColumn="0" w:firstRowLastColumn="0" w:lastRowFirstColumn="0" w:lastRowLastColumn="0"/>
              <w:rPr>
                <w:sz w:val="18"/>
                <w:szCs w:val="18"/>
              </w:rPr>
            </w:pPr>
            <w:r w:rsidRPr="006F3D27">
              <w:rPr>
                <w:sz w:val="18"/>
                <w:szCs w:val="18"/>
              </w:rPr>
              <w:t>Value</w:t>
            </w:r>
          </w:p>
        </w:tc>
        <w:tc>
          <w:tcPr>
            <w:tcW w:w="4237" w:type="dxa"/>
          </w:tcPr>
          <w:p w14:paraId="6C41272B" w14:textId="77777777" w:rsidR="002A6FDB" w:rsidRPr="006F3D27" w:rsidRDefault="002A6FDB" w:rsidP="00E12655">
            <w:pPr>
              <w:cnfStyle w:val="100000000000" w:firstRow="1" w:lastRow="0" w:firstColumn="0" w:lastColumn="0" w:oddVBand="0" w:evenVBand="0" w:oddHBand="0" w:evenHBand="0" w:firstRowFirstColumn="0" w:firstRowLastColumn="0" w:lastRowFirstColumn="0" w:lastRowLastColumn="0"/>
              <w:rPr>
                <w:i/>
                <w:sz w:val="18"/>
                <w:szCs w:val="18"/>
              </w:rPr>
            </w:pPr>
            <w:r w:rsidRPr="006F3D27">
              <w:rPr>
                <w:i/>
                <w:sz w:val="18"/>
                <w:szCs w:val="18"/>
              </w:rPr>
              <w:t>Comment</w:t>
            </w:r>
          </w:p>
        </w:tc>
      </w:tr>
      <w:tr w:rsidR="002A6FDB" w:rsidRPr="006F3D27" w14:paraId="4710E5EC"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02E45FC9" w14:textId="77777777" w:rsidR="002A6FDB" w:rsidRPr="006F3D27" w:rsidRDefault="002A6FDB" w:rsidP="00BB41E9">
            <w:pPr>
              <w:jc w:val="right"/>
              <w:rPr>
                <w:b w:val="0"/>
                <w:sz w:val="18"/>
                <w:szCs w:val="18"/>
              </w:rPr>
            </w:pPr>
            <w:r w:rsidRPr="006F3D27">
              <w:rPr>
                <w:b w:val="0"/>
                <w:sz w:val="18"/>
                <w:szCs w:val="18"/>
              </w:rPr>
              <w:t>P</w:t>
            </w:r>
          </w:p>
        </w:tc>
        <w:tc>
          <w:tcPr>
            <w:tcW w:w="1134" w:type="dxa"/>
            <w:vMerge w:val="restart"/>
          </w:tcPr>
          <w:p w14:paraId="0E3B4923"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6F3D27">
              <w:rPr>
                <w:sz w:val="18"/>
                <w:szCs w:val="18"/>
              </w:rPr>
              <w:t>mg.g</w:t>
            </w:r>
            <w:r w:rsidRPr="006F3D27">
              <w:rPr>
                <w:sz w:val="18"/>
                <w:szCs w:val="18"/>
                <w:vertAlign w:val="subscript"/>
              </w:rPr>
              <w:t>X</w:t>
            </w:r>
            <w:proofErr w:type="gramEnd"/>
            <w:r w:rsidRPr="006F3D27">
              <w:rPr>
                <w:sz w:val="18"/>
                <w:szCs w:val="18"/>
                <w:vertAlign w:val="superscript"/>
              </w:rPr>
              <w:t>-1</w:t>
            </w:r>
          </w:p>
        </w:tc>
        <w:tc>
          <w:tcPr>
            <w:tcW w:w="708" w:type="dxa"/>
          </w:tcPr>
          <w:p w14:paraId="13717027"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30</w:t>
            </w:r>
          </w:p>
        </w:tc>
        <w:tc>
          <w:tcPr>
            <w:tcW w:w="4237" w:type="dxa"/>
          </w:tcPr>
          <w:p w14:paraId="01E847A3" w14:textId="64536182"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t>Estimated at 3%</w:t>
            </w:r>
            <w:r w:rsidRPr="006F3D27">
              <w:rPr>
                <w:i/>
                <w:sz w:val="18"/>
                <w:szCs w:val="18"/>
                <w:vertAlign w:val="subscript"/>
              </w:rPr>
              <w:t>DM</w:t>
            </w:r>
            <w:r w:rsidRPr="006F3D27">
              <w:rPr>
                <w:i/>
                <w:sz w:val="18"/>
                <w:szCs w:val="18"/>
              </w:rPr>
              <w:t xml:space="preserve"> of HOB and MOB</w:t>
            </w:r>
            <w:r w:rsidRPr="006F3D27">
              <w:rPr>
                <w:i/>
                <w:sz w:val="18"/>
                <w:szCs w:val="18"/>
              </w:rPr>
              <w:fldChar w:fldCharType="begin"/>
            </w:r>
            <w:r w:rsidR="005413B4">
              <w:rPr>
                <w:i/>
                <w:sz w:val="18"/>
                <w:szCs w:val="18"/>
              </w:rPr>
              <w:instrText xml:space="preserve"> ADDIN ZOTERO_ITEM CSL_CITATION {"citationID":"C2adG6sz","properties":{"formattedCitation":"\\super 186,187,199\\nosupersub{}","plainCitation":"186,187,199","noteIndex":0},"citationItems":[{"id":12881,"uris":["http://zotero.org/users/6423791/items/XFWA5FUP"],"itemData":{"id":12881,"type":"article-journal","abstract":"A major obstacle preventing the large scale production of polyhydroxyalkanoates (PHAs) has been the lack of a reliable, low cost, large volume feedstock. The abundance and relatively low price of methane therefore marks it as a substrate of interest. This paper presents a techno-economic assessment of the production of poly-3-hydroxybutyrate (PHB) from methane. ASPEN Plus was used for process design and simulation. The design and economic evaluation is presented for production of 100,000t/a PHB through methanotrophic fermentation and acetone-water solvent extraction. Production costs were estimated at $4.1–$6.8/kg PHA, which compares against a median price of $7.5/kg from other studies. Raw material costs are reduced from 30 to 50% of production for sugar feedstocks, to 22% of production for methane. A feature of the work is the revelation that heat removal from the two-stage bioreactor process contributes 28% of the operating cost. Thermophilic methanotrophs could allow the use of cooling water instead of refrigerant, reducing production costs to $3.2–5.4/kg PHA; it is noted that PHB producing thermophilic methanotrophs are yet to be isolated. Energy consumption for air compression and biomass drying were also identified as significant capital and operating costs and therefore optimisation of bioreactor height and pressure and biomass moisture content should be considered in future research.","container-title":"Journal of Environmental Chemical Engineering","DOI":"10.1016/j.jece.2016.07.033","ISSN":"2213-3437","issue":"4, Part A","journalAbbreviation":"J. Environ. Chem. Eng.","language":"en","page":"3724-3733","source":"ScienceDirect","title":"Techno-economic assessment of poly-3-hydroxybutyrate (PHB) production from methane—The case for thermophilic bioprocessing","volume":"4","author":[{"family":"Levett","given":"Ian"},{"family":"Birkett","given":"Greg"},{"family":"Davies","given":"Nick"},{"family":"Bell","given":"Aidan"},{"family":"Langford","given":"Alexandra"},{"family":"Laycock","given":"Bronwyn"},{"family":"Lant","given":"Paul"},{"family":"Pratt","given":"Steven"}],"issued":{"date-parts":[["2016",12,1]]}}},{"id":558,"uris":["http://zotero.org/users/6423791/items/YPK9LCXF"],"itemData":{"id":558,"type":"article-journal","abstract":"One of the main challenges for the 21st century is to balance the increasing demand for high-quality proteins while mitigating environmental impacts. In particular, cropland-based production of protein-rich animal feed for livestock rearing results in large-scale agricultural land-expansion, nitrogen pollution, and greenhouse gas emissions. Here we propose and analyze the longterm potential of alternative animal feed supply routes based on industrial production of microbial proteins (MP). Our analysis reveals that by 2050, MP can replace, depending on socioeconomic development and MP production pathways, between 10−19% of conventional crop-based animal feed protein demand. As a result, global cropland area, global nitrogen losses from croplands and agricultural greenhouse gas emissions can be decreased by 6% (0−13%), 8% (−3−8%), and 7% (−6−9%), respectively. Interestingly, the technology to industrially produce MP at competitive costs is directly accessible for implementation and has the potential to cause a major structural change in the agro-food system.","container-title":"Environmental Science &amp; Technology","DOI":"10.1021/acs.est.8b00216","ISSN":"0013-936X, 1520-5851","issue":"13","journalAbbreviation":"Environ. Sci. Technol.","language":"en","page":"7351-7359","source":"DOI.org (Crossref)","title":"Decoupling Livestock from Land Use through Industrial Feed Production Pathways","volume":"52","author":[{"family":"Pikaar","given":"Ilje"},{"family":"Matassa","given":"Silvio"},{"family":"Bodirsky","given":"Benjamin L."},{"family":"Weindl","given":"Isabelle"},{"family":"Humpenöder","given":"Florian"},{"family":"Rabaey","given":"Korneel"},{"family":"Boon","given":"Nico"},{"family":"Bruschi","given":"Michele"},{"family":"Yuan","given":"Zhiguo"},{"family":"Zanten","given":"Hannah","non-dropping-particle":"van"},{"family":"Herrero","given":"Mario"},{"family":"Verstraete","given":"Willy"},{"family":"Popp","given":"Alexander"}],"issued":{"date-parts":[["2018",7,3]]}}},{"id":12866,"uris":["http://zotero.org/users/6423791/items/26C4AHVP"],"itemData":{"id":12866,"type":"article-journal","abstract":"The growing population and the consequent protein scarcity have led to innovation in proteinaceous feed production methods. In this regard, the upcycling of nitrogen rich effluents into microbial protein (MP)/single cell protein (SCP) is considered as an innovative solution. This paper aims to employ life cycle assessment to identify the most environmentally friendly strategy to upcycle nitrogen (N) and carbon (C) flows from wastewater treatment plant (WWTP) into MP. Accordingly, several pathways for integrating WWTP and MP production facility were evaluated, in terms of C source (i.e., biogas or biomethane) and the pretreatment method applied to the reject water (RW) (i.e., centrifugation + filtration + pasteurization, electrochemical extraction, bio-electrochemical extraction). The results indicated that electrochemical and bio-electrochemical N recovery not only safely extracted N from RW but also led to promising solution for MP production from WWTP effluents. The pathway including bio-electrochemical N recovery and use of biologically upgraded biogas for MP had 42.17%, 195.95%, and 172.03% better environmental performance regarding human health, ecosystem quality, and resource scarcity, respectively, compared with standalone WWTP without MP production. However, the electrochemical N recovery outperformed other scenarios in the human health damage category with a net impact of 2.72 DALY/FU and in ecosystem quality damage category with a saving of −0.033 Species/FU. The results reported herein indicated that the use of chemical nutrients to enrich the cultivation medium had significant impacts on the overall environmental performance of the suggested biorefinery. Decreasing the consumption of synthetic nutrients and improving N to protein conversion efficiency by 20% can make the established pathway much more competitive with conventional proteinaceous feed sources such as soybean meal.","container-title":"Renewable and Sustainable Energy Reviews","DOI":"10.1016/j.rser.2021.111895","ISSN":"1364-0321","journalAbbreviation":"Renew. Sust. Energ. Rev.","language":"en","page":"111895","source":"ScienceDirect","title":"Bridging to circular bioeconomy through a novel biorefinery platform on a wastewater treatment plant","volume":"154","author":[{"family":"Marami","given":"Hadis"},{"family":"He","given":"Li"},{"family":"Rafiee","given":"Shahin"},{"family":"Khoshnevisan","given":"Benyamin"},{"family":"Tsapekos","given":"Panagiotis"},{"family":"Mobli","given":"Hossein"},{"family":"Elyasi","given":"Seyedeh Nashmin"},{"family":"Liu","given":"Hongbin"},{"family":"Angelidaki","given":"Irini"}],"issued":{"date-parts":[["2022",2,1]]}}}],"schema":"https://github.com/citation-style-language/schema/raw/master/csl-citation.json"}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186,187,199</w:t>
            </w:r>
            <w:r w:rsidRPr="006F3D27">
              <w:rPr>
                <w:i/>
                <w:sz w:val="18"/>
                <w:szCs w:val="18"/>
              </w:rPr>
              <w:fldChar w:fldCharType="end"/>
            </w:r>
          </w:p>
        </w:tc>
      </w:tr>
      <w:tr w:rsidR="002A6FDB" w:rsidRPr="006F3D27" w14:paraId="54729C36" w14:textId="77777777" w:rsidTr="00942782">
        <w:tc>
          <w:tcPr>
            <w:cnfStyle w:val="001000000000" w:firstRow="0" w:lastRow="0" w:firstColumn="1" w:lastColumn="0" w:oddVBand="0" w:evenVBand="0" w:oddHBand="0" w:evenHBand="0" w:firstRowFirstColumn="0" w:firstRowLastColumn="0" w:lastRowFirstColumn="0" w:lastRowLastColumn="0"/>
            <w:tcW w:w="2112" w:type="dxa"/>
          </w:tcPr>
          <w:p w14:paraId="6E5160EE" w14:textId="77777777" w:rsidR="002A6FDB" w:rsidRPr="006F3D27" w:rsidRDefault="002A6FDB" w:rsidP="00BB41E9">
            <w:pPr>
              <w:jc w:val="right"/>
              <w:rPr>
                <w:b w:val="0"/>
                <w:sz w:val="18"/>
                <w:szCs w:val="18"/>
              </w:rPr>
            </w:pPr>
            <w:r w:rsidRPr="006F3D27">
              <w:rPr>
                <w:b w:val="0"/>
                <w:sz w:val="18"/>
                <w:szCs w:val="18"/>
              </w:rPr>
              <w:t>K</w:t>
            </w:r>
          </w:p>
        </w:tc>
        <w:tc>
          <w:tcPr>
            <w:tcW w:w="1134" w:type="dxa"/>
            <w:vMerge/>
          </w:tcPr>
          <w:p w14:paraId="43008545"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szCs w:val="18"/>
              </w:rPr>
            </w:pPr>
          </w:p>
        </w:tc>
        <w:tc>
          <w:tcPr>
            <w:tcW w:w="708" w:type="dxa"/>
          </w:tcPr>
          <w:p w14:paraId="060576D2"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5</w:t>
            </w:r>
          </w:p>
        </w:tc>
        <w:tc>
          <w:tcPr>
            <w:tcW w:w="4237" w:type="dxa"/>
          </w:tcPr>
          <w:p w14:paraId="1AAC0619" w14:textId="4DC17631"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fldChar w:fldCharType="begin"/>
            </w:r>
            <w:r w:rsidR="005413B4">
              <w:rPr>
                <w:i/>
                <w:sz w:val="18"/>
                <w:szCs w:val="18"/>
              </w:rPr>
              <w:instrText xml:space="preserve"> ADDIN ZOTERO_ITEM CSL_CITATION {"citationID":"7K0WpG63","properties":{"formattedCitation":"\\super 183\\nosupersub{}","plainCitation":"183","noteIndex":0},"citationItems":[{"id":5124,"uris":["http://zotero.org/users/6423791/items/QSN5G6WV"],"itemData":{"id":5124,"type":"article-journal","container-title":"Science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183</w:t>
            </w:r>
            <w:r w:rsidRPr="006F3D27">
              <w:rPr>
                <w:i/>
                <w:sz w:val="18"/>
                <w:szCs w:val="18"/>
              </w:rPr>
              <w:fldChar w:fldCharType="end"/>
            </w:r>
          </w:p>
        </w:tc>
      </w:tr>
      <w:tr w:rsidR="002A6FDB" w:rsidRPr="006F3D27" w14:paraId="426A74D1"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4BDFA71F" w14:textId="77777777" w:rsidR="002A6FDB" w:rsidRPr="006F3D27" w:rsidRDefault="002A6FDB" w:rsidP="00BB41E9">
            <w:pPr>
              <w:jc w:val="right"/>
              <w:rPr>
                <w:b w:val="0"/>
                <w:sz w:val="18"/>
                <w:szCs w:val="18"/>
              </w:rPr>
            </w:pPr>
            <w:r w:rsidRPr="006F3D27">
              <w:rPr>
                <w:b w:val="0"/>
                <w:sz w:val="18"/>
                <w:szCs w:val="18"/>
              </w:rPr>
              <w:t>MgSO</w:t>
            </w:r>
            <w:r w:rsidRPr="006F3D27">
              <w:rPr>
                <w:b w:val="0"/>
                <w:sz w:val="18"/>
                <w:szCs w:val="18"/>
                <w:vertAlign w:val="subscript"/>
              </w:rPr>
              <w:t>4</w:t>
            </w:r>
          </w:p>
        </w:tc>
        <w:tc>
          <w:tcPr>
            <w:tcW w:w="1134" w:type="dxa"/>
            <w:vMerge/>
          </w:tcPr>
          <w:p w14:paraId="5E1B327E"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szCs w:val="18"/>
              </w:rPr>
            </w:pPr>
          </w:p>
        </w:tc>
        <w:tc>
          <w:tcPr>
            <w:tcW w:w="708" w:type="dxa"/>
          </w:tcPr>
          <w:p w14:paraId="546CEAA2"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25</w:t>
            </w:r>
          </w:p>
        </w:tc>
        <w:tc>
          <w:tcPr>
            <w:tcW w:w="4237" w:type="dxa"/>
          </w:tcPr>
          <w:p w14:paraId="7172210A" w14:textId="6009386E"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fldChar w:fldCharType="begin"/>
            </w:r>
            <w:r w:rsidR="005413B4">
              <w:rPr>
                <w:i/>
                <w:sz w:val="18"/>
                <w:szCs w:val="18"/>
              </w:rPr>
              <w:instrText xml:space="preserve"> ADDIN ZOTERO_ITEM CSL_CITATION {"citationID":"1rOqr960","properties":{"formattedCitation":"\\super 186\\nosupersub{}","plainCitation":"186","noteIndex":0},"citationItems":[{"id":12881,"uris":["http://zotero.org/users/6423791/items/XFWA5FUP"],"itemData":{"id":12881,"type":"article-journal","abstract":"A major obstacle preventing the large scale production of polyhydroxyalkanoates (PHAs) has been the lack of a reliable, low cost, large volume feedstock. The abundance and relatively low price of methane therefore marks it as a substrate of interest. This paper presents a techno-economic assessment of the production of poly-3-hydroxybutyrate (PHB) from methane. ASPEN Plus was used for process design and simulation. The design and economic evaluation is presented for production of 100,000t/a PHB through methanotrophic fermentation and acetone-water solvent extraction. Production costs were estimated at $4.1–$6.8/kg PHA, which compares against a median price of $7.5/kg from other studies. Raw material costs are reduced from 30 to 50% of production for sugar feedstocks, to 22% of production for methane. A feature of the work is the revelation that heat removal from the two-stage bioreactor process contributes 28% of the operating cost. Thermophilic methanotrophs could allow the use of cooling water instead of refrigerant, reducing production costs to $3.2–5.4/kg PHA; it is noted that PHB producing thermophilic methanotrophs are yet to be isolated. Energy consumption for air compression and biomass drying were also identified as significant capital and operating costs and therefore optimisation of bioreactor height and pressure and biomass moisture content should be considered in future research.","container-title":"Journal of Environmental Chemical Engineering","DOI":"10.1016/j.jece.2016.07.033","ISSN":"2213-3437","issue":"4, Part A","journalAbbreviation":"J. Environ. Chem. Eng.","language":"en","page":"3724-3733","source":"ScienceDirect","title":"Techno-economic assessment of poly-3-hydroxybutyrate (PHB) production from methane—The case for thermophilic bioprocessing","volume":"4","author":[{"family":"Levett","given":"Ian"},{"family":"Birkett","given":"Greg"},{"family":"Davies","given":"Nick"},{"family":"Bell","given":"Aidan"},{"family":"Langford","given":"Alexandra"},{"family":"Laycock","given":"Bronwyn"},{"family":"Lant","given":"Paul"},{"family":"Pratt","given":"Steven"}],"issued":{"date-parts":[["2016",12,1]]}}}],"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186</w:t>
            </w:r>
            <w:r w:rsidRPr="006F3D27">
              <w:rPr>
                <w:i/>
                <w:sz w:val="18"/>
                <w:szCs w:val="18"/>
              </w:rPr>
              <w:fldChar w:fldCharType="end"/>
            </w:r>
            <w:r w:rsidRPr="006F3D27">
              <w:rPr>
                <w:i/>
                <w:sz w:val="18"/>
                <w:szCs w:val="18"/>
              </w:rPr>
              <w:t xml:space="preserve"> “Market for magnesium sulfate, GLO”</w:t>
            </w:r>
          </w:p>
        </w:tc>
      </w:tr>
      <w:tr w:rsidR="002A6FDB" w:rsidRPr="006F3D27" w14:paraId="7A54B821" w14:textId="77777777" w:rsidTr="00942782">
        <w:tc>
          <w:tcPr>
            <w:cnfStyle w:val="001000000000" w:firstRow="0" w:lastRow="0" w:firstColumn="1" w:lastColumn="0" w:oddVBand="0" w:evenVBand="0" w:oddHBand="0" w:evenHBand="0" w:firstRowFirstColumn="0" w:firstRowLastColumn="0" w:lastRowFirstColumn="0" w:lastRowLastColumn="0"/>
            <w:tcW w:w="2112" w:type="dxa"/>
          </w:tcPr>
          <w:p w14:paraId="09105D41" w14:textId="77777777" w:rsidR="002A6FDB" w:rsidRPr="006F3D27" w:rsidRDefault="002A6FDB" w:rsidP="00BB41E9">
            <w:pPr>
              <w:jc w:val="right"/>
              <w:rPr>
                <w:b w:val="0"/>
                <w:sz w:val="18"/>
                <w:szCs w:val="18"/>
              </w:rPr>
            </w:pPr>
            <w:r w:rsidRPr="006F3D27">
              <w:rPr>
                <w:b w:val="0"/>
                <w:sz w:val="18"/>
                <w:szCs w:val="18"/>
              </w:rPr>
              <w:t>CuSO</w:t>
            </w:r>
            <w:r w:rsidRPr="006F3D27">
              <w:rPr>
                <w:b w:val="0"/>
                <w:sz w:val="18"/>
                <w:szCs w:val="18"/>
                <w:vertAlign w:val="subscript"/>
              </w:rPr>
              <w:t>4</w:t>
            </w:r>
          </w:p>
        </w:tc>
        <w:tc>
          <w:tcPr>
            <w:tcW w:w="1134" w:type="dxa"/>
            <w:vMerge/>
          </w:tcPr>
          <w:p w14:paraId="53D64C98"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szCs w:val="18"/>
              </w:rPr>
            </w:pPr>
          </w:p>
        </w:tc>
        <w:tc>
          <w:tcPr>
            <w:tcW w:w="708" w:type="dxa"/>
          </w:tcPr>
          <w:p w14:paraId="5F455615"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0.79</w:t>
            </w:r>
          </w:p>
        </w:tc>
        <w:tc>
          <w:tcPr>
            <w:tcW w:w="4237" w:type="dxa"/>
          </w:tcPr>
          <w:p w14:paraId="02044EEE" w14:textId="2CCA0C57"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fldChar w:fldCharType="begin"/>
            </w:r>
            <w:r w:rsidR="005413B4">
              <w:rPr>
                <w:i/>
                <w:sz w:val="18"/>
                <w:szCs w:val="18"/>
              </w:rPr>
              <w:instrText xml:space="preserve"> ADDIN ZOTERO_ITEM CSL_CITATION {"citationID":"fCaWbr50","properties":{"formattedCitation":"\\super 186\\nosupersub{}","plainCitation":"186","noteIndex":0},"citationItems":[{"id":12881,"uris":["http://zotero.org/users/6423791/items/XFWA5FUP"],"itemData":{"id":12881,"type":"article-journal","abstract":"A major obstacle preventing the large scale production of polyhydroxyalkanoates (PHAs) has been the lack of a reliable, low cost, large volume feedstock. The abundance and relatively low price of methane therefore marks it as a substrate of interest. This paper presents a techno-economic assessment of the production of poly-3-hydroxybutyrate (PHB) from methane. ASPEN Plus was used for process design and simulation. The design and economic evaluation is presented for production of 100,000t/a PHB through methanotrophic fermentation and acetone-water solvent extraction. Production costs were estimated at $4.1–$6.8/kg PHA, which compares against a median price of $7.5/kg from other studies. Raw material costs are reduced from 30 to 50% of production for sugar feedstocks, to 22% of production for methane. A feature of the work is the revelation that heat removal from the two-stage bioreactor process contributes 28% of the operating cost. Thermophilic methanotrophs could allow the use of cooling water instead of refrigerant, reducing production costs to $3.2–5.4/kg PHA; it is noted that PHB producing thermophilic methanotrophs are yet to be isolated. Energy consumption for air compression and biomass drying were also identified as significant capital and operating costs and therefore optimisation of bioreactor height and pressure and biomass moisture content should be considered in future research.","container-title":"Journal of Environmental Chemical Engineering","DOI":"10.1016/j.jece.2016.07.033","ISSN":"2213-3437","issue":"4, Part A","journalAbbreviation":"J. Environ. Chem. Eng.","language":"en","page":"3724-3733","source":"ScienceDirect","title":"Techno-economic assessment of poly-3-hydroxybutyrate (PHB) production from methane—The case for thermophilic bioprocessing","volume":"4","author":[{"family":"Levett","given":"Ian"},{"family":"Birkett","given":"Greg"},{"family":"Davies","given":"Nick"},{"family":"Bell","given":"Aidan"},{"family":"Langford","given":"Alexandra"},{"family":"Laycock","given":"Bronwyn"},{"family":"Lant","given":"Paul"},{"family":"Pratt","given":"Steven"}],"issued":{"date-parts":[["2016",12,1]]}}}],"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186</w:t>
            </w:r>
            <w:r w:rsidRPr="006F3D27">
              <w:rPr>
                <w:i/>
                <w:sz w:val="18"/>
                <w:szCs w:val="18"/>
              </w:rPr>
              <w:fldChar w:fldCharType="end"/>
            </w:r>
            <w:r w:rsidRPr="006F3D27">
              <w:rPr>
                <w:i/>
                <w:sz w:val="18"/>
                <w:szCs w:val="18"/>
              </w:rPr>
              <w:t xml:space="preserve"> “Market for copper sulfate, GLO”</w:t>
            </w:r>
          </w:p>
        </w:tc>
      </w:tr>
      <w:tr w:rsidR="002A6FDB" w:rsidRPr="006F3D27" w14:paraId="5D39EB67"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1F28C89F" w14:textId="77777777" w:rsidR="002A6FDB" w:rsidRPr="006F3D27" w:rsidRDefault="002A6FDB" w:rsidP="00BB41E9">
            <w:pPr>
              <w:jc w:val="right"/>
              <w:rPr>
                <w:b w:val="0"/>
                <w:sz w:val="18"/>
                <w:szCs w:val="18"/>
              </w:rPr>
            </w:pPr>
            <w:r w:rsidRPr="006F3D27">
              <w:rPr>
                <w:b w:val="0"/>
                <w:sz w:val="18"/>
                <w:szCs w:val="18"/>
              </w:rPr>
              <w:t>MnSO</w:t>
            </w:r>
            <w:r w:rsidRPr="006F3D27">
              <w:rPr>
                <w:b w:val="0"/>
                <w:sz w:val="18"/>
                <w:szCs w:val="18"/>
                <w:vertAlign w:val="subscript"/>
              </w:rPr>
              <w:t>4</w:t>
            </w:r>
          </w:p>
        </w:tc>
        <w:tc>
          <w:tcPr>
            <w:tcW w:w="1134" w:type="dxa"/>
            <w:vMerge/>
          </w:tcPr>
          <w:p w14:paraId="7AA54543"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szCs w:val="18"/>
              </w:rPr>
            </w:pPr>
          </w:p>
        </w:tc>
        <w:tc>
          <w:tcPr>
            <w:tcW w:w="708" w:type="dxa"/>
          </w:tcPr>
          <w:p w14:paraId="315F22D0"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1.39</w:t>
            </w:r>
          </w:p>
        </w:tc>
        <w:tc>
          <w:tcPr>
            <w:tcW w:w="4237" w:type="dxa"/>
          </w:tcPr>
          <w:p w14:paraId="29C748A0" w14:textId="5A827B9C"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fldChar w:fldCharType="begin"/>
            </w:r>
            <w:r w:rsidR="005413B4">
              <w:rPr>
                <w:i/>
                <w:sz w:val="18"/>
                <w:szCs w:val="18"/>
              </w:rPr>
              <w:instrText xml:space="preserve"> ADDIN ZOTERO_ITEM CSL_CITATION {"citationID":"g6ozEWzp","properties":{"formattedCitation":"\\super 186\\nosupersub{}","plainCitation":"186","noteIndex":0},"citationItems":[{"id":12881,"uris":["http://zotero.org/users/6423791/items/XFWA5FUP"],"itemData":{"id":12881,"type":"article-journal","abstract":"A major obstacle preventing the large scale production of polyhydroxyalkanoates (PHAs) has been the lack of a reliable, low cost, large volume feedstock. The abundance and relatively low price of methane therefore marks it as a substrate of interest. This paper presents a techno-economic assessment of the production of poly-3-hydroxybutyrate (PHB) from methane. ASPEN Plus was used for process design and simulation. The design and economic evaluation is presented for production of 100,000t/a PHB through methanotrophic fermentation and acetone-water solvent extraction. Production costs were estimated at $4.1–$6.8/kg PHA, which compares against a median price of $7.5/kg from other studies. Raw material costs are reduced from 30 to 50% of production for sugar feedstocks, to 22% of production for methane. A feature of the work is the revelation that heat removal from the two-stage bioreactor process contributes 28% of the operating cost. Thermophilic methanotrophs could allow the use of cooling water instead of refrigerant, reducing production costs to $3.2–5.4/kg PHA; it is noted that PHB producing thermophilic methanotrophs are yet to be isolated. Energy consumption for air compression and biomass drying were also identified as significant capital and operating costs and therefore optimisation of bioreactor height and pressure and biomass moisture content should be considered in future research.","container-title":"Journal of Environmental Chemical Engineering","DOI":"10.1016/j.jece.2016.07.033","ISSN":"2213-3437","issue":"4, Part A","journalAbbreviation":"J. Environ. Chem. Eng.","language":"en","page":"3724-3733","source":"ScienceDirect","title":"Techno-economic assessment of poly-3-hydroxybutyrate (PHB) production from methane—The case for thermophilic bioprocessing","volume":"4","author":[{"family":"Levett","given":"Ian"},{"family":"Birkett","given":"Greg"},{"family":"Davies","given":"Nick"},{"family":"Bell","given":"Aidan"},{"family":"Langford","given":"Alexandra"},{"family":"Laycock","given":"Bronwyn"},{"family":"Lant","given":"Paul"},{"family":"Pratt","given":"Steven"}],"issued":{"date-parts":[["2016",12,1]]}}}],"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186</w:t>
            </w:r>
            <w:r w:rsidRPr="006F3D27">
              <w:rPr>
                <w:i/>
                <w:sz w:val="18"/>
                <w:szCs w:val="18"/>
              </w:rPr>
              <w:fldChar w:fldCharType="end"/>
            </w:r>
            <w:r w:rsidRPr="006F3D27">
              <w:rPr>
                <w:i/>
                <w:sz w:val="18"/>
                <w:szCs w:val="18"/>
              </w:rPr>
              <w:t xml:space="preserve"> “Market or manganese sulfate, GLO”</w:t>
            </w:r>
          </w:p>
        </w:tc>
      </w:tr>
      <w:tr w:rsidR="002A6FDB" w:rsidRPr="006F3D27" w14:paraId="39B0BA38" w14:textId="77777777" w:rsidTr="00942782">
        <w:tc>
          <w:tcPr>
            <w:cnfStyle w:val="001000000000" w:firstRow="0" w:lastRow="0" w:firstColumn="1" w:lastColumn="0" w:oddVBand="0" w:evenVBand="0" w:oddHBand="0" w:evenHBand="0" w:firstRowFirstColumn="0" w:firstRowLastColumn="0" w:lastRowFirstColumn="0" w:lastRowLastColumn="0"/>
            <w:tcW w:w="2112" w:type="dxa"/>
          </w:tcPr>
          <w:p w14:paraId="1208C0FD" w14:textId="77777777" w:rsidR="002A6FDB" w:rsidRPr="006F3D27" w:rsidRDefault="002A6FDB" w:rsidP="00BB41E9">
            <w:pPr>
              <w:jc w:val="right"/>
              <w:rPr>
                <w:b w:val="0"/>
                <w:sz w:val="18"/>
                <w:szCs w:val="18"/>
              </w:rPr>
            </w:pPr>
            <w:r w:rsidRPr="006F3D27">
              <w:rPr>
                <w:b w:val="0"/>
                <w:sz w:val="18"/>
                <w:szCs w:val="18"/>
              </w:rPr>
              <w:t>FeSO</w:t>
            </w:r>
            <w:r w:rsidRPr="006F3D27">
              <w:rPr>
                <w:b w:val="0"/>
                <w:sz w:val="18"/>
                <w:szCs w:val="18"/>
                <w:vertAlign w:val="subscript"/>
              </w:rPr>
              <w:t>4</w:t>
            </w:r>
          </w:p>
        </w:tc>
        <w:tc>
          <w:tcPr>
            <w:tcW w:w="1134" w:type="dxa"/>
            <w:vMerge/>
          </w:tcPr>
          <w:p w14:paraId="74E052F8"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szCs w:val="18"/>
              </w:rPr>
            </w:pPr>
          </w:p>
        </w:tc>
        <w:tc>
          <w:tcPr>
            <w:tcW w:w="708" w:type="dxa"/>
          </w:tcPr>
          <w:p w14:paraId="5CDBE29D"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1.68</w:t>
            </w:r>
          </w:p>
        </w:tc>
        <w:tc>
          <w:tcPr>
            <w:tcW w:w="4237" w:type="dxa"/>
          </w:tcPr>
          <w:p w14:paraId="7A9177E0" w14:textId="0B1F93C1"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fldChar w:fldCharType="begin"/>
            </w:r>
            <w:r w:rsidR="005413B4">
              <w:rPr>
                <w:i/>
                <w:sz w:val="18"/>
                <w:szCs w:val="18"/>
              </w:rPr>
              <w:instrText xml:space="preserve"> ADDIN ZOTERO_ITEM CSL_CITATION {"citationID":"IWuv0GfE","properties":{"formattedCitation":"\\super 186\\nosupersub{}","plainCitation":"186","noteIndex":0},"citationItems":[{"id":12881,"uris":["http://zotero.org/users/6423791/items/XFWA5FUP"],"itemData":{"id":12881,"type":"article-journal","abstract":"A major obstacle preventing the large scale production of polyhydroxyalkanoates (PHAs) has been the lack of a reliable, low cost, large volume feedstock. The abundance and relatively low price of methane therefore marks it as a substrate of interest. This paper presents a techno-economic assessment of the production of poly-3-hydroxybutyrate (PHB) from methane. ASPEN Plus was used for process design and simulation. The design and economic evaluation is presented for production of 100,000t/a PHB through methanotrophic fermentation and acetone-water solvent extraction. Production costs were estimated at $4.1–$6.8/kg PHA, which compares against a median price of $7.5/kg from other studies. Raw material costs are reduced from 30 to 50% of production for sugar feedstocks, to 22% of production for methane. A feature of the work is the revelation that heat removal from the two-stage bioreactor process contributes 28% of the operating cost. Thermophilic methanotrophs could allow the use of cooling water instead of refrigerant, reducing production costs to $3.2–5.4/kg PHA; it is noted that PHB producing thermophilic methanotrophs are yet to be isolated. Energy consumption for air compression and biomass drying were also identified as significant capital and operating costs and therefore optimisation of bioreactor height and pressure and biomass moisture content should be considered in future research.","container-title":"Journal of Environmental Chemical Engineering","DOI":"10.1016/j.jece.2016.07.033","ISSN":"2213-3437","issue":"4, Part A","journalAbbreviation":"J. Environ. Chem. Eng.","language":"en","page":"3724-3733","source":"ScienceDirect","title":"Techno-economic assessment of poly-3-hydroxybutyrate (PHB) production from methane—The case for thermophilic bioprocessing","volume":"4","author":[{"family":"Levett","given":"Ian"},{"family":"Birkett","given":"Greg"},{"family":"Davies","given":"Nick"},{"family":"Bell","given":"Aidan"},{"family":"Langford","given":"Alexandra"},{"family":"Laycock","given":"Bronwyn"},{"family":"Lant","given":"Paul"},{"family":"Pratt","given":"Steven"}],"issued":{"date-parts":[["2016",12,1]]}}}],"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186</w:t>
            </w:r>
            <w:r w:rsidRPr="006F3D27">
              <w:rPr>
                <w:i/>
                <w:sz w:val="18"/>
                <w:szCs w:val="18"/>
              </w:rPr>
              <w:fldChar w:fldCharType="end"/>
            </w:r>
            <w:r w:rsidRPr="006F3D27">
              <w:rPr>
                <w:i/>
                <w:sz w:val="18"/>
                <w:szCs w:val="18"/>
              </w:rPr>
              <w:t xml:space="preserve"> “Market for </w:t>
            </w:r>
            <w:proofErr w:type="gramStart"/>
            <w:r w:rsidRPr="006F3D27">
              <w:rPr>
                <w:i/>
                <w:sz w:val="18"/>
                <w:szCs w:val="18"/>
              </w:rPr>
              <w:t>iron(</w:t>
            </w:r>
            <w:proofErr w:type="gramEnd"/>
            <w:r w:rsidRPr="006F3D27">
              <w:rPr>
                <w:i/>
                <w:sz w:val="18"/>
                <w:szCs w:val="18"/>
              </w:rPr>
              <w:t>III) sulfate, without water, RoW”</w:t>
            </w:r>
          </w:p>
        </w:tc>
      </w:tr>
      <w:tr w:rsidR="002A6FDB" w:rsidRPr="006F3D27" w14:paraId="0041B0AF"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4BE4DB46" w14:textId="77777777" w:rsidR="002A6FDB" w:rsidRPr="006F3D27" w:rsidRDefault="002A6FDB" w:rsidP="00BB41E9">
            <w:pPr>
              <w:jc w:val="right"/>
              <w:rPr>
                <w:b w:val="0"/>
                <w:sz w:val="18"/>
                <w:szCs w:val="18"/>
              </w:rPr>
            </w:pPr>
            <w:r w:rsidRPr="006F3D27">
              <w:rPr>
                <w:b w:val="0"/>
                <w:sz w:val="18"/>
                <w:szCs w:val="18"/>
              </w:rPr>
              <w:t>ZnSO</w:t>
            </w:r>
            <w:r w:rsidRPr="006F3D27">
              <w:rPr>
                <w:b w:val="0"/>
                <w:sz w:val="18"/>
                <w:szCs w:val="18"/>
                <w:vertAlign w:val="subscript"/>
              </w:rPr>
              <w:t>4</w:t>
            </w:r>
          </w:p>
        </w:tc>
        <w:tc>
          <w:tcPr>
            <w:tcW w:w="1134" w:type="dxa"/>
            <w:vMerge/>
          </w:tcPr>
          <w:p w14:paraId="25BCD99C"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szCs w:val="18"/>
              </w:rPr>
            </w:pPr>
          </w:p>
        </w:tc>
        <w:tc>
          <w:tcPr>
            <w:tcW w:w="708" w:type="dxa"/>
          </w:tcPr>
          <w:p w14:paraId="58F4EC98"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0.16</w:t>
            </w:r>
          </w:p>
        </w:tc>
        <w:tc>
          <w:tcPr>
            <w:tcW w:w="4237" w:type="dxa"/>
          </w:tcPr>
          <w:p w14:paraId="47256287" w14:textId="386A2646"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fldChar w:fldCharType="begin"/>
            </w:r>
            <w:r w:rsidR="005413B4">
              <w:rPr>
                <w:i/>
                <w:sz w:val="18"/>
                <w:szCs w:val="18"/>
              </w:rPr>
              <w:instrText xml:space="preserve"> ADDIN ZOTERO_ITEM CSL_CITATION {"citationID":"lEFNtdRu","properties":{"formattedCitation":"\\super 183\\nosupersub{}","plainCitation":"183","noteIndex":0},"citationItems":[{"id":5124,"uris":["http://zotero.org/users/6423791/items/QSN5G6WV"],"itemData":{"id":5124,"type":"article-journal","container-title":"Science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183</w:t>
            </w:r>
            <w:r w:rsidRPr="006F3D27">
              <w:rPr>
                <w:i/>
                <w:sz w:val="18"/>
                <w:szCs w:val="18"/>
              </w:rPr>
              <w:fldChar w:fldCharType="end"/>
            </w:r>
            <w:r w:rsidRPr="006F3D27">
              <w:rPr>
                <w:i/>
                <w:sz w:val="18"/>
                <w:szCs w:val="18"/>
              </w:rPr>
              <w:t xml:space="preserve"> “Market for zinc monosulfate, RER”</w:t>
            </w:r>
          </w:p>
        </w:tc>
      </w:tr>
      <w:tr w:rsidR="002A6FDB" w:rsidRPr="006F3D27" w14:paraId="02E0EEE3" w14:textId="77777777" w:rsidTr="00942782">
        <w:tc>
          <w:tcPr>
            <w:cnfStyle w:val="001000000000" w:firstRow="0" w:lastRow="0" w:firstColumn="1" w:lastColumn="0" w:oddVBand="0" w:evenVBand="0" w:oddHBand="0" w:evenHBand="0" w:firstRowFirstColumn="0" w:firstRowLastColumn="0" w:lastRowFirstColumn="0" w:lastRowLastColumn="0"/>
            <w:tcW w:w="2112" w:type="dxa"/>
          </w:tcPr>
          <w:p w14:paraId="7323E2AB" w14:textId="77777777" w:rsidR="002A6FDB" w:rsidRPr="006F3D27" w:rsidRDefault="002A6FDB" w:rsidP="00BB41E9">
            <w:pPr>
              <w:jc w:val="right"/>
              <w:rPr>
                <w:b w:val="0"/>
                <w:sz w:val="18"/>
                <w:szCs w:val="18"/>
              </w:rPr>
            </w:pPr>
            <w:r w:rsidRPr="006F3D27">
              <w:rPr>
                <w:b w:val="0"/>
                <w:sz w:val="18"/>
                <w:szCs w:val="18"/>
              </w:rPr>
              <w:t>CoSO</w:t>
            </w:r>
            <w:r w:rsidRPr="006F3D27">
              <w:rPr>
                <w:b w:val="0"/>
                <w:sz w:val="18"/>
                <w:szCs w:val="18"/>
                <w:vertAlign w:val="subscript"/>
              </w:rPr>
              <w:t>4</w:t>
            </w:r>
          </w:p>
        </w:tc>
        <w:tc>
          <w:tcPr>
            <w:tcW w:w="1134" w:type="dxa"/>
            <w:vMerge/>
          </w:tcPr>
          <w:p w14:paraId="42BBA3B2"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szCs w:val="18"/>
              </w:rPr>
            </w:pPr>
          </w:p>
        </w:tc>
        <w:tc>
          <w:tcPr>
            <w:tcW w:w="708" w:type="dxa"/>
          </w:tcPr>
          <w:p w14:paraId="3383C958"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0.06</w:t>
            </w:r>
          </w:p>
        </w:tc>
        <w:tc>
          <w:tcPr>
            <w:tcW w:w="4237" w:type="dxa"/>
          </w:tcPr>
          <w:p w14:paraId="61CFFB1A" w14:textId="3AA75ECC"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fldChar w:fldCharType="begin"/>
            </w:r>
            <w:r w:rsidR="005413B4">
              <w:rPr>
                <w:i/>
                <w:sz w:val="18"/>
                <w:szCs w:val="18"/>
              </w:rPr>
              <w:instrText xml:space="preserve"> ADDIN ZOTERO_ITEM CSL_CITATION {"citationID":"P1n6N4am","properties":{"formattedCitation":"\\super 183\\nosupersub{}","plainCitation":"183","noteIndex":0},"citationItems":[{"id":5124,"uris":["http://zotero.org/users/6423791/items/QSN5G6WV"],"itemData":{"id":5124,"type":"article-journal","container-title":"Science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183</w:t>
            </w:r>
            <w:r w:rsidRPr="006F3D27">
              <w:rPr>
                <w:i/>
                <w:sz w:val="18"/>
                <w:szCs w:val="18"/>
              </w:rPr>
              <w:fldChar w:fldCharType="end"/>
            </w:r>
            <w:r w:rsidRPr="006F3D27">
              <w:rPr>
                <w:i/>
                <w:sz w:val="18"/>
                <w:szCs w:val="18"/>
              </w:rPr>
              <w:t xml:space="preserve"> Inventory of Marami et al., 2022</w:t>
            </w:r>
            <w:r w:rsidRPr="006F3D27">
              <w:rPr>
                <w:i/>
                <w:sz w:val="18"/>
                <w:szCs w:val="18"/>
              </w:rPr>
              <w:fldChar w:fldCharType="begin"/>
            </w:r>
            <w:r w:rsidR="008C451C">
              <w:rPr>
                <w:i/>
                <w:sz w:val="18"/>
                <w:szCs w:val="18"/>
              </w:rPr>
              <w:instrText xml:space="preserve"> ADDIN ZOTERO_ITEM CSL_CITATION {"citationID":"QUT6qomY","properties":{"formattedCitation":"\\super 31\\nosupersub{}","plainCitation":"31","noteIndex":0},"citationItems":[{"id":13120,"uris":["http://zotero.org/users/6423791/items/5MY5B6KQ"],"itemData":{"id":13120,"type":"article-journal","abstract":"Wastewater treatment plants (WWTP) have extensive energy processes that undermine their economic and environmental performance. In this context, the integration of wastewater treatment with other biochemical processes such as co-digestion of sludge with organic wastes, and production of value-added products at their downstream processes will shift conventional WWTPs into biorefinery platforms with better sustainability performance. The sustainability of such a biorefinery platform has been investigated herein using economic and life cycle assessment approach. This WWTP-based biorefinery treats wastewater from Copenhagen municipality, co-digests the source sorted organic fraction of municipal solid waste and sludge, and upgrades biogas into biomethane using hydrogen-assisted upgrading method. Apart from bioenergy, this biorefinery also produces microbial protein (MP) using recovered nutrients from WWTP's reject water. The net environmental savings achieved in two damage categories, i.e., −1.07E−02 species.yr/FU in ecosystem quality and −1.68E+06 USD/FU in resource scarcity damage categories along with high potential windows for the further environmental profile improvements make this biorefinery platform so encouraging. Despite being promising in terms of environmental performance, the high capital expenditure and low gross profit have undermined the economic performance of the proposed biorefinery. Technological improvements, process optimization, and encouraging incentives/subsidies are still needed to make this platform economically feasible.","container-title":"Water Science and Technology","DOI":"10.2166/wst.2022.096","ISSN":"0273-1223","journalAbbreviation":"Water Science and Technology","page":"wst2022096","source":"Silverchair","title":"Going beyond conventional wastewater treatment plants within circular bioeconomy concept – a sustainability assessment study","author":[{"family":"Marami","given":"Hadis"},{"family":"Tsapekos","given":"Panagiotis"},{"family":"Khoshnevisan","given":"Benyamin"},{"family":"Madsen","given":"Jeanette Agertved"},{"family":"Andersen","given":"Jacob Kragh"},{"family":"Rafiee","given":"Shahin"},{"family":"Angelidaki","given":"Irini"}],"issued":{"date-parts":[["2022",3,18]]}}}],"schema":"https://github.com/citation-style-language/schema/raw/master/csl-citation.json"} </w:instrText>
            </w:r>
            <w:r w:rsidRPr="006F3D27">
              <w:rPr>
                <w:i/>
                <w:sz w:val="18"/>
                <w:szCs w:val="18"/>
              </w:rPr>
              <w:fldChar w:fldCharType="separate"/>
            </w:r>
            <w:r w:rsidR="008C451C" w:rsidRPr="008C451C">
              <w:rPr>
                <w:rFonts w:ascii="Calibri" w:hAnsi="Calibri" w:cs="Calibri"/>
                <w:sz w:val="18"/>
                <w:szCs w:val="24"/>
                <w:vertAlign w:val="superscript"/>
              </w:rPr>
              <w:t>31</w:t>
            </w:r>
            <w:r w:rsidRPr="006F3D27">
              <w:rPr>
                <w:i/>
                <w:sz w:val="18"/>
                <w:szCs w:val="18"/>
              </w:rPr>
              <w:fldChar w:fldCharType="end"/>
            </w:r>
          </w:p>
        </w:tc>
      </w:tr>
      <w:tr w:rsidR="002A6FDB" w:rsidRPr="006F3D27" w14:paraId="290D5D16"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0A393729" w14:textId="77777777" w:rsidR="002A6FDB" w:rsidRPr="006F3D27" w:rsidRDefault="002A6FDB" w:rsidP="00BB41E9">
            <w:pPr>
              <w:jc w:val="right"/>
              <w:rPr>
                <w:b w:val="0"/>
                <w:strike/>
                <w:sz w:val="18"/>
                <w:szCs w:val="18"/>
              </w:rPr>
            </w:pPr>
            <w:r w:rsidRPr="006F3D27">
              <w:rPr>
                <w:b w:val="0"/>
                <w:sz w:val="18"/>
                <w:szCs w:val="18"/>
              </w:rPr>
              <w:t>Al</w:t>
            </w:r>
            <w:r w:rsidRPr="006F3D27">
              <w:rPr>
                <w:b w:val="0"/>
                <w:sz w:val="18"/>
                <w:szCs w:val="18"/>
                <w:vertAlign w:val="subscript"/>
              </w:rPr>
              <w:t>2</w:t>
            </w:r>
            <w:r w:rsidRPr="006F3D27">
              <w:rPr>
                <w:b w:val="0"/>
                <w:sz w:val="18"/>
                <w:szCs w:val="18"/>
              </w:rPr>
              <w:t>(SO</w:t>
            </w:r>
            <w:r w:rsidRPr="006F3D27">
              <w:rPr>
                <w:b w:val="0"/>
                <w:sz w:val="18"/>
                <w:szCs w:val="18"/>
                <w:vertAlign w:val="subscript"/>
              </w:rPr>
              <w:t>4</w:t>
            </w:r>
            <w:r w:rsidRPr="006F3D27">
              <w:rPr>
                <w:b w:val="0"/>
                <w:sz w:val="18"/>
                <w:szCs w:val="18"/>
              </w:rPr>
              <w:t>)</w:t>
            </w:r>
            <w:r w:rsidRPr="006F3D27">
              <w:rPr>
                <w:b w:val="0"/>
                <w:sz w:val="18"/>
                <w:szCs w:val="18"/>
                <w:vertAlign w:val="subscript"/>
              </w:rPr>
              <w:t>3</w:t>
            </w:r>
          </w:p>
        </w:tc>
        <w:tc>
          <w:tcPr>
            <w:tcW w:w="1134" w:type="dxa"/>
            <w:vMerge/>
          </w:tcPr>
          <w:p w14:paraId="5005D851"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szCs w:val="18"/>
              </w:rPr>
            </w:pPr>
          </w:p>
        </w:tc>
        <w:tc>
          <w:tcPr>
            <w:tcW w:w="708" w:type="dxa"/>
          </w:tcPr>
          <w:p w14:paraId="0B4883A5"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0.19</w:t>
            </w:r>
          </w:p>
        </w:tc>
        <w:tc>
          <w:tcPr>
            <w:tcW w:w="4237" w:type="dxa"/>
          </w:tcPr>
          <w:p w14:paraId="77EF0E88" w14:textId="1B02A0F7"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fldChar w:fldCharType="begin"/>
            </w:r>
            <w:r w:rsidR="005413B4">
              <w:rPr>
                <w:i/>
                <w:sz w:val="18"/>
                <w:szCs w:val="18"/>
              </w:rPr>
              <w:instrText xml:space="preserve"> ADDIN ZOTERO_ITEM CSL_CITATION {"citationID":"6aYyFL6r","properties":{"formattedCitation":"\\super 186\\nosupersub{}","plainCitation":"186","noteIndex":0},"citationItems":[{"id":12881,"uris":["http://zotero.org/users/6423791/items/XFWA5FUP"],"itemData":{"id":12881,"type":"article-journal","abstract":"A major obstacle preventing the large scale production of polyhydroxyalkanoates (PHAs) has been the lack of a reliable, low cost, large volume feedstock. The abundance and relatively low price of methane therefore marks it as a substrate of interest. This paper presents a techno-economic assessment of the production of poly-3-hydroxybutyrate (PHB) from methane. ASPEN Plus was used for process design and simulation. The design and economic evaluation is presented for production of 100,000t/a PHB through methanotrophic fermentation and acetone-water solvent extraction. Production costs were estimated at $4.1–$6.8/kg PHA, which compares against a median price of $7.5/kg from other studies. Raw material costs are reduced from 30 to 50% of production for sugar feedstocks, to 22% of production for methane. A feature of the work is the revelation that heat removal from the two-stage bioreactor process contributes 28% of the operating cost. Thermophilic methanotrophs could allow the use of cooling water instead of refrigerant, reducing production costs to $3.2–5.4/kg PHA; it is noted that PHB producing thermophilic methanotrophs are yet to be isolated. Energy consumption for air compression and biomass drying were also identified as significant capital and operating costs and therefore optimisation of bioreactor height and pressure and biomass moisture content should be considered in future research.","container-title":"Journal of Environmental Chemical Engineering","DOI":"10.1016/j.jece.2016.07.033","ISSN":"2213-3437","issue":"4, Part A","journalAbbreviation":"J. Environ. Chem. Eng.","language":"en","page":"3724-3733","source":"ScienceDirect","title":"Techno-economic assessment of poly-3-hydroxybutyrate (PHB) production from methane—The case for thermophilic bioprocessing","volume":"4","author":[{"family":"Levett","given":"Ian"},{"family":"Birkett","given":"Greg"},{"family":"Davies","given":"Nick"},{"family":"Bell","given":"Aidan"},{"family":"Langford","given":"Alexandra"},{"family":"Laycock","given":"Bronwyn"},{"family":"Lant","given":"Paul"},{"family":"Pratt","given":"Steven"}],"issued":{"date-parts":[["2016",12,1]]}}}],"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186</w:t>
            </w:r>
            <w:r w:rsidRPr="006F3D27">
              <w:rPr>
                <w:i/>
                <w:sz w:val="18"/>
                <w:szCs w:val="18"/>
              </w:rPr>
              <w:fldChar w:fldCharType="end"/>
            </w:r>
            <w:r w:rsidRPr="006F3D27">
              <w:rPr>
                <w:i/>
                <w:sz w:val="18"/>
                <w:szCs w:val="18"/>
              </w:rPr>
              <w:t xml:space="preserve"> “Market for aluminium sulfate, powder, RER”</w:t>
            </w:r>
          </w:p>
        </w:tc>
      </w:tr>
      <w:tr w:rsidR="002A6FDB" w:rsidRPr="006F3D27" w14:paraId="15A25F35" w14:textId="77777777" w:rsidTr="00942782">
        <w:tc>
          <w:tcPr>
            <w:cnfStyle w:val="001000000000" w:firstRow="0" w:lastRow="0" w:firstColumn="1" w:lastColumn="0" w:oddVBand="0" w:evenVBand="0" w:oddHBand="0" w:evenHBand="0" w:firstRowFirstColumn="0" w:firstRowLastColumn="0" w:lastRowFirstColumn="0" w:lastRowLastColumn="0"/>
            <w:tcW w:w="2112" w:type="dxa"/>
          </w:tcPr>
          <w:p w14:paraId="00B8DB34" w14:textId="77777777" w:rsidR="002A6FDB" w:rsidRPr="006F3D27" w:rsidRDefault="002A6FDB" w:rsidP="00BB41E9">
            <w:pPr>
              <w:jc w:val="right"/>
              <w:rPr>
                <w:b w:val="0"/>
                <w:sz w:val="18"/>
                <w:szCs w:val="18"/>
              </w:rPr>
            </w:pPr>
            <w:r w:rsidRPr="006F3D27">
              <w:rPr>
                <w:b w:val="0"/>
                <w:sz w:val="18"/>
                <w:szCs w:val="18"/>
              </w:rPr>
              <w:t>CaSO</w:t>
            </w:r>
            <w:r w:rsidRPr="006F3D27">
              <w:rPr>
                <w:b w:val="0"/>
                <w:sz w:val="18"/>
                <w:szCs w:val="18"/>
                <w:vertAlign w:val="subscript"/>
              </w:rPr>
              <w:t>4</w:t>
            </w:r>
          </w:p>
        </w:tc>
        <w:tc>
          <w:tcPr>
            <w:tcW w:w="1134" w:type="dxa"/>
            <w:vMerge/>
          </w:tcPr>
          <w:p w14:paraId="4EBE14EF"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szCs w:val="18"/>
              </w:rPr>
            </w:pPr>
          </w:p>
        </w:tc>
        <w:tc>
          <w:tcPr>
            <w:tcW w:w="708" w:type="dxa"/>
          </w:tcPr>
          <w:p w14:paraId="6D35F3C2"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7.42</w:t>
            </w:r>
          </w:p>
        </w:tc>
        <w:tc>
          <w:tcPr>
            <w:tcW w:w="4237" w:type="dxa"/>
          </w:tcPr>
          <w:p w14:paraId="49D54419" w14:textId="14DAC993"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fldChar w:fldCharType="begin"/>
            </w:r>
            <w:r w:rsidR="005413B4">
              <w:rPr>
                <w:i/>
                <w:sz w:val="18"/>
                <w:szCs w:val="18"/>
              </w:rPr>
              <w:instrText xml:space="preserve"> ADDIN ZOTERO_ITEM CSL_CITATION {"citationID":"JvPwqevt","properties":{"formattedCitation":"\\super 183\\nosupersub{}","plainCitation":"183","noteIndex":0},"citationItems":[{"id":5124,"uris":["http://zotero.org/users/6423791/items/QSN5G6WV"],"itemData":{"id":5124,"type":"article-journal","container-title":"Science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183</w:t>
            </w:r>
            <w:r w:rsidRPr="006F3D27">
              <w:rPr>
                <w:i/>
                <w:sz w:val="18"/>
                <w:szCs w:val="18"/>
              </w:rPr>
              <w:fldChar w:fldCharType="end"/>
            </w:r>
            <w:r w:rsidRPr="006F3D27">
              <w:rPr>
                <w:i/>
                <w:sz w:val="18"/>
                <w:szCs w:val="18"/>
              </w:rPr>
              <w:t xml:space="preserve"> “Market for calcium carbonate, precipitated, RER”</w:t>
            </w:r>
          </w:p>
        </w:tc>
      </w:tr>
      <w:tr w:rsidR="002A6FDB" w:rsidRPr="006F3D27" w14:paraId="4AFA40A9"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112B2BDB" w14:textId="77777777" w:rsidR="002A6FDB" w:rsidRPr="006F3D27" w:rsidRDefault="002A6FDB" w:rsidP="00BB41E9">
            <w:pPr>
              <w:jc w:val="right"/>
              <w:rPr>
                <w:b w:val="0"/>
                <w:sz w:val="18"/>
                <w:szCs w:val="18"/>
              </w:rPr>
            </w:pPr>
            <w:r w:rsidRPr="006F3D27">
              <w:rPr>
                <w:b w:val="0"/>
                <w:sz w:val="18"/>
                <w:szCs w:val="18"/>
              </w:rPr>
              <w:t>Na</w:t>
            </w:r>
            <w:r w:rsidRPr="006F3D27">
              <w:rPr>
                <w:b w:val="0"/>
                <w:sz w:val="18"/>
                <w:szCs w:val="18"/>
                <w:vertAlign w:val="subscript"/>
              </w:rPr>
              <w:t>2</w:t>
            </w:r>
            <w:r w:rsidRPr="006F3D27">
              <w:rPr>
                <w:b w:val="0"/>
                <w:sz w:val="18"/>
                <w:szCs w:val="18"/>
              </w:rPr>
              <w:t>MoO</w:t>
            </w:r>
            <w:r w:rsidRPr="006F3D27">
              <w:rPr>
                <w:b w:val="0"/>
                <w:sz w:val="18"/>
                <w:szCs w:val="18"/>
                <w:vertAlign w:val="subscript"/>
              </w:rPr>
              <w:t>4</w:t>
            </w:r>
          </w:p>
        </w:tc>
        <w:tc>
          <w:tcPr>
            <w:tcW w:w="1134" w:type="dxa"/>
            <w:vMerge/>
          </w:tcPr>
          <w:p w14:paraId="403E1B7E"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szCs w:val="18"/>
              </w:rPr>
            </w:pPr>
          </w:p>
        </w:tc>
        <w:tc>
          <w:tcPr>
            <w:tcW w:w="708" w:type="dxa"/>
          </w:tcPr>
          <w:p w14:paraId="29B18DB0"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0.04</w:t>
            </w:r>
          </w:p>
        </w:tc>
        <w:tc>
          <w:tcPr>
            <w:tcW w:w="4237" w:type="dxa"/>
          </w:tcPr>
          <w:p w14:paraId="1B955568" w14:textId="308E49E6"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fldChar w:fldCharType="begin"/>
            </w:r>
            <w:r w:rsidR="005413B4">
              <w:rPr>
                <w:i/>
                <w:sz w:val="18"/>
                <w:szCs w:val="18"/>
              </w:rPr>
              <w:instrText xml:space="preserve"> ADDIN ZOTERO_ITEM CSL_CITATION {"citationID":"tQMmIqQY","properties":{"formattedCitation":"\\super 186\\nosupersub{}","plainCitation":"186","noteIndex":0},"citationItems":[{"id":12881,"uris":["http://zotero.org/users/6423791/items/XFWA5FUP"],"itemData":{"id":12881,"type":"article-journal","abstract":"A major obstacle preventing the large scale production of polyhydroxyalkanoates (PHAs) has been the lack of a reliable, low cost, large volume feedstock. The abundance and relatively low price of methane therefore marks it as a substrate of interest. This paper presents a techno-economic assessment of the production of poly-3-hydroxybutyrate (PHB) from methane. ASPEN Plus was used for process design and simulation. The design and economic evaluation is presented for production of 100,000t/a PHB through methanotrophic fermentation and acetone-water solvent extraction. Production costs were estimated at $4.1–$6.8/kg PHA, which compares against a median price of $7.5/kg from other studies. Raw material costs are reduced from 30 to 50% of production for sugar feedstocks, to 22% of production for methane. A feature of the work is the revelation that heat removal from the two-stage bioreactor process contributes 28% of the operating cost. Thermophilic methanotrophs could allow the use of cooling water instead of refrigerant, reducing production costs to $3.2–5.4/kg PHA; it is noted that PHB producing thermophilic methanotrophs are yet to be isolated. Energy consumption for air compression and biomass drying were also identified as significant capital and operating costs and therefore optimisation of bioreactor height and pressure and biomass moisture content should be considered in future research.","container-title":"Journal of Environmental Chemical Engineering","DOI":"10.1016/j.jece.2016.07.033","ISSN":"2213-3437","issue":"4, Part A","journalAbbreviation":"J. Environ. Chem. Eng.","language":"en","page":"3724-3733","source":"ScienceDirect","title":"Techno-economic assessment of poly-3-hydroxybutyrate (PHB) production from methane—The case for thermophilic bioprocessing","volume":"4","author":[{"family":"Levett","given":"Ian"},{"family":"Birkett","given":"Greg"},{"family":"Davies","given":"Nick"},{"family":"Bell","given":"Aidan"},{"family":"Langford","given":"Alexandra"},{"family":"Laycock","given":"Bronwyn"},{"family":"Lant","given":"Paul"},{"family":"Pratt","given":"Steven"}],"issued":{"date-parts":[["2016",12,1]]}}}],"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186</w:t>
            </w:r>
            <w:r w:rsidRPr="006F3D27">
              <w:rPr>
                <w:i/>
                <w:sz w:val="18"/>
                <w:szCs w:val="18"/>
              </w:rPr>
              <w:fldChar w:fldCharType="end"/>
            </w:r>
            <w:r w:rsidRPr="006F3D27">
              <w:rPr>
                <w:i/>
                <w:sz w:val="18"/>
                <w:szCs w:val="18"/>
              </w:rPr>
              <w:t xml:space="preserve"> Inventory of Marami et al., 2022</w:t>
            </w:r>
            <w:r w:rsidRPr="006F3D27">
              <w:rPr>
                <w:i/>
                <w:sz w:val="18"/>
                <w:szCs w:val="18"/>
              </w:rPr>
              <w:fldChar w:fldCharType="begin"/>
            </w:r>
            <w:r w:rsidR="008C451C">
              <w:rPr>
                <w:i/>
                <w:sz w:val="18"/>
                <w:szCs w:val="18"/>
              </w:rPr>
              <w:instrText xml:space="preserve"> ADDIN ZOTERO_ITEM CSL_CITATION {"citationID":"EhfaXFMk","properties":{"formattedCitation":"\\super 31\\nosupersub{}","plainCitation":"31","noteIndex":0},"citationItems":[{"id":13120,"uris":["http://zotero.org/users/6423791/items/5MY5B6KQ"],"itemData":{"id":13120,"type":"article-journal","abstract":"Wastewater treatment plants (WWTP) have extensive energy processes that undermine their economic and environmental performance. In this context, the integration of wastewater treatment with other biochemical processes such as co-digestion of sludge with organic wastes, and production of value-added products at their downstream processes will shift conventional WWTPs into biorefinery platforms with better sustainability performance. The sustainability of such a biorefinery platform has been investigated herein using economic and life cycle assessment approach. This WWTP-based biorefinery treats wastewater from Copenhagen municipality, co-digests the source sorted organic fraction of municipal solid waste and sludge, and upgrades biogas into biomethane using hydrogen-assisted upgrading method. Apart from bioenergy, this biorefinery also produces microbial protein (MP) using recovered nutrients from WWTP's reject water. The net environmental savings achieved in two damage categories, i.e., −1.07E−02 species.yr/FU in ecosystem quality and −1.68E+06 USD/FU in resource scarcity damage categories along with high potential windows for the further environmental profile improvements make this biorefinery platform so encouraging. Despite being promising in terms of environmental performance, the high capital expenditure and low gross profit have undermined the economic performance of the proposed biorefinery. Technological improvements, process optimization, and encouraging incentives/subsidies are still needed to make this platform economically feasible.","container-title":"Water Science and Technology","DOI":"10.2166/wst.2022.096","ISSN":"0273-1223","journalAbbreviation":"Water Science and Technology","page":"wst2022096","source":"Silverchair","title":"Going beyond conventional wastewater treatment plants within circular bioeconomy concept – a sustainability assessment study","author":[{"family":"Marami","given":"Hadis"},{"family":"Tsapekos","given":"Panagiotis"},{"family":"Khoshnevisan","given":"Benyamin"},{"family":"Madsen","given":"Jeanette Agertved"},{"family":"Andersen","given":"Jacob Kragh"},{"family":"Rafiee","given":"Shahin"},{"family":"Angelidaki","given":"Irini"}],"issued":{"date-parts":[["2022",3,18]]}}}],"schema":"https://github.com/citation-style-language/schema/raw/master/csl-citation.json"} </w:instrText>
            </w:r>
            <w:r w:rsidRPr="006F3D27">
              <w:rPr>
                <w:i/>
                <w:sz w:val="18"/>
                <w:szCs w:val="18"/>
              </w:rPr>
              <w:fldChar w:fldCharType="separate"/>
            </w:r>
            <w:r w:rsidR="008C451C" w:rsidRPr="008C451C">
              <w:rPr>
                <w:rFonts w:ascii="Calibri" w:hAnsi="Calibri" w:cs="Calibri"/>
                <w:sz w:val="18"/>
                <w:szCs w:val="24"/>
                <w:vertAlign w:val="superscript"/>
              </w:rPr>
              <w:t>31</w:t>
            </w:r>
            <w:r w:rsidRPr="006F3D27">
              <w:rPr>
                <w:i/>
                <w:sz w:val="18"/>
                <w:szCs w:val="18"/>
              </w:rPr>
              <w:fldChar w:fldCharType="end"/>
            </w:r>
          </w:p>
        </w:tc>
      </w:tr>
      <w:tr w:rsidR="002A6FDB" w:rsidRPr="006F3D27" w14:paraId="0849C821" w14:textId="77777777" w:rsidTr="00942782">
        <w:tc>
          <w:tcPr>
            <w:cnfStyle w:val="001000000000" w:firstRow="0" w:lastRow="0" w:firstColumn="1" w:lastColumn="0" w:oddVBand="0" w:evenVBand="0" w:oddHBand="0" w:evenHBand="0" w:firstRowFirstColumn="0" w:firstRowLastColumn="0" w:lastRowFirstColumn="0" w:lastRowLastColumn="0"/>
            <w:tcW w:w="2112" w:type="dxa"/>
          </w:tcPr>
          <w:p w14:paraId="7D8F70FA" w14:textId="77777777" w:rsidR="002A6FDB" w:rsidRPr="006F3D27" w:rsidRDefault="002A6FDB" w:rsidP="00BB41E9">
            <w:pPr>
              <w:jc w:val="right"/>
              <w:rPr>
                <w:b w:val="0"/>
                <w:sz w:val="18"/>
                <w:szCs w:val="18"/>
              </w:rPr>
            </w:pPr>
            <w:r w:rsidRPr="006F3D27">
              <w:rPr>
                <w:b w:val="0"/>
                <w:sz w:val="18"/>
                <w:szCs w:val="18"/>
              </w:rPr>
              <w:t>H</w:t>
            </w:r>
            <w:r w:rsidRPr="006F3D27">
              <w:rPr>
                <w:b w:val="0"/>
                <w:sz w:val="18"/>
                <w:szCs w:val="18"/>
                <w:vertAlign w:val="subscript"/>
              </w:rPr>
              <w:t>3</w:t>
            </w:r>
            <w:r w:rsidRPr="006F3D27">
              <w:rPr>
                <w:b w:val="0"/>
                <w:sz w:val="18"/>
                <w:szCs w:val="18"/>
              </w:rPr>
              <w:t>BO</w:t>
            </w:r>
            <w:r w:rsidRPr="006F3D27">
              <w:rPr>
                <w:b w:val="0"/>
                <w:sz w:val="18"/>
                <w:szCs w:val="18"/>
                <w:vertAlign w:val="subscript"/>
              </w:rPr>
              <w:t>3</w:t>
            </w:r>
          </w:p>
        </w:tc>
        <w:tc>
          <w:tcPr>
            <w:tcW w:w="1134" w:type="dxa"/>
            <w:vMerge/>
          </w:tcPr>
          <w:p w14:paraId="02EE2202"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szCs w:val="18"/>
              </w:rPr>
            </w:pPr>
          </w:p>
        </w:tc>
        <w:tc>
          <w:tcPr>
            <w:tcW w:w="708" w:type="dxa"/>
          </w:tcPr>
          <w:p w14:paraId="049B4B85"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1.29</w:t>
            </w:r>
          </w:p>
        </w:tc>
        <w:tc>
          <w:tcPr>
            <w:tcW w:w="4237" w:type="dxa"/>
          </w:tcPr>
          <w:p w14:paraId="54ACE7E9" w14:textId="2B77ED02"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fldChar w:fldCharType="begin"/>
            </w:r>
            <w:r w:rsidR="005413B4">
              <w:rPr>
                <w:i/>
                <w:sz w:val="18"/>
                <w:szCs w:val="18"/>
              </w:rPr>
              <w:instrText xml:space="preserve"> ADDIN ZOTERO_ITEM CSL_CITATION {"citationID":"JrqyIeUm","properties":{"formattedCitation":"\\super 186\\nosupersub{}","plainCitation":"186","noteIndex":0},"citationItems":[{"id":12881,"uris":["http://zotero.org/users/6423791/items/XFWA5FUP"],"itemData":{"id":12881,"type":"article-journal","abstract":"A major obstacle preventing the large scale production of polyhydroxyalkanoates (PHAs) has been the lack of a reliable, low cost, large volume feedstock. The abundance and relatively low price of methane therefore marks it as a substrate of interest. This paper presents a techno-economic assessment of the production of poly-3-hydroxybutyrate (PHB) from methane. ASPEN Plus was used for process design and simulation. The design and economic evaluation is presented for production of 100,000t/a PHB through methanotrophic fermentation and acetone-water solvent extraction. Production costs were estimated at $4.1–$6.8/kg PHA, which compares against a median price of $7.5/kg from other studies. Raw material costs are reduced from 30 to 50% of production for sugar feedstocks, to 22% of production for methane. A feature of the work is the revelation that heat removal from the two-stage bioreactor process contributes 28% of the operating cost. Thermophilic methanotrophs could allow the use of cooling water instead of refrigerant, reducing production costs to $3.2–5.4/kg PHA; it is noted that PHB producing thermophilic methanotrophs are yet to be isolated. Energy consumption for air compression and biomass drying were also identified as significant capital and operating costs and therefore optimisation of bioreactor height and pressure and biomass moisture content should be considered in future research.","container-title":"Journal of Environmental Chemical Engineering","DOI":"10.1016/j.jece.2016.07.033","ISSN":"2213-3437","issue":"4, Part A","journalAbbreviation":"J. Environ. Chem. Eng.","language":"en","page":"3724-3733","source":"ScienceDirect","title":"Techno-economic assessment of poly-3-hydroxybutyrate (PHB) production from methane—The case for thermophilic bioprocessing","volume":"4","author":[{"family":"Levett","given":"Ian"},{"family":"Birkett","given":"Greg"},{"family":"Davies","given":"Nick"},{"family":"Bell","given":"Aidan"},{"family":"Langford","given":"Alexandra"},{"family":"Laycock","given":"Bronwyn"},{"family":"Lant","given":"Paul"},{"family":"Pratt","given":"Steven"}],"issued":{"date-parts":[["2016",12,1]]}}}],"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186</w:t>
            </w:r>
            <w:r w:rsidRPr="006F3D27">
              <w:rPr>
                <w:i/>
                <w:sz w:val="18"/>
                <w:szCs w:val="18"/>
              </w:rPr>
              <w:fldChar w:fldCharType="end"/>
            </w:r>
            <w:r w:rsidRPr="006F3D27">
              <w:rPr>
                <w:i/>
                <w:sz w:val="18"/>
                <w:szCs w:val="18"/>
              </w:rPr>
              <w:t xml:space="preserve"> “Market for boric acid, anhydrous, powder, GLO”</w:t>
            </w:r>
          </w:p>
        </w:tc>
      </w:tr>
      <w:tr w:rsidR="002A6FDB" w:rsidRPr="006F3D27" w14:paraId="289D5DE5"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118F5329" w14:textId="77777777" w:rsidR="002A6FDB" w:rsidRPr="006F3D27" w:rsidRDefault="002A6FDB" w:rsidP="00BB41E9">
            <w:pPr>
              <w:jc w:val="right"/>
              <w:rPr>
                <w:b w:val="0"/>
                <w:sz w:val="18"/>
                <w:szCs w:val="18"/>
              </w:rPr>
            </w:pPr>
            <w:r w:rsidRPr="006F3D27">
              <w:rPr>
                <w:b w:val="0"/>
                <w:sz w:val="18"/>
                <w:szCs w:val="18"/>
              </w:rPr>
              <w:t>CrCl</w:t>
            </w:r>
            <w:r w:rsidRPr="006F3D27">
              <w:rPr>
                <w:b w:val="0"/>
                <w:sz w:val="18"/>
                <w:szCs w:val="18"/>
                <w:vertAlign w:val="subscript"/>
              </w:rPr>
              <w:t>3</w:t>
            </w:r>
          </w:p>
        </w:tc>
        <w:tc>
          <w:tcPr>
            <w:tcW w:w="1134" w:type="dxa"/>
            <w:vMerge/>
          </w:tcPr>
          <w:p w14:paraId="42761613"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szCs w:val="18"/>
              </w:rPr>
            </w:pPr>
          </w:p>
        </w:tc>
        <w:tc>
          <w:tcPr>
            <w:tcW w:w="708" w:type="dxa"/>
          </w:tcPr>
          <w:p w14:paraId="4739A9FF"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0.08</w:t>
            </w:r>
          </w:p>
        </w:tc>
        <w:tc>
          <w:tcPr>
            <w:tcW w:w="4237" w:type="dxa"/>
          </w:tcPr>
          <w:p w14:paraId="0A3B8657" w14:textId="53D202B4"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fldChar w:fldCharType="begin"/>
            </w:r>
            <w:r w:rsidR="005413B4">
              <w:rPr>
                <w:i/>
                <w:sz w:val="18"/>
                <w:szCs w:val="18"/>
              </w:rPr>
              <w:instrText xml:space="preserve"> ADDIN ZOTERO_ITEM CSL_CITATION {"citationID":"urzihdvu","properties":{"formattedCitation":"\\super 186\\nosupersub{}","plainCitation":"186","noteIndex":0},"citationItems":[{"id":12881,"uris":["http://zotero.org/users/6423791/items/XFWA5FUP"],"itemData":{"id":12881,"type":"article-journal","abstract":"A major obstacle preventing the large scale production of polyhydroxyalkanoates (PHAs) has been the lack of a reliable, low cost, large volume feedstock. The abundance and relatively low price of methane therefore marks it as a substrate of interest. This paper presents a techno-economic assessment of the production of poly-3-hydroxybutyrate (PHB) from methane. ASPEN Plus was used for process design and simulation. The design and economic evaluation is presented for production of 100,000t/a PHB through methanotrophic fermentation and acetone-water solvent extraction. Production costs were estimated at $4.1–$6.8/kg PHA, which compares against a median price of $7.5/kg from other studies. Raw material costs are reduced from 30 to 50% of production for sugar feedstocks, to 22% of production for methane. A feature of the work is the revelation that heat removal from the two-stage bioreactor process contributes 28% of the operating cost. Thermophilic methanotrophs could allow the use of cooling water instead of refrigerant, reducing production costs to $3.2–5.4/kg PHA; it is noted that PHB producing thermophilic methanotrophs are yet to be isolated. Energy consumption for air compression and biomass drying were also identified as significant capital and operating costs and therefore optimisation of bioreactor height and pressure and biomass moisture content should be considered in future research.","container-title":"Journal of Environmental Chemical Engineering","DOI":"10.1016/j.jece.2016.07.033","ISSN":"2213-3437","issue":"4, Part A","journalAbbreviation":"J. Environ. Chem. Eng.","language":"en","page":"3724-3733","source":"ScienceDirect","title":"Techno-economic assessment of poly-3-hydroxybutyrate (PHB) production from methane—The case for thermophilic bioprocessing","volume":"4","author":[{"family":"Levett","given":"Ian"},{"family":"Birkett","given":"Greg"},{"family":"Davies","given":"Nick"},{"family":"Bell","given":"Aidan"},{"family":"Langford","given":"Alexandra"},{"family":"Laycock","given":"Bronwyn"},{"family":"Lant","given":"Paul"},{"family":"Pratt","given":"Steven"}],"issued":{"date-parts":[["2016",12,1]]}}}],"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186</w:t>
            </w:r>
            <w:r w:rsidRPr="006F3D27">
              <w:rPr>
                <w:i/>
                <w:sz w:val="18"/>
                <w:szCs w:val="18"/>
              </w:rPr>
              <w:fldChar w:fldCharType="end"/>
            </w:r>
            <w:r w:rsidRPr="006F3D27">
              <w:rPr>
                <w:i/>
                <w:sz w:val="18"/>
                <w:szCs w:val="18"/>
              </w:rPr>
              <w:t xml:space="preserve"> Inventory of Marami et al., 2022</w:t>
            </w:r>
            <w:r w:rsidRPr="006F3D27">
              <w:rPr>
                <w:i/>
                <w:sz w:val="18"/>
                <w:szCs w:val="18"/>
              </w:rPr>
              <w:fldChar w:fldCharType="begin"/>
            </w:r>
            <w:r w:rsidR="008C451C">
              <w:rPr>
                <w:i/>
                <w:sz w:val="18"/>
                <w:szCs w:val="18"/>
              </w:rPr>
              <w:instrText xml:space="preserve"> ADDIN ZOTERO_ITEM CSL_CITATION {"citationID":"uKM3E01X","properties":{"formattedCitation":"\\super 31\\nosupersub{}","plainCitation":"31","noteIndex":0},"citationItems":[{"id":13120,"uris":["http://zotero.org/users/6423791/items/5MY5B6KQ"],"itemData":{"id":13120,"type":"article-journal","abstract":"Wastewater treatment plants (WWTP) have extensive energy processes that undermine their economic and environmental performance. In this context, the integration of wastewater treatment with other biochemical processes such as co-digestion of sludge with organic wastes, and production of value-added products at their downstream processes will shift conventional WWTPs into biorefinery platforms with better sustainability performance. The sustainability of such a biorefinery platform has been investigated herein using economic and life cycle assessment approach. This WWTP-based biorefinery treats wastewater from Copenhagen municipality, co-digests the source sorted organic fraction of municipal solid waste and sludge, and upgrades biogas into biomethane using hydrogen-assisted upgrading method. Apart from bioenergy, this biorefinery also produces microbial protein (MP) using recovered nutrients from WWTP's reject water. The net environmental savings achieved in two damage categories, i.e., −1.07E−02 species.yr/FU in ecosystem quality and −1.68E+06 USD/FU in resource scarcity damage categories along with high potential windows for the further environmental profile improvements make this biorefinery platform so encouraging. Despite being promising in terms of environmental performance, the high capital expenditure and low gross profit have undermined the economic performance of the proposed biorefinery. Technological improvements, process optimization, and encouraging incentives/subsidies are still needed to make this platform economically feasible.","container-title":"Water Science and Technology","DOI":"10.2166/wst.2022.096","ISSN":"0273-1223","journalAbbreviation":"Water Science and Technology","page":"wst2022096","source":"Silverchair","title":"Going beyond conventional wastewater treatment plants within circular bioeconomy concept – a sustainability assessment study","author":[{"family":"Marami","given":"Hadis"},{"family":"Tsapekos","given":"Panagiotis"},{"family":"Khoshnevisan","given":"Benyamin"},{"family":"Madsen","given":"Jeanette Agertved"},{"family":"Andersen","given":"Jacob Kragh"},{"family":"Rafiee","given":"Shahin"},{"family":"Angelidaki","given":"Irini"}],"issued":{"date-parts":[["2022",3,18]]}}}],"schema":"https://github.com/citation-style-language/schema/raw/master/csl-citation.json"} </w:instrText>
            </w:r>
            <w:r w:rsidRPr="006F3D27">
              <w:rPr>
                <w:i/>
                <w:sz w:val="18"/>
                <w:szCs w:val="18"/>
              </w:rPr>
              <w:fldChar w:fldCharType="separate"/>
            </w:r>
            <w:r w:rsidR="008C451C" w:rsidRPr="008C451C">
              <w:rPr>
                <w:rFonts w:ascii="Calibri" w:hAnsi="Calibri" w:cs="Calibri"/>
                <w:sz w:val="18"/>
                <w:szCs w:val="24"/>
                <w:vertAlign w:val="superscript"/>
              </w:rPr>
              <w:t>31</w:t>
            </w:r>
            <w:r w:rsidRPr="006F3D27">
              <w:rPr>
                <w:i/>
                <w:sz w:val="18"/>
                <w:szCs w:val="18"/>
              </w:rPr>
              <w:fldChar w:fldCharType="end"/>
            </w:r>
          </w:p>
        </w:tc>
      </w:tr>
      <w:tr w:rsidR="002A6FDB" w:rsidRPr="006F3D27" w14:paraId="68B383E9" w14:textId="77777777" w:rsidTr="00942782">
        <w:tc>
          <w:tcPr>
            <w:cnfStyle w:val="001000000000" w:firstRow="0" w:lastRow="0" w:firstColumn="1" w:lastColumn="0" w:oddVBand="0" w:evenVBand="0" w:oddHBand="0" w:evenHBand="0" w:firstRowFirstColumn="0" w:firstRowLastColumn="0" w:lastRowFirstColumn="0" w:lastRowLastColumn="0"/>
            <w:tcW w:w="2112" w:type="dxa"/>
          </w:tcPr>
          <w:p w14:paraId="3827ED10" w14:textId="77777777" w:rsidR="002A6FDB" w:rsidRPr="006F3D27" w:rsidRDefault="002A6FDB" w:rsidP="00BB41E9">
            <w:pPr>
              <w:jc w:val="right"/>
              <w:rPr>
                <w:b w:val="0"/>
                <w:sz w:val="18"/>
                <w:szCs w:val="18"/>
              </w:rPr>
            </w:pPr>
            <w:r w:rsidRPr="006F3D27">
              <w:rPr>
                <w:b w:val="0"/>
                <w:sz w:val="18"/>
                <w:szCs w:val="18"/>
              </w:rPr>
              <w:t>NaVO</w:t>
            </w:r>
            <w:r w:rsidRPr="006F3D27">
              <w:rPr>
                <w:b w:val="0"/>
                <w:sz w:val="18"/>
                <w:szCs w:val="18"/>
                <w:vertAlign w:val="subscript"/>
              </w:rPr>
              <w:t>3</w:t>
            </w:r>
          </w:p>
        </w:tc>
        <w:tc>
          <w:tcPr>
            <w:tcW w:w="1134" w:type="dxa"/>
            <w:vMerge/>
          </w:tcPr>
          <w:p w14:paraId="6EBE549A"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szCs w:val="18"/>
              </w:rPr>
            </w:pPr>
          </w:p>
        </w:tc>
        <w:tc>
          <w:tcPr>
            <w:tcW w:w="708" w:type="dxa"/>
          </w:tcPr>
          <w:p w14:paraId="16C09754"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0.01</w:t>
            </w:r>
          </w:p>
        </w:tc>
        <w:tc>
          <w:tcPr>
            <w:tcW w:w="4237" w:type="dxa"/>
          </w:tcPr>
          <w:p w14:paraId="757A1CE5" w14:textId="6158FBFB"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fldChar w:fldCharType="begin"/>
            </w:r>
            <w:r w:rsidR="005413B4">
              <w:rPr>
                <w:i/>
                <w:sz w:val="18"/>
                <w:szCs w:val="18"/>
              </w:rPr>
              <w:instrText xml:space="preserve"> ADDIN ZOTERO_ITEM CSL_CITATION {"citationID":"PIZxsB6V","properties":{"formattedCitation":"\\super 183\\nosupersub{}","plainCitation":"183","noteIndex":0},"citationItems":[{"id":5124,"uris":["http://zotero.org/users/6423791/items/QSN5G6WV"],"itemData":{"id":5124,"type":"article-journal","container-title":"Science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183</w:t>
            </w:r>
            <w:r w:rsidRPr="006F3D27">
              <w:rPr>
                <w:i/>
                <w:sz w:val="18"/>
                <w:szCs w:val="18"/>
              </w:rPr>
              <w:fldChar w:fldCharType="end"/>
            </w:r>
            <w:r w:rsidRPr="006F3D27">
              <w:rPr>
                <w:i/>
                <w:sz w:val="18"/>
                <w:szCs w:val="18"/>
              </w:rPr>
              <w:t xml:space="preserve"> Inventory of Marami et al., 2022</w:t>
            </w:r>
            <w:r w:rsidRPr="006F3D27">
              <w:rPr>
                <w:i/>
                <w:sz w:val="18"/>
                <w:szCs w:val="18"/>
              </w:rPr>
              <w:fldChar w:fldCharType="begin"/>
            </w:r>
            <w:r w:rsidR="008C451C">
              <w:rPr>
                <w:i/>
                <w:sz w:val="18"/>
                <w:szCs w:val="18"/>
              </w:rPr>
              <w:instrText xml:space="preserve"> ADDIN ZOTERO_ITEM CSL_CITATION {"citationID":"efmalR4J","properties":{"formattedCitation":"\\super 31\\nosupersub{}","plainCitation":"31","noteIndex":0},"citationItems":[{"id":13120,"uris":["http://zotero.org/users/6423791/items/5MY5B6KQ"],"itemData":{"id":13120,"type":"article-journal","abstract":"Wastewater treatment plants (WWTP) have extensive energy processes that undermine their economic and environmental performance. In this context, the integration of wastewater treatment with other biochemical processes such as co-digestion of sludge with organic wastes, and production of value-added products at their downstream processes will shift conventional WWTPs into biorefinery platforms with better sustainability performance. The sustainability of such a biorefinery platform has been investigated herein using economic and life cycle assessment approach. This WWTP-based biorefinery treats wastewater from Copenhagen municipality, co-digests the source sorted organic fraction of municipal solid waste and sludge, and upgrades biogas into biomethane using hydrogen-assisted upgrading method. Apart from bioenergy, this biorefinery also produces microbial protein (MP) using recovered nutrients from WWTP's reject water. The net environmental savings achieved in two damage categories, i.e., −1.07E−02 species.yr/FU in ecosystem quality and −1.68E+06 USD/FU in resource scarcity damage categories along with high potential windows for the further environmental profile improvements make this biorefinery platform so encouraging. Despite being promising in terms of environmental performance, the high capital expenditure and low gross profit have undermined the economic performance of the proposed biorefinery. Technological improvements, process optimization, and encouraging incentives/subsidies are still needed to make this platform economically feasible.","container-title":"Water Science and Technology","DOI":"10.2166/wst.2022.096","ISSN":"0273-1223","journalAbbreviation":"Water Science and Technology","page":"wst2022096","source":"Silverchair","title":"Going beyond conventional wastewater treatment plants within circular bioeconomy concept – a sustainability assessment study","author":[{"family":"Marami","given":"Hadis"},{"family":"Tsapekos","given":"Panagiotis"},{"family":"Khoshnevisan","given":"Benyamin"},{"family":"Madsen","given":"Jeanette Agertved"},{"family":"Andersen","given":"Jacob Kragh"},{"family":"Rafiee","given":"Shahin"},{"family":"Angelidaki","given":"Irini"}],"issued":{"date-parts":[["2022",3,18]]}}}],"schema":"https://github.com/citation-style-language/schema/raw/master/csl-citation.json"} </w:instrText>
            </w:r>
            <w:r w:rsidRPr="006F3D27">
              <w:rPr>
                <w:i/>
                <w:sz w:val="18"/>
                <w:szCs w:val="18"/>
              </w:rPr>
              <w:fldChar w:fldCharType="separate"/>
            </w:r>
            <w:r w:rsidR="008C451C" w:rsidRPr="008C451C">
              <w:rPr>
                <w:rFonts w:ascii="Calibri" w:hAnsi="Calibri" w:cs="Calibri"/>
                <w:sz w:val="18"/>
                <w:szCs w:val="24"/>
                <w:vertAlign w:val="superscript"/>
              </w:rPr>
              <w:t>31</w:t>
            </w:r>
            <w:r w:rsidRPr="006F3D27">
              <w:rPr>
                <w:i/>
                <w:sz w:val="18"/>
                <w:szCs w:val="18"/>
              </w:rPr>
              <w:fldChar w:fldCharType="end"/>
            </w:r>
          </w:p>
        </w:tc>
      </w:tr>
      <w:tr w:rsidR="002A6FDB" w:rsidRPr="006F3D27" w14:paraId="2345A31C"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49D87243" w14:textId="77777777" w:rsidR="002A6FDB" w:rsidRPr="006F3D27" w:rsidRDefault="002A6FDB" w:rsidP="00BB41E9">
            <w:pPr>
              <w:jc w:val="right"/>
              <w:rPr>
                <w:b w:val="0"/>
                <w:sz w:val="18"/>
                <w:szCs w:val="18"/>
              </w:rPr>
            </w:pPr>
            <w:r w:rsidRPr="006F3D27">
              <w:rPr>
                <w:b w:val="0"/>
                <w:sz w:val="18"/>
                <w:szCs w:val="18"/>
              </w:rPr>
              <w:t>NiSO</w:t>
            </w:r>
            <w:r w:rsidRPr="006F3D27">
              <w:rPr>
                <w:b w:val="0"/>
                <w:sz w:val="18"/>
                <w:szCs w:val="18"/>
                <w:vertAlign w:val="subscript"/>
              </w:rPr>
              <w:t>2</w:t>
            </w:r>
          </w:p>
        </w:tc>
        <w:tc>
          <w:tcPr>
            <w:tcW w:w="1134" w:type="dxa"/>
            <w:vMerge/>
          </w:tcPr>
          <w:p w14:paraId="0FA44E68"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szCs w:val="18"/>
              </w:rPr>
            </w:pPr>
          </w:p>
        </w:tc>
        <w:tc>
          <w:tcPr>
            <w:tcW w:w="708" w:type="dxa"/>
          </w:tcPr>
          <w:p w14:paraId="2D60ABFF"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0.02</w:t>
            </w:r>
          </w:p>
        </w:tc>
        <w:tc>
          <w:tcPr>
            <w:tcW w:w="4237" w:type="dxa"/>
          </w:tcPr>
          <w:p w14:paraId="70B322A9" w14:textId="30D26E80"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fldChar w:fldCharType="begin"/>
            </w:r>
            <w:r w:rsidR="005413B4">
              <w:rPr>
                <w:i/>
                <w:sz w:val="18"/>
                <w:szCs w:val="18"/>
              </w:rPr>
              <w:instrText xml:space="preserve"> ADDIN ZOTERO_ITEM CSL_CITATION {"citationID":"jEmrZgJl","properties":{"formattedCitation":"\\super 183\\nosupersub{}","plainCitation":"183","noteIndex":0},"citationItems":[{"id":5124,"uris":["http://zotero.org/users/6423791/items/QSN5G6WV"],"itemData":{"id":5124,"type":"article-journal","container-title":"Science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183</w:t>
            </w:r>
            <w:r w:rsidRPr="006F3D27">
              <w:rPr>
                <w:i/>
                <w:sz w:val="18"/>
                <w:szCs w:val="18"/>
              </w:rPr>
              <w:fldChar w:fldCharType="end"/>
            </w:r>
            <w:r w:rsidRPr="006F3D27">
              <w:rPr>
                <w:i/>
                <w:sz w:val="18"/>
                <w:szCs w:val="18"/>
              </w:rPr>
              <w:t xml:space="preserve"> Inventory of Marami et al., 2022</w:t>
            </w:r>
            <w:r w:rsidRPr="006F3D27">
              <w:rPr>
                <w:i/>
                <w:sz w:val="18"/>
                <w:szCs w:val="18"/>
              </w:rPr>
              <w:fldChar w:fldCharType="begin"/>
            </w:r>
            <w:r w:rsidR="008C451C">
              <w:rPr>
                <w:i/>
                <w:sz w:val="18"/>
                <w:szCs w:val="18"/>
              </w:rPr>
              <w:instrText xml:space="preserve"> ADDIN ZOTERO_ITEM CSL_CITATION {"citationID":"aDYJSDMT","properties":{"formattedCitation":"\\super 31\\nosupersub{}","plainCitation":"31","noteIndex":0},"citationItems":[{"id":13120,"uris":["http://zotero.org/users/6423791/items/5MY5B6KQ"],"itemData":{"id":13120,"type":"article-journal","abstract":"Wastewater treatment plants (WWTP) have extensive energy processes that undermine their economic and environmental performance. In this context, the integration of wastewater treatment with other biochemical processes such as co-digestion of sludge with organic wastes, and production of value-added products at their downstream processes will shift conventional WWTPs into biorefinery platforms with better sustainability performance. The sustainability of such a biorefinery platform has been investigated herein using economic and life cycle assessment approach. This WWTP-based biorefinery treats wastewater from Copenhagen municipality, co-digests the source sorted organic fraction of municipal solid waste and sludge, and upgrades biogas into biomethane using hydrogen-assisted upgrading method. Apart from bioenergy, this biorefinery also produces microbial protein (MP) using recovered nutrients from WWTP's reject water. The net environmental savings achieved in two damage categories, i.e., −1.07E−02 species.yr/FU in ecosystem quality and −1.68E+06 USD/FU in resource scarcity damage categories along with high potential windows for the further environmental profile improvements make this biorefinery platform so encouraging. Despite being promising in terms of environmental performance, the high capital expenditure and low gross profit have undermined the economic performance of the proposed biorefinery. Technological improvements, process optimization, and encouraging incentives/subsidies are still needed to make this platform economically feasible.","container-title":"Water Science and Technology","DOI":"10.2166/wst.2022.096","ISSN":"0273-1223","journalAbbreviation":"Water Science and Technology","page":"wst2022096","source":"Silverchair","title":"Going beyond conventional wastewater treatment plants within circular bioeconomy concept – a sustainability assessment study","author":[{"family":"Marami","given":"Hadis"},{"family":"Tsapekos","given":"Panagiotis"},{"family":"Khoshnevisan","given":"Benyamin"},{"family":"Madsen","given":"Jeanette Agertved"},{"family":"Andersen","given":"Jacob Kragh"},{"family":"Rafiee","given":"Shahin"},{"family":"Angelidaki","given":"Irini"}],"issued":{"date-parts":[["2022",3,18]]}}}],"schema":"https://github.com/citation-style-language/schema/raw/master/csl-citation.json"} </w:instrText>
            </w:r>
            <w:r w:rsidRPr="006F3D27">
              <w:rPr>
                <w:i/>
                <w:sz w:val="18"/>
                <w:szCs w:val="18"/>
              </w:rPr>
              <w:fldChar w:fldCharType="separate"/>
            </w:r>
            <w:r w:rsidR="008C451C" w:rsidRPr="008C451C">
              <w:rPr>
                <w:rFonts w:ascii="Calibri" w:hAnsi="Calibri" w:cs="Calibri"/>
                <w:sz w:val="18"/>
                <w:szCs w:val="24"/>
                <w:vertAlign w:val="superscript"/>
              </w:rPr>
              <w:t>31</w:t>
            </w:r>
            <w:r w:rsidRPr="006F3D27">
              <w:rPr>
                <w:i/>
                <w:sz w:val="18"/>
                <w:szCs w:val="18"/>
              </w:rPr>
              <w:fldChar w:fldCharType="end"/>
            </w:r>
          </w:p>
        </w:tc>
      </w:tr>
      <w:tr w:rsidR="002A6FDB" w:rsidRPr="006F3D27" w14:paraId="760C481D" w14:textId="77777777" w:rsidTr="00942782">
        <w:tc>
          <w:tcPr>
            <w:cnfStyle w:val="001000000000" w:firstRow="0" w:lastRow="0" w:firstColumn="1" w:lastColumn="0" w:oddVBand="0" w:evenVBand="0" w:oddHBand="0" w:evenHBand="0" w:firstRowFirstColumn="0" w:firstRowLastColumn="0" w:lastRowFirstColumn="0" w:lastRowLastColumn="0"/>
            <w:tcW w:w="2112" w:type="dxa"/>
          </w:tcPr>
          <w:p w14:paraId="418F2A6F" w14:textId="77777777" w:rsidR="002A6FDB" w:rsidRPr="006F3D27" w:rsidRDefault="002A6FDB" w:rsidP="00BB41E9">
            <w:pPr>
              <w:jc w:val="right"/>
              <w:rPr>
                <w:b w:val="0"/>
                <w:sz w:val="18"/>
                <w:szCs w:val="18"/>
              </w:rPr>
            </w:pPr>
            <w:r w:rsidRPr="006F3D27">
              <w:rPr>
                <w:b w:val="0"/>
                <w:sz w:val="18"/>
                <w:szCs w:val="18"/>
              </w:rPr>
              <w:t>CeO</w:t>
            </w:r>
            <w:r w:rsidRPr="006F3D27">
              <w:rPr>
                <w:b w:val="0"/>
                <w:sz w:val="18"/>
                <w:szCs w:val="18"/>
                <w:vertAlign w:val="subscript"/>
              </w:rPr>
              <w:t>2</w:t>
            </w:r>
          </w:p>
        </w:tc>
        <w:tc>
          <w:tcPr>
            <w:tcW w:w="1134" w:type="dxa"/>
            <w:vMerge/>
          </w:tcPr>
          <w:p w14:paraId="2C5BC62F"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szCs w:val="18"/>
              </w:rPr>
            </w:pPr>
          </w:p>
        </w:tc>
        <w:tc>
          <w:tcPr>
            <w:tcW w:w="708" w:type="dxa"/>
          </w:tcPr>
          <w:p w14:paraId="57CEB517"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0.01</w:t>
            </w:r>
          </w:p>
        </w:tc>
        <w:tc>
          <w:tcPr>
            <w:tcW w:w="4237" w:type="dxa"/>
          </w:tcPr>
          <w:p w14:paraId="30062027" w14:textId="77777777"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Assumed, “Market for cerium oxide, GLO”</w:t>
            </w:r>
          </w:p>
        </w:tc>
      </w:tr>
    </w:tbl>
    <w:p w14:paraId="50377978" w14:textId="18B6C26A" w:rsidR="002A6FDB" w:rsidRPr="003F5DA8" w:rsidRDefault="002A6FDB" w:rsidP="00942782">
      <w:pPr>
        <w:jc w:val="both"/>
      </w:pPr>
      <w:r w:rsidRPr="003F5DA8">
        <w:rPr>
          <w:sz w:val="18"/>
        </w:rPr>
        <w:t xml:space="preserve">The parameters present in this table were not retained in the sensitivity analysis, these were considered as constants. X: microbial biomass. Antifoam was neglected. </w:t>
      </w:r>
      <w:r w:rsidR="00E12655" w:rsidRPr="003F5DA8">
        <w:rPr>
          <w:sz w:val="18"/>
        </w:rPr>
        <w:t xml:space="preserve">P &amp; K requirements LCI were modeled </w:t>
      </w:r>
      <w:r w:rsidR="00E12655">
        <w:rPr>
          <w:sz w:val="18"/>
        </w:rPr>
        <w:t>as</w:t>
      </w:r>
      <w:r w:rsidR="00E12655" w:rsidRPr="003F5DA8">
        <w:rPr>
          <w:sz w:val="18"/>
        </w:rPr>
        <w:t xml:space="preserve"> fertilizers</w:t>
      </w:r>
      <w:r w:rsidR="00E12655">
        <w:rPr>
          <w:sz w:val="18"/>
        </w:rPr>
        <w:t xml:space="preserve"> services</w:t>
      </w:r>
      <w:r w:rsidR="00E12655" w:rsidRPr="003F5DA8">
        <w:rPr>
          <w:sz w:val="18"/>
        </w:rPr>
        <w:t>.</w:t>
      </w:r>
    </w:p>
    <w:p w14:paraId="7B3BD106" w14:textId="6DA6BCBB" w:rsidR="004A3FE2" w:rsidRDefault="002A6FDB" w:rsidP="002A6FDB">
      <w:pPr>
        <w:jc w:val="both"/>
      </w:pPr>
      <w:r w:rsidRPr="003F5DA8">
        <w:t>Minerals and micronutrients were assumed mixed with make-up water (impeller) and further sterilized (120°C) before being fed to the bioreactor, as reported for the Pruteen process</w:t>
      </w:r>
      <w:r w:rsidRPr="003F5DA8">
        <w:fldChar w:fldCharType="begin"/>
      </w:r>
      <w:r w:rsidR="00827449">
        <w:instrText xml:space="preserve"> ADDIN ZOTERO_ITEM CSL_CITATION {"citationID":"MjyS1diF","properties":{"formattedCitation":"\\super 41\\nosupersub{}","plainCitation":"41","noteIndex":0},"citationItems":[{"id":13068,"uris":["http://zotero.org/users/6423791/items/RK8J2DQC"],"itemData":{"id":13068,"type":"article-journal","abstract":"Alternative protein sources such as microbial protein (MP) are currently considered to alleviate the burden that food production exerts on the environment. Even though MP production is highly efficient in land and nutrient utilization, their carbon footprint should be improved. Here we propose the use of CCU as a driver for heterotrophic MP production. By comparing different MP production routes starting from liquid substrates derived from CO2 (i.e., formate, acetate, methanol, and ethanol) and their respective metabolic pathways, the potential of this concept as a carbon–neutral food or feed production process was estimated. Acetate and ethanol appear to be the most beneficial substrates for the integrated CCU-to-MP process in terms of electricity demand (acetate: 25 – 54 kWh/kgproduct, ethanol: 28 – 56 kWh/kgproduct). Moreover, recycling CO2 enables a carbon-negative protein production process by 2030 (considering the projected CO2 emissions from electricity in the EU: 0.096 kgCO2-eq/kWh) for formate, acetate, and ethanol (-1.1 up to 13 kgCO2-eq/kgproduct).","container-title":"Bioresource Technology","DOI":"10.1016/j.biortech.2022.126853","ISSN":"0960-8524","journalAbbreviation":"Bioresour. Technol.","language":"en","page":"126853","source":"ScienceDirect","title":"Towards new carbon–neutral food systems: Combining carbon capture and utilization with microbial protein production","title-short":"Towards new carbon–neutral food systems","volume":"349","author":[{"family":"Van Peteghem","given":"L."},{"family":"Sakarika","given":"M."},{"family":"Matassa","given":"S."},{"family":"Pikaar","given":"I."},{"family":"Ganigué","given":"R."},{"family":"Rabaey","given":"K."}],"issued":{"date-parts":[["2022",4,1]]}}}],"schema":"https://github.com/citation-style-language/schema/raw/master/csl-citation.json"} </w:instrText>
      </w:r>
      <w:r w:rsidRPr="003F5DA8">
        <w:fldChar w:fldCharType="separate"/>
      </w:r>
      <w:r w:rsidR="008C451C" w:rsidRPr="008C451C">
        <w:rPr>
          <w:rFonts w:ascii="Calibri" w:hAnsi="Calibri" w:cs="Calibri"/>
          <w:szCs w:val="24"/>
          <w:vertAlign w:val="superscript"/>
        </w:rPr>
        <w:t>41</w:t>
      </w:r>
      <w:r w:rsidRPr="003F5DA8">
        <w:fldChar w:fldCharType="end"/>
      </w:r>
      <w:r w:rsidRPr="003F5DA8">
        <w:t>. Membrane-based sterilization is also mentioned, but in front of the lack of data, only conventional steam-based sterilization was modeled. An over-pressure was considered to avoid vaporization of media at the sterilization temperature (see</w:t>
      </w:r>
      <w:r w:rsidR="00E12655">
        <w:t xml:space="preserve"> </w:t>
      </w:r>
      <w:r w:rsidR="00E12655" w:rsidRPr="00E12655">
        <w:rPr>
          <w:b/>
        </w:rPr>
        <w:t xml:space="preserve">section </w:t>
      </w:r>
      <w:r w:rsidR="000C6C37">
        <w:rPr>
          <w:b/>
        </w:rPr>
        <w:t xml:space="preserve">SI. </w:t>
      </w:r>
      <w:r w:rsidR="00E12655" w:rsidRPr="00E12655">
        <w:rPr>
          <w:b/>
        </w:rPr>
        <w:fldChar w:fldCharType="begin"/>
      </w:r>
      <w:r w:rsidR="00E12655" w:rsidRPr="00E12655">
        <w:rPr>
          <w:b/>
        </w:rPr>
        <w:instrText xml:space="preserve"> REF _Ref144829900 \r \h </w:instrText>
      </w:r>
      <w:r w:rsidR="00E12655">
        <w:rPr>
          <w:b/>
        </w:rPr>
        <w:instrText xml:space="preserve"> \* MERGEFORMAT </w:instrText>
      </w:r>
      <w:r w:rsidR="00E12655" w:rsidRPr="00E12655">
        <w:rPr>
          <w:b/>
        </w:rPr>
      </w:r>
      <w:r w:rsidR="00E12655" w:rsidRPr="00E12655">
        <w:rPr>
          <w:b/>
        </w:rPr>
        <w:fldChar w:fldCharType="separate"/>
      </w:r>
      <w:r w:rsidR="00F25F8C">
        <w:rPr>
          <w:b/>
        </w:rPr>
        <w:t>4.1.3</w:t>
      </w:r>
      <w:r w:rsidR="00E12655" w:rsidRPr="00E12655">
        <w:rPr>
          <w:b/>
        </w:rPr>
        <w:fldChar w:fldCharType="end"/>
      </w:r>
      <w:r w:rsidR="00E12655">
        <w:t>)</w:t>
      </w:r>
      <w:r w:rsidRPr="003F5DA8">
        <w:t xml:space="preserve">. Growth media was pumped into the bioreactor (accounting for total required pressure as for gas injection), corresponding energy was calculated as </w:t>
      </w:r>
      <w:r>
        <w:t xml:space="preserve">also </w:t>
      </w:r>
      <w:r w:rsidRPr="003F5DA8">
        <w:t xml:space="preserve">detailed in </w:t>
      </w:r>
      <w:r w:rsidR="00E12655" w:rsidRPr="00E12655">
        <w:rPr>
          <w:b/>
        </w:rPr>
        <w:t xml:space="preserve">section </w:t>
      </w:r>
      <w:r w:rsidR="000C6C37">
        <w:rPr>
          <w:b/>
        </w:rPr>
        <w:t xml:space="preserve">SI. </w:t>
      </w:r>
      <w:r w:rsidR="00E12655" w:rsidRPr="00E12655">
        <w:rPr>
          <w:b/>
        </w:rPr>
        <w:fldChar w:fldCharType="begin"/>
      </w:r>
      <w:r w:rsidR="00E12655" w:rsidRPr="00E12655">
        <w:rPr>
          <w:b/>
        </w:rPr>
        <w:instrText xml:space="preserve"> REF _Ref144829900 \r \h </w:instrText>
      </w:r>
      <w:r w:rsidR="00E12655">
        <w:rPr>
          <w:b/>
        </w:rPr>
        <w:instrText xml:space="preserve"> \* MERGEFORMAT </w:instrText>
      </w:r>
      <w:r w:rsidR="00E12655" w:rsidRPr="00E12655">
        <w:rPr>
          <w:b/>
        </w:rPr>
      </w:r>
      <w:r w:rsidR="00E12655" w:rsidRPr="00E12655">
        <w:rPr>
          <w:b/>
        </w:rPr>
        <w:fldChar w:fldCharType="separate"/>
      </w:r>
      <w:r w:rsidR="00F25F8C">
        <w:rPr>
          <w:b/>
        </w:rPr>
        <w:t>4.1.3</w:t>
      </w:r>
      <w:r w:rsidR="00E12655" w:rsidRPr="00E12655">
        <w:rPr>
          <w:b/>
        </w:rPr>
        <w:fldChar w:fldCharType="end"/>
      </w:r>
      <w:r w:rsidRPr="003F5DA8">
        <w:t xml:space="preserve">. As sterilized media needs to be cooled towards bioreactor’s working temperature (30-40°C), </w:t>
      </w:r>
      <w:r>
        <w:t>sensible</w:t>
      </w:r>
      <w:r w:rsidRPr="003F5DA8">
        <w:t xml:space="preserve"> heat was assumed directly reused to pre-warm water make-up input flow (details </w:t>
      </w:r>
      <w:r w:rsidRPr="006F3D27">
        <w:t>in</w:t>
      </w:r>
      <w:r w:rsidR="006F3D27" w:rsidRPr="006F3D27">
        <w:rPr>
          <w:b/>
        </w:rPr>
        <w:t xml:space="preserve"> </w:t>
      </w:r>
      <w:r w:rsidR="006F3D27" w:rsidRPr="006F3D27">
        <w:rPr>
          <w:i/>
        </w:rPr>
        <w:t>B.MP_module spreadsheet</w:t>
      </w:r>
      <w:r w:rsidRPr="006F3D27">
        <w:t>).</w:t>
      </w:r>
      <w:r w:rsidRPr="003F5DA8">
        <w:t xml:space="preserve"> Accordingly, only the heating and cooling requirements to bridge the remaining temperature gaps were considered (see</w:t>
      </w:r>
      <w:r w:rsidR="00E12655">
        <w:rPr>
          <w:b/>
        </w:rPr>
        <w:t xml:space="preserve"> </w:t>
      </w:r>
      <w:r w:rsidR="00E12655" w:rsidRPr="00E12655">
        <w:fldChar w:fldCharType="begin"/>
      </w:r>
      <w:r w:rsidR="00E12655" w:rsidRPr="00E12655">
        <w:instrText xml:space="preserve"> REF _Ref144829972 \h </w:instrText>
      </w:r>
      <w:r w:rsidR="00E12655">
        <w:instrText xml:space="preserve"> \* MERGEFORMAT </w:instrText>
      </w:r>
      <w:r w:rsidR="00E12655" w:rsidRPr="00E12655">
        <w:fldChar w:fldCharType="separate"/>
      </w:r>
      <w:r w:rsidR="00F25F8C">
        <w:t xml:space="preserve">Table SI. </w:t>
      </w:r>
      <w:r w:rsidR="00F25F8C">
        <w:rPr>
          <w:noProof/>
        </w:rPr>
        <w:t>77</w:t>
      </w:r>
      <w:r w:rsidR="00E12655" w:rsidRPr="00E12655">
        <w:fldChar w:fldCharType="end"/>
      </w:r>
      <w:r w:rsidRPr="003F5DA8">
        <w:t xml:space="preserve">). Water make-up estimation is detailed in </w:t>
      </w:r>
      <w:r w:rsidR="00E12655" w:rsidRPr="00E12655">
        <w:rPr>
          <w:b/>
        </w:rPr>
        <w:t xml:space="preserve">next </w:t>
      </w:r>
      <w:r w:rsidRPr="00E12655">
        <w:rPr>
          <w:b/>
        </w:rPr>
        <w:t>s</w:t>
      </w:r>
      <w:r w:rsidRPr="008A775E">
        <w:rPr>
          <w:b/>
        </w:rPr>
        <w:t>ection</w:t>
      </w:r>
      <w:r w:rsidR="00E12655">
        <w:rPr>
          <w:b/>
        </w:rPr>
        <w:t>s</w:t>
      </w:r>
      <w:r w:rsidRPr="008A775E">
        <w:t>.</w:t>
      </w:r>
    </w:p>
    <w:p w14:paraId="30A34B9E" w14:textId="77777777" w:rsidR="004A3FE2" w:rsidRDefault="004A3FE2">
      <w:r>
        <w:br w:type="page"/>
      </w:r>
    </w:p>
    <w:p w14:paraId="60531581" w14:textId="77777777" w:rsidR="002A6FDB" w:rsidRPr="002A6FDB" w:rsidRDefault="002A6FDB" w:rsidP="00E12655">
      <w:pPr>
        <w:pStyle w:val="Titre4"/>
      </w:pPr>
      <w:r w:rsidRPr="002A6FDB">
        <w:lastRenderedPageBreak/>
        <w:t>Post-treatments</w:t>
      </w:r>
    </w:p>
    <w:p w14:paraId="4E1F2B41" w14:textId="6ECC39A8" w:rsidR="006F3D27" w:rsidRDefault="00E12655" w:rsidP="004A3FE2">
      <w:pPr>
        <w:ind w:firstLine="360"/>
        <w:jc w:val="both"/>
      </w:pPr>
      <w:r w:rsidRPr="00E12655">
        <w:t>The post-treatment unit operations are water removal, biomass inactivation and MP ingredients formulation.</w:t>
      </w:r>
      <w:r w:rsidR="001B2C2E">
        <w:t xml:space="preserve"> </w:t>
      </w:r>
      <w:r w:rsidR="001B2C2E" w:rsidRPr="008F2922">
        <w:t>These operations (</w:t>
      </w:r>
      <w:r w:rsidR="001B2C2E">
        <w:t>especially</w:t>
      </w:r>
      <w:r w:rsidR="001B2C2E" w:rsidRPr="008F2922">
        <w:t xml:space="preserve"> dewatering and drying) are usually contributing to a large share of food industries’ energy expenses, and previous assessments tend to show a similar trend for MP production </w:t>
      </w:r>
      <w:r w:rsidR="001B2C2E" w:rsidRPr="008F2922">
        <w:fldChar w:fldCharType="begin"/>
      </w:r>
      <w:r w:rsidR="005413B4">
        <w:instrText xml:space="preserve"> ADDIN ZOTERO_ITEM CSL_CITATION {"citationID":"0RUTHjFO","properties":{"formattedCitation":"\\super 186,192\\nosupersub{}","plainCitation":"186,192","noteIndex":0},"citationItems":[{"id":12881,"uris":["http://zotero.org/users/6423791/items/XFWA5FUP"],"itemData":{"id":12881,"type":"article-journal","abstract":"A major obstacle preventing the large scale production of polyhydroxyalkanoates (PHAs) has been the lack of a reliable, low cost, large volume feedstock. The abundance and relatively low price of methane therefore marks it as a substrate of interest. This paper presents a techno-economic assessment of the production of poly-3-hydroxybutyrate (PHB) from methane. ASPEN Plus was used for process design and simulation. The design and economic evaluation is presented for production of 100,000t/a PHB through methanotrophic fermentation and acetone-water solvent extraction. Production costs were estimated at $4.1–$6.8/kg PHA, which compares against a median price of $7.5/kg from other studies. Raw material costs are reduced from 30 to 50% of production for sugar feedstocks, to 22% of production for methane. A feature of the work is the revelation that heat removal from the two-stage bioreactor process contributes 28% of the operating cost. Thermophilic methanotrophs could allow the use of cooling water instead of refrigerant, reducing production costs to $3.2–5.4/kg PHA; it is noted that PHB producing thermophilic methanotrophs are yet to be isolated. Energy consumption for air compression and biomass drying were also identified as significant capital and operating costs and therefore optimisation of bioreactor height and pressure and biomass moisture content should be considered in future research.","container-title":"Journal of Environmental Chemical Engineering","DOI":"10.1016/j.jece.2016.07.033","ISSN":"2213-3437","issue":"4, Part A","journalAbbreviation":"J. Environ. Chem. Eng.","language":"en","page":"3724-3733","source":"ScienceDirect","title":"Techno-economic assessment of poly-3-hydroxybutyrate (PHB) production from methane—The case for thermophilic bioprocessing","volume":"4","author":[{"family":"Levett","given":"Ian"},{"family":"Birkett","given":"Greg"},{"family":"Davies","given":"Nick"},{"family":"Bell","given":"Aidan"},{"family":"Langford","given":"Alexandra"},{"family":"Laycock","given":"Bronwyn"},{"family":"Lant","given":"Paul"},{"family":"Pratt","given":"Steven"}],"issued":{"date-parts":[["2016",12,1]]}}},{"id":1887,"uris":["http://zotero.org/users/6423791/items/NZSWK259"],"itemData":{"id":1887,"type":"article-journal","abstract":"Livestock production is utilizing large amounts of protein-rich feed ingredients such as soybean meal. The proven negative environmental impacts of soybean meal production incentivize the search for alternative protein sources. One promising alternative is Microbial Protein (MP), i.e. dried microbial biomass. To date, only few life cycle assessments (LCAs) for MP have been carried out, none of which has used a consequential modelling approach nor has been investigating the production of MP on food and beverage wastewater. Therefore, the objective of this study is to evaluate the environmental impact of MP production on a food and beverage effluent as a substitute for soybean meal using a consequential modelling approach. Three different types of MP production were analysed, namely consortia containing Aerobic Heterotrophic Bacteria (AHB), Microalgae and AHB (MaB), and Purple Non-Sulfur Bacteria (PNSB). The production of MP was modelled for high-strength potato wastewater (COD = 10 kg/m3) at a flow rate of 1,000 m3/day. LCA results were compared against soybean meal production for the endpoint impact categories human health, ecosystems, and resources. Soybean meal showed up to 52% higher impact on human health and up to 87% higher impact on ecosystems than MP. However, energy-related aspects resulted in an 8–88% higher resource exploitation for MP. A comparison between the MP production systems showed that MaB performed best when considering ecosystems (between 13 and 14% better) and resource (between 71 and 80% better) impact categories, while AHB and PNSB had lower values for the impact category human health (8–12%). The sensitivity analysis suggests that the conclusions drawn are robust as in the majority of 1,000 Monte Carlo runs the initial results are confirmed. In conclusion, it is suggested that MP is an alternative protein source of comparatively low environmental impact that should play a role in the future protein transition, in particular when further process improvements can be implemented and more renewable or waste energy sources will be used.","container-title":"Water Research","DOI":"10.1016/j.watres.2019.115406","ISSN":"0043-1354","journalAbbreviation":"Water Res.","language":"en","page":"115406","source":"ScienceDirect","title":"Environmental impact of microbial protein from potato wastewater as feed ingredient: Comparative consequential life cycle assessment of three production systems and soybean meal","title-short":"Environmental impact of microbial protein from potato wastewater as feed ingredient","volume":"171","author":[{"family":"Spiller","given":"Marc"},{"family":"Muys","given":"Maarten"},{"family":"Papini","given":"Gustavo"},{"family":"Sakarika","given":"Myrsini"},{"family":"Buyle","given":"Matthias"},{"family":"Vlaeminck","given":"Siegfried E."}],"issued":{"date-parts":[["2020",3,15]]}}}],"schema":"https://github.com/citation-style-language/schema/raw/master/csl-citation.json"} </w:instrText>
      </w:r>
      <w:r w:rsidR="001B2C2E" w:rsidRPr="008F2922">
        <w:fldChar w:fldCharType="separate"/>
      </w:r>
      <w:r w:rsidR="005413B4" w:rsidRPr="005413B4">
        <w:rPr>
          <w:rFonts w:ascii="Calibri" w:hAnsi="Calibri" w:cs="Calibri"/>
          <w:szCs w:val="24"/>
          <w:vertAlign w:val="superscript"/>
        </w:rPr>
        <w:t>186,192</w:t>
      </w:r>
      <w:r w:rsidR="001B2C2E" w:rsidRPr="008F2922">
        <w:fldChar w:fldCharType="end"/>
      </w:r>
      <w:r w:rsidR="001B2C2E" w:rsidRPr="008F2922">
        <w:t>.</w:t>
      </w:r>
      <w:r w:rsidR="001B2C2E">
        <w:t xml:space="preserve"> </w:t>
      </w:r>
      <w:r w:rsidRPr="00E12655">
        <w:t>Yet, reviewed literature did not provide a clear and unified design for the post-treatment operations sequence.</w:t>
      </w:r>
      <w:r>
        <w:t xml:space="preserve"> </w:t>
      </w:r>
      <w:r w:rsidR="002A6FDB" w:rsidRPr="003F5DA8">
        <w:t>For example, some scaling initiatives report the implementation of a sterilization stage (e.g. 140°C mentioned by Unibio and 120°C by Solar Foods)</w:t>
      </w:r>
      <w:r w:rsidR="002A6FDB" w:rsidRPr="003F5DA8">
        <w:fldChar w:fldCharType="begin"/>
      </w:r>
      <w:r w:rsidR="005413B4">
        <w:instrText xml:space="preserve"> ADDIN ZOTERO_ITEM CSL_CITATION {"citationID":"ULSOb9kh","properties":{"formattedCitation":"\\super 173,183,203\\nosupersub{}","plainCitation":"173,183,203","noteIndex":0},"citationItems":[{"id":10967,"uris":["http://zotero.org/users/6423791/items/P67XNRD9"],"itemData":{"id":10967,"type":"report","abstract":"UK The overall aim was to investigate if soybean products from South American can be replaced by protein sources produced in Europe in a sustainable way. Based on data from literature, and based on the systematics of the FeedPrint programme, the nutritional value and the carbon footprint (CFP) of these protein sources is determined. These protein sources are used in feed optimizations of a starter diet for pigs, thereby maintaining the nutritional value of the diet. Subsequently, the CFP of the grower diet is calculated. The results and conclusions will be discussed in this report.","collection-title":"Wageningen UR Livestock Research","event-place":"Lelystad","language":"en","number":"819","page":"47","publisher":"Wageningen","publisher-place":"Lelystad","source":"Zotero","title":"Replacement of soybean meal in compound feed by European protein sources","author":[{"family":"Boer","given":"H C","non-dropping-particle":"de"},{"family":"Krimpen","given":"M M","non-dropping-particle":"van"},{"family":"Blonk","given":"H"},{"family":"Tyszler","given":"M"}],"issued":{"date-parts":[["2014"]]}}},{"id":10970,"uris":["http://zotero.org/users/6423791/items/5E2YP43S"],"itemData":{"id":10970,"type":"report","abstract":"Het InnovatieNetwerk Groene Ruimte en Agrocluster heeft eerder een haalbaarheidsstudie laten opstellen voor het ontwerp van een nieuw visteeltsysteem op een schip of drijvende bak. Onderdeel hiervan is een eerste aanzet van een haalbaarheidsonderzoek van de productie op het schip van het eiwitrijke Single Cell Protein (SCP). In een voortgezette haalbaarheidsstudie is onderzoek gedaan naar de mogelijkheid van SCP-productie voor veevoeders in een centrale installatie om zo de import van soja te verminderen.","language":"nl","note":"OCLC: 1012527642","publisher":"InnovatieNetwerk","source":"Open WorldCat","title":"Single Cell Protein (SCP) als alternatief voor soja: een haalbaarheidsstudie","title-short":"Single Cell Protein (SCP) als alternatief voor soja","URL":"http://edepot.wur.nl/116725","author":[{"family":"Huizing","given":"H.J."}],"accessed":{"date-parts":[["2021",4,14]]},"issued":{"date-parts":[["2005"]]}}},{"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L."}],"issued":{"date-parts":[["2021",2]]}}}],"schema":"https://github.com/citation-style-language/schema/raw/master/csl-citation.json"} </w:instrText>
      </w:r>
      <w:r w:rsidR="002A6FDB" w:rsidRPr="003F5DA8">
        <w:fldChar w:fldCharType="separate"/>
      </w:r>
      <w:r w:rsidR="005413B4" w:rsidRPr="005413B4">
        <w:rPr>
          <w:rFonts w:ascii="Calibri" w:hAnsi="Calibri" w:cs="Calibri"/>
          <w:szCs w:val="24"/>
          <w:vertAlign w:val="superscript"/>
        </w:rPr>
        <w:t>173,183,203</w:t>
      </w:r>
      <w:r w:rsidR="002A6FDB" w:rsidRPr="003F5DA8">
        <w:fldChar w:fldCharType="end"/>
      </w:r>
      <w:r w:rsidR="002A6FDB" w:rsidRPr="003F5DA8">
        <w:t xml:space="preserve"> while other studies do not consider sterilization but only a RNA/DNA removal stage. The latter can be done either by (i) heat shocks (i.e. broth’s temperature quickly brought to 60-70°C with a 260°C steam injection at 13bars, as reported for the Quorn process by Upcraft et al., 2021</w:t>
      </w:r>
      <w:r w:rsidR="002A6FDB" w:rsidRPr="003F5DA8">
        <w:fldChar w:fldCharType="begin"/>
      </w:r>
      <w:r w:rsidR="005413B4">
        <w:instrText xml:space="preserve"> ADDIN ZOTERO_ITEM CSL_CITATION {"citationID":"TNu8F9hW","properties":{"formattedCitation":"\\super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002A6FDB" w:rsidRPr="003F5DA8">
        <w:fldChar w:fldCharType="separate"/>
      </w:r>
      <w:r w:rsidR="005413B4" w:rsidRPr="005413B4">
        <w:rPr>
          <w:rFonts w:ascii="Calibri" w:hAnsi="Calibri" w:cs="Calibri"/>
          <w:szCs w:val="24"/>
          <w:vertAlign w:val="superscript"/>
        </w:rPr>
        <w:t>131</w:t>
      </w:r>
      <w:r w:rsidR="002A6FDB" w:rsidRPr="003F5DA8">
        <w:fldChar w:fldCharType="end"/>
      </w:r>
      <w:r w:rsidR="002A6FDB" w:rsidRPr="003F5DA8">
        <w:t>), (ii) bead milling as proposed by Leger et al., 2021</w:t>
      </w:r>
      <w:r w:rsidR="002A6FDB" w:rsidRPr="003F5DA8">
        <w:fldChar w:fldCharType="begin"/>
      </w:r>
      <w:r w:rsidR="005413B4">
        <w:instrText xml:space="preserve"> ADDIN ZOTERO_ITEM CSL_CITATION {"citationID":"idO2gxht","properties":{"formattedCitation":"\\super 175\\nosupersub{}","plainCitation":"175","noteIndex":0},"citationItems":[{"id":11540,"uris":["http://zotero.org/users/6423791/items/L9NYDA2K"],"itemData":{"id":11540,"type":"article-journal","abstract":"Population growth and changes in dietary patterns place an ever-growing pressure on the environment. Feeding the world within sustainable boundaries therefore requires revolutionizing the way we harness natural resources. Microbial biomass can be cultivated to yield protein-rich feed and food supplements, collectively termed single-cell protein (SCP). Yet, we still lack a quantitative comparison between traditional agriculture and photovoltaic-driven SCP systems in terms of land use and energetic efficiency. Here, we analyze the energetic efficiency of harnessing solar energy to produce SCP from air and water. Our model includes photovoltaic electricity generation, direct air capture of carbon dioxide, electrosynthesis of an electron donor and/or carbon source for microbial growth (hydrogen, formate, or methanol), microbial cultivation, and the processing of biomass and proteins. We show that, per unit of land, SCP production can reach an over 10-fold higher protein yield and at least twice the caloric yield compared with any staple crop. Altogether, this quantitative analysis offers an assessment of the future potential of photovoltaic-driven microbial foods to supplement conventional agricultural production and support resource-efficient protein supply on a global scale.","container-title":"Proceedings of the National Academy of Sciences","DOI":"10.1073/pnas.2015025118","ISSN":"0027-8424, 1091-6490","issue":"26","journalAbbreviation":"Proc Natl Acad Sci USA","language":"en","page":"e2015025118","source":"DOI.org (Crossref)","title":"Photovoltaic-driven microbial protein production can use land and sunlight more efficiently than conventional crops","volume":"118","author":[{"family":"Leger","given":"Dorian"},{"family":"Matassa","given":"Silvio"},{"family":"Noor","given":"Elad"},{"family":"Shepon","given":"Alon"},{"family":"Milo","given":"Ron"},{"family":"Bar-Even","given":"Arren"}],"issued":{"date-parts":[["2021",6,29]]}}}],"schema":"https://github.com/citation-style-language/schema/raw/master/csl-citation.json"} </w:instrText>
      </w:r>
      <w:r w:rsidR="002A6FDB" w:rsidRPr="003F5DA8">
        <w:fldChar w:fldCharType="separate"/>
      </w:r>
      <w:r w:rsidR="005413B4" w:rsidRPr="005413B4">
        <w:rPr>
          <w:rFonts w:ascii="Calibri" w:hAnsi="Calibri" w:cs="Calibri"/>
          <w:szCs w:val="24"/>
          <w:vertAlign w:val="superscript"/>
        </w:rPr>
        <w:t>175</w:t>
      </w:r>
      <w:r w:rsidR="002A6FDB" w:rsidRPr="003F5DA8">
        <w:fldChar w:fldCharType="end"/>
      </w:r>
      <w:r w:rsidR="002A6FDB" w:rsidRPr="003F5DA8">
        <w:t xml:space="preserve"> or (iii) alkaline hydrolysis as reported for the Pekilo process by Van Pethem et al., 2022</w:t>
      </w:r>
      <w:r w:rsidR="002A6FDB" w:rsidRPr="003F5DA8">
        <w:fldChar w:fldCharType="begin"/>
      </w:r>
      <w:r w:rsidR="00827449">
        <w:instrText xml:space="preserve"> ADDIN ZOTERO_ITEM CSL_CITATION {"citationID":"cUM6RuF8","properties":{"formattedCitation":"\\super 41\\nosupersub{}","plainCitation":"41","noteIndex":0},"citationItems":[{"id":13068,"uris":["http://zotero.org/users/6423791/items/RK8J2DQC"],"itemData":{"id":13068,"type":"article-journal","abstract":"Alternative protein sources such as microbial protein (MP) are currently considered to alleviate the burden that food production exerts on the environment. Even though MP production is highly efficient in land and nutrient utilization, their carbon footprint should be improved. Here we propose the use of CCU as a driver for heterotrophic MP production. By comparing different MP production routes starting from liquid substrates derived from CO2 (i.e., formate, acetate, methanol, and ethanol) and their respective metabolic pathways, the potential of this concept as a carbon–neutral food or feed production process was estimated. Acetate and ethanol appear to be the most beneficial substrates for the integrated CCU-to-MP process in terms of electricity demand (acetate: 25 – 54 kWh/kgproduct, ethanol: 28 – 56 kWh/kgproduct). Moreover, recycling CO2 enables a carbon-negative protein production process by 2030 (considering the projected CO2 emissions from electricity in the EU: 0.096 kgCO2-eq/kWh) for formate, acetate, and ethanol (-1.1 up to 13 kgCO2-eq/kgproduct).","container-title":"Bioresource Technology","DOI":"10.1016/j.biortech.2022.126853","ISSN":"0960-8524","journalAbbreviation":"Bioresour. Technol.","language":"en","page":"126853","source":"ScienceDirect","title":"Towards new carbon–neutral food systems: Combining carbon capture and utilization with microbial protein production","title-short":"Towards new carbon–neutral food systems","volume":"349","author":[{"family":"Van Peteghem","given":"L."},{"family":"Sakarika","given":"M."},{"family":"Matassa","given":"S."},{"family":"Pikaar","given":"I."},{"family":"Ganigué","given":"R."},{"family":"Rabaey","given":"K."}],"issued":{"date-parts":[["2022",4,1]]}}}],"schema":"https://github.com/citation-style-language/schema/raw/master/csl-citation.json"} </w:instrText>
      </w:r>
      <w:r w:rsidR="002A6FDB" w:rsidRPr="003F5DA8">
        <w:fldChar w:fldCharType="separate"/>
      </w:r>
      <w:r w:rsidR="008C451C" w:rsidRPr="008C451C">
        <w:rPr>
          <w:rFonts w:ascii="Calibri" w:hAnsi="Calibri" w:cs="Calibri"/>
          <w:szCs w:val="24"/>
          <w:vertAlign w:val="superscript"/>
        </w:rPr>
        <w:t>41</w:t>
      </w:r>
      <w:r w:rsidR="002A6FDB" w:rsidRPr="003F5DA8">
        <w:fldChar w:fldCharType="end"/>
      </w:r>
      <w:r w:rsidR="002A6FDB" w:rsidRPr="003F5DA8">
        <w:t>. RNA/DNA represents ca. 7-11%</w:t>
      </w:r>
      <w:r w:rsidR="002A6FDB" w:rsidRPr="003F5DA8">
        <w:rPr>
          <w:vertAlign w:val="subscript"/>
        </w:rPr>
        <w:t>DM</w:t>
      </w:r>
      <w:r w:rsidR="002A6FDB" w:rsidRPr="003F5DA8">
        <w:t xml:space="preserve"> of bacterial biomass, and is mostly responsible of the “human intolerance of bacteria as food”</w:t>
      </w:r>
      <w:r w:rsidR="002A6FDB" w:rsidRPr="003F5DA8">
        <w:fldChar w:fldCharType="begin"/>
      </w:r>
      <w:r w:rsidR="005413B4">
        <w:instrText xml:space="preserve"> ADDIN ZOTERO_ITEM CSL_CITATION {"citationID":"HAtxCznr","properties":{"formattedCitation":"\\super 258\\nosupersub{}","plainCitation":"258","noteIndex":0},"citationItems":[{"id":584,"uris":["http://zotero.org/users/6423791/items/FATQUEUQ"],"itemData":{"id":584,"type":"article-journal","abstract":"DEMANDS for new means to solve man's nutritional needs when the pressure of population intensifies or when he attempts to travel in space have suggested the use of single cell organisms as food. Hydrogenomonas eutropha, a hydrogen-fixing bacterium, could effectively control the atmosphere of a space cabin as well as providing nourishment1. The protein is of high biological value2 and is well tolerated even in high concentrations in rat diets3. Human feeding trials seemed warranted and were attempted.","container-title":"Nature","DOI":"10.1038/221084a0","ISSN":"1476-4687","issue":"5175","journalAbbreviation":"Nature","language":"en","license":"1969 Nature Publishing Group","note":"number: 5175\npublisher: Nature Publishing Group","page":"84-85","source":"www-nature-com.gorgone.univ-toulouse.fr","title":"Human Intolerance to Bacteria as Food","volume":"221","author":[{"family":"Waslien","given":"Carol I."},{"family":"Calloway","given":"Doris Howes"},{"family":"Margen","given":"Sheldon"}],"issued":{"date-parts":[["1969",1]]}}}],"schema":"https://github.com/citation-style-language/schema/raw/master/csl-citation.json"} </w:instrText>
      </w:r>
      <w:r w:rsidR="002A6FDB" w:rsidRPr="003F5DA8">
        <w:fldChar w:fldCharType="separate"/>
      </w:r>
      <w:r w:rsidR="005413B4" w:rsidRPr="005413B4">
        <w:rPr>
          <w:rFonts w:ascii="Calibri" w:hAnsi="Calibri" w:cs="Calibri"/>
          <w:szCs w:val="24"/>
          <w:vertAlign w:val="superscript"/>
        </w:rPr>
        <w:t>258</w:t>
      </w:r>
      <w:r w:rsidR="002A6FDB" w:rsidRPr="003F5DA8">
        <w:fldChar w:fldCharType="end"/>
      </w:r>
      <w:r w:rsidR="002A6FDB" w:rsidRPr="003F5DA8">
        <w:t>. Albeit often reported as unnecessary to supply compound feed markets (as farmed animals host the uricase enzyme</w:t>
      </w:r>
      <w:r w:rsidR="002A6FDB" w:rsidRPr="003F5DA8">
        <w:fldChar w:fldCharType="begin"/>
      </w:r>
      <w:r w:rsidR="005413B4">
        <w:instrText xml:space="preserve"> ADDIN ZOTERO_ITEM CSL_CITATION {"citationID":"WHrLfPet","properties":{"formattedCitation":"\\super 175\\nosupersub{}","plainCitation":"175","noteIndex":0},"citationItems":[{"id":11540,"uris":["http://zotero.org/users/6423791/items/L9NYDA2K"],"itemData":{"id":11540,"type":"article-journal","abstract":"Population growth and changes in dietary patterns place an ever-growing pressure on the environment. Feeding the world within sustainable boundaries therefore requires revolutionizing the way we harness natural resources. Microbial biomass can be cultivated to yield protein-rich feed and food supplements, collectively termed single-cell protein (SCP). Yet, we still lack a quantitative comparison between traditional agriculture and photovoltaic-driven SCP systems in terms of land use and energetic efficiency. Here, we analyze the energetic efficiency of harnessing solar energy to produce SCP from air and water. Our model includes photovoltaic electricity generation, direct air capture of carbon dioxide, electrosynthesis of an electron donor and/or carbon source for microbial growth (hydrogen, formate, or methanol), microbial cultivation, and the processing of biomass and proteins. We show that, per unit of land, SCP production can reach an over 10-fold higher protein yield and at least twice the caloric yield compared with any staple crop. Altogether, this quantitative analysis offers an assessment of the future potential of photovoltaic-driven microbial foods to supplement conventional agricultural production and support resource-efficient protein supply on a global scale.","container-title":"Proceedings of the National Academy of Sciences","DOI":"10.1073/pnas.2015025118","ISSN":"0027-8424, 1091-6490","issue":"26","journalAbbreviation":"Proc Natl Acad Sci USA","language":"en","page":"e2015025118","source":"DOI.org (Crossref)","title":"Photovoltaic-driven microbial protein production can use land and sunlight more efficiently than conventional crops","volume":"118","author":[{"family":"Leger","given":"Dorian"},{"family":"Matassa","given":"Silvio"},{"family":"Noor","given":"Elad"},{"family":"Shepon","given":"Alon"},{"family":"Milo","given":"Ron"},{"family":"Bar-Even","given":"Arren"}],"issued":{"date-parts":[["2021",6,29]]}}}],"schema":"https://github.com/citation-style-language/schema/raw/master/csl-citation.json"} </w:instrText>
      </w:r>
      <w:r w:rsidR="002A6FDB" w:rsidRPr="003F5DA8">
        <w:fldChar w:fldCharType="separate"/>
      </w:r>
      <w:r w:rsidR="005413B4" w:rsidRPr="005413B4">
        <w:rPr>
          <w:rFonts w:ascii="Calibri" w:hAnsi="Calibri" w:cs="Calibri"/>
          <w:szCs w:val="24"/>
          <w:vertAlign w:val="superscript"/>
        </w:rPr>
        <w:t>175</w:t>
      </w:r>
      <w:r w:rsidR="002A6FDB" w:rsidRPr="003F5DA8">
        <w:fldChar w:fldCharType="end"/>
      </w:r>
      <w:r w:rsidR="002A6FDB" w:rsidRPr="003F5DA8">
        <w:t>), unprocessed bacterial meals are rather targeting animals with short life-spans</w:t>
      </w:r>
      <w:r w:rsidR="002A6FDB" w:rsidRPr="003F5DA8">
        <w:fldChar w:fldCharType="begin"/>
      </w:r>
      <w:r w:rsidR="005413B4">
        <w:instrText xml:space="preserve"> ADDIN ZOTERO_ITEM CSL_CITATION {"citationID":"NZi5aB4J","properties":{"formattedCitation":"\\super 236\\nosupersub{}","plainCitation":"236","noteIndex":0},"citationItems":[{"id":560,"uris":["http://zotero.org/users/6423791/items/7A7PJGNW"],"itemData":{"id":560,"type":"article-journal","abstract":"Meeting global food needs in the face of climate change and resource limitation requires innovative approaches to food production. Here, we explore incorporation of new dark food chains into human food systems, drawing inspiration from natural ecosystems, the history of single cell protein, and opportunities for new food production through wastewater treatment, microbial protein production, and aquaculture. The envisioned dark food chains rely upon chemoautotrophy in lieu of photosynthesis, with primary production based upon assimilation of CH4 and CO2 by methane- and hydrogenoxidizing bacteria. The stoichiometry, kinetics, and thermodynamics of these bacteria are evaluated, and opportunities for recycling of carbon, nitrogen, and water are explored. Because these processes do not require light delivery, high volumetric productivities are possible; because they are exothermic, heat is available for downstream protein processing; because the feedstock gases are cheap, existing pipeline infrastructure could facilitate low-cost energy-eﬃcient delivery in urban environments. Potential life-cycle beneﬁts include: a protein alternative to ﬁshmeal; partial decoupling of animal feed from human food; climate change mitigation due to decreased land use for agriculture; eﬃcient local cycling of carbon and nutrients that oﬀsets the need for energy-intensive fertilizers; and production of high value products, such as the prebiotic polyhydroxybutyrate.","container-title":"Environmental Science &amp; Technology","DOI":"10.1021/acs.est.8b04038","ISSN":"0013-936X, 1520-5851","issue":"5","journalAbbreviation":"Environ. Sci. Technol.","language":"English","page":"2273-2287","source":"DOI.org (Crossref)","title":"Engineering the Dark Food Chain","volume":"53","author":[{"family":"El Abbadi","given":"Sahar H."},{"family":"Criddle","given":"Craig S."}],"issued":{"date-parts":[["2019",3,5]]}}}],"schema":"https://github.com/citation-style-language/schema/raw/master/csl-citation.json"} </w:instrText>
      </w:r>
      <w:r w:rsidR="002A6FDB" w:rsidRPr="003F5DA8">
        <w:fldChar w:fldCharType="separate"/>
      </w:r>
      <w:r w:rsidR="005413B4" w:rsidRPr="005413B4">
        <w:rPr>
          <w:rFonts w:ascii="Calibri" w:hAnsi="Calibri" w:cs="Calibri"/>
          <w:szCs w:val="24"/>
          <w:vertAlign w:val="superscript"/>
        </w:rPr>
        <w:t>236</w:t>
      </w:r>
      <w:r w:rsidR="002A6FDB" w:rsidRPr="003F5DA8">
        <w:fldChar w:fldCharType="end"/>
      </w:r>
      <w:r w:rsidR="002A6FDB" w:rsidRPr="003F5DA8">
        <w:t>. Here, RNA removal was modeled as an option, but not considered for MP pathways are these</w:t>
      </w:r>
      <w:r>
        <w:t xml:space="preserve"> only</w:t>
      </w:r>
      <w:r w:rsidR="002A6FDB" w:rsidRPr="003F5DA8">
        <w:t xml:space="preserve"> target feed uses. Corresponding modeling is </w:t>
      </w:r>
      <w:r w:rsidR="002A6FDB" w:rsidRPr="008A775E">
        <w:t xml:space="preserve">detailed in </w:t>
      </w:r>
      <w:r>
        <w:rPr>
          <w:b/>
        </w:rPr>
        <w:t>section</w:t>
      </w:r>
      <w:r w:rsidR="000C6C37">
        <w:rPr>
          <w:b/>
        </w:rPr>
        <w:t xml:space="preserve"> SI.</w:t>
      </w:r>
      <w:r>
        <w:rPr>
          <w:b/>
        </w:rPr>
        <w:t xml:space="preserve"> </w:t>
      </w:r>
      <w:r>
        <w:rPr>
          <w:b/>
        </w:rPr>
        <w:fldChar w:fldCharType="begin"/>
      </w:r>
      <w:r>
        <w:rPr>
          <w:b/>
        </w:rPr>
        <w:instrText xml:space="preserve"> REF _Ref144828611 \r \h </w:instrText>
      </w:r>
      <w:r>
        <w:rPr>
          <w:b/>
        </w:rPr>
      </w:r>
      <w:r>
        <w:rPr>
          <w:b/>
        </w:rPr>
        <w:fldChar w:fldCharType="separate"/>
      </w:r>
      <w:r w:rsidR="00F25F8C">
        <w:rPr>
          <w:b/>
        </w:rPr>
        <w:t>4.5.5</w:t>
      </w:r>
      <w:r>
        <w:rPr>
          <w:b/>
        </w:rPr>
        <w:fldChar w:fldCharType="end"/>
      </w:r>
      <w:r w:rsidR="002A6FDB" w:rsidRPr="008A775E">
        <w:t>.</w:t>
      </w:r>
    </w:p>
    <w:p w14:paraId="5681F17C" w14:textId="16E9A834" w:rsidR="004A3FE2" w:rsidRDefault="00E12655" w:rsidP="002A6FDB">
      <w:pPr>
        <w:jc w:val="both"/>
      </w:pPr>
      <w:r w:rsidRPr="00E12655">
        <w:t>The other post-treatment unit operations were based on the sequence implemented by Unibio (as reported by García Martínez et al., 2021, 2020</w:t>
      </w:r>
      <w:bookmarkStart w:id="319" w:name="_Hlk141452128"/>
      <w:r w:rsidRPr="00E12655">
        <w:fldChar w:fldCharType="begin"/>
      </w:r>
      <w:r w:rsidR="005413B4">
        <w:instrText xml:space="preserve"> ADDIN ZOTERO_ITEM CSL_CITATION {"citationID":"RzFYW80j","properties":{"formattedCitation":"\\super 197,198\\nosupersub{}","plainCitation":"197,198","noteIndex":0},"citationItems":[{"id":2363,"uris":["http://zotero.org/users/6423791/items/RHD6WXUH"],"itemData":{"id":2363,"type":"article-journal","abstract":"Human civilization's food production system is currently unprepared for catastrophes that would reduce global food production by 10% or more, such as nuclear winter, supervolcanic eruptions or asteroid impacts. Alternative foods that do not require much or any sunlight have been proposed as a more cost-effective solution than increasing food stockpiles, given the long duration of many global catastrophic risks (GCRs) that could hamper conventional agriculture for 5 to 10 years. Microbial food from single cell protein (SCP) produced via hydrogen from both gasification and electrolysis is analyzed in this study as alternative food for the most severe food shock scenario: a sun-blocking catastrophe. Capital costs, resource requirements and ramp up rates are quantified to determine its viability. Potential bottlenecks to fast deployment of the technology are reviewed. The ramp up speed of food production for 24/7 construction of the facilities over 6 years is estimated to be lower than other alternatives (3-10% of the global protein requirements could be fulfilled at end of first year), but the nutritional quality of the microbial protein is higher than for most other alternative foods for catastrophes. Results suggest that investment in SCP ramp up should be limited to the production capacity that is needed to fulfill only the minimum recommended protein requirements of humanity during the catastrophe. Further research is needed into more uncertain concerns such as transferability of labor and equipment production. This could help reduce the negative impact of potential food-related GCRs.","container-title":"Sustainable Production and Consumption","DOI":"10.1016/j.spc.2020.08.011","ISSN":"2352-5509","journalAbbreviation":"Sustain. Prod. Consum.","language":"en","page":"234-247","source":"ScienceDirect","title":"Potential of microbial protein from hydrogen for preventing mass starvation in catastrophic scenarios","volume":"25","author":[{"family":"García Martínez","given":"Juan B."},{"family":"Egbejimba","given":"Joseph"},{"family":"Throup","given":"James"},{"family":"Matassa","given":"Silvio"},{"family":"Pearce","given":"Joshua M."},{"family":"Denkenberger","given":"David C."}],"issued":{"date-parts":[["2021",1,1]]}}},{"id":13590,"uris":["http://zotero.org/users/6423791/items/UYTMXFFD"],"itemData":{"id":13590,"type":"article-journal","abstract":"Global catastrophes such as a supervolcanic eruption, asteroid impact, or nuclear winter could cause global agricultural collapse due to reduced sunlight reaching the Earth’s surface. The human civilization’s food production system is unprepared to respond to such events, but methane single cell protein (SCP) could be a key part of the solution. Current preparedness centers around food stockpiling, an excessively expensive solution given that an abrupt sunlight reduction scenario (ASRS) could hamper conventional agriculture for 5–10 years. Instead, it is more cost-effective to consider resilient food production techniques requiring little to no sunlight. This study analyses the potential of SCP produced from methane (natural gas and biogas) as a resilient food source for global catastrophic food shocks from ASRS. The following are quantified: global production potential of methane SCP, capital costs, material and energy requirements, ramp-up rates, and retail prices. In addition, potential bottlenecks for fast deployment are considered. While providing a more valuable, protein-rich product than its alternatives, the production capacity could be slower to ramp up. Based on 24/7 construction of facilities, 7%–11% of the global protein requirements could be fulfilled at the end of the first year. Despite significant remaining uncertainties, methane SCP shows significant potential to prevent global protein starvation during an ASRS at an affordable price—US$3–5/kg dry.","container-title":"Frontiers in Bioengineering and Biotechnology","ISSN":"2296-4185","journalAbbreviation":"Front. Bioeng. Biotechnol.","source":"Frontiers","title":"Methane Single Cell Protein: Potential to Secure a Global Protein Supply Against Catastrophic Food Shocks","title-short":"Methane Single Cell Protein","URL":"https://www.frontiersin.org/articles/10.3389/fbioe.2022.906704","volume":"10","author":[{"family":"García Martínez","given":"Juan B."},{"family":"Pearce","given":"Joshua M."},{"family":"Throup","given":"James"},{"family":"Cates","given":"Jacob"},{"family":"Lackner","given":"Maximilian"},{"family":"Denkenberger","given":"David C."}],"accessed":{"date-parts":[["2022",7,27]]},"issued":{"date-parts":[["2022"]]}}}],"schema":"https://github.com/citation-style-language/schema/raw/master/csl-citation.json"} </w:instrText>
      </w:r>
      <w:r w:rsidRPr="00E12655">
        <w:fldChar w:fldCharType="separate"/>
      </w:r>
      <w:r w:rsidR="005413B4" w:rsidRPr="005413B4">
        <w:rPr>
          <w:rFonts w:ascii="Calibri" w:hAnsi="Calibri" w:cs="Calibri"/>
          <w:szCs w:val="24"/>
          <w:vertAlign w:val="superscript"/>
        </w:rPr>
        <w:t>197,198</w:t>
      </w:r>
      <w:r w:rsidRPr="00E12655">
        <w:fldChar w:fldCharType="end"/>
      </w:r>
      <w:bookmarkEnd w:id="319"/>
      <w:r w:rsidRPr="00E12655">
        <w:t xml:space="preserve">), for being the current higher TRL example of HOB/MOB production. </w:t>
      </w:r>
      <w:bookmarkStart w:id="320" w:name="_Hlk141452186"/>
      <w:r w:rsidRPr="00E12655">
        <w:t xml:space="preserve">First, a hollow-fiber ultrafiltration (UF) system was selected to concentrate broth with reduced energy requirements </w:t>
      </w:r>
      <w:bookmarkEnd w:id="320"/>
      <w:r w:rsidRPr="00E12655">
        <w:t>(</w:t>
      </w:r>
      <w:r w:rsidRPr="00E12655">
        <w:rPr>
          <w:b/>
        </w:rPr>
        <w:fldChar w:fldCharType="begin"/>
      </w:r>
      <w:r w:rsidRPr="00E12655">
        <w:rPr>
          <w:b/>
        </w:rPr>
        <w:instrText xml:space="preserve"> REF _Ref144830209 \h </w:instrText>
      </w:r>
      <w:r>
        <w:rPr>
          <w:b/>
        </w:rPr>
        <w:instrText xml:space="preserve"> \* MERGEFORMAT </w:instrText>
      </w:r>
      <w:r w:rsidRPr="00E12655">
        <w:rPr>
          <w:b/>
        </w:rPr>
      </w:r>
      <w:r w:rsidRPr="00E12655">
        <w:rPr>
          <w:b/>
        </w:rPr>
        <w:fldChar w:fldCharType="separate"/>
      </w:r>
      <w:r w:rsidR="00F25F8C" w:rsidRPr="00F25F8C">
        <w:rPr>
          <w:b/>
        </w:rPr>
        <w:t xml:space="preserve">Table SI. </w:t>
      </w:r>
      <w:r w:rsidR="00F25F8C" w:rsidRPr="00F25F8C">
        <w:rPr>
          <w:b/>
          <w:noProof/>
        </w:rPr>
        <w:t>75</w:t>
      </w:r>
      <w:r w:rsidRPr="00E12655">
        <w:rPr>
          <w:b/>
        </w:rPr>
        <w:fldChar w:fldCharType="end"/>
      </w:r>
      <w:r w:rsidRPr="00E12655">
        <w:t xml:space="preserve">). </w:t>
      </w:r>
      <w:bookmarkStart w:id="321" w:name="_Hlk141452193"/>
      <w:r w:rsidRPr="00E12655">
        <w:t xml:space="preserve">Separated water was directly mixed with centrifuge outlet. </w:t>
      </w:r>
      <w:bookmarkStart w:id="322" w:name="_Hlk141452202"/>
      <w:bookmarkEnd w:id="321"/>
      <w:r w:rsidRPr="00E12655">
        <w:t>Then, high-temperature pasteurization is performed (105°C),</w:t>
      </w:r>
      <w:bookmarkEnd w:id="322"/>
      <w:r>
        <w:t xml:space="preserve"> </w:t>
      </w:r>
      <w:r w:rsidR="002A6FDB" w:rsidRPr="008306C9">
        <w:t>complemented</w:t>
      </w:r>
      <w:r w:rsidR="002A6FDB" w:rsidRPr="003F5DA8">
        <w:t xml:space="preserve"> by the RNA heat-shock treatment if the option is selected. To simplify modeling, heat shocks were assumed performed at the same temperature than pasteurization, considering no additional energy expenses but only an induced biomass loss (23%, ranging 15-30%</w:t>
      </w:r>
      <w:r w:rsidR="002A6FDB" w:rsidRPr="003F5DA8">
        <w:fldChar w:fldCharType="begin"/>
      </w:r>
      <w:r w:rsidR="00827449">
        <w:instrText xml:space="preserve"> ADDIN ZOTERO_ITEM CSL_CITATION {"citationID":"DbUktS73","properties":{"formattedCitation":"\\super 41\\nosupersub{}","plainCitation":"41","noteIndex":0},"citationItems":[{"id":13068,"uris":["http://zotero.org/users/6423791/items/RK8J2DQC"],"itemData":{"id":13068,"type":"article-journal","abstract":"Alternative protein sources such as microbial protein (MP) are currently considered to alleviate the burden that food production exerts on the environment. Even though MP production is highly efficient in land and nutrient utilization, their carbon footprint should be improved. Here we propose the use of CCU as a driver for heterotrophic MP production. By comparing different MP production routes starting from liquid substrates derived from CO2 (i.e., formate, acetate, methanol, and ethanol) and their respective metabolic pathways, the potential of this concept as a carbon–neutral food or feed production process was estimated. Acetate and ethanol appear to be the most beneficial substrates for the integrated CCU-to-MP process in terms of electricity demand (acetate: 25 – 54 kWh/kgproduct, ethanol: 28 – 56 kWh/kgproduct). Moreover, recycling CO2 enables a carbon-negative protein production process by 2030 (considering the projected CO2 emissions from electricity in the EU: 0.096 kgCO2-eq/kWh) for formate, acetate, and ethanol (-1.1 up to 13 kgCO2-eq/kgproduct).","container-title":"Bioresource Technology","DOI":"10.1016/j.biortech.2022.126853","ISSN":"0960-8524","journalAbbreviation":"Bioresour. Technol.","language":"en","page":"126853","source":"ScienceDirect","title":"Towards new carbon–neutral food systems: Combining carbon capture and utilization with microbial protein production","title-short":"Towards new carbon–neutral food systems","volume":"349","author":[{"family":"Van Peteghem","given":"L."},{"family":"Sakarika","given":"M."},{"family":"Matassa","given":"S."},{"family":"Pikaar","given":"I."},{"family":"Ganigué","given":"R."},{"family":"Rabaey","given":"K."}],"issued":{"date-parts":[["2022",4,1]]}}}],"schema":"https://github.com/citation-style-language/schema/raw/master/csl-citation.json"} </w:instrText>
      </w:r>
      <w:r w:rsidR="002A6FDB" w:rsidRPr="003F5DA8">
        <w:fldChar w:fldCharType="separate"/>
      </w:r>
      <w:r w:rsidR="008C451C" w:rsidRPr="008C451C">
        <w:rPr>
          <w:rFonts w:ascii="Calibri" w:hAnsi="Calibri" w:cs="Calibri"/>
          <w:szCs w:val="24"/>
          <w:vertAlign w:val="superscript"/>
        </w:rPr>
        <w:t>41</w:t>
      </w:r>
      <w:r w:rsidR="002A6FDB" w:rsidRPr="003F5DA8">
        <w:fldChar w:fldCharType="end"/>
      </w:r>
      <w:r w:rsidR="002A6FDB" w:rsidRPr="003F5DA8">
        <w:t>). Pasteurized or heat-treated broth was further centrifuged (</w:t>
      </w:r>
      <w:r w:rsidRPr="00E12655">
        <w:rPr>
          <w:b/>
        </w:rPr>
        <w:fldChar w:fldCharType="begin"/>
      </w:r>
      <w:r w:rsidRPr="00E12655">
        <w:rPr>
          <w:b/>
        </w:rPr>
        <w:instrText xml:space="preserve"> REF _Ref144830209 \h </w:instrText>
      </w:r>
      <w:r>
        <w:rPr>
          <w:b/>
        </w:rPr>
        <w:instrText xml:space="preserve"> \* MERGEFORMAT </w:instrText>
      </w:r>
      <w:r w:rsidRPr="00E12655">
        <w:rPr>
          <w:b/>
        </w:rPr>
      </w:r>
      <w:r w:rsidRPr="00E12655">
        <w:rPr>
          <w:b/>
        </w:rPr>
        <w:fldChar w:fldCharType="separate"/>
      </w:r>
      <w:r w:rsidR="00F25F8C" w:rsidRPr="00F25F8C">
        <w:rPr>
          <w:b/>
        </w:rPr>
        <w:t xml:space="preserve">Table SI. </w:t>
      </w:r>
      <w:r w:rsidR="00F25F8C" w:rsidRPr="00F25F8C">
        <w:rPr>
          <w:b/>
          <w:noProof/>
        </w:rPr>
        <w:t>75</w:t>
      </w:r>
      <w:r w:rsidRPr="00E12655">
        <w:rPr>
          <w:b/>
        </w:rPr>
        <w:fldChar w:fldCharType="end"/>
      </w:r>
      <w:r w:rsidR="002A6FDB" w:rsidRPr="003F5DA8">
        <w:t xml:space="preserve">). </w:t>
      </w:r>
      <w:bookmarkStart w:id="323" w:name="_Hlk141452229"/>
      <w:r w:rsidR="002A6FDB" w:rsidRPr="00E12655">
        <w:t>Abiotic conditions (&gt;90°C</w:t>
      </w:r>
      <w:r w:rsidR="002A6FDB" w:rsidRPr="00E12655">
        <w:fldChar w:fldCharType="begin"/>
      </w:r>
      <w:r w:rsidR="005413B4">
        <w:instrText xml:space="preserve"> ADDIN ZOTERO_ITEM CSL_CITATION {"citationID":"wZjM4pkQ","properties":{"formattedCitation":"\\super 131\\nosupersub{}","plainCitation":"131","noteIndex":0},"citationItems":[{"id":11801,"uris":["http://zotero.org/users/6423791/items/AE6CHBJC"],"itemData":{"id":11801,"type":"article-journal","container-title":"Green Chemistry","DOI":"10.1039/D1GC01021B","issue":"14","journalAbbreviation":"Green Chem.","language":"en","note":"publisher: Royal Society of Chemistry","page":"5150-5165","source":"pubs.rsc.org","title":"Protein from renewable resources: mycoprotein production from agricultural residues","title-short":"Protein from renewable resources","volume":"23","author":[{"family":"Upcraft","given":"Thomas"},{"family":"Tu","given":"Wei-Chien"},{"family":"Johnson","given":"Rob"},{"family":"Finnigan","given":"Tim"},{"family":"Hung","given":"Nguyen Van"},{"family":"Hallett","given":"Jason"},{"family":"Guo","given":"Miao"}],"issued":{"date-parts":[["2021"]]}}}],"schema":"https://github.com/citation-style-language/schema/raw/master/csl-citation.json"} </w:instrText>
      </w:r>
      <w:r w:rsidR="002A6FDB" w:rsidRPr="00E12655">
        <w:fldChar w:fldCharType="separate"/>
      </w:r>
      <w:r w:rsidR="005413B4" w:rsidRPr="005413B4">
        <w:rPr>
          <w:rFonts w:ascii="Calibri" w:hAnsi="Calibri" w:cs="Calibri"/>
          <w:szCs w:val="24"/>
          <w:vertAlign w:val="superscript"/>
        </w:rPr>
        <w:t>131</w:t>
      </w:r>
      <w:r w:rsidR="002A6FDB" w:rsidRPr="00E12655">
        <w:fldChar w:fldCharType="end"/>
      </w:r>
      <w:r w:rsidR="002A6FDB" w:rsidRPr="00E12655">
        <w:t xml:space="preserve">) </w:t>
      </w:r>
      <w:bookmarkEnd w:id="323"/>
      <w:r w:rsidR="002A6FDB" w:rsidRPr="00E12655">
        <w:t>were maintained until the last drying operation, which also allowed to limit spray drying energy expenses. Evaporated</w:t>
      </w:r>
      <w:r w:rsidR="002A6FDB" w:rsidRPr="003F5DA8">
        <w:t xml:space="preserve"> water at the spray-drying stage was assumed lost, with no heat recovered. Yet, embedded 120-160°C </w:t>
      </w:r>
      <w:r w:rsidR="002A6FDB">
        <w:t>sensible</w:t>
      </w:r>
      <w:r w:rsidR="002A6FDB" w:rsidRPr="003F5DA8">
        <w:t xml:space="preserve"> heat could be used to preheat air inlet</w:t>
      </w:r>
      <w:r w:rsidR="002A6FDB" w:rsidRPr="003F5DA8">
        <w:fldChar w:fldCharType="begin"/>
      </w:r>
      <w:r w:rsidR="008C451C">
        <w:instrText xml:space="preserve"> ADDIN ZOTERO_ITEM CSL_CITATION {"citationID":"iqeIN4Yd","properties":{"formattedCitation":"\\super 44\\nosupersub{}","plainCitation":"44","noteIndex":0},"citationItems":[{"id":13187,"uris":["http://zotero.org/users/6423791/items/NZQENLJT"],"itemData":{"id":13187,"type":"article-journal","abstract":"Energy efficiency in the process industry is becoming an increasingly important issue due to the rising costs of both electricity and fossil fuel resources, as well as the tough targets for the reduction in greenhouse gas emissions outlined in the Climate Change Act 2008. Utilisation of waste heat sources is key to improving industrial energy efficiency, with an estimated 11.4 TWh of recoverable heat being wasted each year, a quarter of which is from the food and drinks processing sector. This paper examines the low-grade waste heat sources common to the food and drinks processing sector and the various opportunities for the use of this heat. A review of the best available technologies for recovery of waste heat is provided, ranging from heat transfer between source and sink, to novel technologies for the generation of electricity and refrigeration. Generally, the most economic option for waste heat recovery is heat exchange between nearby/same process source and sink, with a number of well-developed heat exchangers widely available for purchase. More novel options, such as the use of organic Rankine cycles for electricity generation prove to be less economical due to high capital outlays. However, with additional funding provision for demonstration of such projects and development of modular units, such technologies would become more common.","collection-title":"Includes Special Issue: PRO-TEM Special Issue","container-title":"Applied Thermal Engineering","DOI":"10.1016/j.applthermaleng.2012.03.024","ISSN":"1359-4311","issue":"2","journalAbbreviation":"Applied Thermal Engineering","language":"en","page":"188-196","source":"ScienceDirect","title":"Opportunities for low-grade heat recovery in the UK food processing industry","volume":"53","author":[{"family":"Law","given":"Richard"},{"family":"Harvey","given":"Adam"},{"family":"Reay","given":"David"}],"issued":{"date-parts":[["2013",5,2]]}}}],"schema":"https://github.com/citation-style-language/schema/raw/master/csl-citation.json"} </w:instrText>
      </w:r>
      <w:r w:rsidR="002A6FDB" w:rsidRPr="003F5DA8">
        <w:fldChar w:fldCharType="separate"/>
      </w:r>
      <w:r w:rsidR="008C451C" w:rsidRPr="008C451C">
        <w:rPr>
          <w:rFonts w:ascii="Calibri" w:hAnsi="Calibri" w:cs="Calibri"/>
          <w:szCs w:val="24"/>
          <w:vertAlign w:val="superscript"/>
        </w:rPr>
        <w:t>44</w:t>
      </w:r>
      <w:r w:rsidR="002A6FDB" w:rsidRPr="003F5DA8">
        <w:fldChar w:fldCharType="end"/>
      </w:r>
      <w:r w:rsidR="002A6FDB" w:rsidRPr="003F5DA8">
        <w:t>, but this heat synergy was considered indirectly included within the spray-drying energy requirement parameter (</w:t>
      </w:r>
      <w:r w:rsidRPr="00E12655">
        <w:rPr>
          <w:b/>
        </w:rPr>
        <w:fldChar w:fldCharType="begin"/>
      </w:r>
      <w:r w:rsidRPr="00E12655">
        <w:rPr>
          <w:b/>
        </w:rPr>
        <w:instrText xml:space="preserve"> REF _Ref144830209 \h </w:instrText>
      </w:r>
      <w:r>
        <w:rPr>
          <w:b/>
        </w:rPr>
        <w:instrText xml:space="preserve"> \* MERGEFORMAT </w:instrText>
      </w:r>
      <w:r w:rsidRPr="00E12655">
        <w:rPr>
          <w:b/>
        </w:rPr>
      </w:r>
      <w:r w:rsidRPr="00E12655">
        <w:rPr>
          <w:b/>
        </w:rPr>
        <w:fldChar w:fldCharType="separate"/>
      </w:r>
      <w:r w:rsidR="00F25F8C" w:rsidRPr="00F25F8C">
        <w:rPr>
          <w:b/>
        </w:rPr>
        <w:t xml:space="preserve">Table SI. </w:t>
      </w:r>
      <w:r w:rsidR="00F25F8C" w:rsidRPr="00F25F8C">
        <w:rPr>
          <w:b/>
          <w:noProof/>
        </w:rPr>
        <w:t>75</w:t>
      </w:r>
      <w:r w:rsidRPr="00E12655">
        <w:rPr>
          <w:b/>
        </w:rPr>
        <w:fldChar w:fldCharType="end"/>
      </w:r>
      <w:r w:rsidR="002A6FDB" w:rsidRPr="003F5DA8">
        <w:t>).</w:t>
      </w:r>
    </w:p>
    <w:p w14:paraId="1CE68C83" w14:textId="77777777" w:rsidR="004A3FE2" w:rsidRDefault="004A3FE2">
      <w:r>
        <w:br w:type="page"/>
      </w:r>
    </w:p>
    <w:p w14:paraId="521A11EA" w14:textId="24902FF1" w:rsidR="002A6FDB" w:rsidRPr="008A775E" w:rsidRDefault="00874128" w:rsidP="00942782">
      <w:pPr>
        <w:pStyle w:val="Lgende"/>
        <w:jc w:val="left"/>
        <w:rPr>
          <w:b w:val="0"/>
          <w:i/>
        </w:rPr>
      </w:pPr>
      <w:bookmarkStart w:id="324" w:name="_Ref144830209"/>
      <w:bookmarkStart w:id="325" w:name="_Toc134537641"/>
      <w:bookmarkStart w:id="326" w:name="_Toc151967959"/>
      <w:r>
        <w:lastRenderedPageBreak/>
        <w:t>Table SI.</w:t>
      </w:r>
      <w:r w:rsidR="002A6FDB">
        <w:t xml:space="preserve"> </w:t>
      </w:r>
      <w:r>
        <w:fldChar w:fldCharType="begin"/>
      </w:r>
      <w:r>
        <w:instrText xml:space="preserve"> SEQ Table_SI. \* ARABIC </w:instrText>
      </w:r>
      <w:r>
        <w:fldChar w:fldCharType="separate"/>
      </w:r>
      <w:r w:rsidR="00F25F8C">
        <w:rPr>
          <w:noProof/>
        </w:rPr>
        <w:t>75</w:t>
      </w:r>
      <w:r>
        <w:fldChar w:fldCharType="end"/>
      </w:r>
      <w:bookmarkEnd w:id="324"/>
      <w:r w:rsidR="002A6FDB">
        <w:t xml:space="preserve"> </w:t>
      </w:r>
      <w:r w:rsidR="002A6FDB" w:rsidRPr="00415E4C">
        <w:t>– MP post-treatments modeling parameters</w:t>
      </w:r>
      <w:bookmarkEnd w:id="325"/>
      <w:bookmarkEnd w:id="326"/>
    </w:p>
    <w:tbl>
      <w:tblPr>
        <w:tblStyle w:val="Tableausimple2"/>
        <w:tblW w:w="0" w:type="auto"/>
        <w:tblLook w:val="04A0" w:firstRow="1" w:lastRow="0" w:firstColumn="1" w:lastColumn="0" w:noHBand="0" w:noVBand="1"/>
      </w:tblPr>
      <w:tblGrid>
        <w:gridCol w:w="851"/>
        <w:gridCol w:w="926"/>
        <w:gridCol w:w="1254"/>
        <w:gridCol w:w="2768"/>
        <w:gridCol w:w="3273"/>
      </w:tblGrid>
      <w:tr w:rsidR="002A6FDB" w:rsidRPr="006F3D27" w14:paraId="71257064" w14:textId="77777777" w:rsidTr="006F3D2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2"/>
          </w:tcPr>
          <w:p w14:paraId="4D2E1F1D" w14:textId="77777777" w:rsidR="002A6FDB" w:rsidRPr="006F3D27" w:rsidRDefault="002A6FDB" w:rsidP="00BB41E9">
            <w:pPr>
              <w:rPr>
                <w:sz w:val="18"/>
                <w:szCs w:val="18"/>
              </w:rPr>
            </w:pPr>
            <w:r w:rsidRPr="006F3D27">
              <w:rPr>
                <w:sz w:val="18"/>
                <w:szCs w:val="18"/>
              </w:rPr>
              <w:t>Parameter</w:t>
            </w:r>
          </w:p>
        </w:tc>
        <w:tc>
          <w:tcPr>
            <w:tcW w:w="0" w:type="auto"/>
          </w:tcPr>
          <w:p w14:paraId="7D6C84F5" w14:textId="77777777" w:rsidR="002A6FDB" w:rsidRPr="006F3D27" w:rsidRDefault="002A6FDB" w:rsidP="00E12655">
            <w:pPr>
              <w:cnfStyle w:val="100000000000" w:firstRow="1" w:lastRow="0" w:firstColumn="0" w:lastColumn="0" w:oddVBand="0" w:evenVBand="0" w:oddHBand="0" w:evenHBand="0" w:firstRowFirstColumn="0" w:firstRowLastColumn="0" w:lastRowFirstColumn="0" w:lastRowLastColumn="0"/>
              <w:rPr>
                <w:sz w:val="18"/>
                <w:szCs w:val="18"/>
              </w:rPr>
            </w:pPr>
            <w:r w:rsidRPr="006F3D27">
              <w:rPr>
                <w:sz w:val="18"/>
                <w:szCs w:val="18"/>
              </w:rPr>
              <w:t>Ultrafiltration</w:t>
            </w:r>
          </w:p>
        </w:tc>
        <w:tc>
          <w:tcPr>
            <w:tcW w:w="0" w:type="auto"/>
          </w:tcPr>
          <w:p w14:paraId="47359AA6" w14:textId="77777777" w:rsidR="002A6FDB" w:rsidRPr="006F3D27" w:rsidRDefault="002A6FDB" w:rsidP="00E12655">
            <w:pPr>
              <w:cnfStyle w:val="100000000000" w:firstRow="1" w:lastRow="0" w:firstColumn="0" w:lastColumn="0" w:oddVBand="0" w:evenVBand="0" w:oddHBand="0" w:evenHBand="0" w:firstRowFirstColumn="0" w:firstRowLastColumn="0" w:lastRowFirstColumn="0" w:lastRowLastColumn="0"/>
              <w:rPr>
                <w:sz w:val="18"/>
                <w:szCs w:val="18"/>
              </w:rPr>
            </w:pPr>
            <w:r w:rsidRPr="006F3D27">
              <w:rPr>
                <w:sz w:val="18"/>
                <w:szCs w:val="18"/>
              </w:rPr>
              <w:t>Centrifuge</w:t>
            </w:r>
          </w:p>
        </w:tc>
        <w:tc>
          <w:tcPr>
            <w:tcW w:w="0" w:type="auto"/>
          </w:tcPr>
          <w:p w14:paraId="6E7A9EA7" w14:textId="77777777" w:rsidR="002A6FDB" w:rsidRPr="006F3D27" w:rsidRDefault="002A6FDB" w:rsidP="00E12655">
            <w:pPr>
              <w:cnfStyle w:val="100000000000" w:firstRow="1" w:lastRow="0" w:firstColumn="0" w:lastColumn="0" w:oddVBand="0" w:evenVBand="0" w:oddHBand="0" w:evenHBand="0" w:firstRowFirstColumn="0" w:firstRowLastColumn="0" w:lastRowFirstColumn="0" w:lastRowLastColumn="0"/>
              <w:rPr>
                <w:sz w:val="18"/>
                <w:szCs w:val="18"/>
              </w:rPr>
            </w:pPr>
            <w:r w:rsidRPr="006F3D27">
              <w:rPr>
                <w:sz w:val="18"/>
                <w:szCs w:val="18"/>
              </w:rPr>
              <w:t>Spray drying</w:t>
            </w:r>
          </w:p>
        </w:tc>
      </w:tr>
      <w:tr w:rsidR="002A6FDB" w:rsidRPr="006F3D27" w14:paraId="49D1D931" w14:textId="77777777" w:rsidTr="006F3D27">
        <w:trPr>
          <w:cnfStyle w:val="000000100000" w:firstRow="0" w:lastRow="0" w:firstColumn="0" w:lastColumn="0" w:oddVBand="0" w:evenVBand="0" w:oddHBand="1" w:evenHBand="0" w:firstRowFirstColumn="0" w:firstRowLastColumn="0" w:lastRowFirstColumn="0" w:lastRowLastColumn="0"/>
          <w:trHeight w:val="36"/>
        </w:trPr>
        <w:tc>
          <w:tcPr>
            <w:cnfStyle w:val="001000000000" w:firstRow="0" w:lastRow="0" w:firstColumn="1" w:lastColumn="0" w:oddVBand="0" w:evenVBand="0" w:oddHBand="0" w:evenHBand="0" w:firstRowFirstColumn="0" w:firstRowLastColumn="0" w:lastRowFirstColumn="0" w:lastRowLastColumn="0"/>
            <w:tcW w:w="851" w:type="dxa"/>
            <w:vMerge w:val="restart"/>
            <w:textDirection w:val="btLr"/>
          </w:tcPr>
          <w:p w14:paraId="445592C1" w14:textId="77777777" w:rsidR="002A6FDB" w:rsidRPr="00942782" w:rsidRDefault="002A6FDB" w:rsidP="006F3D27">
            <w:pPr>
              <w:ind w:left="113" w:right="113"/>
              <w:jc w:val="right"/>
              <w:rPr>
                <w:b w:val="0"/>
                <w:sz w:val="18"/>
                <w:szCs w:val="18"/>
              </w:rPr>
            </w:pPr>
            <w:r w:rsidRPr="00942782">
              <w:rPr>
                <w:b w:val="0"/>
                <w:sz w:val="18"/>
                <w:szCs w:val="18"/>
              </w:rPr>
              <w:t>Output</w:t>
            </w:r>
          </w:p>
          <w:p w14:paraId="21EBDBA5" w14:textId="77777777" w:rsidR="002A6FDB" w:rsidRPr="00942782" w:rsidRDefault="002A6FDB" w:rsidP="006F3D27">
            <w:pPr>
              <w:ind w:left="113" w:right="113"/>
              <w:jc w:val="right"/>
              <w:rPr>
                <w:b w:val="0"/>
                <w:sz w:val="18"/>
                <w:szCs w:val="18"/>
              </w:rPr>
            </w:pPr>
            <w:r w:rsidRPr="00942782">
              <w:rPr>
                <w:b w:val="0"/>
                <w:sz w:val="18"/>
                <w:szCs w:val="18"/>
              </w:rPr>
              <w:t>(%</w:t>
            </w:r>
            <w:r w:rsidRPr="00942782">
              <w:rPr>
                <w:b w:val="0"/>
                <w:sz w:val="18"/>
                <w:szCs w:val="18"/>
                <w:vertAlign w:val="subscript"/>
              </w:rPr>
              <w:t>DM</w:t>
            </w:r>
            <w:r w:rsidRPr="00942782">
              <w:rPr>
                <w:b w:val="0"/>
                <w:sz w:val="18"/>
                <w:szCs w:val="18"/>
              </w:rPr>
              <w:t>)</w:t>
            </w:r>
          </w:p>
        </w:tc>
        <w:tc>
          <w:tcPr>
            <w:tcW w:w="763" w:type="dxa"/>
          </w:tcPr>
          <w:p w14:paraId="70560123" w14:textId="77777777" w:rsidR="002A6FDB" w:rsidRPr="00942782" w:rsidRDefault="002A6FDB" w:rsidP="00BB41E9">
            <w:pPr>
              <w:jc w:val="right"/>
              <w:cnfStyle w:val="000000100000" w:firstRow="0" w:lastRow="0" w:firstColumn="0" w:lastColumn="0" w:oddVBand="0" w:evenVBand="0" w:oddHBand="1" w:evenHBand="0" w:firstRowFirstColumn="0" w:firstRowLastColumn="0" w:lastRowFirstColumn="0" w:lastRowLastColumn="0"/>
              <w:rPr>
                <w:sz w:val="18"/>
                <w:szCs w:val="18"/>
              </w:rPr>
            </w:pPr>
            <w:r w:rsidRPr="00942782">
              <w:rPr>
                <w:sz w:val="18"/>
                <w:szCs w:val="18"/>
              </w:rPr>
              <w:t>Value</w:t>
            </w:r>
          </w:p>
        </w:tc>
        <w:tc>
          <w:tcPr>
            <w:tcW w:w="0" w:type="auto"/>
          </w:tcPr>
          <w:p w14:paraId="2E767E66" w14:textId="77777777"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13%</w:t>
            </w:r>
          </w:p>
        </w:tc>
        <w:tc>
          <w:tcPr>
            <w:tcW w:w="0" w:type="auto"/>
          </w:tcPr>
          <w:p w14:paraId="12DBCB13" w14:textId="77777777"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30%</w:t>
            </w:r>
          </w:p>
        </w:tc>
        <w:tc>
          <w:tcPr>
            <w:tcW w:w="0" w:type="auto"/>
          </w:tcPr>
          <w:p w14:paraId="150A5E56" w14:textId="77777777"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91%</w:t>
            </w:r>
          </w:p>
        </w:tc>
      </w:tr>
      <w:tr w:rsidR="002A6FDB" w:rsidRPr="006F3D27" w14:paraId="290930E9" w14:textId="77777777" w:rsidTr="006F3D27">
        <w:trPr>
          <w:trHeight w:val="56"/>
        </w:trPr>
        <w:tc>
          <w:tcPr>
            <w:cnfStyle w:val="001000000000" w:firstRow="0" w:lastRow="0" w:firstColumn="1" w:lastColumn="0" w:oddVBand="0" w:evenVBand="0" w:oddHBand="0" w:evenHBand="0" w:firstRowFirstColumn="0" w:firstRowLastColumn="0" w:lastRowFirstColumn="0" w:lastRowLastColumn="0"/>
            <w:tcW w:w="851" w:type="dxa"/>
            <w:vMerge/>
            <w:textDirection w:val="btLr"/>
          </w:tcPr>
          <w:p w14:paraId="1285FF60" w14:textId="77777777" w:rsidR="002A6FDB" w:rsidRPr="00942782" w:rsidRDefault="002A6FDB" w:rsidP="006F3D27">
            <w:pPr>
              <w:ind w:left="113" w:right="113"/>
              <w:jc w:val="right"/>
              <w:rPr>
                <w:b w:val="0"/>
                <w:sz w:val="18"/>
                <w:szCs w:val="18"/>
              </w:rPr>
            </w:pPr>
          </w:p>
        </w:tc>
        <w:tc>
          <w:tcPr>
            <w:tcW w:w="763" w:type="dxa"/>
          </w:tcPr>
          <w:p w14:paraId="39A2BFCC" w14:textId="77777777" w:rsidR="002A6FDB" w:rsidRPr="00942782" w:rsidRDefault="002A6FDB" w:rsidP="00BB41E9">
            <w:pPr>
              <w:jc w:val="right"/>
              <w:cnfStyle w:val="000000000000" w:firstRow="0" w:lastRow="0" w:firstColumn="0" w:lastColumn="0" w:oddVBand="0" w:evenVBand="0" w:oddHBand="0" w:evenHBand="0" w:firstRowFirstColumn="0" w:firstRowLastColumn="0" w:lastRowFirstColumn="0" w:lastRowLastColumn="0"/>
              <w:rPr>
                <w:sz w:val="18"/>
                <w:szCs w:val="18"/>
              </w:rPr>
            </w:pPr>
            <w:r w:rsidRPr="00942782">
              <w:rPr>
                <w:sz w:val="18"/>
                <w:szCs w:val="18"/>
              </w:rPr>
              <w:t>Range</w:t>
            </w:r>
          </w:p>
        </w:tc>
        <w:tc>
          <w:tcPr>
            <w:tcW w:w="0" w:type="auto"/>
          </w:tcPr>
          <w:p w14:paraId="33A4B83F" w14:textId="77777777"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10-15%</w:t>
            </w:r>
          </w:p>
        </w:tc>
        <w:tc>
          <w:tcPr>
            <w:tcW w:w="0" w:type="auto"/>
          </w:tcPr>
          <w:p w14:paraId="513D1922" w14:textId="77777777"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20-35%</w:t>
            </w:r>
          </w:p>
        </w:tc>
        <w:tc>
          <w:tcPr>
            <w:tcW w:w="0" w:type="auto"/>
          </w:tcPr>
          <w:p w14:paraId="2FFA1BCC" w14:textId="77777777"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n.a.</w:t>
            </w:r>
          </w:p>
        </w:tc>
      </w:tr>
      <w:tr w:rsidR="002A6FDB" w:rsidRPr="006F3D27" w14:paraId="0501A548" w14:textId="77777777" w:rsidTr="006F3D27">
        <w:trPr>
          <w:cnfStyle w:val="000000100000" w:firstRow="0" w:lastRow="0" w:firstColumn="0" w:lastColumn="0" w:oddVBand="0" w:evenVBand="0" w:oddHBand="1" w:evenHBand="0" w:firstRowFirstColumn="0" w:firstRowLastColumn="0" w:lastRowFirstColumn="0" w:lastRowLastColumn="0"/>
          <w:trHeight w:val="56"/>
        </w:trPr>
        <w:tc>
          <w:tcPr>
            <w:cnfStyle w:val="001000000000" w:firstRow="0" w:lastRow="0" w:firstColumn="1" w:lastColumn="0" w:oddVBand="0" w:evenVBand="0" w:oddHBand="0" w:evenHBand="0" w:firstRowFirstColumn="0" w:firstRowLastColumn="0" w:lastRowFirstColumn="0" w:lastRowLastColumn="0"/>
            <w:tcW w:w="851" w:type="dxa"/>
            <w:vMerge/>
            <w:textDirection w:val="btLr"/>
          </w:tcPr>
          <w:p w14:paraId="60A61F47" w14:textId="77777777" w:rsidR="002A6FDB" w:rsidRPr="00942782" w:rsidRDefault="002A6FDB" w:rsidP="006F3D27">
            <w:pPr>
              <w:ind w:left="113" w:right="113"/>
              <w:jc w:val="right"/>
              <w:rPr>
                <w:b w:val="0"/>
                <w:sz w:val="18"/>
                <w:szCs w:val="18"/>
              </w:rPr>
            </w:pPr>
          </w:p>
        </w:tc>
        <w:tc>
          <w:tcPr>
            <w:tcW w:w="763" w:type="dxa"/>
          </w:tcPr>
          <w:p w14:paraId="600ACF51" w14:textId="77777777" w:rsidR="002A6FDB" w:rsidRPr="00942782" w:rsidRDefault="002A6FDB" w:rsidP="00BB41E9">
            <w:pPr>
              <w:jc w:val="right"/>
              <w:cnfStyle w:val="000000100000" w:firstRow="0" w:lastRow="0" w:firstColumn="0" w:lastColumn="0" w:oddVBand="0" w:evenVBand="0" w:oddHBand="1" w:evenHBand="0" w:firstRowFirstColumn="0" w:firstRowLastColumn="0" w:lastRowFirstColumn="0" w:lastRowLastColumn="0"/>
              <w:rPr>
                <w:i/>
                <w:sz w:val="18"/>
                <w:szCs w:val="18"/>
              </w:rPr>
            </w:pPr>
            <w:r w:rsidRPr="00942782">
              <w:rPr>
                <w:i/>
                <w:sz w:val="18"/>
                <w:szCs w:val="18"/>
              </w:rPr>
              <w:t>Comment</w:t>
            </w:r>
          </w:p>
        </w:tc>
        <w:tc>
          <w:tcPr>
            <w:tcW w:w="0" w:type="auto"/>
          </w:tcPr>
          <w:p w14:paraId="19C03F2E" w14:textId="55E4124A"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fldChar w:fldCharType="begin"/>
            </w:r>
            <w:r w:rsidR="005413B4">
              <w:rPr>
                <w:i/>
                <w:sz w:val="18"/>
                <w:szCs w:val="18"/>
              </w:rPr>
              <w:instrText xml:space="preserve"> ADDIN ZOTERO_ITEM CSL_CITATION {"citationID":"sKW5EGzB","properties":{"formattedCitation":"\\super 183,196\\nosupersub{}","plainCitation":"183,196","noteIndex":0},"citationItems":[{"id":5124,"uris":["http://zotero.org/users/6423791/items/QSN5G6WV"],"itemData":{"id":5124,"type":"article-journal","container-title":"Science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L."}],"issued":{"date-parts":[["2021",2]]}}},{"id":12839,"uris":["http://zotero.org/users/6423791/items/Z8P5BF6M"],"itemData":{"id":12839,"type":"article-journal","abstract":"This study evaluates the techno-economic feasibility of five solar-powered concepts for the production of autotrophic microorganisms for food and feed production; the main focus is on three concepts based on hydrogen-oxidizing bacteria (HOB), which are further compared to two microalgae-related concepts. Two locations with markedly different solar conditions are considered (Finland and Morocco), in which Morocco was found to be the most economically competitive for the cultivation of microalgae in open ponds and closed systems (1.4 and 1.9 € kg–1, respectively). Biomass production by combined water electrolysis and HOB cultivation results in higher costs for all three considered concepts. Among these, the lowest production cost of 5.3 € kg–1 is associated with grid-assisted electricity use in Finland, while the highest production cost of &gt;9.1 € kg–1 is determined for concepts using solely photovoltaics and/or photoelectrochemical technology for on-site electricity production and solar-energy conversion to H2 by water electrolysis. All assessed concepts are capital intensive. Furthermore, a sensitivity analysis suggests that the production costs of HOB biomass can be lowered down to 2.1 € kg–1 by optimization of the process parameters among which volumetric productivity, electricity strategy, and electricity costs have the highest cost-saving potentials. The study reveals that continuously available electricity and H2 supply are essential for the development of a viable HOB concept due to the capital intensity of the needed technologies. In addition, volumetric productivity is the key parameter that needs to be optimized to increase the economic competitiveness of HOB production.","container-title":"ACS Omega","DOI":"10.1021/acsomega.0c04926","issue":"51","note":"publisher: American Chemical Society","page":"33242-33252","source":"ACS Publications","title":"Solar-Powered Carbon Fixation for Food and Feed Production Using Microorganisms—A Comparative Techno-Economic Analysis","volume":"5","author":[{"family":"Nappa","given":"Marja"},{"family":"Lienemann","given":"Michael"},{"family":"Tossi","given":"Camilla"},{"family":"Blomberg","given":"Peter"},{"family":"Jäntti","given":"Jussi"},{"family":"Tittonen","given":"Ilkka Juhani"},{"family":"Penttilä","given":"Merja"}],"issued":{"date-parts":[["2020",12,29]]}}}],"schema":"https://github.com/citation-style-language/schema/raw/master/csl-citation.json"}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183,196</w:t>
            </w:r>
            <w:r w:rsidRPr="006F3D27">
              <w:rPr>
                <w:i/>
                <w:sz w:val="18"/>
                <w:szCs w:val="18"/>
              </w:rPr>
              <w:fldChar w:fldCharType="end"/>
            </w:r>
          </w:p>
        </w:tc>
        <w:tc>
          <w:tcPr>
            <w:tcW w:w="0" w:type="auto"/>
          </w:tcPr>
          <w:p w14:paraId="7F4478A3" w14:textId="4491254F"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t>20-22% commonly used</w:t>
            </w:r>
            <w:r w:rsidRPr="006F3D27">
              <w:rPr>
                <w:i/>
                <w:sz w:val="18"/>
                <w:szCs w:val="18"/>
              </w:rPr>
              <w:fldChar w:fldCharType="begin"/>
            </w:r>
            <w:r w:rsidR="005413B4">
              <w:rPr>
                <w:i/>
                <w:sz w:val="18"/>
                <w:szCs w:val="18"/>
              </w:rPr>
              <w:instrText xml:space="preserve"> ADDIN ZOTERO_ITEM CSL_CITATION {"citationID":"cz5dOJe5","properties":{"formattedCitation":"\\super 183,191,204\\nosupersub{}","plainCitation":"183,191,204","noteIndex":0},"citationItems":[{"id":5124,"uris":["http://zotero.org/users/6423791/items/QSN5G6WV"],"itemData":{"id":5124,"type":"article-journal","container-title":"Science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L."}],"issued":{"date-parts":[["2021",2]]}}},{"id":9416,"uris":["http://zotero.org/users/6423791/items/QMGX9TUZ"],"itemData":{"id":9416,"type":"article-journal","abstract":"Purpose Renewable energy produced from wind turbines and solar photovoltaics (PV) has rapidly increased its share in global energy markets. At the same time, interest in producing hydrocarbons via power-to-X (PtX) approaches using renewables has grown as the technology has matured. However, there exist knowledge gaps related to environmental impacts of some PtX approaches. Power-to-food (PtF) application is one of those approaches. To evaluate the environmental impacts of different PtF approaches, life cycle assessment was performed.\nMethods The theoretical environmental potential of a novel concept of PtX technologies was investigated. Because PtX approaches have usually multiple technological solutions, such as the studied PtF application can have, several technological setups were chosen for the study. PtF application is seen as potentially being able to alleviate concerns about the sustainability of the global food sector, for example, as regards the land and water use impacts of food production. This study investigated four different environmental impact categories for microbial protein (MP) production via different technological setups of PtF from a cradle-to-gate perspective. The investigated impact categories include global warming potential, blue-water use, land use, and eutrophication. The research was carried out using a life cycle impact assessment method.\nResults and discussion The results for PtF processes were compared with the impacts of other MP production technologies and soybean production. The results indicate that significantly lower environmental impact can be achieved with PtF compared with the other protein production processes studied. The best-case PtF technology setups cause considerably lower land occupation, eutrophication, and blue-water consumption impacts compared with soybean production. However, the energy source used and the electricity-to-biomass efficiency of the bioreactor greatly affect the sustainability of the PtF approach. Some energy sources and technological choices result in higher environmental impacts than other MP and soybean production. When designing PtF production facilities, special attention should thus be given to the technology used.\nConclusions With some qualifications, PtF can be considered an option for improving global food security at minimal environmental impact. If the MP via the introduced application substitutes the most harmful practices of production other protein sources, the saved resources could be used to, for example, mitigation purposes or to improve food security elsewhere. However, there still exist challenges, such as food safety–related issues, to be solved before PtF application can be used for commercial use.","container-title":"The International Journal of Life Cycle Assessment","DOI":"10.1007/s11367-020-01771-3","ISSN":"0948-3349, 1614-7502","issue":"11","journalAbbreviation":"Int. J. Life Cycle Assess.","language":"en","page":"2190-2203","source":"DOI.org (Crossref)","title":"A life cycle environmental sustainability analysis of microbial protein production via power-to-food approaches","volume":"25","author":[{"family":"Sillman","given":"J."},{"family":"Uusitalo","given":"V."},{"family":"Ruuskanen","given":"V."},{"family":"Ojala","given":"L."},{"family":"Kahiluoto","given":"H."},{"family":"Soukka","given":"R."},{"family":"Ahola","given":"J."}],"issued":{"date-parts":[["2020",11]]}}},{"id":3358,"uris":["http://zotero.org/users/6423791/items/6VK8VT52"],"itemData":{"id":3358,"type":"article-journal","abstract":"The cost of launching food into space is very high. An alternative is to make food during missions using methods such as artificial light photosynthesis, greenhouse, nonbiological synthesis of food, electric bacteria, and hydrogen oxidizing bacteria (HOB). This study compares prepackaged food, artificial light microalgae, and HOB. The dominant factor for each alternative is its relative mass due to high fuel cost needed to launch a payload into space. Thus, alternatives were evaluated using an equivalent system mass (ESM) technique developed by the National Aeronautics and Space Administration. Three distinct missions with a crew of 5 for a duration of 3 years were analyzed; including the International Space Station (ISS), the Moon, and Mars. The components of ESM considered were apparent mass, heat rejection, power, and pressurized volume. The selected power source for all systems was nuclear power. Electricity to biomass efficiencies were calculated for space to be 18% and 4.0% for HOB and microalgae, respectively. This study indicates that growing HOB is the least expensive alternative. The ESM of the HOB is on average a factor of 2.8 and 5.5 less than prepackaged food and microalgae, respectively. This alternative food study also relates to feeding Earth during a global agricultural catastrophe. Benefits of HOB include recycling wastes including CO2 and producing O2. Practical systems would involve a variety of food sources.","container-title":"Acta Astronautica","DOI":"10.1016/j.actaastro.2020.12.009","ISSN":"00945765","journalAbbreviation":"Acta Astronaut.","language":"en","page":"260-265","source":"DOI.org (Crossref)","title":"Food in space from hydrogen-oxidizing bacteria","volume":"180","author":[{"family":"Alvarado","given":"Kyle A."},{"family":"García Martínez","given":"Juan B."},{"family":"Matassa","given":"Silvio"},{"family":"Egbejimba","given":"Joseph"},{"family":"Denkenberger","given":"David"}],"issued":{"date-parts":[["2021",3]]}}}],"schema":"https://github.com/citation-style-language/schema/raw/master/csl-citation.json"}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183,191,204</w:t>
            </w:r>
            <w:r w:rsidRPr="006F3D27">
              <w:rPr>
                <w:i/>
                <w:sz w:val="18"/>
                <w:szCs w:val="18"/>
              </w:rPr>
              <w:fldChar w:fldCharType="end"/>
            </w:r>
            <w:r w:rsidRPr="006F3D27">
              <w:rPr>
                <w:i/>
                <w:sz w:val="18"/>
                <w:szCs w:val="18"/>
              </w:rPr>
              <w:t>. But 35% achievable</w:t>
            </w:r>
            <w:r w:rsidRPr="006F3D27">
              <w:rPr>
                <w:i/>
                <w:sz w:val="18"/>
                <w:szCs w:val="18"/>
              </w:rPr>
              <w:fldChar w:fldCharType="begin"/>
            </w:r>
            <w:r w:rsidR="005413B4">
              <w:rPr>
                <w:i/>
                <w:sz w:val="18"/>
                <w:szCs w:val="18"/>
              </w:rPr>
              <w:instrText xml:space="preserve"> ADDIN ZOTERO_ITEM CSL_CITATION {"citationID":"Ba8NlKR8","properties":{"formattedCitation":"\\super 199\\nosupersub{}","plainCitation":"199","noteIndex":0},"citationItems":[{"id":12866,"uris":["http://zotero.org/users/6423791/items/26C4AHVP"],"itemData":{"id":12866,"type":"article-journal","abstract":"The growing population and the consequent protein scarcity have led to innovation in proteinaceous feed production methods. In this regard, the upcycling of nitrogen rich effluents into microbial protein (MP)/single cell protein (SCP) is considered as an innovative solution. This paper aims to employ life cycle assessment to identify the most environmentally friendly strategy to upcycle nitrogen (N) and carbon (C) flows from wastewater treatment plant (WWTP) into MP. Accordingly, several pathways for integrating WWTP and MP production facility were evaluated, in terms of C source (i.e., biogas or biomethane) and the pretreatment method applied to the reject water (RW) (i.e., centrifugation + filtration + pasteurization, electrochemical extraction, bio-electrochemical extraction). The results indicated that electrochemical and bio-electrochemical N recovery not only safely extracted N from RW but also led to promising solution for MP production from WWTP effluents. The pathway including bio-electrochemical N recovery and use of biologically upgraded biogas for MP had 42.17%, 195.95%, and 172.03% better environmental performance regarding human health, ecosystem quality, and resource scarcity, respectively, compared with standalone WWTP without MP production. However, the electrochemical N recovery outperformed other scenarios in the human health damage category with a net impact of 2.72 DALY/FU and in ecosystem quality damage category with a saving of −0.033 Species/FU. The results reported herein indicated that the use of chemical nutrients to enrich the cultivation medium had significant impacts on the overall environmental performance of the suggested biorefinery. Decreasing the consumption of synthetic nutrients and improving N to protein conversion efficiency by 20% can make the established pathway much more competitive with conventional proteinaceous feed sources such as soybean meal.","container-title":"Renewable and Sustainable Energy Reviews","DOI":"10.1016/j.rser.2021.111895","ISSN":"1364-0321","journalAbbreviation":"Renew. Sust. Energ. Rev.","language":"en","page":"111895","source":"ScienceDirect","title":"Bridging to circular bioeconomy through a novel biorefinery platform on a wastewater treatment plant","volume":"154","author":[{"family":"Marami","given":"Hadis"},{"family":"He","given":"Li"},{"family":"Rafiee","given":"Shahin"},{"family":"Khoshnevisan","given":"Benyamin"},{"family":"Tsapekos","given":"Panagiotis"},{"family":"Mobli","given":"Hossein"},{"family":"Elyasi","given":"Seyedeh Nashmin"},{"family":"Liu","given":"Hongbin"},{"family":"Angelidaki","given":"Irini"}],"issued":{"date-parts":[["2022",2,1]]}}}],"schema":"https://github.com/citation-style-language/schema/raw/master/csl-citation.json"}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199</w:t>
            </w:r>
            <w:r w:rsidRPr="006F3D27">
              <w:rPr>
                <w:i/>
                <w:sz w:val="18"/>
                <w:szCs w:val="18"/>
              </w:rPr>
              <w:fldChar w:fldCharType="end"/>
            </w:r>
            <w:r w:rsidRPr="006F3D27">
              <w:rPr>
                <w:i/>
                <w:sz w:val="18"/>
                <w:szCs w:val="18"/>
              </w:rPr>
              <w:t>. De Boer et al., 2014</w:t>
            </w:r>
            <w:r w:rsidRPr="006F3D27">
              <w:rPr>
                <w:i/>
                <w:sz w:val="18"/>
                <w:szCs w:val="18"/>
              </w:rPr>
              <w:fldChar w:fldCharType="begin"/>
            </w:r>
            <w:r w:rsidR="005413B4">
              <w:rPr>
                <w:i/>
                <w:sz w:val="18"/>
                <w:szCs w:val="18"/>
              </w:rPr>
              <w:instrText xml:space="preserve"> ADDIN ZOTERO_ITEM CSL_CITATION {"citationID":"qPw10tLK","properties":{"formattedCitation":"\\super 173\\nosupersub{}","plainCitation":"173","noteIndex":0},"citationItems":[{"id":10967,"uris":["http://zotero.org/users/6423791/items/P67XNRD9"],"itemData":{"id":10967,"type":"report","abstract":"UK The overall aim was to investigate if soybean products from South American can be replaced by protein sources produced in Europe in a sustainable way. Based on data from literature, and based on the systematics of the FeedPrint programme, the nutritional value and the carbon footprint (CFP) of these protein sources is determined. These protein sources are used in feed optimizations of a starter diet for pigs, thereby maintaining the nutritional value of the diet. Subsequently, the CFP of the grower diet is calculated. The results and conclusions will be discussed in this report.","collection-title":"Wageningen UR Livestock Research","event-place":"Lelystad","language":"en","number":"819","page":"47","publisher":"Wageningen","publisher-place":"Lelystad","source":"Zotero","title":"Replacement of soybean meal in compound feed by European protein sources","author":[{"family":"Boer","given":"H C","non-dropping-particle":"de"},{"family":"Krimpen","given":"M M","non-dropping-particle":"van"},{"family":"Blonk","given":"H"},{"family":"Tyszler","given":"M"}],"issued":{"date-parts":[["2014"]]}}}],"schema":"https://github.com/citation-style-language/schema/raw/master/csl-citation.json"}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173</w:t>
            </w:r>
            <w:r w:rsidRPr="006F3D27">
              <w:rPr>
                <w:i/>
                <w:sz w:val="18"/>
                <w:szCs w:val="18"/>
              </w:rPr>
              <w:fldChar w:fldCharType="end"/>
            </w:r>
            <w:r w:rsidRPr="006F3D27">
              <w:rPr>
                <w:i/>
                <w:sz w:val="18"/>
                <w:szCs w:val="18"/>
              </w:rPr>
              <w:t xml:space="preserve"> used 30%.</w:t>
            </w:r>
          </w:p>
        </w:tc>
        <w:tc>
          <w:tcPr>
            <w:tcW w:w="0" w:type="auto"/>
          </w:tcPr>
          <w:p w14:paraId="00D4F683" w14:textId="77777777"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t>fixed</w:t>
            </w:r>
          </w:p>
        </w:tc>
      </w:tr>
      <w:tr w:rsidR="002A6FDB" w:rsidRPr="006F3D27" w14:paraId="5241998B" w14:textId="77777777" w:rsidTr="006F3D27">
        <w:tc>
          <w:tcPr>
            <w:cnfStyle w:val="001000000000" w:firstRow="0" w:lastRow="0" w:firstColumn="1" w:lastColumn="0" w:oddVBand="0" w:evenVBand="0" w:oddHBand="0" w:evenHBand="0" w:firstRowFirstColumn="0" w:firstRowLastColumn="0" w:lastRowFirstColumn="0" w:lastRowLastColumn="0"/>
            <w:tcW w:w="851" w:type="dxa"/>
            <w:vMerge w:val="restart"/>
            <w:textDirection w:val="btLr"/>
          </w:tcPr>
          <w:p w14:paraId="2B2E7CA5" w14:textId="77777777" w:rsidR="002A6FDB" w:rsidRPr="00942782" w:rsidRDefault="002A6FDB" w:rsidP="006F3D27">
            <w:pPr>
              <w:ind w:left="113" w:right="113"/>
              <w:jc w:val="right"/>
              <w:rPr>
                <w:b w:val="0"/>
                <w:sz w:val="18"/>
                <w:szCs w:val="18"/>
              </w:rPr>
            </w:pPr>
            <w:r w:rsidRPr="00942782">
              <w:rPr>
                <w:b w:val="0"/>
                <w:sz w:val="18"/>
                <w:szCs w:val="18"/>
              </w:rPr>
              <w:t>Electricity required</w:t>
            </w:r>
          </w:p>
          <w:p w14:paraId="3170A1D6" w14:textId="77777777" w:rsidR="002A6FDB" w:rsidRPr="00942782" w:rsidRDefault="002A6FDB" w:rsidP="006F3D27">
            <w:pPr>
              <w:ind w:left="113" w:right="113"/>
              <w:jc w:val="right"/>
              <w:rPr>
                <w:b w:val="0"/>
                <w:sz w:val="18"/>
                <w:szCs w:val="18"/>
              </w:rPr>
            </w:pPr>
            <w:r w:rsidRPr="00942782">
              <w:rPr>
                <w:b w:val="0"/>
                <w:sz w:val="18"/>
                <w:szCs w:val="18"/>
              </w:rPr>
              <w:t>(kWh.m</w:t>
            </w:r>
            <w:r w:rsidRPr="00942782">
              <w:rPr>
                <w:b w:val="0"/>
                <w:sz w:val="18"/>
                <w:szCs w:val="18"/>
                <w:vertAlign w:val="superscript"/>
              </w:rPr>
              <w:t>-3</w:t>
            </w:r>
            <w:r w:rsidRPr="00942782">
              <w:rPr>
                <w:b w:val="0"/>
                <w:sz w:val="18"/>
                <w:szCs w:val="18"/>
              </w:rPr>
              <w:t>)</w:t>
            </w:r>
          </w:p>
        </w:tc>
        <w:tc>
          <w:tcPr>
            <w:tcW w:w="763" w:type="dxa"/>
          </w:tcPr>
          <w:p w14:paraId="48FD6BC4" w14:textId="77777777" w:rsidR="002A6FDB" w:rsidRPr="00942782" w:rsidRDefault="002A6FDB" w:rsidP="00BB41E9">
            <w:pPr>
              <w:jc w:val="right"/>
              <w:cnfStyle w:val="000000000000" w:firstRow="0" w:lastRow="0" w:firstColumn="0" w:lastColumn="0" w:oddVBand="0" w:evenVBand="0" w:oddHBand="0" w:evenHBand="0" w:firstRowFirstColumn="0" w:firstRowLastColumn="0" w:lastRowFirstColumn="0" w:lastRowLastColumn="0"/>
              <w:rPr>
                <w:sz w:val="18"/>
                <w:szCs w:val="18"/>
              </w:rPr>
            </w:pPr>
            <w:r w:rsidRPr="00942782">
              <w:rPr>
                <w:sz w:val="18"/>
                <w:szCs w:val="18"/>
              </w:rPr>
              <w:t>Value</w:t>
            </w:r>
          </w:p>
        </w:tc>
        <w:tc>
          <w:tcPr>
            <w:tcW w:w="0" w:type="auto"/>
          </w:tcPr>
          <w:p w14:paraId="3D1C184E" w14:textId="77777777"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0.04</w:t>
            </w:r>
          </w:p>
        </w:tc>
        <w:tc>
          <w:tcPr>
            <w:tcW w:w="0" w:type="auto"/>
          </w:tcPr>
          <w:p w14:paraId="79DD3F40" w14:textId="77777777"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2.53</w:t>
            </w:r>
          </w:p>
        </w:tc>
        <w:tc>
          <w:tcPr>
            <w:tcW w:w="0" w:type="auto"/>
          </w:tcPr>
          <w:p w14:paraId="37D06F10" w14:textId="77777777"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0.11</w:t>
            </w:r>
          </w:p>
        </w:tc>
      </w:tr>
      <w:tr w:rsidR="002A6FDB" w:rsidRPr="006F3D27" w14:paraId="7B9A18C3" w14:textId="77777777" w:rsidTr="006F3D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vMerge/>
            <w:textDirection w:val="btLr"/>
          </w:tcPr>
          <w:p w14:paraId="39AC5671" w14:textId="77777777" w:rsidR="002A6FDB" w:rsidRPr="00942782" w:rsidRDefault="002A6FDB" w:rsidP="006F3D27">
            <w:pPr>
              <w:ind w:left="113" w:right="113"/>
              <w:jc w:val="right"/>
              <w:rPr>
                <w:b w:val="0"/>
                <w:sz w:val="18"/>
                <w:szCs w:val="18"/>
              </w:rPr>
            </w:pPr>
          </w:p>
        </w:tc>
        <w:tc>
          <w:tcPr>
            <w:tcW w:w="763" w:type="dxa"/>
          </w:tcPr>
          <w:p w14:paraId="237D0AF0" w14:textId="77777777" w:rsidR="002A6FDB" w:rsidRPr="00942782" w:rsidRDefault="002A6FDB" w:rsidP="00BB41E9">
            <w:pPr>
              <w:jc w:val="right"/>
              <w:cnfStyle w:val="000000100000" w:firstRow="0" w:lastRow="0" w:firstColumn="0" w:lastColumn="0" w:oddVBand="0" w:evenVBand="0" w:oddHBand="1" w:evenHBand="0" w:firstRowFirstColumn="0" w:firstRowLastColumn="0" w:lastRowFirstColumn="0" w:lastRowLastColumn="0"/>
              <w:rPr>
                <w:sz w:val="18"/>
                <w:szCs w:val="18"/>
              </w:rPr>
            </w:pPr>
            <w:r w:rsidRPr="00942782">
              <w:rPr>
                <w:sz w:val="18"/>
                <w:szCs w:val="18"/>
              </w:rPr>
              <w:t>Range</w:t>
            </w:r>
          </w:p>
        </w:tc>
        <w:tc>
          <w:tcPr>
            <w:tcW w:w="0" w:type="auto"/>
          </w:tcPr>
          <w:p w14:paraId="0F196385" w14:textId="77777777"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0.04-0.15</w:t>
            </w:r>
          </w:p>
        </w:tc>
        <w:tc>
          <w:tcPr>
            <w:tcW w:w="0" w:type="auto"/>
          </w:tcPr>
          <w:p w14:paraId="5C0B9FFC" w14:textId="77777777"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1.35-8</w:t>
            </w:r>
          </w:p>
        </w:tc>
        <w:tc>
          <w:tcPr>
            <w:tcW w:w="0" w:type="auto"/>
          </w:tcPr>
          <w:p w14:paraId="45056901" w14:textId="77777777"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0.03-0.28</w:t>
            </w:r>
          </w:p>
        </w:tc>
      </w:tr>
      <w:tr w:rsidR="002A6FDB" w:rsidRPr="006F3D27" w14:paraId="4D372477" w14:textId="77777777" w:rsidTr="006F3D27">
        <w:tc>
          <w:tcPr>
            <w:cnfStyle w:val="001000000000" w:firstRow="0" w:lastRow="0" w:firstColumn="1" w:lastColumn="0" w:oddVBand="0" w:evenVBand="0" w:oddHBand="0" w:evenHBand="0" w:firstRowFirstColumn="0" w:firstRowLastColumn="0" w:lastRowFirstColumn="0" w:lastRowLastColumn="0"/>
            <w:tcW w:w="851" w:type="dxa"/>
            <w:vMerge/>
            <w:textDirection w:val="btLr"/>
          </w:tcPr>
          <w:p w14:paraId="61B4E307" w14:textId="77777777" w:rsidR="002A6FDB" w:rsidRPr="00942782" w:rsidRDefault="002A6FDB" w:rsidP="006F3D27">
            <w:pPr>
              <w:ind w:left="113" w:right="113"/>
              <w:jc w:val="right"/>
              <w:rPr>
                <w:b w:val="0"/>
                <w:sz w:val="18"/>
                <w:szCs w:val="18"/>
              </w:rPr>
            </w:pPr>
          </w:p>
        </w:tc>
        <w:tc>
          <w:tcPr>
            <w:tcW w:w="763" w:type="dxa"/>
          </w:tcPr>
          <w:p w14:paraId="73767CD9" w14:textId="77777777" w:rsidR="002A6FDB" w:rsidRPr="00942782" w:rsidRDefault="002A6FDB" w:rsidP="00BB41E9">
            <w:pPr>
              <w:jc w:val="right"/>
              <w:cnfStyle w:val="000000000000" w:firstRow="0" w:lastRow="0" w:firstColumn="0" w:lastColumn="0" w:oddVBand="0" w:evenVBand="0" w:oddHBand="0" w:evenHBand="0" w:firstRowFirstColumn="0" w:firstRowLastColumn="0" w:lastRowFirstColumn="0" w:lastRowLastColumn="0"/>
              <w:rPr>
                <w:i/>
                <w:sz w:val="18"/>
                <w:szCs w:val="18"/>
              </w:rPr>
            </w:pPr>
            <w:r w:rsidRPr="00942782">
              <w:rPr>
                <w:i/>
                <w:sz w:val="18"/>
                <w:szCs w:val="18"/>
              </w:rPr>
              <w:t>Comment</w:t>
            </w:r>
          </w:p>
        </w:tc>
        <w:tc>
          <w:tcPr>
            <w:tcW w:w="0" w:type="auto"/>
          </w:tcPr>
          <w:p w14:paraId="23A093F5" w14:textId="4C826D58"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fldChar w:fldCharType="begin"/>
            </w:r>
            <w:r w:rsidR="005413B4">
              <w:rPr>
                <w:i/>
                <w:sz w:val="18"/>
                <w:szCs w:val="18"/>
              </w:rPr>
              <w:instrText xml:space="preserve"> ADDIN ZOTERO_ITEM CSL_CITATION {"citationID":"sJBo9qiW","properties":{"formattedCitation":"\\super 183,196\\nosupersub{}","plainCitation":"183,196","noteIndex":0},"citationItems":[{"id":5124,"uris":["http://zotero.org/users/6423791/items/QSN5G6WV"],"itemData":{"id":5124,"type":"article-journal","container-title":"Science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L."}],"issued":{"date-parts":[["2021",2]]}}},{"id":12839,"uris":["http://zotero.org/users/6423791/items/Z8P5BF6M"],"itemData":{"id":12839,"type":"article-journal","abstract":"This study evaluates the techno-economic feasibility of five solar-powered concepts for the production of autotrophic microorganisms for food and feed production; the main focus is on three concepts based on hydrogen-oxidizing bacteria (HOB), which are further compared to two microalgae-related concepts. Two locations with markedly different solar conditions are considered (Finland and Morocco), in which Morocco was found to be the most economically competitive for the cultivation of microalgae in open ponds and closed systems (1.4 and 1.9 € kg–1, respectively). Biomass production by combined water electrolysis and HOB cultivation results in higher costs for all three considered concepts. Among these, the lowest production cost of 5.3 € kg–1 is associated with grid-assisted electricity use in Finland, while the highest production cost of &gt;9.1 € kg–1 is determined for concepts using solely photovoltaics and/or photoelectrochemical technology for on-site electricity production and solar-energy conversion to H2 by water electrolysis. All assessed concepts are capital intensive. Furthermore, a sensitivity analysis suggests that the production costs of HOB biomass can be lowered down to 2.1 € kg–1 by optimization of the process parameters among which volumetric productivity, electricity strategy, and electricity costs have the highest cost-saving potentials. The study reveals that continuously available electricity and H2 supply are essential for the development of a viable HOB concept due to the capital intensity of the needed technologies. In addition, volumetric productivity is the key parameter that needs to be optimized to increase the economic competitiveness of HOB production.","container-title":"ACS Omega","DOI":"10.1021/acsomega.0c04926","issue":"51","note":"publisher: American Chemical Society","page":"33242-33252","source":"ACS Publications","title":"Solar-Powered Carbon Fixation for Food and Feed Production Using Microorganisms—A Comparative Techno-Economic Analysis","volume":"5","author":[{"family":"Nappa","given":"Marja"},{"family":"Lienemann","given":"Michael"},{"family":"Tossi","given":"Camilla"},{"family":"Blomberg","given":"Peter"},{"family":"Jäntti","given":"Jussi"},{"family":"Tittonen","given":"Ilkka Juhani"},{"family":"Penttilä","given":"Merja"}],"issued":{"date-parts":[["2020",12,29]]}}}],"schema":"https://github.com/citation-style-language/schema/raw/master/csl-citation.json"}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183,196</w:t>
            </w:r>
            <w:r w:rsidRPr="006F3D27">
              <w:rPr>
                <w:i/>
                <w:sz w:val="18"/>
                <w:szCs w:val="18"/>
              </w:rPr>
              <w:fldChar w:fldCharType="end"/>
            </w:r>
          </w:p>
        </w:tc>
        <w:tc>
          <w:tcPr>
            <w:tcW w:w="0" w:type="auto"/>
          </w:tcPr>
          <w:p w14:paraId="6258F30C" w14:textId="42F37361"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Range reviewed by Gayen et al., 2019</w:t>
            </w:r>
            <w:r w:rsidRPr="006F3D27">
              <w:rPr>
                <w:i/>
                <w:sz w:val="18"/>
                <w:szCs w:val="18"/>
              </w:rPr>
              <w:fldChar w:fldCharType="begin"/>
            </w:r>
            <w:r w:rsidR="005413B4">
              <w:rPr>
                <w:i/>
                <w:sz w:val="18"/>
                <w:szCs w:val="18"/>
              </w:rPr>
              <w:instrText xml:space="preserve"> ADDIN ZOTERO_ITEM CSL_CITATION {"citationID":"mZLi1sjI","properties":{"formattedCitation":"\\super 259\\nosupersub{}","plainCitation":"259","noteIndex":0},"citationItems":[{"id":13220,"uris":["http://zotero.org/users/6423791/items/FDXL74KB"],"itemData":{"id":13220,"type":"book","abstract":"Microalgae can be future resource for industrial biotechnology\nIn current energy crisis era, microalgae are under tremendous research focus for the production of biodiesel due to their high photosynthetic efficiency, growth rate and high lipid content compared to territorial plants. However, the large-scale production of algal biomass and downstream processing of harvested algae towards bio-fuels are facing several challenges from economic viability perspective. Apart from bio-fuels, the microalgae synthesize number of bio-molecules such as pigments (e.g., chlorophyll, carotenoid), protein (e.g., lectin, phycobiliprotein), and carbohydrates (e.g., agar, carrageenan, alginate, fucodian) which are available in the various forms of microalgal products. Therefore, developing a strategy for large-scale production and use of algal biomass for the co-production of these value-added macromolecules is thus imperative for the improvement of the economics of algal biorefinery.\nIn the above context, this book covers three major areas (i) commercial-scale production of bio-molecules from microalgae, (ii) sustainable approach for industrial-scale operation, and (iii) optimization of downstream processes. Each of these sections is composed of several chapters written by the renowned academicians/industry experts. Furthermore, in this book, a significant weightage is given to the industry experts (around 50%) to enrich the industrial perspectives. \nWe hope that amalgamate of fundamental knowledge from academicians and applied research information from industry experts will be useful for forthcoming implementation of a sustainable integrated microalgal biorefinery. This book highlights following. \n\n\n\nExplores biomolecules from microalgae and their applications\n\n\nDiscusses microalgae cultivations and harvesting\n\n\nExamines downstream processing of biomolecules\n\n\nExplores sustainable integrated approaches for industrial scale operations\n\n\nExamines purification techniques specific for microalgal proteins, Omega 3 fatty Acids, carbohydrates, and pigments","event-place":"Boca Raton","ISBN":"978-0-429-02797-0","note":"DOI: 10.1201/9780429027970","number-of-pages":"376","publisher":"CRC Press","publisher-place":"Boca Raton","title":"Sustainable Downstream Processing of Microalgae for Industrial Application","editor":[{"family":"Gayen","given":"Kalyan"},{"family":"Bhowmick","given":"Tridib Kumar"},{"family":"Maity","given":"Sunil K."}],"issued":{"date-parts":[["2019",9,25]]}}}],"schema":"https://github.com/citation-style-language/schema/raw/master/csl-citation.json"}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259</w:t>
            </w:r>
            <w:r w:rsidRPr="006F3D27">
              <w:rPr>
                <w:i/>
                <w:sz w:val="18"/>
                <w:szCs w:val="18"/>
              </w:rPr>
              <w:fldChar w:fldCharType="end"/>
            </w:r>
            <w:r w:rsidRPr="006F3D27">
              <w:rPr>
                <w:i/>
                <w:sz w:val="18"/>
                <w:szCs w:val="18"/>
              </w:rPr>
              <w:t>. Many studies use 1.35</w:t>
            </w:r>
            <w:r w:rsidRPr="006F3D27">
              <w:rPr>
                <w:i/>
                <w:sz w:val="18"/>
                <w:szCs w:val="18"/>
              </w:rPr>
              <w:fldChar w:fldCharType="begin"/>
            </w:r>
            <w:r w:rsidR="005413B4">
              <w:rPr>
                <w:i/>
                <w:sz w:val="18"/>
                <w:szCs w:val="18"/>
              </w:rPr>
              <w:instrText xml:space="preserve"> ADDIN ZOTERO_ITEM CSL_CITATION {"citationID":"XDKvpeJW","properties":{"formattedCitation":"\\super 175,191,196\\nosupersub{}","plainCitation":"175,191,196","noteIndex":0},"citationItems":[{"id":9416,"uris":["http://zotero.org/users/6423791/items/QMGX9TUZ"],"itemData":{"id":9416,"type":"article-journal","abstract":"Purpose Renewable energy produced from wind turbines and solar photovoltaics (PV) has rapidly increased its share in global energy markets. At the same time, interest in producing hydrocarbons via power-to-X (PtX) approaches using renewables has grown as the technology has matured. However, there exist knowledge gaps related to environmental impacts of some PtX approaches. Power-to-food (PtF) application is one of those approaches. To evaluate the environmental impacts of different PtF approaches, life cycle assessment was performed.\nMethods The theoretical environmental potential of a novel concept of PtX technologies was investigated. Because PtX approaches have usually multiple technological solutions, such as the studied PtF application can have, several technological setups were chosen for the study. PtF application is seen as potentially being able to alleviate concerns about the sustainability of the global food sector, for example, as regards the land and water use impacts of food production. This study investigated four different environmental impact categories for microbial protein (MP) production via different technological setups of PtF from a cradle-to-gate perspective. The investigated impact categories include global warming potential, blue-water use, land use, and eutrophication. The research was carried out using a life cycle impact assessment method.\nResults and discussion The results for PtF processes were compared with the impacts of other MP production technologies and soybean production. The results indicate that significantly lower environmental impact can be achieved with PtF compared with the other protein production processes studied. The best-case PtF technology setups cause considerably lower land occupation, eutrophication, and blue-water consumption impacts compared with soybean production. However, the energy source used and the electricity-to-biomass efficiency of the bioreactor greatly affect the sustainability of the PtF approach. Some energy sources and technological choices result in higher environmental impacts than other MP and soybean production. When designing PtF production facilities, special attention should thus be given to the technology used.\nConclusions With some qualifications, PtF can be considered an option for improving global food security at minimal environmental impact. If the MP via the introduced application substitutes the most harmful practices of production other protein sources, the saved resources could be used to, for example, mitigation purposes or to improve food security elsewhere. However, there still exist challenges, such as food safety–related issues, to be solved before PtF application can be used for commercial use.","container-title":"The International Journal of Life Cycle Assessment","DOI":"10.1007/s11367-020-01771-3","ISSN":"0948-3349, 1614-7502","issue":"11","journalAbbreviation":"Int. J. Life Cycle Assess.","language":"en","page":"2190-2203","source":"DOI.org (Crossref)","title":"A life cycle environmental sustainability analysis of microbial protein production via power-to-food approaches","volume":"25","author":[{"family":"Sillman","given":"J."},{"family":"Uusitalo","given":"V."},{"family":"Ruuskanen","given":"V."},{"family":"Ojala","given":"L."},{"family":"Kahiluoto","given":"H."},{"family":"Soukka","given":"R."},{"family":"Ahola","given":"J."}],"issued":{"date-parts":[["2020",11]]}}},{"id":12839,"uris":["http://zotero.org/users/6423791/items/Z8P5BF6M"],"itemData":{"id":12839,"type":"article-journal","abstract":"This study evaluates the techno-economic feasibility of five solar-powered concepts for the production of autotrophic microorganisms for food and feed production; the main focus is on three concepts based on hydrogen-oxidizing bacteria (HOB), which are further compared to two microalgae-related concepts. Two locations with markedly different solar conditions are considered (Finland and Morocco), in which Morocco was found to be the most economically competitive for the cultivation of microalgae in open ponds and closed systems (1.4 and 1.9 € kg–1, respectively). Biomass production by combined water electrolysis and HOB cultivation results in higher costs for all three considered concepts. Among these, the lowest production cost of 5.3 € kg–1 is associated with grid-assisted electricity use in Finland, while the highest production cost of &gt;9.1 € kg–1 is determined for concepts using solely photovoltaics and/or photoelectrochemical technology for on-site electricity production and solar-energy conversion to H2 by water electrolysis. All assessed concepts are capital intensive. Furthermore, a sensitivity analysis suggests that the production costs of HOB biomass can be lowered down to 2.1 € kg–1 by optimization of the process parameters among which volumetric productivity, electricity strategy, and electricity costs have the highest cost-saving potentials. The study reveals that continuously available electricity and H2 supply are essential for the development of a viable HOB concept due to the capital intensity of the needed technologies. In addition, volumetric productivity is the key parameter that needs to be optimized to increase the economic competitiveness of HOB production.","container-title":"ACS Omega","DOI":"10.1021/acsomega.0c04926","issue":"51","note":"publisher: American Chemical Society","page":"33242-33252","source":"ACS Publications","title":"Solar-Powered Carbon Fixation for Food and Feed Production Using Microorganisms—A Comparative Techno-Economic Analysis","volume":"5","author":[{"family":"Nappa","given":"Marja"},{"family":"Lienemann","given":"Michael"},{"family":"Tossi","given":"Camilla"},{"family":"Blomberg","given":"Peter"},{"family":"Jäntti","given":"Jussi"},{"family":"Tittonen","given":"Ilkka Juhani"},{"family":"Penttilä","given":"Merja"}],"issued":{"date-parts":[["2020",12,29]]}}},{"id":11540,"uris":["http://zotero.org/users/6423791/items/L9NYDA2K"],"itemData":{"id":11540,"type":"article-journal","abstract":"Population growth and changes in dietary patterns place an ever-growing pressure on the environment. Feeding the world within sustainable boundaries therefore requires revolutionizing the way we harness natural resources. Microbial biomass can be cultivated to yield protein-rich feed and food supplements, collectively termed single-cell protein (SCP). Yet, we still lack a quantitative comparison between traditional agriculture and photovoltaic-driven SCP systems in terms of land use and energetic efficiency. Here, we analyze the energetic efficiency of harnessing solar energy to produce SCP from air and water. Our model includes photovoltaic electricity generation, direct air capture of carbon dioxide, electrosynthesis of an electron donor and/or carbon source for microbial growth (hydrogen, formate, or methanol), microbial cultivation, and the processing of biomass and proteins. We show that, per unit of land, SCP production can reach an over 10-fold higher protein yield and at least twice the caloric yield compared with any staple crop. Altogether, this quantitative analysis offers an assessment of the future potential of photovoltaic-driven microbial foods to supplement conventional agricultural production and support resource-efficient protein supply on a global scale.","container-title":"Proceedings of the National Academy of Sciences","DOI":"10.1073/pnas.2015025118","ISSN":"0027-8424, 1091-6490","issue":"26","journalAbbreviation":"Proc Natl Acad Sci USA","language":"en","page":"e2015025118","source":"DOI.org (Crossref)","title":"Photovoltaic-driven microbial protein production can use land and sunlight more efficiently than conventional crops","volume":"118","author":[{"family":"Leger","given":"Dorian"},{"family":"Matassa","given":"Silvio"},{"family":"Noor","given":"Elad"},{"family":"Shepon","given":"Alon"},{"family":"Milo","given":"Ron"},{"family":"Bar-Even","given":"Arren"}],"issued":{"date-parts":[["2021",6,29]]}}}],"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175,191,196</w:t>
            </w:r>
            <w:r w:rsidRPr="006F3D27">
              <w:rPr>
                <w:i/>
                <w:sz w:val="18"/>
                <w:szCs w:val="18"/>
              </w:rPr>
              <w:fldChar w:fldCharType="end"/>
            </w:r>
            <w:r w:rsidRPr="006F3D27">
              <w:rPr>
                <w:i/>
                <w:sz w:val="18"/>
                <w:szCs w:val="18"/>
              </w:rPr>
              <w:t>.</w:t>
            </w:r>
          </w:p>
        </w:tc>
        <w:tc>
          <w:tcPr>
            <w:tcW w:w="0" w:type="auto"/>
          </w:tcPr>
          <w:p w14:paraId="0970F36C" w14:textId="7AD26D11"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Review by Spykman et al., 2021</w:t>
            </w:r>
            <w:r w:rsidRPr="006F3D27">
              <w:rPr>
                <w:i/>
                <w:sz w:val="18"/>
                <w:szCs w:val="18"/>
              </w:rPr>
              <w:fldChar w:fldCharType="begin"/>
            </w:r>
            <w:r w:rsidR="008C451C">
              <w:rPr>
                <w:i/>
                <w:sz w:val="18"/>
                <w:szCs w:val="18"/>
              </w:rPr>
              <w:instrText xml:space="preserve"> ADDIN ZOTERO_ITEM CSL_CITATION {"citationID":"jBJT3FqU","properties":{"formattedCitation":"\\super 67\\nosupersub{}","plainCitation":"67","noteIndex":0},"citationItems":[{"id":12260,"uris":["http://zotero.org/users/6423791/items/7WTH59GM"],"itemData":{"id":12260,"type":"article-journal","abstract":"The inclusion of insect protein into the food system has been proposed as a promising solution to ensure future food security and mitigate negative environmental impacts related to food production. However, the market volume for edible insects in Europe is still small; consequently, producers need a decision-support system to ensure the sustainable upscaling of the sector. The study analyzed environmental and economic impacts of insect production to identify the most eco-efficient production scenarios.","container-title":"The International Journal of Life Cycle Assessment","DOI":"10.1007/s11367-021-01986-y","ISSN":"1614-7502","journalAbbreviation":"Int J Life Cycle Assess","language":"en","source":"Springer Link","title":"A modular environmental and economic assessment applied to the production of Hermetia illucens larvae as a protein source for food and feed","URL":"https://doi.org/10.1007/s11367-021-01986-y","author":[{"family":"Spykman","given":"Raphaela"},{"family":"Hossaini","given":"Sayed Mahdi"},{"family":"Peguero","given":"Daniela A."},{"family":"Green","given":"Ashley"},{"family":"Heinz","given":"Volker"},{"family":"Smetana","given":"Sergiy"}],"accessed":{"date-parts":[["2021",10,14]]},"issued":{"date-parts":[["2021",10,9]]}}}],"schema":"https://github.com/citation-style-language/schema/raw/master/csl-citation.json"} </w:instrText>
            </w:r>
            <w:r w:rsidRPr="006F3D27">
              <w:rPr>
                <w:i/>
                <w:sz w:val="18"/>
                <w:szCs w:val="18"/>
              </w:rPr>
              <w:fldChar w:fldCharType="separate"/>
            </w:r>
            <w:r w:rsidR="008C451C" w:rsidRPr="008C451C">
              <w:rPr>
                <w:rFonts w:ascii="Calibri" w:hAnsi="Calibri" w:cs="Calibri"/>
                <w:sz w:val="18"/>
                <w:szCs w:val="24"/>
                <w:vertAlign w:val="superscript"/>
              </w:rPr>
              <w:t>67</w:t>
            </w:r>
            <w:r w:rsidRPr="006F3D27">
              <w:rPr>
                <w:i/>
                <w:sz w:val="18"/>
                <w:szCs w:val="18"/>
              </w:rPr>
              <w:fldChar w:fldCharType="end"/>
            </w:r>
          </w:p>
        </w:tc>
      </w:tr>
      <w:tr w:rsidR="002A6FDB" w:rsidRPr="006F3D27" w14:paraId="1E52E49D" w14:textId="77777777" w:rsidTr="006F3D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vMerge w:val="restart"/>
            <w:textDirection w:val="btLr"/>
          </w:tcPr>
          <w:p w14:paraId="577EC5D7" w14:textId="77777777" w:rsidR="002A6FDB" w:rsidRPr="00942782" w:rsidRDefault="002A6FDB" w:rsidP="006F3D27">
            <w:pPr>
              <w:ind w:left="113" w:right="113"/>
              <w:jc w:val="right"/>
              <w:rPr>
                <w:b w:val="0"/>
                <w:sz w:val="18"/>
                <w:szCs w:val="18"/>
              </w:rPr>
            </w:pPr>
            <w:r w:rsidRPr="00942782">
              <w:rPr>
                <w:b w:val="0"/>
                <w:sz w:val="18"/>
                <w:szCs w:val="18"/>
              </w:rPr>
              <w:t>Heat required</w:t>
            </w:r>
          </w:p>
          <w:p w14:paraId="3578B66D" w14:textId="77777777" w:rsidR="002A6FDB" w:rsidRPr="00942782" w:rsidRDefault="002A6FDB" w:rsidP="006F3D27">
            <w:pPr>
              <w:ind w:left="113" w:right="113"/>
              <w:jc w:val="right"/>
              <w:rPr>
                <w:b w:val="0"/>
                <w:sz w:val="18"/>
                <w:szCs w:val="18"/>
              </w:rPr>
            </w:pPr>
            <w:r w:rsidRPr="00942782">
              <w:rPr>
                <w:b w:val="0"/>
                <w:sz w:val="18"/>
                <w:szCs w:val="18"/>
              </w:rPr>
              <w:t>(</w:t>
            </w:r>
            <w:proofErr w:type="gramStart"/>
            <w:r w:rsidRPr="00942782">
              <w:rPr>
                <w:b w:val="0"/>
                <w:sz w:val="18"/>
                <w:szCs w:val="18"/>
              </w:rPr>
              <w:t>MJ.kg</w:t>
            </w:r>
            <w:r w:rsidRPr="00942782">
              <w:rPr>
                <w:b w:val="0"/>
                <w:sz w:val="18"/>
                <w:szCs w:val="18"/>
                <w:vertAlign w:val="subscript"/>
              </w:rPr>
              <w:t>water</w:t>
            </w:r>
            <w:proofErr w:type="gramEnd"/>
            <w:r w:rsidRPr="00942782">
              <w:rPr>
                <w:b w:val="0"/>
                <w:sz w:val="18"/>
                <w:szCs w:val="18"/>
                <w:vertAlign w:val="superscript"/>
              </w:rPr>
              <w:t>-1</w:t>
            </w:r>
            <w:r w:rsidRPr="00942782">
              <w:rPr>
                <w:b w:val="0"/>
                <w:sz w:val="18"/>
                <w:szCs w:val="18"/>
              </w:rPr>
              <w:t>)</w:t>
            </w:r>
          </w:p>
        </w:tc>
        <w:tc>
          <w:tcPr>
            <w:tcW w:w="763" w:type="dxa"/>
          </w:tcPr>
          <w:p w14:paraId="72FB4DF5" w14:textId="77777777" w:rsidR="002A6FDB" w:rsidRPr="00942782" w:rsidRDefault="002A6FDB" w:rsidP="00BB41E9">
            <w:pPr>
              <w:jc w:val="right"/>
              <w:cnfStyle w:val="000000100000" w:firstRow="0" w:lastRow="0" w:firstColumn="0" w:lastColumn="0" w:oddVBand="0" w:evenVBand="0" w:oddHBand="1" w:evenHBand="0" w:firstRowFirstColumn="0" w:firstRowLastColumn="0" w:lastRowFirstColumn="0" w:lastRowLastColumn="0"/>
              <w:rPr>
                <w:sz w:val="18"/>
                <w:szCs w:val="18"/>
              </w:rPr>
            </w:pPr>
            <w:r w:rsidRPr="00942782">
              <w:rPr>
                <w:sz w:val="18"/>
                <w:szCs w:val="18"/>
              </w:rPr>
              <w:t>Value</w:t>
            </w:r>
          </w:p>
        </w:tc>
        <w:tc>
          <w:tcPr>
            <w:tcW w:w="0" w:type="auto"/>
            <w:vMerge w:val="restart"/>
          </w:tcPr>
          <w:p w14:paraId="2DEAB275" w14:textId="77777777"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val="restart"/>
          </w:tcPr>
          <w:p w14:paraId="1FCCEF20" w14:textId="77777777"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13FE5015" w14:textId="77777777"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3</w:t>
            </w:r>
          </w:p>
        </w:tc>
      </w:tr>
      <w:tr w:rsidR="002A6FDB" w:rsidRPr="006F3D27" w14:paraId="370E6CB6" w14:textId="77777777" w:rsidTr="006F3D27">
        <w:tc>
          <w:tcPr>
            <w:cnfStyle w:val="001000000000" w:firstRow="0" w:lastRow="0" w:firstColumn="1" w:lastColumn="0" w:oddVBand="0" w:evenVBand="0" w:oddHBand="0" w:evenHBand="0" w:firstRowFirstColumn="0" w:firstRowLastColumn="0" w:lastRowFirstColumn="0" w:lastRowLastColumn="0"/>
            <w:tcW w:w="851" w:type="dxa"/>
            <w:vMerge/>
            <w:textDirection w:val="btLr"/>
          </w:tcPr>
          <w:p w14:paraId="6D190A3D" w14:textId="77777777" w:rsidR="002A6FDB" w:rsidRPr="00942782" w:rsidRDefault="002A6FDB" w:rsidP="006F3D27">
            <w:pPr>
              <w:ind w:left="113" w:right="113"/>
              <w:jc w:val="right"/>
              <w:rPr>
                <w:b w:val="0"/>
                <w:sz w:val="18"/>
                <w:szCs w:val="18"/>
              </w:rPr>
            </w:pPr>
          </w:p>
        </w:tc>
        <w:tc>
          <w:tcPr>
            <w:tcW w:w="763" w:type="dxa"/>
          </w:tcPr>
          <w:p w14:paraId="74AAB0A1" w14:textId="77777777" w:rsidR="002A6FDB" w:rsidRPr="00942782" w:rsidRDefault="002A6FDB" w:rsidP="00BB41E9">
            <w:pPr>
              <w:jc w:val="right"/>
              <w:cnfStyle w:val="000000000000" w:firstRow="0" w:lastRow="0" w:firstColumn="0" w:lastColumn="0" w:oddVBand="0" w:evenVBand="0" w:oddHBand="0" w:evenHBand="0" w:firstRowFirstColumn="0" w:firstRowLastColumn="0" w:lastRowFirstColumn="0" w:lastRowLastColumn="0"/>
              <w:rPr>
                <w:sz w:val="18"/>
                <w:szCs w:val="18"/>
              </w:rPr>
            </w:pPr>
            <w:r w:rsidRPr="00942782">
              <w:rPr>
                <w:sz w:val="18"/>
                <w:szCs w:val="18"/>
              </w:rPr>
              <w:t>Range</w:t>
            </w:r>
          </w:p>
        </w:tc>
        <w:tc>
          <w:tcPr>
            <w:tcW w:w="0" w:type="auto"/>
            <w:vMerge/>
          </w:tcPr>
          <w:p w14:paraId="53471509" w14:textId="77777777"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68FEE08B" w14:textId="77777777"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14F93261" w14:textId="77777777"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2.7-4.1</w:t>
            </w:r>
          </w:p>
        </w:tc>
      </w:tr>
      <w:tr w:rsidR="002A6FDB" w:rsidRPr="006F3D27" w14:paraId="6741AC58" w14:textId="77777777" w:rsidTr="006F3D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vMerge/>
            <w:textDirection w:val="btLr"/>
          </w:tcPr>
          <w:p w14:paraId="3F6D41CE" w14:textId="77777777" w:rsidR="002A6FDB" w:rsidRPr="00942782" w:rsidRDefault="002A6FDB" w:rsidP="006F3D27">
            <w:pPr>
              <w:ind w:left="113" w:right="113"/>
              <w:jc w:val="right"/>
              <w:rPr>
                <w:b w:val="0"/>
                <w:sz w:val="18"/>
                <w:szCs w:val="18"/>
              </w:rPr>
            </w:pPr>
          </w:p>
        </w:tc>
        <w:tc>
          <w:tcPr>
            <w:tcW w:w="763" w:type="dxa"/>
          </w:tcPr>
          <w:p w14:paraId="5D8264CF" w14:textId="77777777" w:rsidR="002A6FDB" w:rsidRPr="00942782" w:rsidRDefault="002A6FDB" w:rsidP="00BB41E9">
            <w:pPr>
              <w:jc w:val="right"/>
              <w:cnfStyle w:val="000000100000" w:firstRow="0" w:lastRow="0" w:firstColumn="0" w:lastColumn="0" w:oddVBand="0" w:evenVBand="0" w:oddHBand="1" w:evenHBand="0" w:firstRowFirstColumn="0" w:firstRowLastColumn="0" w:lastRowFirstColumn="0" w:lastRowLastColumn="0"/>
              <w:rPr>
                <w:sz w:val="18"/>
                <w:szCs w:val="18"/>
              </w:rPr>
            </w:pPr>
            <w:r w:rsidRPr="00942782">
              <w:rPr>
                <w:i/>
                <w:sz w:val="18"/>
                <w:szCs w:val="18"/>
              </w:rPr>
              <w:t>Comment</w:t>
            </w:r>
          </w:p>
        </w:tc>
        <w:tc>
          <w:tcPr>
            <w:tcW w:w="0" w:type="auto"/>
            <w:vMerge/>
          </w:tcPr>
          <w:p w14:paraId="6E624565" w14:textId="77777777"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tcPr>
          <w:p w14:paraId="4B0D189F" w14:textId="77777777"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50765903" w14:textId="4AE53EEA"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t>Higher range used by de Boer et al., 2014</w:t>
            </w:r>
            <w:r w:rsidRPr="006F3D27">
              <w:rPr>
                <w:i/>
                <w:sz w:val="18"/>
                <w:szCs w:val="18"/>
              </w:rPr>
              <w:fldChar w:fldCharType="begin"/>
            </w:r>
            <w:r w:rsidR="005413B4">
              <w:rPr>
                <w:i/>
                <w:sz w:val="18"/>
                <w:szCs w:val="18"/>
              </w:rPr>
              <w:instrText xml:space="preserve"> ADDIN ZOTERO_ITEM CSL_CITATION {"citationID":"UOnpC0Tq","properties":{"formattedCitation":"\\super 173\\nosupersub{}","plainCitation":"173","noteIndex":0},"citationItems":[{"id":10967,"uris":["http://zotero.org/users/6423791/items/P67XNRD9"],"itemData":{"id":10967,"type":"report","abstract":"UK The overall aim was to investigate if soybean products from South American can be replaced by protein sources produced in Europe in a sustainable way. Based on data from literature, and based on the systematics of the FeedPrint programme, the nutritional value and the carbon footprint (CFP) of these protein sources is determined. These protein sources are used in feed optimizations of a starter diet for pigs, thereby maintaining the nutritional value of the diet. Subsequently, the CFP of the grower diet is calculated. The results and conclusions will be discussed in this report.","collection-title":"Wageningen UR Livestock Research","event-place":"Lelystad","language":"en","number":"819","page":"47","publisher":"Wageningen","publisher-place":"Lelystad","source":"Zotero","title":"Replacement of soybean meal in compound feed by European protein sources","author":[{"family":"Boer","given":"H C","non-dropping-particle":"de"},{"family":"Krimpen","given":"M M","non-dropping-particle":"van"},{"family":"Blonk","given":"H"},{"family":"Tyszler","given":"M"}],"issued":{"date-parts":[["2014"]]}}}],"schema":"https://github.com/citation-style-language/schema/raw/master/csl-citation.json"}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173</w:t>
            </w:r>
            <w:r w:rsidRPr="006F3D27">
              <w:rPr>
                <w:i/>
                <w:sz w:val="18"/>
                <w:szCs w:val="18"/>
              </w:rPr>
              <w:fldChar w:fldCharType="end"/>
            </w:r>
            <w:r w:rsidRPr="006F3D27">
              <w:rPr>
                <w:i/>
                <w:sz w:val="18"/>
                <w:szCs w:val="18"/>
              </w:rPr>
              <w:t>. Best reported by Nappa et al., 2020</w:t>
            </w:r>
            <w:r w:rsidRPr="006F3D27">
              <w:rPr>
                <w:i/>
                <w:sz w:val="18"/>
                <w:szCs w:val="18"/>
              </w:rPr>
              <w:fldChar w:fldCharType="begin"/>
            </w:r>
            <w:r w:rsidR="005413B4">
              <w:rPr>
                <w:i/>
                <w:sz w:val="18"/>
                <w:szCs w:val="18"/>
              </w:rPr>
              <w:instrText xml:space="preserve"> ADDIN ZOTERO_ITEM CSL_CITATION {"citationID":"OX5sv4Km","properties":{"formattedCitation":"\\super 196\\nosupersub{}","plainCitation":"196","noteIndex":0},"citationItems":[{"id":12839,"uris":["http://zotero.org/users/6423791/items/Z8P5BF6M"],"itemData":{"id":12839,"type":"article-journal","abstract":"This study evaluates the techno-economic feasibility of five solar-powered concepts for the production of autotrophic microorganisms for food and feed production; the main focus is on three concepts based on hydrogen-oxidizing bacteria (HOB), which are further compared to two microalgae-related concepts. Two locations with markedly different solar conditions are considered (Finland and Morocco), in which Morocco was found to be the most economically competitive for the cultivation of microalgae in open ponds and closed systems (1.4 and 1.9 € kg–1, respectively). Biomass production by combined water electrolysis and HOB cultivation results in higher costs for all three considered concepts. Among these, the lowest production cost of 5.3 € kg–1 is associated with grid-assisted electricity use in Finland, while the highest production cost of &gt;9.1 € kg–1 is determined for concepts using solely photovoltaics and/or photoelectrochemical technology for on-site electricity production and solar-energy conversion to H2 by water electrolysis. All assessed concepts are capital intensive. Furthermore, a sensitivity analysis suggests that the production costs of HOB biomass can be lowered down to 2.1 € kg–1 by optimization of the process parameters among which volumetric productivity, electricity strategy, and electricity costs have the highest cost-saving potentials. The study reveals that continuously available electricity and H2 supply are essential for the development of a viable HOB concept due to the capital intensity of the needed technologies. In addition, volumetric productivity is the key parameter that needs to be optimized to increase the economic competitiveness of HOB production.","container-title":"ACS Omega","DOI":"10.1021/acsomega.0c04926","issue":"51","note":"publisher: American Chemical Society","page":"33242-33252","source":"ACS Publications","title":"Solar-Powered Carbon Fixation for Food and Feed Production Using Microorganisms—A Comparative Techno-Economic Analysis","volume":"5","author":[{"family":"Nappa","given":"Marja"},{"family":"Lienemann","given":"Michael"},{"family":"Tossi","given":"Camilla"},{"family":"Blomberg","given":"Peter"},{"family":"Jäntti","given":"Jussi"},{"family":"Tittonen","given":"Ilkka Juhani"},{"family":"Penttilä","given":"Merja"}],"issued":{"date-parts":[["2020",12,29]]}}}],"schema":"https://github.com/citation-style-language/schema/raw/master/csl-citation.json"}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196</w:t>
            </w:r>
            <w:r w:rsidRPr="006F3D27">
              <w:rPr>
                <w:i/>
                <w:sz w:val="18"/>
                <w:szCs w:val="18"/>
              </w:rPr>
              <w:fldChar w:fldCharType="end"/>
            </w:r>
            <w:r w:rsidRPr="006F3D27">
              <w:rPr>
                <w:i/>
                <w:sz w:val="18"/>
                <w:szCs w:val="18"/>
              </w:rPr>
              <w:t>. MP assessment usually uses 3.5-3.7</w:t>
            </w:r>
            <w:r w:rsidRPr="006F3D27">
              <w:rPr>
                <w:i/>
                <w:sz w:val="18"/>
                <w:szCs w:val="18"/>
              </w:rPr>
              <w:fldChar w:fldCharType="begin"/>
            </w:r>
            <w:r w:rsidR="005413B4">
              <w:rPr>
                <w:i/>
                <w:sz w:val="18"/>
                <w:szCs w:val="18"/>
              </w:rPr>
              <w:instrText xml:space="preserve"> ADDIN ZOTERO_ITEM CSL_CITATION {"citationID":"Z0a5l0pd","properties":{"formattedCitation":"\\super 175,183,187\\nosupersub{}","plainCitation":"175,183,187","noteIndex":0},"citationItems":[{"id":5124,"uris":["http://zotero.org/users/6423791/items/QSN5G6WV"],"itemData":{"id":5124,"type":"article-journal","container-title":"Science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L."}],"issued":{"date-parts":[["2021",2]]}}},{"id":558,"uris":["http://zotero.org/users/6423791/items/YPK9LCXF"],"itemData":{"id":558,"type":"article-journal","abstract":"One of the main challenges for the 21st century is to balance the increasing demand for high-quality proteins while mitigating environmental impacts. In particular, cropland-based production of protein-rich animal feed for livestock rearing results in large-scale agricultural land-expansion, nitrogen pollution, and greenhouse gas emissions. Here we propose and analyze the longterm potential of alternative animal feed supply routes based on industrial production of microbial proteins (MP). Our analysis reveals that by 2050, MP can replace, depending on socioeconomic development and MP production pathways, between 10−19% of conventional crop-based animal feed protein demand. As a result, global cropland area, global nitrogen losses from croplands and agricultural greenhouse gas emissions can be decreased by 6% (0−13%), 8% (−3−8%), and 7% (−6−9%), respectively. Interestingly, the technology to industrially produce MP at competitive costs is directly accessible for implementation and has the potential to cause a major structural change in the agro-food system.","container-title":"Environmental Science &amp; Technology","DOI":"10.1021/acs.est.8b00216","ISSN":"0013-936X, 1520-5851","issue":"13","journalAbbreviation":"Environ. Sci. Technol.","language":"en","page":"7351-7359","source":"DOI.org (Crossref)","title":"Decoupling Livestock from Land Use through Industrial Feed Production Pathways","volume":"52","author":[{"family":"Pikaar","given":"Ilje"},{"family":"Matassa","given":"Silvio"},{"family":"Bodirsky","given":"Benjamin L."},{"family":"Weindl","given":"Isabelle"},{"family":"Humpenöder","given":"Florian"},{"family":"Rabaey","given":"Korneel"},{"family":"Boon","given":"Nico"},{"family":"Bruschi","given":"Michele"},{"family":"Yuan","given":"Zhiguo"},{"family":"Zanten","given":"Hannah","non-dropping-particle":"van"},{"family":"Herrero","given":"Mario"},{"family":"Verstraete","given":"Willy"},{"family":"Popp","given":"Alexander"}],"issued":{"date-parts":[["2018",7,3]]}}},{"id":11540,"uris":["http://zotero.org/users/6423791/items/L9NYDA2K"],"itemData":{"id":11540,"type":"article-journal","abstract":"Population growth and changes in dietary patterns place an ever-growing pressure on the environment. Feeding the world within sustainable boundaries therefore requires revolutionizing the way we harness natural resources. Microbial biomass can be cultivated to yield protein-rich feed and food supplements, collectively termed single-cell protein (SCP). Yet, we still lack a quantitative comparison between traditional agriculture and photovoltaic-driven SCP systems in terms of land use and energetic efficiency. Here, we analyze the energetic efficiency of harnessing solar energy to produce SCP from air and water. Our model includes photovoltaic electricity generation, direct air capture of carbon dioxide, electrosynthesis of an electron donor and/or carbon source for microbial growth (hydrogen, formate, or methanol), microbial cultivation, and the processing of biomass and proteins. We show that, per unit of land, SCP production can reach an over 10-fold higher protein yield and at least twice the caloric yield compared with any staple crop. Altogether, this quantitative analysis offers an assessment of the future potential of photovoltaic-driven microbial foods to supplement conventional agricultural production and support resource-efficient protein supply on a global scale.","container-title":"Proceedings of the National Academy of Sciences","DOI":"10.1073/pnas.2015025118","ISSN":"0027-8424, 1091-6490","issue":"26","journalAbbreviation":"Proc Natl Acad Sci USA","language":"en","page":"e2015025118","source":"DOI.org (Crossref)","title":"Photovoltaic-driven microbial protein production can use land and sunlight more efficiently than conventional crops","volume":"118","author":[{"family":"Leger","given":"Dorian"},{"family":"Matassa","given":"Silvio"},{"family":"Noor","given":"Elad"},{"family":"Shepon","given":"Alon"},{"family":"Milo","given":"Ron"},{"family":"Bar-Even","given":"Arren"}],"issued":{"date-parts":[["2021",6,29]]}}}],"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175,183,187</w:t>
            </w:r>
            <w:r w:rsidRPr="006F3D27">
              <w:rPr>
                <w:i/>
                <w:sz w:val="18"/>
                <w:szCs w:val="18"/>
              </w:rPr>
              <w:fldChar w:fldCharType="end"/>
            </w:r>
            <w:r w:rsidRPr="006F3D27">
              <w:rPr>
                <w:i/>
                <w:sz w:val="18"/>
                <w:szCs w:val="18"/>
              </w:rPr>
              <w:t xml:space="preserve"> Base value lower range for heat synergies.</w:t>
            </w:r>
          </w:p>
        </w:tc>
      </w:tr>
      <w:tr w:rsidR="002A6FDB" w:rsidRPr="006F3D27" w14:paraId="69D0AC2F" w14:textId="77777777" w:rsidTr="006F3D27">
        <w:tc>
          <w:tcPr>
            <w:cnfStyle w:val="001000000000" w:firstRow="0" w:lastRow="0" w:firstColumn="1" w:lastColumn="0" w:oddVBand="0" w:evenVBand="0" w:oddHBand="0" w:evenHBand="0" w:firstRowFirstColumn="0" w:firstRowLastColumn="0" w:lastRowFirstColumn="0" w:lastRowLastColumn="0"/>
            <w:tcW w:w="851" w:type="dxa"/>
            <w:vMerge w:val="restart"/>
            <w:textDirection w:val="btLr"/>
          </w:tcPr>
          <w:p w14:paraId="5D7D8728" w14:textId="77777777" w:rsidR="002A6FDB" w:rsidRPr="00942782" w:rsidRDefault="002A6FDB" w:rsidP="006F3D27">
            <w:pPr>
              <w:ind w:left="113" w:right="113"/>
              <w:jc w:val="right"/>
              <w:rPr>
                <w:b w:val="0"/>
                <w:sz w:val="18"/>
                <w:szCs w:val="18"/>
              </w:rPr>
            </w:pPr>
            <w:r w:rsidRPr="00942782">
              <w:rPr>
                <w:b w:val="0"/>
                <w:sz w:val="18"/>
                <w:szCs w:val="18"/>
              </w:rPr>
              <w:t>Biomass loss</w:t>
            </w:r>
          </w:p>
          <w:p w14:paraId="33B6E58B" w14:textId="77777777" w:rsidR="002A6FDB" w:rsidRPr="00942782" w:rsidRDefault="002A6FDB" w:rsidP="006F3D27">
            <w:pPr>
              <w:ind w:left="113" w:right="113"/>
              <w:jc w:val="right"/>
              <w:rPr>
                <w:b w:val="0"/>
                <w:sz w:val="18"/>
                <w:szCs w:val="18"/>
              </w:rPr>
            </w:pPr>
            <w:r w:rsidRPr="00942782">
              <w:rPr>
                <w:b w:val="0"/>
                <w:sz w:val="18"/>
                <w:szCs w:val="18"/>
              </w:rPr>
              <w:t>(%</w:t>
            </w:r>
            <w:r w:rsidRPr="00942782">
              <w:rPr>
                <w:b w:val="0"/>
                <w:sz w:val="18"/>
                <w:szCs w:val="18"/>
                <w:vertAlign w:val="subscript"/>
              </w:rPr>
              <w:t>in</w:t>
            </w:r>
            <w:r w:rsidRPr="00942782">
              <w:rPr>
                <w:b w:val="0"/>
                <w:sz w:val="18"/>
                <w:szCs w:val="18"/>
              </w:rPr>
              <w:t>)</w:t>
            </w:r>
          </w:p>
        </w:tc>
        <w:tc>
          <w:tcPr>
            <w:tcW w:w="763" w:type="dxa"/>
          </w:tcPr>
          <w:p w14:paraId="0A90E170" w14:textId="77777777" w:rsidR="002A6FDB" w:rsidRPr="00942782" w:rsidRDefault="002A6FDB" w:rsidP="00BB41E9">
            <w:pPr>
              <w:jc w:val="right"/>
              <w:cnfStyle w:val="000000000000" w:firstRow="0" w:lastRow="0" w:firstColumn="0" w:lastColumn="0" w:oddVBand="0" w:evenVBand="0" w:oddHBand="0" w:evenHBand="0" w:firstRowFirstColumn="0" w:firstRowLastColumn="0" w:lastRowFirstColumn="0" w:lastRowLastColumn="0"/>
              <w:rPr>
                <w:sz w:val="18"/>
                <w:szCs w:val="18"/>
              </w:rPr>
            </w:pPr>
            <w:r w:rsidRPr="00942782">
              <w:rPr>
                <w:sz w:val="18"/>
                <w:szCs w:val="18"/>
              </w:rPr>
              <w:t>Value</w:t>
            </w:r>
          </w:p>
        </w:tc>
        <w:tc>
          <w:tcPr>
            <w:tcW w:w="0" w:type="auto"/>
          </w:tcPr>
          <w:p w14:paraId="7325344A" w14:textId="77777777"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0%</w:t>
            </w:r>
          </w:p>
        </w:tc>
        <w:tc>
          <w:tcPr>
            <w:tcW w:w="0" w:type="auto"/>
          </w:tcPr>
          <w:p w14:paraId="7553FA55" w14:textId="77777777"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3%</w:t>
            </w:r>
          </w:p>
        </w:tc>
        <w:tc>
          <w:tcPr>
            <w:tcW w:w="0" w:type="auto"/>
          </w:tcPr>
          <w:p w14:paraId="31B78E09" w14:textId="77777777"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0%</w:t>
            </w:r>
          </w:p>
        </w:tc>
      </w:tr>
      <w:tr w:rsidR="002A6FDB" w:rsidRPr="006F3D27" w14:paraId="5ADFB05C" w14:textId="77777777" w:rsidTr="006F3D2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51" w:type="dxa"/>
            <w:vMerge/>
          </w:tcPr>
          <w:p w14:paraId="056A7AC4" w14:textId="77777777" w:rsidR="002A6FDB" w:rsidRPr="00942782" w:rsidRDefault="002A6FDB" w:rsidP="00BB41E9">
            <w:pPr>
              <w:rPr>
                <w:b w:val="0"/>
                <w:sz w:val="18"/>
                <w:szCs w:val="18"/>
              </w:rPr>
            </w:pPr>
          </w:p>
        </w:tc>
        <w:tc>
          <w:tcPr>
            <w:tcW w:w="763" w:type="dxa"/>
          </w:tcPr>
          <w:p w14:paraId="60F4760F" w14:textId="77777777" w:rsidR="002A6FDB" w:rsidRPr="00942782" w:rsidRDefault="002A6FDB" w:rsidP="00BB41E9">
            <w:pPr>
              <w:jc w:val="right"/>
              <w:cnfStyle w:val="000000100000" w:firstRow="0" w:lastRow="0" w:firstColumn="0" w:lastColumn="0" w:oddVBand="0" w:evenVBand="0" w:oddHBand="1" w:evenHBand="0" w:firstRowFirstColumn="0" w:firstRowLastColumn="0" w:lastRowFirstColumn="0" w:lastRowLastColumn="0"/>
              <w:rPr>
                <w:sz w:val="18"/>
                <w:szCs w:val="18"/>
              </w:rPr>
            </w:pPr>
            <w:r w:rsidRPr="00942782">
              <w:rPr>
                <w:sz w:val="18"/>
                <w:szCs w:val="18"/>
              </w:rPr>
              <w:t>Range</w:t>
            </w:r>
          </w:p>
        </w:tc>
        <w:tc>
          <w:tcPr>
            <w:tcW w:w="0" w:type="auto"/>
          </w:tcPr>
          <w:p w14:paraId="1D621AE2" w14:textId="77777777"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n.a.</w:t>
            </w:r>
          </w:p>
        </w:tc>
        <w:tc>
          <w:tcPr>
            <w:tcW w:w="0" w:type="auto"/>
          </w:tcPr>
          <w:p w14:paraId="57AE0620" w14:textId="77777777"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1-6%</w:t>
            </w:r>
          </w:p>
        </w:tc>
        <w:tc>
          <w:tcPr>
            <w:tcW w:w="0" w:type="auto"/>
          </w:tcPr>
          <w:p w14:paraId="4A2DD20A" w14:textId="77777777" w:rsidR="002A6FDB" w:rsidRPr="006F3D27" w:rsidRDefault="002A6FDB" w:rsidP="00E12655">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n.a.</w:t>
            </w:r>
          </w:p>
        </w:tc>
      </w:tr>
      <w:tr w:rsidR="002A6FDB" w:rsidRPr="006F3D27" w14:paraId="4C4D4980" w14:textId="77777777" w:rsidTr="006F3D27">
        <w:tc>
          <w:tcPr>
            <w:cnfStyle w:val="001000000000" w:firstRow="0" w:lastRow="0" w:firstColumn="1" w:lastColumn="0" w:oddVBand="0" w:evenVBand="0" w:oddHBand="0" w:evenHBand="0" w:firstRowFirstColumn="0" w:firstRowLastColumn="0" w:lastRowFirstColumn="0" w:lastRowLastColumn="0"/>
            <w:tcW w:w="851" w:type="dxa"/>
            <w:vMerge/>
          </w:tcPr>
          <w:p w14:paraId="527D9462" w14:textId="77777777" w:rsidR="002A6FDB" w:rsidRPr="00942782" w:rsidRDefault="002A6FDB" w:rsidP="00BB41E9">
            <w:pPr>
              <w:rPr>
                <w:b w:val="0"/>
                <w:sz w:val="18"/>
                <w:szCs w:val="18"/>
              </w:rPr>
            </w:pPr>
          </w:p>
        </w:tc>
        <w:tc>
          <w:tcPr>
            <w:tcW w:w="763" w:type="dxa"/>
          </w:tcPr>
          <w:p w14:paraId="36B26113" w14:textId="77777777" w:rsidR="002A6FDB" w:rsidRPr="00942782" w:rsidRDefault="002A6FDB" w:rsidP="00BB41E9">
            <w:pPr>
              <w:jc w:val="right"/>
              <w:cnfStyle w:val="000000000000" w:firstRow="0" w:lastRow="0" w:firstColumn="0" w:lastColumn="0" w:oddVBand="0" w:evenVBand="0" w:oddHBand="0" w:evenHBand="0" w:firstRowFirstColumn="0" w:firstRowLastColumn="0" w:lastRowFirstColumn="0" w:lastRowLastColumn="0"/>
              <w:rPr>
                <w:i/>
                <w:sz w:val="18"/>
                <w:szCs w:val="18"/>
              </w:rPr>
            </w:pPr>
            <w:r w:rsidRPr="00942782">
              <w:rPr>
                <w:i/>
                <w:sz w:val="18"/>
                <w:szCs w:val="18"/>
              </w:rPr>
              <w:t>Comment</w:t>
            </w:r>
          </w:p>
        </w:tc>
        <w:tc>
          <w:tcPr>
            <w:tcW w:w="0" w:type="auto"/>
          </w:tcPr>
          <w:p w14:paraId="7442D7D6" w14:textId="77777777"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fixed</w:t>
            </w:r>
          </w:p>
        </w:tc>
        <w:tc>
          <w:tcPr>
            <w:tcW w:w="0" w:type="auto"/>
          </w:tcPr>
          <w:p w14:paraId="435F26F3" w14:textId="3BDAE8A8"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Higher value when double stage centrifuge</w:t>
            </w:r>
            <w:r w:rsidRPr="006F3D27">
              <w:rPr>
                <w:i/>
                <w:sz w:val="18"/>
                <w:szCs w:val="18"/>
              </w:rPr>
              <w:fldChar w:fldCharType="begin"/>
            </w:r>
            <w:r w:rsidR="00827449">
              <w:rPr>
                <w:i/>
                <w:sz w:val="18"/>
                <w:szCs w:val="18"/>
              </w:rPr>
              <w:instrText xml:space="preserve"> ADDIN ZOTERO_ITEM CSL_CITATION {"citationID":"0EhmtpMm","properties":{"formattedCitation":"\\super 41\\nosupersub{}","plainCitation":"41","noteIndex":0},"citationItems":[{"id":13068,"uris":["http://zotero.org/users/6423791/items/RK8J2DQC"],"itemData":{"id":13068,"type":"article-journal","abstract":"Alternative protein sources such as microbial protein (MP) are currently considered to alleviate the burden that food production exerts on the environment. Even though MP production is highly efficient in land and nutrient utilization, their carbon footprint should be improved. Here we propose the use of CCU as a driver for heterotrophic MP production. By comparing different MP production routes starting from liquid substrates derived from CO2 (i.e., formate, acetate, methanol, and ethanol) and their respective metabolic pathways, the potential of this concept as a carbon–neutral food or feed production process was estimated. Acetate and ethanol appear to be the most beneficial substrates for the integrated CCU-to-MP process in terms of electricity demand (acetate: 25 – 54 kWh/kgproduct, ethanol: 28 – 56 kWh/kgproduct). Moreover, recycling CO2 enables a carbon-negative protein production process by 2030 (considering the projected CO2 emissions from electricity in the EU: 0.096 kgCO2-eq/kWh) for formate, acetate, and ethanol (-1.1 up to 13 kgCO2-eq/kgproduct).","container-title":"Bioresource Technology","DOI":"10.1016/j.biortech.2022.126853","ISSN":"0960-8524","journalAbbreviation":"Bioresour. Technol.","language":"en","page":"126853","source":"ScienceDirect","title":"Towards new carbon–neutral food systems: Combining carbon capture and utilization with microbial protein production","title-short":"Towards new carbon–neutral food systems","volume":"349","author":[{"family":"Van Peteghem","given":"L."},{"family":"Sakarika","given":"M."},{"family":"Matassa","given":"S."},{"family":"Pikaar","given":"I."},{"family":"Ganigué","given":"R."},{"family":"Rabaey","given":"K."}],"issued":{"date-parts":[["2022",4,1]]}}}],"schema":"https://github.com/citation-style-language/schema/raw/master/csl-citation.json"} </w:instrText>
            </w:r>
            <w:r w:rsidRPr="006F3D27">
              <w:rPr>
                <w:i/>
                <w:sz w:val="18"/>
                <w:szCs w:val="18"/>
              </w:rPr>
              <w:fldChar w:fldCharType="separate"/>
            </w:r>
            <w:r w:rsidR="008C451C" w:rsidRPr="008C451C">
              <w:rPr>
                <w:rFonts w:ascii="Calibri" w:hAnsi="Calibri" w:cs="Calibri"/>
                <w:sz w:val="18"/>
                <w:szCs w:val="24"/>
                <w:vertAlign w:val="superscript"/>
              </w:rPr>
              <w:t>41</w:t>
            </w:r>
            <w:r w:rsidRPr="006F3D27">
              <w:rPr>
                <w:i/>
                <w:sz w:val="18"/>
                <w:szCs w:val="18"/>
              </w:rPr>
              <w:fldChar w:fldCharType="end"/>
            </w:r>
            <w:r w:rsidRPr="006F3D27">
              <w:rPr>
                <w:i/>
                <w:sz w:val="18"/>
                <w:szCs w:val="18"/>
              </w:rPr>
              <w:t>, lower value assumed by Marami et al., 2022</w:t>
            </w:r>
            <w:r w:rsidRPr="006F3D27">
              <w:rPr>
                <w:i/>
                <w:sz w:val="18"/>
                <w:szCs w:val="18"/>
              </w:rPr>
              <w:fldChar w:fldCharType="begin"/>
            </w:r>
            <w:r w:rsidR="005413B4">
              <w:rPr>
                <w:i/>
                <w:sz w:val="18"/>
                <w:szCs w:val="18"/>
              </w:rPr>
              <w:instrText xml:space="preserve"> ADDIN ZOTERO_ITEM CSL_CITATION {"citationID":"UxF9c2EH","properties":{"formattedCitation":"\\super 199\\nosupersub{}","plainCitation":"199","noteIndex":0},"citationItems":[{"id":12866,"uris":["http://zotero.org/users/6423791/items/26C4AHVP"],"itemData":{"id":12866,"type":"article-journal","abstract":"The growing population and the consequent protein scarcity have led to innovation in proteinaceous feed production methods. In this regard, the upcycling of nitrogen rich effluents into microbial protein (MP)/single cell protein (SCP) is considered as an innovative solution. This paper aims to employ life cycle assessment to identify the most environmentally friendly strategy to upcycle nitrogen (N) and carbon (C) flows from wastewater treatment plant (WWTP) into MP. Accordingly, several pathways for integrating WWTP and MP production facility were evaluated, in terms of C source (i.e., biogas or biomethane) and the pretreatment method applied to the reject water (RW) (i.e., centrifugation + filtration + pasteurization, electrochemical extraction, bio-electrochemical extraction). The results indicated that electrochemical and bio-electrochemical N recovery not only safely extracted N from RW but also led to promising solution for MP production from WWTP effluents. The pathway including bio-electrochemical N recovery and use of biologically upgraded biogas for MP had 42.17%, 195.95%, and 172.03% better environmental performance regarding human health, ecosystem quality, and resource scarcity, respectively, compared with standalone WWTP without MP production. However, the electrochemical N recovery outperformed other scenarios in the human health damage category with a net impact of 2.72 DALY/FU and in ecosystem quality damage category with a saving of −0.033 Species/FU. The results reported herein indicated that the use of chemical nutrients to enrich the cultivation medium had significant impacts on the overall environmental performance of the suggested biorefinery. Decreasing the consumption of synthetic nutrients and improving N to protein conversion efficiency by 20% can make the established pathway much more competitive with conventional proteinaceous feed sources such as soybean meal.","container-title":"Renewable and Sustainable Energy Reviews","DOI":"10.1016/j.rser.2021.111895","ISSN":"1364-0321","journalAbbreviation":"Renew. Sust. Energ. Rev.","language":"en","page":"111895","source":"ScienceDirect","title":"Bridging to circular bioeconomy through a novel biorefinery platform on a wastewater treatment plant","volume":"154","author":[{"family":"Marami","given":"Hadis"},{"family":"He","given":"Li"},{"family":"Rafiee","given":"Shahin"},{"family":"Khoshnevisan","given":"Benyamin"},{"family":"Tsapekos","given":"Panagiotis"},{"family":"Mobli","given":"Hossein"},{"family":"Elyasi","given":"Seyedeh Nashmin"},{"family":"Liu","given":"Hongbin"},{"family":"Angelidaki","given":"Irini"}],"issued":{"date-parts":[["2022",2,1]]}}}],"schema":"https://github.com/citation-style-language/schema/raw/master/csl-citation.json"}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199</w:t>
            </w:r>
            <w:r w:rsidRPr="006F3D27">
              <w:rPr>
                <w:i/>
                <w:sz w:val="18"/>
                <w:szCs w:val="18"/>
              </w:rPr>
              <w:fldChar w:fldCharType="end"/>
            </w:r>
            <w:r w:rsidRPr="006F3D27">
              <w:rPr>
                <w:i/>
                <w:sz w:val="18"/>
                <w:szCs w:val="18"/>
              </w:rPr>
              <w:t>. Base value as single stage</w:t>
            </w:r>
            <w:r w:rsidRPr="006F3D27">
              <w:rPr>
                <w:i/>
                <w:sz w:val="18"/>
                <w:szCs w:val="18"/>
              </w:rPr>
              <w:fldChar w:fldCharType="begin"/>
            </w:r>
            <w:r w:rsidR="005413B4">
              <w:rPr>
                <w:i/>
                <w:sz w:val="18"/>
                <w:szCs w:val="18"/>
              </w:rPr>
              <w:instrText xml:space="preserve"> ADDIN ZOTERO_ITEM CSL_CITATION {"citationID":"oBVtSxDp","properties":{"formattedCitation":"\\super 41,186\\nosupersub{}","plainCitation":"41,186","noteIndex":0},"citationItems":[{"id":13068,"uris":["http://zotero.org/users/6423791/items/RK8J2DQC"],"itemData":{"id":13068,"type":"article-journal","abstract":"Alternative protein sources such as microbial protein (MP) are currently considered to alleviate the burden that food production exerts on the environment. Even though MP production is highly efficient in land and nutrient utilization, their carbon footprint should be improved. Here we propose the use of CCU as a driver for heterotrophic MP production. By comparing different MP production routes starting from liquid substrates derived from CO2 (i.e., formate, acetate, methanol, and ethanol) and their respective metabolic pathways, the potential of this concept as a carbon–neutral food or feed production process was estimated. Acetate and ethanol appear to be the most beneficial substrates for the integrated CCU-to-MP process in terms of electricity demand (acetate: 25 – 54 kWh/kgproduct, ethanol: 28 – 56 kWh/kgproduct). Moreover, recycling CO2 enables a carbon-negative protein production process by 2030 (considering the projected CO2 emissions from electricity in the EU: 0.096 kgCO2-eq/kWh) for formate, acetate, and ethanol (-1.1 up to 13 kgCO2-eq/kgproduct).","container-title":"Bioresource Technology","DOI":"10.1016/j.biortech.2022.126853","ISSN":"0960-8524","journalAbbreviation":"Bioresour. Technol.","language":"en","page":"126853","source":"ScienceDirect","title":"Towards new carbon–neutral food systems: Combining carbon capture and utilization with microbial protein production","title-short":"Towards new carbon–neutral food systems","volume":"349","author":[{"family":"Van Peteghem","given":"L."},{"family":"Sakarika","given":"M."},{"family":"Matassa","given":"S."},{"family":"Pikaar","given":"I."},{"family":"Ganigué","given":"R."},{"family":"Rabaey","given":"K."}],"issued":{"date-parts":[["2022",4,1]]}}},{"id":12881,"uris":["http://zotero.org/users/6423791/items/XFWA5FUP"],"itemData":{"id":12881,"type":"article-journal","abstract":"A major obstacle preventing the large scale production of polyhydroxyalkanoates (PHAs) has been the lack of a reliable, low cost, large volume feedstock. The abundance and relatively low price of methane therefore marks it as a substrate of interest. This paper presents a techno-economic assessment of the production of poly-3-hydroxybutyrate (PHB) from methane. ASPEN Plus was used for process design and simulation. The design and economic evaluation is presented for production of 100,000t/a PHB through methanotrophic fermentation and acetone-water solvent extraction. Production costs were estimated at $4.1–$6.8/kg PHA, which compares against a median price of $7.5/kg from other studies. Raw material costs are reduced from 30 to 50% of production for sugar feedstocks, to 22% of production for methane. A feature of the work is the revelation that heat removal from the two-stage bioreactor process contributes 28% of the operating cost. Thermophilic methanotrophs could allow the use of cooling water instead of refrigerant, reducing production costs to $3.2–5.4/kg PHA; it is noted that PHB producing thermophilic methanotrophs are yet to be isolated. Energy consumption for air compression and biomass drying were also identified as significant capital and operating costs and therefore optimisation of bioreactor height and pressure and biomass moisture content should be considered in future research.","container-title":"Journal of Environmental Chemical Engineering","DOI":"10.1016/j.jece.2016.07.033","ISSN":"2213-3437","issue":"4, Part A","journalAbbreviation":"J. Environ. Chem. Eng.","language":"en","page":"3724-3733","source":"ScienceDirect","title":"Techno-economic assessment of poly-3-hydroxybutyrate (PHB) production from methane—The case for thermophilic bioprocessing","volume":"4","author":[{"family":"Levett","given":"Ian"},{"family":"Birkett","given":"Greg"},{"family":"Davies","given":"Nick"},{"family":"Bell","given":"Aidan"},{"family":"Langford","given":"Alexandra"},{"family":"Laycock","given":"Bronwyn"},{"family":"Lant","given":"Paul"},{"family":"Pratt","given":"Steven"}],"issued":{"date-parts":[["2016",12,1]]}}}],"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41,186</w:t>
            </w:r>
            <w:r w:rsidRPr="006F3D27">
              <w:rPr>
                <w:i/>
                <w:sz w:val="18"/>
                <w:szCs w:val="18"/>
              </w:rPr>
              <w:fldChar w:fldCharType="end"/>
            </w:r>
            <w:r w:rsidRPr="006F3D27">
              <w:rPr>
                <w:i/>
                <w:sz w:val="18"/>
                <w:szCs w:val="18"/>
              </w:rPr>
              <w:t>.</w:t>
            </w:r>
          </w:p>
        </w:tc>
        <w:tc>
          <w:tcPr>
            <w:tcW w:w="0" w:type="auto"/>
          </w:tcPr>
          <w:p w14:paraId="34661C02" w14:textId="77777777" w:rsidR="002A6FDB" w:rsidRPr="006F3D27" w:rsidRDefault="002A6FDB" w:rsidP="00E12655">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fixed</w:t>
            </w:r>
          </w:p>
        </w:tc>
      </w:tr>
    </w:tbl>
    <w:p w14:paraId="246660F4" w14:textId="78F4CBA4" w:rsidR="002A6FDB" w:rsidRDefault="002A6FDB" w:rsidP="00942782">
      <w:pPr>
        <w:rPr>
          <w:sz w:val="18"/>
        </w:rPr>
      </w:pPr>
      <w:r w:rsidRPr="003F5DA8">
        <w:rPr>
          <w:sz w:val="18"/>
        </w:rPr>
        <w:t>RNA treatment not represented as not retained for MP production.</w:t>
      </w:r>
    </w:p>
    <w:p w14:paraId="06A237E7" w14:textId="77777777" w:rsidR="002A6FDB" w:rsidRPr="002A6FDB" w:rsidRDefault="002A6FDB" w:rsidP="00E12655">
      <w:pPr>
        <w:pStyle w:val="Titre4"/>
      </w:pPr>
      <w:r w:rsidRPr="002A6FDB">
        <w:t>Water recovery and make-up</w:t>
      </w:r>
    </w:p>
    <w:p w14:paraId="0D8A4CDC" w14:textId="17F85E6B" w:rsidR="004A3FE2" w:rsidRDefault="00E12655" w:rsidP="00E12655">
      <w:pPr>
        <w:ind w:firstLine="360"/>
        <w:jc w:val="both"/>
      </w:pPr>
      <w:bookmarkStart w:id="327" w:name="_Hlk141452326"/>
      <w:bookmarkStart w:id="328" w:name="_Toc134537723"/>
      <w:r w:rsidRPr="00E12655">
        <w:t xml:space="preserve">Warm centrifuged water outlet was cooled by mixing with UF outlet water; no specific inventory was modeled (passive system). </w:t>
      </w:r>
      <w:bookmarkStart w:id="329" w:name="_Hlk141452361"/>
      <w:bookmarkEnd w:id="327"/>
      <w:r w:rsidRPr="00E12655">
        <w:t>Most of benchmarked assessments (</w:t>
      </w:r>
      <w:r w:rsidRPr="00E12655">
        <w:rPr>
          <w:b/>
        </w:rPr>
        <w:fldChar w:fldCharType="begin"/>
      </w:r>
      <w:r w:rsidRPr="00E12655">
        <w:rPr>
          <w:b/>
        </w:rPr>
        <w:instrText xml:space="preserve"> REF _Ref144822902 \h </w:instrText>
      </w:r>
      <w:r>
        <w:rPr>
          <w:b/>
        </w:rPr>
        <w:instrText xml:space="preserve"> \* MERGEFORMAT </w:instrText>
      </w:r>
      <w:r w:rsidRPr="00E12655">
        <w:rPr>
          <w:b/>
        </w:rPr>
      </w:r>
      <w:r w:rsidRPr="00E12655">
        <w:rPr>
          <w:b/>
        </w:rPr>
        <w:fldChar w:fldCharType="separate"/>
      </w:r>
      <w:r w:rsidR="00F25F8C" w:rsidRPr="00F25F8C">
        <w:rPr>
          <w:b/>
        </w:rPr>
        <w:t xml:space="preserve">Table SI. </w:t>
      </w:r>
      <w:r w:rsidR="00F25F8C" w:rsidRPr="00F25F8C">
        <w:rPr>
          <w:b/>
          <w:noProof/>
        </w:rPr>
        <w:t>55</w:t>
      </w:r>
      <w:r w:rsidRPr="00E12655">
        <w:rPr>
          <w:b/>
        </w:rPr>
        <w:fldChar w:fldCharType="end"/>
      </w:r>
      <w:r w:rsidRPr="00E12655">
        <w:t>) consider that water should be recycled. Indeed, water consumption was reported as a critical aspect for viable MP production, as these are cultured in highly diluted media (</w:t>
      </w:r>
      <w:r w:rsidRPr="00E12655">
        <w:rPr>
          <w:b/>
        </w:rPr>
        <w:fldChar w:fldCharType="begin"/>
      </w:r>
      <w:r w:rsidRPr="00E12655">
        <w:rPr>
          <w:b/>
        </w:rPr>
        <w:instrText xml:space="preserve"> REF _Ref144828671 \h </w:instrText>
      </w:r>
      <w:r>
        <w:rPr>
          <w:b/>
        </w:rPr>
        <w:instrText xml:space="preserve"> \* MERGEFORMAT </w:instrText>
      </w:r>
      <w:r w:rsidRPr="00E12655">
        <w:rPr>
          <w:b/>
        </w:rPr>
      </w:r>
      <w:r w:rsidRPr="00E12655">
        <w:rPr>
          <w:b/>
        </w:rPr>
        <w:fldChar w:fldCharType="separate"/>
      </w:r>
      <w:r w:rsidR="00F25F8C" w:rsidRPr="00F25F8C">
        <w:rPr>
          <w:b/>
        </w:rPr>
        <w:t xml:space="preserve">Table SI. </w:t>
      </w:r>
      <w:r w:rsidR="00F25F8C" w:rsidRPr="00F25F8C">
        <w:rPr>
          <w:b/>
          <w:noProof/>
        </w:rPr>
        <w:t>72</w:t>
      </w:r>
      <w:r w:rsidRPr="00E12655">
        <w:rPr>
          <w:b/>
        </w:rPr>
        <w:fldChar w:fldCharType="end"/>
      </w:r>
      <w:r w:rsidRPr="00E12655">
        <w:t xml:space="preserve">). </w:t>
      </w:r>
      <w:bookmarkEnd w:id="329"/>
      <w:r w:rsidRPr="00E12655">
        <w:t xml:space="preserve">Moreover, recycling water enables to recover unused nutrients. </w:t>
      </w:r>
      <w:bookmarkStart w:id="330" w:name="_Hlk141452420"/>
      <w:r w:rsidRPr="00E12655">
        <w:t>Nevertheless, a share of water needs to be purged to prevent accumulation of nutrients and neoformed compounds</w:t>
      </w:r>
      <w:r w:rsidRPr="00E12655">
        <w:fldChar w:fldCharType="begin"/>
      </w:r>
      <w:r w:rsidR="00827449">
        <w:instrText xml:space="preserve"> ADDIN ZOTERO_ITEM CSL_CITATION {"citationID":"yq7RYRsY","properties":{"formattedCitation":"\\super 41\\nosupersub{}","plainCitation":"41","noteIndex":0},"citationItems":[{"id":13068,"uris":["http://zotero.org/users/6423791/items/RK8J2DQC"],"itemData":{"id":13068,"type":"article-journal","abstract":"Alternative protein sources such as microbial protein (MP) are currently considered to alleviate the burden that food production exerts on the environment. Even though MP production is highly efficient in land and nutrient utilization, their carbon footprint should be improved. Here we propose the use of CCU as a driver for heterotrophic MP production. By comparing different MP production routes starting from liquid substrates derived from CO2 (i.e., formate, acetate, methanol, and ethanol) and their respective metabolic pathways, the potential of this concept as a carbon–neutral food or feed production process was estimated. Acetate and ethanol appear to be the most beneficial substrates for the integrated CCU-to-MP process in terms of electricity demand (acetate: 25 – 54 kWh/kgproduct, ethanol: 28 – 56 kWh/kgproduct). Moreover, recycling CO2 enables a carbon-negative protein production process by 2030 (considering the projected CO2 emissions from electricity in the EU: 0.096 kgCO2-eq/kWh) for formate, acetate, and ethanol (-1.1 up to 13 kgCO2-eq/kgproduct).","container-title":"Bioresource Technology","DOI":"10.1016/j.biortech.2022.126853","ISSN":"0960-8524","journalAbbreviation":"Bioresour. Technol.","language":"en","page":"126853","source":"ScienceDirect","title":"Towards new carbon–neutral food systems: Combining carbon capture and utilization with microbial protein production","title-short":"Towards new carbon–neutral food systems","volume":"349","author":[{"family":"Van Peteghem","given":"L."},{"family":"Sakarika","given":"M."},{"family":"Matassa","given":"S."},{"family":"Pikaar","given":"I."},{"family":"Ganigué","given":"R."},{"family":"Rabaey","given":"K."}],"issued":{"date-parts":[["2022",4,1]]}}}],"schema":"https://github.com/citation-style-language/schema/raw/master/csl-citation.json"} </w:instrText>
      </w:r>
      <w:r w:rsidRPr="00E12655">
        <w:fldChar w:fldCharType="separate"/>
      </w:r>
      <w:r w:rsidR="008C451C" w:rsidRPr="008C451C">
        <w:rPr>
          <w:rFonts w:ascii="Calibri" w:hAnsi="Calibri" w:cs="Calibri"/>
          <w:szCs w:val="24"/>
          <w:vertAlign w:val="superscript"/>
        </w:rPr>
        <w:t>41</w:t>
      </w:r>
      <w:r w:rsidRPr="00E12655">
        <w:fldChar w:fldCharType="end"/>
      </w:r>
      <w:r w:rsidRPr="00E12655">
        <w:t xml:space="preserve">, this share was defined as a parameter </w:t>
      </w:r>
      <w:bookmarkEnd w:id="330"/>
      <w:r w:rsidRPr="00E12655">
        <w:t>(</w:t>
      </w:r>
      <w:r w:rsidRPr="00E12655">
        <w:rPr>
          <w:b/>
        </w:rPr>
        <w:fldChar w:fldCharType="begin"/>
      </w:r>
      <w:r w:rsidRPr="00E12655">
        <w:rPr>
          <w:b/>
        </w:rPr>
        <w:instrText xml:space="preserve"> REF _Ref144829267 \h </w:instrText>
      </w:r>
      <w:r>
        <w:rPr>
          <w:b/>
        </w:rPr>
        <w:instrText xml:space="preserve"> \* MERGEFORMAT </w:instrText>
      </w:r>
      <w:r w:rsidRPr="00E12655">
        <w:rPr>
          <w:b/>
        </w:rPr>
      </w:r>
      <w:r w:rsidRPr="00E12655">
        <w:rPr>
          <w:b/>
        </w:rPr>
        <w:fldChar w:fldCharType="separate"/>
      </w:r>
      <w:r w:rsidR="00F25F8C" w:rsidRPr="00F25F8C">
        <w:rPr>
          <w:b/>
        </w:rPr>
        <w:t xml:space="preserve">Table SI. </w:t>
      </w:r>
      <w:r w:rsidR="00F25F8C" w:rsidRPr="00F25F8C">
        <w:rPr>
          <w:b/>
          <w:noProof/>
        </w:rPr>
        <w:t>81</w:t>
      </w:r>
      <w:r w:rsidRPr="00E12655">
        <w:rPr>
          <w:b/>
        </w:rPr>
        <w:fldChar w:fldCharType="end"/>
      </w:r>
      <w:r w:rsidRPr="00E12655">
        <w:t xml:space="preserve">). </w:t>
      </w:r>
      <w:bookmarkStart w:id="331" w:name="_Hlk141452450"/>
      <w:r w:rsidRPr="00E12655">
        <w:t>The recirculated broth was considered only UF-treated, albeit Järviö et al., 2021</w:t>
      </w:r>
      <w:r w:rsidRPr="00E12655">
        <w:fldChar w:fldCharType="begin"/>
      </w:r>
      <w:r w:rsidR="005413B4">
        <w:instrText xml:space="preserve"> ADDIN ZOTERO_ITEM CSL_CITATION {"citationID":"dALA0fIy","properties":{"formattedCitation":"\\super 183\\nosupersub{}","plainCitation":"183","noteIndex":0},"citationItems":[{"id":5124,"uris":["http://zotero.org/users/6423791/items/QSN5G6WV"],"itemData":{"id":5124,"type":"article-journal","container-title":"Science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L."}],"issued":{"date-parts":[["2021",2]]}}}],"schema":"https://github.com/citation-style-language/schema/raw/master/csl-citation.json"} </w:instrText>
      </w:r>
      <w:r w:rsidRPr="00E12655">
        <w:fldChar w:fldCharType="separate"/>
      </w:r>
      <w:r w:rsidR="005413B4" w:rsidRPr="005413B4">
        <w:rPr>
          <w:rFonts w:ascii="Calibri" w:hAnsi="Calibri" w:cs="Calibri"/>
          <w:szCs w:val="24"/>
          <w:vertAlign w:val="superscript"/>
        </w:rPr>
        <w:t>183</w:t>
      </w:r>
      <w:r w:rsidRPr="00E12655">
        <w:fldChar w:fldCharType="end"/>
      </w:r>
      <w:r w:rsidRPr="00E12655">
        <w:t xml:space="preserve"> considered reverse osmosis might be required. </w:t>
      </w:r>
      <w:bookmarkEnd w:id="331"/>
      <w:r w:rsidRPr="00E12655">
        <w:t xml:space="preserve">Recirculation energy expenses also includes liquid pumping towards required pressure to enter the bioreactor. </w:t>
      </w:r>
      <w:bookmarkStart w:id="332" w:name="_Hlk141452481"/>
      <w:r w:rsidRPr="00E12655">
        <w:t>The rejected water stream was sent to a WWTP</w:t>
      </w:r>
      <w:bookmarkEnd w:id="332"/>
      <w:r w:rsidRPr="00E12655">
        <w:t xml:space="preserve">. To select the adapted WWTP background process, the method explained in </w:t>
      </w:r>
      <w:r w:rsidRPr="00E12655">
        <w:rPr>
          <w:b/>
        </w:rPr>
        <w:t xml:space="preserve">section </w:t>
      </w:r>
      <w:r w:rsidR="000C6C37">
        <w:rPr>
          <w:b/>
        </w:rPr>
        <w:t xml:space="preserve">SI. </w:t>
      </w:r>
      <w:r w:rsidRPr="00E12655">
        <w:rPr>
          <w:b/>
        </w:rPr>
        <w:fldChar w:fldCharType="begin"/>
      </w:r>
      <w:r w:rsidRPr="00E12655">
        <w:rPr>
          <w:b/>
        </w:rPr>
        <w:instrText xml:space="preserve"> REF _Ref144830460 \r \h </w:instrText>
      </w:r>
      <w:r>
        <w:rPr>
          <w:b/>
        </w:rPr>
        <w:instrText xml:space="preserve"> \* MERGEFORMAT </w:instrText>
      </w:r>
      <w:r w:rsidRPr="00E12655">
        <w:rPr>
          <w:b/>
        </w:rPr>
      </w:r>
      <w:r w:rsidRPr="00E12655">
        <w:rPr>
          <w:b/>
        </w:rPr>
        <w:fldChar w:fldCharType="separate"/>
      </w:r>
      <w:r w:rsidR="00F25F8C">
        <w:rPr>
          <w:b/>
        </w:rPr>
        <w:t>4.1.8</w:t>
      </w:r>
      <w:r w:rsidRPr="00E12655">
        <w:rPr>
          <w:b/>
        </w:rPr>
        <w:fldChar w:fldCharType="end"/>
      </w:r>
      <w:r>
        <w:t xml:space="preserve"> </w:t>
      </w:r>
      <w:r w:rsidRPr="00E12655">
        <w:t xml:space="preserve">was applied. Fractions present in the rejected stream were calculated by mass balance (see </w:t>
      </w:r>
      <w:r w:rsidR="006F3D27" w:rsidRPr="006F3D27">
        <w:rPr>
          <w:i/>
        </w:rPr>
        <w:t>B.MP_module spreadsheet</w:t>
      </w:r>
      <w:r w:rsidRPr="00E12655">
        <w:t>). Selected WWTP background process is displayed in</w:t>
      </w:r>
      <w:r>
        <w:t xml:space="preserve"> </w:t>
      </w:r>
      <w:r w:rsidRPr="00E12655">
        <w:rPr>
          <w:b/>
        </w:rPr>
        <w:fldChar w:fldCharType="begin"/>
      </w:r>
      <w:r w:rsidRPr="00E12655">
        <w:rPr>
          <w:b/>
        </w:rPr>
        <w:instrText xml:space="preserve"> REF _Ref144830503 \h </w:instrText>
      </w:r>
      <w:r>
        <w:rPr>
          <w:b/>
        </w:rPr>
        <w:instrText xml:space="preserve"> \* MERGEFORMAT </w:instrText>
      </w:r>
      <w:r w:rsidRPr="00E12655">
        <w:rPr>
          <w:b/>
        </w:rPr>
      </w:r>
      <w:r w:rsidRPr="00E12655">
        <w:rPr>
          <w:b/>
        </w:rPr>
        <w:fldChar w:fldCharType="separate"/>
      </w:r>
      <w:r w:rsidR="00F25F8C" w:rsidRPr="00F25F8C">
        <w:rPr>
          <w:b/>
        </w:rPr>
        <w:t xml:space="preserve">Table SI. </w:t>
      </w:r>
      <w:r w:rsidR="00F25F8C" w:rsidRPr="00F25F8C">
        <w:rPr>
          <w:b/>
          <w:noProof/>
        </w:rPr>
        <w:t>82</w:t>
      </w:r>
      <w:r w:rsidRPr="00E12655">
        <w:rPr>
          <w:b/>
        </w:rPr>
        <w:fldChar w:fldCharType="end"/>
      </w:r>
      <w:r w:rsidRPr="00E12655">
        <w:t>. Make-up water volumes were calculated with mass balance, and depend on many technology parameters. An overview of the water flows calculated with the baseline values is illustrated in</w:t>
      </w:r>
      <w:r w:rsidR="00917881">
        <w:t xml:space="preserve"> </w:t>
      </w:r>
      <w:r w:rsidR="00917881" w:rsidRPr="00917881">
        <w:rPr>
          <w:b/>
        </w:rPr>
        <w:fldChar w:fldCharType="begin"/>
      </w:r>
      <w:r w:rsidR="00917881" w:rsidRPr="00917881">
        <w:rPr>
          <w:b/>
        </w:rPr>
        <w:instrText xml:space="preserve"> REF _Ref144830593 \h </w:instrText>
      </w:r>
      <w:r w:rsidR="00917881">
        <w:rPr>
          <w:b/>
        </w:rPr>
        <w:instrText xml:space="preserve"> \* MERGEFORMAT </w:instrText>
      </w:r>
      <w:r w:rsidR="00917881" w:rsidRPr="00917881">
        <w:rPr>
          <w:b/>
        </w:rPr>
      </w:r>
      <w:r w:rsidR="00917881" w:rsidRPr="00917881">
        <w:rPr>
          <w:b/>
        </w:rPr>
        <w:fldChar w:fldCharType="separate"/>
      </w:r>
      <w:r w:rsidR="00F25F8C" w:rsidRPr="00F25F8C">
        <w:rPr>
          <w:b/>
        </w:rPr>
        <w:t xml:space="preserve">Figure SI. </w:t>
      </w:r>
      <w:r w:rsidR="00F25F8C" w:rsidRPr="00F25F8C">
        <w:rPr>
          <w:b/>
          <w:noProof/>
        </w:rPr>
        <w:t>2</w:t>
      </w:r>
      <w:r w:rsidR="00917881" w:rsidRPr="00917881">
        <w:rPr>
          <w:b/>
        </w:rPr>
        <w:fldChar w:fldCharType="end"/>
      </w:r>
      <w:r w:rsidRPr="00E12655">
        <w:t>.</w:t>
      </w:r>
      <w:r w:rsidR="001B2C2E">
        <w:t xml:space="preserve"> </w:t>
      </w:r>
      <w:r w:rsidR="001B2C2E" w:rsidRPr="008F2922">
        <w:t>Considering a baseline water rec</w:t>
      </w:r>
      <w:r w:rsidR="001B2C2E">
        <w:t>ycling</w:t>
      </w:r>
      <w:r w:rsidR="001B2C2E" w:rsidRPr="008F2922">
        <w:t xml:space="preserve"> of 92%, make-up water requirements only sum to ca. 2.2 </w:t>
      </w:r>
      <w:proofErr w:type="gramStart"/>
      <w:r w:rsidR="001B2C2E" w:rsidRPr="008F2922">
        <w:t>L.kg</w:t>
      </w:r>
      <w:r w:rsidR="001B2C2E" w:rsidRPr="008F2922">
        <w:rPr>
          <w:vertAlign w:val="subscript"/>
        </w:rPr>
        <w:t>DM</w:t>
      </w:r>
      <w:proofErr w:type="gramEnd"/>
      <w:r w:rsidR="001B2C2E" w:rsidRPr="008F2922">
        <w:rPr>
          <w:vertAlign w:val="superscript"/>
        </w:rPr>
        <w:t>-1</w:t>
      </w:r>
      <w:r w:rsidR="001B2C2E" w:rsidRPr="008F2922">
        <w:t xml:space="preserve"> MP produced</w:t>
      </w:r>
      <w:r w:rsidR="001B2C2E">
        <w:t>,</w:t>
      </w:r>
      <w:r w:rsidR="001B2C2E" w:rsidRPr="008F2922">
        <w:t xml:space="preserve"> which corresponds to 6% of </w:t>
      </w:r>
      <w:r w:rsidR="001B2C2E">
        <w:t xml:space="preserve">total </w:t>
      </w:r>
      <w:r w:rsidR="001B2C2E" w:rsidRPr="008F2922">
        <w:t xml:space="preserve">bioreactor’s requirements. </w:t>
      </w:r>
      <w:r w:rsidR="001B2C2E">
        <w:t xml:space="preserve">This means the </w:t>
      </w:r>
      <w:r w:rsidR="001B2C2E" w:rsidRPr="008F2922">
        <w:t>direct water consum</w:t>
      </w:r>
      <w:r w:rsidR="001B2C2E">
        <w:t>ed by MP production</w:t>
      </w:r>
      <w:r w:rsidR="001B2C2E" w:rsidRPr="008F2922">
        <w:t xml:space="preserve"> would rise by ca. 16 times if no </w:t>
      </w:r>
      <w:r w:rsidR="001B2C2E">
        <w:t xml:space="preserve">water </w:t>
      </w:r>
      <w:r w:rsidR="001B2C2E" w:rsidRPr="008F2922">
        <w:t>r</w:t>
      </w:r>
      <w:r w:rsidR="001B2C2E">
        <w:t>ecycling</w:t>
      </w:r>
      <w:r w:rsidR="001B2C2E" w:rsidRPr="008F2922">
        <w:t xml:space="preserve"> </w:t>
      </w:r>
      <w:r w:rsidR="001B2C2E">
        <w:t xml:space="preserve">systems </w:t>
      </w:r>
      <w:r w:rsidR="001B2C2E" w:rsidRPr="008F2922">
        <w:t xml:space="preserve">were implemented (36.3 </w:t>
      </w:r>
      <w:proofErr w:type="gramStart"/>
      <w:r w:rsidR="001B2C2E" w:rsidRPr="008F2922">
        <w:t>L.kg</w:t>
      </w:r>
      <w:r w:rsidR="001B2C2E" w:rsidRPr="008F2922">
        <w:rPr>
          <w:vertAlign w:val="subscript"/>
        </w:rPr>
        <w:t>DM</w:t>
      </w:r>
      <w:proofErr w:type="gramEnd"/>
      <w:r w:rsidR="001B2C2E" w:rsidRPr="008F2922">
        <w:rPr>
          <w:vertAlign w:val="superscript"/>
        </w:rPr>
        <w:t>-1</w:t>
      </w:r>
      <w:r w:rsidR="001B2C2E" w:rsidRPr="008F2922">
        <w:t>).</w:t>
      </w:r>
    </w:p>
    <w:p w14:paraId="2E4AF66E" w14:textId="77777777" w:rsidR="004A3FE2" w:rsidRDefault="004A3FE2">
      <w:r>
        <w:br w:type="page"/>
      </w:r>
    </w:p>
    <w:p w14:paraId="7762B55C" w14:textId="7780EB4D" w:rsidR="002A6FDB" w:rsidRDefault="00E12655" w:rsidP="00942782">
      <w:pPr>
        <w:pStyle w:val="Lgende"/>
        <w:jc w:val="left"/>
      </w:pPr>
      <w:bookmarkStart w:id="333" w:name="_Ref144830593"/>
      <w:bookmarkStart w:id="334" w:name="_Toc151967990"/>
      <w:bookmarkEnd w:id="328"/>
      <w:r>
        <w:lastRenderedPageBreak/>
        <w:t xml:space="preserve">Figure SI. </w:t>
      </w:r>
      <w:r>
        <w:fldChar w:fldCharType="begin"/>
      </w:r>
      <w:r>
        <w:instrText xml:space="preserve"> SEQ Figure_SI. \* ARABIC </w:instrText>
      </w:r>
      <w:r>
        <w:fldChar w:fldCharType="separate"/>
      </w:r>
      <w:r w:rsidR="00F25F8C">
        <w:rPr>
          <w:noProof/>
        </w:rPr>
        <w:t>2</w:t>
      </w:r>
      <w:r>
        <w:fldChar w:fldCharType="end"/>
      </w:r>
      <w:bookmarkEnd w:id="333"/>
      <w:r>
        <w:t xml:space="preserve"> </w:t>
      </w:r>
      <w:r w:rsidRPr="00415E4C">
        <w:t>– MP production stage water balance to produce 1kg</w:t>
      </w:r>
      <w:r w:rsidRPr="00415E4C">
        <w:rPr>
          <w:vertAlign w:val="subscript"/>
        </w:rPr>
        <w:t>ww</w:t>
      </w:r>
      <w:r w:rsidRPr="00415E4C">
        <w:t>, illustrated for baseline parameter values</w:t>
      </w:r>
      <w:bookmarkEnd w:id="334"/>
    </w:p>
    <w:p w14:paraId="20D47007" w14:textId="77777777" w:rsidR="002A6FDB" w:rsidRPr="00415E4C" w:rsidRDefault="002A6FDB" w:rsidP="002A6FDB">
      <w:pPr>
        <w:rPr>
          <w:lang w:eastAsia="ko-KR"/>
        </w:rPr>
      </w:pPr>
      <w:r>
        <w:rPr>
          <w:noProof/>
          <w:lang w:eastAsia="ko-KR"/>
        </w:rPr>
        <w:drawing>
          <wp:inline distT="0" distB="0" distL="0" distR="0" wp14:anchorId="28C8AD51" wp14:editId="35ADB8BE">
            <wp:extent cx="5972810" cy="1089660"/>
            <wp:effectExtent l="0" t="0" r="8890" b="0"/>
            <wp:docPr id="67" name="Imag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A3b.16.png"/>
                    <pic:cNvPicPr/>
                  </pic:nvPicPr>
                  <pic:blipFill>
                    <a:blip r:embed="rId10"/>
                    <a:stretch>
                      <a:fillRect/>
                    </a:stretch>
                  </pic:blipFill>
                  <pic:spPr>
                    <a:xfrm>
                      <a:off x="0" y="0"/>
                      <a:ext cx="5972810" cy="1089660"/>
                    </a:xfrm>
                    <a:prstGeom prst="rect">
                      <a:avLst/>
                    </a:prstGeom>
                  </pic:spPr>
                </pic:pic>
              </a:graphicData>
            </a:graphic>
          </wp:inline>
        </w:drawing>
      </w:r>
    </w:p>
    <w:p w14:paraId="10DA7BB6" w14:textId="5458BC94" w:rsidR="002A6FDB" w:rsidRPr="003F5DA8" w:rsidRDefault="002A6FDB" w:rsidP="00942782">
      <w:pPr>
        <w:jc w:val="both"/>
        <w:rPr>
          <w:sz w:val="18"/>
        </w:rPr>
      </w:pPr>
      <w:r w:rsidRPr="00F5345B">
        <w:rPr>
          <w:sz w:val="18"/>
        </w:rPr>
        <w:t>Metabolic water comes from</w:t>
      </w:r>
      <w:r w:rsidR="00917881">
        <w:rPr>
          <w:sz w:val="18"/>
        </w:rPr>
        <w:t xml:space="preserve"> </w:t>
      </w:r>
      <w:r w:rsidR="00917881" w:rsidRPr="00917881">
        <w:rPr>
          <w:b/>
          <w:sz w:val="18"/>
          <w:szCs w:val="18"/>
        </w:rPr>
        <w:fldChar w:fldCharType="begin"/>
      </w:r>
      <w:r w:rsidR="00917881" w:rsidRPr="00917881">
        <w:rPr>
          <w:b/>
          <w:sz w:val="18"/>
          <w:szCs w:val="18"/>
        </w:rPr>
        <w:instrText xml:space="preserve"> REF _Ref144828798 \h  \* MERGEFORMAT </w:instrText>
      </w:r>
      <w:r w:rsidR="00917881" w:rsidRPr="00917881">
        <w:rPr>
          <w:b/>
          <w:sz w:val="18"/>
          <w:szCs w:val="18"/>
        </w:rPr>
      </w:r>
      <w:r w:rsidR="00917881" w:rsidRPr="00917881">
        <w:rPr>
          <w:b/>
          <w:sz w:val="18"/>
          <w:szCs w:val="18"/>
        </w:rPr>
        <w:fldChar w:fldCharType="separate"/>
      </w:r>
      <w:r w:rsidR="00F25F8C" w:rsidRPr="00F25F8C">
        <w:rPr>
          <w:b/>
          <w:sz w:val="18"/>
          <w:szCs w:val="18"/>
        </w:rPr>
        <w:t xml:space="preserve">Equation </w:t>
      </w:r>
      <w:r w:rsidR="00F25F8C" w:rsidRPr="00F25F8C">
        <w:rPr>
          <w:b/>
          <w:noProof/>
          <w:sz w:val="18"/>
          <w:szCs w:val="18"/>
        </w:rPr>
        <w:t>12</w:t>
      </w:r>
      <w:r w:rsidR="00917881" w:rsidRPr="00917881">
        <w:rPr>
          <w:b/>
          <w:sz w:val="18"/>
          <w:szCs w:val="18"/>
        </w:rPr>
        <w:fldChar w:fldCharType="end"/>
      </w:r>
      <w:r w:rsidR="00917881" w:rsidRPr="00917881">
        <w:rPr>
          <w:sz w:val="18"/>
          <w:szCs w:val="18"/>
        </w:rPr>
        <w:t xml:space="preserve"> and </w:t>
      </w:r>
      <w:r w:rsidR="00917881" w:rsidRPr="00917881">
        <w:rPr>
          <w:b/>
          <w:sz w:val="18"/>
          <w:szCs w:val="18"/>
        </w:rPr>
        <w:fldChar w:fldCharType="begin"/>
      </w:r>
      <w:r w:rsidR="00917881" w:rsidRPr="00917881">
        <w:rPr>
          <w:b/>
          <w:sz w:val="18"/>
          <w:szCs w:val="18"/>
        </w:rPr>
        <w:instrText xml:space="preserve"> REF _Ref144828802 \h  \* MERGEFORMAT </w:instrText>
      </w:r>
      <w:r w:rsidR="00917881" w:rsidRPr="00917881">
        <w:rPr>
          <w:b/>
          <w:sz w:val="18"/>
          <w:szCs w:val="18"/>
        </w:rPr>
      </w:r>
      <w:r w:rsidR="00917881" w:rsidRPr="00917881">
        <w:rPr>
          <w:b/>
          <w:sz w:val="18"/>
          <w:szCs w:val="18"/>
        </w:rPr>
        <w:fldChar w:fldCharType="separate"/>
      </w:r>
      <w:r w:rsidR="00F25F8C" w:rsidRPr="00F25F8C">
        <w:rPr>
          <w:b/>
          <w:sz w:val="18"/>
          <w:szCs w:val="18"/>
        </w:rPr>
        <w:t xml:space="preserve">Equation </w:t>
      </w:r>
      <w:r w:rsidR="00F25F8C" w:rsidRPr="00F25F8C">
        <w:rPr>
          <w:b/>
          <w:noProof/>
          <w:sz w:val="18"/>
          <w:szCs w:val="18"/>
        </w:rPr>
        <w:t>13</w:t>
      </w:r>
      <w:r w:rsidR="00917881" w:rsidRPr="00917881">
        <w:rPr>
          <w:b/>
          <w:sz w:val="18"/>
          <w:szCs w:val="18"/>
        </w:rPr>
        <w:fldChar w:fldCharType="end"/>
      </w:r>
      <w:r w:rsidRPr="00F5345B">
        <w:rPr>
          <w:sz w:val="18"/>
        </w:rPr>
        <w:t>.</w:t>
      </w:r>
    </w:p>
    <w:p w14:paraId="4ADF0358" w14:textId="4D3D9525" w:rsidR="002A6FDB" w:rsidRDefault="002A6FDB" w:rsidP="002A6FDB">
      <w:pPr>
        <w:jc w:val="both"/>
      </w:pPr>
      <w:r w:rsidRPr="003F5DA8">
        <w:t>Evaporated water was assumed lost to the atmosphere (albeit some studies argue that spray-dried-based water can be recovered to feed e.g. an electrolyser</w:t>
      </w:r>
      <w:r w:rsidRPr="003F5DA8">
        <w:fldChar w:fldCharType="begin"/>
      </w:r>
      <w:r w:rsidR="00827449">
        <w:instrText xml:space="preserve"> ADDIN ZOTERO_ITEM CSL_CITATION {"citationID":"cBlp0Yz5","properties":{"formattedCitation":"\\super 41\\nosupersub{}","plainCitation":"41","noteIndex":0},"citationItems":[{"id":13068,"uris":["http://zotero.org/users/6423791/items/RK8J2DQC"],"itemData":{"id":13068,"type":"article-journal","abstract":"Alternative protein sources such as microbial protein (MP) are currently considered to alleviate the burden that food production exerts on the environment. Even though MP production is highly efficient in land and nutrient utilization, their carbon footprint should be improved. Here we propose the use of CCU as a driver for heterotrophic MP production. By comparing different MP production routes starting from liquid substrates derived from CO2 (i.e., formate, acetate, methanol, and ethanol) and their respective metabolic pathways, the potential of this concept as a carbon–neutral food or feed production process was estimated. Acetate and ethanol appear to be the most beneficial substrates for the integrated CCU-to-MP process in terms of electricity demand (acetate: 25 – 54 kWh/kgproduct, ethanol: 28 – 56 kWh/kgproduct). Moreover, recycling CO2 enables a carbon-negative protein production process by 2030 (considering the projected CO2 emissions from electricity in the EU: 0.096 kgCO2-eq/kWh) for formate, acetate, and ethanol (-1.1 up to 13 kgCO2-eq/kgproduct).","container-title":"Bioresource Technology","DOI":"10.1016/j.biortech.2022.126853","ISSN":"0960-8524","journalAbbreviation":"Bioresour. Technol.","language":"en","page":"126853","source":"ScienceDirect","title":"Towards new carbon–neutral food systems: Combining carbon capture and utilization with microbial protein production","title-short":"Towards new carbon–neutral food systems","volume":"349","author":[{"family":"Van Peteghem","given":"L."},{"family":"Sakarika","given":"M."},{"family":"Matassa","given":"S."},{"family":"Pikaar","given":"I."},{"family":"Ganigué","given":"R."},{"family":"Rabaey","given":"K."}],"issued":{"date-parts":[["2022",4,1]]}}}],"schema":"https://github.com/citation-style-language/schema/raw/master/csl-citation.json"} </w:instrText>
      </w:r>
      <w:r w:rsidRPr="003F5DA8">
        <w:fldChar w:fldCharType="separate"/>
      </w:r>
      <w:r w:rsidR="008C451C" w:rsidRPr="008C451C">
        <w:rPr>
          <w:rFonts w:ascii="Calibri" w:hAnsi="Calibri" w:cs="Calibri"/>
          <w:szCs w:val="24"/>
          <w:vertAlign w:val="superscript"/>
        </w:rPr>
        <w:t>41</w:t>
      </w:r>
      <w:r w:rsidRPr="003F5DA8">
        <w:fldChar w:fldCharType="end"/>
      </w:r>
      <w:r w:rsidRPr="003F5DA8">
        <w:t>). The origin of water in reviewed benchmark mostly comes from filtered tap water (selected option, see</w:t>
      </w:r>
      <w:r w:rsidR="00917881">
        <w:t xml:space="preserve"> </w:t>
      </w:r>
      <w:r w:rsidR="00917881" w:rsidRPr="00917881">
        <w:rPr>
          <w:b/>
        </w:rPr>
        <w:fldChar w:fldCharType="begin"/>
      </w:r>
      <w:r w:rsidR="00917881" w:rsidRPr="00917881">
        <w:rPr>
          <w:b/>
        </w:rPr>
        <w:instrText xml:space="preserve"> REF _Ref144830503 \h </w:instrText>
      </w:r>
      <w:r w:rsidR="00917881">
        <w:rPr>
          <w:b/>
        </w:rPr>
        <w:instrText xml:space="preserve"> \* MERGEFORMAT </w:instrText>
      </w:r>
      <w:r w:rsidR="00917881" w:rsidRPr="00917881">
        <w:rPr>
          <w:b/>
        </w:rPr>
      </w:r>
      <w:r w:rsidR="00917881" w:rsidRPr="00917881">
        <w:rPr>
          <w:b/>
        </w:rPr>
        <w:fldChar w:fldCharType="separate"/>
      </w:r>
      <w:r w:rsidR="00F25F8C" w:rsidRPr="00F25F8C">
        <w:rPr>
          <w:b/>
        </w:rPr>
        <w:t xml:space="preserve">Table SI. </w:t>
      </w:r>
      <w:r w:rsidR="00F25F8C" w:rsidRPr="00F25F8C">
        <w:rPr>
          <w:b/>
          <w:noProof/>
        </w:rPr>
        <w:t>82</w:t>
      </w:r>
      <w:r w:rsidR="00917881" w:rsidRPr="00917881">
        <w:rPr>
          <w:b/>
        </w:rPr>
        <w:fldChar w:fldCharType="end"/>
      </w:r>
      <w:r w:rsidRPr="003F5DA8">
        <w:t>), sometimes considering osmosis as pre-treatment</w:t>
      </w:r>
      <w:r w:rsidRPr="003F5DA8">
        <w:fldChar w:fldCharType="begin"/>
      </w:r>
      <w:r w:rsidR="005413B4">
        <w:instrText xml:space="preserve"> ADDIN ZOTERO_ITEM CSL_CITATION {"citationID":"a3wqnPVh","properties":{"formattedCitation":"\\super 183\\nosupersub{}","plainCitation":"183","noteIndex":0},"citationItems":[{"id":5124,"uris":["http://zotero.org/users/6423791/items/QSN5G6WV"],"itemData":{"id":5124,"type":"article-journal","container-title":"Science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L."}],"issued":{"date-parts":[["2021",2]]}}}],"schema":"https://github.com/citation-style-language/schema/raw/master/csl-citation.json"} </w:instrText>
      </w:r>
      <w:r w:rsidRPr="003F5DA8">
        <w:fldChar w:fldCharType="separate"/>
      </w:r>
      <w:r w:rsidR="005413B4" w:rsidRPr="005413B4">
        <w:rPr>
          <w:rFonts w:ascii="Calibri" w:hAnsi="Calibri" w:cs="Calibri"/>
          <w:szCs w:val="24"/>
          <w:vertAlign w:val="superscript"/>
        </w:rPr>
        <w:t>183</w:t>
      </w:r>
      <w:r w:rsidRPr="003F5DA8">
        <w:fldChar w:fldCharType="end"/>
      </w:r>
      <w:r w:rsidRPr="003F5DA8">
        <w:t>. Humidity brought by air was neglected, as well as humidity lost through exhaust gases.</w:t>
      </w:r>
    </w:p>
    <w:p w14:paraId="442C4F05" w14:textId="77777777" w:rsidR="002A6FDB" w:rsidRPr="002A6FDB" w:rsidRDefault="002A6FDB" w:rsidP="00917881">
      <w:pPr>
        <w:pStyle w:val="Titre4"/>
      </w:pPr>
      <w:r w:rsidRPr="002A6FDB">
        <w:t>Final ingredient</w:t>
      </w:r>
    </w:p>
    <w:p w14:paraId="72E0471C" w14:textId="6B2F5AE5" w:rsidR="002A6FDB" w:rsidRPr="003F5DA8" w:rsidRDefault="002A6FDB" w:rsidP="00917881">
      <w:pPr>
        <w:ind w:firstLine="360"/>
        <w:jc w:val="both"/>
      </w:pPr>
      <w:bookmarkStart w:id="335" w:name="_Hlk141452990"/>
      <w:r w:rsidRPr="00917881">
        <w:t>Dried HOB and MOB were assumed to supply compound feed markets (therefore, entering the CF mode</w:t>
      </w:r>
      <w:r w:rsidR="00655BBB">
        <w:t>l</w:t>
      </w:r>
      <w:r w:rsidRPr="00917881">
        <w:t xml:space="preserve"> after the drying stage). </w:t>
      </w:r>
      <w:bookmarkEnd w:id="335"/>
      <w:r w:rsidRPr="00917881">
        <w:t>Accordingly, the unit operations modeled for CF pathways (grinding and pelletizing) were reused. The following</w:t>
      </w:r>
      <w:r w:rsidRPr="003F5DA8">
        <w:t xml:space="preserve"> compositions for HOB and MOB were considered</w:t>
      </w:r>
      <w:r w:rsidR="00917881">
        <w:t xml:space="preserve"> (</w:t>
      </w:r>
      <w:r w:rsidR="00917881" w:rsidRPr="00917881">
        <w:rPr>
          <w:b/>
        </w:rPr>
        <w:fldChar w:fldCharType="begin"/>
      </w:r>
      <w:r w:rsidR="00917881" w:rsidRPr="00917881">
        <w:rPr>
          <w:b/>
        </w:rPr>
        <w:instrText xml:space="preserve"> REF _Ref144830764 \h </w:instrText>
      </w:r>
      <w:r w:rsidR="00917881">
        <w:rPr>
          <w:b/>
        </w:rPr>
        <w:instrText xml:space="preserve"> \* MERGEFORMAT </w:instrText>
      </w:r>
      <w:r w:rsidR="00917881" w:rsidRPr="00917881">
        <w:rPr>
          <w:b/>
        </w:rPr>
      </w:r>
      <w:r w:rsidR="00917881" w:rsidRPr="00917881">
        <w:rPr>
          <w:b/>
        </w:rPr>
        <w:fldChar w:fldCharType="separate"/>
      </w:r>
      <w:r w:rsidR="00F25F8C" w:rsidRPr="00F25F8C">
        <w:rPr>
          <w:b/>
        </w:rPr>
        <w:t xml:space="preserve">Table SI. </w:t>
      </w:r>
      <w:r w:rsidR="00F25F8C" w:rsidRPr="00F25F8C">
        <w:rPr>
          <w:b/>
          <w:noProof/>
        </w:rPr>
        <w:t>76</w:t>
      </w:r>
      <w:r w:rsidR="00917881" w:rsidRPr="00917881">
        <w:rPr>
          <w:b/>
        </w:rPr>
        <w:fldChar w:fldCharType="end"/>
      </w:r>
      <w:r w:rsidRPr="003F5DA8">
        <w:t xml:space="preserve">) to derive their nutritional value through the calculation detailed in </w:t>
      </w:r>
      <w:r w:rsidR="00917881" w:rsidRPr="00917881">
        <w:rPr>
          <w:b/>
        </w:rPr>
        <w:t xml:space="preserve">section </w:t>
      </w:r>
      <w:r w:rsidR="000C6C37">
        <w:rPr>
          <w:b/>
        </w:rPr>
        <w:t xml:space="preserve">SI. </w:t>
      </w:r>
      <w:r w:rsidR="00917881" w:rsidRPr="00917881">
        <w:rPr>
          <w:b/>
        </w:rPr>
        <w:fldChar w:fldCharType="begin"/>
      </w:r>
      <w:r w:rsidR="00917881" w:rsidRPr="00917881">
        <w:rPr>
          <w:b/>
        </w:rPr>
        <w:instrText xml:space="preserve"> REF _Ref144803705 \r \h </w:instrText>
      </w:r>
      <w:r w:rsidR="00917881">
        <w:rPr>
          <w:b/>
        </w:rPr>
        <w:instrText xml:space="preserve"> \* MERGEFORMAT </w:instrText>
      </w:r>
      <w:r w:rsidR="00917881" w:rsidRPr="00917881">
        <w:rPr>
          <w:b/>
        </w:rPr>
      </w:r>
      <w:r w:rsidR="00917881" w:rsidRPr="00917881">
        <w:rPr>
          <w:b/>
        </w:rPr>
        <w:fldChar w:fldCharType="separate"/>
      </w:r>
      <w:r w:rsidR="00F25F8C">
        <w:rPr>
          <w:b/>
        </w:rPr>
        <w:t>4.1.9</w:t>
      </w:r>
      <w:r w:rsidR="00917881" w:rsidRPr="00917881">
        <w:rPr>
          <w:b/>
        </w:rPr>
        <w:fldChar w:fldCharType="end"/>
      </w:r>
      <w:r w:rsidRPr="003F5DA8">
        <w:t>.</w:t>
      </w:r>
    </w:p>
    <w:p w14:paraId="2114E447" w14:textId="6827CA84" w:rsidR="002A6FDB" w:rsidRPr="00B45377" w:rsidRDefault="00874128" w:rsidP="00942782">
      <w:pPr>
        <w:pStyle w:val="Lgende"/>
        <w:jc w:val="left"/>
        <w:rPr>
          <w:b w:val="0"/>
          <w:i/>
        </w:rPr>
      </w:pPr>
      <w:bookmarkStart w:id="336" w:name="_Ref144830764"/>
      <w:bookmarkStart w:id="337" w:name="_Toc134537642"/>
      <w:bookmarkStart w:id="338" w:name="_Toc151967960"/>
      <w:r>
        <w:t>Table SI.</w:t>
      </w:r>
      <w:r w:rsidR="002A6FDB">
        <w:t xml:space="preserve"> </w:t>
      </w:r>
      <w:r>
        <w:fldChar w:fldCharType="begin"/>
      </w:r>
      <w:r>
        <w:instrText xml:space="preserve"> SEQ Table_SI. \* ARABIC </w:instrText>
      </w:r>
      <w:r>
        <w:fldChar w:fldCharType="separate"/>
      </w:r>
      <w:r w:rsidR="00F25F8C">
        <w:rPr>
          <w:noProof/>
        </w:rPr>
        <w:t>76</w:t>
      </w:r>
      <w:r>
        <w:fldChar w:fldCharType="end"/>
      </w:r>
      <w:bookmarkEnd w:id="336"/>
      <w:r w:rsidR="002A6FDB">
        <w:t xml:space="preserve"> </w:t>
      </w:r>
      <w:r w:rsidR="002A6FDB" w:rsidRPr="00415E4C">
        <w:t>– MP composition</w:t>
      </w:r>
      <w:bookmarkEnd w:id="337"/>
      <w:bookmarkEnd w:id="338"/>
    </w:p>
    <w:tbl>
      <w:tblPr>
        <w:tblStyle w:val="Tableausimple2"/>
        <w:tblW w:w="0" w:type="auto"/>
        <w:tblLook w:val="04A0" w:firstRow="1" w:lastRow="0" w:firstColumn="1" w:lastColumn="0" w:noHBand="0" w:noVBand="1"/>
      </w:tblPr>
      <w:tblGrid>
        <w:gridCol w:w="1629"/>
        <w:gridCol w:w="2751"/>
        <w:gridCol w:w="2551"/>
      </w:tblGrid>
      <w:tr w:rsidR="002A6FDB" w:rsidRPr="006F3D27" w14:paraId="43EEF589" w14:textId="77777777" w:rsidTr="009427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98628DF" w14:textId="77777777" w:rsidR="002A6FDB" w:rsidRPr="006F3D27" w:rsidRDefault="002A6FDB" w:rsidP="00BB41E9">
            <w:pPr>
              <w:jc w:val="right"/>
              <w:rPr>
                <w:sz w:val="18"/>
              </w:rPr>
            </w:pPr>
            <w:r w:rsidRPr="006F3D27">
              <w:rPr>
                <w:sz w:val="18"/>
              </w:rPr>
              <w:t>Composition (%</w:t>
            </w:r>
            <w:r w:rsidRPr="006F3D27">
              <w:rPr>
                <w:sz w:val="18"/>
                <w:vertAlign w:val="subscript"/>
              </w:rPr>
              <w:t>DM</w:t>
            </w:r>
            <w:r w:rsidRPr="006F3D27">
              <w:rPr>
                <w:sz w:val="18"/>
              </w:rPr>
              <w:t>)</w:t>
            </w:r>
          </w:p>
        </w:tc>
        <w:tc>
          <w:tcPr>
            <w:tcW w:w="2751" w:type="dxa"/>
          </w:tcPr>
          <w:p w14:paraId="6ADACBE0" w14:textId="77777777" w:rsidR="002A6FDB" w:rsidRPr="006F3D27" w:rsidRDefault="002A6FDB" w:rsidP="00BB41E9">
            <w:pPr>
              <w:cnfStyle w:val="100000000000" w:firstRow="1" w:lastRow="0" w:firstColumn="0" w:lastColumn="0" w:oddVBand="0" w:evenVBand="0" w:oddHBand="0" w:evenHBand="0" w:firstRowFirstColumn="0" w:firstRowLastColumn="0" w:lastRowFirstColumn="0" w:lastRowLastColumn="0"/>
              <w:rPr>
                <w:sz w:val="18"/>
              </w:rPr>
            </w:pPr>
            <w:r w:rsidRPr="006F3D27">
              <w:rPr>
                <w:sz w:val="18"/>
              </w:rPr>
              <w:t>MOB</w:t>
            </w:r>
          </w:p>
        </w:tc>
        <w:tc>
          <w:tcPr>
            <w:tcW w:w="2551" w:type="dxa"/>
          </w:tcPr>
          <w:p w14:paraId="66CC3A8C" w14:textId="77777777" w:rsidR="002A6FDB" w:rsidRPr="006F3D27" w:rsidRDefault="002A6FDB" w:rsidP="00BB41E9">
            <w:pPr>
              <w:cnfStyle w:val="100000000000" w:firstRow="1" w:lastRow="0" w:firstColumn="0" w:lastColumn="0" w:oddVBand="0" w:evenVBand="0" w:oddHBand="0" w:evenHBand="0" w:firstRowFirstColumn="0" w:firstRowLastColumn="0" w:lastRowFirstColumn="0" w:lastRowLastColumn="0"/>
              <w:rPr>
                <w:sz w:val="18"/>
              </w:rPr>
            </w:pPr>
            <w:r w:rsidRPr="006F3D27">
              <w:rPr>
                <w:sz w:val="18"/>
              </w:rPr>
              <w:t>HOB</w:t>
            </w:r>
          </w:p>
        </w:tc>
      </w:tr>
      <w:tr w:rsidR="002A6FDB" w:rsidRPr="006F3D27" w14:paraId="4D773F0C"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14E5918" w14:textId="77777777" w:rsidR="002A6FDB" w:rsidRPr="006F3D27" w:rsidRDefault="002A6FDB" w:rsidP="00BB41E9">
            <w:pPr>
              <w:jc w:val="right"/>
              <w:rPr>
                <w:b w:val="0"/>
                <w:sz w:val="18"/>
              </w:rPr>
            </w:pPr>
            <w:r w:rsidRPr="006F3D27">
              <w:rPr>
                <w:b w:val="0"/>
                <w:sz w:val="18"/>
              </w:rPr>
              <w:t>Proteins</w:t>
            </w:r>
          </w:p>
        </w:tc>
        <w:tc>
          <w:tcPr>
            <w:tcW w:w="2751" w:type="dxa"/>
          </w:tcPr>
          <w:p w14:paraId="75BCBCC4"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67.0%</w:t>
            </w:r>
          </w:p>
        </w:tc>
        <w:tc>
          <w:tcPr>
            <w:tcW w:w="2551" w:type="dxa"/>
          </w:tcPr>
          <w:p w14:paraId="64A29D3E"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65.0%</w:t>
            </w:r>
          </w:p>
        </w:tc>
      </w:tr>
      <w:tr w:rsidR="002A6FDB" w:rsidRPr="006F3D27" w14:paraId="004A2DA8"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72BA7BEF" w14:textId="77777777" w:rsidR="002A6FDB" w:rsidRPr="006F3D27" w:rsidRDefault="002A6FDB" w:rsidP="00BB41E9">
            <w:pPr>
              <w:jc w:val="right"/>
              <w:rPr>
                <w:b w:val="0"/>
                <w:sz w:val="18"/>
              </w:rPr>
            </w:pPr>
            <w:r w:rsidRPr="006F3D27">
              <w:rPr>
                <w:b w:val="0"/>
                <w:sz w:val="18"/>
              </w:rPr>
              <w:t>Lipids</w:t>
            </w:r>
          </w:p>
        </w:tc>
        <w:tc>
          <w:tcPr>
            <w:tcW w:w="2751" w:type="dxa"/>
          </w:tcPr>
          <w:p w14:paraId="77317216"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9.5%</w:t>
            </w:r>
          </w:p>
        </w:tc>
        <w:tc>
          <w:tcPr>
            <w:tcW w:w="2551" w:type="dxa"/>
          </w:tcPr>
          <w:p w14:paraId="3EF2B658"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6.0%</w:t>
            </w:r>
          </w:p>
        </w:tc>
      </w:tr>
      <w:tr w:rsidR="002A6FDB" w:rsidRPr="006F3D27" w14:paraId="036C9DA6"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8C637C9" w14:textId="77777777" w:rsidR="002A6FDB" w:rsidRPr="006F3D27" w:rsidRDefault="002A6FDB" w:rsidP="00BB41E9">
            <w:pPr>
              <w:jc w:val="right"/>
              <w:rPr>
                <w:b w:val="0"/>
                <w:sz w:val="18"/>
              </w:rPr>
            </w:pPr>
            <w:r w:rsidRPr="006F3D27">
              <w:rPr>
                <w:b w:val="0"/>
                <w:sz w:val="18"/>
              </w:rPr>
              <w:t>Carbohydrates</w:t>
            </w:r>
          </w:p>
        </w:tc>
        <w:tc>
          <w:tcPr>
            <w:tcW w:w="2751" w:type="dxa"/>
          </w:tcPr>
          <w:p w14:paraId="2756E4E0"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2.5%</w:t>
            </w:r>
          </w:p>
        </w:tc>
        <w:tc>
          <w:tcPr>
            <w:tcW w:w="2551" w:type="dxa"/>
          </w:tcPr>
          <w:p w14:paraId="4B9738D8"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2.0%</w:t>
            </w:r>
          </w:p>
        </w:tc>
      </w:tr>
      <w:tr w:rsidR="002A6FDB" w:rsidRPr="006F3D27" w14:paraId="4F3E87BF"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78E8A159" w14:textId="77777777" w:rsidR="002A6FDB" w:rsidRPr="006F3D27" w:rsidRDefault="002A6FDB" w:rsidP="00BB41E9">
            <w:pPr>
              <w:jc w:val="right"/>
              <w:rPr>
                <w:b w:val="0"/>
                <w:sz w:val="18"/>
              </w:rPr>
            </w:pPr>
            <w:r w:rsidRPr="006F3D27">
              <w:rPr>
                <w:b w:val="0"/>
                <w:sz w:val="18"/>
              </w:rPr>
              <w:t>Sugars</w:t>
            </w:r>
          </w:p>
        </w:tc>
        <w:tc>
          <w:tcPr>
            <w:tcW w:w="2751" w:type="dxa"/>
          </w:tcPr>
          <w:p w14:paraId="0F82CE71"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4.5%</w:t>
            </w:r>
          </w:p>
        </w:tc>
        <w:tc>
          <w:tcPr>
            <w:tcW w:w="2551" w:type="dxa"/>
          </w:tcPr>
          <w:p w14:paraId="28368950"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0%</w:t>
            </w:r>
          </w:p>
        </w:tc>
      </w:tr>
      <w:tr w:rsidR="002A6FDB" w:rsidRPr="006F3D27" w14:paraId="24893908"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CEA8161" w14:textId="77777777" w:rsidR="002A6FDB" w:rsidRPr="006F3D27" w:rsidRDefault="002A6FDB" w:rsidP="00BB41E9">
            <w:pPr>
              <w:jc w:val="right"/>
              <w:rPr>
                <w:b w:val="0"/>
                <w:sz w:val="18"/>
              </w:rPr>
            </w:pPr>
            <w:r w:rsidRPr="006F3D27">
              <w:rPr>
                <w:b w:val="0"/>
                <w:sz w:val="18"/>
              </w:rPr>
              <w:t>Fibers</w:t>
            </w:r>
          </w:p>
        </w:tc>
        <w:tc>
          <w:tcPr>
            <w:tcW w:w="2751" w:type="dxa"/>
          </w:tcPr>
          <w:p w14:paraId="3B723BA8"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0.5%</w:t>
            </w:r>
          </w:p>
        </w:tc>
        <w:tc>
          <w:tcPr>
            <w:tcW w:w="2551" w:type="dxa"/>
          </w:tcPr>
          <w:p w14:paraId="28677892"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11%</w:t>
            </w:r>
          </w:p>
        </w:tc>
      </w:tr>
      <w:tr w:rsidR="002A6FDB" w:rsidRPr="006F3D27" w14:paraId="2AA74116"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3F5DA007" w14:textId="77777777" w:rsidR="002A6FDB" w:rsidRPr="006F3D27" w:rsidRDefault="002A6FDB" w:rsidP="00BB41E9">
            <w:pPr>
              <w:jc w:val="right"/>
              <w:rPr>
                <w:b w:val="0"/>
                <w:sz w:val="18"/>
              </w:rPr>
            </w:pPr>
            <w:r w:rsidRPr="006F3D27">
              <w:rPr>
                <w:b w:val="0"/>
                <w:sz w:val="18"/>
              </w:rPr>
              <w:t>Ashes</w:t>
            </w:r>
          </w:p>
        </w:tc>
        <w:tc>
          <w:tcPr>
            <w:tcW w:w="2751" w:type="dxa"/>
          </w:tcPr>
          <w:p w14:paraId="05D10842"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8.0%</w:t>
            </w:r>
          </w:p>
        </w:tc>
        <w:tc>
          <w:tcPr>
            <w:tcW w:w="2551" w:type="dxa"/>
          </w:tcPr>
          <w:p w14:paraId="3F368C0A"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8.0%</w:t>
            </w:r>
          </w:p>
        </w:tc>
      </w:tr>
      <w:tr w:rsidR="002A6FDB" w:rsidRPr="006F3D27" w14:paraId="005D0BAE"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D78C095" w14:textId="77777777" w:rsidR="002A6FDB" w:rsidRPr="006F3D27" w:rsidRDefault="002A6FDB" w:rsidP="00BB41E9">
            <w:pPr>
              <w:jc w:val="right"/>
              <w:rPr>
                <w:b w:val="0"/>
                <w:sz w:val="18"/>
              </w:rPr>
            </w:pPr>
            <w:r w:rsidRPr="006F3D27">
              <w:rPr>
                <w:b w:val="0"/>
                <w:sz w:val="18"/>
              </w:rPr>
              <w:t>RNA/DNA</w:t>
            </w:r>
          </w:p>
        </w:tc>
        <w:tc>
          <w:tcPr>
            <w:tcW w:w="2751" w:type="dxa"/>
          </w:tcPr>
          <w:p w14:paraId="4C80FAEE"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8.0%</w:t>
            </w:r>
          </w:p>
        </w:tc>
        <w:tc>
          <w:tcPr>
            <w:tcW w:w="2551" w:type="dxa"/>
          </w:tcPr>
          <w:p w14:paraId="0B275E65"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8.0%</w:t>
            </w:r>
          </w:p>
        </w:tc>
      </w:tr>
      <w:tr w:rsidR="002A6FDB" w:rsidRPr="006F3D27" w14:paraId="56C92B6B"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0C95D487" w14:textId="77777777" w:rsidR="002A6FDB" w:rsidRPr="006F3D27" w:rsidRDefault="002A6FDB" w:rsidP="00BB41E9">
            <w:pPr>
              <w:jc w:val="right"/>
              <w:rPr>
                <w:b w:val="0"/>
                <w:sz w:val="18"/>
              </w:rPr>
            </w:pPr>
            <w:r w:rsidRPr="006F3D27">
              <w:rPr>
                <w:b w:val="0"/>
                <w:sz w:val="18"/>
              </w:rPr>
              <w:t>Digestibility (%</w:t>
            </w:r>
            <w:r w:rsidRPr="006F3D27">
              <w:rPr>
                <w:b w:val="0"/>
                <w:sz w:val="18"/>
                <w:vertAlign w:val="subscript"/>
              </w:rPr>
              <w:t>OM</w:t>
            </w:r>
            <w:r w:rsidRPr="006F3D27">
              <w:rPr>
                <w:b w:val="0"/>
                <w:sz w:val="18"/>
              </w:rPr>
              <w:t>)</w:t>
            </w:r>
          </w:p>
        </w:tc>
        <w:tc>
          <w:tcPr>
            <w:tcW w:w="2751" w:type="dxa"/>
          </w:tcPr>
          <w:p w14:paraId="6B06E901"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85%</w:t>
            </w:r>
          </w:p>
        </w:tc>
        <w:tc>
          <w:tcPr>
            <w:tcW w:w="2551" w:type="dxa"/>
          </w:tcPr>
          <w:p w14:paraId="0325A8CB"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85%</w:t>
            </w:r>
          </w:p>
        </w:tc>
      </w:tr>
      <w:tr w:rsidR="002A6FDB" w:rsidRPr="006F3D27" w14:paraId="76955C67"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E938023" w14:textId="77777777" w:rsidR="002A6FDB" w:rsidRPr="006F3D27" w:rsidRDefault="002A6FDB" w:rsidP="00BB41E9">
            <w:pPr>
              <w:jc w:val="right"/>
              <w:rPr>
                <w:b w:val="0"/>
                <w:sz w:val="18"/>
              </w:rPr>
            </w:pPr>
            <w:r w:rsidRPr="006F3D27">
              <w:rPr>
                <w:b w:val="0"/>
                <w:sz w:val="18"/>
              </w:rPr>
              <w:t>SFU.kg</w:t>
            </w:r>
            <w:r w:rsidRPr="006F3D27">
              <w:rPr>
                <w:b w:val="0"/>
                <w:sz w:val="18"/>
                <w:vertAlign w:val="subscript"/>
              </w:rPr>
              <w:t>DM</w:t>
            </w:r>
            <w:r w:rsidRPr="006F3D27">
              <w:rPr>
                <w:b w:val="0"/>
                <w:sz w:val="18"/>
                <w:vertAlign w:val="superscript"/>
              </w:rPr>
              <w:t>-1</w:t>
            </w:r>
          </w:p>
        </w:tc>
        <w:tc>
          <w:tcPr>
            <w:tcW w:w="2751" w:type="dxa"/>
          </w:tcPr>
          <w:p w14:paraId="7BA7AE81"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1.51</w:t>
            </w:r>
          </w:p>
        </w:tc>
        <w:tc>
          <w:tcPr>
            <w:tcW w:w="2551" w:type="dxa"/>
          </w:tcPr>
          <w:p w14:paraId="6ADE8B5D"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1.41</w:t>
            </w:r>
          </w:p>
        </w:tc>
      </w:tr>
      <w:tr w:rsidR="002A6FDB" w:rsidRPr="006F3D27" w14:paraId="2BDDCCD5"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5B06D1BA" w14:textId="77777777" w:rsidR="002A6FDB" w:rsidRPr="006F3D27" w:rsidRDefault="002A6FDB" w:rsidP="00BB41E9">
            <w:pPr>
              <w:jc w:val="right"/>
              <w:rPr>
                <w:b w:val="0"/>
                <w:i/>
                <w:sz w:val="18"/>
              </w:rPr>
            </w:pPr>
            <w:r w:rsidRPr="006F3D27">
              <w:rPr>
                <w:b w:val="0"/>
                <w:i/>
                <w:sz w:val="18"/>
              </w:rPr>
              <w:t>Comments</w:t>
            </w:r>
          </w:p>
        </w:tc>
        <w:tc>
          <w:tcPr>
            <w:tcW w:w="2751" w:type="dxa"/>
          </w:tcPr>
          <w:p w14:paraId="2FA8C595" w14:textId="33DC9C2B"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i/>
                <w:sz w:val="18"/>
              </w:rPr>
            </w:pPr>
            <w:r w:rsidRPr="006F3D27">
              <w:rPr>
                <w:i/>
                <w:sz w:val="18"/>
              </w:rPr>
              <w:t xml:space="preserve">Average of reported values for Uniproteins and Feedkind </w:t>
            </w:r>
            <w:r w:rsidRPr="006F3D27">
              <w:rPr>
                <w:i/>
                <w:sz w:val="18"/>
              </w:rPr>
              <w:fldChar w:fldCharType="begin"/>
            </w:r>
            <w:r w:rsidR="005413B4">
              <w:rPr>
                <w:i/>
                <w:sz w:val="18"/>
              </w:rPr>
              <w:instrText xml:space="preserve"> ADDIN ZOTERO_ITEM CSL_CITATION {"citationID":"nxw5dgOt","properties":{"formattedCitation":"\\super 173,203,235\\nosupersub{}","plainCitation":"173,203,235","noteIndex":0},"citationItems":[{"id":10967,"uris":["http://zotero.org/users/6423791/items/P67XNRD9"],"itemData":{"id":10967,"type":"report","abstract":"UK The overall aim was to investigate if soybean products from South American can be replaced by protein sources produced in Europe in a sustainable way. Based on data from literature, and based on the systematics of the FeedPrint programme, the nutritional value and the carbon footprint (CFP) of these protein sources is determined. These protein sources are used in feed optimizations of a starter diet for pigs, thereby maintaining the nutritional value of the diet. Subsequently, the CFP of the grower diet is calculated. The results and conclusions will be discussed in this report.","collection-title":"Wageningen UR Livestock Research","event-place":"Lelystad","language":"en","number":"819","page":"47","publisher":"Wageningen","publisher-place":"Lelystad","source":"Zotero","title":"Replacement of soybean meal in compound feed by European protein sources","author":[{"family":"Boer","given":"H C","non-dropping-particle":"de"},{"family":"Krimpen","given":"M M","non-dropping-particle":"van"},{"family":"Blonk","given":"H"},{"family":"Tyszler","given":"M"}],"issued":{"date-parts":[["2014"]]}}},{"id":10970,"uris":["http://zotero.org/users/6423791/items/5E2YP43S"],"itemData":{"id":10970,"type":"report","abstract":"Het InnovatieNetwerk Groene Ruimte en Agrocluster heeft eerder een haalbaarheidsstudie laten opstellen voor het ontwerp van een nieuw visteeltsysteem op een schip of drijvende bak. Onderdeel hiervan is een eerste aanzet van een haalbaarheidsonderzoek van de productie op het schip van het eiwitrijke Single Cell Protein (SCP). In een voortgezette haalbaarheidsstudie is onderzoek gedaan naar de mogelijkheid van SCP-productie voor veevoeders in een centrale installatie om zo de import van soja te verminderen.","language":"nl","note":"OCLC: 1012527642","publisher":"InnovatieNetwerk","source":"Open WorldCat","title":"Single Cell Protein (SCP) als alternatief voor soja: een haalbaarheidsstudie","title-short":"Single Cell Protein (SCP) als alternatief voor soja","URL":"http://edepot.wur.nl/116725","author":[{"family":"Huizing","given":"H.J."}],"accessed":{"date-parts":[["2021",4,14]]},"issued":{"date-parts":[["2005"]]}}},{"id":634,"uris":["http://zotero.org/users/6423791/items/D3IJGXQW"],"itemData":{"id":634,"type":"article-journal","abstract":"Bacterial proteins represent a potential future nutrient source for monogastric animal production because they can be grown rapidly on substrates with minimum dependence on soil, water, and climate conditions. This review summarises the current knowledge on methane-utilising bacteria as feed ingredients for animals. We present results from earlier work and recent findings concerning bacterial protein, including the production process, chemical composition, effects on nutrient digestibility, metabolism, and growth performance in several monogastric species, including pigs, broiler chickens, mink (Mustela vison), fox (Alopex lagopus), Atlantic salmon (Salmo salar), rainbow trout (Oncorhynchus mykiss), and Atlantic halibut (Hippoglossus hippoglossus). It is concluded that bacterial meal (BM) derived from natural gas fermentation, utilising a bacteria culture containing mainly the methanotroph Methylococcus capsulatus (Bath), is a promising source of protein based on criteria such as amino acid composition, digestibility, and animal performance and health. Future research challenges include modified downstream processing to produce value-added products, and improved understanding of factors contributing to nutrient availability and animal performance.","container-title":"Archives of animal nutrition","DOI":"10.1080/17450391003691534","journalAbbreviation":"Arch. Anim. Nutr.","page":"171-89","source":"ResearchGate","title":"Evaluation of methane-utilising bacteria products as feed ingredients for monogastric animals","volume":"64","author":[{"family":"Øverland","given":"Margareth"},{"family":"Tauson","given":"Anne-Helene"},{"family":"Shearer","given":"Karl"},{"family":"Skrede","given":"Anders"}],"issued":{"date-parts":[["2010",6,1]]}}}],"schema":"https://github.com/citation-style-language/schema/raw/master/csl-citation.json"} </w:instrText>
            </w:r>
            <w:r w:rsidRPr="006F3D27">
              <w:rPr>
                <w:i/>
                <w:sz w:val="18"/>
              </w:rPr>
              <w:fldChar w:fldCharType="separate"/>
            </w:r>
            <w:r w:rsidR="005413B4" w:rsidRPr="005413B4">
              <w:rPr>
                <w:rFonts w:ascii="Calibri" w:hAnsi="Calibri" w:cs="Calibri"/>
                <w:sz w:val="18"/>
                <w:szCs w:val="24"/>
                <w:vertAlign w:val="superscript"/>
              </w:rPr>
              <w:t>173,203,235</w:t>
            </w:r>
            <w:r w:rsidRPr="006F3D27">
              <w:rPr>
                <w:i/>
                <w:sz w:val="18"/>
              </w:rPr>
              <w:fldChar w:fldCharType="end"/>
            </w:r>
          </w:p>
        </w:tc>
        <w:tc>
          <w:tcPr>
            <w:tcW w:w="2551" w:type="dxa"/>
          </w:tcPr>
          <w:p w14:paraId="78B0A604" w14:textId="2353C5B6"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i/>
                <w:sz w:val="18"/>
              </w:rPr>
            </w:pPr>
            <w:r w:rsidRPr="006F3D27">
              <w:rPr>
                <w:i/>
                <w:sz w:val="18"/>
              </w:rPr>
              <w:t>Adapted from Solar Foods</w:t>
            </w:r>
            <w:r w:rsidRPr="006F3D27">
              <w:rPr>
                <w:i/>
                <w:sz w:val="18"/>
              </w:rPr>
              <w:fldChar w:fldCharType="begin"/>
            </w:r>
            <w:r w:rsidR="005413B4">
              <w:rPr>
                <w:i/>
                <w:sz w:val="18"/>
              </w:rPr>
              <w:instrText xml:space="preserve"> ADDIN ZOTERO_ITEM CSL_CITATION {"citationID":"JhYCDZzx","properties":{"formattedCitation":"\\super 183\\nosupersub{}","plainCitation":"183","noteIndex":0},"citationItems":[{"id":5124,"uris":["http://zotero.org/users/6423791/items/QSN5G6WV"],"itemData":{"id":5124,"type":"article-journal","container-title":"Science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L."}],"issued":{"date-parts":[["2021",2]]}}}],"schema":"https://github.com/citation-style-language/schema/raw/master/csl-citation.json"} </w:instrText>
            </w:r>
            <w:r w:rsidRPr="006F3D27">
              <w:rPr>
                <w:i/>
                <w:sz w:val="18"/>
              </w:rPr>
              <w:fldChar w:fldCharType="separate"/>
            </w:r>
            <w:r w:rsidR="005413B4" w:rsidRPr="005413B4">
              <w:rPr>
                <w:rFonts w:ascii="Calibri" w:hAnsi="Calibri" w:cs="Calibri"/>
                <w:sz w:val="18"/>
                <w:szCs w:val="24"/>
                <w:vertAlign w:val="superscript"/>
              </w:rPr>
              <w:t>183</w:t>
            </w:r>
            <w:r w:rsidRPr="006F3D27">
              <w:rPr>
                <w:i/>
                <w:sz w:val="18"/>
              </w:rPr>
              <w:fldChar w:fldCharType="end"/>
            </w:r>
          </w:p>
        </w:tc>
      </w:tr>
    </w:tbl>
    <w:p w14:paraId="7707D813" w14:textId="77777777" w:rsidR="002A6FDB" w:rsidRPr="003F5DA8" w:rsidRDefault="002A6FDB" w:rsidP="00942782">
      <w:pPr>
        <w:jc w:val="both"/>
      </w:pPr>
      <w:r w:rsidRPr="003F5DA8">
        <w:rPr>
          <w:sz w:val="18"/>
        </w:rPr>
        <w:t>Fixed compositions. Initially several compositions were modeled but yielding low overall influence on the results. SFU: Scandinavian feed unit.</w:t>
      </w:r>
    </w:p>
    <w:p w14:paraId="2F84432F" w14:textId="77777777" w:rsidR="002A6FDB" w:rsidRPr="002A6FDB" w:rsidRDefault="002A6FDB" w:rsidP="00917881">
      <w:pPr>
        <w:pStyle w:val="Titre4"/>
      </w:pPr>
      <w:r w:rsidRPr="002A6FDB">
        <w:t>MP production key performance indicators summary</w:t>
      </w:r>
    </w:p>
    <w:p w14:paraId="001228F7" w14:textId="481271B7" w:rsidR="006F3D27" w:rsidRDefault="002A6FDB" w:rsidP="00917881">
      <w:pPr>
        <w:ind w:firstLine="360"/>
        <w:jc w:val="both"/>
      </w:pPr>
      <w:r w:rsidRPr="003F5DA8">
        <w:t xml:space="preserve">This section summarizes the main outcomes of the MP production model, and compare them with benchmarked literature. The </w:t>
      </w:r>
      <w:r w:rsidR="00917881" w:rsidRPr="00917881">
        <w:rPr>
          <w:b/>
        </w:rPr>
        <w:fldChar w:fldCharType="begin"/>
      </w:r>
      <w:r w:rsidR="00917881" w:rsidRPr="00917881">
        <w:rPr>
          <w:b/>
        </w:rPr>
        <w:instrText xml:space="preserve"> REF _Ref144829972 \h </w:instrText>
      </w:r>
      <w:r w:rsidR="00917881">
        <w:rPr>
          <w:b/>
        </w:rPr>
        <w:instrText xml:space="preserve"> \* MERGEFORMAT </w:instrText>
      </w:r>
      <w:r w:rsidR="00917881" w:rsidRPr="00917881">
        <w:rPr>
          <w:b/>
        </w:rPr>
      </w:r>
      <w:r w:rsidR="00917881" w:rsidRPr="00917881">
        <w:rPr>
          <w:b/>
        </w:rPr>
        <w:fldChar w:fldCharType="separate"/>
      </w:r>
      <w:r w:rsidR="00F25F8C" w:rsidRPr="00F25F8C">
        <w:rPr>
          <w:b/>
        </w:rPr>
        <w:t xml:space="preserve">Table SI. </w:t>
      </w:r>
      <w:r w:rsidR="00F25F8C" w:rsidRPr="00F25F8C">
        <w:rPr>
          <w:b/>
          <w:noProof/>
        </w:rPr>
        <w:t>77</w:t>
      </w:r>
      <w:r w:rsidR="00917881" w:rsidRPr="00917881">
        <w:rPr>
          <w:b/>
        </w:rPr>
        <w:fldChar w:fldCharType="end"/>
      </w:r>
      <w:r w:rsidR="00917881" w:rsidRPr="00917881">
        <w:rPr>
          <w:b/>
        </w:rPr>
        <w:t xml:space="preserve"> </w:t>
      </w:r>
      <w:r w:rsidRPr="003F5DA8">
        <w:t>displays the heat integration modeling of MP production</w:t>
      </w:r>
      <w:r w:rsidR="00917881">
        <w:t xml:space="preserve">, while </w:t>
      </w:r>
      <w:r w:rsidR="00917881" w:rsidRPr="00917881">
        <w:rPr>
          <w:b/>
        </w:rPr>
        <w:fldChar w:fldCharType="begin"/>
      </w:r>
      <w:r w:rsidR="00917881" w:rsidRPr="00917881">
        <w:rPr>
          <w:b/>
        </w:rPr>
        <w:instrText xml:space="preserve"> REF _Ref144830958 \h </w:instrText>
      </w:r>
      <w:r w:rsidR="00917881">
        <w:rPr>
          <w:b/>
        </w:rPr>
        <w:instrText xml:space="preserve"> \* MERGEFORMAT </w:instrText>
      </w:r>
      <w:r w:rsidR="00917881" w:rsidRPr="00917881">
        <w:rPr>
          <w:b/>
        </w:rPr>
      </w:r>
      <w:r w:rsidR="00917881" w:rsidRPr="00917881">
        <w:rPr>
          <w:b/>
        </w:rPr>
        <w:fldChar w:fldCharType="separate"/>
      </w:r>
      <w:r w:rsidR="00F25F8C" w:rsidRPr="00F25F8C">
        <w:rPr>
          <w:b/>
        </w:rPr>
        <w:t xml:space="preserve">Table SI. </w:t>
      </w:r>
      <w:r w:rsidR="00F25F8C" w:rsidRPr="00F25F8C">
        <w:rPr>
          <w:b/>
          <w:noProof/>
        </w:rPr>
        <w:t>78</w:t>
      </w:r>
      <w:r w:rsidR="00917881" w:rsidRPr="00917881">
        <w:rPr>
          <w:b/>
        </w:rPr>
        <w:fldChar w:fldCharType="end"/>
      </w:r>
      <w:r w:rsidR="00917881">
        <w:t xml:space="preserve">, </w:t>
      </w:r>
      <w:r w:rsidR="00917881" w:rsidRPr="00917881">
        <w:rPr>
          <w:b/>
        </w:rPr>
        <w:fldChar w:fldCharType="begin"/>
      </w:r>
      <w:r w:rsidR="00917881" w:rsidRPr="00917881">
        <w:rPr>
          <w:b/>
        </w:rPr>
        <w:instrText xml:space="preserve"> REF _Ref144830959 \h </w:instrText>
      </w:r>
      <w:r w:rsidR="00917881">
        <w:rPr>
          <w:b/>
        </w:rPr>
        <w:instrText xml:space="preserve"> \* MERGEFORMAT </w:instrText>
      </w:r>
      <w:r w:rsidR="00917881" w:rsidRPr="00917881">
        <w:rPr>
          <w:b/>
        </w:rPr>
      </w:r>
      <w:r w:rsidR="00917881" w:rsidRPr="00917881">
        <w:rPr>
          <w:b/>
        </w:rPr>
        <w:fldChar w:fldCharType="separate"/>
      </w:r>
      <w:r w:rsidR="00F25F8C" w:rsidRPr="00F25F8C">
        <w:rPr>
          <w:b/>
        </w:rPr>
        <w:t xml:space="preserve">Table SI. </w:t>
      </w:r>
      <w:r w:rsidR="00F25F8C" w:rsidRPr="00F25F8C">
        <w:rPr>
          <w:b/>
          <w:noProof/>
        </w:rPr>
        <w:t>79</w:t>
      </w:r>
      <w:r w:rsidR="00917881" w:rsidRPr="00917881">
        <w:rPr>
          <w:b/>
        </w:rPr>
        <w:fldChar w:fldCharType="end"/>
      </w:r>
      <w:r w:rsidR="00917881">
        <w:t xml:space="preserve"> and </w:t>
      </w:r>
      <w:r w:rsidR="00917881" w:rsidRPr="00917881">
        <w:rPr>
          <w:b/>
        </w:rPr>
        <w:fldChar w:fldCharType="begin"/>
      </w:r>
      <w:r w:rsidR="00917881" w:rsidRPr="00917881">
        <w:rPr>
          <w:b/>
        </w:rPr>
        <w:instrText xml:space="preserve"> REF _Ref144830962 \h </w:instrText>
      </w:r>
      <w:r w:rsidR="00917881">
        <w:rPr>
          <w:b/>
        </w:rPr>
        <w:instrText xml:space="preserve"> \* MERGEFORMAT </w:instrText>
      </w:r>
      <w:r w:rsidR="00917881" w:rsidRPr="00917881">
        <w:rPr>
          <w:b/>
        </w:rPr>
      </w:r>
      <w:r w:rsidR="00917881" w:rsidRPr="00917881">
        <w:rPr>
          <w:b/>
        </w:rPr>
        <w:fldChar w:fldCharType="separate"/>
      </w:r>
      <w:r w:rsidR="00F25F8C" w:rsidRPr="00F25F8C">
        <w:rPr>
          <w:b/>
        </w:rPr>
        <w:t xml:space="preserve">Table SI. </w:t>
      </w:r>
      <w:r w:rsidR="00F25F8C" w:rsidRPr="00F25F8C">
        <w:rPr>
          <w:b/>
          <w:noProof/>
        </w:rPr>
        <w:t>80</w:t>
      </w:r>
      <w:r w:rsidR="00917881" w:rsidRPr="00917881">
        <w:rPr>
          <w:b/>
        </w:rPr>
        <w:fldChar w:fldCharType="end"/>
      </w:r>
      <w:r w:rsidRPr="003F5DA8">
        <w:t>.</w:t>
      </w:r>
      <w:r w:rsidR="00917881">
        <w:t>compare achieved performances (by MP LCI model) with references.</w:t>
      </w:r>
    </w:p>
    <w:p w14:paraId="06A16562" w14:textId="77777777" w:rsidR="006F3D27" w:rsidRDefault="006F3D27">
      <w:r>
        <w:br w:type="page"/>
      </w:r>
    </w:p>
    <w:p w14:paraId="53BA2967" w14:textId="1355B1F3" w:rsidR="002A6FDB" w:rsidRPr="00B45377" w:rsidRDefault="00874128" w:rsidP="00942782">
      <w:pPr>
        <w:pStyle w:val="Lgende"/>
        <w:jc w:val="left"/>
        <w:rPr>
          <w:b w:val="0"/>
          <w:i/>
        </w:rPr>
      </w:pPr>
      <w:bookmarkStart w:id="339" w:name="_Ref144829972"/>
      <w:bookmarkStart w:id="340" w:name="_Toc134537643"/>
      <w:bookmarkStart w:id="341" w:name="_Toc151967961"/>
      <w:r>
        <w:lastRenderedPageBreak/>
        <w:t>Table SI.</w:t>
      </w:r>
      <w:r w:rsidR="002A6FDB">
        <w:t xml:space="preserve"> </w:t>
      </w:r>
      <w:r>
        <w:fldChar w:fldCharType="begin"/>
      </w:r>
      <w:r>
        <w:instrText xml:space="preserve"> SEQ Table_SI. \* ARABIC </w:instrText>
      </w:r>
      <w:r>
        <w:fldChar w:fldCharType="separate"/>
      </w:r>
      <w:r w:rsidR="00F25F8C">
        <w:rPr>
          <w:noProof/>
        </w:rPr>
        <w:t>77</w:t>
      </w:r>
      <w:r>
        <w:fldChar w:fldCharType="end"/>
      </w:r>
      <w:bookmarkEnd w:id="339"/>
      <w:r w:rsidR="002A6FDB">
        <w:t xml:space="preserve"> </w:t>
      </w:r>
      <w:r w:rsidR="002A6FDB" w:rsidRPr="00415E4C">
        <w:t>– Heat recovery modeling involved in MP production and post-treatments</w:t>
      </w:r>
      <w:bookmarkEnd w:id="340"/>
      <w:bookmarkEnd w:id="341"/>
    </w:p>
    <w:tbl>
      <w:tblPr>
        <w:tblStyle w:val="Tableausimple2"/>
        <w:tblW w:w="0" w:type="auto"/>
        <w:tblLook w:val="04A0" w:firstRow="1" w:lastRow="0" w:firstColumn="1" w:lastColumn="0" w:noHBand="0" w:noVBand="1"/>
      </w:tblPr>
      <w:tblGrid>
        <w:gridCol w:w="1315"/>
        <w:gridCol w:w="2035"/>
        <w:gridCol w:w="1461"/>
        <w:gridCol w:w="3243"/>
      </w:tblGrid>
      <w:tr w:rsidR="002A6FDB" w:rsidRPr="006F3D27" w14:paraId="1E3F3C13" w14:textId="77777777" w:rsidTr="009427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7D32B90" w14:textId="77777777" w:rsidR="002A6FDB" w:rsidRPr="006F3D27" w:rsidRDefault="002A6FDB" w:rsidP="00BB41E9">
            <w:pPr>
              <w:jc w:val="right"/>
              <w:rPr>
                <w:sz w:val="18"/>
              </w:rPr>
            </w:pPr>
            <w:r w:rsidRPr="006F3D27">
              <w:rPr>
                <w:sz w:val="18"/>
              </w:rPr>
              <w:t>Unit operation</w:t>
            </w:r>
          </w:p>
        </w:tc>
        <w:tc>
          <w:tcPr>
            <w:tcW w:w="0" w:type="auto"/>
          </w:tcPr>
          <w:p w14:paraId="6B3AFDF0" w14:textId="77777777" w:rsidR="002A6FDB" w:rsidRPr="006F3D27" w:rsidRDefault="002A6FDB" w:rsidP="00BB41E9">
            <w:pPr>
              <w:cnfStyle w:val="100000000000" w:firstRow="1" w:lastRow="0" w:firstColumn="0" w:lastColumn="0" w:oddVBand="0" w:evenVBand="0" w:oddHBand="0" w:evenHBand="0" w:firstRowFirstColumn="0" w:firstRowLastColumn="0" w:lastRowFirstColumn="0" w:lastRowLastColumn="0"/>
              <w:rPr>
                <w:sz w:val="18"/>
              </w:rPr>
            </w:pPr>
            <w:r w:rsidRPr="006F3D27">
              <w:rPr>
                <w:sz w:val="18"/>
              </w:rPr>
              <w:t>Heat recovery</w:t>
            </w:r>
          </w:p>
        </w:tc>
        <w:tc>
          <w:tcPr>
            <w:tcW w:w="0" w:type="auto"/>
          </w:tcPr>
          <w:p w14:paraId="512CDD18" w14:textId="77777777" w:rsidR="002A6FDB" w:rsidRPr="006F3D27" w:rsidRDefault="002A6FDB" w:rsidP="00BB41E9">
            <w:pPr>
              <w:cnfStyle w:val="100000000000" w:firstRow="1" w:lastRow="0" w:firstColumn="0" w:lastColumn="0" w:oddVBand="0" w:evenVBand="0" w:oddHBand="0" w:evenHBand="0" w:firstRowFirstColumn="0" w:firstRowLastColumn="0" w:lastRowFirstColumn="0" w:lastRowLastColumn="0"/>
              <w:rPr>
                <w:sz w:val="18"/>
              </w:rPr>
            </w:pPr>
            <w:r w:rsidRPr="006F3D27">
              <w:rPr>
                <w:sz w:val="18"/>
              </w:rPr>
              <w:t>Temperatures</w:t>
            </w:r>
          </w:p>
        </w:tc>
        <w:tc>
          <w:tcPr>
            <w:tcW w:w="0" w:type="auto"/>
          </w:tcPr>
          <w:p w14:paraId="412AB3C4" w14:textId="77777777" w:rsidR="002A6FDB" w:rsidRPr="006F3D27" w:rsidRDefault="002A6FDB" w:rsidP="00BB41E9">
            <w:pPr>
              <w:cnfStyle w:val="100000000000" w:firstRow="1" w:lastRow="0" w:firstColumn="0" w:lastColumn="0" w:oddVBand="0" w:evenVBand="0" w:oddHBand="0" w:evenHBand="0" w:firstRowFirstColumn="0" w:firstRowLastColumn="0" w:lastRowFirstColumn="0" w:lastRowLastColumn="0"/>
              <w:rPr>
                <w:sz w:val="18"/>
              </w:rPr>
            </w:pPr>
            <w:r w:rsidRPr="006F3D27">
              <w:rPr>
                <w:sz w:val="18"/>
              </w:rPr>
              <w:t>Modeling</w:t>
            </w:r>
          </w:p>
        </w:tc>
      </w:tr>
      <w:tr w:rsidR="002A6FDB" w:rsidRPr="006F3D27" w14:paraId="26435918"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AF05E85" w14:textId="77777777" w:rsidR="002A6FDB" w:rsidRPr="006F3D27" w:rsidRDefault="002A6FDB" w:rsidP="00BB41E9">
            <w:pPr>
              <w:jc w:val="right"/>
              <w:rPr>
                <w:b w:val="0"/>
                <w:sz w:val="18"/>
              </w:rPr>
            </w:pPr>
            <w:r w:rsidRPr="006F3D27">
              <w:rPr>
                <w:b w:val="0"/>
                <w:sz w:val="18"/>
              </w:rPr>
              <w:t>MP production</w:t>
            </w:r>
          </w:p>
        </w:tc>
        <w:tc>
          <w:tcPr>
            <w:tcW w:w="0" w:type="auto"/>
          </w:tcPr>
          <w:p w14:paraId="7267084D"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Metabolic heat</w:t>
            </w:r>
          </w:p>
        </w:tc>
        <w:tc>
          <w:tcPr>
            <w:tcW w:w="0" w:type="auto"/>
          </w:tcPr>
          <w:p w14:paraId="75B67911"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30-40°C</w:t>
            </w:r>
          </w:p>
        </w:tc>
        <w:tc>
          <w:tcPr>
            <w:tcW w:w="0" w:type="auto"/>
          </w:tcPr>
          <w:p w14:paraId="744F6E32"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LT WHR</w:t>
            </w:r>
          </w:p>
        </w:tc>
      </w:tr>
      <w:tr w:rsidR="002A6FDB" w:rsidRPr="006F3D27" w14:paraId="601AA990"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00BDBAF9" w14:textId="77777777" w:rsidR="002A6FDB" w:rsidRPr="006F3D27" w:rsidRDefault="002A6FDB" w:rsidP="00BB41E9">
            <w:pPr>
              <w:jc w:val="right"/>
              <w:rPr>
                <w:b w:val="0"/>
                <w:sz w:val="18"/>
              </w:rPr>
            </w:pPr>
            <w:r w:rsidRPr="006F3D27">
              <w:rPr>
                <w:b w:val="0"/>
                <w:sz w:val="18"/>
              </w:rPr>
              <w:t>MP production</w:t>
            </w:r>
          </w:p>
        </w:tc>
        <w:tc>
          <w:tcPr>
            <w:tcW w:w="0" w:type="auto"/>
          </w:tcPr>
          <w:p w14:paraId="09BAA05A"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Off-gases enthalpy</w:t>
            </w:r>
          </w:p>
        </w:tc>
        <w:tc>
          <w:tcPr>
            <w:tcW w:w="0" w:type="auto"/>
          </w:tcPr>
          <w:p w14:paraId="57A65185"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n.a.</w:t>
            </w:r>
          </w:p>
        </w:tc>
        <w:tc>
          <w:tcPr>
            <w:tcW w:w="0" w:type="auto"/>
          </w:tcPr>
          <w:p w14:paraId="229242D5"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Gaseous co-products</w:t>
            </w:r>
          </w:p>
        </w:tc>
      </w:tr>
      <w:tr w:rsidR="002A6FDB" w:rsidRPr="006F3D27" w14:paraId="6F2A93E2"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9E7DE63" w14:textId="77777777" w:rsidR="002A6FDB" w:rsidRPr="006F3D27" w:rsidRDefault="002A6FDB" w:rsidP="00BB41E9">
            <w:pPr>
              <w:jc w:val="right"/>
              <w:rPr>
                <w:b w:val="0"/>
                <w:sz w:val="18"/>
              </w:rPr>
            </w:pPr>
            <w:r w:rsidRPr="006F3D27">
              <w:rPr>
                <w:b w:val="0"/>
                <w:sz w:val="18"/>
              </w:rPr>
              <w:t>Sterilization</w:t>
            </w:r>
          </w:p>
        </w:tc>
        <w:tc>
          <w:tcPr>
            <w:tcW w:w="0" w:type="auto"/>
          </w:tcPr>
          <w:p w14:paraId="4F4B7D71"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Medium cooling</w:t>
            </w:r>
          </w:p>
        </w:tc>
        <w:tc>
          <w:tcPr>
            <w:tcW w:w="0" w:type="auto"/>
          </w:tcPr>
          <w:p w14:paraId="1E182D19"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66°C to 30-40°C</w:t>
            </w:r>
          </w:p>
        </w:tc>
        <w:tc>
          <w:tcPr>
            <w:tcW w:w="0" w:type="auto"/>
          </w:tcPr>
          <w:p w14:paraId="2086D1C7" w14:textId="77777777" w:rsidR="002A6FDB" w:rsidRPr="006F3D27" w:rsidRDefault="002A6FDB" w:rsidP="00BB41E9">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LT WHR (after heat exchanger)</w:t>
            </w:r>
          </w:p>
        </w:tc>
      </w:tr>
      <w:tr w:rsidR="002A6FDB" w:rsidRPr="006F3D27" w14:paraId="7B666607"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4F784813" w14:textId="77777777" w:rsidR="002A6FDB" w:rsidRPr="006F3D27" w:rsidRDefault="002A6FDB" w:rsidP="00BB41E9">
            <w:pPr>
              <w:jc w:val="right"/>
              <w:rPr>
                <w:b w:val="0"/>
                <w:sz w:val="18"/>
              </w:rPr>
            </w:pPr>
            <w:r w:rsidRPr="006F3D27">
              <w:rPr>
                <w:b w:val="0"/>
                <w:sz w:val="18"/>
              </w:rPr>
              <w:t>Recirculation</w:t>
            </w:r>
          </w:p>
        </w:tc>
        <w:tc>
          <w:tcPr>
            <w:tcW w:w="0" w:type="auto"/>
          </w:tcPr>
          <w:p w14:paraId="5471EE39"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Centrifuge outlet cooling</w:t>
            </w:r>
          </w:p>
        </w:tc>
        <w:tc>
          <w:tcPr>
            <w:tcW w:w="0" w:type="auto"/>
          </w:tcPr>
          <w:p w14:paraId="31CCDB12"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105°C to 30-40°C</w:t>
            </w:r>
          </w:p>
        </w:tc>
        <w:tc>
          <w:tcPr>
            <w:tcW w:w="0" w:type="auto"/>
          </w:tcPr>
          <w:p w14:paraId="1AFD1DA1" w14:textId="77777777" w:rsidR="002A6FDB" w:rsidRPr="006F3D27" w:rsidRDefault="002A6FDB" w:rsidP="00BB41E9">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Mixing with UF outlet and passive system</w:t>
            </w:r>
          </w:p>
        </w:tc>
      </w:tr>
      <w:tr w:rsidR="00917881" w:rsidRPr="006F3D27" w14:paraId="60F9CAE3"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26511C2" w14:textId="254027E3" w:rsidR="00917881" w:rsidRPr="006F3D27" w:rsidRDefault="00917881" w:rsidP="00917881">
            <w:pPr>
              <w:rPr>
                <w:b w:val="0"/>
                <w:i/>
                <w:sz w:val="18"/>
              </w:rPr>
            </w:pPr>
          </w:p>
        </w:tc>
        <w:tc>
          <w:tcPr>
            <w:tcW w:w="0" w:type="auto"/>
            <w:gridSpan w:val="2"/>
          </w:tcPr>
          <w:p w14:paraId="1A66F2A8" w14:textId="77777777" w:rsidR="00917881" w:rsidRPr="006F3D27" w:rsidRDefault="00917881" w:rsidP="00917881">
            <w:pPr>
              <w:cnfStyle w:val="000000100000" w:firstRow="0" w:lastRow="0" w:firstColumn="0" w:lastColumn="0" w:oddVBand="0" w:evenVBand="0" w:oddHBand="1" w:evenHBand="0" w:firstRowFirstColumn="0" w:firstRowLastColumn="0" w:lastRowFirstColumn="0" w:lastRowLastColumn="0"/>
              <w:rPr>
                <w:i/>
                <w:sz w:val="18"/>
              </w:rPr>
            </w:pPr>
            <w:r w:rsidRPr="006F3D27">
              <w:rPr>
                <w:i/>
                <w:sz w:val="18"/>
              </w:rPr>
              <w:t>Only processes linked with the MP stage</w:t>
            </w:r>
          </w:p>
        </w:tc>
        <w:tc>
          <w:tcPr>
            <w:tcW w:w="0" w:type="auto"/>
          </w:tcPr>
          <w:p w14:paraId="7A77CCD4" w14:textId="59077438" w:rsidR="00917881" w:rsidRPr="006F3D27" w:rsidRDefault="00917881" w:rsidP="00917881">
            <w:pPr>
              <w:cnfStyle w:val="000000100000" w:firstRow="0" w:lastRow="0" w:firstColumn="0" w:lastColumn="0" w:oddVBand="0" w:evenVBand="0" w:oddHBand="1" w:evenHBand="0" w:firstRowFirstColumn="0" w:firstRowLastColumn="0" w:lastRowFirstColumn="0" w:lastRowLastColumn="0"/>
              <w:rPr>
                <w:i/>
                <w:sz w:val="18"/>
              </w:rPr>
            </w:pPr>
            <w:r w:rsidRPr="006F3D27">
              <w:rPr>
                <w:i/>
                <w:sz w:val="18"/>
              </w:rPr>
              <w:t xml:space="preserve">See </w:t>
            </w:r>
            <w:r w:rsidRPr="006F3D27">
              <w:rPr>
                <w:b/>
                <w:i/>
                <w:sz w:val="18"/>
              </w:rPr>
              <w:t xml:space="preserve">section </w:t>
            </w:r>
            <w:r w:rsidR="000C6C37">
              <w:rPr>
                <w:b/>
                <w:i/>
                <w:sz w:val="18"/>
              </w:rPr>
              <w:t xml:space="preserve">SI. </w:t>
            </w:r>
            <w:r w:rsidRPr="006F3D27">
              <w:rPr>
                <w:b/>
                <w:i/>
                <w:sz w:val="18"/>
              </w:rPr>
              <w:fldChar w:fldCharType="begin"/>
            </w:r>
            <w:r w:rsidRPr="006F3D27">
              <w:rPr>
                <w:b/>
                <w:i/>
                <w:sz w:val="18"/>
              </w:rPr>
              <w:instrText xml:space="preserve"> REF _Ref144802667 \r \h </w:instrText>
            </w:r>
            <w:r w:rsidR="006F3D27" w:rsidRPr="006F3D27">
              <w:rPr>
                <w:b/>
                <w:i/>
                <w:sz w:val="18"/>
              </w:rPr>
              <w:instrText xml:space="preserve"> \* MERGEFORMAT </w:instrText>
            </w:r>
            <w:r w:rsidRPr="006F3D27">
              <w:rPr>
                <w:b/>
                <w:i/>
                <w:sz w:val="18"/>
              </w:rPr>
            </w:r>
            <w:r w:rsidRPr="006F3D27">
              <w:rPr>
                <w:b/>
                <w:i/>
                <w:sz w:val="18"/>
              </w:rPr>
              <w:fldChar w:fldCharType="separate"/>
            </w:r>
            <w:r w:rsidR="00F25F8C" w:rsidRPr="006F3D27">
              <w:rPr>
                <w:b/>
                <w:i/>
                <w:sz w:val="18"/>
              </w:rPr>
              <w:t>4.1</w:t>
            </w:r>
            <w:r w:rsidRPr="006F3D27">
              <w:rPr>
                <w:b/>
                <w:i/>
                <w:sz w:val="18"/>
              </w:rPr>
              <w:fldChar w:fldCharType="end"/>
            </w:r>
          </w:p>
        </w:tc>
      </w:tr>
    </w:tbl>
    <w:p w14:paraId="68D0EC81" w14:textId="5BDD739F" w:rsidR="00703D3A" w:rsidRPr="00703D3A" w:rsidRDefault="00703D3A" w:rsidP="00942782">
      <w:pPr>
        <w:pStyle w:val="Lgende"/>
        <w:jc w:val="left"/>
      </w:pPr>
      <w:r>
        <w:tab/>
      </w:r>
      <w:bookmarkStart w:id="342" w:name="_Ref144830958"/>
      <w:bookmarkStart w:id="343" w:name="_Toc134537644"/>
      <w:bookmarkStart w:id="344" w:name="_Toc151967962"/>
      <w:r w:rsidR="00874128">
        <w:t>Table SI.</w:t>
      </w:r>
      <w:r w:rsidRPr="00703D3A">
        <w:t xml:space="preserve"> </w:t>
      </w:r>
      <w:r w:rsidR="00874128">
        <w:fldChar w:fldCharType="begin"/>
      </w:r>
      <w:r w:rsidR="00874128">
        <w:instrText xml:space="preserve"> SEQ Table_SI. \* ARABIC </w:instrText>
      </w:r>
      <w:r w:rsidR="00874128">
        <w:fldChar w:fldCharType="separate"/>
      </w:r>
      <w:r w:rsidR="00F25F8C">
        <w:rPr>
          <w:noProof/>
        </w:rPr>
        <w:t>78</w:t>
      </w:r>
      <w:r w:rsidR="00874128">
        <w:fldChar w:fldCharType="end"/>
      </w:r>
      <w:bookmarkEnd w:id="342"/>
      <w:r w:rsidRPr="00703D3A">
        <w:t xml:space="preserve"> – Energy performance of MP production and post-treatments</w:t>
      </w:r>
      <w:bookmarkEnd w:id="343"/>
      <w:bookmarkEnd w:id="344"/>
    </w:p>
    <w:tbl>
      <w:tblPr>
        <w:tblStyle w:val="Tableausimple2"/>
        <w:tblW w:w="0" w:type="auto"/>
        <w:tblLook w:val="04A0" w:firstRow="1" w:lastRow="0" w:firstColumn="1" w:lastColumn="0" w:noHBand="0" w:noVBand="1"/>
      </w:tblPr>
      <w:tblGrid>
        <w:gridCol w:w="1315"/>
        <w:gridCol w:w="1173"/>
        <w:gridCol w:w="703"/>
        <w:gridCol w:w="1143"/>
        <w:gridCol w:w="2026"/>
        <w:gridCol w:w="2386"/>
      </w:tblGrid>
      <w:tr w:rsidR="00703D3A" w:rsidRPr="006F3D27" w14:paraId="7A247239" w14:textId="77777777" w:rsidTr="009427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cPr>
          <w:p w14:paraId="320E08F9" w14:textId="77777777" w:rsidR="00703D3A" w:rsidRPr="006F3D27" w:rsidRDefault="00703D3A" w:rsidP="00847C80">
            <w:pPr>
              <w:rPr>
                <w:sz w:val="18"/>
              </w:rPr>
            </w:pPr>
            <w:r w:rsidRPr="006F3D27">
              <w:rPr>
                <w:sz w:val="18"/>
              </w:rPr>
              <w:t>Unit operation</w:t>
            </w:r>
          </w:p>
        </w:tc>
        <w:tc>
          <w:tcPr>
            <w:tcW w:w="0" w:type="auto"/>
            <w:vMerge w:val="restart"/>
          </w:tcPr>
          <w:p w14:paraId="5F7B18D0" w14:textId="77777777" w:rsidR="00703D3A" w:rsidRPr="006F3D27" w:rsidRDefault="00703D3A" w:rsidP="00847C80">
            <w:pPr>
              <w:cnfStyle w:val="100000000000" w:firstRow="1" w:lastRow="0" w:firstColumn="0" w:lastColumn="0" w:oddVBand="0" w:evenVBand="0" w:oddHBand="0" w:evenHBand="0" w:firstRowFirstColumn="0" w:firstRowLastColumn="0" w:lastRowFirstColumn="0" w:lastRowLastColumn="0"/>
              <w:rPr>
                <w:sz w:val="18"/>
              </w:rPr>
            </w:pPr>
            <w:r w:rsidRPr="006F3D27">
              <w:rPr>
                <w:sz w:val="18"/>
              </w:rPr>
              <w:t>Electricity</w:t>
            </w:r>
            <w:r w:rsidRPr="006F3D27">
              <w:rPr>
                <w:sz w:val="18"/>
                <w:vertAlign w:val="superscript"/>
              </w:rPr>
              <w:t>*</w:t>
            </w:r>
          </w:p>
          <w:p w14:paraId="1073D408" w14:textId="77777777" w:rsidR="00703D3A" w:rsidRPr="006F3D27" w:rsidRDefault="00703D3A" w:rsidP="00847C80">
            <w:pPr>
              <w:cnfStyle w:val="100000000000" w:firstRow="1" w:lastRow="0" w:firstColumn="0" w:lastColumn="0" w:oddVBand="0" w:evenVBand="0" w:oddHBand="0" w:evenHBand="0" w:firstRowFirstColumn="0" w:firstRowLastColumn="0" w:lastRowFirstColumn="0" w:lastRowLastColumn="0"/>
              <w:rPr>
                <w:sz w:val="18"/>
              </w:rPr>
            </w:pPr>
            <w:r w:rsidRPr="006F3D27">
              <w:rPr>
                <w:sz w:val="18"/>
              </w:rPr>
              <w:t>(kWh.kg</w:t>
            </w:r>
            <w:r w:rsidRPr="006F3D27">
              <w:rPr>
                <w:sz w:val="18"/>
                <w:vertAlign w:val="subscript"/>
              </w:rPr>
              <w:t>DM</w:t>
            </w:r>
            <w:r w:rsidRPr="006F3D27">
              <w:rPr>
                <w:sz w:val="18"/>
                <w:vertAlign w:val="superscript"/>
              </w:rPr>
              <w:t>-1</w:t>
            </w:r>
            <w:r w:rsidRPr="006F3D27">
              <w:rPr>
                <w:sz w:val="18"/>
              </w:rPr>
              <w:t>)</w:t>
            </w:r>
          </w:p>
        </w:tc>
        <w:tc>
          <w:tcPr>
            <w:tcW w:w="0" w:type="auto"/>
            <w:gridSpan w:val="3"/>
          </w:tcPr>
          <w:p w14:paraId="469A0309" w14:textId="77777777" w:rsidR="00703D3A" w:rsidRPr="006F3D27" w:rsidRDefault="00703D3A" w:rsidP="00847C80">
            <w:pPr>
              <w:cnfStyle w:val="100000000000" w:firstRow="1" w:lastRow="0" w:firstColumn="0" w:lastColumn="0" w:oddVBand="0" w:evenVBand="0" w:oddHBand="0" w:evenHBand="0" w:firstRowFirstColumn="0" w:firstRowLastColumn="0" w:lastRowFirstColumn="0" w:lastRowLastColumn="0"/>
              <w:rPr>
                <w:sz w:val="18"/>
              </w:rPr>
            </w:pPr>
            <w:r w:rsidRPr="006F3D27">
              <w:rPr>
                <w:sz w:val="18"/>
              </w:rPr>
              <w:t>Heat</w:t>
            </w:r>
            <w:r w:rsidRPr="006F3D27">
              <w:rPr>
                <w:sz w:val="18"/>
                <w:vertAlign w:val="superscript"/>
              </w:rPr>
              <w:t>*</w:t>
            </w:r>
            <w:r w:rsidRPr="006F3D27">
              <w:rPr>
                <w:sz w:val="18"/>
              </w:rPr>
              <w:t xml:space="preserve"> (MJ. kg</w:t>
            </w:r>
            <w:r w:rsidRPr="006F3D27">
              <w:rPr>
                <w:sz w:val="18"/>
                <w:vertAlign w:val="subscript"/>
              </w:rPr>
              <w:t>DM</w:t>
            </w:r>
            <w:r w:rsidRPr="006F3D27">
              <w:rPr>
                <w:sz w:val="18"/>
                <w:vertAlign w:val="superscript"/>
              </w:rPr>
              <w:t>-1</w:t>
            </w:r>
            <w:r w:rsidRPr="006F3D27">
              <w:rPr>
                <w:sz w:val="18"/>
              </w:rPr>
              <w:t>)</w:t>
            </w:r>
          </w:p>
        </w:tc>
        <w:tc>
          <w:tcPr>
            <w:tcW w:w="2386" w:type="dxa"/>
            <w:vMerge w:val="restart"/>
          </w:tcPr>
          <w:p w14:paraId="1D7338BA" w14:textId="05989E37" w:rsidR="00703D3A" w:rsidRPr="006F3D27" w:rsidRDefault="00703D3A" w:rsidP="00847C80">
            <w:pPr>
              <w:cnfStyle w:val="100000000000" w:firstRow="1" w:lastRow="0" w:firstColumn="0" w:lastColumn="0" w:oddVBand="0" w:evenVBand="0" w:oddHBand="0" w:evenHBand="0" w:firstRowFirstColumn="0" w:firstRowLastColumn="0" w:lastRowFirstColumn="0" w:lastRowLastColumn="0"/>
              <w:rPr>
                <w:sz w:val="18"/>
              </w:rPr>
            </w:pPr>
            <w:r w:rsidRPr="006F3D27">
              <w:rPr>
                <w:sz w:val="18"/>
              </w:rPr>
              <w:t>Van Peteghem et al., 2022</w:t>
            </w:r>
            <w:r w:rsidRPr="006F3D27">
              <w:rPr>
                <w:sz w:val="18"/>
              </w:rPr>
              <w:fldChar w:fldCharType="begin"/>
            </w:r>
            <w:r w:rsidR="00827449">
              <w:rPr>
                <w:sz w:val="18"/>
              </w:rPr>
              <w:instrText xml:space="preserve"> ADDIN ZOTERO_ITEM CSL_CITATION {"citationID":"s90elSAJ","properties":{"formattedCitation":"\\super 41\\nosupersub{}","plainCitation":"41","noteIndex":0},"citationItems":[{"id":13068,"uris":["http://zotero.org/users/6423791/items/RK8J2DQC"],"itemData":{"id":13068,"type":"article-journal","abstract":"Alternative protein sources such as microbial protein (MP) are currently considered to alleviate the burden that food production exerts on the environment. Even though MP production is highly efficient in land and nutrient utilization, their carbon footprint should be improved. Here we propose the use of CCU as a driver for heterotrophic MP production. By comparing different MP production routes starting from liquid substrates derived from CO2 (i.e., formate, acetate, methanol, and ethanol) and their respective metabolic pathways, the potential of this concept as a carbon–neutral food or feed production process was estimated. Acetate and ethanol appear to be the most beneficial substrates for the integrated CCU-to-MP process in terms of electricity demand (acetate: 25 – 54 kWh/kgproduct, ethanol: 28 – 56 kWh/kgproduct). Moreover, recycling CO2 enables a carbon-negative protein production process by 2030 (considering the projected CO2 emissions from electricity in the EU: 0.096 kgCO2-eq/kWh) for formate, acetate, and ethanol (-1.1 up to 13 kgCO2-eq/kgproduct).","container-title":"Bioresource Technology","DOI":"10.1016/j.biortech.2022.126853","ISSN":"0960-8524","journalAbbreviation":"Bioresour. Technol.","language":"en","page":"126853","source":"ScienceDirect","title":"Towards new carbon–neutral food systems: Combining carbon capture and utilization with microbial protein production","title-short":"Towards new carbon–neutral food systems","volume":"349","author":[{"family":"Van Peteghem","given":"L."},{"family":"Sakarika","given":"M."},{"family":"Matassa","given":"S."},{"family":"Pikaar","given":"I."},{"family":"Ganigué","given":"R."},{"family":"Rabaey","given":"K."}],"issued":{"date-parts":[["2022",4,1]]}}}],"schema":"https://github.com/citation-style-language/schema/raw/master/csl-citation.json"} </w:instrText>
            </w:r>
            <w:r w:rsidRPr="006F3D27">
              <w:rPr>
                <w:sz w:val="18"/>
              </w:rPr>
              <w:fldChar w:fldCharType="separate"/>
            </w:r>
            <w:r w:rsidR="008C451C" w:rsidRPr="008C451C">
              <w:rPr>
                <w:rFonts w:ascii="Calibri" w:hAnsi="Calibri" w:cs="Calibri"/>
                <w:sz w:val="18"/>
                <w:szCs w:val="24"/>
                <w:vertAlign w:val="superscript"/>
              </w:rPr>
              <w:t>41</w:t>
            </w:r>
            <w:r w:rsidRPr="006F3D27">
              <w:rPr>
                <w:sz w:val="18"/>
              </w:rPr>
              <w:fldChar w:fldCharType="end"/>
            </w:r>
          </w:p>
          <w:p w14:paraId="685403D8" w14:textId="77777777" w:rsidR="00703D3A" w:rsidRPr="006F3D27" w:rsidRDefault="00703D3A" w:rsidP="00847C80">
            <w:pPr>
              <w:cnfStyle w:val="100000000000" w:firstRow="1" w:lastRow="0" w:firstColumn="0" w:lastColumn="0" w:oddVBand="0" w:evenVBand="0" w:oddHBand="0" w:evenHBand="0" w:firstRowFirstColumn="0" w:firstRowLastColumn="0" w:lastRowFirstColumn="0" w:lastRowLastColumn="0"/>
              <w:rPr>
                <w:b w:val="0"/>
                <w:sz w:val="18"/>
              </w:rPr>
            </w:pPr>
            <w:r w:rsidRPr="006F3D27">
              <w:rPr>
                <w:sz w:val="18"/>
              </w:rPr>
              <w:t>(kWh.kg</w:t>
            </w:r>
            <w:r w:rsidRPr="006F3D27">
              <w:rPr>
                <w:sz w:val="18"/>
                <w:vertAlign w:val="subscript"/>
              </w:rPr>
              <w:t>DM</w:t>
            </w:r>
            <w:r w:rsidRPr="006F3D27">
              <w:rPr>
                <w:sz w:val="18"/>
                <w:vertAlign w:val="superscript"/>
              </w:rPr>
              <w:t>-1</w:t>
            </w:r>
            <w:r w:rsidRPr="006F3D27">
              <w:rPr>
                <w:sz w:val="18"/>
              </w:rPr>
              <w:t>)</w:t>
            </w:r>
          </w:p>
        </w:tc>
      </w:tr>
      <w:tr w:rsidR="00703D3A" w:rsidRPr="006F3D27" w14:paraId="0B0B3634"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633EDF1A" w14:textId="77777777" w:rsidR="00703D3A" w:rsidRPr="006F3D27" w:rsidRDefault="00703D3A" w:rsidP="00847C80">
            <w:pPr>
              <w:rPr>
                <w:b w:val="0"/>
                <w:sz w:val="18"/>
              </w:rPr>
            </w:pPr>
          </w:p>
        </w:tc>
        <w:tc>
          <w:tcPr>
            <w:tcW w:w="0" w:type="auto"/>
            <w:vMerge/>
          </w:tcPr>
          <w:p w14:paraId="7E01E5F2" w14:textId="77777777" w:rsidR="00703D3A" w:rsidRPr="006F3D27" w:rsidRDefault="00703D3A" w:rsidP="00847C80">
            <w:pPr>
              <w:cnfStyle w:val="000000100000" w:firstRow="0" w:lastRow="0" w:firstColumn="0" w:lastColumn="0" w:oddVBand="0" w:evenVBand="0" w:oddHBand="1" w:evenHBand="0" w:firstRowFirstColumn="0" w:firstRowLastColumn="0" w:lastRowFirstColumn="0" w:lastRowLastColumn="0"/>
              <w:rPr>
                <w:b/>
                <w:sz w:val="18"/>
              </w:rPr>
            </w:pPr>
          </w:p>
        </w:tc>
        <w:tc>
          <w:tcPr>
            <w:tcW w:w="0" w:type="auto"/>
          </w:tcPr>
          <w:p w14:paraId="29DF7EA2" w14:textId="77777777" w:rsidR="00703D3A" w:rsidRPr="006F3D27" w:rsidRDefault="00703D3A" w:rsidP="00847C80">
            <w:pPr>
              <w:cnfStyle w:val="000000100000" w:firstRow="0" w:lastRow="0" w:firstColumn="0" w:lastColumn="0" w:oddVBand="0" w:evenVBand="0" w:oddHBand="1" w:evenHBand="0" w:firstRowFirstColumn="0" w:firstRowLastColumn="0" w:lastRowFirstColumn="0" w:lastRowLastColumn="0"/>
              <w:rPr>
                <w:b/>
                <w:sz w:val="18"/>
              </w:rPr>
            </w:pPr>
            <w:r w:rsidRPr="006F3D27">
              <w:rPr>
                <w:b/>
                <w:sz w:val="18"/>
              </w:rPr>
              <w:t>total</w:t>
            </w:r>
          </w:p>
        </w:tc>
        <w:tc>
          <w:tcPr>
            <w:tcW w:w="0" w:type="auto"/>
          </w:tcPr>
          <w:p w14:paraId="7E09E14B" w14:textId="77777777" w:rsidR="00703D3A" w:rsidRPr="006F3D27" w:rsidRDefault="00703D3A" w:rsidP="00847C80">
            <w:pPr>
              <w:cnfStyle w:val="000000100000" w:firstRow="0" w:lastRow="0" w:firstColumn="0" w:lastColumn="0" w:oddVBand="0" w:evenVBand="0" w:oddHBand="1" w:evenHBand="0" w:firstRowFirstColumn="0" w:firstRowLastColumn="0" w:lastRowFirstColumn="0" w:lastRowLastColumn="0"/>
              <w:rPr>
                <w:b/>
                <w:sz w:val="18"/>
              </w:rPr>
            </w:pPr>
            <w:r w:rsidRPr="006F3D27">
              <w:rPr>
                <w:b/>
                <w:sz w:val="18"/>
              </w:rPr>
              <w:t>w/ off-gases</w:t>
            </w:r>
          </w:p>
        </w:tc>
        <w:tc>
          <w:tcPr>
            <w:tcW w:w="0" w:type="auto"/>
          </w:tcPr>
          <w:p w14:paraId="5C14EF48" w14:textId="77777777" w:rsidR="00703D3A" w:rsidRPr="006F3D27" w:rsidRDefault="00703D3A" w:rsidP="00847C80">
            <w:pPr>
              <w:cnfStyle w:val="000000100000" w:firstRow="0" w:lastRow="0" w:firstColumn="0" w:lastColumn="0" w:oddVBand="0" w:evenVBand="0" w:oddHBand="1" w:evenHBand="0" w:firstRowFirstColumn="0" w:firstRowLastColumn="0" w:lastRowFirstColumn="0" w:lastRowLastColumn="0"/>
              <w:rPr>
                <w:b/>
                <w:sz w:val="18"/>
              </w:rPr>
            </w:pPr>
            <w:r w:rsidRPr="006F3D27">
              <w:rPr>
                <w:b/>
                <w:sz w:val="18"/>
              </w:rPr>
              <w:t>w/ off-gases nor LT heat</w:t>
            </w:r>
          </w:p>
        </w:tc>
        <w:tc>
          <w:tcPr>
            <w:tcW w:w="2386" w:type="dxa"/>
            <w:vMerge/>
          </w:tcPr>
          <w:p w14:paraId="2A2C92DF" w14:textId="77777777" w:rsidR="00703D3A" w:rsidRPr="006F3D27" w:rsidRDefault="00703D3A" w:rsidP="00847C80">
            <w:pPr>
              <w:cnfStyle w:val="000000100000" w:firstRow="0" w:lastRow="0" w:firstColumn="0" w:lastColumn="0" w:oddVBand="0" w:evenVBand="0" w:oddHBand="1" w:evenHBand="0" w:firstRowFirstColumn="0" w:firstRowLastColumn="0" w:lastRowFirstColumn="0" w:lastRowLastColumn="0"/>
              <w:rPr>
                <w:b/>
                <w:sz w:val="18"/>
              </w:rPr>
            </w:pPr>
          </w:p>
        </w:tc>
      </w:tr>
      <w:tr w:rsidR="00703D3A" w:rsidRPr="006F3D27" w14:paraId="1F0DAF97"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482B1D6A" w14:textId="77777777" w:rsidR="00703D3A" w:rsidRPr="006F3D27" w:rsidRDefault="00703D3A" w:rsidP="00847C80">
            <w:pPr>
              <w:jc w:val="right"/>
              <w:rPr>
                <w:sz w:val="18"/>
              </w:rPr>
            </w:pPr>
            <w:r w:rsidRPr="006F3D27">
              <w:rPr>
                <w:sz w:val="18"/>
              </w:rPr>
              <w:t>MOB</w:t>
            </w:r>
          </w:p>
        </w:tc>
        <w:tc>
          <w:tcPr>
            <w:tcW w:w="0" w:type="auto"/>
          </w:tcPr>
          <w:p w14:paraId="39145203" w14:textId="77777777" w:rsidR="00703D3A" w:rsidRPr="006F3D27" w:rsidRDefault="00703D3A" w:rsidP="00847C80">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5-6</w:t>
            </w:r>
          </w:p>
        </w:tc>
        <w:tc>
          <w:tcPr>
            <w:tcW w:w="0" w:type="auto"/>
          </w:tcPr>
          <w:p w14:paraId="5B9B0325" w14:textId="77777777" w:rsidR="00703D3A" w:rsidRPr="006F3D27" w:rsidRDefault="00703D3A" w:rsidP="00847C80">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ca. -20</w:t>
            </w:r>
          </w:p>
        </w:tc>
        <w:tc>
          <w:tcPr>
            <w:tcW w:w="0" w:type="auto"/>
          </w:tcPr>
          <w:p w14:paraId="64D49C46" w14:textId="77777777" w:rsidR="00703D3A" w:rsidRPr="006F3D27" w:rsidRDefault="00703D3A" w:rsidP="00847C80">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ca. -15</w:t>
            </w:r>
          </w:p>
        </w:tc>
        <w:tc>
          <w:tcPr>
            <w:tcW w:w="0" w:type="auto"/>
          </w:tcPr>
          <w:p w14:paraId="4B7C109B" w14:textId="77777777" w:rsidR="00703D3A" w:rsidRPr="006F3D27" w:rsidRDefault="00703D3A" w:rsidP="00847C80">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ca. 9</w:t>
            </w:r>
          </w:p>
        </w:tc>
        <w:tc>
          <w:tcPr>
            <w:tcW w:w="2386" w:type="dxa"/>
            <w:vMerge w:val="restart"/>
          </w:tcPr>
          <w:p w14:paraId="7195E8B7" w14:textId="77777777" w:rsidR="00703D3A" w:rsidRPr="006F3D27" w:rsidRDefault="00703D3A" w:rsidP="00847C80">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6-21 reviewed among various metabolic routes</w:t>
            </w:r>
          </w:p>
        </w:tc>
      </w:tr>
      <w:tr w:rsidR="00703D3A" w:rsidRPr="006F3D27" w14:paraId="177E80E3"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B15F81D" w14:textId="77777777" w:rsidR="00703D3A" w:rsidRPr="006F3D27" w:rsidRDefault="00703D3A" w:rsidP="00847C80">
            <w:pPr>
              <w:jc w:val="right"/>
              <w:rPr>
                <w:sz w:val="18"/>
              </w:rPr>
            </w:pPr>
            <w:r w:rsidRPr="006F3D27">
              <w:rPr>
                <w:sz w:val="18"/>
              </w:rPr>
              <w:t>HOB</w:t>
            </w:r>
          </w:p>
        </w:tc>
        <w:tc>
          <w:tcPr>
            <w:tcW w:w="0" w:type="auto"/>
          </w:tcPr>
          <w:p w14:paraId="44DC5C95" w14:textId="77777777" w:rsidR="00703D3A" w:rsidRPr="006F3D27" w:rsidRDefault="00703D3A" w:rsidP="00847C80">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3.5-4.5</w:t>
            </w:r>
          </w:p>
        </w:tc>
        <w:tc>
          <w:tcPr>
            <w:tcW w:w="0" w:type="auto"/>
          </w:tcPr>
          <w:p w14:paraId="54D89745" w14:textId="77777777" w:rsidR="00703D3A" w:rsidRPr="006F3D27" w:rsidRDefault="00703D3A" w:rsidP="00847C80">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ca. -13</w:t>
            </w:r>
          </w:p>
        </w:tc>
        <w:tc>
          <w:tcPr>
            <w:tcW w:w="0" w:type="auto"/>
          </w:tcPr>
          <w:p w14:paraId="1430156D" w14:textId="77777777" w:rsidR="00703D3A" w:rsidRPr="006F3D27" w:rsidRDefault="00703D3A" w:rsidP="00847C80">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 xml:space="preserve">ca. -5 </w:t>
            </w:r>
          </w:p>
        </w:tc>
        <w:tc>
          <w:tcPr>
            <w:tcW w:w="0" w:type="auto"/>
          </w:tcPr>
          <w:p w14:paraId="13B2A488" w14:textId="77777777" w:rsidR="00703D3A" w:rsidRPr="006F3D27" w:rsidRDefault="00703D3A" w:rsidP="00847C80">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ca. 9</w:t>
            </w:r>
          </w:p>
        </w:tc>
        <w:tc>
          <w:tcPr>
            <w:tcW w:w="2386" w:type="dxa"/>
            <w:vMerge/>
          </w:tcPr>
          <w:p w14:paraId="475EB625" w14:textId="77777777" w:rsidR="00703D3A" w:rsidRPr="006F3D27" w:rsidRDefault="00703D3A" w:rsidP="00847C80">
            <w:pPr>
              <w:cnfStyle w:val="000000100000" w:firstRow="0" w:lastRow="0" w:firstColumn="0" w:lastColumn="0" w:oddVBand="0" w:evenVBand="0" w:oddHBand="1" w:evenHBand="0" w:firstRowFirstColumn="0" w:firstRowLastColumn="0" w:lastRowFirstColumn="0" w:lastRowLastColumn="0"/>
              <w:rPr>
                <w:sz w:val="18"/>
              </w:rPr>
            </w:pPr>
          </w:p>
        </w:tc>
      </w:tr>
      <w:tr w:rsidR="00703D3A" w:rsidRPr="006F3D27" w14:paraId="2E57688B"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6B2336F7" w14:textId="77777777" w:rsidR="00703D3A" w:rsidRPr="006F3D27" w:rsidRDefault="00703D3A" w:rsidP="00847C80">
            <w:pPr>
              <w:jc w:val="right"/>
              <w:rPr>
                <w:i/>
                <w:sz w:val="18"/>
              </w:rPr>
            </w:pPr>
            <w:r w:rsidRPr="006F3D27">
              <w:rPr>
                <w:i/>
                <w:sz w:val="18"/>
              </w:rPr>
              <w:t>Comment</w:t>
            </w:r>
          </w:p>
        </w:tc>
        <w:tc>
          <w:tcPr>
            <w:tcW w:w="0" w:type="auto"/>
            <w:gridSpan w:val="4"/>
          </w:tcPr>
          <w:p w14:paraId="41008BE7" w14:textId="77777777" w:rsidR="00703D3A" w:rsidRPr="006F3D27" w:rsidRDefault="00703D3A" w:rsidP="00847C80">
            <w:pPr>
              <w:cnfStyle w:val="000000000000" w:firstRow="0" w:lastRow="0" w:firstColumn="0" w:lastColumn="0" w:oddVBand="0" w:evenVBand="0" w:oddHBand="0" w:evenHBand="0" w:firstRowFirstColumn="0" w:firstRowLastColumn="0" w:lastRowFirstColumn="0" w:lastRowLastColumn="0"/>
              <w:rPr>
                <w:i/>
                <w:sz w:val="18"/>
              </w:rPr>
            </w:pPr>
            <w:r w:rsidRPr="006F3D27">
              <w:rPr>
                <w:i/>
                <w:sz w:val="18"/>
              </w:rPr>
              <w:t>This study, calculated with baseline parameter values</w:t>
            </w:r>
          </w:p>
        </w:tc>
        <w:tc>
          <w:tcPr>
            <w:tcW w:w="2386" w:type="dxa"/>
          </w:tcPr>
          <w:p w14:paraId="4D040598" w14:textId="77777777" w:rsidR="00703D3A" w:rsidRPr="006F3D27" w:rsidRDefault="00703D3A" w:rsidP="00847C80">
            <w:pPr>
              <w:cnfStyle w:val="000000000000" w:firstRow="0" w:lastRow="0" w:firstColumn="0" w:lastColumn="0" w:oddVBand="0" w:evenVBand="0" w:oddHBand="0" w:evenHBand="0" w:firstRowFirstColumn="0" w:firstRowLastColumn="0" w:lastRowFirstColumn="0" w:lastRowLastColumn="0"/>
              <w:rPr>
                <w:i/>
                <w:sz w:val="18"/>
              </w:rPr>
            </w:pPr>
            <w:r w:rsidRPr="006F3D27">
              <w:rPr>
                <w:i/>
                <w:sz w:val="18"/>
              </w:rPr>
              <w:t>same scope, no RNA removal both heat and electricity</w:t>
            </w:r>
          </w:p>
        </w:tc>
      </w:tr>
    </w:tbl>
    <w:p w14:paraId="6A526B8B" w14:textId="77777777" w:rsidR="00703D3A" w:rsidRPr="003F5DA8" w:rsidRDefault="00703D3A" w:rsidP="00942782">
      <w:pPr>
        <w:jc w:val="both"/>
      </w:pPr>
      <w:r w:rsidRPr="00703D3A">
        <w:rPr>
          <w:sz w:val="18"/>
          <w:vertAlign w:val="superscript"/>
        </w:rPr>
        <w:t>*</w:t>
      </w:r>
      <w:r w:rsidRPr="00703D3A">
        <w:rPr>
          <w:sz w:val="18"/>
        </w:rPr>
        <w:t>: range or approximation because depend on composition of input gas mix. Only accounting direct utilities at the bioreactor gate (not the ones related to gas production and post-treatments).</w:t>
      </w:r>
    </w:p>
    <w:p w14:paraId="66A9AD48" w14:textId="36AA277F" w:rsidR="00425BA0" w:rsidRPr="0017258F" w:rsidRDefault="00874128" w:rsidP="00942782">
      <w:pPr>
        <w:pStyle w:val="Lgende"/>
        <w:jc w:val="left"/>
        <w:rPr>
          <w:b w:val="0"/>
          <w:i/>
        </w:rPr>
      </w:pPr>
      <w:bookmarkStart w:id="345" w:name="_Ref144830959"/>
      <w:bookmarkStart w:id="346" w:name="_Toc134537645"/>
      <w:bookmarkStart w:id="347" w:name="_Toc151967963"/>
      <w:r>
        <w:t>Table SI.</w:t>
      </w:r>
      <w:r w:rsidR="00425BA0">
        <w:t xml:space="preserve"> </w:t>
      </w:r>
      <w:r>
        <w:fldChar w:fldCharType="begin"/>
      </w:r>
      <w:r>
        <w:instrText xml:space="preserve"> SEQ Table_SI. \* ARABIC </w:instrText>
      </w:r>
      <w:r>
        <w:fldChar w:fldCharType="separate"/>
      </w:r>
      <w:r w:rsidR="00F25F8C">
        <w:rPr>
          <w:noProof/>
        </w:rPr>
        <w:t>79</w:t>
      </w:r>
      <w:r>
        <w:fldChar w:fldCharType="end"/>
      </w:r>
      <w:bookmarkEnd w:id="345"/>
      <w:r w:rsidR="00425BA0">
        <w:t xml:space="preserve"> </w:t>
      </w:r>
      <w:r w:rsidR="00425BA0" w:rsidRPr="00415E4C">
        <w:t>– Productivity of the full second-generation MP production routes</w:t>
      </w:r>
      <w:bookmarkEnd w:id="346"/>
      <w:bookmarkEnd w:id="347"/>
    </w:p>
    <w:tbl>
      <w:tblPr>
        <w:tblStyle w:val="Tableausimple2"/>
        <w:tblW w:w="0" w:type="auto"/>
        <w:tblLook w:val="04A0" w:firstRow="1" w:lastRow="0" w:firstColumn="1" w:lastColumn="0" w:noHBand="0" w:noVBand="1"/>
      </w:tblPr>
      <w:tblGrid>
        <w:gridCol w:w="2018"/>
        <w:gridCol w:w="700"/>
        <w:gridCol w:w="850"/>
        <w:gridCol w:w="645"/>
        <w:gridCol w:w="716"/>
        <w:gridCol w:w="684"/>
        <w:gridCol w:w="620"/>
        <w:gridCol w:w="1350"/>
        <w:gridCol w:w="1489"/>
      </w:tblGrid>
      <w:tr w:rsidR="00425BA0" w:rsidRPr="006F3D27" w14:paraId="776B5BA2" w14:textId="77777777" w:rsidTr="00942782">
        <w:trPr>
          <w:cnfStyle w:val="100000000000" w:firstRow="1" w:lastRow="0" w:firstColumn="0" w:lastColumn="0" w:oddVBand="0" w:evenVBand="0" w:oddHBand="0" w:evenHBand="0" w:firstRowFirstColumn="0" w:firstRowLastColumn="0" w:lastRowFirstColumn="0" w:lastRowLastColumn="0"/>
          <w:trHeight w:val="40"/>
        </w:trPr>
        <w:tc>
          <w:tcPr>
            <w:cnfStyle w:val="001000000000" w:firstRow="0" w:lastRow="0" w:firstColumn="1" w:lastColumn="0" w:oddVBand="0" w:evenVBand="0" w:oddHBand="0" w:evenHBand="0" w:firstRowFirstColumn="0" w:firstRowLastColumn="0" w:lastRowFirstColumn="0" w:lastRowLastColumn="0"/>
            <w:tcW w:w="0" w:type="auto"/>
          </w:tcPr>
          <w:p w14:paraId="1669816B" w14:textId="77777777" w:rsidR="00425BA0" w:rsidRPr="006F3D27" w:rsidRDefault="00425BA0" w:rsidP="00847C80">
            <w:pPr>
              <w:rPr>
                <w:sz w:val="18"/>
                <w:szCs w:val="18"/>
              </w:rPr>
            </w:pPr>
          </w:p>
        </w:tc>
        <w:tc>
          <w:tcPr>
            <w:tcW w:w="0" w:type="auto"/>
            <w:gridSpan w:val="8"/>
          </w:tcPr>
          <w:p w14:paraId="6896ACAD" w14:textId="77777777" w:rsidR="00425BA0" w:rsidRPr="006F3D27" w:rsidRDefault="00425BA0" w:rsidP="00847C80">
            <w:pPr>
              <w:cnfStyle w:val="100000000000" w:firstRow="1" w:lastRow="0" w:firstColumn="0" w:lastColumn="0" w:oddVBand="0" w:evenVBand="0" w:oddHBand="0" w:evenHBand="0" w:firstRowFirstColumn="0" w:firstRowLastColumn="0" w:lastRowFirstColumn="0" w:lastRowLastColumn="0"/>
              <w:rPr>
                <w:sz w:val="18"/>
                <w:szCs w:val="18"/>
              </w:rPr>
            </w:pPr>
            <w:r w:rsidRPr="006F3D27">
              <w:rPr>
                <w:sz w:val="18"/>
                <w:szCs w:val="18"/>
              </w:rPr>
              <w:t>Waste-to-MP production (kg</w:t>
            </w:r>
            <w:r w:rsidRPr="006F3D27">
              <w:rPr>
                <w:sz w:val="18"/>
                <w:szCs w:val="18"/>
                <w:vertAlign w:val="subscript"/>
              </w:rPr>
              <w:t>DM</w:t>
            </w:r>
            <w:r w:rsidRPr="006F3D27">
              <w:rPr>
                <w:sz w:val="18"/>
                <w:szCs w:val="18"/>
              </w:rPr>
              <w:t>.t</w:t>
            </w:r>
            <w:r w:rsidRPr="006F3D27">
              <w:rPr>
                <w:sz w:val="18"/>
                <w:szCs w:val="18"/>
                <w:vertAlign w:val="subscript"/>
              </w:rPr>
              <w:t>ww</w:t>
            </w:r>
            <w:r w:rsidRPr="006F3D27">
              <w:rPr>
                <w:sz w:val="18"/>
                <w:szCs w:val="18"/>
                <w:vertAlign w:val="superscript"/>
              </w:rPr>
              <w:t>-1</w:t>
            </w:r>
            <w:r w:rsidRPr="006F3D27">
              <w:rPr>
                <w:sz w:val="18"/>
                <w:szCs w:val="18"/>
              </w:rPr>
              <w:t>)</w:t>
            </w:r>
          </w:p>
        </w:tc>
      </w:tr>
      <w:tr w:rsidR="00425BA0" w:rsidRPr="006F3D27" w14:paraId="40FB4DD6" w14:textId="77777777" w:rsidTr="00942782">
        <w:trPr>
          <w:cnfStyle w:val="000000100000" w:firstRow="0" w:lastRow="0" w:firstColumn="0" w:lastColumn="0" w:oddVBand="0" w:evenVBand="0" w:oddHBand="1" w:evenHBand="0" w:firstRowFirstColumn="0" w:firstRowLastColumn="0" w:lastRowFirstColumn="0" w:lastRowLastColumn="0"/>
          <w:trHeight w:val="419"/>
        </w:trPr>
        <w:tc>
          <w:tcPr>
            <w:cnfStyle w:val="001000000000" w:firstRow="0" w:lastRow="0" w:firstColumn="1" w:lastColumn="0" w:oddVBand="0" w:evenVBand="0" w:oddHBand="0" w:evenHBand="0" w:firstRowFirstColumn="0" w:firstRowLastColumn="0" w:lastRowFirstColumn="0" w:lastRowLastColumn="0"/>
            <w:tcW w:w="0" w:type="auto"/>
          </w:tcPr>
          <w:p w14:paraId="6CA7608B" w14:textId="77777777" w:rsidR="00425BA0" w:rsidRPr="006F3D27" w:rsidRDefault="00425BA0" w:rsidP="00847C80">
            <w:pPr>
              <w:jc w:val="right"/>
              <w:rPr>
                <w:sz w:val="18"/>
                <w:szCs w:val="18"/>
              </w:rPr>
            </w:pPr>
            <w:r w:rsidRPr="006F3D27">
              <w:rPr>
                <w:sz w:val="18"/>
                <w:szCs w:val="18"/>
              </w:rPr>
              <w:t>Case studies</w:t>
            </w:r>
          </w:p>
        </w:tc>
        <w:tc>
          <w:tcPr>
            <w:tcW w:w="0" w:type="auto"/>
          </w:tcPr>
          <w:p w14:paraId="6C2F96BA"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MP</w:t>
            </w:r>
          </w:p>
          <w:p w14:paraId="78B63C80"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biogas</w:t>
            </w:r>
          </w:p>
        </w:tc>
        <w:tc>
          <w:tcPr>
            <w:tcW w:w="0" w:type="auto"/>
          </w:tcPr>
          <w:p w14:paraId="023C001A"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MP</w:t>
            </w:r>
          </w:p>
          <w:p w14:paraId="52DC93D3"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biometh</w:t>
            </w:r>
          </w:p>
        </w:tc>
        <w:tc>
          <w:tcPr>
            <w:tcW w:w="0" w:type="auto"/>
          </w:tcPr>
          <w:p w14:paraId="731FF033"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MP</w:t>
            </w:r>
          </w:p>
          <w:p w14:paraId="2B4ED09C"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shiftb</w:t>
            </w:r>
          </w:p>
        </w:tc>
        <w:tc>
          <w:tcPr>
            <w:tcW w:w="0" w:type="auto"/>
          </w:tcPr>
          <w:p w14:paraId="09A5C2B9"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MP</w:t>
            </w:r>
          </w:p>
          <w:p w14:paraId="372BE2B6"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syngas</w:t>
            </w:r>
          </w:p>
        </w:tc>
        <w:tc>
          <w:tcPr>
            <w:tcW w:w="0" w:type="auto"/>
          </w:tcPr>
          <w:p w14:paraId="29A5401A"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MP</w:t>
            </w:r>
          </w:p>
          <w:p w14:paraId="4398F312"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meths</w:t>
            </w:r>
          </w:p>
        </w:tc>
        <w:tc>
          <w:tcPr>
            <w:tcW w:w="0" w:type="auto"/>
          </w:tcPr>
          <w:p w14:paraId="5DB1DA45"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MP</w:t>
            </w:r>
          </w:p>
          <w:p w14:paraId="0B0F7604"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shifts</w:t>
            </w:r>
          </w:p>
        </w:tc>
        <w:tc>
          <w:tcPr>
            <w:tcW w:w="0" w:type="auto"/>
          </w:tcPr>
          <w:p w14:paraId="6B2F2EF9" w14:textId="343F89EF"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b/>
                <w:i/>
                <w:sz w:val="18"/>
                <w:szCs w:val="18"/>
              </w:rPr>
            </w:pPr>
            <w:r w:rsidRPr="006F3D27">
              <w:rPr>
                <w:b/>
                <w:i/>
                <w:sz w:val="18"/>
                <w:szCs w:val="18"/>
              </w:rPr>
              <w:t>Pikaar et al., 2018</w:t>
            </w:r>
            <w:r w:rsidRPr="006F3D27">
              <w:rPr>
                <w:b/>
                <w:i/>
                <w:sz w:val="18"/>
                <w:szCs w:val="18"/>
              </w:rPr>
              <w:fldChar w:fldCharType="begin"/>
            </w:r>
            <w:r w:rsidR="005413B4">
              <w:rPr>
                <w:b/>
                <w:i/>
                <w:sz w:val="18"/>
                <w:szCs w:val="18"/>
              </w:rPr>
              <w:instrText xml:space="preserve"> ADDIN ZOTERO_ITEM CSL_CITATION {"citationID":"hs7pAfC9","properties":{"formattedCitation":"\\super 187\\nosupersub{}","plainCitation":"187","noteIndex":0},"citationItems":[{"id":558,"uris":["http://zotero.org/users/6423791/items/YPK9LCXF"],"itemData":{"id":558,"type":"article-journal","abstract":"One of the main challenges for the 21st century is to balance the increasing demand for high-quality proteins while mitigating environmental impacts. In particular, cropland-based production of protein-rich animal feed for livestock rearing results in large-scale agricultural land-expansion, nitrogen pollution, and greenhouse gas emissions. Here we propose and analyze the longterm potential of alternative animal feed supply routes based on industrial production of microbial proteins (MP). Our analysis reveals that by 2050, MP can replace, depending on socioeconomic development and MP production pathways, between 10−19% of conventional crop-based animal feed protein demand. As a result, global cropland area, global nitrogen losses from croplands and agricultural greenhouse gas emissions can be decreased by 6% (0−13%), 8% (−3−8%), and 7% (−6−9%), respectively. Interestingly, the technology to industrially produce MP at competitive costs is directly accessible for implementation and has the potential to cause a major structural change in the agro-food system.","container-title":"Environmental Science &amp; Technology","DOI":"10.1021/acs.est.8b00216","ISSN":"0013-936X, 1520-5851","issue":"13","journalAbbreviation":"Environ. Sci. Technol.","language":"en","page":"7351-7359","source":"DOI.org (Crossref)","title":"Decoupling Livestock from Land Use through Industrial Feed Production Pathways","volume":"52","author":[{"family":"Pikaar","given":"Ilje"},{"family":"Matassa","given":"Silvio"},{"family":"Bodirsky","given":"Benjamin L."},{"family":"Weindl","given":"Isabelle"},{"family":"Humpenöder","given":"Florian"},{"family":"Rabaey","given":"Korneel"},{"family":"Boon","given":"Nico"},{"family":"Bruschi","given":"Michele"},{"family":"Yuan","given":"Zhiguo"},{"family":"Zanten","given":"Hannah","non-dropping-particle":"van"},{"family":"Herrero","given":"Mario"},{"family":"Verstraete","given":"Willy"},{"family":"Popp","given":"Alexander"}],"issued":{"date-parts":[["2018",7,3]]}}}],"schema":"https://github.com/citation-style-language/schema/raw/master/csl-citation.json"} </w:instrText>
            </w:r>
            <w:r w:rsidRPr="006F3D27">
              <w:rPr>
                <w:b/>
                <w:i/>
                <w:sz w:val="18"/>
                <w:szCs w:val="18"/>
              </w:rPr>
              <w:fldChar w:fldCharType="separate"/>
            </w:r>
            <w:r w:rsidR="005413B4" w:rsidRPr="005413B4">
              <w:rPr>
                <w:rFonts w:ascii="Calibri" w:hAnsi="Calibri" w:cs="Calibri"/>
                <w:sz w:val="18"/>
                <w:szCs w:val="24"/>
                <w:vertAlign w:val="superscript"/>
              </w:rPr>
              <w:t>187</w:t>
            </w:r>
            <w:r w:rsidRPr="006F3D27">
              <w:rPr>
                <w:b/>
                <w:i/>
                <w:sz w:val="18"/>
                <w:szCs w:val="18"/>
              </w:rPr>
              <w:fldChar w:fldCharType="end"/>
            </w:r>
          </w:p>
        </w:tc>
        <w:tc>
          <w:tcPr>
            <w:tcW w:w="0" w:type="auto"/>
          </w:tcPr>
          <w:p w14:paraId="0C29F727" w14:textId="2940A8D1"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b/>
                <w:i/>
                <w:sz w:val="18"/>
                <w:szCs w:val="18"/>
              </w:rPr>
            </w:pPr>
            <w:r w:rsidRPr="006F3D27">
              <w:rPr>
                <w:b/>
                <w:i/>
                <w:sz w:val="18"/>
                <w:szCs w:val="18"/>
              </w:rPr>
              <w:t>Matassa et al., 2020</w:t>
            </w:r>
            <w:r w:rsidRPr="006F3D27">
              <w:rPr>
                <w:b/>
                <w:i/>
                <w:sz w:val="18"/>
                <w:szCs w:val="18"/>
              </w:rPr>
              <w:fldChar w:fldCharType="begin"/>
            </w:r>
            <w:r w:rsidR="005413B4">
              <w:rPr>
                <w:b/>
                <w:i/>
                <w:sz w:val="18"/>
                <w:szCs w:val="18"/>
              </w:rPr>
              <w:instrText xml:space="preserve"> ADDIN ZOTERO_ITEM CSL_CITATION {"citationID":"TrXw5jzn","properties":{"formattedCitation":"\\super 194\\nosupersub{}","plainCitation":"194","noteIndex":0},"citationItems":[{"id":2354,"uris":["http://zotero.org/users/6423791/items/E7ZZWGWS"],"itemData":{"id":2354,"type":"article-journal","container-title":"Green Chem.","DOI":"10.1039/D0GC01382J","issue":"15","journalAbbreviation":"Green Chem.","language":"en","note":"publisher: Royal Society of Chemistry","page":"4912-4929","source":"pubs-rsc-org.gorgone.univ-toulouse.fr","title":"Upcycling of biowaste carbon and nutrients in line with consumer confidence: the “full gas” route to single cell protein","title-short":"Upcycling of biowaste carbon and nutrients in line with consumer confidence","volume":"22","author":[{"family":"Matassa","given":"Silvio"},{"family":"Papirio","given":"Stefano"},{"family":"Pikaar","given":"Ilje"},{"family":"Hülsen","given":"Tim"},{"family":"Leijenhorst","given":"Evert"},{"family":"Esposito","given":"Giovanni"},{"family":"Pirozzi","given":"Francesco"},{"family":"Verstraete","given":"Willy"}],"issued":{"date-parts":[["2020"]]}}}],"schema":"https://github.com/citation-style-language/schema/raw/master/csl-citation.json"} </w:instrText>
            </w:r>
            <w:r w:rsidRPr="006F3D27">
              <w:rPr>
                <w:b/>
                <w:i/>
                <w:sz w:val="18"/>
                <w:szCs w:val="18"/>
              </w:rPr>
              <w:fldChar w:fldCharType="separate"/>
            </w:r>
            <w:r w:rsidR="005413B4" w:rsidRPr="005413B4">
              <w:rPr>
                <w:rFonts w:ascii="Calibri" w:hAnsi="Calibri" w:cs="Calibri"/>
                <w:sz w:val="18"/>
                <w:szCs w:val="24"/>
                <w:vertAlign w:val="superscript"/>
              </w:rPr>
              <w:t>194</w:t>
            </w:r>
            <w:r w:rsidRPr="006F3D27">
              <w:rPr>
                <w:b/>
                <w:i/>
                <w:sz w:val="18"/>
                <w:szCs w:val="18"/>
              </w:rPr>
              <w:fldChar w:fldCharType="end"/>
            </w:r>
          </w:p>
        </w:tc>
      </w:tr>
      <w:tr w:rsidR="00425BA0" w:rsidRPr="006F3D27" w14:paraId="1FFB4441"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03E5ED34" w14:textId="77777777" w:rsidR="00425BA0" w:rsidRPr="006F3D27" w:rsidRDefault="00425BA0" w:rsidP="00847C80">
            <w:pPr>
              <w:jc w:val="right"/>
              <w:rPr>
                <w:sz w:val="18"/>
                <w:szCs w:val="18"/>
              </w:rPr>
            </w:pPr>
            <w:r w:rsidRPr="006F3D27">
              <w:rPr>
                <w:sz w:val="18"/>
                <w:szCs w:val="18"/>
              </w:rPr>
              <w:t>Hardwood residues</w:t>
            </w:r>
          </w:p>
        </w:tc>
        <w:tc>
          <w:tcPr>
            <w:tcW w:w="0" w:type="auto"/>
          </w:tcPr>
          <w:p w14:paraId="26C98AEE"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1CE3984A"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625621D4"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1D5C9EC7"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59</w:t>
            </w:r>
          </w:p>
        </w:tc>
        <w:tc>
          <w:tcPr>
            <w:tcW w:w="0" w:type="auto"/>
          </w:tcPr>
          <w:p w14:paraId="05440D31"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305</w:t>
            </w:r>
          </w:p>
        </w:tc>
        <w:tc>
          <w:tcPr>
            <w:tcW w:w="0" w:type="auto"/>
          </w:tcPr>
          <w:p w14:paraId="1EBABC90"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182</w:t>
            </w:r>
          </w:p>
        </w:tc>
        <w:tc>
          <w:tcPr>
            <w:tcW w:w="0" w:type="auto"/>
          </w:tcPr>
          <w:p w14:paraId="7CE096C8"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i/>
                <w:sz w:val="18"/>
                <w:szCs w:val="18"/>
              </w:rPr>
            </w:pPr>
          </w:p>
        </w:tc>
        <w:tc>
          <w:tcPr>
            <w:tcW w:w="0" w:type="auto"/>
            <w:vMerge w:val="restart"/>
          </w:tcPr>
          <w:p w14:paraId="4F0578E2"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31-92</w:t>
            </w:r>
          </w:p>
        </w:tc>
      </w:tr>
      <w:tr w:rsidR="00425BA0" w:rsidRPr="006F3D27" w14:paraId="31657E0A"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5763667" w14:textId="77777777" w:rsidR="00425BA0" w:rsidRPr="006F3D27" w:rsidRDefault="00425BA0" w:rsidP="00847C80">
            <w:pPr>
              <w:jc w:val="right"/>
              <w:rPr>
                <w:sz w:val="18"/>
                <w:szCs w:val="18"/>
              </w:rPr>
            </w:pPr>
            <w:r w:rsidRPr="006F3D27">
              <w:rPr>
                <w:sz w:val="18"/>
                <w:szCs w:val="18"/>
              </w:rPr>
              <w:t>Sawmill waste</w:t>
            </w:r>
          </w:p>
        </w:tc>
        <w:tc>
          <w:tcPr>
            <w:tcW w:w="0" w:type="auto"/>
          </w:tcPr>
          <w:p w14:paraId="2311B728"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79AC33AC"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5E474BE3"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70372DC9"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58</w:t>
            </w:r>
          </w:p>
        </w:tc>
        <w:tc>
          <w:tcPr>
            <w:tcW w:w="0" w:type="auto"/>
          </w:tcPr>
          <w:p w14:paraId="0FE46E8F"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299</w:t>
            </w:r>
          </w:p>
        </w:tc>
        <w:tc>
          <w:tcPr>
            <w:tcW w:w="0" w:type="auto"/>
          </w:tcPr>
          <w:p w14:paraId="49722536"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179</w:t>
            </w:r>
          </w:p>
        </w:tc>
        <w:tc>
          <w:tcPr>
            <w:tcW w:w="0" w:type="auto"/>
          </w:tcPr>
          <w:p w14:paraId="3B0A6A79"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i/>
                <w:sz w:val="18"/>
                <w:szCs w:val="18"/>
              </w:rPr>
            </w:pPr>
          </w:p>
        </w:tc>
        <w:tc>
          <w:tcPr>
            <w:tcW w:w="0" w:type="auto"/>
            <w:vMerge/>
          </w:tcPr>
          <w:p w14:paraId="19A38657"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i/>
                <w:sz w:val="18"/>
                <w:szCs w:val="18"/>
              </w:rPr>
            </w:pPr>
          </w:p>
        </w:tc>
      </w:tr>
      <w:tr w:rsidR="00425BA0" w:rsidRPr="006F3D27" w14:paraId="39181C01"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1DA11595" w14:textId="77777777" w:rsidR="00425BA0" w:rsidRPr="006F3D27" w:rsidRDefault="00425BA0" w:rsidP="00847C80">
            <w:pPr>
              <w:jc w:val="right"/>
              <w:rPr>
                <w:sz w:val="18"/>
                <w:szCs w:val="18"/>
              </w:rPr>
            </w:pPr>
            <w:r w:rsidRPr="006F3D27">
              <w:rPr>
                <w:sz w:val="18"/>
                <w:szCs w:val="18"/>
              </w:rPr>
              <w:t>Wheat straw</w:t>
            </w:r>
          </w:p>
        </w:tc>
        <w:tc>
          <w:tcPr>
            <w:tcW w:w="0" w:type="auto"/>
          </w:tcPr>
          <w:p w14:paraId="47C5C7B3"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108</w:t>
            </w:r>
          </w:p>
        </w:tc>
        <w:tc>
          <w:tcPr>
            <w:tcW w:w="0" w:type="auto"/>
          </w:tcPr>
          <w:p w14:paraId="098AFE50"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159</w:t>
            </w:r>
          </w:p>
        </w:tc>
        <w:tc>
          <w:tcPr>
            <w:tcW w:w="0" w:type="auto"/>
          </w:tcPr>
          <w:p w14:paraId="344B0633"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180</w:t>
            </w:r>
          </w:p>
        </w:tc>
        <w:tc>
          <w:tcPr>
            <w:tcW w:w="0" w:type="auto"/>
          </w:tcPr>
          <w:p w14:paraId="3D39A2C7"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64</w:t>
            </w:r>
          </w:p>
        </w:tc>
        <w:tc>
          <w:tcPr>
            <w:tcW w:w="0" w:type="auto"/>
          </w:tcPr>
          <w:p w14:paraId="6726745F"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330</w:t>
            </w:r>
          </w:p>
        </w:tc>
        <w:tc>
          <w:tcPr>
            <w:tcW w:w="0" w:type="auto"/>
          </w:tcPr>
          <w:p w14:paraId="494B56AC"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197</w:t>
            </w:r>
          </w:p>
        </w:tc>
        <w:tc>
          <w:tcPr>
            <w:tcW w:w="0" w:type="auto"/>
          </w:tcPr>
          <w:p w14:paraId="6A48EF7B"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179-233</w:t>
            </w:r>
          </w:p>
        </w:tc>
        <w:tc>
          <w:tcPr>
            <w:tcW w:w="0" w:type="auto"/>
            <w:vMerge/>
          </w:tcPr>
          <w:p w14:paraId="0B182A36"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i/>
                <w:sz w:val="18"/>
                <w:szCs w:val="18"/>
              </w:rPr>
            </w:pPr>
          </w:p>
        </w:tc>
      </w:tr>
      <w:tr w:rsidR="00425BA0" w:rsidRPr="006F3D27" w14:paraId="7C54C8D5" w14:textId="77777777" w:rsidTr="00942782">
        <w:trPr>
          <w:cnfStyle w:val="000000100000" w:firstRow="0" w:lastRow="0" w:firstColumn="0" w:lastColumn="0" w:oddVBand="0" w:evenVBand="0" w:oddHBand="1" w:evenHBand="0" w:firstRowFirstColumn="0" w:firstRowLastColumn="0" w:lastRowFirstColumn="0" w:lastRowLastColumn="0"/>
          <w:trHeight w:val="143"/>
        </w:trPr>
        <w:tc>
          <w:tcPr>
            <w:cnfStyle w:val="001000000000" w:firstRow="0" w:lastRow="0" w:firstColumn="1" w:lastColumn="0" w:oddVBand="0" w:evenVBand="0" w:oddHBand="0" w:evenHBand="0" w:firstRowFirstColumn="0" w:firstRowLastColumn="0" w:lastRowFirstColumn="0" w:lastRowLastColumn="0"/>
            <w:tcW w:w="0" w:type="auto"/>
          </w:tcPr>
          <w:p w14:paraId="6CF729A7" w14:textId="77777777" w:rsidR="00425BA0" w:rsidRPr="006F3D27" w:rsidRDefault="00425BA0" w:rsidP="00847C80">
            <w:pPr>
              <w:jc w:val="right"/>
              <w:rPr>
                <w:sz w:val="18"/>
                <w:szCs w:val="18"/>
              </w:rPr>
            </w:pPr>
            <w:r w:rsidRPr="006F3D27">
              <w:rPr>
                <w:sz w:val="18"/>
                <w:szCs w:val="18"/>
              </w:rPr>
              <w:t>Bovine manure</w:t>
            </w:r>
          </w:p>
        </w:tc>
        <w:tc>
          <w:tcPr>
            <w:tcW w:w="0" w:type="auto"/>
          </w:tcPr>
          <w:p w14:paraId="6105DCF5"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29</w:t>
            </w:r>
          </w:p>
        </w:tc>
        <w:tc>
          <w:tcPr>
            <w:tcW w:w="0" w:type="auto"/>
          </w:tcPr>
          <w:p w14:paraId="38FA956C"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42</w:t>
            </w:r>
          </w:p>
        </w:tc>
        <w:tc>
          <w:tcPr>
            <w:tcW w:w="0" w:type="auto"/>
          </w:tcPr>
          <w:p w14:paraId="004311BA"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48</w:t>
            </w:r>
          </w:p>
        </w:tc>
        <w:tc>
          <w:tcPr>
            <w:tcW w:w="0" w:type="auto"/>
          </w:tcPr>
          <w:p w14:paraId="280BB69B"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64692E53"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32232276"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08EDC976"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i/>
                <w:sz w:val="18"/>
                <w:szCs w:val="18"/>
              </w:rPr>
            </w:pPr>
          </w:p>
        </w:tc>
        <w:tc>
          <w:tcPr>
            <w:tcW w:w="0" w:type="auto"/>
          </w:tcPr>
          <w:p w14:paraId="25565703"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t>65-124</w:t>
            </w:r>
          </w:p>
        </w:tc>
      </w:tr>
      <w:tr w:rsidR="00425BA0" w:rsidRPr="006F3D27" w14:paraId="339CA55B"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5BA97CCD" w14:textId="77777777" w:rsidR="00425BA0" w:rsidRPr="006F3D27" w:rsidRDefault="00425BA0" w:rsidP="00847C80">
            <w:pPr>
              <w:jc w:val="right"/>
              <w:rPr>
                <w:sz w:val="18"/>
                <w:szCs w:val="18"/>
              </w:rPr>
            </w:pPr>
            <w:r w:rsidRPr="006F3D27">
              <w:rPr>
                <w:sz w:val="18"/>
                <w:szCs w:val="18"/>
              </w:rPr>
              <w:t>Sewage sludge</w:t>
            </w:r>
          </w:p>
        </w:tc>
        <w:tc>
          <w:tcPr>
            <w:tcW w:w="0" w:type="auto"/>
          </w:tcPr>
          <w:p w14:paraId="1025B432"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8</w:t>
            </w:r>
          </w:p>
        </w:tc>
        <w:tc>
          <w:tcPr>
            <w:tcW w:w="0" w:type="auto"/>
          </w:tcPr>
          <w:p w14:paraId="117E8EF9"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12</w:t>
            </w:r>
          </w:p>
        </w:tc>
        <w:tc>
          <w:tcPr>
            <w:tcW w:w="0" w:type="auto"/>
          </w:tcPr>
          <w:p w14:paraId="3F3FB1C3"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13</w:t>
            </w:r>
          </w:p>
        </w:tc>
        <w:tc>
          <w:tcPr>
            <w:tcW w:w="0" w:type="auto"/>
          </w:tcPr>
          <w:p w14:paraId="09934E60"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733265C1"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6F7695BF"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335BAB4F"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i/>
                <w:sz w:val="18"/>
                <w:szCs w:val="18"/>
              </w:rPr>
            </w:pPr>
          </w:p>
        </w:tc>
        <w:tc>
          <w:tcPr>
            <w:tcW w:w="0" w:type="auto"/>
          </w:tcPr>
          <w:p w14:paraId="5EC7D754"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61-117</w:t>
            </w:r>
          </w:p>
        </w:tc>
      </w:tr>
      <w:tr w:rsidR="00425BA0" w:rsidRPr="006F3D27" w14:paraId="0DC1795F" w14:textId="77777777" w:rsidTr="00942782">
        <w:trPr>
          <w:cnfStyle w:val="000000100000" w:firstRow="0" w:lastRow="0" w:firstColumn="0" w:lastColumn="0" w:oddVBand="0" w:evenVBand="0" w:oddHBand="1" w:evenHBand="0" w:firstRowFirstColumn="0" w:firstRowLastColumn="0" w:lastRowFirstColumn="0" w:lastRowLastColumn="0"/>
          <w:trHeight w:val="44"/>
        </w:trPr>
        <w:tc>
          <w:tcPr>
            <w:cnfStyle w:val="001000000000" w:firstRow="0" w:lastRow="0" w:firstColumn="1" w:lastColumn="0" w:oddVBand="0" w:evenVBand="0" w:oddHBand="0" w:evenHBand="0" w:firstRowFirstColumn="0" w:firstRowLastColumn="0" w:lastRowFirstColumn="0" w:lastRowLastColumn="0"/>
            <w:tcW w:w="0" w:type="auto"/>
          </w:tcPr>
          <w:p w14:paraId="1B8066DB" w14:textId="77777777" w:rsidR="00425BA0" w:rsidRPr="006F3D27" w:rsidRDefault="00425BA0" w:rsidP="00847C80">
            <w:pPr>
              <w:jc w:val="right"/>
              <w:rPr>
                <w:sz w:val="18"/>
                <w:szCs w:val="18"/>
              </w:rPr>
            </w:pPr>
            <w:r w:rsidRPr="006F3D27">
              <w:rPr>
                <w:sz w:val="18"/>
                <w:szCs w:val="18"/>
              </w:rPr>
              <w:t>Countryside management grass</w:t>
            </w:r>
          </w:p>
        </w:tc>
        <w:tc>
          <w:tcPr>
            <w:tcW w:w="0" w:type="auto"/>
          </w:tcPr>
          <w:p w14:paraId="27F6AE63"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48</w:t>
            </w:r>
          </w:p>
        </w:tc>
        <w:tc>
          <w:tcPr>
            <w:tcW w:w="0" w:type="auto"/>
          </w:tcPr>
          <w:p w14:paraId="3D8CC2BD"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71</w:t>
            </w:r>
          </w:p>
        </w:tc>
        <w:tc>
          <w:tcPr>
            <w:tcW w:w="0" w:type="auto"/>
          </w:tcPr>
          <w:p w14:paraId="5C179E08"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81</w:t>
            </w:r>
          </w:p>
        </w:tc>
        <w:tc>
          <w:tcPr>
            <w:tcW w:w="0" w:type="auto"/>
          </w:tcPr>
          <w:p w14:paraId="11167CCA"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30</w:t>
            </w:r>
          </w:p>
        </w:tc>
        <w:tc>
          <w:tcPr>
            <w:tcW w:w="0" w:type="auto"/>
          </w:tcPr>
          <w:p w14:paraId="26BE09BB"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155</w:t>
            </w:r>
          </w:p>
        </w:tc>
        <w:tc>
          <w:tcPr>
            <w:tcW w:w="0" w:type="auto"/>
          </w:tcPr>
          <w:p w14:paraId="63881530"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93</w:t>
            </w:r>
          </w:p>
        </w:tc>
        <w:tc>
          <w:tcPr>
            <w:tcW w:w="0" w:type="auto"/>
          </w:tcPr>
          <w:p w14:paraId="76A1AC80"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t>181</w:t>
            </w:r>
          </w:p>
        </w:tc>
        <w:tc>
          <w:tcPr>
            <w:tcW w:w="0" w:type="auto"/>
          </w:tcPr>
          <w:p w14:paraId="33639114"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i/>
                <w:sz w:val="18"/>
                <w:szCs w:val="18"/>
              </w:rPr>
            </w:pPr>
          </w:p>
        </w:tc>
      </w:tr>
      <w:tr w:rsidR="00425BA0" w:rsidRPr="006F3D27" w14:paraId="183DD1DF"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5259E177" w14:textId="77777777" w:rsidR="00425BA0" w:rsidRPr="006F3D27" w:rsidRDefault="00425BA0" w:rsidP="00847C80">
            <w:pPr>
              <w:jc w:val="right"/>
              <w:rPr>
                <w:sz w:val="18"/>
                <w:szCs w:val="18"/>
              </w:rPr>
            </w:pPr>
            <w:r w:rsidRPr="006F3D27">
              <w:rPr>
                <w:sz w:val="18"/>
                <w:szCs w:val="18"/>
              </w:rPr>
              <w:t>Sugarbeet tops</w:t>
            </w:r>
          </w:p>
        </w:tc>
        <w:tc>
          <w:tcPr>
            <w:tcW w:w="0" w:type="auto"/>
          </w:tcPr>
          <w:p w14:paraId="5D2B75A9"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21</w:t>
            </w:r>
          </w:p>
        </w:tc>
        <w:tc>
          <w:tcPr>
            <w:tcW w:w="0" w:type="auto"/>
          </w:tcPr>
          <w:p w14:paraId="674DAFA8"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31</w:t>
            </w:r>
          </w:p>
        </w:tc>
        <w:tc>
          <w:tcPr>
            <w:tcW w:w="0" w:type="auto"/>
          </w:tcPr>
          <w:p w14:paraId="2A58A303"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35</w:t>
            </w:r>
          </w:p>
        </w:tc>
        <w:tc>
          <w:tcPr>
            <w:tcW w:w="0" w:type="auto"/>
          </w:tcPr>
          <w:p w14:paraId="257281E8"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12</w:t>
            </w:r>
          </w:p>
        </w:tc>
        <w:tc>
          <w:tcPr>
            <w:tcW w:w="0" w:type="auto"/>
          </w:tcPr>
          <w:p w14:paraId="34EE76A0"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61</w:t>
            </w:r>
          </w:p>
        </w:tc>
        <w:tc>
          <w:tcPr>
            <w:tcW w:w="0" w:type="auto"/>
          </w:tcPr>
          <w:p w14:paraId="3B49ADB2"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37</w:t>
            </w:r>
          </w:p>
        </w:tc>
        <w:tc>
          <w:tcPr>
            <w:tcW w:w="0" w:type="auto"/>
          </w:tcPr>
          <w:p w14:paraId="149949C7"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i/>
                <w:sz w:val="18"/>
                <w:szCs w:val="18"/>
              </w:rPr>
            </w:pPr>
          </w:p>
        </w:tc>
        <w:tc>
          <w:tcPr>
            <w:tcW w:w="0" w:type="auto"/>
          </w:tcPr>
          <w:p w14:paraId="57B00F0A"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i/>
                <w:sz w:val="18"/>
                <w:szCs w:val="18"/>
              </w:rPr>
            </w:pPr>
          </w:p>
        </w:tc>
      </w:tr>
      <w:tr w:rsidR="00425BA0" w:rsidRPr="006F3D27" w14:paraId="645C0BE8"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6A90652" w14:textId="77777777" w:rsidR="00425BA0" w:rsidRPr="006F3D27" w:rsidRDefault="00425BA0" w:rsidP="00847C80">
            <w:pPr>
              <w:jc w:val="right"/>
              <w:rPr>
                <w:sz w:val="18"/>
                <w:szCs w:val="18"/>
              </w:rPr>
            </w:pPr>
            <w:r w:rsidRPr="006F3D27">
              <w:rPr>
                <w:sz w:val="18"/>
                <w:szCs w:val="18"/>
              </w:rPr>
              <w:t>Household food waste</w:t>
            </w:r>
          </w:p>
        </w:tc>
        <w:tc>
          <w:tcPr>
            <w:tcW w:w="0" w:type="auto"/>
          </w:tcPr>
          <w:p w14:paraId="6D643501"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36</w:t>
            </w:r>
          </w:p>
        </w:tc>
        <w:tc>
          <w:tcPr>
            <w:tcW w:w="0" w:type="auto"/>
          </w:tcPr>
          <w:p w14:paraId="38525090"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53</w:t>
            </w:r>
          </w:p>
        </w:tc>
        <w:tc>
          <w:tcPr>
            <w:tcW w:w="0" w:type="auto"/>
          </w:tcPr>
          <w:p w14:paraId="48E97F0D"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60</w:t>
            </w:r>
          </w:p>
        </w:tc>
        <w:tc>
          <w:tcPr>
            <w:tcW w:w="0" w:type="auto"/>
          </w:tcPr>
          <w:p w14:paraId="40BBEE4A"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22</w:t>
            </w:r>
          </w:p>
        </w:tc>
        <w:tc>
          <w:tcPr>
            <w:tcW w:w="0" w:type="auto"/>
          </w:tcPr>
          <w:p w14:paraId="04B15B30"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114</w:t>
            </w:r>
          </w:p>
        </w:tc>
        <w:tc>
          <w:tcPr>
            <w:tcW w:w="0" w:type="auto"/>
          </w:tcPr>
          <w:p w14:paraId="2303ECCC"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68</w:t>
            </w:r>
          </w:p>
        </w:tc>
        <w:tc>
          <w:tcPr>
            <w:tcW w:w="0" w:type="auto"/>
          </w:tcPr>
          <w:p w14:paraId="68A015F7"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i/>
                <w:sz w:val="18"/>
                <w:szCs w:val="18"/>
              </w:rPr>
            </w:pPr>
          </w:p>
        </w:tc>
        <w:tc>
          <w:tcPr>
            <w:tcW w:w="0" w:type="auto"/>
          </w:tcPr>
          <w:p w14:paraId="607785FC"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t>31-91</w:t>
            </w:r>
          </w:p>
        </w:tc>
      </w:tr>
      <w:tr w:rsidR="00425BA0" w:rsidRPr="006F3D27" w14:paraId="6E6F06DC"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3A41AAAF" w14:textId="77777777" w:rsidR="00425BA0" w:rsidRPr="006F3D27" w:rsidRDefault="00425BA0" w:rsidP="00847C80">
            <w:pPr>
              <w:jc w:val="right"/>
              <w:rPr>
                <w:sz w:val="18"/>
                <w:szCs w:val="18"/>
              </w:rPr>
            </w:pPr>
            <w:r w:rsidRPr="006F3D27">
              <w:rPr>
                <w:sz w:val="18"/>
                <w:szCs w:val="18"/>
              </w:rPr>
              <w:t>PAT</w:t>
            </w:r>
          </w:p>
        </w:tc>
        <w:tc>
          <w:tcPr>
            <w:tcW w:w="0" w:type="auto"/>
          </w:tcPr>
          <w:p w14:paraId="043DC888"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146</w:t>
            </w:r>
          </w:p>
        </w:tc>
        <w:tc>
          <w:tcPr>
            <w:tcW w:w="0" w:type="auto"/>
          </w:tcPr>
          <w:p w14:paraId="5142AB6C"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215</w:t>
            </w:r>
          </w:p>
        </w:tc>
        <w:tc>
          <w:tcPr>
            <w:tcW w:w="0" w:type="auto"/>
          </w:tcPr>
          <w:p w14:paraId="05B739E9"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243</w:t>
            </w:r>
          </w:p>
        </w:tc>
        <w:tc>
          <w:tcPr>
            <w:tcW w:w="0" w:type="auto"/>
          </w:tcPr>
          <w:p w14:paraId="613553CB"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63</w:t>
            </w:r>
          </w:p>
        </w:tc>
        <w:tc>
          <w:tcPr>
            <w:tcW w:w="0" w:type="auto"/>
          </w:tcPr>
          <w:p w14:paraId="55DC7CC5"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327</w:t>
            </w:r>
          </w:p>
        </w:tc>
        <w:tc>
          <w:tcPr>
            <w:tcW w:w="0" w:type="auto"/>
          </w:tcPr>
          <w:p w14:paraId="06AB6C3C"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196</w:t>
            </w:r>
          </w:p>
        </w:tc>
        <w:tc>
          <w:tcPr>
            <w:tcW w:w="0" w:type="auto"/>
          </w:tcPr>
          <w:p w14:paraId="7963E507"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i/>
                <w:sz w:val="18"/>
                <w:szCs w:val="18"/>
              </w:rPr>
            </w:pPr>
          </w:p>
        </w:tc>
        <w:tc>
          <w:tcPr>
            <w:tcW w:w="0" w:type="auto"/>
          </w:tcPr>
          <w:p w14:paraId="08563655"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i/>
                <w:sz w:val="18"/>
                <w:szCs w:val="18"/>
              </w:rPr>
            </w:pPr>
          </w:p>
        </w:tc>
      </w:tr>
      <w:tr w:rsidR="00425BA0" w:rsidRPr="006F3D27" w14:paraId="7CAD1673"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46717AA" w14:textId="77777777" w:rsidR="00425BA0" w:rsidRPr="006F3D27" w:rsidRDefault="00425BA0" w:rsidP="00847C80">
            <w:pPr>
              <w:jc w:val="right"/>
              <w:rPr>
                <w:sz w:val="18"/>
                <w:szCs w:val="18"/>
              </w:rPr>
            </w:pPr>
            <w:r w:rsidRPr="006F3D27">
              <w:rPr>
                <w:sz w:val="18"/>
                <w:szCs w:val="18"/>
              </w:rPr>
              <w:t>Corn spent grains</w:t>
            </w:r>
          </w:p>
        </w:tc>
        <w:tc>
          <w:tcPr>
            <w:tcW w:w="0" w:type="auto"/>
          </w:tcPr>
          <w:p w14:paraId="7203A467"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55</w:t>
            </w:r>
          </w:p>
        </w:tc>
        <w:tc>
          <w:tcPr>
            <w:tcW w:w="0" w:type="auto"/>
          </w:tcPr>
          <w:p w14:paraId="10C706D8"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82</w:t>
            </w:r>
          </w:p>
        </w:tc>
        <w:tc>
          <w:tcPr>
            <w:tcW w:w="0" w:type="auto"/>
          </w:tcPr>
          <w:p w14:paraId="3E5E5706"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92</w:t>
            </w:r>
          </w:p>
        </w:tc>
        <w:tc>
          <w:tcPr>
            <w:tcW w:w="0" w:type="auto"/>
          </w:tcPr>
          <w:p w14:paraId="443D50C1"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7F4FD234"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344009C8"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17C3FEEC"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i/>
                <w:sz w:val="18"/>
                <w:szCs w:val="18"/>
              </w:rPr>
            </w:pPr>
          </w:p>
        </w:tc>
        <w:tc>
          <w:tcPr>
            <w:tcW w:w="0" w:type="auto"/>
          </w:tcPr>
          <w:p w14:paraId="55175F3A"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i/>
                <w:sz w:val="18"/>
                <w:szCs w:val="18"/>
              </w:rPr>
            </w:pPr>
          </w:p>
        </w:tc>
      </w:tr>
      <w:tr w:rsidR="00425BA0" w:rsidRPr="006F3D27" w14:paraId="0A07CD1B" w14:textId="77777777" w:rsidTr="00942782">
        <w:trPr>
          <w:trHeight w:val="82"/>
        </w:trPr>
        <w:tc>
          <w:tcPr>
            <w:cnfStyle w:val="001000000000" w:firstRow="0" w:lastRow="0" w:firstColumn="1" w:lastColumn="0" w:oddVBand="0" w:evenVBand="0" w:oddHBand="0" w:evenHBand="0" w:firstRowFirstColumn="0" w:firstRowLastColumn="0" w:lastRowFirstColumn="0" w:lastRowLastColumn="0"/>
            <w:tcW w:w="0" w:type="auto"/>
          </w:tcPr>
          <w:p w14:paraId="17432693" w14:textId="77777777" w:rsidR="00425BA0" w:rsidRPr="006F3D27" w:rsidRDefault="00425BA0" w:rsidP="00847C80">
            <w:pPr>
              <w:jc w:val="right"/>
              <w:rPr>
                <w:sz w:val="18"/>
                <w:szCs w:val="18"/>
                <w:highlight w:val="yellow"/>
              </w:rPr>
            </w:pPr>
            <w:r w:rsidRPr="006F3D27">
              <w:rPr>
                <w:sz w:val="18"/>
                <w:szCs w:val="18"/>
              </w:rPr>
              <w:t>Potato screenings</w:t>
            </w:r>
          </w:p>
        </w:tc>
        <w:tc>
          <w:tcPr>
            <w:tcW w:w="0" w:type="auto"/>
          </w:tcPr>
          <w:p w14:paraId="062BA55B"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29</w:t>
            </w:r>
          </w:p>
        </w:tc>
        <w:tc>
          <w:tcPr>
            <w:tcW w:w="0" w:type="auto"/>
          </w:tcPr>
          <w:p w14:paraId="53734044"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42</w:t>
            </w:r>
          </w:p>
        </w:tc>
        <w:tc>
          <w:tcPr>
            <w:tcW w:w="0" w:type="auto"/>
          </w:tcPr>
          <w:p w14:paraId="077550FD"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48</w:t>
            </w:r>
          </w:p>
        </w:tc>
        <w:tc>
          <w:tcPr>
            <w:tcW w:w="0" w:type="auto"/>
          </w:tcPr>
          <w:p w14:paraId="3AB0BD0C"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i/>
                <w:sz w:val="18"/>
                <w:szCs w:val="18"/>
              </w:rPr>
            </w:pPr>
          </w:p>
        </w:tc>
        <w:tc>
          <w:tcPr>
            <w:tcW w:w="0" w:type="auto"/>
          </w:tcPr>
          <w:p w14:paraId="2951459C"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i/>
                <w:sz w:val="18"/>
                <w:szCs w:val="18"/>
              </w:rPr>
            </w:pPr>
          </w:p>
        </w:tc>
        <w:tc>
          <w:tcPr>
            <w:tcW w:w="0" w:type="auto"/>
          </w:tcPr>
          <w:p w14:paraId="2DE839C1"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i/>
                <w:sz w:val="18"/>
                <w:szCs w:val="18"/>
              </w:rPr>
            </w:pPr>
          </w:p>
        </w:tc>
        <w:tc>
          <w:tcPr>
            <w:tcW w:w="0" w:type="auto"/>
          </w:tcPr>
          <w:p w14:paraId="40FC70EA"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i/>
                <w:sz w:val="18"/>
                <w:szCs w:val="18"/>
              </w:rPr>
            </w:pPr>
          </w:p>
        </w:tc>
        <w:tc>
          <w:tcPr>
            <w:tcW w:w="0" w:type="auto"/>
          </w:tcPr>
          <w:p w14:paraId="2F8485A5"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i/>
                <w:sz w:val="18"/>
                <w:szCs w:val="18"/>
              </w:rPr>
            </w:pPr>
          </w:p>
        </w:tc>
      </w:tr>
    </w:tbl>
    <w:p w14:paraId="68544731" w14:textId="5A131391" w:rsidR="00425BA0" w:rsidRDefault="00425BA0" w:rsidP="00942782">
      <w:pPr>
        <w:jc w:val="both"/>
        <w:rPr>
          <w:sz w:val="18"/>
        </w:rPr>
      </w:pPr>
      <w:r w:rsidRPr="003F5DA8">
        <w:rPr>
          <w:sz w:val="18"/>
        </w:rPr>
        <w:t xml:space="preserve">Calculated with baseline value of technology parameters. Amounts are directly linked with input moisture content, which can explain differences with reported references. Matassa et al., 2020 contemplates AD reuse towards gasification, </w:t>
      </w:r>
      <w:r>
        <w:rPr>
          <w:sz w:val="18"/>
        </w:rPr>
        <w:t>here excluded</w:t>
      </w:r>
      <w:r w:rsidRPr="003F5DA8">
        <w:rPr>
          <w:sz w:val="18"/>
        </w:rPr>
        <w:t>.</w:t>
      </w:r>
    </w:p>
    <w:p w14:paraId="4E7DA35C" w14:textId="4D40D491" w:rsidR="00AE024E" w:rsidRPr="00900B8F" w:rsidRDefault="00874128" w:rsidP="00942782">
      <w:pPr>
        <w:pStyle w:val="Lgende"/>
        <w:jc w:val="left"/>
        <w:rPr>
          <w:b w:val="0"/>
          <w:i/>
        </w:rPr>
      </w:pPr>
      <w:bookmarkStart w:id="348" w:name="_Ref144830962"/>
      <w:bookmarkStart w:id="349" w:name="_Toc134537603"/>
      <w:bookmarkStart w:id="350" w:name="_Toc151967964"/>
      <w:r>
        <w:t>Table SI.</w:t>
      </w:r>
      <w:r w:rsidR="00AE024E">
        <w:t xml:space="preserve"> </w:t>
      </w:r>
      <w:r>
        <w:fldChar w:fldCharType="begin"/>
      </w:r>
      <w:r>
        <w:instrText xml:space="preserve"> SEQ Table_SI. \* ARABIC </w:instrText>
      </w:r>
      <w:r>
        <w:fldChar w:fldCharType="separate"/>
      </w:r>
      <w:r w:rsidR="00F25F8C">
        <w:rPr>
          <w:noProof/>
        </w:rPr>
        <w:t>80</w:t>
      </w:r>
      <w:r>
        <w:fldChar w:fldCharType="end"/>
      </w:r>
      <w:bookmarkEnd w:id="348"/>
      <w:r w:rsidR="00AE024E">
        <w:t xml:space="preserve"> </w:t>
      </w:r>
      <w:r w:rsidR="00AE024E" w:rsidRPr="00B515B9">
        <w:t>– Calculated biomethane production compared to experimental benchmark</w:t>
      </w:r>
      <w:bookmarkEnd w:id="349"/>
      <w:bookmarkEnd w:id="350"/>
    </w:p>
    <w:tbl>
      <w:tblPr>
        <w:tblStyle w:val="Tableausimple2"/>
        <w:tblW w:w="0" w:type="auto"/>
        <w:tblLook w:val="04A0" w:firstRow="1" w:lastRow="0" w:firstColumn="1" w:lastColumn="0" w:noHBand="0" w:noVBand="1"/>
      </w:tblPr>
      <w:tblGrid>
        <w:gridCol w:w="1825"/>
        <w:gridCol w:w="1715"/>
        <w:gridCol w:w="2130"/>
        <w:gridCol w:w="3402"/>
      </w:tblGrid>
      <w:tr w:rsidR="00AE024E" w:rsidRPr="006F3D27" w14:paraId="4A624845" w14:textId="77777777" w:rsidTr="00942782">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1825" w:type="dxa"/>
          </w:tcPr>
          <w:p w14:paraId="44F0E533" w14:textId="77777777" w:rsidR="00AE024E" w:rsidRPr="006F3D27" w:rsidRDefault="00AE024E" w:rsidP="000C3E59">
            <w:pPr>
              <w:jc w:val="right"/>
              <w:rPr>
                <w:sz w:val="18"/>
                <w:szCs w:val="18"/>
              </w:rPr>
            </w:pPr>
            <w:r w:rsidRPr="006F3D27">
              <w:rPr>
                <w:sz w:val="18"/>
                <w:szCs w:val="18"/>
              </w:rPr>
              <w:t>Case studies, in Nm</w:t>
            </w:r>
            <w:r w:rsidRPr="006F3D27">
              <w:rPr>
                <w:sz w:val="18"/>
                <w:szCs w:val="18"/>
                <w:vertAlign w:val="superscript"/>
              </w:rPr>
              <w:t>3</w:t>
            </w:r>
            <w:r w:rsidRPr="006F3D27">
              <w:rPr>
                <w:sz w:val="18"/>
                <w:szCs w:val="18"/>
                <w:vertAlign w:val="subscript"/>
              </w:rPr>
              <w:t>CH4</w:t>
            </w:r>
            <w:r w:rsidRPr="006F3D27">
              <w:rPr>
                <w:sz w:val="18"/>
                <w:szCs w:val="18"/>
              </w:rPr>
              <w:t>.t</w:t>
            </w:r>
            <w:r w:rsidRPr="006F3D27">
              <w:rPr>
                <w:sz w:val="18"/>
                <w:szCs w:val="18"/>
                <w:vertAlign w:val="subscript"/>
              </w:rPr>
              <w:t>VS</w:t>
            </w:r>
            <w:r w:rsidRPr="006F3D27">
              <w:rPr>
                <w:sz w:val="18"/>
                <w:szCs w:val="18"/>
                <w:vertAlign w:val="superscript"/>
              </w:rPr>
              <w:t>-1</w:t>
            </w:r>
          </w:p>
        </w:tc>
        <w:tc>
          <w:tcPr>
            <w:tcW w:w="1715" w:type="dxa"/>
          </w:tcPr>
          <w:p w14:paraId="6895BB21" w14:textId="43C3E1DB" w:rsidR="00AE024E" w:rsidRPr="006F3D27" w:rsidRDefault="00AE024E" w:rsidP="000C3E59">
            <w:pPr>
              <w:cnfStyle w:val="100000000000" w:firstRow="1" w:lastRow="0" w:firstColumn="0" w:lastColumn="0" w:oddVBand="0" w:evenVBand="0" w:oddHBand="0" w:evenHBand="0" w:firstRowFirstColumn="0" w:firstRowLastColumn="0" w:lastRowFirstColumn="0" w:lastRowLastColumn="0"/>
              <w:rPr>
                <w:sz w:val="18"/>
                <w:szCs w:val="18"/>
              </w:rPr>
            </w:pPr>
            <w:r w:rsidRPr="006F3D27">
              <w:rPr>
                <w:sz w:val="18"/>
                <w:szCs w:val="18"/>
              </w:rPr>
              <w:t>Calculated, baseline yield (75</w:t>
            </w:r>
            <w:r w:rsidR="006F3D27">
              <w:rPr>
                <w:sz w:val="18"/>
                <w:szCs w:val="18"/>
              </w:rPr>
              <w:t xml:space="preserve"> </w:t>
            </w:r>
            <w:r w:rsidRPr="006F3D27">
              <w:rPr>
                <w:sz w:val="18"/>
                <w:szCs w:val="18"/>
              </w:rPr>
              <w:t>%</w:t>
            </w:r>
            <w:r w:rsidRPr="006F3D27">
              <w:rPr>
                <w:sz w:val="18"/>
                <w:szCs w:val="18"/>
                <w:vertAlign w:val="subscript"/>
              </w:rPr>
              <w:t>TBMP</w:t>
            </w:r>
            <w:r w:rsidRPr="006F3D27">
              <w:rPr>
                <w:sz w:val="18"/>
                <w:szCs w:val="18"/>
              </w:rPr>
              <w:t>)</w:t>
            </w:r>
          </w:p>
        </w:tc>
        <w:tc>
          <w:tcPr>
            <w:tcW w:w="2130" w:type="dxa"/>
          </w:tcPr>
          <w:p w14:paraId="5338C684" w14:textId="19BD82E9" w:rsidR="00AE024E" w:rsidRPr="006F3D27" w:rsidRDefault="00AE024E" w:rsidP="00917881">
            <w:pPr>
              <w:cnfStyle w:val="100000000000" w:firstRow="1" w:lastRow="0" w:firstColumn="0" w:lastColumn="0" w:oddVBand="0" w:evenVBand="0" w:oddHBand="0" w:evenHBand="0" w:firstRowFirstColumn="0" w:firstRowLastColumn="0" w:lastRowFirstColumn="0" w:lastRowLastColumn="0"/>
              <w:rPr>
                <w:sz w:val="18"/>
                <w:szCs w:val="18"/>
              </w:rPr>
            </w:pPr>
            <w:r w:rsidRPr="006F3D27">
              <w:rPr>
                <w:sz w:val="18"/>
                <w:szCs w:val="18"/>
              </w:rPr>
              <w:t>Trials by Garcia et al., 2019</w:t>
            </w:r>
            <w:r w:rsidRPr="006F3D27">
              <w:rPr>
                <w:sz w:val="18"/>
                <w:szCs w:val="18"/>
              </w:rPr>
              <w:fldChar w:fldCharType="begin"/>
            </w:r>
            <w:r w:rsidR="005413B4">
              <w:rPr>
                <w:sz w:val="18"/>
                <w:szCs w:val="18"/>
              </w:rPr>
              <w:instrText xml:space="preserve"> ADDIN ZOTERO_ITEM CSL_CITATION {"citationID":"wY8qfxTC","properties":{"formattedCitation":"\\super 260\\nosupersub{}","plainCitation":"260","noteIndex":0},"citationItems":[{"id":12326,"uris":["http://zotero.org/users/6423791/items/J3QAMMPQ"],"itemData":{"id":12326,"type":"article-journal","abstract":"Anaerobic Digestion is largely applied in the rural context because of its capability of stabilizing the organic matter while recovering biogas, thus renewable energy, and a renewable fertilizer, the digestate. In the present study, the methane yield of a large number of organic biomasses generated in the agro-industrial sector was evaluated by biomethane potential trials. More than 50 different organic substrates were grouped according to their chemical characteristics or their application in 7 major categories: energy crops, lignocellulosic by-products, herbaceous by-products, vegetable by-products, fruits by-products, livestock effluents and miscellaneous food processing by-products. Results demonstrated that the concentration and the nature of the organic matter is able to influence the methane production. Energy crops are among the more diffused substrates with about 200 million tons/year. Its wide adoption is justified by relative high methane yields (250–350 L CH4/kg TVS) and mainly by the rapid degradation rates with hydrolysis constant of about 0.15 d−1. By-products characterized by high content of lignocellulosic materials showed slower kinetics (0.05–0.09 d−1) and a methane production in the range of 150–400 L CH4/kg TVS, which increased with cellulose content. Livestock effluents had generally a lower methane yield (50–200 L CH4/kg TVS) as effect of the higher ammonia inhibiting compounds. Finally, food by products were characterized by a large methane production's range, 150–700 L CH4/kg TVS, due to heterogeneous nature of these substrates. Food by products rich in lipids content had the higher methane yield (400–700 L CH4/kg TVS), but showed the slowest kinetics (kh lower than 0.1 d−1). P Substrates rich in proteins and carbohydrates had lower methane yields (300–450 L CH4/kg TVS) but higher hydrolysis constants, generally upper than 0.1 d−1. Considering the global biomass generation of these substrates at European level, it was determined that their valorisation could contribute with an annual potential energy output of 2584 PJ (61.7 Mtoe), representing 5.7% of total energy consumed in EU- 28 in 2015 or 34,1% of total renewable energy in the same year.","container-title":"Renewable and Sustainable Energy Reviews","DOI":"10.1016/j.rser.2019.05.040","ISSN":"1364-0321","journalAbbreviation":"Renewable and Sustainable Energy Reviews","language":"en","page":"1-10","source":"ScienceDirect","title":"Evaluation of the methane potential of different agricultural and food processing substrates for improved biogas production in rural areas","volume":"112","author":[{"family":"Garcia","given":"Natalia Herrero"},{"family":"Mattioli","given":"Andrea"},{"family":"Gil","given":"Aida"},{"family":"Frison","given":"Nicola"},{"family":"Battista","given":"Federico"},{"family":"Bolzonella","given":"David"}],"issued":{"date-parts":[["2019",9,1]]}}}],"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260</w:t>
            </w:r>
            <w:r w:rsidRPr="006F3D27">
              <w:rPr>
                <w:sz w:val="18"/>
                <w:szCs w:val="18"/>
              </w:rPr>
              <w:fldChar w:fldCharType="end"/>
            </w:r>
          </w:p>
        </w:tc>
        <w:tc>
          <w:tcPr>
            <w:tcW w:w="3402" w:type="dxa"/>
          </w:tcPr>
          <w:p w14:paraId="44249483" w14:textId="3DB35DE9" w:rsidR="00AE024E" w:rsidRPr="006F3D27" w:rsidRDefault="00AE024E" w:rsidP="00917881">
            <w:pPr>
              <w:cnfStyle w:val="100000000000" w:firstRow="1" w:lastRow="0" w:firstColumn="0" w:lastColumn="0" w:oddVBand="0" w:evenVBand="0" w:oddHBand="0" w:evenHBand="0" w:firstRowFirstColumn="0" w:firstRowLastColumn="0" w:lastRowFirstColumn="0" w:lastRowLastColumn="0"/>
              <w:rPr>
                <w:sz w:val="18"/>
                <w:szCs w:val="18"/>
              </w:rPr>
            </w:pPr>
            <w:r w:rsidRPr="006F3D27">
              <w:rPr>
                <w:sz w:val="18"/>
                <w:szCs w:val="18"/>
              </w:rPr>
              <w:t>Review by Bareha et al., 2021</w:t>
            </w:r>
            <w:r w:rsidRPr="006F3D27">
              <w:rPr>
                <w:sz w:val="18"/>
                <w:szCs w:val="18"/>
              </w:rPr>
              <w:fldChar w:fldCharType="begin"/>
            </w:r>
            <w:r w:rsidR="005413B4">
              <w:rPr>
                <w:sz w:val="18"/>
                <w:szCs w:val="18"/>
              </w:rPr>
              <w:instrText xml:space="preserve"> ADDIN ZOTERO_ITEM CSL_CITATION {"citationID":"4r1rS4FJ","properties":{"formattedCitation":"\\super 261\\nosupersub{}","plainCitation":"261","noteIndex":0},"citationItems":[{"id":12228,"uris":["http://zotero.org/users/6423791/items/79FXS4HV"],"itemData":{"id":12228,"type":"article-journal","abstract":"The increase in anaerobic digestion systems has profoundly affected the waste management of territories, particularly for agricultural systems. Changes in cultural practices and imports of organic waste modify the carbon (C) and nitrogen (N) fluxes on territories where anaerobic digestion is implemented. Successful anaerobic digestion can increase the economic and ecological efficiency of the waste management system. Conversely, poor anaerobic digestion leads to low economic and environmental efficiency due to greenhouse gas emissions and nutrient loss. Modeling the impact of anaerobic digestion on the systems integrating anaerobic digestion can improve the efficiency of these practices. The aim of this study was to develop, analyze, and evaluate a simple mass balance tool able to predict carbon and nitrogen fluxes in anaerobic digestion systems. The tool is composed of an exhaustive substrate database used by three models: (i) an anaerobic digestion model that predicts C and N contents in biogas and digestate; (ii) a phase separation model that predicts C and N content in liquid and solid phase digestates; and (iii) a storage model that predicts C and N content in raw, liquid phase, and solid phase digestates, as well as C and N emissions during storage. Sensitivity analyses were performed on the tool to determine critical inputs. Sensitivity analysis showed that outputs were highly sensitive to their respective inputs and to total inputs of solids. Performance evaluation showed that the tool can provide good quality predictions with R2 correlations between observation and prediction varying from 0.72 to 0.99 with the best predictions obtained for raw digestate.","container-title":"Waste Management","DOI":"10.1016/j.wasman.2021.08.020","ISSN":"0956-053X","journalAbbreviation":"Waste Manag.","language":"en","page":"47-59","source":"ScienceDirect","title":"A simple mass balance tool to predict carbon and nitrogen fluxes in anaerobic digestion systems","volume":"135","author":[{"family":"Bareha","given":"Y."},{"family":"Affes","given":"R."},{"family":"Moinard","given":"V."},{"family":"Buffet","given":"J."},{"family":"Girault","given":"R."}],"issued":{"date-parts":[["2021",11,1]]}}}],"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261</w:t>
            </w:r>
            <w:r w:rsidRPr="006F3D27">
              <w:rPr>
                <w:sz w:val="18"/>
                <w:szCs w:val="18"/>
              </w:rPr>
              <w:fldChar w:fldCharType="end"/>
            </w:r>
          </w:p>
        </w:tc>
      </w:tr>
      <w:tr w:rsidR="00AE024E" w:rsidRPr="006F3D27" w14:paraId="4ACC4CCD"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5" w:type="dxa"/>
          </w:tcPr>
          <w:p w14:paraId="377B6160" w14:textId="77777777" w:rsidR="00AE024E" w:rsidRPr="006F3D27" w:rsidRDefault="00AE024E" w:rsidP="000C3E59">
            <w:pPr>
              <w:jc w:val="right"/>
              <w:rPr>
                <w:sz w:val="18"/>
                <w:szCs w:val="18"/>
              </w:rPr>
            </w:pPr>
            <w:r w:rsidRPr="006F3D27">
              <w:rPr>
                <w:sz w:val="18"/>
                <w:szCs w:val="18"/>
              </w:rPr>
              <w:t>Wheat straw</w:t>
            </w:r>
          </w:p>
        </w:tc>
        <w:tc>
          <w:tcPr>
            <w:tcW w:w="1715" w:type="dxa"/>
          </w:tcPr>
          <w:p w14:paraId="13535F58" w14:textId="77777777" w:rsidR="00AE024E" w:rsidRPr="006F3D27" w:rsidRDefault="00AE024E" w:rsidP="000C3E59">
            <w:pPr>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283</w:t>
            </w:r>
          </w:p>
        </w:tc>
        <w:tc>
          <w:tcPr>
            <w:tcW w:w="2130" w:type="dxa"/>
          </w:tcPr>
          <w:p w14:paraId="007D60AE" w14:textId="77777777" w:rsidR="00AE024E" w:rsidRPr="006F3D27" w:rsidRDefault="00AE024E" w:rsidP="00917881">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 xml:space="preserve">196 </w:t>
            </w:r>
            <w:r w:rsidRPr="006F3D27">
              <w:rPr>
                <w:rFonts w:cstheme="minorHAnsi"/>
                <w:sz w:val="18"/>
                <w:szCs w:val="18"/>
              </w:rPr>
              <w:t>±</w:t>
            </w:r>
            <w:r w:rsidRPr="006F3D27">
              <w:rPr>
                <w:sz w:val="18"/>
                <w:szCs w:val="18"/>
              </w:rPr>
              <w:t xml:space="preserve"> 43 (soybean straw)</w:t>
            </w:r>
          </w:p>
        </w:tc>
        <w:tc>
          <w:tcPr>
            <w:tcW w:w="3402" w:type="dxa"/>
          </w:tcPr>
          <w:p w14:paraId="64F29F0B" w14:textId="77777777" w:rsidR="00AE024E" w:rsidRPr="006F3D27" w:rsidRDefault="00AE024E" w:rsidP="00917881">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 xml:space="preserve">320 </w:t>
            </w:r>
            <w:r w:rsidRPr="006F3D27">
              <w:rPr>
                <w:rFonts w:cstheme="minorHAnsi"/>
                <w:sz w:val="18"/>
                <w:szCs w:val="18"/>
              </w:rPr>
              <w:t>±</w:t>
            </w:r>
            <w:r w:rsidRPr="006F3D27">
              <w:rPr>
                <w:sz w:val="18"/>
                <w:szCs w:val="18"/>
              </w:rPr>
              <w:t xml:space="preserve"> 35 (rye straw)</w:t>
            </w:r>
          </w:p>
        </w:tc>
      </w:tr>
      <w:tr w:rsidR="00AE024E" w:rsidRPr="006F3D27" w14:paraId="74407722" w14:textId="77777777" w:rsidTr="00942782">
        <w:tc>
          <w:tcPr>
            <w:cnfStyle w:val="001000000000" w:firstRow="0" w:lastRow="0" w:firstColumn="1" w:lastColumn="0" w:oddVBand="0" w:evenVBand="0" w:oddHBand="0" w:evenHBand="0" w:firstRowFirstColumn="0" w:firstRowLastColumn="0" w:lastRowFirstColumn="0" w:lastRowLastColumn="0"/>
            <w:tcW w:w="1825" w:type="dxa"/>
          </w:tcPr>
          <w:p w14:paraId="1AAB37AE" w14:textId="77777777" w:rsidR="00AE024E" w:rsidRPr="006F3D27" w:rsidRDefault="00AE024E" w:rsidP="000C3E59">
            <w:pPr>
              <w:jc w:val="right"/>
              <w:rPr>
                <w:sz w:val="18"/>
                <w:szCs w:val="18"/>
              </w:rPr>
            </w:pPr>
            <w:r w:rsidRPr="006F3D27">
              <w:rPr>
                <w:sz w:val="18"/>
                <w:szCs w:val="18"/>
              </w:rPr>
              <w:t>Bovine manure</w:t>
            </w:r>
          </w:p>
        </w:tc>
        <w:tc>
          <w:tcPr>
            <w:tcW w:w="1715" w:type="dxa"/>
          </w:tcPr>
          <w:p w14:paraId="3583D492" w14:textId="77777777" w:rsidR="00AE024E" w:rsidRPr="006F3D27" w:rsidRDefault="00AE024E" w:rsidP="000C3E59">
            <w:pPr>
              <w:cnfStyle w:val="000000000000" w:firstRow="0" w:lastRow="0" w:firstColumn="0" w:lastColumn="0" w:oddVBand="0" w:evenVBand="0" w:oddHBand="0" w:evenHBand="0" w:firstRowFirstColumn="0" w:firstRowLastColumn="0" w:lastRowFirstColumn="0" w:lastRowLastColumn="0"/>
              <w:rPr>
                <w:b/>
                <w:sz w:val="18"/>
                <w:szCs w:val="18"/>
              </w:rPr>
            </w:pPr>
            <w:r w:rsidRPr="006F3D27">
              <w:rPr>
                <w:b/>
                <w:sz w:val="18"/>
                <w:szCs w:val="18"/>
              </w:rPr>
              <w:t>278</w:t>
            </w:r>
          </w:p>
        </w:tc>
        <w:tc>
          <w:tcPr>
            <w:tcW w:w="2130" w:type="dxa"/>
          </w:tcPr>
          <w:p w14:paraId="1D7EAE06" w14:textId="77777777" w:rsidR="00AE024E" w:rsidRPr="006F3D27" w:rsidRDefault="00AE024E" w:rsidP="00917881">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 xml:space="preserve">98 </w:t>
            </w:r>
            <w:r w:rsidRPr="006F3D27">
              <w:rPr>
                <w:rFonts w:cstheme="minorHAnsi"/>
                <w:sz w:val="18"/>
                <w:szCs w:val="18"/>
              </w:rPr>
              <w:t>±</w:t>
            </w:r>
            <w:r w:rsidRPr="006F3D27">
              <w:rPr>
                <w:sz w:val="18"/>
                <w:szCs w:val="18"/>
              </w:rPr>
              <w:t xml:space="preserve"> 9</w:t>
            </w:r>
          </w:p>
        </w:tc>
        <w:tc>
          <w:tcPr>
            <w:tcW w:w="3402" w:type="dxa"/>
          </w:tcPr>
          <w:p w14:paraId="1FE6CC83" w14:textId="77777777" w:rsidR="00AE024E" w:rsidRPr="006F3D27" w:rsidRDefault="00AE024E" w:rsidP="00917881">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 xml:space="preserve">272 </w:t>
            </w:r>
            <w:r w:rsidRPr="006F3D27">
              <w:rPr>
                <w:rFonts w:cstheme="minorHAnsi"/>
                <w:sz w:val="18"/>
                <w:szCs w:val="18"/>
              </w:rPr>
              <w:t>±</w:t>
            </w:r>
            <w:r w:rsidRPr="006F3D27">
              <w:rPr>
                <w:sz w:val="18"/>
                <w:szCs w:val="18"/>
              </w:rPr>
              <w:t xml:space="preserve"> 30</w:t>
            </w:r>
          </w:p>
        </w:tc>
      </w:tr>
      <w:tr w:rsidR="00AE024E" w:rsidRPr="006F3D27" w14:paraId="66429971"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5" w:type="dxa"/>
          </w:tcPr>
          <w:p w14:paraId="6827405F" w14:textId="77777777" w:rsidR="00AE024E" w:rsidRPr="006F3D27" w:rsidRDefault="00AE024E" w:rsidP="000C3E59">
            <w:pPr>
              <w:jc w:val="right"/>
              <w:rPr>
                <w:sz w:val="18"/>
                <w:szCs w:val="18"/>
              </w:rPr>
            </w:pPr>
            <w:r w:rsidRPr="006F3D27">
              <w:rPr>
                <w:sz w:val="18"/>
                <w:szCs w:val="18"/>
              </w:rPr>
              <w:t>Sewage sludge</w:t>
            </w:r>
          </w:p>
        </w:tc>
        <w:tc>
          <w:tcPr>
            <w:tcW w:w="1715" w:type="dxa"/>
          </w:tcPr>
          <w:p w14:paraId="44DD6171" w14:textId="77777777" w:rsidR="00AE024E" w:rsidRPr="006F3D27" w:rsidRDefault="00AE024E" w:rsidP="000C3E59">
            <w:pPr>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390</w:t>
            </w:r>
          </w:p>
        </w:tc>
        <w:tc>
          <w:tcPr>
            <w:tcW w:w="2130" w:type="dxa"/>
          </w:tcPr>
          <w:p w14:paraId="7BEFF939" w14:textId="77777777" w:rsidR="00AE024E" w:rsidRPr="006F3D27" w:rsidRDefault="00AE024E" w:rsidP="00917881">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n.a.</w:t>
            </w:r>
          </w:p>
        </w:tc>
        <w:tc>
          <w:tcPr>
            <w:tcW w:w="3402" w:type="dxa"/>
          </w:tcPr>
          <w:p w14:paraId="4039035B" w14:textId="77777777" w:rsidR="00AE024E" w:rsidRPr="006F3D27" w:rsidRDefault="00AE024E" w:rsidP="00917881">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 xml:space="preserve">372 </w:t>
            </w:r>
            <w:r w:rsidRPr="006F3D27">
              <w:rPr>
                <w:rFonts w:cstheme="minorHAnsi"/>
                <w:sz w:val="18"/>
                <w:szCs w:val="18"/>
              </w:rPr>
              <w:t>±</w:t>
            </w:r>
            <w:r w:rsidRPr="006F3D27">
              <w:rPr>
                <w:sz w:val="18"/>
                <w:szCs w:val="18"/>
              </w:rPr>
              <w:t xml:space="preserve"> 19 (liquid)</w:t>
            </w:r>
          </w:p>
        </w:tc>
      </w:tr>
      <w:tr w:rsidR="00AE024E" w:rsidRPr="006F3D27" w14:paraId="4784DFD4" w14:textId="77777777" w:rsidTr="00942782">
        <w:trPr>
          <w:trHeight w:val="143"/>
        </w:trPr>
        <w:tc>
          <w:tcPr>
            <w:cnfStyle w:val="001000000000" w:firstRow="0" w:lastRow="0" w:firstColumn="1" w:lastColumn="0" w:oddVBand="0" w:evenVBand="0" w:oddHBand="0" w:evenHBand="0" w:firstRowFirstColumn="0" w:firstRowLastColumn="0" w:lastRowFirstColumn="0" w:lastRowLastColumn="0"/>
            <w:tcW w:w="1825" w:type="dxa"/>
          </w:tcPr>
          <w:p w14:paraId="240566A9" w14:textId="77777777" w:rsidR="00AE024E" w:rsidRPr="006F3D27" w:rsidRDefault="00AE024E" w:rsidP="000C3E59">
            <w:pPr>
              <w:jc w:val="right"/>
              <w:rPr>
                <w:sz w:val="18"/>
                <w:szCs w:val="18"/>
              </w:rPr>
            </w:pPr>
            <w:r w:rsidRPr="006F3D27">
              <w:rPr>
                <w:sz w:val="18"/>
                <w:szCs w:val="18"/>
              </w:rPr>
              <w:t>Countryside management grass</w:t>
            </w:r>
          </w:p>
        </w:tc>
        <w:tc>
          <w:tcPr>
            <w:tcW w:w="1715" w:type="dxa"/>
          </w:tcPr>
          <w:p w14:paraId="7E40165E" w14:textId="77777777" w:rsidR="00AE024E" w:rsidRPr="006F3D27" w:rsidRDefault="00AE024E" w:rsidP="000C3E59">
            <w:pPr>
              <w:cnfStyle w:val="000000000000" w:firstRow="0" w:lastRow="0" w:firstColumn="0" w:lastColumn="0" w:oddVBand="0" w:evenVBand="0" w:oddHBand="0" w:evenHBand="0" w:firstRowFirstColumn="0" w:firstRowLastColumn="0" w:lastRowFirstColumn="0" w:lastRowLastColumn="0"/>
              <w:rPr>
                <w:b/>
                <w:sz w:val="18"/>
                <w:szCs w:val="18"/>
              </w:rPr>
            </w:pPr>
            <w:r w:rsidRPr="006F3D27">
              <w:rPr>
                <w:b/>
                <w:sz w:val="18"/>
                <w:szCs w:val="18"/>
              </w:rPr>
              <w:t>288</w:t>
            </w:r>
            <w:r w:rsidRPr="006F3D27">
              <w:rPr>
                <w:b/>
                <w:sz w:val="18"/>
                <w:szCs w:val="18"/>
                <w:vertAlign w:val="superscript"/>
              </w:rPr>
              <w:t>*</w:t>
            </w:r>
          </w:p>
        </w:tc>
        <w:tc>
          <w:tcPr>
            <w:tcW w:w="2130" w:type="dxa"/>
          </w:tcPr>
          <w:p w14:paraId="7BA6FE18" w14:textId="77777777" w:rsidR="00AE024E" w:rsidRPr="006F3D27" w:rsidRDefault="00AE024E" w:rsidP="00917881">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 xml:space="preserve">322 </w:t>
            </w:r>
            <w:r w:rsidRPr="006F3D27">
              <w:rPr>
                <w:rFonts w:cstheme="minorHAnsi"/>
                <w:sz w:val="18"/>
                <w:szCs w:val="18"/>
              </w:rPr>
              <w:t>±</w:t>
            </w:r>
            <w:r w:rsidRPr="006F3D27">
              <w:rPr>
                <w:sz w:val="18"/>
                <w:szCs w:val="18"/>
              </w:rPr>
              <w:t xml:space="preserve"> 42 (grass)</w:t>
            </w:r>
          </w:p>
        </w:tc>
        <w:tc>
          <w:tcPr>
            <w:tcW w:w="3402" w:type="dxa"/>
          </w:tcPr>
          <w:p w14:paraId="506ED8ED" w14:textId="77777777" w:rsidR="00AE024E" w:rsidRPr="006F3D27" w:rsidRDefault="00AE024E" w:rsidP="00917881">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 xml:space="preserve">330 </w:t>
            </w:r>
            <w:r w:rsidRPr="006F3D27">
              <w:rPr>
                <w:rFonts w:cstheme="minorHAnsi"/>
                <w:sz w:val="18"/>
                <w:szCs w:val="18"/>
              </w:rPr>
              <w:t>±</w:t>
            </w:r>
            <w:r w:rsidRPr="006F3D27">
              <w:rPr>
                <w:sz w:val="18"/>
                <w:szCs w:val="18"/>
              </w:rPr>
              <w:t xml:space="preserve"> 16 (grass clippings)</w:t>
            </w:r>
          </w:p>
        </w:tc>
      </w:tr>
      <w:tr w:rsidR="00AE024E" w:rsidRPr="006F3D27" w14:paraId="4E4CC3D7"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5" w:type="dxa"/>
          </w:tcPr>
          <w:p w14:paraId="4F8B98CA" w14:textId="77777777" w:rsidR="00AE024E" w:rsidRPr="006F3D27" w:rsidRDefault="00AE024E" w:rsidP="000C3E59">
            <w:pPr>
              <w:jc w:val="right"/>
              <w:rPr>
                <w:sz w:val="18"/>
                <w:szCs w:val="18"/>
              </w:rPr>
            </w:pPr>
            <w:r w:rsidRPr="006F3D27">
              <w:rPr>
                <w:sz w:val="18"/>
                <w:szCs w:val="18"/>
              </w:rPr>
              <w:t>Sugarbeet tops</w:t>
            </w:r>
          </w:p>
        </w:tc>
        <w:tc>
          <w:tcPr>
            <w:tcW w:w="1715" w:type="dxa"/>
          </w:tcPr>
          <w:p w14:paraId="39714FE1" w14:textId="77777777" w:rsidR="00AE024E" w:rsidRPr="006F3D27" w:rsidRDefault="00AE024E" w:rsidP="000C3E59">
            <w:pPr>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311</w:t>
            </w:r>
          </w:p>
        </w:tc>
        <w:tc>
          <w:tcPr>
            <w:tcW w:w="2130" w:type="dxa"/>
          </w:tcPr>
          <w:p w14:paraId="4B12440D" w14:textId="77777777" w:rsidR="00AE024E" w:rsidRPr="006F3D27" w:rsidRDefault="00AE024E" w:rsidP="00917881">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312 (carrot leaves)</w:t>
            </w:r>
          </w:p>
        </w:tc>
        <w:tc>
          <w:tcPr>
            <w:tcW w:w="3402" w:type="dxa"/>
          </w:tcPr>
          <w:p w14:paraId="16C99458" w14:textId="77777777" w:rsidR="00AE024E" w:rsidRPr="006F3D27" w:rsidRDefault="00AE024E" w:rsidP="00917881">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n.a.</w:t>
            </w:r>
          </w:p>
        </w:tc>
      </w:tr>
      <w:tr w:rsidR="00AE024E" w:rsidRPr="006F3D27" w14:paraId="162BBF3D" w14:textId="77777777" w:rsidTr="00942782">
        <w:trPr>
          <w:trHeight w:val="44"/>
        </w:trPr>
        <w:tc>
          <w:tcPr>
            <w:cnfStyle w:val="001000000000" w:firstRow="0" w:lastRow="0" w:firstColumn="1" w:lastColumn="0" w:oddVBand="0" w:evenVBand="0" w:oddHBand="0" w:evenHBand="0" w:firstRowFirstColumn="0" w:firstRowLastColumn="0" w:lastRowFirstColumn="0" w:lastRowLastColumn="0"/>
            <w:tcW w:w="1825" w:type="dxa"/>
          </w:tcPr>
          <w:p w14:paraId="72020112" w14:textId="77777777" w:rsidR="00AE024E" w:rsidRPr="006F3D27" w:rsidRDefault="00AE024E" w:rsidP="000C3E59">
            <w:pPr>
              <w:jc w:val="right"/>
              <w:rPr>
                <w:sz w:val="18"/>
                <w:szCs w:val="18"/>
              </w:rPr>
            </w:pPr>
            <w:r w:rsidRPr="006F3D27">
              <w:rPr>
                <w:sz w:val="18"/>
                <w:szCs w:val="18"/>
              </w:rPr>
              <w:t>Household food waste</w:t>
            </w:r>
          </w:p>
        </w:tc>
        <w:tc>
          <w:tcPr>
            <w:tcW w:w="1715" w:type="dxa"/>
          </w:tcPr>
          <w:p w14:paraId="51EFF3F1" w14:textId="77777777" w:rsidR="00AE024E" w:rsidRPr="006F3D27" w:rsidRDefault="00AE024E" w:rsidP="000C3E59">
            <w:pPr>
              <w:cnfStyle w:val="000000000000" w:firstRow="0" w:lastRow="0" w:firstColumn="0" w:lastColumn="0" w:oddVBand="0" w:evenVBand="0" w:oddHBand="0" w:evenHBand="0" w:firstRowFirstColumn="0" w:firstRowLastColumn="0" w:lastRowFirstColumn="0" w:lastRowLastColumn="0"/>
              <w:rPr>
                <w:b/>
                <w:sz w:val="18"/>
                <w:szCs w:val="18"/>
              </w:rPr>
            </w:pPr>
            <w:r w:rsidRPr="006F3D27">
              <w:rPr>
                <w:b/>
                <w:sz w:val="18"/>
                <w:szCs w:val="18"/>
              </w:rPr>
              <w:t>319</w:t>
            </w:r>
          </w:p>
        </w:tc>
        <w:tc>
          <w:tcPr>
            <w:tcW w:w="2130" w:type="dxa"/>
          </w:tcPr>
          <w:p w14:paraId="7D6E4DAC" w14:textId="6BDFF1D9" w:rsidR="00AE024E" w:rsidRPr="006F3D27" w:rsidRDefault="00AE024E" w:rsidP="00917881">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3</w:t>
            </w:r>
            <w:r w:rsidR="006F3D27">
              <w:rPr>
                <w:sz w:val="18"/>
                <w:szCs w:val="18"/>
              </w:rPr>
              <w:t>00-7</w:t>
            </w:r>
            <w:r w:rsidRPr="006F3D27">
              <w:rPr>
                <w:sz w:val="18"/>
                <w:szCs w:val="18"/>
              </w:rPr>
              <w:t>00 (</w:t>
            </w:r>
            <w:r w:rsidR="006F3D27">
              <w:rPr>
                <w:sz w:val="18"/>
                <w:szCs w:val="18"/>
              </w:rPr>
              <w:t>various</w:t>
            </w:r>
            <w:r w:rsidRPr="006F3D27">
              <w:rPr>
                <w:sz w:val="18"/>
                <w:szCs w:val="18"/>
              </w:rPr>
              <w:t xml:space="preserve"> food items)</w:t>
            </w:r>
          </w:p>
        </w:tc>
        <w:tc>
          <w:tcPr>
            <w:tcW w:w="3402" w:type="dxa"/>
          </w:tcPr>
          <w:p w14:paraId="0BA6B99F" w14:textId="77777777" w:rsidR="00AE024E" w:rsidRPr="006F3D27" w:rsidRDefault="00AE024E" w:rsidP="00917881">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 xml:space="preserve">275 </w:t>
            </w:r>
            <w:r w:rsidRPr="006F3D27">
              <w:rPr>
                <w:rFonts w:cstheme="minorHAnsi"/>
                <w:sz w:val="18"/>
                <w:szCs w:val="18"/>
              </w:rPr>
              <w:t>±</w:t>
            </w:r>
            <w:r w:rsidRPr="006F3D27">
              <w:rPr>
                <w:sz w:val="18"/>
                <w:szCs w:val="18"/>
              </w:rPr>
              <w:t xml:space="preserve"> 16 (kitchen waste)</w:t>
            </w:r>
          </w:p>
        </w:tc>
      </w:tr>
      <w:tr w:rsidR="00AE024E" w:rsidRPr="006F3D27" w14:paraId="408679CF"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5" w:type="dxa"/>
          </w:tcPr>
          <w:p w14:paraId="27543CA9" w14:textId="77777777" w:rsidR="00AE024E" w:rsidRPr="006F3D27" w:rsidRDefault="00AE024E" w:rsidP="000C3E59">
            <w:pPr>
              <w:jc w:val="right"/>
              <w:rPr>
                <w:sz w:val="18"/>
                <w:szCs w:val="18"/>
              </w:rPr>
            </w:pPr>
            <w:r w:rsidRPr="006F3D27">
              <w:rPr>
                <w:sz w:val="18"/>
                <w:szCs w:val="18"/>
              </w:rPr>
              <w:t>Corn spent grains</w:t>
            </w:r>
          </w:p>
        </w:tc>
        <w:tc>
          <w:tcPr>
            <w:tcW w:w="1715" w:type="dxa"/>
          </w:tcPr>
          <w:p w14:paraId="65A7ED65" w14:textId="77777777" w:rsidR="00AE024E" w:rsidRPr="006F3D27" w:rsidRDefault="00AE024E" w:rsidP="000C3E59">
            <w:pPr>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368</w:t>
            </w:r>
          </w:p>
        </w:tc>
        <w:tc>
          <w:tcPr>
            <w:tcW w:w="2130" w:type="dxa"/>
          </w:tcPr>
          <w:p w14:paraId="764B18E6" w14:textId="77777777" w:rsidR="00AE024E" w:rsidRPr="006F3D27" w:rsidRDefault="00AE024E" w:rsidP="00917881">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 xml:space="preserve">289 </w:t>
            </w:r>
            <w:r w:rsidRPr="006F3D27">
              <w:rPr>
                <w:rFonts w:cstheme="minorHAnsi"/>
                <w:sz w:val="18"/>
                <w:szCs w:val="18"/>
              </w:rPr>
              <w:t>±</w:t>
            </w:r>
            <w:r w:rsidRPr="006F3D27">
              <w:rPr>
                <w:sz w:val="18"/>
                <w:szCs w:val="18"/>
              </w:rPr>
              <w:t xml:space="preserve"> 86 (maize)</w:t>
            </w:r>
          </w:p>
        </w:tc>
        <w:tc>
          <w:tcPr>
            <w:tcW w:w="3402" w:type="dxa"/>
          </w:tcPr>
          <w:p w14:paraId="3A072E42" w14:textId="77777777" w:rsidR="00AE024E" w:rsidRPr="006F3D27" w:rsidRDefault="00AE024E" w:rsidP="00917881">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 xml:space="preserve">400 </w:t>
            </w:r>
            <w:r w:rsidRPr="006F3D27">
              <w:rPr>
                <w:rFonts w:cstheme="minorHAnsi"/>
                <w:sz w:val="18"/>
                <w:szCs w:val="18"/>
              </w:rPr>
              <w:t>±</w:t>
            </w:r>
            <w:r w:rsidRPr="006F3D27">
              <w:rPr>
                <w:sz w:val="18"/>
                <w:szCs w:val="18"/>
              </w:rPr>
              <w:t xml:space="preserve"> 13 (waste from yeast production)</w:t>
            </w:r>
          </w:p>
        </w:tc>
      </w:tr>
      <w:tr w:rsidR="00AE024E" w:rsidRPr="006F3D27" w14:paraId="43580A75" w14:textId="77777777" w:rsidTr="00942782">
        <w:tc>
          <w:tcPr>
            <w:cnfStyle w:val="001000000000" w:firstRow="0" w:lastRow="0" w:firstColumn="1" w:lastColumn="0" w:oddVBand="0" w:evenVBand="0" w:oddHBand="0" w:evenHBand="0" w:firstRowFirstColumn="0" w:firstRowLastColumn="0" w:lastRowFirstColumn="0" w:lastRowLastColumn="0"/>
            <w:tcW w:w="1825" w:type="dxa"/>
          </w:tcPr>
          <w:p w14:paraId="01FBE041" w14:textId="77777777" w:rsidR="00AE024E" w:rsidRPr="006F3D27" w:rsidRDefault="00AE024E" w:rsidP="000C3E59">
            <w:pPr>
              <w:jc w:val="right"/>
              <w:rPr>
                <w:sz w:val="18"/>
                <w:szCs w:val="18"/>
              </w:rPr>
            </w:pPr>
            <w:r w:rsidRPr="006F3D27">
              <w:rPr>
                <w:sz w:val="18"/>
                <w:szCs w:val="18"/>
              </w:rPr>
              <w:t>Potato screenings</w:t>
            </w:r>
          </w:p>
        </w:tc>
        <w:tc>
          <w:tcPr>
            <w:tcW w:w="1715" w:type="dxa"/>
          </w:tcPr>
          <w:p w14:paraId="36D6E03A" w14:textId="77777777" w:rsidR="00AE024E" w:rsidRPr="006F3D27" w:rsidRDefault="00AE024E" w:rsidP="000C3E59">
            <w:pPr>
              <w:cnfStyle w:val="000000000000" w:firstRow="0" w:lastRow="0" w:firstColumn="0" w:lastColumn="0" w:oddVBand="0" w:evenVBand="0" w:oddHBand="0" w:evenHBand="0" w:firstRowFirstColumn="0" w:firstRowLastColumn="0" w:lastRowFirstColumn="0" w:lastRowLastColumn="0"/>
              <w:rPr>
                <w:b/>
                <w:sz w:val="18"/>
                <w:szCs w:val="18"/>
              </w:rPr>
            </w:pPr>
            <w:r w:rsidRPr="006F3D27">
              <w:rPr>
                <w:b/>
                <w:sz w:val="18"/>
                <w:szCs w:val="18"/>
              </w:rPr>
              <w:t>317</w:t>
            </w:r>
            <w:r w:rsidRPr="006F3D27">
              <w:rPr>
                <w:b/>
                <w:sz w:val="18"/>
                <w:szCs w:val="18"/>
                <w:vertAlign w:val="superscript"/>
              </w:rPr>
              <w:t>**</w:t>
            </w:r>
          </w:p>
        </w:tc>
        <w:tc>
          <w:tcPr>
            <w:tcW w:w="2130" w:type="dxa"/>
          </w:tcPr>
          <w:p w14:paraId="6C64D6E7" w14:textId="77777777" w:rsidR="00AE024E" w:rsidRPr="006F3D27" w:rsidRDefault="00AE024E" w:rsidP="00917881">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446 (potato peels)</w:t>
            </w:r>
          </w:p>
        </w:tc>
        <w:tc>
          <w:tcPr>
            <w:tcW w:w="3402" w:type="dxa"/>
          </w:tcPr>
          <w:p w14:paraId="739557D9" w14:textId="77777777" w:rsidR="00AE024E" w:rsidRPr="006F3D27" w:rsidRDefault="00AE024E" w:rsidP="00917881">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 xml:space="preserve">400 </w:t>
            </w:r>
            <w:r w:rsidRPr="006F3D27">
              <w:rPr>
                <w:rFonts w:cstheme="minorHAnsi"/>
                <w:sz w:val="18"/>
                <w:szCs w:val="18"/>
              </w:rPr>
              <w:t>±</w:t>
            </w:r>
            <w:r w:rsidRPr="006F3D27">
              <w:rPr>
                <w:sz w:val="18"/>
                <w:szCs w:val="18"/>
              </w:rPr>
              <w:t xml:space="preserve"> 20 (potato peelings)</w:t>
            </w:r>
          </w:p>
        </w:tc>
      </w:tr>
      <w:tr w:rsidR="00AE024E" w:rsidRPr="006F3D27" w14:paraId="102BCBA7"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25" w:type="dxa"/>
          </w:tcPr>
          <w:p w14:paraId="2395F044" w14:textId="77777777" w:rsidR="00AE024E" w:rsidRPr="006F3D27" w:rsidRDefault="00AE024E" w:rsidP="000C3E59">
            <w:pPr>
              <w:jc w:val="right"/>
              <w:rPr>
                <w:sz w:val="18"/>
                <w:szCs w:val="18"/>
              </w:rPr>
            </w:pPr>
            <w:r w:rsidRPr="006F3D27">
              <w:rPr>
                <w:sz w:val="18"/>
                <w:szCs w:val="18"/>
              </w:rPr>
              <w:t>PAT</w:t>
            </w:r>
          </w:p>
        </w:tc>
        <w:tc>
          <w:tcPr>
            <w:tcW w:w="1715" w:type="dxa"/>
          </w:tcPr>
          <w:p w14:paraId="4A2F184D" w14:textId="77777777" w:rsidR="00AE024E" w:rsidRPr="006F3D27" w:rsidRDefault="00AE024E" w:rsidP="000C3E59">
            <w:pPr>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421</w:t>
            </w:r>
          </w:p>
        </w:tc>
        <w:tc>
          <w:tcPr>
            <w:tcW w:w="2130" w:type="dxa"/>
          </w:tcPr>
          <w:p w14:paraId="0BC41346" w14:textId="0E59AB98" w:rsidR="00AE024E" w:rsidRPr="006F3D27" w:rsidRDefault="00AE024E" w:rsidP="00917881">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460 (pig meat) / 318 (</w:t>
            </w:r>
            <w:r w:rsidR="006F3D27">
              <w:rPr>
                <w:sz w:val="18"/>
                <w:szCs w:val="18"/>
              </w:rPr>
              <w:t>f</w:t>
            </w:r>
            <w:r w:rsidRPr="006F3D27">
              <w:rPr>
                <w:sz w:val="18"/>
                <w:szCs w:val="18"/>
              </w:rPr>
              <w:t>ish waste)</w:t>
            </w:r>
          </w:p>
        </w:tc>
        <w:tc>
          <w:tcPr>
            <w:tcW w:w="3402" w:type="dxa"/>
          </w:tcPr>
          <w:p w14:paraId="7C241AF9" w14:textId="77777777" w:rsidR="00AE024E" w:rsidRPr="006F3D27" w:rsidRDefault="00AE024E" w:rsidP="00917881">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 xml:space="preserve">313 </w:t>
            </w:r>
            <w:r w:rsidRPr="006F3D27">
              <w:rPr>
                <w:rFonts w:cstheme="minorHAnsi"/>
                <w:sz w:val="18"/>
                <w:szCs w:val="18"/>
              </w:rPr>
              <w:t xml:space="preserve">± </w:t>
            </w:r>
            <w:r w:rsidRPr="006F3D27">
              <w:rPr>
                <w:sz w:val="18"/>
                <w:szCs w:val="18"/>
              </w:rPr>
              <w:t>19 (refusal slaughterhouse)</w:t>
            </w:r>
          </w:p>
        </w:tc>
      </w:tr>
      <w:tr w:rsidR="00AE024E" w:rsidRPr="006F3D27" w14:paraId="2E731346" w14:textId="77777777" w:rsidTr="00942782">
        <w:tc>
          <w:tcPr>
            <w:cnfStyle w:val="001000000000" w:firstRow="0" w:lastRow="0" w:firstColumn="1" w:lastColumn="0" w:oddVBand="0" w:evenVBand="0" w:oddHBand="0" w:evenHBand="0" w:firstRowFirstColumn="0" w:firstRowLastColumn="0" w:lastRowFirstColumn="0" w:lastRowLastColumn="0"/>
            <w:tcW w:w="1825" w:type="dxa"/>
          </w:tcPr>
          <w:p w14:paraId="7B308F9E" w14:textId="77777777" w:rsidR="00AE024E" w:rsidRPr="006F3D27" w:rsidRDefault="00AE024E" w:rsidP="000C3E59">
            <w:pPr>
              <w:jc w:val="right"/>
              <w:rPr>
                <w:i/>
                <w:sz w:val="18"/>
                <w:szCs w:val="18"/>
              </w:rPr>
            </w:pPr>
            <w:r w:rsidRPr="006F3D27">
              <w:rPr>
                <w:i/>
                <w:sz w:val="18"/>
                <w:szCs w:val="18"/>
              </w:rPr>
              <w:t>Comments</w:t>
            </w:r>
          </w:p>
        </w:tc>
        <w:tc>
          <w:tcPr>
            <w:tcW w:w="7247" w:type="dxa"/>
            <w:gridSpan w:val="3"/>
          </w:tcPr>
          <w:p w14:paraId="1102AB52" w14:textId="77777777" w:rsidR="00AE024E" w:rsidRPr="006F3D27" w:rsidRDefault="00AE024E" w:rsidP="00917881">
            <w:pPr>
              <w:jc w:val="both"/>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 xml:space="preserve">Calculated values are linear functions of the feedstock composition. </w:t>
            </w:r>
            <w:r w:rsidRPr="006F3D27">
              <w:rPr>
                <w:sz w:val="18"/>
                <w:szCs w:val="18"/>
                <w:vertAlign w:val="superscript"/>
              </w:rPr>
              <w:t>*</w:t>
            </w:r>
            <w:r w:rsidRPr="006F3D27">
              <w:rPr>
                <w:sz w:val="18"/>
                <w:szCs w:val="18"/>
              </w:rPr>
              <w:t>: Ash and lignin content both at ca. 10%</w:t>
            </w:r>
            <w:r w:rsidRPr="006F3D27">
              <w:rPr>
                <w:sz w:val="18"/>
                <w:szCs w:val="18"/>
                <w:vertAlign w:val="subscript"/>
              </w:rPr>
              <w:t>DM</w:t>
            </w:r>
            <w:r w:rsidRPr="006F3D27">
              <w:rPr>
                <w:sz w:val="18"/>
                <w:szCs w:val="18"/>
              </w:rPr>
              <w:t xml:space="preserve"> explain the lower calculated performance compared to references. </w:t>
            </w:r>
            <w:r w:rsidRPr="006F3D27">
              <w:rPr>
                <w:sz w:val="18"/>
                <w:szCs w:val="18"/>
                <w:vertAlign w:val="superscript"/>
              </w:rPr>
              <w:t>**</w:t>
            </w:r>
            <w:r w:rsidRPr="006F3D27">
              <w:rPr>
                <w:sz w:val="18"/>
                <w:szCs w:val="18"/>
              </w:rPr>
              <w:t>: likely limit of the TBMP proxy for homogeneous streams (here ca. 75% starch, underestimated BMP)</w:t>
            </w:r>
          </w:p>
        </w:tc>
      </w:tr>
    </w:tbl>
    <w:p w14:paraId="4D35B541" w14:textId="3C24A841" w:rsidR="00425BA0" w:rsidRPr="00425BA0" w:rsidRDefault="00425BA0" w:rsidP="00917881">
      <w:pPr>
        <w:pStyle w:val="Titre3"/>
      </w:pPr>
      <w:bookmarkStart w:id="351" w:name="_Toc145069129"/>
      <w:r w:rsidRPr="00425BA0">
        <w:lastRenderedPageBreak/>
        <w:t>Technology parameters and background processes</w:t>
      </w:r>
      <w:r w:rsidR="00917881">
        <w:t xml:space="preserve"> </w:t>
      </w:r>
      <w:r w:rsidR="00917881" w:rsidRPr="006F4E6C">
        <w:t>– MP production</w:t>
      </w:r>
      <w:r w:rsidR="00917881">
        <w:t xml:space="preserve"> stage</w:t>
      </w:r>
      <w:bookmarkEnd w:id="351"/>
    </w:p>
    <w:p w14:paraId="20776DA9" w14:textId="3B0AF8FA" w:rsidR="00425BA0" w:rsidRPr="003F5DA8" w:rsidRDefault="00425BA0" w:rsidP="00425BA0">
      <w:pPr>
        <w:jc w:val="both"/>
      </w:pPr>
      <w:r w:rsidRPr="003F5DA8">
        <w:t>The technology parameters retained for MP pathways modeling (excluding gas post-treatment operations, already detailed earlier), are displayed in the</w:t>
      </w:r>
      <w:r w:rsidR="00917881">
        <w:t xml:space="preserve"> </w:t>
      </w:r>
      <w:r w:rsidR="00917881" w:rsidRPr="00917881">
        <w:rPr>
          <w:b/>
        </w:rPr>
        <w:fldChar w:fldCharType="begin"/>
      </w:r>
      <w:r w:rsidR="00917881" w:rsidRPr="00917881">
        <w:rPr>
          <w:b/>
        </w:rPr>
        <w:instrText xml:space="preserve"> REF _Ref144829267 \h </w:instrText>
      </w:r>
      <w:r w:rsidR="00917881">
        <w:rPr>
          <w:b/>
        </w:rPr>
        <w:instrText xml:space="preserve"> \* MERGEFORMAT </w:instrText>
      </w:r>
      <w:r w:rsidR="00917881" w:rsidRPr="00917881">
        <w:rPr>
          <w:b/>
        </w:rPr>
      </w:r>
      <w:r w:rsidR="00917881" w:rsidRPr="00917881">
        <w:rPr>
          <w:b/>
        </w:rPr>
        <w:fldChar w:fldCharType="separate"/>
      </w:r>
      <w:r w:rsidR="00F25F8C" w:rsidRPr="00F25F8C">
        <w:rPr>
          <w:b/>
        </w:rPr>
        <w:t xml:space="preserve">Table SI. </w:t>
      </w:r>
      <w:r w:rsidR="00F25F8C" w:rsidRPr="00F25F8C">
        <w:rPr>
          <w:b/>
          <w:noProof/>
        </w:rPr>
        <w:t>81</w:t>
      </w:r>
      <w:r w:rsidR="00917881" w:rsidRPr="00917881">
        <w:rPr>
          <w:b/>
        </w:rPr>
        <w:fldChar w:fldCharType="end"/>
      </w:r>
      <w:r w:rsidRPr="003F5DA8">
        <w:t>.</w:t>
      </w:r>
    </w:p>
    <w:p w14:paraId="20B6A737" w14:textId="5843E315" w:rsidR="00425BA0" w:rsidRPr="00415E4C" w:rsidRDefault="00874128" w:rsidP="00942782">
      <w:pPr>
        <w:pStyle w:val="Lgende"/>
        <w:jc w:val="left"/>
      </w:pPr>
      <w:bookmarkStart w:id="352" w:name="_Ref144829267"/>
      <w:bookmarkStart w:id="353" w:name="_Toc134537646"/>
      <w:bookmarkStart w:id="354" w:name="_Toc151967965"/>
      <w:r>
        <w:t>Table SI.</w:t>
      </w:r>
      <w:r w:rsidR="00425BA0">
        <w:t xml:space="preserve"> </w:t>
      </w:r>
      <w:r>
        <w:fldChar w:fldCharType="begin"/>
      </w:r>
      <w:r>
        <w:instrText xml:space="preserve"> SEQ Table_SI. \* ARABIC </w:instrText>
      </w:r>
      <w:r>
        <w:fldChar w:fldCharType="separate"/>
      </w:r>
      <w:r w:rsidR="00F25F8C">
        <w:rPr>
          <w:noProof/>
        </w:rPr>
        <w:t>81</w:t>
      </w:r>
      <w:r>
        <w:fldChar w:fldCharType="end"/>
      </w:r>
      <w:bookmarkEnd w:id="352"/>
      <w:r w:rsidR="00425BA0">
        <w:t xml:space="preserve"> </w:t>
      </w:r>
      <w:r w:rsidR="00425BA0" w:rsidRPr="00415E4C">
        <w:t>– Parameters specific to MP production stage and downstream operations</w:t>
      </w:r>
      <w:bookmarkEnd w:id="353"/>
      <w:bookmarkEnd w:id="354"/>
    </w:p>
    <w:tbl>
      <w:tblPr>
        <w:tblStyle w:val="Tableausimple2"/>
        <w:tblW w:w="0" w:type="auto"/>
        <w:jc w:val="center"/>
        <w:tblLook w:val="04A0" w:firstRow="1" w:lastRow="0" w:firstColumn="1" w:lastColumn="0" w:noHBand="0" w:noVBand="1"/>
      </w:tblPr>
      <w:tblGrid>
        <w:gridCol w:w="490"/>
        <w:gridCol w:w="2461"/>
        <w:gridCol w:w="1102"/>
        <w:gridCol w:w="844"/>
        <w:gridCol w:w="983"/>
        <w:gridCol w:w="3162"/>
      </w:tblGrid>
      <w:tr w:rsidR="00425BA0" w:rsidRPr="006F3D27" w14:paraId="46C14E2A" w14:textId="77777777" w:rsidTr="006F3D2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1A39B303" w14:textId="77777777" w:rsidR="00425BA0" w:rsidRPr="006F3D27" w:rsidRDefault="00425BA0" w:rsidP="00847C80">
            <w:pPr>
              <w:rPr>
                <w:sz w:val="18"/>
                <w:szCs w:val="18"/>
              </w:rPr>
            </w:pPr>
            <w:r w:rsidRPr="006F3D27">
              <w:rPr>
                <w:sz w:val="18"/>
                <w:szCs w:val="18"/>
              </w:rPr>
              <w:t>n°</w:t>
            </w:r>
          </w:p>
        </w:tc>
        <w:tc>
          <w:tcPr>
            <w:tcW w:w="2461" w:type="dxa"/>
          </w:tcPr>
          <w:p w14:paraId="32953F40" w14:textId="77777777" w:rsidR="00425BA0" w:rsidRPr="006F3D27" w:rsidRDefault="00425BA0" w:rsidP="00847C80">
            <w:pPr>
              <w:jc w:val="right"/>
              <w:cnfStyle w:val="100000000000" w:firstRow="1" w:lastRow="0" w:firstColumn="0" w:lastColumn="0" w:oddVBand="0" w:evenVBand="0" w:oddHBand="0" w:evenHBand="0" w:firstRowFirstColumn="0" w:firstRowLastColumn="0" w:lastRowFirstColumn="0" w:lastRowLastColumn="0"/>
              <w:rPr>
                <w:sz w:val="18"/>
                <w:szCs w:val="18"/>
              </w:rPr>
            </w:pPr>
            <w:r w:rsidRPr="006F3D27">
              <w:rPr>
                <w:sz w:val="18"/>
                <w:szCs w:val="18"/>
              </w:rPr>
              <w:t>Parameter</w:t>
            </w:r>
          </w:p>
        </w:tc>
        <w:tc>
          <w:tcPr>
            <w:tcW w:w="1102" w:type="dxa"/>
          </w:tcPr>
          <w:p w14:paraId="22A846D4" w14:textId="77777777" w:rsidR="00425BA0" w:rsidRPr="006F3D27" w:rsidRDefault="00425BA0" w:rsidP="00847C80">
            <w:pPr>
              <w:cnfStyle w:val="100000000000" w:firstRow="1" w:lastRow="0" w:firstColumn="0" w:lastColumn="0" w:oddVBand="0" w:evenVBand="0" w:oddHBand="0" w:evenHBand="0" w:firstRowFirstColumn="0" w:firstRowLastColumn="0" w:lastRowFirstColumn="0" w:lastRowLastColumn="0"/>
              <w:rPr>
                <w:sz w:val="18"/>
                <w:szCs w:val="18"/>
              </w:rPr>
            </w:pPr>
            <w:r w:rsidRPr="006F3D27">
              <w:rPr>
                <w:sz w:val="18"/>
                <w:szCs w:val="18"/>
              </w:rPr>
              <w:t>Unit</w:t>
            </w:r>
          </w:p>
        </w:tc>
        <w:tc>
          <w:tcPr>
            <w:tcW w:w="844" w:type="dxa"/>
          </w:tcPr>
          <w:p w14:paraId="2CB1FEEB" w14:textId="77777777" w:rsidR="00425BA0" w:rsidRPr="006F3D27" w:rsidRDefault="00425BA0" w:rsidP="00847C80">
            <w:pPr>
              <w:cnfStyle w:val="100000000000" w:firstRow="1" w:lastRow="0" w:firstColumn="0" w:lastColumn="0" w:oddVBand="0" w:evenVBand="0" w:oddHBand="0" w:evenHBand="0" w:firstRowFirstColumn="0" w:firstRowLastColumn="0" w:lastRowFirstColumn="0" w:lastRowLastColumn="0"/>
              <w:rPr>
                <w:sz w:val="18"/>
                <w:szCs w:val="18"/>
              </w:rPr>
            </w:pPr>
            <w:r w:rsidRPr="006F3D27">
              <w:rPr>
                <w:sz w:val="18"/>
                <w:szCs w:val="18"/>
              </w:rPr>
              <w:t>Baseline value</w:t>
            </w:r>
          </w:p>
        </w:tc>
        <w:tc>
          <w:tcPr>
            <w:tcW w:w="983" w:type="dxa"/>
          </w:tcPr>
          <w:p w14:paraId="438D5749" w14:textId="77777777" w:rsidR="00425BA0" w:rsidRPr="006F3D27" w:rsidRDefault="00425BA0" w:rsidP="00847C80">
            <w:pPr>
              <w:cnfStyle w:val="100000000000" w:firstRow="1" w:lastRow="0" w:firstColumn="0" w:lastColumn="0" w:oddVBand="0" w:evenVBand="0" w:oddHBand="0" w:evenHBand="0" w:firstRowFirstColumn="0" w:firstRowLastColumn="0" w:lastRowFirstColumn="0" w:lastRowLastColumn="0"/>
              <w:rPr>
                <w:sz w:val="18"/>
                <w:szCs w:val="18"/>
              </w:rPr>
            </w:pPr>
            <w:r w:rsidRPr="006F3D27">
              <w:rPr>
                <w:sz w:val="18"/>
                <w:szCs w:val="18"/>
              </w:rPr>
              <w:t>Variation range</w:t>
            </w:r>
          </w:p>
        </w:tc>
        <w:tc>
          <w:tcPr>
            <w:tcW w:w="3162" w:type="dxa"/>
          </w:tcPr>
          <w:p w14:paraId="205A6429" w14:textId="77777777" w:rsidR="00425BA0" w:rsidRPr="006F3D27" w:rsidRDefault="00425BA0" w:rsidP="00847C80">
            <w:pPr>
              <w:cnfStyle w:val="100000000000" w:firstRow="1" w:lastRow="0" w:firstColumn="0" w:lastColumn="0" w:oddVBand="0" w:evenVBand="0" w:oddHBand="0" w:evenHBand="0" w:firstRowFirstColumn="0" w:firstRowLastColumn="0" w:lastRowFirstColumn="0" w:lastRowLastColumn="0"/>
              <w:rPr>
                <w:i/>
                <w:sz w:val="18"/>
                <w:szCs w:val="18"/>
              </w:rPr>
            </w:pPr>
            <w:r w:rsidRPr="006F3D27">
              <w:rPr>
                <w:i/>
                <w:sz w:val="18"/>
                <w:szCs w:val="18"/>
              </w:rPr>
              <w:t>Comment</w:t>
            </w:r>
          </w:p>
        </w:tc>
      </w:tr>
      <w:tr w:rsidR="00425BA0" w:rsidRPr="006F3D27" w14:paraId="4E7CFF4D" w14:textId="77777777" w:rsidTr="006F3D27">
        <w:trPr>
          <w:cnfStyle w:val="000000100000" w:firstRow="0" w:lastRow="0" w:firstColumn="0" w:lastColumn="0" w:oddVBand="0" w:evenVBand="0" w:oddHBand="1" w:evenHBand="0" w:firstRowFirstColumn="0" w:firstRowLastColumn="0" w:lastRowFirstColumn="0" w:lastRowLastColumn="0"/>
          <w:trHeight w:val="390"/>
          <w:jc w:val="center"/>
        </w:trPr>
        <w:tc>
          <w:tcPr>
            <w:cnfStyle w:val="001000000000" w:firstRow="0" w:lastRow="0" w:firstColumn="1" w:lastColumn="0" w:oddVBand="0" w:evenVBand="0" w:oddHBand="0" w:evenHBand="0" w:firstRowFirstColumn="0" w:firstRowLastColumn="0" w:lastRowFirstColumn="0" w:lastRowLastColumn="0"/>
            <w:tcW w:w="0" w:type="auto"/>
          </w:tcPr>
          <w:p w14:paraId="00E06FDD" w14:textId="77777777" w:rsidR="00425BA0" w:rsidRPr="006F3D27" w:rsidRDefault="00425BA0" w:rsidP="00847C80">
            <w:pPr>
              <w:rPr>
                <w:sz w:val="18"/>
                <w:szCs w:val="18"/>
              </w:rPr>
            </w:pPr>
            <w:r w:rsidRPr="006F3D27">
              <w:rPr>
                <w:sz w:val="18"/>
                <w:szCs w:val="18"/>
              </w:rPr>
              <w:t>126</w:t>
            </w:r>
          </w:p>
        </w:tc>
        <w:tc>
          <w:tcPr>
            <w:tcW w:w="2461" w:type="dxa"/>
          </w:tcPr>
          <w:p w14:paraId="3D301327" w14:textId="77777777" w:rsidR="00425BA0" w:rsidRPr="006F3D27" w:rsidRDefault="00425BA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MP O</w:t>
            </w:r>
            <w:r w:rsidRPr="006F3D27">
              <w:rPr>
                <w:sz w:val="18"/>
                <w:szCs w:val="18"/>
                <w:vertAlign w:val="subscript"/>
              </w:rPr>
              <w:t>2</w:t>
            </w:r>
            <w:r w:rsidRPr="006F3D27">
              <w:rPr>
                <w:sz w:val="18"/>
                <w:szCs w:val="18"/>
              </w:rPr>
              <w:t xml:space="preserve"> use efficiency</w:t>
            </w:r>
          </w:p>
        </w:tc>
        <w:tc>
          <w:tcPr>
            <w:tcW w:w="1102" w:type="dxa"/>
          </w:tcPr>
          <w:p w14:paraId="785B9CE7"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w:t>
            </w:r>
            <w:r w:rsidRPr="006F3D27">
              <w:rPr>
                <w:sz w:val="18"/>
                <w:szCs w:val="18"/>
                <w:vertAlign w:val="subscript"/>
              </w:rPr>
              <w:t>O2</w:t>
            </w:r>
          </w:p>
        </w:tc>
        <w:tc>
          <w:tcPr>
            <w:tcW w:w="844" w:type="dxa"/>
          </w:tcPr>
          <w:p w14:paraId="6D9F3823"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90%</w:t>
            </w:r>
          </w:p>
        </w:tc>
        <w:tc>
          <w:tcPr>
            <w:tcW w:w="983" w:type="dxa"/>
          </w:tcPr>
          <w:p w14:paraId="1039780D"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80-92%</w:t>
            </w:r>
          </w:p>
        </w:tc>
        <w:tc>
          <w:tcPr>
            <w:tcW w:w="3162" w:type="dxa"/>
            <w:vMerge w:val="restart"/>
          </w:tcPr>
          <w:p w14:paraId="07BF3C67" w14:textId="56B0C222" w:rsidR="00425BA0" w:rsidRPr="006F3D27" w:rsidRDefault="00425BA0" w:rsidP="00847C80">
            <w:pPr>
              <w:jc w:val="both"/>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t>Unibio reports 90%</w:t>
            </w:r>
            <w:r w:rsidRPr="006F3D27">
              <w:rPr>
                <w:i/>
                <w:sz w:val="18"/>
                <w:szCs w:val="18"/>
              </w:rPr>
              <w:fldChar w:fldCharType="begin"/>
            </w:r>
            <w:r w:rsidR="005413B4">
              <w:rPr>
                <w:i/>
                <w:sz w:val="18"/>
                <w:szCs w:val="18"/>
              </w:rPr>
              <w:instrText xml:space="preserve"> ADDIN ZOTERO_ITEM CSL_CITATION {"citationID":"uV8JjspH","properties":{"formattedCitation":"\\super 198\\nosupersub{}","plainCitation":"198","noteIndex":0},"citationItems":[{"id":13590,"uris":["http://zotero.org/users/6423791/items/UYTMXFFD"],"itemData":{"id":13590,"type":"article-journal","abstract":"Global catastrophes such as a supervolcanic eruption, asteroid impact, or nuclear winter could cause global agricultural collapse due to reduced sunlight reaching the Earth’s surface. The human civilization’s food production system is unprepared to respond to such events, but methane single cell protein (SCP) could be a key part of the solution. Current preparedness centers around food stockpiling, an excessively expensive solution given that an abrupt sunlight reduction scenario (ASRS) could hamper conventional agriculture for 5–10 years. Instead, it is more cost-effective to consider resilient food production techniques requiring little to no sunlight. This study analyses the potential of SCP produced from methane (natural gas and biogas) as a resilient food source for global catastrophic food shocks from ASRS. The following are quantified: global production potential of methane SCP, capital costs, material and energy requirements, ramp-up rates, and retail prices. In addition, potential bottlenecks for fast deployment are considered. While providing a more valuable, protein-rich product than its alternatives, the production capacity could be slower to ramp up. Based on 24/7 construction of facilities, 7%–11% of the global protein requirements could be fulfilled at the end of the first year. Despite significant remaining uncertainties, methane SCP shows significant potential to prevent global protein starvation during an ASRS at an affordable price—US$3–5/kg dry.","container-title":"Frontiers in Bioengineering and Biotechnology","ISSN":"2296-4185","journalAbbreviation":"Front. Bioeng. Biotechnol.","source":"Frontiers","title":"Methane Single Cell Protein: Potential to Secure a Global Protein Supply Against Catastrophic Food Shocks","title-short":"Methane Single Cell Protein","URL":"https://www.frontiersin.org/articles/10.3389/fbioe.2022.906704","volume":"10","author":[{"family":"García Martínez","given":"Juan B."},{"family":"Pearce","given":"Joshua M."},{"family":"Throup","given":"James"},{"family":"Cates","given":"Jacob"},{"family":"Lackner","given":"Maximilian"},{"family":"Denkenberger","given":"David C."}],"accessed":{"date-parts":[["2022",7,27]]},"issued":{"date-parts":[["2022"]]}}}],"schema":"https://github.com/citation-style-language/schema/raw/master/csl-citation.json"}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198</w:t>
            </w:r>
            <w:r w:rsidRPr="006F3D27">
              <w:rPr>
                <w:i/>
                <w:sz w:val="18"/>
                <w:szCs w:val="18"/>
              </w:rPr>
              <w:fldChar w:fldCharType="end"/>
            </w:r>
            <w:r w:rsidRPr="006F3D27">
              <w:rPr>
                <w:i/>
                <w:sz w:val="18"/>
                <w:szCs w:val="18"/>
              </w:rPr>
              <w:t>, 80% often use in MP assessements</w:t>
            </w:r>
            <w:r w:rsidRPr="006F3D27">
              <w:rPr>
                <w:i/>
                <w:sz w:val="18"/>
                <w:szCs w:val="18"/>
              </w:rPr>
              <w:fldChar w:fldCharType="begin"/>
            </w:r>
            <w:r w:rsidR="005413B4">
              <w:rPr>
                <w:i/>
                <w:sz w:val="18"/>
                <w:szCs w:val="18"/>
              </w:rPr>
              <w:instrText xml:space="preserve"> ADDIN ZOTERO_ITEM CSL_CITATION {"citationID":"TqRPsVjx","properties":{"formattedCitation":"\\super 187,194\\nosupersub{}","plainCitation":"187,194","noteIndex":0},"citationItems":[{"id":2354,"uris":["http://zotero.org/users/6423791/items/E7ZZWGWS"],"itemData":{"id":2354,"type":"article-journal","container-title":"Green Chem.","DOI":"10.1039/D0GC01382J","issue":"15","journalAbbreviation":"Green Chem.","language":"en","note":"publisher: Royal Society of Chemistry","page":"4912-4929","source":"pubs-rsc-org.gorgone.univ-toulouse.fr","title":"Upcycling of biowaste carbon and nutrients in line with consumer confidence: the “full gas” route to single cell protein","title-short":"Upcycling of biowaste carbon and nutrients in line with consumer confidence","volume":"22","author":[{"family":"Matassa","given":"Silvio"},{"family":"Papirio","given":"Stefano"},{"family":"Pikaar","given":"Ilje"},{"family":"Hülsen","given":"Tim"},{"family":"Leijenhorst","given":"Evert"},{"family":"Esposito","given":"Giovanni"},{"family":"Pirozzi","given":"Francesco"},{"family":"Verstraete","given":"Willy"}],"issued":{"date-parts":[["2020"]]}}},{"id":558,"uris":["http://zotero.org/users/6423791/items/YPK9LCXF"],"itemData":{"id":558,"type":"article-journal","abstract":"One of the main challenges for the 21st century is to balance the increasing demand for high-quality proteins while mitigating environmental impacts. In particular, cropland-based production of protein-rich animal feed for livestock rearing results in large-scale agricultural land-expansion, nitrogen pollution, and greenhouse gas emissions. Here we propose and analyze the longterm potential of alternative animal feed supply routes based on industrial production of microbial proteins (MP). Our analysis reveals that by 2050, MP can replace, depending on socioeconomic development and MP production pathways, between 10−19% of conventional crop-based animal feed protein demand. As a result, global cropland area, global nitrogen losses from croplands and agricultural greenhouse gas emissions can be decreased by 6% (0−13%), 8% (−3−8%), and 7% (−6−9%), respectively. Interestingly, the technology to industrially produce MP at competitive costs is directly accessible for implementation and has the potential to cause a major structural change in the agro-food system.","container-title":"Environmental Science &amp; Technology","DOI":"10.1021/acs.est.8b00216","ISSN":"0013-936X, 1520-5851","issue":"13","journalAbbreviation":"Environ. Sci. Technol.","language":"en","page":"7351-7359","source":"DOI.org (Crossref)","title":"Decoupling Livestock from Land Use through Industrial Feed Production Pathways","volume":"52","author":[{"family":"Pikaar","given":"Ilje"},{"family":"Matassa","given":"Silvio"},{"family":"Bodirsky","given":"Benjamin L."},{"family":"Weindl","given":"Isabelle"},{"family":"Humpenöder","given":"Florian"},{"family":"Rabaey","given":"Korneel"},{"family":"Boon","given":"Nico"},{"family":"Bruschi","given":"Michele"},{"family":"Yuan","given":"Zhiguo"},{"family":"Zanten","given":"Hannah","non-dropping-particle":"van"},{"family":"Herrero","given":"Mario"},{"family":"Verstraete","given":"Willy"},{"family":"Popp","given":"Alexander"}],"issued":{"date-parts":[["2018",7,3]]}}}],"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187,194</w:t>
            </w:r>
            <w:r w:rsidRPr="006F3D27">
              <w:rPr>
                <w:i/>
                <w:sz w:val="18"/>
                <w:szCs w:val="18"/>
              </w:rPr>
              <w:fldChar w:fldCharType="end"/>
            </w:r>
            <w:r w:rsidRPr="006F3D27">
              <w:rPr>
                <w:i/>
                <w:sz w:val="18"/>
                <w:szCs w:val="18"/>
              </w:rPr>
              <w:t>. Higher value used for mycoproteins.</w:t>
            </w:r>
          </w:p>
        </w:tc>
      </w:tr>
      <w:tr w:rsidR="00425BA0" w:rsidRPr="006F3D27" w14:paraId="0A611302"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2C5B1C8B" w14:textId="77777777" w:rsidR="00425BA0" w:rsidRPr="006F3D27" w:rsidRDefault="00425BA0" w:rsidP="00847C80">
            <w:pPr>
              <w:rPr>
                <w:sz w:val="18"/>
                <w:szCs w:val="18"/>
              </w:rPr>
            </w:pPr>
            <w:r w:rsidRPr="006F3D27">
              <w:rPr>
                <w:sz w:val="18"/>
                <w:szCs w:val="18"/>
              </w:rPr>
              <w:t>127</w:t>
            </w:r>
          </w:p>
        </w:tc>
        <w:tc>
          <w:tcPr>
            <w:tcW w:w="2461" w:type="dxa"/>
          </w:tcPr>
          <w:p w14:paraId="3E62C5BB" w14:textId="77777777" w:rsidR="00425BA0" w:rsidRPr="006F3D27" w:rsidRDefault="00425BA0" w:rsidP="00847C80">
            <w:pPr>
              <w:jc w:val="right"/>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MP NH</w:t>
            </w:r>
            <w:r w:rsidRPr="006F3D27">
              <w:rPr>
                <w:sz w:val="18"/>
                <w:szCs w:val="18"/>
                <w:vertAlign w:val="subscript"/>
              </w:rPr>
              <w:t>3</w:t>
            </w:r>
            <w:r w:rsidRPr="006F3D27">
              <w:rPr>
                <w:sz w:val="18"/>
                <w:szCs w:val="18"/>
              </w:rPr>
              <w:t xml:space="preserve"> use efficiency</w:t>
            </w:r>
          </w:p>
        </w:tc>
        <w:tc>
          <w:tcPr>
            <w:tcW w:w="1102" w:type="dxa"/>
          </w:tcPr>
          <w:p w14:paraId="6E486A7A"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w:t>
            </w:r>
            <w:r w:rsidRPr="006F3D27">
              <w:rPr>
                <w:sz w:val="18"/>
                <w:szCs w:val="18"/>
                <w:vertAlign w:val="subscript"/>
              </w:rPr>
              <w:t>NH3</w:t>
            </w:r>
          </w:p>
        </w:tc>
        <w:tc>
          <w:tcPr>
            <w:tcW w:w="844" w:type="dxa"/>
          </w:tcPr>
          <w:p w14:paraId="6B29B876"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90%</w:t>
            </w:r>
          </w:p>
        </w:tc>
        <w:tc>
          <w:tcPr>
            <w:tcW w:w="983" w:type="dxa"/>
          </w:tcPr>
          <w:p w14:paraId="3A9687AB"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80-92%</w:t>
            </w:r>
          </w:p>
        </w:tc>
        <w:tc>
          <w:tcPr>
            <w:tcW w:w="3162" w:type="dxa"/>
            <w:vMerge/>
          </w:tcPr>
          <w:p w14:paraId="3BDF8E40" w14:textId="77777777" w:rsidR="00425BA0" w:rsidRPr="006F3D27" w:rsidRDefault="00425BA0" w:rsidP="00847C80">
            <w:pPr>
              <w:jc w:val="both"/>
              <w:cnfStyle w:val="000000000000" w:firstRow="0" w:lastRow="0" w:firstColumn="0" w:lastColumn="0" w:oddVBand="0" w:evenVBand="0" w:oddHBand="0" w:evenHBand="0" w:firstRowFirstColumn="0" w:firstRowLastColumn="0" w:lastRowFirstColumn="0" w:lastRowLastColumn="0"/>
              <w:rPr>
                <w:i/>
                <w:sz w:val="18"/>
                <w:szCs w:val="18"/>
              </w:rPr>
            </w:pPr>
          </w:p>
        </w:tc>
      </w:tr>
      <w:tr w:rsidR="00425BA0" w:rsidRPr="006F3D27" w14:paraId="7E524210"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4922DA77" w14:textId="77777777" w:rsidR="00425BA0" w:rsidRPr="006F3D27" w:rsidRDefault="00425BA0" w:rsidP="00847C80">
            <w:pPr>
              <w:rPr>
                <w:sz w:val="18"/>
                <w:szCs w:val="18"/>
              </w:rPr>
            </w:pPr>
            <w:r w:rsidRPr="006F3D27">
              <w:rPr>
                <w:sz w:val="18"/>
                <w:szCs w:val="18"/>
              </w:rPr>
              <w:t>128</w:t>
            </w:r>
          </w:p>
        </w:tc>
        <w:tc>
          <w:tcPr>
            <w:tcW w:w="2461" w:type="dxa"/>
          </w:tcPr>
          <w:p w14:paraId="5923DD8C" w14:textId="77777777" w:rsidR="00425BA0" w:rsidRPr="006F3D27" w:rsidRDefault="00425BA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MP bioreactor head pressure</w:t>
            </w:r>
          </w:p>
        </w:tc>
        <w:tc>
          <w:tcPr>
            <w:tcW w:w="1102" w:type="dxa"/>
          </w:tcPr>
          <w:p w14:paraId="4FF7274A"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bar</w:t>
            </w:r>
          </w:p>
        </w:tc>
        <w:tc>
          <w:tcPr>
            <w:tcW w:w="844" w:type="dxa"/>
          </w:tcPr>
          <w:p w14:paraId="57AB1D25"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6</w:t>
            </w:r>
          </w:p>
        </w:tc>
        <w:tc>
          <w:tcPr>
            <w:tcW w:w="983" w:type="dxa"/>
          </w:tcPr>
          <w:p w14:paraId="5A89F76C"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5-8</w:t>
            </w:r>
          </w:p>
        </w:tc>
        <w:tc>
          <w:tcPr>
            <w:tcW w:w="3162" w:type="dxa"/>
          </w:tcPr>
          <w:p w14:paraId="79E5C20C" w14:textId="61B3FF17" w:rsidR="00425BA0" w:rsidRPr="006F3D27" w:rsidRDefault="00425BA0" w:rsidP="00847C80">
            <w:pPr>
              <w:jc w:val="both"/>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t>6 mentioned by Unibio</w:t>
            </w:r>
            <w:r w:rsidRPr="006F3D27">
              <w:rPr>
                <w:i/>
                <w:sz w:val="18"/>
                <w:szCs w:val="18"/>
              </w:rPr>
              <w:fldChar w:fldCharType="begin"/>
            </w:r>
            <w:r w:rsidR="005413B4">
              <w:rPr>
                <w:i/>
                <w:sz w:val="18"/>
                <w:szCs w:val="18"/>
              </w:rPr>
              <w:instrText xml:space="preserve"> ADDIN ZOTERO_ITEM CSL_CITATION {"citationID":"LsBaILQ0","properties":{"formattedCitation":"\\super 199\\nosupersub{}","plainCitation":"199","noteIndex":0},"citationItems":[{"id":12866,"uris":["http://zotero.org/users/6423791/items/26C4AHVP"],"itemData":{"id":12866,"type":"article-journal","abstract":"The growing population and the consequent protein scarcity have led to innovation in proteinaceous feed production methods. In this regard, the upcycling of nitrogen rich effluents into microbial protein (MP)/single cell protein (SCP) is considered as an innovative solution. This paper aims to employ life cycle assessment to identify the most environmentally friendly strategy to upcycle nitrogen (N) and carbon (C) flows from wastewater treatment plant (WWTP) into MP. Accordingly, several pathways for integrating WWTP and MP production facility were evaluated, in terms of C source (i.e., biogas or biomethane) and the pretreatment method applied to the reject water (RW) (i.e., centrifugation + filtration + pasteurization, electrochemical extraction, bio-electrochemical extraction). The results indicated that electrochemical and bio-electrochemical N recovery not only safely extracted N from RW but also led to promising solution for MP production from WWTP effluents. The pathway including bio-electrochemical N recovery and use of biologically upgraded biogas for MP had 42.17%, 195.95%, and 172.03% better environmental performance regarding human health, ecosystem quality, and resource scarcity, respectively, compared with standalone WWTP without MP production. However, the electrochemical N recovery outperformed other scenarios in the human health damage category with a net impact of 2.72 DALY/FU and in ecosystem quality damage category with a saving of −0.033 Species/FU. The results reported herein indicated that the use of chemical nutrients to enrich the cultivation medium had significant impacts on the overall environmental performance of the suggested biorefinery. Decreasing the consumption of synthetic nutrients and improving N to protein conversion efficiency by 20% can make the established pathway much more competitive with conventional proteinaceous feed sources such as soybean meal.","container-title":"Renewable and Sustainable Energy Reviews","DOI":"10.1016/j.rser.2021.111895","ISSN":"1364-0321","journalAbbreviation":"Renew. Sust. Energ. Rev.","language":"en","page":"111895","source":"ScienceDirect","title":"Bridging to circular bioeconomy through a novel biorefinery platform on a wastewater treatment plant","volume":"154","author":[{"family":"Marami","given":"Hadis"},{"family":"He","given":"Li"},{"family":"Rafiee","given":"Shahin"},{"family":"Khoshnevisan","given":"Benyamin"},{"family":"Tsapekos","given":"Panagiotis"},{"family":"Mobli","given":"Hossein"},{"family":"Elyasi","given":"Seyedeh Nashmin"},{"family":"Liu","given":"Hongbin"},{"family":"Angelidaki","given":"Irini"}],"issued":{"date-parts":[["2022",2,1]]}}}],"schema":"https://github.com/citation-style-language/schema/raw/master/csl-citation.json"}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199</w:t>
            </w:r>
            <w:r w:rsidRPr="006F3D27">
              <w:rPr>
                <w:i/>
                <w:sz w:val="18"/>
                <w:szCs w:val="18"/>
              </w:rPr>
              <w:fldChar w:fldCharType="end"/>
            </w:r>
            <w:r w:rsidRPr="006F3D27">
              <w:rPr>
                <w:i/>
                <w:sz w:val="18"/>
                <w:szCs w:val="18"/>
              </w:rPr>
              <w:t>, 5 reported by Calysta</w:t>
            </w:r>
            <w:r w:rsidRPr="006F3D27">
              <w:rPr>
                <w:i/>
                <w:sz w:val="18"/>
                <w:szCs w:val="18"/>
              </w:rPr>
              <w:fldChar w:fldCharType="begin"/>
            </w:r>
            <w:r w:rsidR="00682E10" w:rsidRPr="006F3D27">
              <w:rPr>
                <w:i/>
                <w:sz w:val="18"/>
                <w:szCs w:val="18"/>
              </w:rPr>
              <w:instrText xml:space="preserve"> ADDIN ZOTERO_ITEM CSL_CITATION {"citationID":"IFVwFWBc","properties":{"formattedCitation":"\\super 25\\nosupersub{}","plainCitation":"25","noteIndex":0},"citationItems":[{"id":13067,"uris":["http://zotero.org/users/6423791/items/L4AHN66K"],"itemData":{"id":13067,"type":"article-journal","container-title":"Current Opinion in Biotechnology","DOI":"10.1016/j.copbio.2022.102707","ISSN":"09581669","journalAbbreviation":"Curr. Opin. Biotechnol.","language":"en","page":"102707","source":"DOI.org (Crossref)","title":"Industrial production of microbial protein products","volume":"75","author":[{"family":"Banks","given":"Mason"},{"family":"Johnson","given":"Rob"},{"family":"Giver","given":"Lori"},{"family":"Bryant","given":"Geoff"},{"family":"Guo","given":"Miao"}],"issued":{"date-parts":[["2022",6]]}}}],"schema":"https://github.com/citation-style-language/schema/raw/master/csl-citation.json"} </w:instrText>
            </w:r>
            <w:r w:rsidRPr="006F3D27">
              <w:rPr>
                <w:i/>
                <w:sz w:val="18"/>
                <w:szCs w:val="18"/>
              </w:rPr>
              <w:fldChar w:fldCharType="separate"/>
            </w:r>
            <w:r w:rsidR="00682E10" w:rsidRPr="006F3D27">
              <w:rPr>
                <w:rFonts w:ascii="Calibri" w:hAnsi="Calibri" w:cs="Calibri"/>
                <w:sz w:val="18"/>
                <w:szCs w:val="18"/>
                <w:vertAlign w:val="superscript"/>
              </w:rPr>
              <w:t>25</w:t>
            </w:r>
            <w:r w:rsidRPr="006F3D27">
              <w:rPr>
                <w:i/>
                <w:sz w:val="18"/>
                <w:szCs w:val="18"/>
              </w:rPr>
              <w:fldChar w:fldCharType="end"/>
            </w:r>
            <w:r w:rsidRPr="006F3D27">
              <w:rPr>
                <w:i/>
                <w:sz w:val="18"/>
                <w:szCs w:val="18"/>
              </w:rPr>
              <w:t>, can reach 8</w:t>
            </w:r>
            <w:r w:rsidRPr="006F3D27">
              <w:rPr>
                <w:i/>
                <w:sz w:val="18"/>
                <w:szCs w:val="18"/>
              </w:rPr>
              <w:fldChar w:fldCharType="begin"/>
            </w:r>
            <w:r w:rsidR="005413B4">
              <w:rPr>
                <w:i/>
                <w:sz w:val="18"/>
                <w:szCs w:val="18"/>
              </w:rPr>
              <w:instrText xml:space="preserve"> ADDIN ZOTERO_ITEM CSL_CITATION {"citationID":"NY1CWXJP","properties":{"formattedCitation":"\\super 184\\nosupersub{}","plainCitation":"184","noteIndex":0},"citationItems":[{"id":12428,"uris":["http://zotero.org/users/6423791/items/6T57THSK"],"itemData":{"id":12428,"type":"thesis","number-of-pages":"149","publisher":"Standford University","title":"Engineering the Dark Food Chain:the Role of Methanotrophic Bacteria Infood Production and Climate Change Mitigation","URL":"https://stacks.stanford.edu/file/druid:bg967bh2013/ElAbbadi_dissertation_2021-07-19-augmented.pdf","author":[{"family":"El Abbadi","given":"Sahar H."}],"accessed":{"date-parts":[["2021",11,30]]},"issued":{"date-parts":[["2021",7]]}}}],"schema":"https://github.com/citation-style-language/schema/raw/master/csl-citation.json"}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184</w:t>
            </w:r>
            <w:r w:rsidRPr="006F3D27">
              <w:rPr>
                <w:i/>
                <w:sz w:val="18"/>
                <w:szCs w:val="18"/>
              </w:rPr>
              <w:fldChar w:fldCharType="end"/>
            </w:r>
            <w:r w:rsidRPr="006F3D27">
              <w:rPr>
                <w:i/>
                <w:sz w:val="18"/>
                <w:szCs w:val="18"/>
              </w:rPr>
              <w:t>.</w:t>
            </w:r>
          </w:p>
        </w:tc>
      </w:tr>
      <w:tr w:rsidR="00425BA0" w:rsidRPr="006F3D27" w14:paraId="1E44E2E5"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34BD5BD2" w14:textId="77777777" w:rsidR="00425BA0" w:rsidRPr="006F3D27" w:rsidRDefault="00425BA0" w:rsidP="00847C80">
            <w:pPr>
              <w:rPr>
                <w:sz w:val="18"/>
                <w:szCs w:val="18"/>
              </w:rPr>
            </w:pPr>
            <w:r w:rsidRPr="006F3D27">
              <w:rPr>
                <w:sz w:val="18"/>
                <w:szCs w:val="18"/>
              </w:rPr>
              <w:t>129</w:t>
            </w:r>
          </w:p>
        </w:tc>
        <w:tc>
          <w:tcPr>
            <w:tcW w:w="2461" w:type="dxa"/>
          </w:tcPr>
          <w:p w14:paraId="5F785271" w14:textId="77777777" w:rsidR="00425BA0" w:rsidRPr="006F3D27" w:rsidRDefault="00425BA0" w:rsidP="00847C80">
            <w:pPr>
              <w:jc w:val="right"/>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MP CIP frequence</w:t>
            </w:r>
          </w:p>
        </w:tc>
        <w:tc>
          <w:tcPr>
            <w:tcW w:w="1102" w:type="dxa"/>
          </w:tcPr>
          <w:p w14:paraId="25FF9A03"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year</w:t>
            </w:r>
            <w:r w:rsidRPr="006F3D27">
              <w:rPr>
                <w:sz w:val="18"/>
                <w:szCs w:val="18"/>
                <w:vertAlign w:val="superscript"/>
              </w:rPr>
              <w:t>-1</w:t>
            </w:r>
          </w:p>
        </w:tc>
        <w:tc>
          <w:tcPr>
            <w:tcW w:w="844" w:type="dxa"/>
          </w:tcPr>
          <w:p w14:paraId="59C41A36"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7</w:t>
            </w:r>
          </w:p>
        </w:tc>
        <w:tc>
          <w:tcPr>
            <w:tcW w:w="983" w:type="dxa"/>
          </w:tcPr>
          <w:p w14:paraId="532E8180"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4-12</w:t>
            </w:r>
          </w:p>
        </w:tc>
        <w:tc>
          <w:tcPr>
            <w:tcW w:w="3162" w:type="dxa"/>
          </w:tcPr>
          <w:p w14:paraId="3A2AFD51" w14:textId="5E5110D8" w:rsidR="00425BA0" w:rsidRPr="006F3D27" w:rsidRDefault="00425BA0" w:rsidP="00847C80">
            <w:pPr>
              <w:jc w:val="both"/>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Unibio mentions 8-12</w:t>
            </w:r>
            <w:r w:rsidRPr="006F3D27">
              <w:rPr>
                <w:i/>
                <w:sz w:val="18"/>
                <w:szCs w:val="18"/>
              </w:rPr>
              <w:fldChar w:fldCharType="begin"/>
            </w:r>
            <w:r w:rsidR="005413B4">
              <w:rPr>
                <w:i/>
                <w:sz w:val="18"/>
                <w:szCs w:val="18"/>
              </w:rPr>
              <w:instrText xml:space="preserve"> ADDIN ZOTERO_ITEM CSL_CITATION {"citationID":"oTnbMAcX","properties":{"formattedCitation":"\\super 173,185\\nosupersub{}","plainCitation":"173,185","noteIndex":0},"citationItems":[{"id":10967,"uris":["http://zotero.org/users/6423791/items/P67XNRD9"],"itemData":{"id":10967,"type":"report","abstract":"UK The overall aim was to investigate if soybean products from South American can be replaced by protein sources produced in Europe in a sustainable way. Based on data from literature, and based on the systematics of the FeedPrint programme, the nutritional value and the carbon footprint (CFP) of these protein sources is determined. These protein sources are used in feed optimizations of a starter diet for pigs, thereby maintaining the nutritional value of the diet. Subsequently, the CFP of the grower diet is calculated. The results and conclusions will be discussed in this report.","collection-title":"Wageningen UR Livestock Research","event-place":"Lelystad","language":"en","number":"819","page":"47","publisher":"Wageningen","publisher-place":"Lelystad","source":"Zotero","title":"Replacement of soybean meal in compound feed by European protein sources","author":[{"family":"Boer","given":"H C","non-dropping-particle":"de"},{"family":"Krimpen","given":"M M","non-dropping-particle":"van"},{"family":"Blonk","given":"H"},{"family":"Tyszler","given":"M"}],"issued":{"date-parts":[["2014"]]}}},{"id":12893,"uris":["http://zotero.org/users/6423791/items/2YZQIHB4"],"itemData":{"id":12893,"type":"report","event-place":"London","page":"26","publisher":"Carbon Trust","publisher-place":"London","title":"Assessment of environmental footprint of FeedKind protein","author":[{"family":"Cumberlege","given":"Tom"},{"family":"Blenkinsopp","given":"Tom"},{"family":"Clark","given":"Jamie"}],"issued":{"date-parts":[["2016"]]}}}],"schema":"https://github.com/citation-style-language/schema/raw/master/csl-citation.json"}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173,185</w:t>
            </w:r>
            <w:r w:rsidRPr="006F3D27">
              <w:rPr>
                <w:i/>
                <w:sz w:val="18"/>
                <w:szCs w:val="18"/>
              </w:rPr>
              <w:fldChar w:fldCharType="end"/>
            </w:r>
            <w:r w:rsidRPr="006F3D27">
              <w:rPr>
                <w:i/>
                <w:sz w:val="18"/>
                <w:szCs w:val="18"/>
              </w:rPr>
              <w:t>, 4 for Solar Foods</w:t>
            </w:r>
            <w:r w:rsidRPr="006F3D27">
              <w:rPr>
                <w:i/>
                <w:sz w:val="18"/>
                <w:szCs w:val="18"/>
              </w:rPr>
              <w:fldChar w:fldCharType="begin"/>
            </w:r>
            <w:r w:rsidR="005413B4">
              <w:rPr>
                <w:i/>
                <w:sz w:val="18"/>
                <w:szCs w:val="18"/>
              </w:rPr>
              <w:instrText xml:space="preserve"> ADDIN ZOTERO_ITEM CSL_CITATION {"citationID":"g1gWIbKt","properties":{"formattedCitation":"\\super 183\\nosupersub{}","plainCitation":"183","noteIndex":0},"citationItems":[{"id":5124,"uris":["http://zotero.org/users/6423791/items/QSN5G6WV"],"itemData":{"id":5124,"type":"article-journal","container-title":"Science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183</w:t>
            </w:r>
            <w:r w:rsidRPr="006F3D27">
              <w:rPr>
                <w:i/>
                <w:sz w:val="18"/>
                <w:szCs w:val="18"/>
              </w:rPr>
              <w:fldChar w:fldCharType="end"/>
            </w:r>
            <w:r w:rsidRPr="006F3D27">
              <w:rPr>
                <w:i/>
                <w:sz w:val="18"/>
                <w:szCs w:val="18"/>
              </w:rPr>
              <w:t>.</w:t>
            </w:r>
          </w:p>
        </w:tc>
      </w:tr>
      <w:tr w:rsidR="00425BA0" w:rsidRPr="006F3D27" w14:paraId="6CE4A771"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53C13632" w14:textId="77777777" w:rsidR="00425BA0" w:rsidRPr="006F3D27" w:rsidRDefault="00425BA0" w:rsidP="00847C80">
            <w:pPr>
              <w:rPr>
                <w:sz w:val="18"/>
                <w:szCs w:val="18"/>
              </w:rPr>
            </w:pPr>
            <w:r w:rsidRPr="006F3D27">
              <w:rPr>
                <w:sz w:val="18"/>
                <w:szCs w:val="18"/>
              </w:rPr>
              <w:t>130</w:t>
            </w:r>
          </w:p>
        </w:tc>
        <w:tc>
          <w:tcPr>
            <w:tcW w:w="2461" w:type="dxa"/>
          </w:tcPr>
          <w:p w14:paraId="3648EF2F" w14:textId="77777777" w:rsidR="00425BA0" w:rsidRPr="006F3D27" w:rsidRDefault="00425BA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MP mineral medium use</w:t>
            </w:r>
          </w:p>
        </w:tc>
        <w:tc>
          <w:tcPr>
            <w:tcW w:w="1102" w:type="dxa"/>
          </w:tcPr>
          <w:p w14:paraId="270CC1CE"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w:t>
            </w:r>
            <w:r w:rsidRPr="006F3D27">
              <w:rPr>
                <w:sz w:val="18"/>
                <w:szCs w:val="18"/>
                <w:vertAlign w:val="subscript"/>
              </w:rPr>
              <w:t>supplied</w:t>
            </w:r>
          </w:p>
        </w:tc>
        <w:tc>
          <w:tcPr>
            <w:tcW w:w="844" w:type="dxa"/>
          </w:tcPr>
          <w:p w14:paraId="2F73CC9C"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95%</w:t>
            </w:r>
          </w:p>
        </w:tc>
        <w:tc>
          <w:tcPr>
            <w:tcW w:w="983" w:type="dxa"/>
          </w:tcPr>
          <w:p w14:paraId="087D4F2C"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80-95%</w:t>
            </w:r>
          </w:p>
        </w:tc>
        <w:tc>
          <w:tcPr>
            <w:tcW w:w="3162" w:type="dxa"/>
          </w:tcPr>
          <w:p w14:paraId="4A52FDEF" w14:textId="10E448E3" w:rsidR="00425BA0" w:rsidRPr="006F3D27" w:rsidRDefault="00425BA0" w:rsidP="00847C80">
            <w:pPr>
              <w:jc w:val="both"/>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t>Aspen+ model by Levett et al., 2016</w:t>
            </w:r>
            <w:r w:rsidRPr="006F3D27">
              <w:rPr>
                <w:i/>
                <w:sz w:val="18"/>
                <w:szCs w:val="18"/>
              </w:rPr>
              <w:fldChar w:fldCharType="begin"/>
            </w:r>
            <w:r w:rsidR="005413B4">
              <w:rPr>
                <w:i/>
                <w:sz w:val="18"/>
                <w:szCs w:val="18"/>
              </w:rPr>
              <w:instrText xml:space="preserve"> ADDIN ZOTERO_ITEM CSL_CITATION {"citationID":"VFnK9nbp","properties":{"formattedCitation":"\\super 186\\nosupersub{}","plainCitation":"186","noteIndex":0},"citationItems":[{"id":12881,"uris":["http://zotero.org/users/6423791/items/XFWA5FUP"],"itemData":{"id":12881,"type":"article-journal","abstract":"A major obstacle preventing the large scale production of polyhydroxyalkanoates (PHAs) has been the lack of a reliable, low cost, large volume feedstock. The abundance and relatively low price of methane therefore marks it as a substrate of interest. This paper presents a techno-economic assessment of the production of poly-3-hydroxybutyrate (PHB) from methane. ASPEN Plus was used for process design and simulation. The design and economic evaluation is presented for production of 100,000t/a PHB through methanotrophic fermentation and acetone-water solvent extraction. Production costs were estimated at $4.1–$6.8/kg PHA, which compares against a median price of $7.5/kg from other studies. Raw material costs are reduced from 30 to 50% of production for sugar feedstocks, to 22% of production for methane. A feature of the work is the revelation that heat removal from the two-stage bioreactor process contributes 28% of the operating cost. Thermophilic methanotrophs could allow the use of cooling water instead of refrigerant, reducing production costs to $3.2–5.4/kg PHA; it is noted that PHB producing thermophilic methanotrophs are yet to be isolated. Energy consumption for air compression and biomass drying were also identified as significant capital and operating costs and therefore optimisation of bioreactor height and pressure and biomass moisture content should be considered in future research.","container-title":"Journal of Environmental Chemical Engineering","DOI":"10.1016/j.jece.2016.07.033","ISSN":"2213-3437","issue":"4, Part A","journalAbbreviation":"J. Environ. Chem. Eng.","language":"en","page":"3724-3733","source":"ScienceDirect","title":"Techno-economic assessment of poly-3-hydroxybutyrate (PHB) production from methane—The case for thermophilic bioprocessing","volume":"4","author":[{"family":"Levett","given":"Ian"},{"family":"Birkett","given":"Greg"},{"family":"Davies","given":"Nick"},{"family":"Bell","given":"Aidan"},{"family":"Langford","given":"Alexandra"},{"family":"Laycock","given":"Bronwyn"},{"family":"Lant","given":"Paul"},{"family":"Pratt","given":"Steven"}],"issued":{"date-parts":[["2016",12,1]]}}}],"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186</w:t>
            </w:r>
            <w:r w:rsidRPr="006F3D27">
              <w:rPr>
                <w:i/>
                <w:sz w:val="18"/>
                <w:szCs w:val="18"/>
              </w:rPr>
              <w:fldChar w:fldCharType="end"/>
            </w:r>
            <w:r w:rsidRPr="006F3D27">
              <w:rPr>
                <w:i/>
                <w:sz w:val="18"/>
                <w:szCs w:val="18"/>
              </w:rPr>
              <w:t xml:space="preserve"> gives 95% maximum. 80% lower reported value</w:t>
            </w:r>
            <w:r w:rsidRPr="006F3D27">
              <w:rPr>
                <w:i/>
                <w:sz w:val="18"/>
                <w:szCs w:val="18"/>
              </w:rPr>
              <w:fldChar w:fldCharType="begin"/>
            </w:r>
            <w:r w:rsidR="005413B4">
              <w:rPr>
                <w:i/>
                <w:sz w:val="18"/>
                <w:szCs w:val="18"/>
              </w:rPr>
              <w:instrText xml:space="preserve"> ADDIN ZOTERO_ITEM CSL_CITATION {"citationID":"qEEk09Xn","properties":{"formattedCitation":"\\super 183\\nosupersub{}","plainCitation":"183","noteIndex":0},"citationItems":[{"id":5124,"uris":["http://zotero.org/users/6423791/items/QSN5G6WV"],"itemData":{"id":5124,"type":"article-journal","container-title":"Science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183</w:t>
            </w:r>
            <w:r w:rsidRPr="006F3D27">
              <w:rPr>
                <w:i/>
                <w:sz w:val="18"/>
                <w:szCs w:val="18"/>
              </w:rPr>
              <w:fldChar w:fldCharType="end"/>
            </w:r>
            <w:r w:rsidRPr="006F3D27">
              <w:rPr>
                <w:i/>
                <w:sz w:val="18"/>
                <w:szCs w:val="18"/>
              </w:rPr>
              <w:t>.</w:t>
            </w:r>
          </w:p>
        </w:tc>
      </w:tr>
      <w:tr w:rsidR="00425BA0" w:rsidRPr="006F3D27" w14:paraId="5A3899DD"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1AF8904A" w14:textId="77777777" w:rsidR="00425BA0" w:rsidRPr="006F3D27" w:rsidRDefault="00425BA0" w:rsidP="00847C80">
            <w:pPr>
              <w:rPr>
                <w:sz w:val="18"/>
                <w:szCs w:val="18"/>
              </w:rPr>
            </w:pPr>
            <w:r w:rsidRPr="006F3D27">
              <w:rPr>
                <w:sz w:val="18"/>
                <w:szCs w:val="18"/>
              </w:rPr>
              <w:t>131</w:t>
            </w:r>
          </w:p>
        </w:tc>
        <w:tc>
          <w:tcPr>
            <w:tcW w:w="2461" w:type="dxa"/>
          </w:tcPr>
          <w:p w14:paraId="4CC432A3" w14:textId="77777777" w:rsidR="00425BA0" w:rsidRPr="006F3D27" w:rsidRDefault="00425BA0" w:rsidP="00847C80">
            <w:pPr>
              <w:jc w:val="right"/>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Medium stirring energy</w:t>
            </w:r>
          </w:p>
        </w:tc>
        <w:tc>
          <w:tcPr>
            <w:tcW w:w="1102" w:type="dxa"/>
          </w:tcPr>
          <w:p w14:paraId="1DD76332"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kWh.m</w:t>
            </w:r>
            <w:r w:rsidRPr="006F3D27">
              <w:rPr>
                <w:sz w:val="18"/>
                <w:szCs w:val="18"/>
                <w:vertAlign w:val="superscript"/>
              </w:rPr>
              <w:t>-3</w:t>
            </w:r>
          </w:p>
        </w:tc>
        <w:tc>
          <w:tcPr>
            <w:tcW w:w="844" w:type="dxa"/>
          </w:tcPr>
          <w:p w14:paraId="6B052FAE"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0.3</w:t>
            </w:r>
          </w:p>
        </w:tc>
        <w:tc>
          <w:tcPr>
            <w:tcW w:w="983" w:type="dxa"/>
          </w:tcPr>
          <w:p w14:paraId="41032118"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0.2-0.5</w:t>
            </w:r>
          </w:p>
        </w:tc>
        <w:tc>
          <w:tcPr>
            <w:tcW w:w="3162" w:type="dxa"/>
          </w:tcPr>
          <w:p w14:paraId="30196B5D" w14:textId="77777777" w:rsidR="00425BA0" w:rsidRPr="006F3D27" w:rsidRDefault="00425BA0" w:rsidP="00847C80">
            <w:pPr>
              <w:jc w:val="both"/>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Common range for impellers mixing</w:t>
            </w:r>
          </w:p>
        </w:tc>
      </w:tr>
      <w:tr w:rsidR="00425BA0" w:rsidRPr="006F3D27" w14:paraId="698F50AD"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48738D46" w14:textId="77777777" w:rsidR="00425BA0" w:rsidRPr="006F3D27" w:rsidRDefault="00425BA0" w:rsidP="00847C80">
            <w:pPr>
              <w:rPr>
                <w:sz w:val="18"/>
                <w:szCs w:val="18"/>
              </w:rPr>
            </w:pPr>
            <w:r w:rsidRPr="006F3D27">
              <w:rPr>
                <w:sz w:val="18"/>
                <w:szCs w:val="18"/>
              </w:rPr>
              <w:t>132</w:t>
            </w:r>
          </w:p>
        </w:tc>
        <w:tc>
          <w:tcPr>
            <w:tcW w:w="2461" w:type="dxa"/>
          </w:tcPr>
          <w:p w14:paraId="13FF960B" w14:textId="77777777" w:rsidR="00425BA0" w:rsidRPr="006F3D27" w:rsidRDefault="00425BA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MOB yield</w:t>
            </w:r>
          </w:p>
        </w:tc>
        <w:tc>
          <w:tcPr>
            <w:tcW w:w="1102" w:type="dxa"/>
          </w:tcPr>
          <w:p w14:paraId="4F2BCEC8"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g</w:t>
            </w:r>
            <w:r w:rsidRPr="006F3D27">
              <w:rPr>
                <w:sz w:val="18"/>
                <w:szCs w:val="18"/>
                <w:vertAlign w:val="subscript"/>
              </w:rPr>
              <w:t>VS</w:t>
            </w:r>
            <w:r w:rsidRPr="006F3D27">
              <w:rPr>
                <w:sz w:val="18"/>
                <w:szCs w:val="18"/>
              </w:rPr>
              <w:t>.g</w:t>
            </w:r>
            <w:r w:rsidRPr="006F3D27">
              <w:rPr>
                <w:sz w:val="18"/>
                <w:szCs w:val="18"/>
                <w:vertAlign w:val="subscript"/>
              </w:rPr>
              <w:t>CH4</w:t>
            </w:r>
            <w:r w:rsidRPr="006F3D27">
              <w:rPr>
                <w:sz w:val="18"/>
                <w:szCs w:val="18"/>
                <w:vertAlign w:val="superscript"/>
              </w:rPr>
              <w:t>-1</w:t>
            </w:r>
          </w:p>
        </w:tc>
        <w:tc>
          <w:tcPr>
            <w:tcW w:w="844" w:type="dxa"/>
          </w:tcPr>
          <w:p w14:paraId="5EA89DA1"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0.71</w:t>
            </w:r>
          </w:p>
        </w:tc>
        <w:tc>
          <w:tcPr>
            <w:tcW w:w="983" w:type="dxa"/>
          </w:tcPr>
          <w:p w14:paraId="05B41491"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0.63-1.11</w:t>
            </w:r>
          </w:p>
        </w:tc>
        <w:tc>
          <w:tcPr>
            <w:tcW w:w="3162" w:type="dxa"/>
          </w:tcPr>
          <w:p w14:paraId="6885A171" w14:textId="23A765FC" w:rsidR="00425BA0" w:rsidRPr="006F3D27" w:rsidRDefault="00425BA0" w:rsidP="00847C80">
            <w:pPr>
              <w:jc w:val="both"/>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t xml:space="preserve">See </w:t>
            </w:r>
            <w:r w:rsidR="00917881" w:rsidRPr="006F3D27">
              <w:rPr>
                <w:b/>
                <w:i/>
                <w:sz w:val="18"/>
                <w:szCs w:val="18"/>
              </w:rPr>
              <w:fldChar w:fldCharType="begin"/>
            </w:r>
            <w:r w:rsidR="00917881" w:rsidRPr="006F3D27">
              <w:rPr>
                <w:b/>
                <w:i/>
                <w:sz w:val="18"/>
                <w:szCs w:val="18"/>
              </w:rPr>
              <w:instrText xml:space="preserve"> REF _Ref144828671 \h  \* MERGEFORMAT </w:instrText>
            </w:r>
            <w:r w:rsidR="00917881" w:rsidRPr="006F3D27">
              <w:rPr>
                <w:b/>
                <w:i/>
                <w:sz w:val="18"/>
                <w:szCs w:val="18"/>
              </w:rPr>
            </w:r>
            <w:r w:rsidR="00917881" w:rsidRPr="006F3D27">
              <w:rPr>
                <w:b/>
                <w:i/>
                <w:sz w:val="18"/>
                <w:szCs w:val="18"/>
              </w:rPr>
              <w:fldChar w:fldCharType="separate"/>
            </w:r>
            <w:r w:rsidR="00F25F8C" w:rsidRPr="006F3D27">
              <w:rPr>
                <w:b/>
                <w:i/>
                <w:sz w:val="18"/>
                <w:szCs w:val="18"/>
              </w:rPr>
              <w:t xml:space="preserve">Table SI. </w:t>
            </w:r>
            <w:r w:rsidR="00F25F8C" w:rsidRPr="006F3D27">
              <w:rPr>
                <w:b/>
                <w:i/>
                <w:noProof/>
                <w:sz w:val="18"/>
                <w:szCs w:val="18"/>
              </w:rPr>
              <w:t>72</w:t>
            </w:r>
            <w:r w:rsidR="00917881" w:rsidRPr="006F3D27">
              <w:rPr>
                <w:b/>
                <w:i/>
                <w:sz w:val="18"/>
                <w:szCs w:val="18"/>
              </w:rPr>
              <w:fldChar w:fldCharType="end"/>
            </w:r>
          </w:p>
        </w:tc>
      </w:tr>
      <w:tr w:rsidR="00425BA0" w:rsidRPr="006F3D27" w14:paraId="5659F413"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3A16FAE1" w14:textId="77777777" w:rsidR="00425BA0" w:rsidRPr="006F3D27" w:rsidRDefault="00425BA0" w:rsidP="00847C80">
            <w:pPr>
              <w:rPr>
                <w:sz w:val="18"/>
                <w:szCs w:val="18"/>
              </w:rPr>
            </w:pPr>
            <w:r w:rsidRPr="006F3D27">
              <w:rPr>
                <w:sz w:val="18"/>
                <w:szCs w:val="18"/>
              </w:rPr>
              <w:t>133</w:t>
            </w:r>
          </w:p>
        </w:tc>
        <w:tc>
          <w:tcPr>
            <w:tcW w:w="2461" w:type="dxa"/>
          </w:tcPr>
          <w:p w14:paraId="1EA35126" w14:textId="77777777" w:rsidR="00425BA0" w:rsidRPr="006F3D27" w:rsidRDefault="00425BA0" w:rsidP="00847C80">
            <w:pPr>
              <w:jc w:val="right"/>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MOB CH</w:t>
            </w:r>
            <w:r w:rsidRPr="006F3D27">
              <w:rPr>
                <w:sz w:val="18"/>
                <w:szCs w:val="18"/>
                <w:vertAlign w:val="subscript"/>
              </w:rPr>
              <w:t>4</w:t>
            </w:r>
            <w:r w:rsidRPr="006F3D27">
              <w:rPr>
                <w:sz w:val="18"/>
                <w:szCs w:val="18"/>
              </w:rPr>
              <w:t xml:space="preserve"> use efficiency</w:t>
            </w:r>
          </w:p>
        </w:tc>
        <w:tc>
          <w:tcPr>
            <w:tcW w:w="1102" w:type="dxa"/>
          </w:tcPr>
          <w:p w14:paraId="7A6CD640"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w:t>
            </w:r>
            <w:r w:rsidRPr="006F3D27">
              <w:rPr>
                <w:sz w:val="18"/>
                <w:szCs w:val="18"/>
                <w:vertAlign w:val="subscript"/>
              </w:rPr>
              <w:t>CH4</w:t>
            </w:r>
          </w:p>
        </w:tc>
        <w:tc>
          <w:tcPr>
            <w:tcW w:w="844" w:type="dxa"/>
          </w:tcPr>
          <w:p w14:paraId="3C643EF9"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90%</w:t>
            </w:r>
          </w:p>
        </w:tc>
        <w:tc>
          <w:tcPr>
            <w:tcW w:w="983" w:type="dxa"/>
          </w:tcPr>
          <w:p w14:paraId="6CD0BBAF"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80-90%</w:t>
            </w:r>
          </w:p>
        </w:tc>
        <w:tc>
          <w:tcPr>
            <w:tcW w:w="3162" w:type="dxa"/>
          </w:tcPr>
          <w:p w14:paraId="1EBD11A0" w14:textId="77777777" w:rsidR="00425BA0" w:rsidRPr="006F3D27" w:rsidRDefault="00425BA0" w:rsidP="00847C80">
            <w:pPr>
              <w:jc w:val="both"/>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As for O</w:t>
            </w:r>
            <w:r w:rsidRPr="006F3D27">
              <w:rPr>
                <w:i/>
                <w:sz w:val="18"/>
                <w:szCs w:val="18"/>
                <w:vertAlign w:val="subscript"/>
              </w:rPr>
              <w:t>2</w:t>
            </w:r>
            <w:r w:rsidRPr="006F3D27">
              <w:rPr>
                <w:i/>
                <w:sz w:val="18"/>
                <w:szCs w:val="18"/>
              </w:rPr>
              <w:t xml:space="preserve"> and NH</w:t>
            </w:r>
            <w:r w:rsidRPr="006F3D27">
              <w:rPr>
                <w:i/>
                <w:sz w:val="18"/>
                <w:szCs w:val="18"/>
                <w:vertAlign w:val="subscript"/>
              </w:rPr>
              <w:t>3</w:t>
            </w:r>
            <w:r w:rsidRPr="006F3D27">
              <w:rPr>
                <w:i/>
                <w:sz w:val="18"/>
                <w:szCs w:val="18"/>
              </w:rPr>
              <w:t>, see line.</w:t>
            </w:r>
          </w:p>
        </w:tc>
      </w:tr>
      <w:tr w:rsidR="00425BA0" w:rsidRPr="006F3D27" w14:paraId="3FDCB5C9"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53F56BA5" w14:textId="77777777" w:rsidR="00425BA0" w:rsidRPr="006F3D27" w:rsidRDefault="00425BA0" w:rsidP="00847C80">
            <w:pPr>
              <w:rPr>
                <w:sz w:val="18"/>
                <w:szCs w:val="18"/>
              </w:rPr>
            </w:pPr>
            <w:r w:rsidRPr="006F3D27">
              <w:rPr>
                <w:sz w:val="18"/>
                <w:szCs w:val="18"/>
              </w:rPr>
              <w:t>134</w:t>
            </w:r>
          </w:p>
        </w:tc>
        <w:tc>
          <w:tcPr>
            <w:tcW w:w="2461" w:type="dxa"/>
          </w:tcPr>
          <w:p w14:paraId="092F849E" w14:textId="77777777" w:rsidR="00425BA0" w:rsidRPr="006F3D27" w:rsidRDefault="00425BA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MOB culture density</w:t>
            </w:r>
          </w:p>
        </w:tc>
        <w:tc>
          <w:tcPr>
            <w:tcW w:w="1102" w:type="dxa"/>
          </w:tcPr>
          <w:p w14:paraId="7EFF558C"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g.L</w:t>
            </w:r>
            <w:r w:rsidRPr="006F3D27">
              <w:rPr>
                <w:sz w:val="18"/>
                <w:szCs w:val="18"/>
                <w:vertAlign w:val="superscript"/>
              </w:rPr>
              <w:t>-1</w:t>
            </w:r>
          </w:p>
        </w:tc>
        <w:tc>
          <w:tcPr>
            <w:tcW w:w="844" w:type="dxa"/>
          </w:tcPr>
          <w:p w14:paraId="2481C5E3"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30</w:t>
            </w:r>
          </w:p>
        </w:tc>
        <w:tc>
          <w:tcPr>
            <w:tcW w:w="983" w:type="dxa"/>
          </w:tcPr>
          <w:p w14:paraId="219149D8"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20-30</w:t>
            </w:r>
          </w:p>
        </w:tc>
        <w:tc>
          <w:tcPr>
            <w:tcW w:w="3162" w:type="dxa"/>
            <w:vMerge w:val="restart"/>
          </w:tcPr>
          <w:p w14:paraId="5DCA95AB" w14:textId="7881217D" w:rsidR="00425BA0" w:rsidRPr="006F3D27" w:rsidRDefault="00425BA0" w:rsidP="00847C80">
            <w:pPr>
              <w:jc w:val="both"/>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t xml:space="preserve">See </w:t>
            </w:r>
            <w:r w:rsidR="00917881" w:rsidRPr="006F3D27">
              <w:rPr>
                <w:b/>
                <w:i/>
                <w:sz w:val="18"/>
                <w:szCs w:val="18"/>
              </w:rPr>
              <w:fldChar w:fldCharType="begin"/>
            </w:r>
            <w:r w:rsidR="00917881" w:rsidRPr="006F3D27">
              <w:rPr>
                <w:b/>
                <w:i/>
                <w:sz w:val="18"/>
                <w:szCs w:val="18"/>
              </w:rPr>
              <w:instrText xml:space="preserve"> REF _Ref144828671 \h  \* MERGEFORMAT </w:instrText>
            </w:r>
            <w:r w:rsidR="00917881" w:rsidRPr="006F3D27">
              <w:rPr>
                <w:b/>
                <w:i/>
                <w:sz w:val="18"/>
                <w:szCs w:val="18"/>
              </w:rPr>
            </w:r>
            <w:r w:rsidR="00917881" w:rsidRPr="006F3D27">
              <w:rPr>
                <w:b/>
                <w:i/>
                <w:sz w:val="18"/>
                <w:szCs w:val="18"/>
              </w:rPr>
              <w:fldChar w:fldCharType="separate"/>
            </w:r>
            <w:r w:rsidR="00F25F8C" w:rsidRPr="006F3D27">
              <w:rPr>
                <w:b/>
                <w:i/>
                <w:sz w:val="18"/>
                <w:szCs w:val="18"/>
              </w:rPr>
              <w:t xml:space="preserve">Table SI. </w:t>
            </w:r>
            <w:r w:rsidR="00F25F8C" w:rsidRPr="006F3D27">
              <w:rPr>
                <w:b/>
                <w:i/>
                <w:noProof/>
                <w:sz w:val="18"/>
                <w:szCs w:val="18"/>
              </w:rPr>
              <w:t>72</w:t>
            </w:r>
            <w:r w:rsidR="00917881" w:rsidRPr="006F3D27">
              <w:rPr>
                <w:b/>
                <w:i/>
                <w:sz w:val="18"/>
                <w:szCs w:val="18"/>
              </w:rPr>
              <w:fldChar w:fldCharType="end"/>
            </w:r>
          </w:p>
        </w:tc>
      </w:tr>
      <w:tr w:rsidR="00425BA0" w:rsidRPr="006F3D27" w14:paraId="0A5F4077"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1136B2BE" w14:textId="77777777" w:rsidR="00425BA0" w:rsidRPr="006F3D27" w:rsidRDefault="00425BA0" w:rsidP="00847C80">
            <w:pPr>
              <w:rPr>
                <w:sz w:val="18"/>
                <w:szCs w:val="18"/>
              </w:rPr>
            </w:pPr>
            <w:r w:rsidRPr="006F3D27">
              <w:rPr>
                <w:sz w:val="18"/>
                <w:szCs w:val="18"/>
              </w:rPr>
              <w:t>135</w:t>
            </w:r>
          </w:p>
        </w:tc>
        <w:tc>
          <w:tcPr>
            <w:tcW w:w="2461" w:type="dxa"/>
          </w:tcPr>
          <w:p w14:paraId="7A73EAE0" w14:textId="77777777" w:rsidR="00425BA0" w:rsidRPr="006F3D27" w:rsidRDefault="00425BA0" w:rsidP="00847C80">
            <w:pPr>
              <w:jc w:val="right"/>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MOB metabolic heat</w:t>
            </w:r>
          </w:p>
        </w:tc>
        <w:tc>
          <w:tcPr>
            <w:tcW w:w="1102" w:type="dxa"/>
          </w:tcPr>
          <w:p w14:paraId="4C069AFF"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6F3D27">
              <w:rPr>
                <w:sz w:val="18"/>
                <w:szCs w:val="18"/>
              </w:rPr>
              <w:t>kJ.molC</w:t>
            </w:r>
            <w:r w:rsidRPr="006F3D27">
              <w:rPr>
                <w:sz w:val="18"/>
                <w:szCs w:val="18"/>
                <w:vertAlign w:val="subscript"/>
              </w:rPr>
              <w:t>X</w:t>
            </w:r>
            <w:proofErr w:type="gramEnd"/>
            <w:r w:rsidRPr="006F3D27">
              <w:rPr>
                <w:sz w:val="18"/>
                <w:szCs w:val="18"/>
                <w:vertAlign w:val="superscript"/>
              </w:rPr>
              <w:t>-1</w:t>
            </w:r>
          </w:p>
        </w:tc>
        <w:tc>
          <w:tcPr>
            <w:tcW w:w="844" w:type="dxa"/>
          </w:tcPr>
          <w:p w14:paraId="3474F9C9"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1277</w:t>
            </w:r>
          </w:p>
        </w:tc>
        <w:tc>
          <w:tcPr>
            <w:tcW w:w="983" w:type="dxa"/>
          </w:tcPr>
          <w:p w14:paraId="069F62FF"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900-1660</w:t>
            </w:r>
          </w:p>
        </w:tc>
        <w:tc>
          <w:tcPr>
            <w:tcW w:w="3162" w:type="dxa"/>
            <w:vMerge/>
          </w:tcPr>
          <w:p w14:paraId="2BA59559" w14:textId="77777777" w:rsidR="00425BA0" w:rsidRPr="006F3D27" w:rsidRDefault="00425BA0" w:rsidP="00847C80">
            <w:pPr>
              <w:jc w:val="both"/>
              <w:cnfStyle w:val="000000000000" w:firstRow="0" w:lastRow="0" w:firstColumn="0" w:lastColumn="0" w:oddVBand="0" w:evenVBand="0" w:oddHBand="0" w:evenHBand="0" w:firstRowFirstColumn="0" w:firstRowLastColumn="0" w:lastRowFirstColumn="0" w:lastRowLastColumn="0"/>
              <w:rPr>
                <w:i/>
                <w:sz w:val="18"/>
                <w:szCs w:val="18"/>
              </w:rPr>
            </w:pPr>
          </w:p>
        </w:tc>
      </w:tr>
      <w:tr w:rsidR="00425BA0" w:rsidRPr="006F3D27" w14:paraId="51AAF669"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0338D380" w14:textId="77777777" w:rsidR="00425BA0" w:rsidRPr="006F3D27" w:rsidRDefault="00425BA0" w:rsidP="00847C80">
            <w:pPr>
              <w:rPr>
                <w:sz w:val="18"/>
                <w:szCs w:val="18"/>
              </w:rPr>
            </w:pPr>
            <w:r w:rsidRPr="006F3D27">
              <w:rPr>
                <w:sz w:val="18"/>
                <w:szCs w:val="18"/>
              </w:rPr>
              <w:t>136</w:t>
            </w:r>
          </w:p>
        </w:tc>
        <w:tc>
          <w:tcPr>
            <w:tcW w:w="2461" w:type="dxa"/>
          </w:tcPr>
          <w:p w14:paraId="361686CE" w14:textId="77777777" w:rsidR="00425BA0" w:rsidRPr="006F3D27" w:rsidRDefault="00425BA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HOB yield</w:t>
            </w:r>
          </w:p>
        </w:tc>
        <w:tc>
          <w:tcPr>
            <w:tcW w:w="1102" w:type="dxa"/>
          </w:tcPr>
          <w:p w14:paraId="193E543F"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g</w:t>
            </w:r>
            <w:r w:rsidRPr="006F3D27">
              <w:rPr>
                <w:sz w:val="18"/>
                <w:szCs w:val="18"/>
                <w:vertAlign w:val="subscript"/>
              </w:rPr>
              <w:t>VS</w:t>
            </w:r>
            <w:r w:rsidRPr="006F3D27">
              <w:rPr>
                <w:sz w:val="18"/>
                <w:szCs w:val="18"/>
              </w:rPr>
              <w:t>.g</w:t>
            </w:r>
            <w:r w:rsidRPr="006F3D27">
              <w:rPr>
                <w:sz w:val="18"/>
                <w:szCs w:val="18"/>
                <w:vertAlign w:val="subscript"/>
              </w:rPr>
              <w:t>H2</w:t>
            </w:r>
            <w:r w:rsidRPr="006F3D27">
              <w:rPr>
                <w:sz w:val="18"/>
                <w:szCs w:val="18"/>
                <w:vertAlign w:val="superscript"/>
              </w:rPr>
              <w:t>-1</w:t>
            </w:r>
          </w:p>
        </w:tc>
        <w:tc>
          <w:tcPr>
            <w:tcW w:w="844" w:type="dxa"/>
          </w:tcPr>
          <w:p w14:paraId="0732C357"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2.94</w:t>
            </w:r>
          </w:p>
        </w:tc>
        <w:tc>
          <w:tcPr>
            <w:tcW w:w="983" w:type="dxa"/>
          </w:tcPr>
          <w:p w14:paraId="417C9AE6"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2.24-3.4</w:t>
            </w:r>
          </w:p>
        </w:tc>
        <w:tc>
          <w:tcPr>
            <w:tcW w:w="3162" w:type="dxa"/>
            <w:vMerge/>
          </w:tcPr>
          <w:p w14:paraId="644F4F88" w14:textId="77777777" w:rsidR="00425BA0" w:rsidRPr="006F3D27" w:rsidRDefault="00425BA0" w:rsidP="00847C80">
            <w:pPr>
              <w:jc w:val="both"/>
              <w:cnfStyle w:val="000000100000" w:firstRow="0" w:lastRow="0" w:firstColumn="0" w:lastColumn="0" w:oddVBand="0" w:evenVBand="0" w:oddHBand="1" w:evenHBand="0" w:firstRowFirstColumn="0" w:firstRowLastColumn="0" w:lastRowFirstColumn="0" w:lastRowLastColumn="0"/>
              <w:rPr>
                <w:i/>
                <w:sz w:val="18"/>
                <w:szCs w:val="18"/>
              </w:rPr>
            </w:pPr>
          </w:p>
        </w:tc>
      </w:tr>
      <w:tr w:rsidR="00425BA0" w:rsidRPr="006F3D27" w14:paraId="78A7CA30"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26BC0A77" w14:textId="77777777" w:rsidR="00425BA0" w:rsidRPr="006F3D27" w:rsidRDefault="00425BA0" w:rsidP="00847C80">
            <w:pPr>
              <w:rPr>
                <w:sz w:val="18"/>
                <w:szCs w:val="18"/>
              </w:rPr>
            </w:pPr>
            <w:r w:rsidRPr="006F3D27">
              <w:rPr>
                <w:sz w:val="18"/>
                <w:szCs w:val="18"/>
              </w:rPr>
              <w:t>137</w:t>
            </w:r>
          </w:p>
        </w:tc>
        <w:tc>
          <w:tcPr>
            <w:tcW w:w="2461" w:type="dxa"/>
          </w:tcPr>
          <w:p w14:paraId="16EA356C" w14:textId="77777777" w:rsidR="00425BA0" w:rsidRPr="006F3D27" w:rsidRDefault="00425BA0" w:rsidP="00847C80">
            <w:pPr>
              <w:jc w:val="right"/>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HOB H</w:t>
            </w:r>
            <w:r w:rsidRPr="006F3D27">
              <w:rPr>
                <w:sz w:val="18"/>
                <w:szCs w:val="18"/>
                <w:vertAlign w:val="subscript"/>
              </w:rPr>
              <w:t>2</w:t>
            </w:r>
            <w:r w:rsidRPr="006F3D27">
              <w:rPr>
                <w:sz w:val="18"/>
                <w:szCs w:val="18"/>
              </w:rPr>
              <w:t xml:space="preserve"> use efficiency</w:t>
            </w:r>
          </w:p>
        </w:tc>
        <w:tc>
          <w:tcPr>
            <w:tcW w:w="1102" w:type="dxa"/>
          </w:tcPr>
          <w:p w14:paraId="321040EF"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w:t>
            </w:r>
            <w:r w:rsidRPr="006F3D27">
              <w:rPr>
                <w:sz w:val="18"/>
                <w:szCs w:val="18"/>
                <w:vertAlign w:val="subscript"/>
              </w:rPr>
              <w:t>H2</w:t>
            </w:r>
          </w:p>
        </w:tc>
        <w:tc>
          <w:tcPr>
            <w:tcW w:w="844" w:type="dxa"/>
          </w:tcPr>
          <w:p w14:paraId="3497DC5A"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90%</w:t>
            </w:r>
          </w:p>
        </w:tc>
        <w:tc>
          <w:tcPr>
            <w:tcW w:w="983" w:type="dxa"/>
          </w:tcPr>
          <w:p w14:paraId="40ED4622"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80-99%</w:t>
            </w:r>
          </w:p>
        </w:tc>
        <w:tc>
          <w:tcPr>
            <w:tcW w:w="3162" w:type="dxa"/>
            <w:vMerge w:val="restart"/>
          </w:tcPr>
          <w:p w14:paraId="69A84D3B" w14:textId="6C705C75" w:rsidR="00425BA0" w:rsidRPr="006F3D27" w:rsidRDefault="00425BA0" w:rsidP="00847C80">
            <w:pPr>
              <w:jc w:val="both"/>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90% already achieved</w:t>
            </w:r>
            <w:r w:rsidRPr="006F3D27">
              <w:rPr>
                <w:i/>
                <w:sz w:val="18"/>
                <w:szCs w:val="18"/>
              </w:rPr>
              <w:fldChar w:fldCharType="begin"/>
            </w:r>
            <w:r w:rsidR="005413B4">
              <w:rPr>
                <w:i/>
                <w:sz w:val="18"/>
                <w:szCs w:val="18"/>
              </w:rPr>
              <w:instrText xml:space="preserve"> ADDIN ZOTERO_ITEM CSL_CITATION {"citationID":"diBzPhKk","properties":{"formattedCitation":"\\super 262\\nosupersub{}","plainCitation":"262","noteIndex":0},"citationItems":[{"id":576,"uris":["http://zotero.org/users/6423791/items/YRNPCS2Z"],"itemData":{"id":576,"type":"article-journal","abstract":"Domestic used water treatment systems are currently predominantly based on conventional resource inefﬁcient treatment processes. While resource recovery is gaining momentum it lacks high value endproducts which can be efﬁciently marketed. Microbial protein production offers a valid and promising alternative by upgrading low value recovered resources into high quality feed and also food. In the present study, we evaluated the potential of hydrogen-oxidizing bacteria to upgrade ammonium and carbon dioxide under autotrophic growth conditions. The enrichment of a generic microbial community and the implementation of different culture conditions (sequenced batch resp. continuous reactor) revealed surprising features. At low selection pressure (i.e. under sequenced batch culture at high solid retention time), a very diverse microbiome with an important presence of predatory Bdellovibrio spp. was observed. The microbial culture which evolved under high rate selection pressure (i.e. dilution rate D ¼ 0.1 hÀ1) under continuous reactor conditions was dominated by Sulfuricurvum spp. and a highly stable and efﬁcient process in terms of N and C uptake, biomass yield and volumetric productivity was attained. Under continuous culture conditions the maximum yield obtained was 0.29 g cell dry weight per gram chemical oxygen demand equivalent of hydrogen, whereas the maximum volumetric loading rate peaked 0.41 g cell dry weight per litre per hour at a protein content of 71%. Finally, the microbial protein produced was of high nutritive quality in terms of essential amino acids content and can be a suitable substitute for conventional feed sources such as ﬁshmeal or soybean meal.","container-title":"Water Research","DOI":"10.1016/j.watres.2016.05.077","ISSN":"00431354","journalAbbreviation":"Water Res.","language":"en","page":"137-146","source":"DOI.org (Crossref)","title":"Autotrophic nitrogen assimilation and carbon capture for microbial protein production by a novel enrichment of hydrogen-oxidizing bacteria","volume":"101","author":[{"family":"Matassa","given":"Silvio"},{"family":"Verstraete","given":"Willy"},{"family":"Pikaar","given":"Ilje"},{"family":"Boon","given":"Nico"}],"issued":{"date-parts":[["2016",9]]}}}],"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262</w:t>
            </w:r>
            <w:r w:rsidRPr="006F3D27">
              <w:rPr>
                <w:i/>
                <w:sz w:val="18"/>
                <w:szCs w:val="18"/>
              </w:rPr>
              <w:fldChar w:fldCharType="end"/>
            </w:r>
            <w:r w:rsidRPr="006F3D27">
              <w:rPr>
                <w:i/>
                <w:sz w:val="18"/>
                <w:szCs w:val="18"/>
              </w:rPr>
              <w:t>, but can be enhanced towards &gt;95%</w:t>
            </w:r>
            <w:r w:rsidRPr="006F3D27">
              <w:rPr>
                <w:i/>
                <w:sz w:val="18"/>
                <w:szCs w:val="18"/>
              </w:rPr>
              <w:fldChar w:fldCharType="begin"/>
            </w:r>
            <w:r w:rsidR="005413B4">
              <w:rPr>
                <w:i/>
                <w:sz w:val="18"/>
                <w:szCs w:val="18"/>
              </w:rPr>
              <w:instrText xml:space="preserve"> ADDIN ZOTERO_ITEM CSL_CITATION {"citationID":"zebxgsAn","properties":{"formattedCitation":"\\super 183,196\\nosupersub{}","plainCitation":"183,196","noteIndex":0},"citationItems":[{"id":5124,"uris":["http://zotero.org/users/6423791/items/QSN5G6WV"],"itemData":{"id":5124,"type":"article-journal","container-title":"Science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L."}],"issued":{"date-parts":[["2021",2]]}}},{"id":12839,"uris":["http://zotero.org/users/6423791/items/Z8P5BF6M"],"itemData":{"id":12839,"type":"article-journal","abstract":"This study evaluates the techno-economic feasibility of five solar-powered concepts for the production of autotrophic microorganisms for food and feed production; the main focus is on three concepts based on hydrogen-oxidizing bacteria (HOB), which are further compared to two microalgae-related concepts. Two locations with markedly different solar conditions are considered (Finland and Morocco), in which Morocco was found to be the most economically competitive for the cultivation of microalgae in open ponds and closed systems (1.4 and 1.9 € kg–1, respectively). Biomass production by combined water electrolysis and HOB cultivation results in higher costs for all three considered concepts. Among these, the lowest production cost of 5.3 € kg–1 is associated with grid-assisted electricity use in Finland, while the highest production cost of &gt;9.1 € kg–1 is determined for concepts using solely photovoltaics and/or photoelectrochemical technology for on-site electricity production and solar-energy conversion to H2 by water electrolysis. All assessed concepts are capital intensive. Furthermore, a sensitivity analysis suggests that the production costs of HOB biomass can be lowered down to 2.1 € kg–1 by optimization of the process parameters among which volumetric productivity, electricity strategy, and electricity costs have the highest cost-saving potentials. The study reveals that continuously available electricity and H2 supply are essential for the development of a viable HOB concept due to the capital intensity of the needed technologies. In addition, volumetric productivity is the key parameter that needs to be optimized to increase the economic competitiveness of HOB production.","container-title":"ACS Omega","DOI":"10.1021/acsomega.0c04926","issue":"51","note":"publisher: American Chemical Society","page":"33242-33252","source":"ACS Publications","title":"Solar-Powered Carbon Fixation for Food and Feed Production Using Microorganisms—A Comparative Techno-Economic Analysis","volume":"5","author":[{"family":"Nappa","given":"Marja"},{"family":"Lienemann","given":"Michael"},{"family":"Tossi","given":"Camilla"},{"family":"Blomberg","given":"Peter"},{"family":"Jäntti","given":"Jussi"},{"family":"Tittonen","given":"Ilkka Juhani"},{"family":"Penttilä","given":"Merja"}],"issued":{"date-parts":[["2020",12,29]]}}}],"schema":"https://github.com/citation-style-language/schema/raw/master/csl-citation.json"}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183,196</w:t>
            </w:r>
            <w:r w:rsidRPr="006F3D27">
              <w:rPr>
                <w:i/>
                <w:sz w:val="18"/>
                <w:szCs w:val="18"/>
              </w:rPr>
              <w:fldChar w:fldCharType="end"/>
            </w:r>
            <w:r w:rsidRPr="006F3D27">
              <w:rPr>
                <w:i/>
                <w:sz w:val="18"/>
                <w:szCs w:val="18"/>
              </w:rPr>
              <w:t>. Lower range often used</w:t>
            </w:r>
            <w:r w:rsidRPr="006F3D27">
              <w:rPr>
                <w:i/>
                <w:sz w:val="18"/>
                <w:szCs w:val="18"/>
              </w:rPr>
              <w:fldChar w:fldCharType="begin"/>
            </w:r>
            <w:r w:rsidR="005413B4">
              <w:rPr>
                <w:i/>
                <w:sz w:val="18"/>
                <w:szCs w:val="18"/>
              </w:rPr>
              <w:instrText xml:space="preserve"> ADDIN ZOTERO_ITEM CSL_CITATION {"citationID":"xmQO0y4Q","properties":{"formattedCitation":"\\super 187,191,194\\nosupersub{}","plainCitation":"187,191,194","noteIndex":0},"citationItems":[{"id":2354,"uris":["http://zotero.org/users/6423791/items/E7ZZWGWS"],"itemData":{"id":2354,"type":"article-journal","container-title":"Green Chem.","DOI":"10.1039/D0GC01382J","issue":"15","journalAbbreviation":"Green Chem.","language":"en","note":"publisher: Royal Society of Chemistry","page":"4912-4929","source":"pubs-rsc-org.gorgone.univ-toulouse.fr","title":"Upcycling of biowaste carbon and nutrients in line with consumer confidence: the “full gas” route to single cell protein","title-short":"Upcycling of biowaste carbon and nutrients in line with consumer confidence","volume":"22","author":[{"family":"Matassa","given":"Silvio"},{"family":"Papirio","given":"Stefano"},{"family":"Pikaar","given":"Ilje"},{"family":"Hülsen","given":"Tim"},{"family":"Leijenhorst","given":"Evert"},{"family":"Esposito","given":"Giovanni"},{"family":"Pirozzi","given":"Francesco"},{"family":"Verstraete","given":"Willy"}],"issued":{"date-parts":[["2020"]]}}},{"id":558,"uris":["http://zotero.org/users/6423791/items/YPK9LCXF"],"itemData":{"id":558,"type":"article-journal","abstract":"One of the main challenges for the 21st century is to balance the increasing demand for high-quality proteins while mitigating environmental impacts. In particular, cropland-based production of protein-rich animal feed for livestock rearing results in large-scale agricultural land-expansion, nitrogen pollution, and greenhouse gas emissions. Here we propose and analyze the longterm potential of alternative animal feed supply routes based on industrial production of microbial proteins (MP). Our analysis reveals that by 2050, MP can replace, depending on socioeconomic development and MP production pathways, between 10−19% of conventional crop-based animal feed protein demand. As a result, global cropland area, global nitrogen losses from croplands and agricultural greenhouse gas emissions can be decreased by 6% (0−13%), 8% (−3−8%), and 7% (−6−9%), respectively. Interestingly, the technology to industrially produce MP at competitive costs is directly accessible for implementation and has the potential to cause a major structural change in the agro-food system.","container-title":"Environmental Science &amp; Technology","DOI":"10.1021/acs.est.8b00216","ISSN":"0013-936X, 1520-5851","issue":"13","journalAbbreviation":"Environ. Sci. Technol.","language":"en","page":"7351-7359","source":"DOI.org (Crossref)","title":"Decoupling Livestock from Land Use through Industrial Feed Production Pathways","volume":"52","author":[{"family":"Pikaar","given":"Ilje"},{"family":"Matassa","given":"Silvio"},{"family":"Bodirsky","given":"Benjamin L."},{"family":"Weindl","given":"Isabelle"},{"family":"Humpenöder","given":"Florian"},{"family":"Rabaey","given":"Korneel"},{"family":"Boon","given":"Nico"},{"family":"Bruschi","given":"Michele"},{"family":"Yuan","given":"Zhiguo"},{"family":"Zanten","given":"Hannah","non-dropping-particle":"van"},{"family":"Herrero","given":"Mario"},{"family":"Verstraete","given":"Willy"},{"family":"Popp","given":"Alexander"}],"issued":{"date-parts":[["2018",7,3]]}}},{"id":9416,"uris":["http://zotero.org/users/6423791/items/QMGX9TUZ"],"itemData":{"id":9416,"type":"article-journal","abstract":"Purpose Renewable energy produced from wind turbines and solar photovoltaics (PV) has rapidly increased its share in global energy markets. At the same time, interest in producing hydrocarbons via power-to-X (PtX) approaches using renewables has grown as the technology has matured. However, there exist knowledge gaps related to environmental impacts of some PtX approaches. Power-to-food (PtF) application is one of those approaches. To evaluate the environmental impacts of different PtF approaches, life cycle assessment was performed.\nMethods The theoretical environmental potential of a novel concept of PtX technologies was investigated. Because PtX approaches have usually multiple technological solutions, such as the studied PtF application can have, several technological setups were chosen for the study. PtF application is seen as potentially being able to alleviate concerns about the sustainability of the global food sector, for example, as regards the land and water use impacts of food production. This study investigated four different environmental impact categories for microbial protein (MP) production via different technological setups of PtF from a cradle-to-gate perspective. The investigated impact categories include global warming potential, blue-water use, land use, and eutrophication. The research was carried out using a life cycle impact assessment method.\nResults and discussion The results for PtF processes were compared with the impacts of other MP production technologies and soybean production. The results indicate that significantly lower environmental impact can be achieved with PtF compared with the other protein production processes studied. The best-case PtF technology setups cause considerably lower land occupation, eutrophication, and blue-water consumption impacts compared with soybean production. However, the energy source used and the electricity-to-biomass efficiency of the bioreactor greatly affect the sustainability of the PtF approach. Some energy sources and technological choices result in higher environmental impacts than other MP and soybean production. When designing PtF production facilities, special attention should thus be given to the technology used.\nConclusions With some qualifications, PtF can be considered an option for improving global food security at minimal environmental impact. If the MP via the introduced application substitutes the most harmful practices of production other protein sources, the saved resources could be used to, for example, mitigation purposes or to improve food security elsewhere. However, there still exist challenges, such as food safety–related issues, to be solved before PtF application can be used for commercial use.","container-title":"The International Journal of Life Cycle Assessment","DOI":"10.1007/s11367-020-01771-3","ISSN":"0948-3349, 1614-7502","issue":"11","journalAbbreviation":"Int. J. Life Cycle Assess.","language":"en","page":"2190-2203","source":"DOI.org (Crossref)","title":"A life cycle environmental sustainability analysis of microbial protein production via power-to-food approaches","volume":"25","author":[{"family":"Sillman","given":"J."},{"family":"Uusitalo","given":"V."},{"family":"Ruuskanen","given":"V."},{"family":"Ojala","given":"L."},{"family":"Kahiluoto","given":"H."},{"family":"Soukka","given":"R."},{"family":"Ahola","given":"J."}],"issued":{"date-parts":[["2020",11]]}}}],"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187,191,194</w:t>
            </w:r>
            <w:r w:rsidRPr="006F3D27">
              <w:rPr>
                <w:i/>
                <w:sz w:val="18"/>
                <w:szCs w:val="18"/>
              </w:rPr>
              <w:fldChar w:fldCharType="end"/>
            </w:r>
            <w:r w:rsidRPr="006F3D27">
              <w:rPr>
                <w:i/>
                <w:sz w:val="18"/>
                <w:szCs w:val="18"/>
              </w:rPr>
              <w:t>.</w:t>
            </w:r>
          </w:p>
        </w:tc>
      </w:tr>
      <w:tr w:rsidR="00425BA0" w:rsidRPr="006F3D27" w14:paraId="3E528064"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58049A02" w14:textId="77777777" w:rsidR="00425BA0" w:rsidRPr="006F3D27" w:rsidRDefault="00425BA0" w:rsidP="00847C80">
            <w:pPr>
              <w:rPr>
                <w:sz w:val="18"/>
                <w:szCs w:val="18"/>
              </w:rPr>
            </w:pPr>
            <w:r w:rsidRPr="006F3D27">
              <w:rPr>
                <w:sz w:val="18"/>
                <w:szCs w:val="18"/>
              </w:rPr>
              <w:t>138</w:t>
            </w:r>
          </w:p>
        </w:tc>
        <w:tc>
          <w:tcPr>
            <w:tcW w:w="2461" w:type="dxa"/>
          </w:tcPr>
          <w:p w14:paraId="43952142" w14:textId="77777777" w:rsidR="00425BA0" w:rsidRPr="006F3D27" w:rsidRDefault="00425BA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HOB CO</w:t>
            </w:r>
            <w:r w:rsidRPr="006F3D27">
              <w:rPr>
                <w:sz w:val="18"/>
                <w:szCs w:val="18"/>
                <w:vertAlign w:val="subscript"/>
              </w:rPr>
              <w:t>2</w:t>
            </w:r>
            <w:r w:rsidRPr="006F3D27">
              <w:rPr>
                <w:sz w:val="18"/>
                <w:szCs w:val="18"/>
              </w:rPr>
              <w:t xml:space="preserve"> use efficiency</w:t>
            </w:r>
          </w:p>
        </w:tc>
        <w:tc>
          <w:tcPr>
            <w:tcW w:w="1102" w:type="dxa"/>
          </w:tcPr>
          <w:p w14:paraId="4B29B558"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w:t>
            </w:r>
            <w:r w:rsidRPr="006F3D27">
              <w:rPr>
                <w:sz w:val="18"/>
                <w:szCs w:val="18"/>
                <w:vertAlign w:val="subscript"/>
              </w:rPr>
              <w:t>CO2</w:t>
            </w:r>
          </w:p>
        </w:tc>
        <w:tc>
          <w:tcPr>
            <w:tcW w:w="844" w:type="dxa"/>
          </w:tcPr>
          <w:p w14:paraId="1A1EDF0B"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90%</w:t>
            </w:r>
          </w:p>
        </w:tc>
        <w:tc>
          <w:tcPr>
            <w:tcW w:w="983" w:type="dxa"/>
          </w:tcPr>
          <w:p w14:paraId="2D5F55F4"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80-99%</w:t>
            </w:r>
          </w:p>
        </w:tc>
        <w:tc>
          <w:tcPr>
            <w:tcW w:w="3162" w:type="dxa"/>
            <w:vMerge/>
          </w:tcPr>
          <w:p w14:paraId="3D714AE1" w14:textId="77777777" w:rsidR="00425BA0" w:rsidRPr="006F3D27" w:rsidRDefault="00425BA0" w:rsidP="00847C80">
            <w:pPr>
              <w:jc w:val="both"/>
              <w:cnfStyle w:val="000000100000" w:firstRow="0" w:lastRow="0" w:firstColumn="0" w:lastColumn="0" w:oddVBand="0" w:evenVBand="0" w:oddHBand="1" w:evenHBand="0" w:firstRowFirstColumn="0" w:firstRowLastColumn="0" w:lastRowFirstColumn="0" w:lastRowLastColumn="0"/>
              <w:rPr>
                <w:i/>
                <w:sz w:val="18"/>
                <w:szCs w:val="18"/>
              </w:rPr>
            </w:pPr>
          </w:p>
        </w:tc>
      </w:tr>
      <w:tr w:rsidR="00425BA0" w:rsidRPr="006F3D27" w14:paraId="0D23269A"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7E145052" w14:textId="77777777" w:rsidR="00425BA0" w:rsidRPr="006F3D27" w:rsidRDefault="00425BA0" w:rsidP="00847C80">
            <w:pPr>
              <w:rPr>
                <w:sz w:val="18"/>
                <w:szCs w:val="18"/>
              </w:rPr>
            </w:pPr>
            <w:r w:rsidRPr="006F3D27">
              <w:rPr>
                <w:sz w:val="18"/>
                <w:szCs w:val="18"/>
              </w:rPr>
              <w:t>139</w:t>
            </w:r>
          </w:p>
        </w:tc>
        <w:tc>
          <w:tcPr>
            <w:tcW w:w="2461" w:type="dxa"/>
          </w:tcPr>
          <w:p w14:paraId="6C5A4B61" w14:textId="77777777" w:rsidR="00425BA0" w:rsidRPr="006F3D27" w:rsidRDefault="00425BA0" w:rsidP="00847C80">
            <w:pPr>
              <w:jc w:val="right"/>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HOB culture density</w:t>
            </w:r>
          </w:p>
        </w:tc>
        <w:tc>
          <w:tcPr>
            <w:tcW w:w="1102" w:type="dxa"/>
          </w:tcPr>
          <w:p w14:paraId="5F0AB02A"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g.L</w:t>
            </w:r>
            <w:r w:rsidRPr="006F3D27">
              <w:rPr>
                <w:sz w:val="18"/>
                <w:szCs w:val="18"/>
                <w:vertAlign w:val="superscript"/>
              </w:rPr>
              <w:t>-1</w:t>
            </w:r>
          </w:p>
        </w:tc>
        <w:tc>
          <w:tcPr>
            <w:tcW w:w="844" w:type="dxa"/>
          </w:tcPr>
          <w:p w14:paraId="381512B3"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30</w:t>
            </w:r>
          </w:p>
        </w:tc>
        <w:tc>
          <w:tcPr>
            <w:tcW w:w="983" w:type="dxa"/>
          </w:tcPr>
          <w:p w14:paraId="1B7B35E5"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20-30</w:t>
            </w:r>
          </w:p>
        </w:tc>
        <w:tc>
          <w:tcPr>
            <w:tcW w:w="3162" w:type="dxa"/>
            <w:vMerge w:val="restart"/>
          </w:tcPr>
          <w:p w14:paraId="60CF5600" w14:textId="190C96E3" w:rsidR="00425BA0" w:rsidRPr="006F3D27" w:rsidRDefault="00425BA0" w:rsidP="00847C80">
            <w:pPr>
              <w:jc w:val="both"/>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 xml:space="preserve">See </w:t>
            </w:r>
            <w:r w:rsidR="00917881" w:rsidRPr="006F3D27">
              <w:rPr>
                <w:b/>
                <w:i/>
                <w:sz w:val="18"/>
                <w:szCs w:val="18"/>
              </w:rPr>
              <w:fldChar w:fldCharType="begin"/>
            </w:r>
            <w:r w:rsidR="00917881" w:rsidRPr="006F3D27">
              <w:rPr>
                <w:b/>
                <w:i/>
                <w:sz w:val="18"/>
                <w:szCs w:val="18"/>
              </w:rPr>
              <w:instrText xml:space="preserve"> REF _Ref144828671 \h  \* MERGEFORMAT </w:instrText>
            </w:r>
            <w:r w:rsidR="00917881" w:rsidRPr="006F3D27">
              <w:rPr>
                <w:b/>
                <w:i/>
                <w:sz w:val="18"/>
                <w:szCs w:val="18"/>
              </w:rPr>
            </w:r>
            <w:r w:rsidR="00917881" w:rsidRPr="006F3D27">
              <w:rPr>
                <w:b/>
                <w:i/>
                <w:sz w:val="18"/>
                <w:szCs w:val="18"/>
              </w:rPr>
              <w:fldChar w:fldCharType="separate"/>
            </w:r>
            <w:r w:rsidR="00F25F8C" w:rsidRPr="006F3D27">
              <w:rPr>
                <w:b/>
                <w:i/>
                <w:sz w:val="18"/>
                <w:szCs w:val="18"/>
              </w:rPr>
              <w:t xml:space="preserve">Table SI. </w:t>
            </w:r>
            <w:r w:rsidR="00F25F8C" w:rsidRPr="006F3D27">
              <w:rPr>
                <w:b/>
                <w:i/>
                <w:noProof/>
                <w:sz w:val="18"/>
                <w:szCs w:val="18"/>
              </w:rPr>
              <w:t>72</w:t>
            </w:r>
            <w:r w:rsidR="00917881" w:rsidRPr="006F3D27">
              <w:rPr>
                <w:b/>
                <w:i/>
                <w:sz w:val="18"/>
                <w:szCs w:val="18"/>
              </w:rPr>
              <w:fldChar w:fldCharType="end"/>
            </w:r>
          </w:p>
        </w:tc>
      </w:tr>
      <w:tr w:rsidR="00425BA0" w:rsidRPr="006F3D27" w14:paraId="5FBC8CE4"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188CAB4E" w14:textId="77777777" w:rsidR="00425BA0" w:rsidRPr="006F3D27" w:rsidRDefault="00425BA0" w:rsidP="00847C80">
            <w:pPr>
              <w:rPr>
                <w:sz w:val="18"/>
                <w:szCs w:val="18"/>
              </w:rPr>
            </w:pPr>
            <w:r w:rsidRPr="006F3D27">
              <w:rPr>
                <w:sz w:val="18"/>
                <w:szCs w:val="18"/>
              </w:rPr>
              <w:t>140</w:t>
            </w:r>
          </w:p>
        </w:tc>
        <w:tc>
          <w:tcPr>
            <w:tcW w:w="2461" w:type="dxa"/>
          </w:tcPr>
          <w:p w14:paraId="67947C24" w14:textId="77777777" w:rsidR="00425BA0" w:rsidRPr="006F3D27" w:rsidRDefault="00425BA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MOB metabolic heat</w:t>
            </w:r>
          </w:p>
        </w:tc>
        <w:tc>
          <w:tcPr>
            <w:tcW w:w="1102" w:type="dxa"/>
          </w:tcPr>
          <w:p w14:paraId="466B62BF"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6F3D27">
              <w:rPr>
                <w:sz w:val="18"/>
                <w:szCs w:val="18"/>
              </w:rPr>
              <w:t>kJ.molC</w:t>
            </w:r>
            <w:r w:rsidRPr="006F3D27">
              <w:rPr>
                <w:sz w:val="18"/>
                <w:szCs w:val="18"/>
                <w:vertAlign w:val="subscript"/>
              </w:rPr>
              <w:t>X</w:t>
            </w:r>
            <w:proofErr w:type="gramEnd"/>
            <w:r w:rsidRPr="006F3D27">
              <w:rPr>
                <w:sz w:val="18"/>
                <w:szCs w:val="18"/>
                <w:vertAlign w:val="superscript"/>
              </w:rPr>
              <w:t>-1</w:t>
            </w:r>
          </w:p>
        </w:tc>
        <w:tc>
          <w:tcPr>
            <w:tcW w:w="844" w:type="dxa"/>
          </w:tcPr>
          <w:p w14:paraId="20B801EB"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744</w:t>
            </w:r>
          </w:p>
        </w:tc>
        <w:tc>
          <w:tcPr>
            <w:tcW w:w="983" w:type="dxa"/>
          </w:tcPr>
          <w:p w14:paraId="4E2E679E"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700-800</w:t>
            </w:r>
          </w:p>
        </w:tc>
        <w:tc>
          <w:tcPr>
            <w:tcW w:w="3162" w:type="dxa"/>
            <w:vMerge/>
          </w:tcPr>
          <w:p w14:paraId="6549EAAB" w14:textId="77777777" w:rsidR="00425BA0" w:rsidRPr="006F3D27" w:rsidRDefault="00425BA0" w:rsidP="00847C80">
            <w:pPr>
              <w:jc w:val="both"/>
              <w:cnfStyle w:val="000000100000" w:firstRow="0" w:lastRow="0" w:firstColumn="0" w:lastColumn="0" w:oddVBand="0" w:evenVBand="0" w:oddHBand="1" w:evenHBand="0" w:firstRowFirstColumn="0" w:firstRowLastColumn="0" w:lastRowFirstColumn="0" w:lastRowLastColumn="0"/>
              <w:rPr>
                <w:i/>
                <w:sz w:val="18"/>
                <w:szCs w:val="18"/>
              </w:rPr>
            </w:pPr>
          </w:p>
        </w:tc>
      </w:tr>
      <w:tr w:rsidR="00425BA0" w:rsidRPr="006F3D27" w14:paraId="037E0234"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5F7600CF" w14:textId="77777777" w:rsidR="00425BA0" w:rsidRPr="006F3D27" w:rsidRDefault="00425BA0" w:rsidP="00847C80">
            <w:pPr>
              <w:rPr>
                <w:sz w:val="18"/>
                <w:szCs w:val="18"/>
              </w:rPr>
            </w:pPr>
            <w:r w:rsidRPr="006F3D27">
              <w:rPr>
                <w:sz w:val="18"/>
                <w:szCs w:val="18"/>
              </w:rPr>
              <w:t>146</w:t>
            </w:r>
          </w:p>
        </w:tc>
        <w:tc>
          <w:tcPr>
            <w:tcW w:w="2461" w:type="dxa"/>
          </w:tcPr>
          <w:p w14:paraId="4D09FA50" w14:textId="77777777" w:rsidR="00425BA0" w:rsidRPr="006F3D27" w:rsidRDefault="00425BA0" w:rsidP="00847C80">
            <w:pPr>
              <w:jc w:val="right"/>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Share of water reused</w:t>
            </w:r>
          </w:p>
        </w:tc>
        <w:tc>
          <w:tcPr>
            <w:tcW w:w="1102" w:type="dxa"/>
          </w:tcPr>
          <w:p w14:paraId="12D4A53C"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w:t>
            </w:r>
            <w:r w:rsidRPr="006F3D27">
              <w:rPr>
                <w:sz w:val="18"/>
                <w:szCs w:val="18"/>
                <w:vertAlign w:val="subscript"/>
              </w:rPr>
              <w:t>outlet</w:t>
            </w:r>
          </w:p>
        </w:tc>
        <w:tc>
          <w:tcPr>
            <w:tcW w:w="844" w:type="dxa"/>
          </w:tcPr>
          <w:p w14:paraId="02D39DEE"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92%</w:t>
            </w:r>
          </w:p>
        </w:tc>
        <w:tc>
          <w:tcPr>
            <w:tcW w:w="983" w:type="dxa"/>
          </w:tcPr>
          <w:p w14:paraId="0B5E709B"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80-92%</w:t>
            </w:r>
          </w:p>
        </w:tc>
        <w:tc>
          <w:tcPr>
            <w:tcW w:w="3162" w:type="dxa"/>
          </w:tcPr>
          <w:p w14:paraId="4112A62E" w14:textId="040E955E" w:rsidR="00425BA0" w:rsidRPr="006F3D27" w:rsidRDefault="00425BA0" w:rsidP="00847C80">
            <w:pPr>
              <w:jc w:val="both"/>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92% to be in line with medium use as in Levett et al., 2016</w:t>
            </w:r>
            <w:r w:rsidRPr="006F3D27">
              <w:rPr>
                <w:i/>
                <w:sz w:val="18"/>
                <w:szCs w:val="18"/>
              </w:rPr>
              <w:fldChar w:fldCharType="begin"/>
            </w:r>
            <w:r w:rsidR="005413B4">
              <w:rPr>
                <w:i/>
                <w:sz w:val="18"/>
                <w:szCs w:val="18"/>
              </w:rPr>
              <w:instrText xml:space="preserve"> ADDIN ZOTERO_ITEM CSL_CITATION {"citationID":"biYg261W","properties":{"formattedCitation":"\\super 186\\nosupersub{}","plainCitation":"186","noteIndex":0},"citationItems":[{"id":12881,"uris":["http://zotero.org/users/6423791/items/XFWA5FUP"],"itemData":{"id":12881,"type":"article-journal","abstract":"A major obstacle preventing the large scale production of polyhydroxyalkanoates (PHAs) has been the lack of a reliable, low cost, large volume feedstock. The abundance and relatively low price of methane therefore marks it as a substrate of interest. This paper presents a techno-economic assessment of the production of poly-3-hydroxybutyrate (PHB) from methane. ASPEN Plus was used for process design and simulation. The design and economic evaluation is presented for production of 100,000t/a PHB through methanotrophic fermentation and acetone-water solvent extraction. Production costs were estimated at $4.1–$6.8/kg PHA, which compares against a median price of $7.5/kg from other studies. Raw material costs are reduced from 30 to 50% of production for sugar feedstocks, to 22% of production for methane. A feature of the work is the revelation that heat removal from the two-stage bioreactor process contributes 28% of the operating cost. Thermophilic methanotrophs could allow the use of cooling water instead of refrigerant, reducing production costs to $3.2–5.4/kg PHA; it is noted that PHB producing thermophilic methanotrophs are yet to be isolated. Energy consumption for air compression and biomass drying were also identified as significant capital and operating costs and therefore optimisation of bioreactor height and pressure and biomass moisture content should be considered in future research.","container-title":"Journal of Environmental Chemical Engineering","DOI":"10.1016/j.jece.2016.07.033","ISSN":"2213-3437","issue":"4, Part A","journalAbbreviation":"J. Environ. Chem. Eng.","language":"en","page":"3724-3733","source":"ScienceDirect","title":"Techno-economic assessment of poly-3-hydroxybutyrate (PHB) production from methane—The case for thermophilic bioprocessing","volume":"4","author":[{"family":"Levett","given":"Ian"},{"family":"Birkett","given":"Greg"},{"family":"Davies","given":"Nick"},{"family":"Bell","given":"Aidan"},{"family":"Langford","given":"Alexandra"},{"family":"Laycock","given":"Bronwyn"},{"family":"Lant","given":"Paul"},{"family":"Pratt","given":"Steven"}],"issued":{"date-parts":[["2016",12,1]]}}}],"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186</w:t>
            </w:r>
            <w:r w:rsidRPr="006F3D27">
              <w:rPr>
                <w:i/>
                <w:sz w:val="18"/>
                <w:szCs w:val="18"/>
              </w:rPr>
              <w:fldChar w:fldCharType="end"/>
            </w:r>
            <w:r w:rsidRPr="006F3D27">
              <w:rPr>
                <w:i/>
                <w:sz w:val="18"/>
                <w:szCs w:val="18"/>
              </w:rPr>
              <w:t>. Usually 80-90% are considered</w:t>
            </w:r>
            <w:r w:rsidRPr="006F3D27">
              <w:rPr>
                <w:i/>
                <w:sz w:val="18"/>
                <w:szCs w:val="18"/>
              </w:rPr>
              <w:fldChar w:fldCharType="begin"/>
            </w:r>
            <w:r w:rsidR="005413B4">
              <w:rPr>
                <w:i/>
                <w:sz w:val="18"/>
                <w:szCs w:val="18"/>
              </w:rPr>
              <w:instrText xml:space="preserve"> ADDIN ZOTERO_ITEM CSL_CITATION {"citationID":"gXqdTi5E","properties":{"formattedCitation":"\\super 183,184\\nosupersub{}","plainCitation":"183,184","noteIndex":0},"citationItems":[{"id":12428,"uris":["http://zotero.org/users/6423791/items/6T57THSK"],"itemData":{"id":12428,"type":"thesis","number-of-pages":"149","publisher":"Standford University","title":"Engineering the Dark Food Chain:the Role of Methanotrophic Bacteria Infood Production and Climate Change Mitigation","URL":"https://stacks.stanford.edu/file/druid:bg967bh2013/ElAbbadi_dissertation_2021-07-19-augmented.pdf","author":[{"family":"El Abbadi","given":"Sahar H."}],"accessed":{"date-parts":[["2021",11,30]]},"issued":{"date-parts":[["2021",7]]}}},{"id":5124,"uris":["http://zotero.org/users/6423791/items/QSN5G6WV"],"itemData":{"id":5124,"type":"article-journal","container-title":"Science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183,184</w:t>
            </w:r>
            <w:r w:rsidRPr="006F3D27">
              <w:rPr>
                <w:i/>
                <w:sz w:val="18"/>
                <w:szCs w:val="18"/>
              </w:rPr>
              <w:fldChar w:fldCharType="end"/>
            </w:r>
            <w:r w:rsidRPr="006F3D27">
              <w:rPr>
                <w:i/>
                <w:sz w:val="18"/>
                <w:szCs w:val="18"/>
              </w:rPr>
              <w:t>.</w:t>
            </w:r>
          </w:p>
        </w:tc>
      </w:tr>
      <w:tr w:rsidR="00425BA0" w:rsidRPr="006F3D27" w14:paraId="06A9C2EA"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142744BC" w14:textId="77777777" w:rsidR="00425BA0" w:rsidRPr="006F3D27" w:rsidRDefault="00425BA0" w:rsidP="00847C80">
            <w:pPr>
              <w:rPr>
                <w:sz w:val="18"/>
                <w:szCs w:val="18"/>
              </w:rPr>
            </w:pPr>
            <w:r w:rsidRPr="006F3D27">
              <w:rPr>
                <w:sz w:val="18"/>
                <w:szCs w:val="18"/>
              </w:rPr>
              <w:t>147</w:t>
            </w:r>
          </w:p>
        </w:tc>
        <w:tc>
          <w:tcPr>
            <w:tcW w:w="2461" w:type="dxa"/>
          </w:tcPr>
          <w:p w14:paraId="41848A7B" w14:textId="77777777" w:rsidR="00425BA0" w:rsidRPr="006F3D27" w:rsidRDefault="00425BA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MP sterilization temperature</w:t>
            </w:r>
          </w:p>
        </w:tc>
        <w:tc>
          <w:tcPr>
            <w:tcW w:w="1102" w:type="dxa"/>
          </w:tcPr>
          <w:p w14:paraId="14C174A4"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°C</w:t>
            </w:r>
          </w:p>
        </w:tc>
        <w:tc>
          <w:tcPr>
            <w:tcW w:w="844" w:type="dxa"/>
          </w:tcPr>
          <w:p w14:paraId="5CA476E4"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105</w:t>
            </w:r>
          </w:p>
        </w:tc>
        <w:tc>
          <w:tcPr>
            <w:tcW w:w="983" w:type="dxa"/>
          </w:tcPr>
          <w:p w14:paraId="2C71F553"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90-120</w:t>
            </w:r>
          </w:p>
        </w:tc>
        <w:tc>
          <w:tcPr>
            <w:tcW w:w="3162" w:type="dxa"/>
          </w:tcPr>
          <w:p w14:paraId="2ADD4B98" w14:textId="5E45AA63" w:rsidR="00425BA0" w:rsidRPr="006F3D27" w:rsidRDefault="00425BA0" w:rsidP="00847C80">
            <w:pPr>
              <w:jc w:val="both"/>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t>Average of 90°C (current Quorn process) and 120°C (mentioned Solar Foods)</w:t>
            </w:r>
            <w:r w:rsidRPr="006F3D27">
              <w:rPr>
                <w:i/>
                <w:sz w:val="18"/>
                <w:szCs w:val="18"/>
              </w:rPr>
              <w:fldChar w:fldCharType="begin"/>
            </w:r>
            <w:r w:rsidR="005413B4">
              <w:rPr>
                <w:i/>
                <w:sz w:val="18"/>
                <w:szCs w:val="18"/>
              </w:rPr>
              <w:instrText xml:space="preserve"> ADDIN ZOTERO_ITEM CSL_CITATION {"citationID":"wndGEcw5","properties":{"formattedCitation":"\\super 183\\nosupersub{}","plainCitation":"183","noteIndex":0},"citationItems":[{"id":5124,"uris":["http://zotero.org/users/6423791/items/QSN5G6WV"],"itemData":{"id":5124,"type":"article-journal","container-title":"Science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L."}],"issued":{"date-parts":[["2021",2]]}}}],"schema":"https://github.com/citation-style-language/schema/raw/master/csl-citation.json"} </w:instrText>
            </w:r>
            <w:r w:rsidRPr="006F3D27">
              <w:rPr>
                <w:i/>
                <w:sz w:val="18"/>
                <w:szCs w:val="18"/>
              </w:rPr>
              <w:fldChar w:fldCharType="separate"/>
            </w:r>
            <w:r w:rsidR="005413B4" w:rsidRPr="005413B4">
              <w:rPr>
                <w:rFonts w:ascii="Calibri" w:hAnsi="Calibri" w:cs="Calibri"/>
                <w:sz w:val="18"/>
                <w:szCs w:val="24"/>
                <w:vertAlign w:val="superscript"/>
              </w:rPr>
              <w:t>183</w:t>
            </w:r>
            <w:r w:rsidRPr="006F3D27">
              <w:rPr>
                <w:i/>
                <w:sz w:val="18"/>
                <w:szCs w:val="18"/>
              </w:rPr>
              <w:fldChar w:fldCharType="end"/>
            </w:r>
          </w:p>
        </w:tc>
      </w:tr>
      <w:tr w:rsidR="00425BA0" w:rsidRPr="006F3D27" w14:paraId="31B26C8D"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39A7436E" w14:textId="77777777" w:rsidR="00425BA0" w:rsidRPr="006F3D27" w:rsidRDefault="00425BA0" w:rsidP="00847C80">
            <w:pPr>
              <w:rPr>
                <w:sz w:val="18"/>
                <w:szCs w:val="18"/>
              </w:rPr>
            </w:pPr>
            <w:r w:rsidRPr="006F3D27">
              <w:rPr>
                <w:sz w:val="18"/>
                <w:szCs w:val="18"/>
              </w:rPr>
              <w:t>148</w:t>
            </w:r>
          </w:p>
        </w:tc>
        <w:tc>
          <w:tcPr>
            <w:tcW w:w="2461" w:type="dxa"/>
          </w:tcPr>
          <w:p w14:paraId="60D2A42E" w14:textId="77777777" w:rsidR="00425BA0" w:rsidRPr="006F3D27" w:rsidRDefault="00425BA0" w:rsidP="00847C80">
            <w:pPr>
              <w:jc w:val="right"/>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MP RNA removal losses</w:t>
            </w:r>
          </w:p>
        </w:tc>
        <w:tc>
          <w:tcPr>
            <w:tcW w:w="1102" w:type="dxa"/>
          </w:tcPr>
          <w:p w14:paraId="0BF17505"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w:t>
            </w:r>
            <w:r w:rsidRPr="006F3D27">
              <w:rPr>
                <w:sz w:val="18"/>
                <w:szCs w:val="18"/>
                <w:vertAlign w:val="subscript"/>
              </w:rPr>
              <w:t>DMin</w:t>
            </w:r>
          </w:p>
        </w:tc>
        <w:tc>
          <w:tcPr>
            <w:tcW w:w="844" w:type="dxa"/>
          </w:tcPr>
          <w:p w14:paraId="49230168"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23%</w:t>
            </w:r>
          </w:p>
        </w:tc>
        <w:tc>
          <w:tcPr>
            <w:tcW w:w="983" w:type="dxa"/>
          </w:tcPr>
          <w:p w14:paraId="5EF9BC49"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15%-30%</w:t>
            </w:r>
          </w:p>
        </w:tc>
        <w:tc>
          <w:tcPr>
            <w:tcW w:w="3162" w:type="dxa"/>
          </w:tcPr>
          <w:p w14:paraId="2DB91DA1" w14:textId="3F11576D" w:rsidR="00425BA0" w:rsidRPr="006F3D27" w:rsidRDefault="00425BA0" w:rsidP="00847C80">
            <w:pPr>
              <w:jc w:val="both"/>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Review different techniques</w:t>
            </w:r>
            <w:r w:rsidRPr="006F3D27">
              <w:rPr>
                <w:i/>
                <w:sz w:val="18"/>
                <w:szCs w:val="18"/>
              </w:rPr>
              <w:fldChar w:fldCharType="begin"/>
            </w:r>
            <w:r w:rsidR="00827449">
              <w:rPr>
                <w:i/>
                <w:sz w:val="18"/>
                <w:szCs w:val="18"/>
              </w:rPr>
              <w:instrText xml:space="preserve"> ADDIN ZOTERO_ITEM CSL_CITATION {"citationID":"EJoSA3rR","properties":{"formattedCitation":"\\super 41\\nosupersub{}","plainCitation":"41","noteIndex":0},"citationItems":[{"id":13068,"uris":["http://zotero.org/users/6423791/items/RK8J2DQC"],"itemData":{"id":13068,"type":"article-journal","abstract":"Alternative protein sources such as microbial protein (MP) are currently considered to alleviate the burden that food production exerts on the environment. Even though MP production is highly efficient in land and nutrient utilization, their carbon footprint should be improved. Here we propose the use of CCU as a driver for heterotrophic MP production. By comparing different MP production routes starting from liquid substrates derived from CO2 (i.e., formate, acetate, methanol, and ethanol) and their respective metabolic pathways, the potential of this concept as a carbon–neutral food or feed production process was estimated. Acetate and ethanol appear to be the most beneficial substrates for the integrated CCU-to-MP process in terms of electricity demand (acetate: 25 – 54 kWh/kgproduct, ethanol: 28 – 56 kWh/kgproduct). Moreover, recycling CO2 enables a carbon-negative protein production process by 2030 (considering the projected CO2 emissions from electricity in the EU: 0.096 kgCO2-eq/kWh) for formate, acetate, and ethanol (-1.1 up to 13 kgCO2-eq/kgproduct).","container-title":"Bioresource Technology","DOI":"10.1016/j.biortech.2022.126853","ISSN":"0960-8524","journalAbbreviation":"Bioresour. Technol.","language":"en","page":"126853","source":"ScienceDirect","title":"Towards new carbon–neutral food systems: Combining carbon capture and utilization with microbial protein production","title-short":"Towards new carbon–neutral food systems","volume":"349","author":[{"family":"Van Peteghem","given":"L."},{"family":"Sakarika","given":"M."},{"family":"Matassa","given":"S."},{"family":"Pikaar","given":"I."},{"family":"Ganigué","given":"R."},{"family":"Rabaey","given":"K."}],"issued":{"date-parts":[["2022",4,1]]}}}],"schema":"https://github.com/citation-style-language/schema/raw/master/csl-citation.json"} </w:instrText>
            </w:r>
            <w:r w:rsidRPr="006F3D27">
              <w:rPr>
                <w:i/>
                <w:sz w:val="18"/>
                <w:szCs w:val="18"/>
              </w:rPr>
              <w:fldChar w:fldCharType="separate"/>
            </w:r>
            <w:r w:rsidR="008C451C" w:rsidRPr="008C451C">
              <w:rPr>
                <w:rFonts w:ascii="Calibri" w:hAnsi="Calibri" w:cs="Calibri"/>
                <w:sz w:val="18"/>
                <w:szCs w:val="24"/>
                <w:vertAlign w:val="superscript"/>
              </w:rPr>
              <w:t>41</w:t>
            </w:r>
            <w:r w:rsidRPr="006F3D27">
              <w:rPr>
                <w:i/>
                <w:sz w:val="18"/>
                <w:szCs w:val="18"/>
              </w:rPr>
              <w:fldChar w:fldCharType="end"/>
            </w:r>
          </w:p>
        </w:tc>
      </w:tr>
      <w:tr w:rsidR="00425BA0" w:rsidRPr="006F3D27" w14:paraId="7F7E86AB"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24FB2681" w14:textId="77777777" w:rsidR="00425BA0" w:rsidRPr="006F3D27" w:rsidRDefault="00425BA0" w:rsidP="00847C80">
            <w:pPr>
              <w:rPr>
                <w:sz w:val="18"/>
                <w:szCs w:val="18"/>
              </w:rPr>
            </w:pPr>
            <w:r w:rsidRPr="006F3D27">
              <w:rPr>
                <w:sz w:val="18"/>
                <w:szCs w:val="18"/>
              </w:rPr>
              <w:t>24</w:t>
            </w:r>
          </w:p>
        </w:tc>
        <w:tc>
          <w:tcPr>
            <w:tcW w:w="2461" w:type="dxa"/>
          </w:tcPr>
          <w:p w14:paraId="5200EF11" w14:textId="77777777" w:rsidR="00425BA0" w:rsidRPr="006F3D27" w:rsidRDefault="00425BA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UF electricity</w:t>
            </w:r>
          </w:p>
        </w:tc>
        <w:tc>
          <w:tcPr>
            <w:tcW w:w="1102" w:type="dxa"/>
          </w:tcPr>
          <w:p w14:paraId="08E02E9A"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kWh.m</w:t>
            </w:r>
            <w:r w:rsidRPr="006F3D27">
              <w:rPr>
                <w:sz w:val="18"/>
                <w:szCs w:val="18"/>
                <w:vertAlign w:val="superscript"/>
              </w:rPr>
              <w:t>-3</w:t>
            </w:r>
          </w:p>
        </w:tc>
        <w:tc>
          <w:tcPr>
            <w:tcW w:w="844" w:type="dxa"/>
          </w:tcPr>
          <w:p w14:paraId="1B68921B"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0.04</w:t>
            </w:r>
          </w:p>
        </w:tc>
        <w:tc>
          <w:tcPr>
            <w:tcW w:w="983" w:type="dxa"/>
          </w:tcPr>
          <w:p w14:paraId="15B9C637"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0.04-0.15</w:t>
            </w:r>
          </w:p>
        </w:tc>
        <w:tc>
          <w:tcPr>
            <w:tcW w:w="3162" w:type="dxa"/>
            <w:vMerge w:val="restart"/>
          </w:tcPr>
          <w:p w14:paraId="12F5EC7F" w14:textId="0AC0E0E3" w:rsidR="00425BA0" w:rsidRPr="006F3D27" w:rsidRDefault="00425BA0" w:rsidP="00847C80">
            <w:pPr>
              <w:jc w:val="both"/>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t xml:space="preserve">See </w:t>
            </w:r>
            <w:r w:rsidR="00917881" w:rsidRPr="006F3D27">
              <w:rPr>
                <w:b/>
                <w:i/>
                <w:sz w:val="18"/>
                <w:szCs w:val="18"/>
              </w:rPr>
              <w:fldChar w:fldCharType="begin"/>
            </w:r>
            <w:r w:rsidR="00917881" w:rsidRPr="006F3D27">
              <w:rPr>
                <w:b/>
                <w:i/>
                <w:sz w:val="18"/>
                <w:szCs w:val="18"/>
              </w:rPr>
              <w:instrText xml:space="preserve"> REF _Ref144830209 \h  \* MERGEFORMAT </w:instrText>
            </w:r>
            <w:r w:rsidR="00917881" w:rsidRPr="006F3D27">
              <w:rPr>
                <w:b/>
                <w:i/>
                <w:sz w:val="18"/>
                <w:szCs w:val="18"/>
              </w:rPr>
            </w:r>
            <w:r w:rsidR="00917881" w:rsidRPr="006F3D27">
              <w:rPr>
                <w:b/>
                <w:i/>
                <w:sz w:val="18"/>
                <w:szCs w:val="18"/>
              </w:rPr>
              <w:fldChar w:fldCharType="separate"/>
            </w:r>
            <w:r w:rsidR="00F25F8C" w:rsidRPr="006F3D27">
              <w:rPr>
                <w:b/>
                <w:i/>
                <w:sz w:val="18"/>
                <w:szCs w:val="18"/>
              </w:rPr>
              <w:t xml:space="preserve">Table SI. </w:t>
            </w:r>
            <w:r w:rsidR="00F25F8C" w:rsidRPr="006F3D27">
              <w:rPr>
                <w:b/>
                <w:i/>
                <w:noProof/>
                <w:sz w:val="18"/>
                <w:szCs w:val="18"/>
              </w:rPr>
              <w:t>75</w:t>
            </w:r>
            <w:r w:rsidR="00917881" w:rsidRPr="006F3D27">
              <w:rPr>
                <w:b/>
                <w:i/>
                <w:sz w:val="18"/>
                <w:szCs w:val="18"/>
              </w:rPr>
              <w:fldChar w:fldCharType="end"/>
            </w:r>
          </w:p>
        </w:tc>
      </w:tr>
      <w:tr w:rsidR="00425BA0" w:rsidRPr="006F3D27" w14:paraId="016E78BD"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340159B7" w14:textId="77777777" w:rsidR="00425BA0" w:rsidRPr="006F3D27" w:rsidRDefault="00425BA0" w:rsidP="00847C80">
            <w:pPr>
              <w:rPr>
                <w:sz w:val="18"/>
                <w:szCs w:val="18"/>
              </w:rPr>
            </w:pPr>
            <w:r w:rsidRPr="006F3D27">
              <w:rPr>
                <w:sz w:val="18"/>
                <w:szCs w:val="18"/>
              </w:rPr>
              <w:t>25</w:t>
            </w:r>
          </w:p>
        </w:tc>
        <w:tc>
          <w:tcPr>
            <w:tcW w:w="2461" w:type="dxa"/>
          </w:tcPr>
          <w:p w14:paraId="32DB843E" w14:textId="77777777" w:rsidR="00425BA0" w:rsidRPr="006F3D27" w:rsidRDefault="00425BA0" w:rsidP="00847C80">
            <w:pPr>
              <w:jc w:val="right"/>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UF DM out</w:t>
            </w:r>
          </w:p>
        </w:tc>
        <w:tc>
          <w:tcPr>
            <w:tcW w:w="1102" w:type="dxa"/>
          </w:tcPr>
          <w:p w14:paraId="2A6D124B"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w:t>
            </w:r>
            <w:r w:rsidRPr="006F3D27">
              <w:rPr>
                <w:sz w:val="18"/>
                <w:szCs w:val="18"/>
                <w:vertAlign w:val="subscript"/>
              </w:rPr>
              <w:t>DM</w:t>
            </w:r>
          </w:p>
        </w:tc>
        <w:tc>
          <w:tcPr>
            <w:tcW w:w="844" w:type="dxa"/>
          </w:tcPr>
          <w:p w14:paraId="3563A3EF"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13%</w:t>
            </w:r>
          </w:p>
        </w:tc>
        <w:tc>
          <w:tcPr>
            <w:tcW w:w="983" w:type="dxa"/>
          </w:tcPr>
          <w:p w14:paraId="4A94D5C0"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10-15%</w:t>
            </w:r>
          </w:p>
        </w:tc>
        <w:tc>
          <w:tcPr>
            <w:tcW w:w="3162" w:type="dxa"/>
            <w:vMerge/>
          </w:tcPr>
          <w:p w14:paraId="4AD8FCFE"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i/>
                <w:sz w:val="18"/>
                <w:szCs w:val="18"/>
              </w:rPr>
            </w:pPr>
          </w:p>
        </w:tc>
      </w:tr>
      <w:tr w:rsidR="00425BA0" w:rsidRPr="006F3D27" w14:paraId="572663FC"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061AA3AF" w14:textId="77777777" w:rsidR="00425BA0" w:rsidRPr="006F3D27" w:rsidRDefault="00425BA0" w:rsidP="00847C80">
            <w:pPr>
              <w:rPr>
                <w:sz w:val="18"/>
                <w:szCs w:val="18"/>
              </w:rPr>
            </w:pPr>
            <w:r w:rsidRPr="006F3D27">
              <w:rPr>
                <w:sz w:val="18"/>
                <w:szCs w:val="18"/>
              </w:rPr>
              <w:t>26</w:t>
            </w:r>
          </w:p>
        </w:tc>
        <w:tc>
          <w:tcPr>
            <w:tcW w:w="2461" w:type="dxa"/>
          </w:tcPr>
          <w:p w14:paraId="47062CD1" w14:textId="77777777" w:rsidR="00425BA0" w:rsidRPr="006F3D27" w:rsidRDefault="00425BA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Centrifuge DM out</w:t>
            </w:r>
          </w:p>
        </w:tc>
        <w:tc>
          <w:tcPr>
            <w:tcW w:w="1102" w:type="dxa"/>
          </w:tcPr>
          <w:p w14:paraId="52F234C2"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w:t>
            </w:r>
            <w:r w:rsidRPr="006F3D27">
              <w:rPr>
                <w:sz w:val="18"/>
                <w:szCs w:val="18"/>
                <w:vertAlign w:val="subscript"/>
              </w:rPr>
              <w:t>DM</w:t>
            </w:r>
          </w:p>
        </w:tc>
        <w:tc>
          <w:tcPr>
            <w:tcW w:w="844" w:type="dxa"/>
          </w:tcPr>
          <w:p w14:paraId="30DEE778"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30%</w:t>
            </w:r>
          </w:p>
        </w:tc>
        <w:tc>
          <w:tcPr>
            <w:tcW w:w="983" w:type="dxa"/>
          </w:tcPr>
          <w:p w14:paraId="7262BD22"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20-35%</w:t>
            </w:r>
          </w:p>
        </w:tc>
        <w:tc>
          <w:tcPr>
            <w:tcW w:w="3162" w:type="dxa"/>
            <w:vMerge/>
          </w:tcPr>
          <w:p w14:paraId="50FEB9B0"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i/>
                <w:sz w:val="18"/>
                <w:szCs w:val="18"/>
              </w:rPr>
            </w:pPr>
          </w:p>
        </w:tc>
      </w:tr>
      <w:tr w:rsidR="00425BA0" w:rsidRPr="006F3D27" w14:paraId="6C963F2B"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76D6AC96" w14:textId="77777777" w:rsidR="00425BA0" w:rsidRPr="006F3D27" w:rsidRDefault="00425BA0" w:rsidP="00847C80">
            <w:pPr>
              <w:rPr>
                <w:sz w:val="18"/>
                <w:szCs w:val="18"/>
              </w:rPr>
            </w:pPr>
            <w:r w:rsidRPr="006F3D27">
              <w:rPr>
                <w:sz w:val="18"/>
                <w:szCs w:val="18"/>
              </w:rPr>
              <w:t>27</w:t>
            </w:r>
          </w:p>
        </w:tc>
        <w:tc>
          <w:tcPr>
            <w:tcW w:w="2461" w:type="dxa"/>
          </w:tcPr>
          <w:p w14:paraId="24A7E1DE" w14:textId="77777777" w:rsidR="00425BA0" w:rsidRPr="006F3D27" w:rsidRDefault="00425BA0" w:rsidP="00847C80">
            <w:pPr>
              <w:jc w:val="right"/>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Centrifuge DM losses</w:t>
            </w:r>
          </w:p>
        </w:tc>
        <w:tc>
          <w:tcPr>
            <w:tcW w:w="1102" w:type="dxa"/>
          </w:tcPr>
          <w:p w14:paraId="5790C05D"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w:t>
            </w:r>
            <w:r w:rsidRPr="006F3D27">
              <w:rPr>
                <w:sz w:val="18"/>
                <w:szCs w:val="18"/>
                <w:vertAlign w:val="subscript"/>
              </w:rPr>
              <w:t>DMin</w:t>
            </w:r>
          </w:p>
        </w:tc>
        <w:tc>
          <w:tcPr>
            <w:tcW w:w="844" w:type="dxa"/>
          </w:tcPr>
          <w:p w14:paraId="67308AE5"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3%</w:t>
            </w:r>
          </w:p>
        </w:tc>
        <w:tc>
          <w:tcPr>
            <w:tcW w:w="983" w:type="dxa"/>
          </w:tcPr>
          <w:p w14:paraId="4C4D6E99"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1-6%</w:t>
            </w:r>
          </w:p>
        </w:tc>
        <w:tc>
          <w:tcPr>
            <w:tcW w:w="3162" w:type="dxa"/>
            <w:vMerge/>
          </w:tcPr>
          <w:p w14:paraId="5198C3A4"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i/>
                <w:sz w:val="18"/>
                <w:szCs w:val="18"/>
              </w:rPr>
            </w:pPr>
          </w:p>
        </w:tc>
      </w:tr>
      <w:tr w:rsidR="00425BA0" w:rsidRPr="006F3D27" w14:paraId="73978690"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5B025798" w14:textId="77777777" w:rsidR="00425BA0" w:rsidRPr="006F3D27" w:rsidRDefault="00425BA0" w:rsidP="00847C80">
            <w:pPr>
              <w:rPr>
                <w:sz w:val="18"/>
                <w:szCs w:val="18"/>
              </w:rPr>
            </w:pPr>
            <w:r w:rsidRPr="006F3D27">
              <w:rPr>
                <w:sz w:val="18"/>
                <w:szCs w:val="18"/>
              </w:rPr>
              <w:t>28</w:t>
            </w:r>
          </w:p>
        </w:tc>
        <w:tc>
          <w:tcPr>
            <w:tcW w:w="2461" w:type="dxa"/>
          </w:tcPr>
          <w:p w14:paraId="03E74F8B" w14:textId="77777777" w:rsidR="00425BA0" w:rsidRPr="006F3D27" w:rsidRDefault="00425BA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Centrifuge electricity</w:t>
            </w:r>
          </w:p>
        </w:tc>
        <w:tc>
          <w:tcPr>
            <w:tcW w:w="1102" w:type="dxa"/>
          </w:tcPr>
          <w:p w14:paraId="5BE33B7F"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kWh.m</w:t>
            </w:r>
            <w:r w:rsidRPr="006F3D27">
              <w:rPr>
                <w:sz w:val="18"/>
                <w:szCs w:val="18"/>
                <w:vertAlign w:val="superscript"/>
              </w:rPr>
              <w:t>-3</w:t>
            </w:r>
          </w:p>
        </w:tc>
        <w:tc>
          <w:tcPr>
            <w:tcW w:w="844" w:type="dxa"/>
          </w:tcPr>
          <w:p w14:paraId="376E5339"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2.53</w:t>
            </w:r>
          </w:p>
        </w:tc>
        <w:tc>
          <w:tcPr>
            <w:tcW w:w="983" w:type="dxa"/>
          </w:tcPr>
          <w:p w14:paraId="1E7B949D"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1.35-8</w:t>
            </w:r>
          </w:p>
        </w:tc>
        <w:tc>
          <w:tcPr>
            <w:tcW w:w="3162" w:type="dxa"/>
            <w:vMerge/>
          </w:tcPr>
          <w:p w14:paraId="06011BE3"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i/>
                <w:sz w:val="18"/>
                <w:szCs w:val="18"/>
              </w:rPr>
            </w:pPr>
          </w:p>
        </w:tc>
      </w:tr>
      <w:tr w:rsidR="00425BA0" w:rsidRPr="006F3D27" w14:paraId="68E0EA5B"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17123DDF" w14:textId="77777777" w:rsidR="00425BA0" w:rsidRPr="006F3D27" w:rsidRDefault="00425BA0" w:rsidP="00847C80">
            <w:pPr>
              <w:rPr>
                <w:sz w:val="18"/>
                <w:szCs w:val="18"/>
              </w:rPr>
            </w:pPr>
            <w:r w:rsidRPr="006F3D27">
              <w:rPr>
                <w:sz w:val="18"/>
                <w:szCs w:val="18"/>
              </w:rPr>
              <w:t>15</w:t>
            </w:r>
          </w:p>
        </w:tc>
        <w:tc>
          <w:tcPr>
            <w:tcW w:w="2461" w:type="dxa"/>
          </w:tcPr>
          <w:p w14:paraId="31DC5BB8" w14:textId="77777777" w:rsidR="00425BA0" w:rsidRPr="006F3D27" w:rsidRDefault="00425BA0" w:rsidP="00847C80">
            <w:pPr>
              <w:jc w:val="right"/>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Spray dryer electricity</w:t>
            </w:r>
          </w:p>
        </w:tc>
        <w:tc>
          <w:tcPr>
            <w:tcW w:w="1102" w:type="dxa"/>
          </w:tcPr>
          <w:p w14:paraId="6DB77529"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kWh.kg</w:t>
            </w:r>
            <w:r w:rsidRPr="006F3D27">
              <w:rPr>
                <w:sz w:val="18"/>
                <w:szCs w:val="18"/>
                <w:vertAlign w:val="subscript"/>
              </w:rPr>
              <w:t>water</w:t>
            </w:r>
            <w:r w:rsidRPr="006F3D27">
              <w:rPr>
                <w:sz w:val="18"/>
                <w:szCs w:val="18"/>
                <w:vertAlign w:val="superscript"/>
              </w:rPr>
              <w:t>-1</w:t>
            </w:r>
          </w:p>
        </w:tc>
        <w:tc>
          <w:tcPr>
            <w:tcW w:w="844" w:type="dxa"/>
          </w:tcPr>
          <w:p w14:paraId="3216A580"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0.106</w:t>
            </w:r>
          </w:p>
        </w:tc>
        <w:tc>
          <w:tcPr>
            <w:tcW w:w="983" w:type="dxa"/>
          </w:tcPr>
          <w:p w14:paraId="29D7DFDD"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0.034-0.282</w:t>
            </w:r>
          </w:p>
        </w:tc>
        <w:tc>
          <w:tcPr>
            <w:tcW w:w="3162" w:type="dxa"/>
            <w:vMerge/>
          </w:tcPr>
          <w:p w14:paraId="59B3FC3F"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i/>
                <w:sz w:val="18"/>
                <w:szCs w:val="18"/>
              </w:rPr>
            </w:pPr>
          </w:p>
        </w:tc>
      </w:tr>
      <w:tr w:rsidR="00425BA0" w:rsidRPr="006F3D27" w14:paraId="4FB02A84"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178B8D5D" w14:textId="77777777" w:rsidR="00425BA0" w:rsidRPr="006F3D27" w:rsidRDefault="00425BA0" w:rsidP="00847C80">
            <w:pPr>
              <w:rPr>
                <w:sz w:val="18"/>
                <w:szCs w:val="18"/>
              </w:rPr>
            </w:pPr>
            <w:r w:rsidRPr="006F3D27">
              <w:rPr>
                <w:sz w:val="18"/>
                <w:szCs w:val="18"/>
              </w:rPr>
              <w:t>16</w:t>
            </w:r>
          </w:p>
        </w:tc>
        <w:tc>
          <w:tcPr>
            <w:tcW w:w="2461" w:type="dxa"/>
          </w:tcPr>
          <w:p w14:paraId="5FBAD644" w14:textId="77777777" w:rsidR="00425BA0" w:rsidRPr="006F3D27" w:rsidRDefault="00425BA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Spray dryer HT heat</w:t>
            </w:r>
          </w:p>
        </w:tc>
        <w:tc>
          <w:tcPr>
            <w:tcW w:w="1102" w:type="dxa"/>
          </w:tcPr>
          <w:p w14:paraId="1DBAD25C"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6F3D27">
              <w:rPr>
                <w:sz w:val="18"/>
                <w:szCs w:val="18"/>
              </w:rPr>
              <w:t>MJ.kg</w:t>
            </w:r>
            <w:r w:rsidRPr="006F3D27">
              <w:rPr>
                <w:sz w:val="18"/>
                <w:szCs w:val="18"/>
                <w:vertAlign w:val="subscript"/>
              </w:rPr>
              <w:t>water</w:t>
            </w:r>
            <w:proofErr w:type="gramEnd"/>
            <w:r w:rsidRPr="006F3D27">
              <w:rPr>
                <w:sz w:val="18"/>
                <w:szCs w:val="18"/>
                <w:vertAlign w:val="superscript"/>
              </w:rPr>
              <w:t>-1</w:t>
            </w:r>
          </w:p>
        </w:tc>
        <w:tc>
          <w:tcPr>
            <w:tcW w:w="844" w:type="dxa"/>
          </w:tcPr>
          <w:p w14:paraId="2324DD3A"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3</w:t>
            </w:r>
          </w:p>
        </w:tc>
        <w:tc>
          <w:tcPr>
            <w:tcW w:w="983" w:type="dxa"/>
          </w:tcPr>
          <w:p w14:paraId="5847D0B0"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2.7-4.1</w:t>
            </w:r>
          </w:p>
        </w:tc>
        <w:tc>
          <w:tcPr>
            <w:tcW w:w="3162" w:type="dxa"/>
            <w:vMerge/>
          </w:tcPr>
          <w:p w14:paraId="561DC8E0"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i/>
                <w:sz w:val="18"/>
                <w:szCs w:val="18"/>
              </w:rPr>
            </w:pPr>
          </w:p>
        </w:tc>
      </w:tr>
      <w:tr w:rsidR="00425BA0" w:rsidRPr="006F3D27" w14:paraId="45D6E20E"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0" w:type="auto"/>
            <w:gridSpan w:val="6"/>
          </w:tcPr>
          <w:p w14:paraId="345BEE6F" w14:textId="7B309C1E" w:rsidR="00425BA0" w:rsidRPr="006F3D27" w:rsidRDefault="00425BA0" w:rsidP="00847C80">
            <w:pPr>
              <w:rPr>
                <w:b w:val="0"/>
                <w:i/>
                <w:sz w:val="18"/>
                <w:szCs w:val="18"/>
              </w:rPr>
            </w:pPr>
            <w:r w:rsidRPr="006F3D27">
              <w:rPr>
                <w:b w:val="0"/>
                <w:i/>
                <w:sz w:val="18"/>
                <w:szCs w:val="18"/>
              </w:rPr>
              <w:t xml:space="preserve">Other common parameters in </w:t>
            </w:r>
            <w:r w:rsidR="00917881" w:rsidRPr="006F3D27">
              <w:rPr>
                <w:i/>
                <w:sz w:val="18"/>
                <w:szCs w:val="18"/>
              </w:rPr>
              <w:t xml:space="preserve">section </w:t>
            </w:r>
            <w:r w:rsidR="000C6C37">
              <w:rPr>
                <w:i/>
                <w:sz w:val="18"/>
                <w:szCs w:val="18"/>
              </w:rPr>
              <w:t xml:space="preserve">SI. </w:t>
            </w:r>
            <w:r w:rsidR="00917881" w:rsidRPr="006F3D27">
              <w:rPr>
                <w:i/>
                <w:sz w:val="18"/>
                <w:szCs w:val="18"/>
              </w:rPr>
              <w:fldChar w:fldCharType="begin"/>
            </w:r>
            <w:r w:rsidR="00917881" w:rsidRPr="006F3D27">
              <w:rPr>
                <w:i/>
                <w:sz w:val="18"/>
                <w:szCs w:val="18"/>
              </w:rPr>
              <w:instrText xml:space="preserve"> REF _Ref144802667 \r \h </w:instrText>
            </w:r>
            <w:r w:rsidR="006F3D27" w:rsidRPr="006F3D27">
              <w:rPr>
                <w:i/>
                <w:sz w:val="18"/>
                <w:szCs w:val="18"/>
              </w:rPr>
              <w:instrText xml:space="preserve"> \* MERGEFORMAT </w:instrText>
            </w:r>
            <w:r w:rsidR="00917881" w:rsidRPr="006F3D27">
              <w:rPr>
                <w:i/>
                <w:sz w:val="18"/>
                <w:szCs w:val="18"/>
              </w:rPr>
            </w:r>
            <w:r w:rsidR="00917881" w:rsidRPr="006F3D27">
              <w:rPr>
                <w:i/>
                <w:sz w:val="18"/>
                <w:szCs w:val="18"/>
              </w:rPr>
              <w:fldChar w:fldCharType="separate"/>
            </w:r>
            <w:r w:rsidR="00F25F8C" w:rsidRPr="006F3D27">
              <w:rPr>
                <w:i/>
                <w:sz w:val="18"/>
                <w:szCs w:val="18"/>
              </w:rPr>
              <w:t>4.1</w:t>
            </w:r>
            <w:r w:rsidR="00917881" w:rsidRPr="006F3D27">
              <w:rPr>
                <w:i/>
                <w:sz w:val="18"/>
                <w:szCs w:val="18"/>
              </w:rPr>
              <w:fldChar w:fldCharType="end"/>
            </w:r>
            <w:r w:rsidRPr="006F3D27">
              <w:rPr>
                <w:b w:val="0"/>
                <w:i/>
                <w:sz w:val="18"/>
                <w:szCs w:val="18"/>
              </w:rPr>
              <w:t>.</w:t>
            </w:r>
          </w:p>
        </w:tc>
      </w:tr>
    </w:tbl>
    <w:p w14:paraId="4BF2C498" w14:textId="013827CE" w:rsidR="00917881" w:rsidRDefault="00917881" w:rsidP="00425BA0">
      <w:pPr>
        <w:jc w:val="both"/>
        <w:rPr>
          <w:b/>
          <w:sz w:val="18"/>
          <w:szCs w:val="18"/>
        </w:rPr>
      </w:pPr>
      <w:r w:rsidRPr="003F5DA8">
        <w:rPr>
          <w:sz w:val="18"/>
        </w:rPr>
        <w:t xml:space="preserve">Numbering of parameters corresponds to the one </w:t>
      </w:r>
      <w:r>
        <w:rPr>
          <w:sz w:val="18"/>
        </w:rPr>
        <w:t xml:space="preserve">of </w:t>
      </w:r>
      <w:r w:rsidR="00877BEE" w:rsidRPr="006F3D27">
        <w:rPr>
          <w:b/>
          <w:sz w:val="18"/>
          <w:szCs w:val="18"/>
        </w:rPr>
        <w:fldChar w:fldCharType="begin"/>
      </w:r>
      <w:r w:rsidR="00877BEE" w:rsidRPr="006F3D27">
        <w:rPr>
          <w:b/>
          <w:sz w:val="18"/>
          <w:szCs w:val="18"/>
        </w:rPr>
        <w:instrText xml:space="preserve"> REF _Ref144914839 \h  \* MERGEFORMAT </w:instrText>
      </w:r>
      <w:r w:rsidR="00877BEE" w:rsidRPr="006F3D27">
        <w:rPr>
          <w:b/>
          <w:sz w:val="18"/>
          <w:szCs w:val="18"/>
        </w:rPr>
      </w:r>
      <w:r w:rsidR="00877BEE" w:rsidRPr="006F3D27">
        <w:rPr>
          <w:b/>
          <w:sz w:val="18"/>
          <w:szCs w:val="18"/>
        </w:rPr>
        <w:fldChar w:fldCharType="separate"/>
      </w:r>
      <w:r w:rsidR="00877BEE" w:rsidRPr="006F3D27">
        <w:rPr>
          <w:b/>
          <w:sz w:val="18"/>
          <w:szCs w:val="18"/>
        </w:rPr>
        <w:t xml:space="preserve">Table SI. </w:t>
      </w:r>
      <w:r w:rsidR="00877BEE" w:rsidRPr="006F3D27">
        <w:rPr>
          <w:b/>
          <w:noProof/>
          <w:sz w:val="18"/>
          <w:szCs w:val="18"/>
        </w:rPr>
        <w:t>103</w:t>
      </w:r>
      <w:r w:rsidR="00877BEE" w:rsidRPr="006F3D27">
        <w:rPr>
          <w:b/>
          <w:sz w:val="18"/>
          <w:szCs w:val="18"/>
        </w:rPr>
        <w:fldChar w:fldCharType="end"/>
      </w:r>
      <w:r w:rsidRPr="006F3D27">
        <w:rPr>
          <w:sz w:val="18"/>
        </w:rPr>
        <w:t>.</w:t>
      </w:r>
      <w:r w:rsidRPr="003F5DA8">
        <w:rPr>
          <w:sz w:val="18"/>
        </w:rPr>
        <w:t xml:space="preserve"> Parameters specific to </w:t>
      </w:r>
      <w:r>
        <w:rPr>
          <w:sz w:val="18"/>
        </w:rPr>
        <w:t>MP production stage</w:t>
      </w:r>
      <w:r w:rsidRPr="003F5DA8">
        <w:rPr>
          <w:sz w:val="18"/>
        </w:rPr>
        <w:t xml:space="preserve"> but not mentioned in this table were assumed as constants. Transportation requirements in </w:t>
      </w:r>
      <w:r w:rsidRPr="00042BF3">
        <w:rPr>
          <w:b/>
          <w:sz w:val="18"/>
          <w:szCs w:val="18"/>
        </w:rPr>
        <w:fldChar w:fldCharType="begin"/>
      </w:r>
      <w:r w:rsidRPr="00042BF3">
        <w:rPr>
          <w:b/>
          <w:sz w:val="18"/>
          <w:szCs w:val="18"/>
        </w:rPr>
        <w:instrText xml:space="preserve"> REF _Ref144738047 \h  \* MERGEFORMAT </w:instrText>
      </w:r>
      <w:r w:rsidRPr="00042BF3">
        <w:rPr>
          <w:b/>
          <w:sz w:val="18"/>
          <w:szCs w:val="18"/>
        </w:rPr>
      </w:r>
      <w:r w:rsidRPr="00042BF3">
        <w:rPr>
          <w:b/>
          <w:sz w:val="18"/>
          <w:szCs w:val="18"/>
        </w:rPr>
        <w:fldChar w:fldCharType="separate"/>
      </w:r>
      <w:r w:rsidR="00F25F8C" w:rsidRPr="00F25F8C">
        <w:rPr>
          <w:b/>
          <w:sz w:val="18"/>
          <w:szCs w:val="18"/>
        </w:rPr>
        <w:t xml:space="preserve">Table SI. </w:t>
      </w:r>
      <w:r w:rsidR="00F25F8C" w:rsidRPr="00F25F8C">
        <w:rPr>
          <w:b/>
          <w:noProof/>
          <w:sz w:val="18"/>
          <w:szCs w:val="18"/>
        </w:rPr>
        <w:t>15</w:t>
      </w:r>
      <w:r w:rsidRPr="00042BF3">
        <w:rPr>
          <w:b/>
          <w:sz w:val="18"/>
          <w:szCs w:val="18"/>
        </w:rPr>
        <w:fldChar w:fldCharType="end"/>
      </w:r>
    </w:p>
    <w:p w14:paraId="3E94C35C" w14:textId="3B665D6B" w:rsidR="006F3D27" w:rsidRDefault="00425BA0" w:rsidP="00425BA0">
      <w:pPr>
        <w:jc w:val="both"/>
      </w:pPr>
      <w:r w:rsidRPr="003F5DA8">
        <w:t>The background processes used</w:t>
      </w:r>
      <w:r w:rsidR="006F3D27">
        <w:t xml:space="preserve"> </w:t>
      </w:r>
      <w:r w:rsidRPr="003F5DA8">
        <w:t>specific</w:t>
      </w:r>
      <w:r w:rsidR="006F3D27">
        <w:t>ally</w:t>
      </w:r>
      <w:r w:rsidRPr="003F5DA8">
        <w:t xml:space="preserve"> </w:t>
      </w:r>
      <w:r w:rsidR="006F3D27">
        <w:t>for</w:t>
      </w:r>
      <w:r w:rsidRPr="003F5DA8">
        <w:t xml:space="preserve"> this </w:t>
      </w:r>
      <w:r w:rsidR="006F3D27">
        <w:t xml:space="preserve">LCI </w:t>
      </w:r>
      <w:r w:rsidRPr="003F5DA8">
        <w:t xml:space="preserve">model are </w:t>
      </w:r>
      <w:r w:rsidRPr="00917881">
        <w:t>gathered in</w:t>
      </w:r>
      <w:r w:rsidR="00917881" w:rsidRPr="00917881">
        <w:rPr>
          <w:b/>
        </w:rPr>
        <w:t xml:space="preserve"> </w:t>
      </w:r>
      <w:r w:rsidR="00917881" w:rsidRPr="00917881">
        <w:rPr>
          <w:b/>
        </w:rPr>
        <w:fldChar w:fldCharType="begin"/>
      </w:r>
      <w:r w:rsidR="00917881" w:rsidRPr="00917881">
        <w:rPr>
          <w:b/>
        </w:rPr>
        <w:instrText xml:space="preserve"> REF _Ref144830503 \h </w:instrText>
      </w:r>
      <w:r w:rsidR="00917881">
        <w:rPr>
          <w:b/>
        </w:rPr>
        <w:instrText xml:space="preserve"> \* MERGEFORMAT </w:instrText>
      </w:r>
      <w:r w:rsidR="00917881" w:rsidRPr="00917881">
        <w:rPr>
          <w:b/>
        </w:rPr>
      </w:r>
      <w:r w:rsidR="00917881" w:rsidRPr="00917881">
        <w:rPr>
          <w:b/>
        </w:rPr>
        <w:fldChar w:fldCharType="separate"/>
      </w:r>
      <w:r w:rsidR="00F25F8C" w:rsidRPr="00F25F8C">
        <w:rPr>
          <w:b/>
        </w:rPr>
        <w:t xml:space="preserve">Table SI. </w:t>
      </w:r>
      <w:r w:rsidR="00F25F8C" w:rsidRPr="00F25F8C">
        <w:rPr>
          <w:b/>
          <w:noProof/>
        </w:rPr>
        <w:t>82</w:t>
      </w:r>
      <w:r w:rsidR="00917881" w:rsidRPr="00917881">
        <w:rPr>
          <w:b/>
        </w:rPr>
        <w:fldChar w:fldCharType="end"/>
      </w:r>
      <w:r w:rsidRPr="003F5DA8">
        <w:t>.</w:t>
      </w:r>
    </w:p>
    <w:p w14:paraId="611AB42D" w14:textId="77777777" w:rsidR="006F3D27" w:rsidRDefault="006F3D27">
      <w:r>
        <w:br w:type="page"/>
      </w:r>
    </w:p>
    <w:p w14:paraId="596A08A7" w14:textId="5A4CA14C" w:rsidR="00425BA0" w:rsidRPr="00545A72" w:rsidRDefault="00874128" w:rsidP="00942782">
      <w:pPr>
        <w:pStyle w:val="Lgende"/>
        <w:jc w:val="left"/>
        <w:rPr>
          <w:b w:val="0"/>
          <w:i/>
        </w:rPr>
      </w:pPr>
      <w:bookmarkStart w:id="355" w:name="_Ref144830503"/>
      <w:bookmarkStart w:id="356" w:name="_Toc134537647"/>
      <w:bookmarkStart w:id="357" w:name="_Toc151967966"/>
      <w:r>
        <w:lastRenderedPageBreak/>
        <w:t>Table SI.</w:t>
      </w:r>
      <w:r w:rsidR="00425BA0">
        <w:t xml:space="preserve"> </w:t>
      </w:r>
      <w:r>
        <w:fldChar w:fldCharType="begin"/>
      </w:r>
      <w:r>
        <w:instrText xml:space="preserve"> SEQ Table_SI. \* ARABIC </w:instrText>
      </w:r>
      <w:r>
        <w:fldChar w:fldCharType="separate"/>
      </w:r>
      <w:r w:rsidR="00F25F8C">
        <w:rPr>
          <w:noProof/>
        </w:rPr>
        <w:t>82</w:t>
      </w:r>
      <w:r>
        <w:fldChar w:fldCharType="end"/>
      </w:r>
      <w:bookmarkEnd w:id="355"/>
      <w:r w:rsidR="00425BA0">
        <w:t xml:space="preserve"> </w:t>
      </w:r>
      <w:r w:rsidR="00425BA0" w:rsidRPr="00415E4C">
        <w:t>– Background processes used specifically for MP production and downstream operations</w:t>
      </w:r>
      <w:bookmarkEnd w:id="356"/>
      <w:bookmarkEnd w:id="357"/>
    </w:p>
    <w:tbl>
      <w:tblPr>
        <w:tblStyle w:val="Tableausimple2"/>
        <w:tblW w:w="0" w:type="auto"/>
        <w:jc w:val="center"/>
        <w:tblLook w:val="04A0" w:firstRow="1" w:lastRow="0" w:firstColumn="1" w:lastColumn="0" w:noHBand="0" w:noVBand="1"/>
      </w:tblPr>
      <w:tblGrid>
        <w:gridCol w:w="3909"/>
        <w:gridCol w:w="1220"/>
        <w:gridCol w:w="3913"/>
      </w:tblGrid>
      <w:tr w:rsidR="00425BA0" w:rsidRPr="006F3D27" w14:paraId="0721824F" w14:textId="77777777" w:rsidTr="006F3D2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09" w:type="dxa"/>
          </w:tcPr>
          <w:p w14:paraId="53DACD00" w14:textId="77777777" w:rsidR="00425BA0" w:rsidRPr="006F3D27" w:rsidRDefault="00425BA0" w:rsidP="00847C80">
            <w:pPr>
              <w:jc w:val="right"/>
              <w:rPr>
                <w:sz w:val="18"/>
              </w:rPr>
            </w:pPr>
            <w:r w:rsidRPr="006F3D27">
              <w:rPr>
                <w:sz w:val="18"/>
              </w:rPr>
              <w:t>Background process</w:t>
            </w:r>
          </w:p>
        </w:tc>
        <w:tc>
          <w:tcPr>
            <w:tcW w:w="1220" w:type="dxa"/>
          </w:tcPr>
          <w:p w14:paraId="0BF76D24" w14:textId="77777777" w:rsidR="00425BA0" w:rsidRPr="006F3D27" w:rsidRDefault="00425BA0" w:rsidP="00847C80">
            <w:pPr>
              <w:cnfStyle w:val="100000000000" w:firstRow="1" w:lastRow="0" w:firstColumn="0" w:lastColumn="0" w:oddVBand="0" w:evenVBand="0" w:oddHBand="0" w:evenHBand="0" w:firstRowFirstColumn="0" w:firstRowLastColumn="0" w:lastRowFirstColumn="0" w:lastRowLastColumn="0"/>
              <w:rPr>
                <w:sz w:val="18"/>
              </w:rPr>
            </w:pPr>
            <w:r w:rsidRPr="006F3D27">
              <w:rPr>
                <w:sz w:val="18"/>
              </w:rPr>
              <w:t>Unit operation</w:t>
            </w:r>
          </w:p>
        </w:tc>
        <w:tc>
          <w:tcPr>
            <w:tcW w:w="3913" w:type="dxa"/>
          </w:tcPr>
          <w:p w14:paraId="2E22C663" w14:textId="77777777" w:rsidR="00425BA0" w:rsidRPr="006F3D27" w:rsidRDefault="00425BA0" w:rsidP="00917881">
            <w:pPr>
              <w:cnfStyle w:val="100000000000" w:firstRow="1" w:lastRow="0" w:firstColumn="0" w:lastColumn="0" w:oddVBand="0" w:evenVBand="0" w:oddHBand="0" w:evenHBand="0" w:firstRowFirstColumn="0" w:firstRowLastColumn="0" w:lastRowFirstColumn="0" w:lastRowLastColumn="0"/>
              <w:rPr>
                <w:i/>
                <w:sz w:val="18"/>
              </w:rPr>
            </w:pPr>
            <w:r w:rsidRPr="006F3D27">
              <w:rPr>
                <w:i/>
                <w:sz w:val="18"/>
              </w:rPr>
              <w:t>Comment</w:t>
            </w:r>
          </w:p>
        </w:tc>
      </w:tr>
      <w:tr w:rsidR="00425BA0" w:rsidRPr="006F3D27" w14:paraId="696F4587"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09" w:type="dxa"/>
          </w:tcPr>
          <w:p w14:paraId="2B90C8F9" w14:textId="77777777" w:rsidR="00425BA0" w:rsidRPr="006F3D27" w:rsidRDefault="00425BA0" w:rsidP="00847C80">
            <w:pPr>
              <w:jc w:val="right"/>
              <w:rPr>
                <w:b w:val="0"/>
                <w:sz w:val="18"/>
              </w:rPr>
            </w:pPr>
            <w:r w:rsidRPr="006F3D27">
              <w:rPr>
                <w:b w:val="0"/>
                <w:sz w:val="18"/>
              </w:rPr>
              <w:t>Market for sodium hydroxide (50%), GLO</w:t>
            </w:r>
          </w:p>
        </w:tc>
        <w:tc>
          <w:tcPr>
            <w:tcW w:w="1220" w:type="dxa"/>
            <w:vMerge w:val="restart"/>
          </w:tcPr>
          <w:p w14:paraId="6C7ABBBE"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Cleaning</w:t>
            </w:r>
          </w:p>
        </w:tc>
        <w:tc>
          <w:tcPr>
            <w:tcW w:w="3913" w:type="dxa"/>
            <w:vMerge w:val="restart"/>
          </w:tcPr>
          <w:p w14:paraId="3B814635" w14:textId="3DF3AA04" w:rsidR="00425BA0" w:rsidRPr="006F3D27" w:rsidRDefault="00425BA0" w:rsidP="00917881">
            <w:pPr>
              <w:cnfStyle w:val="000000100000" w:firstRow="0" w:lastRow="0" w:firstColumn="0" w:lastColumn="0" w:oddVBand="0" w:evenVBand="0" w:oddHBand="1" w:evenHBand="0" w:firstRowFirstColumn="0" w:firstRowLastColumn="0" w:lastRowFirstColumn="0" w:lastRowLastColumn="0"/>
              <w:rPr>
                <w:i/>
                <w:sz w:val="18"/>
              </w:rPr>
            </w:pPr>
            <w:r w:rsidRPr="006F3D27">
              <w:rPr>
                <w:i/>
                <w:sz w:val="18"/>
              </w:rPr>
              <w:t>Proxy for the processes mentioned in</w:t>
            </w:r>
            <w:r w:rsidR="00917881" w:rsidRPr="006F3D27">
              <w:rPr>
                <w:b/>
                <w:i/>
                <w:sz w:val="18"/>
              </w:rPr>
              <w:t xml:space="preserve"> </w:t>
            </w:r>
            <w:r w:rsidR="00917881" w:rsidRPr="006F3D27">
              <w:rPr>
                <w:b/>
                <w:i/>
                <w:sz w:val="18"/>
              </w:rPr>
              <w:fldChar w:fldCharType="begin"/>
            </w:r>
            <w:r w:rsidR="00917881" w:rsidRPr="006F3D27">
              <w:rPr>
                <w:b/>
                <w:i/>
                <w:sz w:val="18"/>
              </w:rPr>
              <w:instrText xml:space="preserve"> REF _Ref144829692 \h  \* MERGEFORMAT </w:instrText>
            </w:r>
            <w:r w:rsidR="00917881" w:rsidRPr="006F3D27">
              <w:rPr>
                <w:b/>
                <w:i/>
                <w:sz w:val="18"/>
              </w:rPr>
            </w:r>
            <w:r w:rsidR="00917881" w:rsidRPr="006F3D27">
              <w:rPr>
                <w:b/>
                <w:i/>
                <w:sz w:val="18"/>
              </w:rPr>
              <w:fldChar w:fldCharType="separate"/>
            </w:r>
            <w:r w:rsidR="00F25F8C" w:rsidRPr="006F3D27">
              <w:rPr>
                <w:b/>
                <w:i/>
                <w:sz w:val="18"/>
              </w:rPr>
              <w:t xml:space="preserve">Table SI. </w:t>
            </w:r>
            <w:r w:rsidR="00F25F8C" w:rsidRPr="006F3D27">
              <w:rPr>
                <w:b/>
                <w:i/>
                <w:noProof/>
                <w:sz w:val="18"/>
              </w:rPr>
              <w:t>73</w:t>
            </w:r>
            <w:r w:rsidR="00917881" w:rsidRPr="006F3D27">
              <w:rPr>
                <w:b/>
                <w:i/>
                <w:sz w:val="18"/>
              </w:rPr>
              <w:fldChar w:fldCharType="end"/>
            </w:r>
            <w:r w:rsidRPr="006F3D27">
              <w:rPr>
                <w:i/>
                <w:sz w:val="18"/>
              </w:rPr>
              <w:t>.</w:t>
            </w:r>
          </w:p>
        </w:tc>
      </w:tr>
      <w:tr w:rsidR="00425BA0" w:rsidRPr="006F3D27" w14:paraId="2F691A6B"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3909" w:type="dxa"/>
          </w:tcPr>
          <w:p w14:paraId="6CCB49EC" w14:textId="77777777" w:rsidR="00425BA0" w:rsidRPr="006F3D27" w:rsidRDefault="00425BA0" w:rsidP="00847C80">
            <w:pPr>
              <w:jc w:val="right"/>
              <w:rPr>
                <w:b w:val="0"/>
                <w:sz w:val="18"/>
              </w:rPr>
            </w:pPr>
            <w:r w:rsidRPr="006F3D27">
              <w:rPr>
                <w:b w:val="0"/>
                <w:sz w:val="18"/>
              </w:rPr>
              <w:t>Market for tap water, CH</w:t>
            </w:r>
          </w:p>
        </w:tc>
        <w:tc>
          <w:tcPr>
            <w:tcW w:w="1220" w:type="dxa"/>
            <w:vMerge/>
          </w:tcPr>
          <w:p w14:paraId="4DDFC291"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rPr>
            </w:pPr>
          </w:p>
        </w:tc>
        <w:tc>
          <w:tcPr>
            <w:tcW w:w="3913" w:type="dxa"/>
            <w:vMerge/>
          </w:tcPr>
          <w:p w14:paraId="1C381ACE" w14:textId="77777777" w:rsidR="00425BA0" w:rsidRPr="006F3D27" w:rsidRDefault="00425BA0" w:rsidP="00917881">
            <w:pPr>
              <w:cnfStyle w:val="000000000000" w:firstRow="0" w:lastRow="0" w:firstColumn="0" w:lastColumn="0" w:oddVBand="0" w:evenVBand="0" w:oddHBand="0" w:evenHBand="0" w:firstRowFirstColumn="0" w:firstRowLastColumn="0" w:lastRowFirstColumn="0" w:lastRowLastColumn="0"/>
              <w:rPr>
                <w:i/>
                <w:sz w:val="18"/>
              </w:rPr>
            </w:pPr>
          </w:p>
        </w:tc>
      </w:tr>
      <w:tr w:rsidR="00425BA0" w:rsidRPr="006F3D27" w14:paraId="6B2531F0"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09" w:type="dxa"/>
          </w:tcPr>
          <w:p w14:paraId="6E273C95" w14:textId="77777777" w:rsidR="00425BA0" w:rsidRPr="006F3D27" w:rsidRDefault="00425BA0" w:rsidP="00847C80">
            <w:pPr>
              <w:jc w:val="right"/>
              <w:rPr>
                <w:b w:val="0"/>
                <w:sz w:val="18"/>
              </w:rPr>
            </w:pPr>
            <w:r w:rsidRPr="006F3D27">
              <w:rPr>
                <w:b w:val="0"/>
                <w:sz w:val="18"/>
              </w:rPr>
              <w:t>Market for nitric acid, without water (50%), RoW</w:t>
            </w:r>
          </w:p>
        </w:tc>
        <w:tc>
          <w:tcPr>
            <w:tcW w:w="1220" w:type="dxa"/>
            <w:vMerge/>
          </w:tcPr>
          <w:p w14:paraId="724C056E"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rPr>
            </w:pPr>
          </w:p>
        </w:tc>
        <w:tc>
          <w:tcPr>
            <w:tcW w:w="3913" w:type="dxa"/>
            <w:vMerge/>
          </w:tcPr>
          <w:p w14:paraId="69793CFA" w14:textId="77777777" w:rsidR="00425BA0" w:rsidRPr="006F3D27" w:rsidRDefault="00425BA0" w:rsidP="00917881">
            <w:pPr>
              <w:cnfStyle w:val="000000100000" w:firstRow="0" w:lastRow="0" w:firstColumn="0" w:lastColumn="0" w:oddVBand="0" w:evenVBand="0" w:oddHBand="1" w:evenHBand="0" w:firstRowFirstColumn="0" w:firstRowLastColumn="0" w:lastRowFirstColumn="0" w:lastRowLastColumn="0"/>
              <w:rPr>
                <w:i/>
                <w:sz w:val="18"/>
              </w:rPr>
            </w:pPr>
          </w:p>
        </w:tc>
      </w:tr>
      <w:tr w:rsidR="00425BA0" w:rsidRPr="006F3D27" w14:paraId="00C47440"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3909" w:type="dxa"/>
          </w:tcPr>
          <w:p w14:paraId="0CF9AC57" w14:textId="77777777" w:rsidR="00425BA0" w:rsidRPr="006F3D27" w:rsidRDefault="00425BA0" w:rsidP="00847C80">
            <w:pPr>
              <w:jc w:val="right"/>
              <w:rPr>
                <w:b w:val="0"/>
                <w:sz w:val="18"/>
              </w:rPr>
            </w:pPr>
            <w:r w:rsidRPr="006F3D27">
              <w:rPr>
                <w:b w:val="0"/>
                <w:sz w:val="18"/>
              </w:rPr>
              <w:t>Treatment of wastewater from maize starch production, CH</w:t>
            </w:r>
          </w:p>
        </w:tc>
        <w:tc>
          <w:tcPr>
            <w:tcW w:w="1220" w:type="dxa"/>
            <w:vMerge/>
          </w:tcPr>
          <w:p w14:paraId="61554BA9"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rPr>
            </w:pPr>
          </w:p>
        </w:tc>
        <w:tc>
          <w:tcPr>
            <w:tcW w:w="3913" w:type="dxa"/>
          </w:tcPr>
          <w:p w14:paraId="20448C3B" w14:textId="3C7E2E8E" w:rsidR="00425BA0" w:rsidRPr="006F3D27" w:rsidRDefault="00425BA0" w:rsidP="00917881">
            <w:pPr>
              <w:cnfStyle w:val="000000000000" w:firstRow="0" w:lastRow="0" w:firstColumn="0" w:lastColumn="0" w:oddVBand="0" w:evenVBand="0" w:oddHBand="0" w:evenHBand="0" w:firstRowFirstColumn="0" w:firstRowLastColumn="0" w:lastRowFirstColumn="0" w:lastRowLastColumn="0"/>
              <w:rPr>
                <w:i/>
                <w:sz w:val="18"/>
              </w:rPr>
            </w:pPr>
            <w:r w:rsidRPr="006F3D27">
              <w:rPr>
                <w:i/>
                <w:sz w:val="18"/>
              </w:rPr>
              <w:t>Proxy of cleaning wastewater treatment, closer based on COD content (see</w:t>
            </w:r>
            <w:r w:rsidR="00917881" w:rsidRPr="006F3D27">
              <w:rPr>
                <w:i/>
                <w:sz w:val="18"/>
              </w:rPr>
              <w:t xml:space="preserve"> </w:t>
            </w:r>
            <w:r w:rsidR="00917881" w:rsidRPr="006F3D27">
              <w:rPr>
                <w:b/>
                <w:i/>
                <w:sz w:val="18"/>
              </w:rPr>
              <w:fldChar w:fldCharType="begin"/>
            </w:r>
            <w:r w:rsidR="00917881" w:rsidRPr="006F3D27">
              <w:rPr>
                <w:b/>
                <w:i/>
                <w:sz w:val="18"/>
              </w:rPr>
              <w:instrText xml:space="preserve"> REF _Ref144829692 \h  \* MERGEFORMAT </w:instrText>
            </w:r>
            <w:r w:rsidR="00917881" w:rsidRPr="006F3D27">
              <w:rPr>
                <w:b/>
                <w:i/>
                <w:sz w:val="18"/>
              </w:rPr>
            </w:r>
            <w:r w:rsidR="00917881" w:rsidRPr="006F3D27">
              <w:rPr>
                <w:b/>
                <w:i/>
                <w:sz w:val="18"/>
              </w:rPr>
              <w:fldChar w:fldCharType="separate"/>
            </w:r>
            <w:r w:rsidR="00F25F8C" w:rsidRPr="006F3D27">
              <w:rPr>
                <w:b/>
                <w:i/>
                <w:sz w:val="18"/>
              </w:rPr>
              <w:t xml:space="preserve">Table SI. </w:t>
            </w:r>
            <w:r w:rsidR="00F25F8C" w:rsidRPr="006F3D27">
              <w:rPr>
                <w:b/>
                <w:i/>
                <w:noProof/>
                <w:sz w:val="18"/>
              </w:rPr>
              <w:t>73</w:t>
            </w:r>
            <w:r w:rsidR="00917881" w:rsidRPr="006F3D27">
              <w:rPr>
                <w:b/>
                <w:i/>
                <w:sz w:val="18"/>
              </w:rPr>
              <w:fldChar w:fldCharType="end"/>
            </w:r>
            <w:r w:rsidRPr="006F3D27">
              <w:rPr>
                <w:i/>
                <w:sz w:val="18"/>
              </w:rPr>
              <w:t>)</w:t>
            </w:r>
          </w:p>
        </w:tc>
      </w:tr>
      <w:tr w:rsidR="00425BA0" w:rsidRPr="006F3D27" w14:paraId="71CFFF5A"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042" w:type="dxa"/>
            <w:gridSpan w:val="3"/>
          </w:tcPr>
          <w:p w14:paraId="0BAC734D" w14:textId="1310F180" w:rsidR="00425BA0" w:rsidRPr="006F3D27" w:rsidRDefault="00425BA0" w:rsidP="00917881">
            <w:pPr>
              <w:rPr>
                <w:b w:val="0"/>
                <w:i/>
                <w:sz w:val="18"/>
              </w:rPr>
            </w:pPr>
            <w:r w:rsidRPr="006F3D27">
              <w:rPr>
                <w:b w:val="0"/>
                <w:i/>
                <w:sz w:val="18"/>
              </w:rPr>
              <w:t>Background inventory for mineral medium already detailed in</w:t>
            </w:r>
            <w:r w:rsidR="00917881" w:rsidRPr="006F3D27">
              <w:rPr>
                <w:b w:val="0"/>
                <w:i/>
                <w:sz w:val="18"/>
              </w:rPr>
              <w:t xml:space="preserve"> </w:t>
            </w:r>
            <w:r w:rsidR="00917881" w:rsidRPr="006F3D27">
              <w:rPr>
                <w:i/>
                <w:sz w:val="18"/>
              </w:rPr>
              <w:fldChar w:fldCharType="begin"/>
            </w:r>
            <w:r w:rsidR="00917881" w:rsidRPr="006F3D27">
              <w:rPr>
                <w:b w:val="0"/>
                <w:i/>
                <w:sz w:val="18"/>
              </w:rPr>
              <w:instrText xml:space="preserve"> REF _Ref144829786 \h  \* MERGEFORMAT </w:instrText>
            </w:r>
            <w:r w:rsidR="00917881" w:rsidRPr="006F3D27">
              <w:rPr>
                <w:i/>
                <w:sz w:val="18"/>
              </w:rPr>
            </w:r>
            <w:r w:rsidR="00917881" w:rsidRPr="006F3D27">
              <w:rPr>
                <w:i/>
                <w:sz w:val="18"/>
              </w:rPr>
              <w:fldChar w:fldCharType="separate"/>
            </w:r>
            <w:r w:rsidR="00F25F8C" w:rsidRPr="006F3D27">
              <w:rPr>
                <w:i/>
                <w:sz w:val="18"/>
              </w:rPr>
              <w:t xml:space="preserve">Table SI. </w:t>
            </w:r>
            <w:r w:rsidR="00F25F8C" w:rsidRPr="006F3D27">
              <w:rPr>
                <w:i/>
                <w:noProof/>
                <w:sz w:val="18"/>
              </w:rPr>
              <w:t>74</w:t>
            </w:r>
            <w:r w:rsidR="00917881" w:rsidRPr="006F3D27">
              <w:rPr>
                <w:i/>
                <w:sz w:val="18"/>
              </w:rPr>
              <w:fldChar w:fldCharType="end"/>
            </w:r>
            <w:r w:rsidRPr="006F3D27">
              <w:rPr>
                <w:b w:val="0"/>
                <w:i/>
                <w:sz w:val="18"/>
              </w:rPr>
              <w:t>.</w:t>
            </w:r>
          </w:p>
        </w:tc>
      </w:tr>
      <w:tr w:rsidR="00425BA0" w:rsidRPr="006F3D27" w14:paraId="7B7E4C8F"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3909" w:type="dxa"/>
          </w:tcPr>
          <w:p w14:paraId="538415BE" w14:textId="77777777" w:rsidR="00425BA0" w:rsidRPr="006F3D27" w:rsidRDefault="00425BA0" w:rsidP="00847C80">
            <w:pPr>
              <w:jc w:val="right"/>
              <w:rPr>
                <w:b w:val="0"/>
                <w:sz w:val="18"/>
              </w:rPr>
            </w:pPr>
            <w:r w:rsidRPr="006F3D27">
              <w:rPr>
                <w:b w:val="0"/>
                <w:sz w:val="18"/>
              </w:rPr>
              <w:t>Market for ultrafiltration module, GLO</w:t>
            </w:r>
          </w:p>
        </w:tc>
        <w:tc>
          <w:tcPr>
            <w:tcW w:w="1220" w:type="dxa"/>
            <w:vMerge w:val="restart"/>
          </w:tcPr>
          <w:p w14:paraId="0D430DCB"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Ultrafiltration</w:t>
            </w:r>
          </w:p>
        </w:tc>
        <w:tc>
          <w:tcPr>
            <w:tcW w:w="3913" w:type="dxa"/>
          </w:tcPr>
          <w:p w14:paraId="6074CA35" w14:textId="58C01CF7" w:rsidR="00425BA0" w:rsidRPr="006F3D27" w:rsidRDefault="00425BA0" w:rsidP="00917881">
            <w:pPr>
              <w:cnfStyle w:val="000000000000" w:firstRow="0" w:lastRow="0" w:firstColumn="0" w:lastColumn="0" w:oddVBand="0" w:evenVBand="0" w:oddHBand="0" w:evenHBand="0" w:firstRowFirstColumn="0" w:firstRowLastColumn="0" w:lastRowFirstColumn="0" w:lastRowLastColumn="0"/>
              <w:rPr>
                <w:i/>
                <w:sz w:val="18"/>
              </w:rPr>
            </w:pPr>
            <w:r w:rsidRPr="006F3D27">
              <w:rPr>
                <w:i/>
                <w:sz w:val="18"/>
              </w:rPr>
              <w:t>1.12 x 10</w:t>
            </w:r>
            <w:r w:rsidRPr="006F3D27">
              <w:rPr>
                <w:i/>
                <w:sz w:val="18"/>
                <w:vertAlign w:val="superscript"/>
              </w:rPr>
              <w:t>-7</w:t>
            </w:r>
            <w:r w:rsidRPr="006F3D27">
              <w:rPr>
                <w:i/>
                <w:sz w:val="18"/>
              </w:rPr>
              <w:t xml:space="preserve"> .kg</w:t>
            </w:r>
            <w:r w:rsidRPr="006F3D27">
              <w:rPr>
                <w:i/>
                <w:sz w:val="18"/>
                <w:vertAlign w:val="subscript"/>
              </w:rPr>
              <w:t>MP</w:t>
            </w:r>
            <w:r w:rsidRPr="006F3D27">
              <w:rPr>
                <w:i/>
                <w:sz w:val="18"/>
                <w:vertAlign w:val="superscript"/>
              </w:rPr>
              <w:t>-1</w:t>
            </w:r>
            <w:r w:rsidRPr="006F3D27">
              <w:rPr>
                <w:i/>
                <w:sz w:val="18"/>
              </w:rPr>
              <w:t xml:space="preserve"> based on Järviö et al., 2021</w:t>
            </w:r>
            <w:r w:rsidRPr="006F3D27">
              <w:rPr>
                <w:i/>
                <w:sz w:val="18"/>
              </w:rPr>
              <w:fldChar w:fldCharType="begin"/>
            </w:r>
            <w:r w:rsidR="005413B4">
              <w:rPr>
                <w:i/>
                <w:sz w:val="18"/>
              </w:rPr>
              <w:instrText xml:space="preserve"> ADDIN ZOTERO_ITEM CSL_CITATION {"citationID":"I1a4igp0","properties":{"formattedCitation":"\\super 183\\nosupersub{}","plainCitation":"183","noteIndex":0},"citationItems":[{"id":5124,"uris":["http://zotero.org/users/6423791/items/QSN5G6WV"],"itemData":{"id":5124,"type":"article-journal","container-title":"Science of The Total Environment","DOI":"10.1016/j.scitotenv.2021.145764","ISSN":"00489697","journalAbbreviation":"Sci. Total Environ.","language":"en","page":"145764","source":"DOI.org (Crossref)","title":"An attributional life cycle assessment of microbial protein production: a case study on using hydrogen-oxidizing bacteria","title-short":"“An attributional life cycle assessment of microbial protein production","author":[{"family":"Järviö","given":"Natasha"},{"family":"Maljanen","given":"Netta-Leena"},{"family":"Kobayashi","given":"Yumi"},{"family":"Ryynänen","given":"Toni"},{"family":"Tuomisto","given":"Hanna L."}],"issued":{"date-parts":[["2021",2]]}}}],"schema":"https://github.com/citation-style-language/schema/raw/master/csl-citation.json"} </w:instrText>
            </w:r>
            <w:r w:rsidRPr="006F3D27">
              <w:rPr>
                <w:i/>
                <w:sz w:val="18"/>
              </w:rPr>
              <w:fldChar w:fldCharType="separate"/>
            </w:r>
            <w:r w:rsidR="005413B4" w:rsidRPr="005413B4">
              <w:rPr>
                <w:rFonts w:ascii="Calibri" w:hAnsi="Calibri" w:cs="Calibri"/>
                <w:sz w:val="18"/>
                <w:szCs w:val="24"/>
                <w:vertAlign w:val="superscript"/>
              </w:rPr>
              <w:t>183</w:t>
            </w:r>
            <w:r w:rsidRPr="006F3D27">
              <w:rPr>
                <w:i/>
                <w:sz w:val="18"/>
              </w:rPr>
              <w:fldChar w:fldCharType="end"/>
            </w:r>
          </w:p>
        </w:tc>
      </w:tr>
      <w:tr w:rsidR="00425BA0" w:rsidRPr="006F3D27" w14:paraId="61E9F233"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909" w:type="dxa"/>
          </w:tcPr>
          <w:p w14:paraId="374C0D13" w14:textId="77777777" w:rsidR="00425BA0" w:rsidRPr="006F3D27" w:rsidRDefault="00425BA0" w:rsidP="00847C80">
            <w:pPr>
              <w:jc w:val="right"/>
              <w:rPr>
                <w:b w:val="0"/>
                <w:sz w:val="18"/>
              </w:rPr>
            </w:pPr>
            <w:r w:rsidRPr="006F3D27">
              <w:rPr>
                <w:b w:val="0"/>
                <w:sz w:val="18"/>
              </w:rPr>
              <w:t>Treatment of wastewater from anaerobic digestion of whey, CH</w:t>
            </w:r>
          </w:p>
        </w:tc>
        <w:tc>
          <w:tcPr>
            <w:tcW w:w="1220" w:type="dxa"/>
            <w:vMerge/>
          </w:tcPr>
          <w:p w14:paraId="7B9E66F1" w14:textId="77777777" w:rsidR="00425BA0" w:rsidRPr="006F3D27" w:rsidRDefault="00425BA0" w:rsidP="00847C80">
            <w:pPr>
              <w:cnfStyle w:val="000000100000" w:firstRow="0" w:lastRow="0" w:firstColumn="0" w:lastColumn="0" w:oddVBand="0" w:evenVBand="0" w:oddHBand="1" w:evenHBand="0" w:firstRowFirstColumn="0" w:firstRowLastColumn="0" w:lastRowFirstColumn="0" w:lastRowLastColumn="0"/>
              <w:rPr>
                <w:sz w:val="18"/>
              </w:rPr>
            </w:pPr>
          </w:p>
        </w:tc>
        <w:tc>
          <w:tcPr>
            <w:tcW w:w="3913" w:type="dxa"/>
          </w:tcPr>
          <w:p w14:paraId="06E031FA" w14:textId="43439DA0" w:rsidR="00425BA0" w:rsidRPr="006F3D27" w:rsidRDefault="00425BA0" w:rsidP="00917881">
            <w:pPr>
              <w:cnfStyle w:val="000000100000" w:firstRow="0" w:lastRow="0" w:firstColumn="0" w:lastColumn="0" w:oddVBand="0" w:evenVBand="0" w:oddHBand="1" w:evenHBand="0" w:firstRowFirstColumn="0" w:firstRowLastColumn="0" w:lastRowFirstColumn="0" w:lastRowLastColumn="0"/>
              <w:rPr>
                <w:i/>
                <w:sz w:val="18"/>
              </w:rPr>
            </w:pPr>
            <w:r w:rsidRPr="006F3D27">
              <w:rPr>
                <w:i/>
                <w:sz w:val="18"/>
              </w:rPr>
              <w:t>Closest proxy of reject wastewater treatment (ca. 13 g</w:t>
            </w:r>
            <w:r w:rsidRPr="006F3D27">
              <w:rPr>
                <w:i/>
                <w:sz w:val="18"/>
                <w:vertAlign w:val="subscript"/>
              </w:rPr>
              <w:t>COD</w:t>
            </w:r>
            <w:r w:rsidRPr="006F3D27">
              <w:rPr>
                <w:i/>
                <w:sz w:val="18"/>
              </w:rPr>
              <w:t>.L</w:t>
            </w:r>
            <w:r w:rsidRPr="006F3D27">
              <w:rPr>
                <w:i/>
                <w:sz w:val="18"/>
                <w:vertAlign w:val="superscript"/>
              </w:rPr>
              <w:t>-1</w:t>
            </w:r>
            <w:r w:rsidRPr="006F3D27">
              <w:rPr>
                <w:i/>
                <w:sz w:val="18"/>
              </w:rPr>
              <w:t xml:space="preserve"> based on</w:t>
            </w:r>
            <w:r w:rsidR="00917881" w:rsidRPr="006F3D27">
              <w:rPr>
                <w:i/>
                <w:sz w:val="18"/>
              </w:rPr>
              <w:t xml:space="preserve"> </w:t>
            </w:r>
            <w:r w:rsidR="00917881" w:rsidRPr="006F3D27">
              <w:rPr>
                <w:b/>
                <w:i/>
                <w:sz w:val="18"/>
              </w:rPr>
              <w:fldChar w:fldCharType="begin"/>
            </w:r>
            <w:r w:rsidR="00917881" w:rsidRPr="006F3D27">
              <w:rPr>
                <w:b/>
                <w:i/>
                <w:sz w:val="18"/>
              </w:rPr>
              <w:instrText xml:space="preserve"> REF _Ref144739643 \h  \* MERGEFORMAT </w:instrText>
            </w:r>
            <w:r w:rsidR="00917881" w:rsidRPr="006F3D27">
              <w:rPr>
                <w:b/>
                <w:i/>
                <w:sz w:val="18"/>
              </w:rPr>
            </w:r>
            <w:r w:rsidR="00917881" w:rsidRPr="006F3D27">
              <w:rPr>
                <w:b/>
                <w:i/>
                <w:sz w:val="18"/>
              </w:rPr>
              <w:fldChar w:fldCharType="separate"/>
            </w:r>
            <w:r w:rsidR="00F25F8C" w:rsidRPr="006F3D27">
              <w:rPr>
                <w:b/>
                <w:i/>
                <w:sz w:val="18"/>
              </w:rPr>
              <w:t xml:space="preserve">Table SI. </w:t>
            </w:r>
            <w:r w:rsidR="00F25F8C" w:rsidRPr="006F3D27">
              <w:rPr>
                <w:b/>
                <w:i/>
                <w:noProof/>
                <w:sz w:val="18"/>
              </w:rPr>
              <w:t>18</w:t>
            </w:r>
            <w:r w:rsidR="00917881" w:rsidRPr="006F3D27">
              <w:rPr>
                <w:b/>
                <w:i/>
                <w:sz w:val="18"/>
              </w:rPr>
              <w:fldChar w:fldCharType="end"/>
            </w:r>
            <w:r w:rsidRPr="006F3D27">
              <w:rPr>
                <w:i/>
                <w:sz w:val="18"/>
              </w:rPr>
              <w:t xml:space="preserve">). Background electricity was replaced by the one of this study as treatment assumed to take place in France. </w:t>
            </w:r>
          </w:p>
        </w:tc>
      </w:tr>
      <w:tr w:rsidR="00425BA0" w:rsidRPr="006F3D27" w14:paraId="1F9D92A8"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3909" w:type="dxa"/>
          </w:tcPr>
          <w:p w14:paraId="66FD7913" w14:textId="77777777" w:rsidR="00425BA0" w:rsidRPr="006F3D27" w:rsidRDefault="00425BA0" w:rsidP="00847C80">
            <w:pPr>
              <w:jc w:val="right"/>
              <w:rPr>
                <w:b w:val="0"/>
                <w:sz w:val="18"/>
              </w:rPr>
            </w:pPr>
            <w:r w:rsidRPr="006F3D27">
              <w:rPr>
                <w:b w:val="0"/>
                <w:sz w:val="18"/>
              </w:rPr>
              <w:t>Chemical factory construction, RER</w:t>
            </w:r>
          </w:p>
        </w:tc>
        <w:tc>
          <w:tcPr>
            <w:tcW w:w="1220" w:type="dxa"/>
          </w:tcPr>
          <w:p w14:paraId="251AB2FC" w14:textId="77777777" w:rsidR="00425BA0" w:rsidRPr="006F3D27" w:rsidRDefault="00425BA0" w:rsidP="00847C80">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n.a.</w:t>
            </w:r>
          </w:p>
        </w:tc>
        <w:tc>
          <w:tcPr>
            <w:tcW w:w="3913" w:type="dxa"/>
          </w:tcPr>
          <w:p w14:paraId="0C51224D" w14:textId="7F0D99DC" w:rsidR="00425BA0" w:rsidRPr="006F3D27" w:rsidRDefault="00425BA0" w:rsidP="00917881">
            <w:pPr>
              <w:cnfStyle w:val="000000000000" w:firstRow="0" w:lastRow="0" w:firstColumn="0" w:lastColumn="0" w:oddVBand="0" w:evenVBand="0" w:oddHBand="0" w:evenHBand="0" w:firstRowFirstColumn="0" w:firstRowLastColumn="0" w:lastRowFirstColumn="0" w:lastRowLastColumn="0"/>
              <w:rPr>
                <w:i/>
                <w:sz w:val="18"/>
              </w:rPr>
            </w:pPr>
            <w:r w:rsidRPr="006F3D27">
              <w:rPr>
                <w:i/>
                <w:sz w:val="18"/>
              </w:rPr>
              <w:t xml:space="preserve">Proxy of the MP production facility. Amount adapted to this plant’s production capacity and lifetime: 3.6 </w:t>
            </w:r>
            <w:proofErr w:type="gramStart"/>
            <w:r w:rsidRPr="006F3D27">
              <w:rPr>
                <w:i/>
                <w:sz w:val="18"/>
              </w:rPr>
              <w:t>g.kg</w:t>
            </w:r>
            <w:r w:rsidRPr="006F3D27">
              <w:rPr>
                <w:i/>
                <w:sz w:val="18"/>
                <w:vertAlign w:val="subscript"/>
              </w:rPr>
              <w:t>MP</w:t>
            </w:r>
            <w:proofErr w:type="gramEnd"/>
            <w:r w:rsidRPr="006F3D27">
              <w:rPr>
                <w:i/>
                <w:sz w:val="18"/>
                <w:vertAlign w:val="superscript"/>
              </w:rPr>
              <w:t>-1</w:t>
            </w:r>
            <w:r w:rsidRPr="006F3D27">
              <w:rPr>
                <w:i/>
                <w:sz w:val="18"/>
              </w:rPr>
              <w:t>.</w:t>
            </w:r>
          </w:p>
        </w:tc>
      </w:tr>
      <w:tr w:rsidR="00425BA0" w:rsidRPr="006F3D27" w14:paraId="2D92E42A"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042" w:type="dxa"/>
            <w:gridSpan w:val="3"/>
          </w:tcPr>
          <w:p w14:paraId="7B0FF0B9" w14:textId="5359E872" w:rsidR="00425BA0" w:rsidRPr="006F3D27" w:rsidRDefault="00425BA0" w:rsidP="00917881">
            <w:pPr>
              <w:rPr>
                <w:i/>
                <w:sz w:val="18"/>
              </w:rPr>
            </w:pPr>
            <w:r w:rsidRPr="006F3D27">
              <w:rPr>
                <w:b w:val="0"/>
                <w:i/>
                <w:sz w:val="18"/>
              </w:rPr>
              <w:t>Rest of background processes used for MP pathways are detailed in AD and GA mod</w:t>
            </w:r>
            <w:r w:rsidR="00655BBB">
              <w:rPr>
                <w:b w:val="0"/>
                <w:i/>
                <w:sz w:val="18"/>
              </w:rPr>
              <w:t>els</w:t>
            </w:r>
            <w:r w:rsidRPr="006F3D27">
              <w:rPr>
                <w:b w:val="0"/>
                <w:i/>
                <w:sz w:val="18"/>
              </w:rPr>
              <w:t>, and</w:t>
            </w:r>
            <w:r w:rsidR="00917881" w:rsidRPr="006F3D27">
              <w:rPr>
                <w:b w:val="0"/>
                <w:i/>
                <w:sz w:val="18"/>
              </w:rPr>
              <w:t xml:space="preserve"> </w:t>
            </w:r>
            <w:r w:rsidR="00917881" w:rsidRPr="006F3D27">
              <w:rPr>
                <w:i/>
                <w:sz w:val="18"/>
              </w:rPr>
              <w:fldChar w:fldCharType="begin"/>
            </w:r>
            <w:r w:rsidR="00917881" w:rsidRPr="006F3D27">
              <w:rPr>
                <w:b w:val="0"/>
                <w:i/>
                <w:sz w:val="18"/>
              </w:rPr>
              <w:instrText xml:space="preserve"> REF _Ref144827517 \h  \* MERGEFORMAT </w:instrText>
            </w:r>
            <w:r w:rsidR="00917881" w:rsidRPr="006F3D27">
              <w:rPr>
                <w:i/>
                <w:sz w:val="18"/>
              </w:rPr>
            </w:r>
            <w:r w:rsidR="00917881" w:rsidRPr="006F3D27">
              <w:rPr>
                <w:i/>
                <w:sz w:val="18"/>
              </w:rPr>
              <w:fldChar w:fldCharType="separate"/>
            </w:r>
            <w:r w:rsidR="00F25F8C" w:rsidRPr="006F3D27">
              <w:rPr>
                <w:i/>
                <w:sz w:val="18"/>
              </w:rPr>
              <w:t xml:space="preserve">Table SI. </w:t>
            </w:r>
            <w:r w:rsidR="00F25F8C" w:rsidRPr="006F3D27">
              <w:rPr>
                <w:i/>
                <w:noProof/>
                <w:sz w:val="18"/>
              </w:rPr>
              <w:t>71</w:t>
            </w:r>
            <w:r w:rsidR="00917881" w:rsidRPr="006F3D27">
              <w:rPr>
                <w:i/>
                <w:sz w:val="18"/>
              </w:rPr>
              <w:fldChar w:fldCharType="end"/>
            </w:r>
            <w:r w:rsidRPr="006F3D27">
              <w:rPr>
                <w:i/>
                <w:sz w:val="18"/>
              </w:rPr>
              <w:t>.</w:t>
            </w:r>
          </w:p>
        </w:tc>
      </w:tr>
    </w:tbl>
    <w:p w14:paraId="7747FBF1" w14:textId="6654232B" w:rsidR="00425BA0" w:rsidRPr="003F5DA8" w:rsidRDefault="00425BA0" w:rsidP="00942782">
      <w:pPr>
        <w:jc w:val="both"/>
        <w:rPr>
          <w:sz w:val="18"/>
        </w:rPr>
      </w:pPr>
      <w:r w:rsidRPr="003F5DA8">
        <w:rPr>
          <w:sz w:val="18"/>
        </w:rPr>
        <w:t xml:space="preserve">All processes are from the ecoinvent 3.8 consequential database. Direct flows to biosphere are displayed </w:t>
      </w:r>
      <w:r w:rsidRPr="00545A72">
        <w:rPr>
          <w:sz w:val="18"/>
        </w:rPr>
        <w:t>in</w:t>
      </w:r>
      <w:r w:rsidR="00942782">
        <w:rPr>
          <w:sz w:val="18"/>
        </w:rPr>
        <w:t xml:space="preserve"> </w:t>
      </w:r>
      <w:r w:rsidR="006F3D27" w:rsidRPr="006F3D27">
        <w:rPr>
          <w:i/>
          <w:sz w:val="18"/>
        </w:rPr>
        <w:t>B.MP_module spreadsheet</w:t>
      </w:r>
      <w:r w:rsidRPr="00545A72">
        <w:rPr>
          <w:sz w:val="18"/>
        </w:rPr>
        <w:t>.</w:t>
      </w:r>
    </w:p>
    <w:p w14:paraId="56C9F8DB" w14:textId="10A5229D" w:rsidR="006F3D27" w:rsidRDefault="00917881" w:rsidP="00917881">
      <w:pPr>
        <w:jc w:val="both"/>
      </w:pPr>
      <w:r w:rsidRPr="003F5DA8">
        <w:t>Background processes and technology parameters associated with transversal unit operations between many mode</w:t>
      </w:r>
      <w:r w:rsidR="00655BBB">
        <w:t>l</w:t>
      </w:r>
      <w:r w:rsidRPr="003F5DA8">
        <w:t xml:space="preserve">s (e.g. pretreatments, transportation, etc.) are displayed in the </w:t>
      </w:r>
      <w:r w:rsidRPr="00B825DA">
        <w:t>common</w:t>
      </w:r>
      <w:r>
        <w:rPr>
          <w:b/>
        </w:rPr>
        <w:t xml:space="preserve"> section </w:t>
      </w:r>
      <w:r w:rsidR="000C6C37">
        <w:rPr>
          <w:b/>
        </w:rPr>
        <w:t xml:space="preserve">SI. </w:t>
      </w:r>
      <w:r>
        <w:rPr>
          <w:b/>
        </w:rPr>
        <w:fldChar w:fldCharType="begin"/>
      </w:r>
      <w:r>
        <w:rPr>
          <w:b/>
        </w:rPr>
        <w:instrText xml:space="preserve"> REF _Ref144802667 \r \h </w:instrText>
      </w:r>
      <w:r>
        <w:rPr>
          <w:b/>
        </w:rPr>
      </w:r>
      <w:r>
        <w:rPr>
          <w:b/>
        </w:rPr>
        <w:fldChar w:fldCharType="separate"/>
      </w:r>
      <w:r w:rsidR="00F25F8C">
        <w:rPr>
          <w:b/>
        </w:rPr>
        <w:t>4.1</w:t>
      </w:r>
      <w:r>
        <w:rPr>
          <w:b/>
        </w:rPr>
        <w:fldChar w:fldCharType="end"/>
      </w:r>
      <w:r w:rsidRPr="00B825DA">
        <w:t>.</w:t>
      </w:r>
      <w:r w:rsidRPr="002002AA">
        <w:t xml:space="preserve"> </w:t>
      </w:r>
      <w:r w:rsidRPr="003F5DA8">
        <w:t>Rest of modeling details (e.g. all biosphere flows) are available directly within corresponding excel mode</w:t>
      </w:r>
      <w:r w:rsidR="000C6C37">
        <w:t>l</w:t>
      </w:r>
      <w:r>
        <w:t>.</w:t>
      </w:r>
    </w:p>
    <w:p w14:paraId="58876647" w14:textId="571076E9" w:rsidR="001B2C2E" w:rsidRDefault="001B2C2E" w:rsidP="001B2C2E">
      <w:pPr>
        <w:jc w:val="both"/>
      </w:pPr>
      <w:r>
        <w:t>T</w:t>
      </w:r>
      <w:r w:rsidRPr="008F2922">
        <w:t xml:space="preserve">he main limit of the present model lies in its limited coverage of the many possibilities offered by microbial bioconversion. Among others, </w:t>
      </w:r>
      <w:r>
        <w:t xml:space="preserve">implementing </w:t>
      </w:r>
      <w:r w:rsidRPr="008F2922">
        <w:t xml:space="preserve">a sequential or </w:t>
      </w:r>
      <w:r>
        <w:t>mixed</w:t>
      </w:r>
      <w:r w:rsidRPr="008F2922">
        <w:t>-culture</w:t>
      </w:r>
      <w:r>
        <w:t>d</w:t>
      </w:r>
      <w:r w:rsidRPr="008F2922">
        <w:t xml:space="preserve"> microbial production could reach higher substrate-to-proteins conversion efficiencies </w:t>
      </w:r>
      <w:r w:rsidRPr="008F2922">
        <w:fldChar w:fldCharType="begin"/>
      </w:r>
      <w:r w:rsidR="005413B4">
        <w:instrText xml:space="preserve"> ADDIN ZOTERO_ITEM CSL_CITATION {"citationID":"Qt45LkNE","properties":{"formattedCitation":"\\super 263\\nosupersub{}","plainCitation":"263","noteIndex":0},"citationItems":[{"id":13640,"uris":["http://zotero.org/users/6423791/items/ML5I9YMD"],"itemData":{"id":13640,"type":"article-journal","container-title":"Trends in Biotechnology","DOI":"10.1016/j.tibtech.2022.07.008","ISSN":"0167-7799, 1879-3096","issue":"0","journalAbbreviation":"Trends Biotechnol.","language":"English","note":"publisher: Elsevier","source":"www.cell.com","title":"Biowaste upcycling into second-generation microbial protein through mixed-culture fermentation","URL":"https://www.cell.com/trends/biotechnology/abstract/S0167-7799(22)00177-9","volume":"0","author":[{"family":"Areniello","given":"Marica"},{"family":"Matassa","given":"Silvio"},{"family":"Esposito","given":"Giovanni"},{"family":"Lens","given":"Piet N. L."}],"accessed":{"date-parts":[["2022",8,20]]},"issued":{"date-parts":[["2022",8,19]]}}}],"schema":"https://github.com/citation-style-language/schema/raw/master/csl-citation.json"} </w:instrText>
      </w:r>
      <w:r w:rsidRPr="008F2922">
        <w:fldChar w:fldCharType="separate"/>
      </w:r>
      <w:r w:rsidR="005413B4" w:rsidRPr="005413B4">
        <w:rPr>
          <w:rFonts w:ascii="Calibri" w:hAnsi="Calibri" w:cs="Calibri"/>
          <w:szCs w:val="24"/>
          <w:vertAlign w:val="superscript"/>
        </w:rPr>
        <w:t>263</w:t>
      </w:r>
      <w:r w:rsidRPr="008F2922">
        <w:fldChar w:fldCharType="end"/>
      </w:r>
      <w:r>
        <w:t>. T</w:t>
      </w:r>
      <w:r w:rsidRPr="008F2922">
        <w:t xml:space="preserve">he use of lipid-rich organisms </w:t>
      </w:r>
      <w:r w:rsidRPr="008F2922">
        <w:fldChar w:fldCharType="begin"/>
      </w:r>
      <w:r w:rsidR="005413B4">
        <w:instrText xml:space="preserve"> ADDIN ZOTERO_ITEM CSL_CITATION {"citationID":"6IK8iPNo","properties":{"formattedCitation":"\\super 264\\nosupersub{}","plainCitation":"264","noteIndex":0},"citationItems":[{"id":2101,"uris":["http://zotero.org/users/6423791/items/QACEW34L"],"itemData":{"id":2101,"type":"article-journal","abstract":"Using hydrogen oxidising bacteria to produce protein and other food and feed ingredients is a form of industrial biotechnology that is gaining traction. The technology fixes carbon dioxide into products without the light requirements of agriculture and biotech that rely on primary producers such as plants and algae while promising higher growth rates, drastically less land, fresh water, and mineral requirements. The significant body of scientific knowledge on hydrogen oxidising bacteria continues to grow and genetic engineering tools are well developed for specific species. The scale-up success of other types of gas- fermentation using carbon monoxide or methane has paved the way for scale-up of a process that uses a mix of hydrogen, oxygen, and carbon dioxide to produce bacteria as a food and feed ingredients in a highly sustainable fashion.","container-title":"Engineering Biology","DOI":"10.1049/enb.2020.0005","ISSN":"2398-6182","issue":"2","journalAbbreviation":"Eng. Biol.","language":"en","note":"publisher: IET Digital Library","page":"21-24","source":"digital-library.theiet.org","title":"Hydrogen oxidising bacteria for production of single-cell protein and other food and feed ingredients","volume":"4","author":[{"family":"Pander","given":"Bart"},{"family":"Mortimer","given":"Zahara"},{"family":"Woods","given":"Craig"},{"family":"McGregor","given":"Callum"},{"family":"Dempster","given":"Andrew"},{"family":"Thomas","given":"Lisa"},{"family":"Maliepaard","given":"Joshua"},{"family":"Mansfield","given":"Robert"},{"family":"Rowe","given":"Peter"},{"family":"Krabben","given":"Preben"}],"issued":{"date-parts":[["2020",5,14]]}}}],"schema":"https://github.com/citation-style-language/schema/raw/master/csl-citation.json"} </w:instrText>
      </w:r>
      <w:r w:rsidRPr="008F2922">
        <w:fldChar w:fldCharType="separate"/>
      </w:r>
      <w:r w:rsidR="005413B4" w:rsidRPr="005413B4">
        <w:rPr>
          <w:rFonts w:ascii="Calibri" w:hAnsi="Calibri" w:cs="Calibri"/>
          <w:szCs w:val="24"/>
          <w:vertAlign w:val="superscript"/>
        </w:rPr>
        <w:t>264</w:t>
      </w:r>
      <w:r w:rsidRPr="008F2922">
        <w:fldChar w:fldCharType="end"/>
      </w:r>
      <w:r w:rsidRPr="008F2922">
        <w:t xml:space="preserve"> could supply lipids </w:t>
      </w:r>
      <w:r>
        <w:t xml:space="preserve">feed </w:t>
      </w:r>
      <w:r w:rsidRPr="008F2922">
        <w:t xml:space="preserve">services, and </w:t>
      </w:r>
      <w:r>
        <w:t xml:space="preserve">engineering the amino acids profiles of MP could tailor their nutritional composition to specific end-uses </w:t>
      </w:r>
      <w:r w:rsidRPr="008F2922">
        <w:fldChar w:fldCharType="begin"/>
      </w:r>
      <w:r w:rsidR="005413B4">
        <w:instrText xml:space="preserve"> ADDIN ZOTERO_ITEM CSL_CITATION {"citationID":"SRUPKHlW","properties":{"formattedCitation":"\\super 224\\nosupersub{}","plainCitation":"224","noteIndex":0},"citationItems":[{"id":12906,"uris":["http://zotero.org/users/6423791/items/T9ILD2IY"],"itemData":{"id":12906,"type":"article-journal","abstract":"Microbial protein (MP) is back on the table after decades of slumbering interest. One-carbon (C1) substrates are attractive for MP production due to their efficient production from CO2 and renewable electricity, linking carbon capture to food while circumventing agriculture. Here we compared all reported combinations of C1 (formate/methanol/methane) and microorganisms (bacteria/yeasts) in terms of engineering and biomass quality parameters, focusing on the amino acid match with human requirements. This meta-analysis based on &gt;100 studies suggests that methanol is the most promising C1, and methanol-grown microorganisms seem most nutritional with bacteria and yeasts having different merits. More sustainable MP could be produced if metabolic engineering tools yielding microorganisms with more efficient C1 assimilation pathways and steered amino acid profiles are deployed.","container-title":"Current Opinion in Biotechnology","DOI":"10.1016/j.copbio.2022.102685","ISSN":"0958-1669","journalAbbreviation":"Curr. Opin. Biotechnol.","language":"en","page":"102685","source":"ScienceDirect","title":"Methylotrophs: from C1 compounds to food","title-short":"Methylotrophs","volume":"75","author":[{"family":"Sakarika","given":"Myrsini"},{"family":"Ganigué","given":"Ramon"},{"family":"Rabaey","given":"Korneel"}],"issued":{"date-parts":[["2022",6,1]]}}}],"schema":"https://github.com/citation-style-language/schema/raw/master/csl-citation.json"} </w:instrText>
      </w:r>
      <w:r w:rsidRPr="008F2922">
        <w:fldChar w:fldCharType="separate"/>
      </w:r>
      <w:r w:rsidR="005413B4" w:rsidRPr="005413B4">
        <w:rPr>
          <w:rFonts w:ascii="Calibri" w:hAnsi="Calibri" w:cs="Calibri"/>
          <w:szCs w:val="24"/>
          <w:vertAlign w:val="superscript"/>
        </w:rPr>
        <w:t>224</w:t>
      </w:r>
      <w:r w:rsidRPr="008F2922">
        <w:fldChar w:fldCharType="end"/>
      </w:r>
      <w:r w:rsidRPr="008F2922">
        <w:t>. Indeed, here, MP</w:t>
      </w:r>
      <w:r>
        <w:t xml:space="preserve"> production</w:t>
      </w:r>
      <w:r w:rsidRPr="008F2922">
        <w:t xml:space="preserve"> was a</w:t>
      </w:r>
      <w:r>
        <w:t>ssessed</w:t>
      </w:r>
      <w:r w:rsidRPr="008F2922">
        <w:t xml:space="preserve"> </w:t>
      </w:r>
      <w:r>
        <w:t>to supply generic feed services</w:t>
      </w:r>
      <w:r w:rsidRPr="008F2922">
        <w:t>, while targeting more specific bio-compound markets would likely enable larger unitary environmental savings (but smaller volumes).</w:t>
      </w:r>
    </w:p>
    <w:p w14:paraId="7E7C9F9A" w14:textId="77777777" w:rsidR="006F3D27" w:rsidRDefault="006F3D27">
      <w:r>
        <w:br w:type="page"/>
      </w:r>
    </w:p>
    <w:p w14:paraId="03C61EBC" w14:textId="220E9B35" w:rsidR="00847C80" w:rsidRPr="00847C80" w:rsidRDefault="00A03425" w:rsidP="003B36AF">
      <w:pPr>
        <w:pStyle w:val="Titre2"/>
      </w:pPr>
      <w:bookmarkStart w:id="358" w:name="_Toc145069130"/>
      <w:r>
        <w:lastRenderedPageBreak/>
        <w:t>Rubisco proteins extraction from green residues LCI</w:t>
      </w:r>
      <w:r w:rsidR="00847C80" w:rsidRPr="00847C80">
        <w:t xml:space="preserve"> mode</w:t>
      </w:r>
      <w:bookmarkEnd w:id="358"/>
      <w:r w:rsidR="00655BBB">
        <w:t>l</w:t>
      </w:r>
    </w:p>
    <w:p w14:paraId="25CB7A5F" w14:textId="6C162A1A" w:rsidR="00847C80" w:rsidRDefault="00847C80" w:rsidP="003B36AF">
      <w:pPr>
        <w:ind w:firstLine="360"/>
        <w:jc w:val="both"/>
      </w:pPr>
      <w:r w:rsidRPr="003F5DA8">
        <w:t xml:space="preserve">This </w:t>
      </w:r>
      <w:r w:rsidR="003B36AF">
        <w:t xml:space="preserve">section </w:t>
      </w:r>
      <w:r w:rsidRPr="003F5DA8">
        <w:t>presents the details (including assumptions, choice rationales, calculations and data sources) of the green biorefinery (GB) life cycle inventory (LCI) model,</w:t>
      </w:r>
      <w:r w:rsidR="003B36AF" w:rsidRPr="003B36AF">
        <w:t xml:space="preserve"> </w:t>
      </w:r>
      <w:r w:rsidR="003B36AF">
        <w:t>with the objective to</w:t>
      </w:r>
      <w:r w:rsidR="003B36AF" w:rsidRPr="003F5DA8">
        <w:t xml:space="preserve"> </w:t>
      </w:r>
      <w:r w:rsidR="003B36AF">
        <w:t>perform</w:t>
      </w:r>
      <w:r w:rsidR="003B36AF" w:rsidRPr="003F5DA8">
        <w:t xml:space="preserve"> the LCA o</w:t>
      </w:r>
      <w:r w:rsidR="003B36AF">
        <w:t xml:space="preserve">f </w:t>
      </w:r>
      <w:r w:rsidRPr="003F5DA8">
        <w:t>proteins extraction from leafy streams. The present mode</w:t>
      </w:r>
      <w:r w:rsidR="00655BBB">
        <w:t>l</w:t>
      </w:r>
      <w:r w:rsidRPr="003F5DA8">
        <w:t xml:space="preserve">, concentrating on the protein’s extraction and valorization stages, is available </w:t>
      </w:r>
      <w:r>
        <w:t xml:space="preserve">in spreadsheet </w:t>
      </w:r>
      <w:r w:rsidR="006F3D27" w:rsidRPr="006F3D27">
        <w:rPr>
          <w:i/>
        </w:rPr>
        <w:t>B.GB_module spreadsheet</w:t>
      </w:r>
      <w:r w:rsidRPr="003F5DA8">
        <w:t>. In front of the many possibilities to manage the co-products, three were selected (further described), leading to three individual pathways: GB_AD, GB_rough and GB_mycofood. The LCA results of GB pathways are therefore obtained by pairing the present mode</w:t>
      </w:r>
      <w:r w:rsidR="00655BBB">
        <w:t>l</w:t>
      </w:r>
      <w:r w:rsidRPr="003F5DA8">
        <w:t xml:space="preserve"> with the one corresponding to the selected co-products valorization option (AD for GB_AD, CF for GB_rough and Mycoproteins production for GB_mycofood).</w:t>
      </w:r>
    </w:p>
    <w:p w14:paraId="55739008" w14:textId="61005B90" w:rsidR="003B36AF" w:rsidRDefault="003B36AF" w:rsidP="003B36AF">
      <w:pPr>
        <w:pStyle w:val="Titre3"/>
      </w:pPr>
      <w:bookmarkStart w:id="359" w:name="_Toc145069131"/>
      <w:r>
        <w:t>Set-up selection</w:t>
      </w:r>
      <w:bookmarkEnd w:id="359"/>
    </w:p>
    <w:p w14:paraId="638A26D6" w14:textId="5295051F" w:rsidR="00847C80" w:rsidRDefault="003B36AF" w:rsidP="00CE55F4">
      <w:pPr>
        <w:tabs>
          <w:tab w:val="left" w:pos="1157"/>
        </w:tabs>
        <w:jc w:val="both"/>
      </w:pPr>
      <w:r>
        <w:t xml:space="preserve">As </w:t>
      </w:r>
      <w:r w:rsidR="00847C80" w:rsidRPr="003F5DA8">
        <w:t xml:space="preserve">many set-ups </w:t>
      </w:r>
      <w:r>
        <w:t>exist as</w:t>
      </w:r>
      <w:r w:rsidR="00847C80" w:rsidRPr="003F5DA8">
        <w:t xml:space="preserve"> different</w:t>
      </w:r>
      <w:r>
        <w:t xml:space="preserve"> targeted</w:t>
      </w:r>
      <w:r w:rsidR="00847C80" w:rsidRPr="003F5DA8">
        <w:t xml:space="preserve"> functionalities</w:t>
      </w:r>
      <w:r>
        <w:t>/markets</w:t>
      </w:r>
      <w:r w:rsidR="00847C80" w:rsidRPr="003F5DA8">
        <w:t xml:space="preserve"> of the generated </w:t>
      </w:r>
      <w:r>
        <w:t xml:space="preserve">protein extracts and corresponding </w:t>
      </w:r>
      <w:r w:rsidR="00847C80" w:rsidRPr="003F5DA8">
        <w:t>co-products.</w:t>
      </w:r>
      <w:r w:rsidR="00847C80">
        <w:t xml:space="preserve"> </w:t>
      </w:r>
      <w:r w:rsidR="00847C80" w:rsidRPr="003F5DA8">
        <w:t>For example, in France, despite an established alfalfa biorefining supply chain (producing ca. 0.85 Mt</w:t>
      </w:r>
      <w:r w:rsidR="00847C80" w:rsidRPr="003F5DA8">
        <w:rPr>
          <w:vertAlign w:val="subscript"/>
        </w:rPr>
        <w:t>ww</w:t>
      </w:r>
      <w:r w:rsidR="00847C80" w:rsidRPr="003F5DA8">
        <w:t>.y</w:t>
      </w:r>
      <w:r w:rsidR="00847C80" w:rsidRPr="003F5DA8">
        <w:rPr>
          <w:vertAlign w:val="superscript"/>
        </w:rPr>
        <w:t>-1</w:t>
      </w:r>
      <w:r w:rsidR="00847C80" w:rsidRPr="003F5DA8">
        <w:t xml:space="preserve"> dried alfalfa forage</w:t>
      </w:r>
      <w:r w:rsidR="00847C80" w:rsidRPr="003F5DA8">
        <w:fldChar w:fldCharType="begin"/>
      </w:r>
      <w:r w:rsidR="005413B4">
        <w:instrText xml:space="preserve"> ADDIN ZOTERO_ITEM CSL_CITATION {"citationID":"E8j9uMli","properties":{"formattedCitation":"\\super 265\\nosupersub{}","plainCitation":"265","noteIndex":0},"citationItems":[{"id":11347,"uris":["http://zotero.org/users/6423791/items/4KDBURBS"],"itemData":{"id":11347,"type":"book","event-place":"Paris, France","publisher":"COOP de France Déshydratation","publisher-place":"Paris, France","title":"Luzerne Références 2019-2021","URL":"https://www.luzernes.org/wp-content/uploads/2020/12/Luzerne-References-2019_2021.pdf","author":[{"family":"Le Chatelier","given":"Denis"}],"accessed":{"date-parts":[["2021",5,20]]},"issued":{"date-parts":[["2019"]]}}}],"schema":"https://github.com/citation-style-language/schema/raw/master/csl-citation.json"} </w:instrText>
      </w:r>
      <w:r w:rsidR="00847C80" w:rsidRPr="003F5DA8">
        <w:fldChar w:fldCharType="separate"/>
      </w:r>
      <w:r w:rsidR="005413B4" w:rsidRPr="005413B4">
        <w:rPr>
          <w:rFonts w:ascii="Calibri" w:hAnsi="Calibri" w:cs="Calibri"/>
          <w:szCs w:val="24"/>
          <w:vertAlign w:val="superscript"/>
        </w:rPr>
        <w:t>265</w:t>
      </w:r>
      <w:r w:rsidR="00847C80" w:rsidRPr="003F5DA8">
        <w:fldChar w:fldCharType="end"/>
      </w:r>
      <w:r w:rsidR="00847C80" w:rsidRPr="003F5DA8">
        <w:t>), alfalfa LPC production still remain rather a niche market for both animal feed (e.g. Desialis’ PX product targeting pigments for poultry production</w:t>
      </w:r>
      <w:r w:rsidR="00847C80" w:rsidRPr="003F5DA8">
        <w:fldChar w:fldCharType="begin"/>
      </w:r>
      <w:r w:rsidR="005413B4">
        <w:instrText xml:space="preserve"> ADDIN ZOTERO_ITEM CSL_CITATION {"citationID":"iRe3CQMC","properties":{"formattedCitation":"\\super 266\\nosupersub{}","plainCitation":"266","noteIndex":0},"citationItems":[{"id":11340,"uris":["http://zotero.org/users/6423791/items/WY7NQ5DU"],"itemData":{"id":11340,"type":"report","abstract":"Industrial extraction of proteins and pigments from alfalfa makes it possible to obtain from leaves of this forage legume protein concentrates with a high content in pigments and omega-3 fatty acids. The high tech process is less energy consuming than the classical dehydration process, even when considering the large energy savings made for forage dehydration during the last two years. Today, the main commercial outlets for this concentrate are the market of protein concentrate for herbivores, the one of pigments for poultry production and also the market of omega-3 rich feeds for ruminants.","archive_location":"hal-02658324","collection-title":"Innovations Agronomiques","language":"fr","page":"147-156","publisher":"INRAE","source":"Zotero","title":"Extraction industrielle de protéines et de pigments chez la luzerne: état des lieux et perspectives","URL":"https://hal.inrae.fr/hal-02658324/document","author":[{"family":"Andurand","given":"J"},{"family":"Coulmier","given":"D"},{"family":"Despres","given":"J L"},{"family":"Rambourg","given":"J C"}],"issued":{"date-parts":[["2010"]]}}}],"schema":"https://github.com/citation-style-language/schema/raw/master/csl-citation.json"} </w:instrText>
      </w:r>
      <w:r w:rsidR="00847C80" w:rsidRPr="003F5DA8">
        <w:fldChar w:fldCharType="separate"/>
      </w:r>
      <w:r w:rsidR="005413B4" w:rsidRPr="005413B4">
        <w:rPr>
          <w:rFonts w:ascii="Calibri" w:hAnsi="Calibri" w:cs="Calibri"/>
          <w:szCs w:val="24"/>
          <w:vertAlign w:val="superscript"/>
        </w:rPr>
        <w:t>266</w:t>
      </w:r>
      <w:r w:rsidR="00847C80" w:rsidRPr="003F5DA8">
        <w:fldChar w:fldCharType="end"/>
      </w:r>
      <w:r w:rsidR="00847C80" w:rsidRPr="003F5DA8">
        <w:t>) and human food (“Novel food” approval of alfalfa protein isolates as food supplement in 2009</w:t>
      </w:r>
      <w:r w:rsidR="00847C80" w:rsidRPr="003F5DA8">
        <w:fldChar w:fldCharType="begin"/>
      </w:r>
      <w:r w:rsidR="005413B4">
        <w:instrText xml:space="preserve"> ADDIN ZOTERO_ITEM CSL_CITATION {"citationID":"BiZ8xnMh","properties":{"formattedCitation":"\\super 267\\nosupersub{}","plainCitation":"267","noteIndex":0},"citationItems":[{"id":11352,"uris":["http://zotero.org/users/6423791/items/TDJL3ZCJ"],"itemData":{"id":11352,"type":"article-journal","container-title":"EFSA Journal","DOI":"10.2903/j.efsa.2009.997","ISSN":"18314732, 18314732","issue":"4","journalAbbreviation":"EFS2","language":"eng","source":"DOI.org (CSL JSON)","title":"Opinion on the safety of ‘Alfalfa protein concentrate’ as food","URL":"https://data.europa.eu/doi/10.2903/j.efsa.2009.997","volume":"7","author":[{"literal":"EFSA"}],"accessed":{"date-parts":[["2021",5,20]]},"issued":{"date-parts":[["2009",4]]}}}],"schema":"https://github.com/citation-style-language/schema/raw/master/csl-citation.json"} </w:instrText>
      </w:r>
      <w:r w:rsidR="00847C80" w:rsidRPr="003F5DA8">
        <w:fldChar w:fldCharType="separate"/>
      </w:r>
      <w:r w:rsidR="005413B4" w:rsidRPr="005413B4">
        <w:rPr>
          <w:rFonts w:ascii="Calibri" w:hAnsi="Calibri" w:cs="Calibri"/>
          <w:szCs w:val="24"/>
          <w:vertAlign w:val="superscript"/>
        </w:rPr>
        <w:t>267</w:t>
      </w:r>
      <w:r w:rsidR="00847C80" w:rsidRPr="003F5DA8">
        <w:fldChar w:fldCharType="end"/>
      </w:r>
      <w:r w:rsidR="00847C80" w:rsidRPr="003F5DA8">
        <w:t>). Nevertheless, ongoing projects (non-exhaustive list in e.g. Table 7 of Krenz and Pleissner, 2022</w:t>
      </w:r>
      <w:r w:rsidR="00847C80" w:rsidRPr="003F5DA8">
        <w:fldChar w:fldCharType="begin"/>
      </w:r>
      <w:r w:rsidR="005413B4">
        <w:instrText xml:space="preserve"> ADDIN ZOTERO_ITEM CSL_CITATION {"citationID":"Lz7q8ZHX","properties":{"formattedCitation":"\\super 268\\nosupersub{}","plainCitation":"268","noteIndex":0},"citationItems":[{"id":13129,"uris":["http://zotero.org/users/6423791/items/VRK2HTHB"],"itemData":{"id":13129,"type":"article-journal","abstract":"The aim of this review was to investigate and develop possible material and energetic utilization strategies for grass from nature conservation areas, which is harvested late in the year and currently largely unused. Compared to freshly harvested grass, it contains less proteins and higher contents of fibers. Landscape management grass has therefore poor forage quality and is not suitable as animal feed. Due to its high calorific value, grass biomass can be used as a material for combustion. However, combustion technology must be adapted to the high contents of inorganics. Fresh grass is a widely used feedstock in biogas plants; late-harvested grass however shows lower biogas yields. The integrated generation of solid fuel and biogas represents a promising combination of combustion and digestion. Grass biomass can also be used in a green biorefinery (GBR) or a lignocellulose biorefinery (LCB). A GBR uses fresh green biomass, producing a protein concentrate (recovery of 30–60%, w/w) and a fiber fraction (recovery of up to 95%, w/w). It is supposed that late-harvested grass is less suitable due to low contents of exploitable components. An LCB operates on dry lignocellulosic feedstock and produces a wide range of carbohydrate products. To date, no LCB or GBR operating on late-harvested grass from semi-natural grasslands was described, and further research on the practical implementation is needed.","container-title":"Biomass Conversion and Biorefinery","DOI":"10.1007/s13399-022-02568-0","ISSN":"2190-6823","journalAbbreviation":"Biomass Conv. Bioref.","language":"en","source":"Springer Link","title":"Valorization of landscape management grass","URL":"https://doi.org/10.1007/s13399-022-02568-0","author":[{"family":"Krenz","given":"Lina Maja Marie"},{"family":"Pleissner","given":"Daniel"}],"accessed":{"date-parts":[["2022",3,30]]},"issued":{"date-parts":[["2022",3,23]]}}}],"schema":"https://github.com/citation-style-language/schema/raw/master/csl-citation.json"} </w:instrText>
      </w:r>
      <w:r w:rsidR="00847C80" w:rsidRPr="003F5DA8">
        <w:fldChar w:fldCharType="separate"/>
      </w:r>
      <w:r w:rsidR="005413B4" w:rsidRPr="005413B4">
        <w:rPr>
          <w:rFonts w:ascii="Calibri" w:hAnsi="Calibri" w:cs="Calibri"/>
          <w:szCs w:val="24"/>
          <w:vertAlign w:val="superscript"/>
        </w:rPr>
        <w:t>268</w:t>
      </w:r>
      <w:r w:rsidR="00847C80" w:rsidRPr="003F5DA8">
        <w:fldChar w:fldCharType="end"/>
      </w:r>
      <w:r w:rsidR="00847C80" w:rsidRPr="003F5DA8">
        <w:t xml:space="preserve"> and Table 18 of Hermansen et al., 2017</w:t>
      </w:r>
      <w:r w:rsidR="00847C80" w:rsidRPr="003F5DA8">
        <w:fldChar w:fldCharType="begin"/>
      </w:r>
      <w:r w:rsidR="005413B4">
        <w:instrText xml:space="preserve"> ADDIN ZOTERO_ITEM CSL_CITATION {"citationID":"5nLhhLhG","properties":{"formattedCitation":"\\super 269\\nosupersub{}","plainCitation":"269","noteIndex":0},"citationItems":[{"id":10773,"uris":["http://zotero.org/users/6423791/items/FEBHG4SW"],"itemData":{"id":10773,"type":"report","event-place":"Tjele","genre":"DCA Report","language":"en","number":"093","page":"72","publisher-place":"Tjele","source":"Zotero","title":"Green Biomass - Protein production through biorefining","URL":"https://dcapub.au.dk/djfpublikation/djfpdf/dcarapport093.pdf","author":[{"family":"Hermansen","given":"John E"},{"family":"Jørgensen","given":"Uffe"},{"family":"Weisbjerg","given":"Martin R"},{"family":"Dalsgaard","given":"Trine K"},{"family":"Danielsen","given":"Marianne"},{"family":"Asp","given":"Torben"},{"family":"Amby-Jensen","given":"Morten"},{"family":"Sørensen","given":"Aage Grøn"},{"family":"Jensen","given":"Mikkel Vestby"},{"family":"Gylling","given":"Morten"},{"family":"Lindedam","given":"Jane"},{"family":"Lübeck","given":"Mette"},{"family":"Fog","given":"Erik"}],"issued":{"date-parts":[["2017"]]}}}],"schema":"https://github.com/citation-style-language/schema/raw/master/csl-citation.json"} </w:instrText>
      </w:r>
      <w:r w:rsidR="00847C80" w:rsidRPr="003F5DA8">
        <w:fldChar w:fldCharType="separate"/>
      </w:r>
      <w:r w:rsidR="005413B4" w:rsidRPr="005413B4">
        <w:rPr>
          <w:rFonts w:ascii="Calibri" w:hAnsi="Calibri" w:cs="Calibri"/>
          <w:szCs w:val="24"/>
          <w:vertAlign w:val="superscript"/>
        </w:rPr>
        <w:t>269</w:t>
      </w:r>
      <w:r w:rsidR="00847C80" w:rsidRPr="003F5DA8">
        <w:fldChar w:fldCharType="end"/>
      </w:r>
      <w:r w:rsidR="00847C80" w:rsidRPr="003F5DA8">
        <w:t>) still aim to rich the broader objective of making green biomass proteins accessible to monogastric animals</w:t>
      </w:r>
      <w:r w:rsidR="00847C80" w:rsidRPr="003F5DA8">
        <w:fldChar w:fldCharType="begin"/>
      </w:r>
      <w:r w:rsidR="005413B4">
        <w:instrText xml:space="preserve"> ADDIN ZOTERO_ITEM CSL_CITATION {"citationID":"EaTDa5qn","properties":{"formattedCitation":"\\super 270\\nosupersub{}","plainCitation":"270","noteIndex":0},"citationItems":[{"id":10991,"uris":["http://zotero.org/users/6423791/items/IGIQNA49"],"itemData":{"id":10991,"type":"patent","authority":"United States","call-number":"US16/611,257","number":"US20200187525A1","title":"Method and system for the production of non-ruminant animal feed","URL":"https://patents.google.com/patent/US20200187525A1/en","author":[{"family":"Sanders","given":"Johan Pieter Marinus"},{"family":"Koopmans","given":"Sybrandus"}],"accessed":{"date-parts":[["2021",4,14]]},"issued":{"date-parts":[["2020",6,18]]},"submitted":{"date-parts":[["2018",4,30]]}}}],"schema":"https://github.com/citation-style-language/schema/raw/master/csl-citation.json"} </w:instrText>
      </w:r>
      <w:r w:rsidR="00847C80" w:rsidRPr="003F5DA8">
        <w:fldChar w:fldCharType="separate"/>
      </w:r>
      <w:r w:rsidR="005413B4" w:rsidRPr="005413B4">
        <w:rPr>
          <w:rFonts w:ascii="Calibri" w:hAnsi="Calibri" w:cs="Calibri"/>
          <w:szCs w:val="24"/>
          <w:vertAlign w:val="superscript"/>
        </w:rPr>
        <w:t>270</w:t>
      </w:r>
      <w:r w:rsidR="00847C80" w:rsidRPr="003F5DA8">
        <w:fldChar w:fldCharType="end"/>
      </w:r>
      <w:r w:rsidR="00847C80" w:rsidRPr="003F5DA8">
        <w:t>.</w:t>
      </w:r>
      <w:r>
        <w:t xml:space="preserve"> Moreover, so far, available </w:t>
      </w:r>
      <w:r w:rsidRPr="003F5DA8">
        <w:t xml:space="preserve">GB assessments </w:t>
      </w:r>
      <w:r>
        <w:t>mostly target premium green crops, not residual streams (</w:t>
      </w:r>
      <w:r w:rsidRPr="003B36AF">
        <w:rPr>
          <w:b/>
        </w:rPr>
        <w:fldChar w:fldCharType="begin"/>
      </w:r>
      <w:r w:rsidRPr="003B36AF">
        <w:rPr>
          <w:b/>
        </w:rPr>
        <w:instrText xml:space="preserve"> REF _Ref144909390 \h </w:instrText>
      </w:r>
      <w:r>
        <w:rPr>
          <w:b/>
        </w:rPr>
        <w:instrText xml:space="preserve"> \* MERGEFORMAT </w:instrText>
      </w:r>
      <w:r w:rsidRPr="003B36AF">
        <w:rPr>
          <w:b/>
        </w:rPr>
      </w:r>
      <w:r w:rsidRPr="003B36AF">
        <w:rPr>
          <w:b/>
        </w:rPr>
        <w:fldChar w:fldCharType="separate"/>
      </w:r>
      <w:r w:rsidR="00F25F8C" w:rsidRPr="00F25F8C">
        <w:rPr>
          <w:b/>
        </w:rPr>
        <w:t xml:space="preserve">Table SI. </w:t>
      </w:r>
      <w:r w:rsidR="00F25F8C" w:rsidRPr="00F25F8C">
        <w:rPr>
          <w:b/>
          <w:noProof/>
        </w:rPr>
        <w:t>83</w:t>
      </w:r>
      <w:r w:rsidRPr="003B36AF">
        <w:rPr>
          <w:b/>
        </w:rPr>
        <w:fldChar w:fldCharType="end"/>
      </w:r>
      <w:r>
        <w:t>)</w:t>
      </w:r>
      <w:r w:rsidRPr="003F5DA8">
        <w:t>.</w:t>
      </w:r>
      <w:r>
        <w:t xml:space="preserve"> Yet, at the lab-scale reported GB refinement of green residual streams include </w:t>
      </w:r>
      <w:r w:rsidR="00847C80" w:rsidRPr="003F5DA8">
        <w:t>vegetable tops (that is, potato and sugarbeet tops</w:t>
      </w:r>
      <w:r w:rsidR="00847C80" w:rsidRPr="003F5DA8">
        <w:fldChar w:fldCharType="begin"/>
      </w:r>
      <w:r w:rsidR="005413B4">
        <w:instrText xml:space="preserve"> ADDIN ZOTERO_ITEM CSL_CITATION {"citationID":"lUyC6uXP","properties":{"formattedCitation":"\\super 271\\uc0\\u8211{}273\\nosupersub{}","plainCitation":"271–273","noteIndex":0},"citationItems":[{"id":13179,"uris":["http://zotero.org/users/6423791/items/JQNSIYF3"],"itemData":{"id":13179,"type":"thesis","abstract":"Demand for sustainable protein-rich food sources is currently increasing to meet the nutritional requirements of a growing population, while also considering climate challenges. Green leafy biomass (GLBM), in the form of side-streams and main crops, is a widely available protein source with potential food value. Extended use of GLBM, e.g. through a biorefinery process targeting leaf protein concentrates (LPCs), could add direct values, e.g. economic revenues from side-stream valorisation, or indirect values, e.g. reduced greenhouse gas emissions from higher resource utilisation.","event-place":"Alnarp","language":"en","number-of-pages":"114","publisher":"Swedish University of Agricultural Science","publisher-place":"Alnarp","source":"Zotero","title":"Harnessing the potential of green leaves : agricultural biomass as a source of sustainable","author":[{"family":"Nynäs","given":"Anna-Lovisa"}],"issued":{"date-parts":[["2022"]]}}},{"id":9255,"uris":["http://zotero.org/users/6423791/items/9EZA9MQK"],"itemData":{"id":9255,"type":"article-journal","abstract":"Large-scale processing of leaves for food applications requires quick processing or stabilisation to avoid perishability, due to the high moisture content in this biomass. Leaf perishability is compounded by the seasonal availability of crops, like sugar beet plants, of which the leaves are regarded as a potential protein source. This study evaluates the resource efficiency of a hypothetical sugar beet leaf processing chain by comparing supply chain options. First, two options consider leaf processing with and without stabilising the leaves by freezing. Then, these two options are considered in a centralised and decentralised process configuration. The latter places leaf freezing and pressing at the farm and further processes occur at a central facility. Energy usage and exergy consumption were used to quantify the thermodynamic performance of the processing options. Freezing has negligible effect on the process-ability of the leaves in terms of protein content and protein yield. The overall resource efficiency of the process was dominated by the amount of leaf material effectively used, which stresses the importance of full use of all (side-)streams. This outcome also explains the limited additional energy requirements for freezing. Exergetic indicators were affected by variations on the dry matter content of the starting biomass, compared to a negligible effect of other parameters (equipment scale, efficiency or energy use). Transportation load and soil quality were also discussed for the centralised and decentralised configurations. On-farm processing of the leaves (decentralised chain) clearly reduces the transportation load due to the large difference in bulk densities of leaves (73 kg/m3) and leaf juice (1000 kg/m3). Additionally, decentralised scenarios enable direct returning of the leaf pulp to the soil and thereby improving soil quality (i.e. nutrient retention and fertility). Soil quality is required to fully assess the use of biomass that is currently regarded as waste, but that actually plays a role in soil fertility. Therefore, the preferred chain configuration would be a decentralised system where the leaves are directly pressed at the farm, the pulp is used to fertilise the soil, and the leaf juice is chilled transported to a centralised factory.","container-title":"Journal of Cleaner Production","DOI":"10.1016/j.jclepro.2017.06.248","ISSN":"0959-6526","journalAbbreviation":"J. Clean. Prod.","language":"en","page":"736-748","source":"ScienceDirect","title":"Processing concepts for the use of green leaves as raw materials for the food industry","volume":"164","author":[{"family":"Tamayo Tenorio","given":"A."},{"family":"Schreuders","given":"F. K. G."},{"family":"Zisopoulos","given":"F. K."},{"family":"Boom","given":"R. M."},{"family":"Goot","given":"A. J.","non-dropping-particle":"van der"}],"issued":{"date-parts":[["2017",10,15]]}}},{"id":9297,"uris":["http://zotero.org/users/6423791/items/9FUPCM4G"],"itemData":{"id":9297,"type":"article-journal","abstract":"Effects of the developmental stage (e.g., young, mature, or senescent) of leaves on their chemical composition have been described in the literature. This study focuses on the variation in chemical composition and quantity and quality of proteins extracted from leaves due to variation in plant age (i.e., harvesting time), using leaves from sugar beets grown in a field (Rhino, Arrival) and in a greenhouse (Isabella). Within the same variety (Rhino, field; Arrival, field; Isabella, greenhouse) the protein content was similar for leaves from young and old plants (22 ± 1, 16 ± 1, and 10 ± 3% w/w db, respectively). Variation in final protein isolation yield was mostly due to variation in nitrogen extractability (28–56%), although no consistent correlation with plant age was found. A significant effect of plant age was observed on the quality (color) of the extracted protein, that is, brown (indicative of polyphenol oxidase activity) and yellow for extracts from old and young plants, respectively.","container-title":"Journal of Agricultural and Food Chemistry","DOI":"10.1021/acs.jafc.6b03095","ISSN":"0021-8561","issue":"44","journalAbbreviation":"J. Agric. Food Chem.","page":"8305-8314","source":"ACS Publications","title":"Effect of Plant Age on the Quantity and Quality of Proteins Extracted from Sugar Beet (Beta vulgaris L.) Leaves","volume":"64","author":[{"family":"Kiskini","given":"Alexandra"},{"family":"Vissers","given":"Anne"},{"family":"Vincken","given":"Jean-Paul"},{"family":"Gruppen","given":"Harry"},{"family":"Wierenga","given":"Peter Alexander"}],"issued":{"date-parts":[["2016",11,9]]}}}],"schema":"https://github.com/citation-style-language/schema/raw/master/csl-citation.json"} </w:instrText>
      </w:r>
      <w:r w:rsidR="00847C80" w:rsidRPr="003F5DA8">
        <w:fldChar w:fldCharType="separate"/>
      </w:r>
      <w:r w:rsidR="005413B4" w:rsidRPr="005413B4">
        <w:rPr>
          <w:rFonts w:ascii="Calibri" w:hAnsi="Calibri" w:cs="Calibri"/>
          <w:szCs w:val="24"/>
          <w:vertAlign w:val="superscript"/>
        </w:rPr>
        <w:t>271–273</w:t>
      </w:r>
      <w:r w:rsidR="00847C80" w:rsidRPr="003F5DA8">
        <w:fldChar w:fldCharType="end"/>
      </w:r>
      <w:r w:rsidR="00847C80" w:rsidRPr="003F5DA8">
        <w:t>, beans and peas leaves</w:t>
      </w:r>
      <w:r w:rsidR="00847C80" w:rsidRPr="003F5DA8">
        <w:fldChar w:fldCharType="begin"/>
      </w:r>
      <w:r w:rsidR="005413B4">
        <w:instrText xml:space="preserve"> ADDIN ZOTERO_ITEM CSL_CITATION {"citationID":"3elCBe0c","properties":{"formattedCitation":"\\super 274\\nosupersub{}","plainCitation":"274","noteIndex":0},"citationItems":[{"id":11634,"uris":["http://zotero.org/users/6423791/items/XEGA4EL9"],"itemData":{"id":11634,"type":"article-journal","abstract":"Leaf protein concentrates (LPC) were obtained from carrot tops, cucumber, mangold and tomato leaves, pea vines and potato haulm using a standard method. Yields of extractable protein per hectare ranged from 45 kg (carrot) to 600 kg (cucumber, potato, tomato). Protein contents of LPC ranged from 22·5% (carrot) to 50% (potato). The former LPC contained an extremely high amount of ash (46·7%). The amino acid compositions of extracted proteins did not differ significantly from those of similar preparations made from other plant species. In contrast to the similar amino acid composition, the nutritive value of the proteins, estimated on rats using the Thomas-Mitchell balance method, differed significantly. The biological value of protein from potato was the lowest (42) and that from cucumber was the highest (59). The leaf-protein digestibilities ranged from 72 to 95% except for protein extracted from carrot tops which was very low (50). Rats fed with tomato LPC died at the beginning of the experiment. Cucumber and pea leaf protein had almost as high net protein utilization as soya bean protein.","container-title":"Biological Wastes","DOI":"10.1016/0269-7483(89)90072-4","ISSN":"0269-7483","issue":"2","journalAbbreviation":"Biological Wastes","language":"en","page":"83-90","source":"ScienceDirect","title":"Waste green parts of plants as raw material for leaf protein concentrate production","volume":"28","author":[{"family":"Carlsson","given":"Rolf"},{"family":"Hanczakowski","given":"Piotr"}],"issued":{"date-parts":[["1989",1,1]]}}}],"schema":"https://github.com/citation-style-language/schema/raw/master/csl-citation.json"} </w:instrText>
      </w:r>
      <w:r w:rsidR="00847C80" w:rsidRPr="003F5DA8">
        <w:fldChar w:fldCharType="separate"/>
      </w:r>
      <w:r w:rsidR="005413B4" w:rsidRPr="005413B4">
        <w:rPr>
          <w:rFonts w:ascii="Calibri" w:hAnsi="Calibri" w:cs="Calibri"/>
          <w:szCs w:val="24"/>
          <w:vertAlign w:val="superscript"/>
        </w:rPr>
        <w:t>274</w:t>
      </w:r>
      <w:r w:rsidR="00847C80" w:rsidRPr="003F5DA8">
        <w:fldChar w:fldCharType="end"/>
      </w:r>
      <w:r w:rsidR="00847C80" w:rsidRPr="003F5DA8">
        <w:t>, kale and broccoli leaves</w:t>
      </w:r>
      <w:r w:rsidR="00847C80" w:rsidRPr="003F5DA8">
        <w:fldChar w:fldCharType="begin"/>
      </w:r>
      <w:r w:rsidR="005413B4">
        <w:instrText xml:space="preserve"> ADDIN ZOTERO_ITEM CSL_CITATION {"citationID":"vaoR1oC8","properties":{"formattedCitation":"\\super 275\\nosupersub{}","plainCitation":"275","noteIndex":0},"citationItems":[{"id":12426,"uris":["http://zotero.org/users/6423791/items/GS4RZCAW"],"itemData":{"id":12426,"type":"article-journal","abstract":"This pre-feasibility study evaluates the use of residual leafy green biomass from broccoli (Brassica oleracea, var. Italica) and kale (Brassica oleracea, var. Sabellica) as feedstock for protein fractionation and potential application of the fractions in food and feed products. The protein concentration, protein recovery potential and the content of phenols and dietary ﬁbre in these biomass sources and fractions were investigated. Field produce and side-stream analysis showed that among broccoli and kale side-streams the potentially suitable leaves for protein fractionation constitute up to 16 and 1.9 t/ha (DM content), respectively. Fractionation demonstrated that between 34–42 and 25–34 kg total protein could be extracted per t DM of broccoli and kale residue leaves, respectively. The amount of protein was generally high in green protein fraction (GPF) and the white protein concentrate (WPC) of both crops, although signiﬁcantly higher in broccoli compared to kale. The recovery of bound and free phenolic compounds was up to 18% in the GPF of both crops, while only 0.4% ended up in the WPC. The economic assessment showed that the feedstock and processing costs of producing GPF and WPC, as well as of the combined protein fraction (CPF) 1.9–6.0 and 1.3–3.9 times higher than expected revenues for broccoli and kale, respectively, indicating that the production of protein fractions is not economically feasible with the current production scheme. However, potentially higher revenues may be obtained if value-added products such as fractionated phenols and dietary ﬁbre components are also included and investigated in future production schemes. The pathway investigated, that included a direct drying and milling of leaf biomass showed a low processing cost and thereby the most favourable economic alternative, with approx. 7–30% proﬁt for kale, while for broccoli revenues covered only 44–47% of the costs due to the extra harvest cost of the broccoli leaves.","container-title":"Food and Bioproducts Processing","DOI":"10.1016/j.fbp.2021.10.004","ISSN":"09603085","journalAbbreviation":"FBP","language":"en","page":"229-243","source":"DOI.org (Crossref)","title":"Protein fractionation of broccoli (Brassica oleracea, var. Italica) and kale (Brassica oleracea, var. Sabellica) residual leaves — A pre-feasibility assessment and evaluation of fraction phenol and fibre content","volume":"130","author":[{"family":"Prade","given":"Thomas"},{"family":"Muneer","given":"Faraz"},{"family":"Berndtsson","given":"Emilia"},{"family":"Nynäs","given":"Anna-Lovisa"},{"family":"Svensson","given":"Sven-Erik"},{"family":"Newson","given":"William R."},{"family":"Johansson","given":"Eva"}],"issued":{"date-parts":[["2021",11]]}}}],"schema":"https://github.com/citation-style-language/schema/raw/master/csl-citation.json"} </w:instrText>
      </w:r>
      <w:r w:rsidR="00847C80" w:rsidRPr="003F5DA8">
        <w:fldChar w:fldCharType="separate"/>
      </w:r>
      <w:r w:rsidR="005413B4" w:rsidRPr="005413B4">
        <w:rPr>
          <w:rFonts w:ascii="Calibri" w:hAnsi="Calibri" w:cs="Calibri"/>
          <w:szCs w:val="24"/>
          <w:vertAlign w:val="superscript"/>
        </w:rPr>
        <w:t>275</w:t>
      </w:r>
      <w:r w:rsidR="00847C80" w:rsidRPr="003F5DA8">
        <w:fldChar w:fldCharType="end"/>
      </w:r>
      <w:r w:rsidR="00847C80" w:rsidRPr="003F5DA8">
        <w:t>, carrots and cabbage leaves</w:t>
      </w:r>
      <w:r w:rsidR="00847C80" w:rsidRPr="003F5DA8">
        <w:fldChar w:fldCharType="begin"/>
      </w:r>
      <w:r w:rsidR="005413B4">
        <w:instrText xml:space="preserve"> ADDIN ZOTERO_ITEM CSL_CITATION {"citationID":"rDL79s81","properties":{"formattedCitation":"\\super 271\\nosupersub{}","plainCitation":"271","noteIndex":0},"citationItems":[{"id":13179,"uris":["http://zotero.org/users/6423791/items/JQNSIYF3"],"itemData":{"id":13179,"type":"thesis","abstract":"Demand for sustainable protein-rich food sources is currently increasing to meet the nutritional requirements of a growing population, while also considering climate challenges. Green leafy biomass (GLBM), in the form of side-streams and main crops, is a widely available protein source with potential food value. Extended use of GLBM, e.g. through a biorefinery process targeting leaf protein concentrates (LPCs), could add direct values, e.g. economic revenues from side-stream valorisation, or indirect values, e.g. reduced greenhouse gas emissions from higher resource utilisation.","event-place":"Alnarp","language":"en","number-of-pages":"114","publisher":"Swedish University of Agricultural Science","publisher-place":"Alnarp","source":"Zotero","title":"Harnessing the potential of green leaves : agricultural biomass as a source of sustainable","author":[{"family":"Nynäs","given":"Anna-Lovisa"}],"issued":{"date-parts":[["2022"]]}}}],"schema":"https://github.com/citation-style-language/schema/raw/master/csl-citation.json"} </w:instrText>
      </w:r>
      <w:r w:rsidR="00847C80" w:rsidRPr="003F5DA8">
        <w:fldChar w:fldCharType="separate"/>
      </w:r>
      <w:r w:rsidR="005413B4" w:rsidRPr="005413B4">
        <w:rPr>
          <w:rFonts w:ascii="Calibri" w:hAnsi="Calibri" w:cs="Calibri"/>
          <w:szCs w:val="24"/>
          <w:vertAlign w:val="superscript"/>
        </w:rPr>
        <w:t>271</w:t>
      </w:r>
      <w:r w:rsidR="00847C80" w:rsidRPr="003F5DA8">
        <w:fldChar w:fldCharType="end"/>
      </w:r>
      <w:r w:rsidR="00847C80" w:rsidRPr="003F5DA8">
        <w:t>, cassava tops</w:t>
      </w:r>
      <w:r w:rsidR="00847C80" w:rsidRPr="003F5DA8">
        <w:fldChar w:fldCharType="begin"/>
      </w:r>
      <w:r w:rsidR="005413B4">
        <w:instrText xml:space="preserve"> ADDIN ZOTERO_ITEM CSL_CITATION {"citationID":"wL29iwpU","properties":{"formattedCitation":"\\super 276,277\\nosupersub{}","plainCitation":"276,277","noteIndex":0},"citationItems":[{"id":13783,"uris":["http://zotero.org/users/6423791/items/PM47CACP"],"itemData":{"id":13783,"type":"article-journal","abstract":"Nowadays, cassava leaves are mostly treated as a byproduct of cassava root production, yet this readily available biomass is rich in protein with a balanced content of amino acids. Cassava leaves therefore represent a promising, underutilized biomass for extraction of proteins. The purpose of this study was to provide updated information on the feasibility of producing cassava leaf protein concentrate for use in feed and food. In this context, protein concentrates were refined from cassava leaves using different precipitation methods and the refining process evaluated with focus on protein, amino acids and selected antinutritional factors. Crude protein was mainly distributed to the press cake and protein concentrates during the two processing steps, i.e., pressing and precipitation, and between 21% and 26% (w/w) of leaf crude protein was recovered in the concentrates. After drying, these contained 40–45% crude protein with an amino acid profile comparable to soybean and tolerable levels of tannins (&gt;1% of TS) for feed purposes. However, the refining process did not significantly reduce the cyanogenic potential, i.e., the total amount of releasable HCN, which accumulated in the dried protein product to around 150–250 ppm. This lies significantly above the 10–50 ppm deemed safe for food and feedstuff by several food safety authorities. Based on these results, extraction of leaf protein from cassava appears promising, but additional research is required to evaluate its full potential, especially in relation to its use in food products.","container-title":"Journal of Cleaner Production","DOI":"10.1016/j.jclepro.2022.134730","ISSN":"0959-6526","journalAbbreviation":"Journal of Cleaner Production","language":"en","page":"134730","source":"ScienceDirect","title":"Production of leaf protein concentrates from cassava: Protein distribution and anti-nutritional factors in biorefining fractions","title-short":"Production of leaf protein concentrates from cassava","volume":"379","author":[{"family":"Gundersen","given":"E."},{"family":"Christiansen","given":"A. H. C."},{"family":"Jørgensen","given":"K."},{"family":"Lübeck","given":"M."}],"issued":{"date-parts":[["2022",12,15]]}}},{"id":10978,"uris":["http://zotero.org/users/6423791/items/25KKGRNW"],"itemData":{"id":10978,"type":"article-journal","container-title":"Acta cient. venez","language":"en","page":"441-4","source":"pesquisa.bvsalud.org","title":"The biological quality of a cassava leave protein concentrate","author":[{"family":"Rosas Romero","given":"Alfredo J."},{"family":"Acosta","given":"Xiomara"}],"issued":{"date-parts":[["1986"]]}}}],"schema":"https://github.com/citation-style-language/schema/raw/master/csl-citation.json"} </w:instrText>
      </w:r>
      <w:r w:rsidR="00847C80" w:rsidRPr="003F5DA8">
        <w:fldChar w:fldCharType="separate"/>
      </w:r>
      <w:r w:rsidR="005413B4" w:rsidRPr="005413B4">
        <w:rPr>
          <w:rFonts w:ascii="Calibri" w:hAnsi="Calibri" w:cs="Calibri"/>
          <w:szCs w:val="24"/>
          <w:vertAlign w:val="superscript"/>
        </w:rPr>
        <w:t>276,277</w:t>
      </w:r>
      <w:r w:rsidR="00847C80" w:rsidRPr="003F5DA8">
        <w:fldChar w:fldCharType="end"/>
      </w:r>
      <w:r w:rsidR="00847C80" w:rsidRPr="003F5DA8">
        <w:t>, among others) and unused or underused grass streams (such as countryside management grass</w:t>
      </w:r>
      <w:r w:rsidR="00847C80" w:rsidRPr="003F5DA8">
        <w:fldChar w:fldCharType="begin"/>
      </w:r>
      <w:r w:rsidR="005413B4">
        <w:instrText xml:space="preserve"> ADDIN ZOTERO_ITEM CSL_CITATION {"citationID":"v0gCNmrx","properties":{"formattedCitation":"\\super 268\\nosupersub{}","plainCitation":"268","noteIndex":0},"citationItems":[{"id":13129,"uris":["http://zotero.org/users/6423791/items/VRK2HTHB"],"itemData":{"id":13129,"type":"article-journal","abstract":"The aim of this review was to investigate and develop possible material and energetic utilization strategies for grass from nature conservation areas, which is harvested late in the year and currently largely unused. Compared to freshly harvested grass, it contains less proteins and higher contents of fibers. Landscape management grass has therefore poor forage quality and is not suitable as animal feed. Due to its high calorific value, grass biomass can be used as a material for combustion. However, combustion technology must be adapted to the high contents of inorganics. Fresh grass is a widely used feedstock in biogas plants; late-harvested grass however shows lower biogas yields. The integrated generation of solid fuel and biogas represents a promising combination of combustion and digestion. Grass biomass can also be used in a green biorefinery (GBR) or a lignocellulose biorefinery (LCB). A GBR uses fresh green biomass, producing a protein concentrate (recovery of 30–60%, w/w) and a fiber fraction (recovery of up to 95%, w/w). It is supposed that late-harvested grass is less suitable due to low contents of exploitable components. An LCB operates on dry lignocellulosic feedstock and produces a wide range of carbohydrate products. To date, no LCB or GBR operating on late-harvested grass from semi-natural grasslands was described, and further research on the practical implementation is needed.","container-title":"Biomass Conversion and Biorefinery","DOI":"10.1007/s13399-022-02568-0","ISSN":"2190-6823","journalAbbreviation":"Biomass Conv. Bioref.","language":"en","source":"Springer Link","title":"Valorization of landscape management grass","URL":"https://doi.org/10.1007/s13399-022-02568-0","author":[{"family":"Krenz","given":"Lina Maja Marie"},{"family":"Pleissner","given":"Daniel"}],"accessed":{"date-parts":[["2022",3,30]]},"issued":{"date-parts":[["2022",3,23]]}}}],"schema":"https://github.com/citation-style-language/schema/raw/master/csl-citation.json"} </w:instrText>
      </w:r>
      <w:r w:rsidR="00847C80" w:rsidRPr="003F5DA8">
        <w:fldChar w:fldCharType="separate"/>
      </w:r>
      <w:r w:rsidR="005413B4" w:rsidRPr="005413B4">
        <w:rPr>
          <w:rFonts w:ascii="Calibri" w:hAnsi="Calibri" w:cs="Calibri"/>
          <w:szCs w:val="24"/>
          <w:vertAlign w:val="superscript"/>
        </w:rPr>
        <w:t>268</w:t>
      </w:r>
      <w:r w:rsidR="00847C80" w:rsidRPr="003F5DA8">
        <w:fldChar w:fldCharType="end"/>
      </w:r>
      <w:r w:rsidR="00847C80" w:rsidRPr="003F5DA8">
        <w:t>, road verges and watercourse clearings</w:t>
      </w:r>
      <w:r w:rsidR="00847C80" w:rsidRPr="003F5DA8">
        <w:fldChar w:fldCharType="begin"/>
      </w:r>
      <w:r w:rsidR="005413B4">
        <w:instrText xml:space="preserve"> ADDIN ZOTERO_ITEM CSL_CITATION {"citationID":"1jvo8EYF","properties":{"formattedCitation":"\\super 278\\nosupersub{}","plainCitation":"278","noteIndex":0},"citationItems":[{"id":13309,"uris":["http://zotero.org/users/6423791/items/QINA4TYD"],"itemData":{"id":13309,"type":"chapter","container-title":"Advisory memorandum from DCA - Danish Center for Food and Agriculture","page":"24","publisher":"Aarhus University","title":"Danish agricultural biomass production and utilization in 2030","author":[{"family":"Mortensen","given":"Esben","dropping-particle":"ø"},{"family":"Jørgensen","given":"Uffe"}],"issued":{"date-parts":[["2022",2,11]]}}}],"schema":"https://github.com/citation-style-language/schema/raw/master/csl-citation.json"} </w:instrText>
      </w:r>
      <w:r w:rsidR="00847C80" w:rsidRPr="003F5DA8">
        <w:fldChar w:fldCharType="separate"/>
      </w:r>
      <w:r w:rsidR="005413B4" w:rsidRPr="005413B4">
        <w:rPr>
          <w:rFonts w:ascii="Calibri" w:hAnsi="Calibri" w:cs="Calibri"/>
          <w:szCs w:val="24"/>
          <w:vertAlign w:val="superscript"/>
        </w:rPr>
        <w:t>278</w:t>
      </w:r>
      <w:r w:rsidR="00847C80" w:rsidRPr="003F5DA8">
        <w:fldChar w:fldCharType="end"/>
      </w:r>
      <w:r w:rsidR="00847C80" w:rsidRPr="003F5DA8">
        <w:t xml:space="preserve">, peatlands and coastal </w:t>
      </w:r>
      <w:r w:rsidR="00847C80" w:rsidRPr="003B36AF">
        <w:t>zones</w:t>
      </w:r>
      <w:r w:rsidR="00847C80" w:rsidRPr="003B36AF">
        <w:fldChar w:fldCharType="begin"/>
      </w:r>
      <w:r w:rsidR="005413B4">
        <w:instrText xml:space="preserve"> ADDIN ZOTERO_ITEM CSL_CITATION {"citationID":"qREhiDq6","properties":{"formattedCitation":"\\super 279\\nosupersub{}","plainCitation":"279","noteIndex":0},"citationItems":[{"id":12919,"uris":["http://zotero.org/users/6423791/items/H9PL35VW"],"itemData":{"id":12919,"type":"article-journal","abstract":"Paludiculture, and in particular the cultivation of perennial grasses as biomass feedstock for green biorefineries, may be an economic and environmentally sustainable option for agricultural peatlands in temperate regions. However, the optimal biomass quality for protein extraction from flood-tolerant grasses is largely unknown. The aim of this study was to define the combined effect of harvest and fertilization frequency, with one to five annual cuts, on protein yield and extractability for the grasses tall fescue (TF) and reed canary grass (RCG), cultivated on an agricultural fen peatland in Denmark.The content of protein fractions was determined according to the Cornell Net Carbohydrate and Protein System (CNCPS). We assessed protein extractability by lab-scale biorefinery techniques using a screw-press followed by acid precipitation of true protein. The two methods were compared to correlate potential extractable protein yields with actual biorefinery outputs. We found the highest annual biomass and crude protein (CP) yields in the two cut treatments, with 13.4 and 15.6 t dry matter (DM) ha−1 year−1, containing 2.9–3.4 t CP ha−1 year−1 for TF and RCG, respectively. The highest neutral-extractable (fractions B1 and B2) true protein yields of 1.1 and 1.5 t ha−1 year−1 were found in the two cut treatments, representing 39% (TF) - 45% (RCG) of total CP. Using biorefining techniques, we were able to precipitate up to 2.2 t DM ha−1 year−1 of protein concentrate, containing up to 39% CP. Significant correlations between methods were found, with a distinct relationship between CNCPS fractions B1 + B2 and CP yield of the protein concentrate, indicating the suitability of the CNCPS as an indicator for extractable protein yields. Biomass and CP yields were not significantly improved beyond two annual cuts. However, timing and harvest frequencies significantly affected plant maturity and consequently extractable CP contents and protein concentrate yields. We conclude that TF and RCG are promising feedstocks for green biorefineries due to high biomass, extractable CP, and protein concentrate yields, and highlight the potential of flood-tolerant grasses, cultivated on wet agricultural peatlands, for an enhanced valorisation beyond the common utilisation for bioenergy.","container-title":"Frontiers in Environmental Science","ISSN":"2296-665X","journalAbbreviation":"Front. Environ. Sci.","source":"Frontiers","title":"Effects of Harvest and Fertilization Frequency on Protein Yield and Extractability From Flood-Tolerant Perennial Grasses Cultivated on a fen Peatland","URL":"https://www.frontiersin.org/article/10.3389/fenvs.2021.619258","volume":"9","author":[{"family":"Nielsen","given":"Claudia Kalla"},{"family":"Stødkilde","given":"Lene"},{"family":"Jørgensen","given":"Uffe"},{"family":"Lærke","given":"Poul Erik"}],"accessed":{"date-parts":[["2022",1,27]]},"issued":{"date-parts":[["2021"]]}}}],"schema":"https://github.com/citation-style-language/schema/raw/master/csl-citation.json"} </w:instrText>
      </w:r>
      <w:r w:rsidR="00847C80" w:rsidRPr="003B36AF">
        <w:fldChar w:fldCharType="separate"/>
      </w:r>
      <w:r w:rsidR="005413B4" w:rsidRPr="005413B4">
        <w:rPr>
          <w:rFonts w:ascii="Calibri" w:hAnsi="Calibri" w:cs="Calibri"/>
          <w:szCs w:val="24"/>
          <w:vertAlign w:val="superscript"/>
        </w:rPr>
        <w:t>279</w:t>
      </w:r>
      <w:r w:rsidR="00847C80" w:rsidRPr="003B36AF">
        <w:fldChar w:fldCharType="end"/>
      </w:r>
      <w:r w:rsidR="00847C80" w:rsidRPr="003B36AF">
        <w:t>, unharvested meadows, up to parks, gardens, sport courts, airport and military green areas</w:t>
      </w:r>
      <w:r w:rsidR="00847C80" w:rsidRPr="003B36AF">
        <w:fldChar w:fldCharType="begin"/>
      </w:r>
      <w:r w:rsidR="005413B4">
        <w:instrText xml:space="preserve"> ADDIN ZOTERO_ITEM CSL_CITATION {"citationID":"PZ83kDqI","properties":{"formattedCitation":"\\super 280\\nosupersub{}","plainCitation":"280","noteIndex":0},"citationItems":[{"id":11102,"uris":["http://zotero.org/users/6423791/items/XMBPNAWP"],"itemData":{"id":11102,"type":"thesis","publisher":"Syddansk Universitet","title":"Enhanced Management of Residual Grass in Denmark","author":[{"family":"Muica","given":"VT"}],"issued":{"date-parts":[["2014"]]}}}],"schema":"https://github.com/citation-style-language/schema/raw/master/csl-citation.json"} </w:instrText>
      </w:r>
      <w:r w:rsidR="00847C80" w:rsidRPr="003B36AF">
        <w:fldChar w:fldCharType="separate"/>
      </w:r>
      <w:r w:rsidR="005413B4" w:rsidRPr="005413B4">
        <w:rPr>
          <w:rFonts w:ascii="Calibri" w:hAnsi="Calibri" w:cs="Calibri"/>
          <w:szCs w:val="24"/>
          <w:vertAlign w:val="superscript"/>
        </w:rPr>
        <w:t>280</w:t>
      </w:r>
      <w:r w:rsidR="00847C80" w:rsidRPr="003B36AF">
        <w:fldChar w:fldCharType="end"/>
      </w:r>
      <w:r w:rsidR="00847C80" w:rsidRPr="003B36AF">
        <w:t>).</w:t>
      </w:r>
      <w:r w:rsidRPr="003B36AF">
        <w:t xml:space="preserve"> </w:t>
      </w:r>
      <w:r>
        <w:t>This is because, d</w:t>
      </w:r>
      <w:r w:rsidRPr="003B36AF">
        <w:t>espite different legal and safety compliance challenges (see</w:t>
      </w:r>
      <w:r>
        <w:rPr>
          <w:b/>
        </w:rPr>
        <w:t xml:space="preserve"> </w:t>
      </w:r>
      <w:r w:rsidRPr="003B36AF">
        <w:t>main manuscript), biorefining of green residual biomasses faces technical challenges compared to dedicated green crops due to their composition, seasonality and spatial dispersion.</w:t>
      </w:r>
    </w:p>
    <w:p w14:paraId="4DBA739E" w14:textId="1A65D750" w:rsidR="006F3D27" w:rsidRDefault="00847C80" w:rsidP="003B36AF">
      <w:pPr>
        <w:tabs>
          <w:tab w:val="left" w:pos="1157"/>
        </w:tabs>
        <w:jc w:val="both"/>
      </w:pPr>
      <w:r w:rsidRPr="003F5DA8">
        <w:t xml:space="preserve">Indeed, unmanaged grasslands host higher plant heterogeneity (in particular higher share of </w:t>
      </w:r>
      <w:r w:rsidRPr="003F5DA8">
        <w:rPr>
          <w:i/>
        </w:rPr>
        <w:t>poaceae</w:t>
      </w:r>
      <w:r w:rsidRPr="003F5DA8">
        <w:t xml:space="preserve"> grass), lower protein and higher fiber content leading to lower nutritional values for ruminants, with significative changes even in a weekly basis</w:t>
      </w:r>
      <w:r w:rsidRPr="003F5DA8">
        <w:fldChar w:fldCharType="begin"/>
      </w:r>
      <w:r w:rsidR="005413B4">
        <w:instrText xml:space="preserve"> ADDIN ZOTERO_ITEM CSL_CITATION {"citationID":"ug9RV14b","properties":{"formattedCitation":"\\super 268,269\\nosupersub{}","plainCitation":"268,269","noteIndex":0},"citationItems":[{"id":10773,"uris":["http://zotero.org/users/6423791/items/FEBHG4SW"],"itemData":{"id":10773,"type":"report","event-place":"Tjele","genre":"DCA Report","language":"en","number":"093","page":"72","publisher-place":"Tjele","source":"Zotero","title":"Green Biomass - Protein production through biorefining","URL":"https://dcapub.au.dk/djfpublikation/djfpdf/dcarapport093.pdf","author":[{"family":"Hermansen","given":"John E"},{"family":"Jørgensen","given":"Uffe"},{"family":"Weisbjerg","given":"Martin R"},{"family":"Dalsgaard","given":"Trine K"},{"family":"Danielsen","given":"Marianne"},{"family":"Asp","given":"Torben"},{"family":"Amby-Jensen","given":"Morten"},{"family":"Sørensen","given":"Aage Grøn"},{"family":"Jensen","given":"Mikkel Vestby"},{"family":"Gylling","given":"Morten"},{"family":"Lindedam","given":"Jane"},{"family":"Lübeck","given":"Mette"},{"family":"Fog","given":"Erik"}],"issued":{"date-parts":[["2017"]]}}},{"id":13129,"uris":["http://zotero.org/users/6423791/items/VRK2HTHB"],"itemData":{"id":13129,"type":"article-journal","abstract":"The aim of this review was to investigate and develop possible material and energetic utilization strategies for grass from nature conservation areas, which is harvested late in the year and currently largely unused. Compared to freshly harvested grass, it contains less proteins and higher contents of fibers. Landscape management grass has therefore poor forage quality and is not suitable as animal feed. Due to its high calorific value, grass biomass can be used as a material for combustion. However, combustion technology must be adapted to the high contents of inorganics. Fresh grass is a widely used feedstock in biogas plants; late-harvested grass however shows lower biogas yields. The integrated generation of solid fuel and biogas represents a promising combination of combustion and digestion. Grass biomass can also be used in a green biorefinery (GBR) or a lignocellulose biorefinery (LCB). A GBR uses fresh green biomass, producing a protein concentrate (recovery of 30–60%, w/w) and a fiber fraction (recovery of up to 95%, w/w). It is supposed that late-harvested grass is less suitable due to low contents of exploitable components. An LCB operates on dry lignocellulosic feedstock and produces a wide range of carbohydrate products. To date, no LCB or GBR operating on late-harvested grass from semi-natural grasslands was described, and further research on the practical implementation is needed.","container-title":"Biomass Conversion and Biorefinery","DOI":"10.1007/s13399-022-02568-0","ISSN":"2190-6823","journalAbbreviation":"Biomass Conv. Bioref.","language":"en","source":"Springer Link","title":"Valorization of landscape management grass","URL":"https://doi.org/10.1007/s13399-022-02568-0","author":[{"family":"Krenz","given":"Lina Maja Marie"},{"family":"Pleissner","given":"Daniel"}],"accessed":{"date-parts":[["2022",3,30]]},"issued":{"date-parts":[["2022",3,23]]}}}],"schema":"https://github.com/citation-style-language/schema/raw/master/csl-citation.json"} </w:instrText>
      </w:r>
      <w:r w:rsidRPr="003F5DA8">
        <w:fldChar w:fldCharType="separate"/>
      </w:r>
      <w:r w:rsidR="005413B4" w:rsidRPr="005413B4">
        <w:rPr>
          <w:rFonts w:ascii="Calibri" w:hAnsi="Calibri" w:cs="Calibri"/>
          <w:szCs w:val="24"/>
          <w:vertAlign w:val="superscript"/>
        </w:rPr>
        <w:t>268,269</w:t>
      </w:r>
      <w:r w:rsidRPr="003F5DA8">
        <w:fldChar w:fldCharType="end"/>
      </w:r>
      <w:r w:rsidRPr="003F5DA8">
        <w:t xml:space="preserve">. The same applies for vegetable tops, as harvesting period is primary defined by the main product (that is the root, </w:t>
      </w:r>
      <w:r w:rsidR="003B36AF" w:rsidRPr="003F5DA8">
        <w:t>tubercula</w:t>
      </w:r>
      <w:r w:rsidRPr="003F5DA8">
        <w:t xml:space="preserve"> or vegetable), which does not necessarily coincide with the best harvesting period for </w:t>
      </w:r>
      <w:r w:rsidR="003B36AF">
        <w:t xml:space="preserve">biorefining the </w:t>
      </w:r>
      <w:r w:rsidRPr="003F5DA8">
        <w:t>aerial fraction. For example, sugar beet tops are already decaying when the sugar beet roots are harvested (at 6-7</w:t>
      </w:r>
      <w:r w:rsidRPr="003F5DA8">
        <w:rPr>
          <w:vertAlign w:val="superscript"/>
        </w:rPr>
        <w:t>th</w:t>
      </w:r>
      <w:r w:rsidRPr="003F5DA8">
        <w:t xml:space="preserve"> month after sowing), with already lower protein content and higher ash content than at their optimum period</w:t>
      </w:r>
      <w:r w:rsidRPr="003F5DA8">
        <w:fldChar w:fldCharType="begin"/>
      </w:r>
      <w:r w:rsidR="005413B4">
        <w:instrText xml:space="preserve"> ADDIN ZOTERO_ITEM CSL_CITATION {"citationID":"q2d9rWU4","properties":{"formattedCitation":"\\super 272\\nosupersub{}","plainCitation":"272","noteIndex":0},"citationItems":[{"id":9255,"uris":["http://zotero.org/users/6423791/items/9EZA9MQK"],"itemData":{"id":9255,"type":"article-journal","abstract":"Large-scale processing of leaves for food applications requires quick processing or stabilisation to avoid perishability, due to the high moisture content in this biomass. Leaf perishability is compounded by the seasonal availability of crops, like sugar beet plants, of which the leaves are regarded as a potential protein source. This study evaluates the resource efficiency of a hypothetical sugar beet leaf processing chain by comparing supply chain options. First, two options consider leaf processing with and without stabilising the leaves by freezing. Then, these two options are considered in a centralised and decentralised process configuration. The latter places leaf freezing and pressing at the farm and further processes occur at a central facility. Energy usage and exergy consumption were used to quantify the thermodynamic performance of the processing options. Freezing has negligible effect on the process-ability of the leaves in terms of protein content and protein yield. The overall resource efficiency of the process was dominated by the amount of leaf material effectively used, which stresses the importance of full use of all (side-)streams. This outcome also explains the limited additional energy requirements for freezing. Exergetic indicators were affected by variations on the dry matter content of the starting biomass, compared to a negligible effect of other parameters (equipment scale, efficiency or energy use). Transportation load and soil quality were also discussed for the centralised and decentralised configurations. On-farm processing of the leaves (decentralised chain) clearly reduces the transportation load due to the large difference in bulk densities of leaves (73 kg/m3) and leaf juice (1000 kg/m3). Additionally, decentralised scenarios enable direct returning of the leaf pulp to the soil and thereby improving soil quality (i.e. nutrient retention and fertility). Soil quality is required to fully assess the use of biomass that is currently regarded as waste, but that actually plays a role in soil fertility. Therefore, the preferred chain configuration would be a decentralised system where the leaves are directly pressed at the farm, the pulp is used to fertilise the soil, and the leaf juice is chilled transported to a centralised factory.","container-title":"Journal of Cleaner Production","DOI":"10.1016/j.jclepro.2017.06.248","ISSN":"0959-6526","journalAbbreviation":"J. Clean. Prod.","language":"en","page":"736-748","source":"ScienceDirect","title":"Processing concepts for the use of green leaves as raw materials for the food industry","volume":"164","author":[{"family":"Tamayo Tenorio","given":"A."},{"family":"Schreuders","given":"F. K. G."},{"family":"Zisopoulos","given":"F. K."},{"family":"Boom","given":"R. M."},{"family":"Goot","given":"A. J.","non-dropping-particle":"van der"}],"issued":{"date-parts":[["2017",10,15]]}}}],"schema":"https://github.com/citation-style-language/schema/raw/master/csl-citation.json"} </w:instrText>
      </w:r>
      <w:r w:rsidRPr="003F5DA8">
        <w:fldChar w:fldCharType="separate"/>
      </w:r>
      <w:r w:rsidR="005413B4" w:rsidRPr="005413B4">
        <w:rPr>
          <w:rFonts w:ascii="Calibri" w:hAnsi="Calibri" w:cs="Calibri"/>
          <w:szCs w:val="24"/>
          <w:vertAlign w:val="superscript"/>
        </w:rPr>
        <w:t>272</w:t>
      </w:r>
      <w:r w:rsidRPr="003F5DA8">
        <w:fldChar w:fldCharType="end"/>
      </w:r>
      <w:r w:rsidRPr="003F5DA8">
        <w:t>. Vegetable tops are composed by a two matrices structure (blades and stems) which also lead to complex interactions that can yield both positive (e.g. stems acting as filter bed when pressing</w:t>
      </w:r>
      <w:r w:rsidRPr="003F5DA8">
        <w:fldChar w:fldCharType="begin"/>
      </w:r>
      <w:r w:rsidR="005413B4">
        <w:instrText xml:space="preserve"> ADDIN ZOTERO_ITEM CSL_CITATION {"citationID":"fsjZTX6O","properties":{"formattedCitation":"\\super 281\\nosupersub{}","plainCitation":"281","noteIndex":0},"citationItems":[{"id":1983,"uris":["http://zotero.org/users/6423791/items/28BXN4BJ"],"itemData":{"id":1983,"type":"article-journal","abstract":"Plant leaves are a major potential source of novel food proteins. Till now, leaf protein extraction methods mainly focus on the extraction of soluble proteins, like rubisco protein, leaving more than half of all protein unextracted. Here, we report on the total protein extraction from sugar beet leaves (Beta vulgaris L.) by a traditional thermal extraction method consisting of mechanical pressing, heating to 50°C and centrifugation. The resulting streams (i.e. supernatant, green-protein pellet and fibrous pulp) were characterised in terms of composition, physical structure and processing options. The protein distributed almost equally over the supernatant, pellet and pulp. This shows that thermal precipitation is an unselective process with respect to fractionation between soluble (rubisco) and insoluble (other) proteins. About 6% of the total protein could be extracted as pure rubisco (90% purity) from the supernatant. Surfactants commonly used for protein solubilisation could hardly re-dissolve the precipitated proteins in the pellet phase, which suggested that irreversible association was induced between the co-precipitated proteins and cell debris. Thus, the extraction of this protein will require prevention of their co-precipitation, and should take place in the original juice solution.","container-title":"Food Chemistry","DOI":"10.1016/j.foodchem.2016.02.092","ISSN":"0308-8146","journalAbbreviation":"Food Chemistry","language":"en","page":"402-408","source":"ScienceDirect","title":"Recovery of protein from green leaves: Overview of crucial steps for utilisation","title-short":"Recovery of protein from green leaves","volume":"203","author":[{"family":"Tamayo Tenorio","given":"Angelica"},{"family":"Gieteling","given":"Jarno"},{"family":"Jong","given":"Govardus A. H.","non-dropping-particle":"de"},{"family":"Boom","given":"Remko M."},{"family":"Goot","given":"Atze J.","non-dropping-particle":"van der"}],"issued":{"date-parts":[["2016",7,15]]}}}],"schema":"https://github.com/citation-style-language/schema/raw/master/csl-citation.json"} </w:instrText>
      </w:r>
      <w:r w:rsidRPr="003F5DA8">
        <w:fldChar w:fldCharType="separate"/>
      </w:r>
      <w:r w:rsidR="005413B4" w:rsidRPr="005413B4">
        <w:rPr>
          <w:rFonts w:ascii="Calibri" w:hAnsi="Calibri" w:cs="Calibri"/>
          <w:szCs w:val="24"/>
          <w:vertAlign w:val="superscript"/>
        </w:rPr>
        <w:t>281</w:t>
      </w:r>
      <w:r w:rsidRPr="003F5DA8">
        <w:fldChar w:fldCharType="end"/>
      </w:r>
      <w:r w:rsidRPr="003F5DA8">
        <w:t>) and negative (e.g. particles within the green juice</w:t>
      </w:r>
      <w:r w:rsidRPr="003F5DA8">
        <w:fldChar w:fldCharType="begin"/>
      </w:r>
      <w:r w:rsidR="005413B4">
        <w:instrText xml:space="preserve"> ADDIN ZOTERO_ITEM CSL_CITATION {"citationID":"u7a5en8a","properties":{"formattedCitation":"\\super 271\\nosupersub{}","plainCitation":"271","noteIndex":0},"citationItems":[{"id":13179,"uris":["http://zotero.org/users/6423791/items/JQNSIYF3"],"itemData":{"id":13179,"type":"thesis","abstract":"Demand for sustainable protein-rich food sources is currently increasing to meet the nutritional requirements of a growing population, while also considering climate challenges. Green leafy biomass (GLBM), in the form of side-streams and main crops, is a widely available protein source with potential food value. Extended use of GLBM, e.g. through a biorefinery process targeting leaf protein concentrates (LPCs), could add direct values, e.g. economic revenues from side-stream valorisation, or indirect values, e.g. reduced greenhouse gas emissions from higher resource utilisation.","event-place":"Alnarp","language":"en","number-of-pages":"114","publisher":"Swedish University of Agricultural Science","publisher-place":"Alnarp","source":"Zotero","title":"Harnessing the potential of green leaves : agricultural biomass as a source of sustainable","author":[{"family":"Nynäs","given":"Anna-Lovisa"}],"issued":{"date-parts":[["2022"]]}}}],"schema":"https://github.com/citation-style-language/schema/raw/master/csl-citation.json"} </w:instrText>
      </w:r>
      <w:r w:rsidRPr="003F5DA8">
        <w:fldChar w:fldCharType="separate"/>
      </w:r>
      <w:r w:rsidR="005413B4" w:rsidRPr="005413B4">
        <w:rPr>
          <w:rFonts w:ascii="Calibri" w:hAnsi="Calibri" w:cs="Calibri"/>
          <w:szCs w:val="24"/>
          <w:vertAlign w:val="superscript"/>
        </w:rPr>
        <w:t>271</w:t>
      </w:r>
      <w:r w:rsidRPr="003F5DA8">
        <w:fldChar w:fldCharType="end"/>
      </w:r>
      <w:r w:rsidRPr="003F5DA8">
        <w:t>) effects on overall process efficiency.</w:t>
      </w:r>
      <w:r w:rsidR="003B36AF">
        <w:t xml:space="preserve"> </w:t>
      </w:r>
      <w:bookmarkStart w:id="360" w:name="_Hlk143520537"/>
      <w:r w:rsidR="003B36AF" w:rsidRPr="003B36AF">
        <w:t>These considerations limit the implementation of a single standardized GB set-up, which would rather be tailored for each specific input</w:t>
      </w:r>
      <w:r w:rsidR="003B36AF" w:rsidRPr="003B36AF">
        <w:fldChar w:fldCharType="begin"/>
      </w:r>
      <w:r w:rsidR="005413B4">
        <w:instrText xml:space="preserve"> ADDIN ZOTERO_ITEM CSL_CITATION {"citationID":"cZHBXn4Q","properties":{"formattedCitation":"\\super 271\\nosupersub{}","plainCitation":"271","noteIndex":0},"citationItems":[{"id":13179,"uris":["http://zotero.org/users/6423791/items/JQNSIYF3"],"itemData":{"id":13179,"type":"thesis","abstract":"Demand for sustainable protein-rich food sources is currently increasing to meet the nutritional requirements of a growing population, while also considering climate challenges. Green leafy biomass (GLBM), in the form of side-streams and main crops, is a widely available protein source with potential food value. Extended use of GLBM, e.g. through a biorefinery process targeting leaf protein concentrates (LPCs), could add direct values, e.g. economic revenues from side-stream valorisation, or indirect values, e.g. reduced greenhouse gas emissions from higher resource utilisation.","event-place":"Alnarp","language":"en","number-of-pages":"114","publisher":"Swedish University of Agricultural Science","publisher-place":"Alnarp","source":"Zotero","title":"Harnessing the potential of green leaves : agricultural biomass as a source of sustainable","author":[{"family":"Nynäs","given":"Anna-Lovisa"}],"issued":{"date-parts":[["2022"]]}}}],"schema":"https://github.com/citation-style-language/schema/raw/master/csl-citation.json"} </w:instrText>
      </w:r>
      <w:r w:rsidR="003B36AF" w:rsidRPr="003B36AF">
        <w:fldChar w:fldCharType="separate"/>
      </w:r>
      <w:r w:rsidR="005413B4" w:rsidRPr="005413B4">
        <w:rPr>
          <w:rFonts w:ascii="Calibri" w:hAnsi="Calibri" w:cs="Calibri"/>
          <w:szCs w:val="24"/>
          <w:vertAlign w:val="superscript"/>
        </w:rPr>
        <w:t>271</w:t>
      </w:r>
      <w:r w:rsidR="003B36AF" w:rsidRPr="003B36AF">
        <w:fldChar w:fldCharType="end"/>
      </w:r>
      <w:r w:rsidR="003B36AF" w:rsidRPr="003B36AF">
        <w:t>. Nevertheless, in an endeavor to explore the potential of green biorefining to supply the food, feed and energy markets when sourcing residual biomass feedstocks, a single protein extraction procedure was modeled herein (but three different co-products management were considered).</w:t>
      </w:r>
      <w:bookmarkEnd w:id="360"/>
      <w:r w:rsidR="003B36AF">
        <w:t xml:space="preserve"> </w:t>
      </w:r>
      <w:r>
        <w:t>The main performances indicators were derived and compared with similar studies benchmarked (</w:t>
      </w:r>
      <w:r w:rsidR="003B36AF" w:rsidRPr="003B36AF">
        <w:rPr>
          <w:b/>
        </w:rPr>
        <w:fldChar w:fldCharType="begin"/>
      </w:r>
      <w:r w:rsidR="003B36AF" w:rsidRPr="003B36AF">
        <w:rPr>
          <w:b/>
        </w:rPr>
        <w:instrText xml:space="preserve"> REF _Ref144909390 \h </w:instrText>
      </w:r>
      <w:r w:rsidR="003B36AF">
        <w:rPr>
          <w:b/>
        </w:rPr>
        <w:instrText xml:space="preserve"> \* MERGEFORMAT </w:instrText>
      </w:r>
      <w:r w:rsidR="003B36AF" w:rsidRPr="003B36AF">
        <w:rPr>
          <w:b/>
        </w:rPr>
      </w:r>
      <w:r w:rsidR="003B36AF" w:rsidRPr="003B36AF">
        <w:rPr>
          <w:b/>
        </w:rPr>
        <w:fldChar w:fldCharType="separate"/>
      </w:r>
      <w:r w:rsidR="00F25F8C" w:rsidRPr="00F25F8C">
        <w:rPr>
          <w:b/>
        </w:rPr>
        <w:t xml:space="preserve">Table SI. </w:t>
      </w:r>
      <w:r w:rsidR="00F25F8C" w:rsidRPr="00F25F8C">
        <w:rPr>
          <w:b/>
          <w:noProof/>
        </w:rPr>
        <w:t>83</w:t>
      </w:r>
      <w:r w:rsidR="003B36AF" w:rsidRPr="003B36AF">
        <w:rPr>
          <w:b/>
        </w:rPr>
        <w:fldChar w:fldCharType="end"/>
      </w:r>
      <w:r w:rsidR="003B36AF">
        <w:t>)</w:t>
      </w:r>
      <w:r>
        <w:t>.</w:t>
      </w:r>
    </w:p>
    <w:p w14:paraId="37531A4B" w14:textId="77777777" w:rsidR="006F3D27" w:rsidRDefault="006F3D27">
      <w:r>
        <w:br w:type="page"/>
      </w:r>
    </w:p>
    <w:p w14:paraId="04F251E0" w14:textId="58E11AD8" w:rsidR="00847C80" w:rsidRPr="00E40BD9" w:rsidRDefault="00874128" w:rsidP="00942782">
      <w:pPr>
        <w:pStyle w:val="Lgende"/>
        <w:jc w:val="left"/>
      </w:pPr>
      <w:bookmarkStart w:id="361" w:name="_Ref144909390"/>
      <w:bookmarkStart w:id="362" w:name="_Toc134537680"/>
      <w:bookmarkStart w:id="363" w:name="_Toc151967967"/>
      <w:r>
        <w:lastRenderedPageBreak/>
        <w:t>Table SI.</w:t>
      </w:r>
      <w:r w:rsidR="00847C80">
        <w:t xml:space="preserve"> </w:t>
      </w:r>
      <w:r>
        <w:fldChar w:fldCharType="begin"/>
      </w:r>
      <w:r>
        <w:instrText xml:space="preserve"> SEQ Table_SI. \* ARABIC </w:instrText>
      </w:r>
      <w:r>
        <w:fldChar w:fldCharType="separate"/>
      </w:r>
      <w:r w:rsidR="00F25F8C">
        <w:rPr>
          <w:noProof/>
        </w:rPr>
        <w:t>83</w:t>
      </w:r>
      <w:r>
        <w:fldChar w:fldCharType="end"/>
      </w:r>
      <w:bookmarkEnd w:id="361"/>
      <w:r w:rsidR="00847C80">
        <w:t xml:space="preserve"> </w:t>
      </w:r>
      <w:r w:rsidR="00847C80" w:rsidRPr="00E40BD9">
        <w:t>– Published LCA of green biorefinery pathways and assimilated</w:t>
      </w:r>
      <w:bookmarkEnd w:id="362"/>
      <w:bookmarkEnd w:id="363"/>
    </w:p>
    <w:tbl>
      <w:tblPr>
        <w:tblStyle w:val="Tableausimple2"/>
        <w:tblW w:w="0" w:type="auto"/>
        <w:jc w:val="center"/>
        <w:tblLook w:val="04A0" w:firstRow="1" w:lastRow="0" w:firstColumn="1" w:lastColumn="0" w:noHBand="0" w:noVBand="1"/>
      </w:tblPr>
      <w:tblGrid>
        <w:gridCol w:w="2405"/>
        <w:gridCol w:w="842"/>
        <w:gridCol w:w="1426"/>
        <w:gridCol w:w="1092"/>
        <w:gridCol w:w="3307"/>
      </w:tblGrid>
      <w:tr w:rsidR="00847C80" w:rsidRPr="006F3D27" w14:paraId="75FA823D" w14:textId="77777777" w:rsidTr="006F3D2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05" w:type="dxa"/>
          </w:tcPr>
          <w:p w14:paraId="5F3BB585" w14:textId="77777777" w:rsidR="00847C80" w:rsidRPr="006F3D27" w:rsidRDefault="00847C80" w:rsidP="00847C80">
            <w:pPr>
              <w:jc w:val="right"/>
              <w:rPr>
                <w:sz w:val="18"/>
                <w:szCs w:val="18"/>
              </w:rPr>
            </w:pPr>
            <w:r w:rsidRPr="006F3D27">
              <w:rPr>
                <w:sz w:val="18"/>
                <w:szCs w:val="18"/>
              </w:rPr>
              <w:t>Reference</w:t>
            </w:r>
          </w:p>
        </w:tc>
        <w:tc>
          <w:tcPr>
            <w:tcW w:w="842" w:type="dxa"/>
          </w:tcPr>
          <w:p w14:paraId="10AFA389" w14:textId="77777777" w:rsidR="00847C80" w:rsidRPr="006F3D27" w:rsidRDefault="00847C80" w:rsidP="00847C80">
            <w:pPr>
              <w:cnfStyle w:val="100000000000" w:firstRow="1" w:lastRow="0" w:firstColumn="0" w:lastColumn="0" w:oddVBand="0" w:evenVBand="0" w:oddHBand="0" w:evenHBand="0" w:firstRowFirstColumn="0" w:firstRowLastColumn="0" w:lastRowFirstColumn="0" w:lastRowLastColumn="0"/>
              <w:rPr>
                <w:sz w:val="18"/>
                <w:szCs w:val="18"/>
              </w:rPr>
            </w:pPr>
            <w:r w:rsidRPr="006F3D27">
              <w:rPr>
                <w:sz w:val="18"/>
                <w:szCs w:val="18"/>
              </w:rPr>
              <w:t>Study</w:t>
            </w:r>
          </w:p>
        </w:tc>
        <w:tc>
          <w:tcPr>
            <w:tcW w:w="1426" w:type="dxa"/>
          </w:tcPr>
          <w:p w14:paraId="3D2167AE" w14:textId="77777777" w:rsidR="00847C80" w:rsidRPr="006F3D27" w:rsidRDefault="00847C80" w:rsidP="00847C80">
            <w:pPr>
              <w:cnfStyle w:val="100000000000" w:firstRow="1" w:lastRow="0" w:firstColumn="0" w:lastColumn="0" w:oddVBand="0" w:evenVBand="0" w:oddHBand="0" w:evenHBand="0" w:firstRowFirstColumn="0" w:firstRowLastColumn="0" w:lastRowFirstColumn="0" w:lastRowLastColumn="0"/>
              <w:rPr>
                <w:sz w:val="18"/>
                <w:szCs w:val="18"/>
              </w:rPr>
            </w:pPr>
            <w:r w:rsidRPr="006F3D27">
              <w:rPr>
                <w:sz w:val="18"/>
                <w:szCs w:val="18"/>
              </w:rPr>
              <w:t>Feedstock</w:t>
            </w:r>
          </w:p>
        </w:tc>
        <w:tc>
          <w:tcPr>
            <w:tcW w:w="1092" w:type="dxa"/>
          </w:tcPr>
          <w:p w14:paraId="45935ECB" w14:textId="77777777" w:rsidR="00847C80" w:rsidRPr="006F3D27" w:rsidRDefault="00847C80" w:rsidP="00847C80">
            <w:pPr>
              <w:cnfStyle w:val="100000000000" w:firstRow="1" w:lastRow="0" w:firstColumn="0" w:lastColumn="0" w:oddVBand="0" w:evenVBand="0" w:oddHBand="0" w:evenHBand="0" w:firstRowFirstColumn="0" w:firstRowLastColumn="0" w:lastRowFirstColumn="0" w:lastRowLastColumn="0"/>
              <w:rPr>
                <w:sz w:val="18"/>
                <w:szCs w:val="18"/>
              </w:rPr>
            </w:pPr>
            <w:r w:rsidRPr="006F3D27">
              <w:rPr>
                <w:sz w:val="18"/>
                <w:szCs w:val="18"/>
              </w:rPr>
              <w:t>Data</w:t>
            </w:r>
          </w:p>
        </w:tc>
        <w:tc>
          <w:tcPr>
            <w:tcW w:w="0" w:type="auto"/>
          </w:tcPr>
          <w:p w14:paraId="41A870C1" w14:textId="77777777" w:rsidR="00847C80" w:rsidRPr="006F3D27" w:rsidRDefault="00847C80" w:rsidP="003B36AF">
            <w:pPr>
              <w:cnfStyle w:val="100000000000" w:firstRow="1" w:lastRow="0" w:firstColumn="0" w:lastColumn="0" w:oddVBand="0" w:evenVBand="0" w:oddHBand="0" w:evenHBand="0" w:firstRowFirstColumn="0" w:firstRowLastColumn="0" w:lastRowFirstColumn="0" w:lastRowLastColumn="0"/>
              <w:rPr>
                <w:i/>
                <w:sz w:val="18"/>
                <w:szCs w:val="18"/>
              </w:rPr>
            </w:pPr>
            <w:r w:rsidRPr="006F3D27">
              <w:rPr>
                <w:i/>
                <w:sz w:val="18"/>
                <w:szCs w:val="18"/>
              </w:rPr>
              <w:t>Comment</w:t>
            </w:r>
          </w:p>
        </w:tc>
      </w:tr>
      <w:tr w:rsidR="00847C80" w:rsidRPr="006F3D27" w14:paraId="4F6F9524"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05" w:type="dxa"/>
          </w:tcPr>
          <w:p w14:paraId="26634E1B" w14:textId="5F5C8A4D" w:rsidR="00847C80" w:rsidRPr="006F3D27" w:rsidRDefault="00847C80" w:rsidP="00847C80">
            <w:pPr>
              <w:jc w:val="right"/>
              <w:rPr>
                <w:b w:val="0"/>
                <w:sz w:val="18"/>
                <w:szCs w:val="18"/>
              </w:rPr>
            </w:pPr>
            <w:r w:rsidRPr="006F3D27">
              <w:rPr>
                <w:b w:val="0"/>
                <w:sz w:val="18"/>
                <w:szCs w:val="18"/>
              </w:rPr>
              <w:t>Skunca et al., 2021</w:t>
            </w:r>
            <w:r w:rsidRPr="006F3D27">
              <w:rPr>
                <w:sz w:val="18"/>
                <w:szCs w:val="18"/>
              </w:rPr>
              <w:fldChar w:fldCharType="begin"/>
            </w:r>
            <w:r w:rsidR="005413B4">
              <w:rPr>
                <w:b w:val="0"/>
                <w:sz w:val="18"/>
                <w:szCs w:val="18"/>
              </w:rPr>
              <w:instrText xml:space="preserve"> ADDIN ZOTERO_ITEM CSL_CITATION {"citationID":"5TW3XIO3","properties":{"formattedCitation":"\\super 282\\nosupersub{}","plainCitation":"282","noteIndex":0},"citationItems":[{"id":9391,"uris":["http://zotero.org/users/6423791/items/K2MZFDJX"],"itemData":{"id":9391,"type":"article-journal","abstract":"The objective of this paper was to assess the environmental performance of the system of RuBisCo protein extraction and isolation from sugar beet leaves. Life cycle assessment (LCA) calculations have been completed to identify and quantify the environmental impacts from a cradle-to-cradle perspective covering seven subsystems: milling and extraction, heat treatment, centrifugation, microfiltration, ultrafiltration, chromatography and spray drying. In this paper, six environmental impact categories were analyzed: global warming potential, ozone layer depletion, energy demand, eutrophication potential, acidification potential, and land use. When RuBisCo protein extraction and isolation from different raw materials are compared, the only crop that has a lower environmental impact than sugar beet leaves is alfalfa, while the higher environmental impact has yellow mustard, ryegrass (mixture), Italian ryegrass, Brussels sprouts, English ryegrass, carrot leaves, leaf radish, and chicory. The comparison of environmental impact categories of different protein concentrates indicated that protein powder containing RuBisCo affected the environment less than egg protein concentrate. Direct comparison to other highly functional plant proteins was not possible as these are not in the market or have no LCA data available. RuBisCo was more environmentally impacting than regular soy protein. Our results for RuBisCo were in accordance with the low end of the range of results for microalgae, which is representing Chlorella HTF (heterotrophic fermenter), for most of the analyzed impact categories. This study found that the largest contributor to the environmental profile of the entire system of RuBisCo protein extraction and isolation from sugar beet leaves is the usage of electricity, while mitigation options for optimization of environmental impacts rely on the energy pinch approach for spray drying1.","container-title":"MEST Journal","DOI":"10.12709/mest.09.09.01.20","ISSN":"23347171, 23347058","issue":"1","journalAbbreviation":"MEST","language":"en","page":"175-183","source":"DOI.org (Crossref)","title":"Rubisco protein production - LCA approach","volume":"9","author":[{"family":"Skunca","given":"Dubravka"},{"family":"Romdhana","given":"Hedi"},{"family":"Brouwers","given":"Rob"}],"editor":[{"family":"Cekerevac","given":"Zoran"}],"issued":{"date-parts":[["2021",1,15]]}}}],"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282</w:t>
            </w:r>
            <w:r w:rsidRPr="006F3D27">
              <w:rPr>
                <w:sz w:val="18"/>
                <w:szCs w:val="18"/>
              </w:rPr>
              <w:fldChar w:fldCharType="end"/>
            </w:r>
          </w:p>
        </w:tc>
        <w:tc>
          <w:tcPr>
            <w:tcW w:w="842" w:type="dxa"/>
          </w:tcPr>
          <w:p w14:paraId="4AB823AC"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aLCA</w:t>
            </w:r>
          </w:p>
        </w:tc>
        <w:tc>
          <w:tcPr>
            <w:tcW w:w="1426" w:type="dxa"/>
          </w:tcPr>
          <w:p w14:paraId="153D4A5D"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Sugarbeet tops</w:t>
            </w:r>
          </w:p>
        </w:tc>
        <w:tc>
          <w:tcPr>
            <w:tcW w:w="1092" w:type="dxa"/>
          </w:tcPr>
          <w:p w14:paraId="6B5A9332"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Unknown</w:t>
            </w:r>
          </w:p>
        </w:tc>
        <w:tc>
          <w:tcPr>
            <w:tcW w:w="0" w:type="auto"/>
          </w:tcPr>
          <w:p w14:paraId="0CCDD4F6" w14:textId="77777777" w:rsidR="00847C80" w:rsidRPr="006F3D27" w:rsidRDefault="00847C80" w:rsidP="003B36AF">
            <w:pPr>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t>Rubisco isolate (results only, Royal Cosun)</w:t>
            </w:r>
          </w:p>
        </w:tc>
      </w:tr>
      <w:tr w:rsidR="00847C80" w:rsidRPr="006F3D27" w14:paraId="7735F1D3"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2405" w:type="dxa"/>
          </w:tcPr>
          <w:p w14:paraId="06B973A1" w14:textId="5AD26830" w:rsidR="00847C80" w:rsidRPr="006F3D27" w:rsidRDefault="00847C80" w:rsidP="00847C80">
            <w:pPr>
              <w:jc w:val="right"/>
              <w:rPr>
                <w:b w:val="0"/>
                <w:sz w:val="18"/>
                <w:szCs w:val="18"/>
              </w:rPr>
            </w:pPr>
            <w:r w:rsidRPr="006F3D27">
              <w:rPr>
                <w:b w:val="0"/>
                <w:sz w:val="18"/>
                <w:szCs w:val="18"/>
              </w:rPr>
              <w:t>Parajuli et al., 2018</w:t>
            </w:r>
            <w:r w:rsidRPr="006F3D27">
              <w:rPr>
                <w:sz w:val="18"/>
                <w:szCs w:val="18"/>
              </w:rPr>
              <w:fldChar w:fldCharType="begin"/>
            </w:r>
            <w:r w:rsidR="005413B4">
              <w:rPr>
                <w:b w:val="0"/>
                <w:sz w:val="18"/>
                <w:szCs w:val="18"/>
              </w:rPr>
              <w:instrText xml:space="preserve"> ADDIN ZOTERO_ITEM CSL_CITATION {"citationID":"YjoysSrD","properties":{"formattedCitation":"\\super 283\\nosupersub{}","plainCitation":"283","noteIndex":0},"citationItems":[{"id":384,"uris":["http://zotero.org/users/6423791/items/KF9ZRBIK"],"itemData":{"id":384,"type":"article-journal","container-title":"Science of The Total Environment","DOI":"10.1016/j.scitotenv.2017.11.082","ISSN":"00489697","journalAbbreviation":"Sci. Total Environ.","language":"en","page":"127-143","source":"DOI.org (Crossref)","title":"Can farmers mitigate environmental impacts through combined production of food, fuel and feed? A consequential life cycle assessment of integrated mixed crop-livestock system with a green biorefinery","title-short":"Can farmers mitigate environmental impacts through combined production of food, fuel and feed?","volume":"619-620","author":[{"family":"Parajuli","given":"Ranjan"},{"family":"Dalgaard","given":"Tommy"},{"family":"Birkved","given":"Morten"}],"issued":{"date-parts":[["2018",4]]}}}],"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283</w:t>
            </w:r>
            <w:r w:rsidRPr="006F3D27">
              <w:rPr>
                <w:sz w:val="18"/>
                <w:szCs w:val="18"/>
              </w:rPr>
              <w:fldChar w:fldCharType="end"/>
            </w:r>
          </w:p>
        </w:tc>
        <w:tc>
          <w:tcPr>
            <w:tcW w:w="842" w:type="dxa"/>
          </w:tcPr>
          <w:p w14:paraId="13958A09"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cLCA</w:t>
            </w:r>
          </w:p>
        </w:tc>
        <w:tc>
          <w:tcPr>
            <w:tcW w:w="1426" w:type="dxa"/>
          </w:tcPr>
          <w:p w14:paraId="6ADD24A1"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Grass-clover</w:t>
            </w:r>
          </w:p>
        </w:tc>
        <w:tc>
          <w:tcPr>
            <w:tcW w:w="1092" w:type="dxa"/>
          </w:tcPr>
          <w:p w14:paraId="40D31885"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Secondary</w:t>
            </w:r>
          </w:p>
        </w:tc>
        <w:tc>
          <w:tcPr>
            <w:tcW w:w="0" w:type="auto"/>
          </w:tcPr>
          <w:p w14:paraId="7D606CAC" w14:textId="77777777" w:rsidR="00847C80" w:rsidRPr="006F3D27" w:rsidRDefault="00847C80" w:rsidP="003B36AF">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Integration of GB in livestock systems</w:t>
            </w:r>
          </w:p>
        </w:tc>
      </w:tr>
      <w:tr w:rsidR="00847C80" w:rsidRPr="006F3D27" w14:paraId="45351624"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05" w:type="dxa"/>
          </w:tcPr>
          <w:p w14:paraId="6B8B28DB" w14:textId="675F701C" w:rsidR="00847C80" w:rsidRPr="006F3D27" w:rsidRDefault="00847C80" w:rsidP="00847C80">
            <w:pPr>
              <w:jc w:val="right"/>
              <w:rPr>
                <w:b w:val="0"/>
                <w:sz w:val="18"/>
                <w:szCs w:val="18"/>
              </w:rPr>
            </w:pPr>
            <w:r w:rsidRPr="006F3D27">
              <w:rPr>
                <w:b w:val="0"/>
                <w:sz w:val="18"/>
                <w:szCs w:val="18"/>
              </w:rPr>
              <w:t>Parajuli et al., 2017</w:t>
            </w:r>
            <w:r w:rsidRPr="006F3D27">
              <w:rPr>
                <w:sz w:val="18"/>
                <w:szCs w:val="18"/>
              </w:rPr>
              <w:fldChar w:fldCharType="begin"/>
            </w:r>
            <w:r w:rsidR="005413B4">
              <w:rPr>
                <w:b w:val="0"/>
                <w:sz w:val="18"/>
                <w:szCs w:val="18"/>
              </w:rPr>
              <w:instrText xml:space="preserve"> ADDIN ZOTERO_ITEM CSL_CITATION {"citationID":"dnRNDnxT","properties":{"formattedCitation":"\\super 284\\nosupersub{}","plainCitation":"284","noteIndex":0},"citationItems":[{"id":7953,"uris":["http://zotero.org/users/6423791/items/SZGRV47G"],"itemData":{"id":7953,"type":"article-journal","abstract":"This study evaluates the environmental impacts of biorefinery products using consequential (CLCA) and attributional (ALCA) life cycle assessment (LCA) approaches. Within ALCA, economic allocation method was used to distribute impacts among the main products and the coproducts, whereas within the CLCA system expansion was adopted to avoid allocation. The study seeks to answer the questions (i) what is the environmental impacts of process integration?, and (ii) do CLCA and ALCA lead to different conclusions when applied to biorefinery?. Three biorefinery systems were evaluated and compared: a standalone system producing bioethanol from winter wheat-straw (system A), a standalone system producing biobased lactic acid from alfalfa (system B), and an integrated biorefinery system (system C) combining the two standalone systems and producing both bioethanol and lactic acid. The synergy of the integration was the exchange of useful energy necessary for biomass processing in the two standalone systems. The systems were compared against a common reference flow: “1MJEtOH+1kgLA”, which was set on the basis of products delivered by the system C. Function of the reference flow was to provide service of both fuel (bioethanol) at 99.9% concentration (wt. basis) and biochemical (biobased lactic acid) in food industries at 90% purity; both products delivered at biorefinery gate. The environmental impacts of interest were global warming potential (GWP100), eutrophication potential (EP), non-renewable energy (NRE) use and the agricultural land occupation (ALO). Regardless of the LCA approach adopted, system C performed better in most of the impact categories than both standalone systems. The process wise contribution to the obtained environmental impacts also showed similar impact pattern in both approaches. The study also highlighted that the recirculation of intermediate materials, e.g. C5 sugar to boost bioethanol yield and that the use of residual streams in the energy conversion were beneficial for optimizing the system performance.","container-title":"Science of The Total Environment","DOI":"10.1016/j.scitotenv.2017.04.087","ISSN":"0048-9697","journalAbbreviation":"Science of The Total Environment","language":"en","page":"497-512","source":"ScienceDirect","title":"Environmental impacts of producing bioethanol and biobased lactic acid from standalone and integrated biorefineries using a consequential and an attributional life cycle assessment approach","volume":"598","author":[{"family":"Parajuli","given":"Ranjan"},{"family":"Knudsen","given":"Marie Trydeman"},{"family":"Birkved","given":"Morten"},{"family":"Djomo","given":"Sylvestre Njakou"},{"family":"Corona","given":"Andrea"},{"family":"Dalgaard","given":"Tommy"}],"issued":{"date-parts":[["2017",11,15]]}}}],"schema":"https://github.com/citation-style-language/schema/raw/master/csl-citation.json"}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284</w:t>
            </w:r>
            <w:r w:rsidRPr="006F3D27">
              <w:rPr>
                <w:sz w:val="18"/>
                <w:szCs w:val="18"/>
              </w:rPr>
              <w:fldChar w:fldCharType="end"/>
            </w:r>
          </w:p>
        </w:tc>
        <w:tc>
          <w:tcPr>
            <w:tcW w:w="842" w:type="dxa"/>
          </w:tcPr>
          <w:p w14:paraId="54AB477A"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cLCA</w:t>
            </w:r>
          </w:p>
        </w:tc>
        <w:tc>
          <w:tcPr>
            <w:tcW w:w="1426" w:type="dxa"/>
          </w:tcPr>
          <w:p w14:paraId="49E1FF24"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Alfalfa</w:t>
            </w:r>
          </w:p>
        </w:tc>
        <w:tc>
          <w:tcPr>
            <w:tcW w:w="1092" w:type="dxa"/>
          </w:tcPr>
          <w:p w14:paraId="7E05F086"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Secondary</w:t>
            </w:r>
          </w:p>
        </w:tc>
        <w:tc>
          <w:tcPr>
            <w:tcW w:w="0" w:type="auto"/>
          </w:tcPr>
          <w:p w14:paraId="44E94CD3" w14:textId="77777777" w:rsidR="00847C80" w:rsidRPr="006F3D27" w:rsidRDefault="00847C80" w:rsidP="003B36AF">
            <w:pPr>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t>Lactic acid, with protein as co-products</w:t>
            </w:r>
          </w:p>
        </w:tc>
      </w:tr>
      <w:tr w:rsidR="00847C80" w:rsidRPr="006F3D27" w14:paraId="48F69A0D"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2405" w:type="dxa"/>
          </w:tcPr>
          <w:p w14:paraId="209F349A" w14:textId="42CBC78E" w:rsidR="00847C80" w:rsidRPr="006F3D27" w:rsidRDefault="00847C80" w:rsidP="00847C80">
            <w:pPr>
              <w:jc w:val="right"/>
              <w:rPr>
                <w:b w:val="0"/>
                <w:sz w:val="18"/>
                <w:szCs w:val="18"/>
              </w:rPr>
            </w:pPr>
            <w:r w:rsidRPr="006F3D27">
              <w:rPr>
                <w:b w:val="0"/>
                <w:sz w:val="18"/>
                <w:szCs w:val="18"/>
              </w:rPr>
              <w:t>Prieler et al., 2019</w:t>
            </w:r>
            <w:r w:rsidRPr="006F3D27">
              <w:rPr>
                <w:sz w:val="18"/>
                <w:szCs w:val="18"/>
              </w:rPr>
              <w:fldChar w:fldCharType="begin"/>
            </w:r>
            <w:r w:rsidR="005413B4">
              <w:rPr>
                <w:b w:val="0"/>
                <w:sz w:val="18"/>
                <w:szCs w:val="18"/>
              </w:rPr>
              <w:instrText xml:space="preserve"> ADDIN ZOTERO_ITEM CSL_CITATION {"citationID":"wGnBy3Jy","properties":{"formattedCitation":"\\super 285\\nosupersub{}","plainCitation":"285","noteIndex":0},"citationItems":[{"id":10774,"uris":["http://zotero.org/users/6423791/items/WQGCZFWD"],"itemData":{"id":10774,"type":"article-journal","abstract":"In this study, the biorefinery process for generating amino acids (AA) from grass silage is analyzed ecologically. Life-cycle assessment is conducted in accordance with ISO 14040 and ISO 14044. A kilogram of amino acid is selected as a functional unit. The system boundary is drawn around silage production and includes both agricultural and conversion processes. The technology setup is modeled based on data from a demonstration amino acid production plant that uses the silages of permanent grassland in Austria (GBR 1), and data from the experimental work conducted within the European-funded GRASSFinery project (GBR 2) located in the Czech Republic and Germany, using life-cycle assessment software (GaBi®). Different scenarios are developed with different system boundaries. The baseline scenario for GBR 1 and the primary and central processing units of GBR 2 includes the green biorefinery processes without the disposal of waste flows to the biogas plant. By enlarging the system boundaries, the waste flows to the biogas plant and the energy yield from anaerobic digestion are considered as well as the transportation of intermediate products. The global warming potential (GWP) of the whole AA production process ranges from 11.4 to 16.8 kg CO2eq/kg AA, depending on the scenario. The GWP excludes biogenic carbon so the bound carbon in the grass silage is not included. High quality grass silage is crucial to achieve high yields of amino acids. Closed loops are a sensible step to reduce the environmental impact. © 2019 Society of Chemical Industry and John Wiley &amp; Sons, Ltd","container-title":"Biofuels, Bioproducts and Biorefining","DOI":"https://doi.org/10.1002/bbb.2022","ISSN":"1932-1031","issue":"6","language":"en","license":"© 2019 Society of Chemical Industry and John Wiley &amp; Sons, Ltd","note":"_eprint: https://onlinelibrary.wiley.com/doi/pdf/10.1002/bbb.2022","page":"1391-1401","source":"Wiley Online Library","title":"Life-cycle assessment of green biorefinery process options","volume":"13","author":[{"family":"Prieler","given":"Manuela"},{"family":"Lindorfer","given":"Johannes"},{"family":"Steinmüller","given":"Horst"}],"issued":{"date-parts":[["2019"]]}}}],"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285</w:t>
            </w:r>
            <w:r w:rsidRPr="006F3D27">
              <w:rPr>
                <w:sz w:val="18"/>
                <w:szCs w:val="18"/>
              </w:rPr>
              <w:fldChar w:fldCharType="end"/>
            </w:r>
          </w:p>
        </w:tc>
        <w:tc>
          <w:tcPr>
            <w:tcW w:w="842" w:type="dxa"/>
          </w:tcPr>
          <w:p w14:paraId="16B1C367"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aLCA</w:t>
            </w:r>
          </w:p>
        </w:tc>
        <w:tc>
          <w:tcPr>
            <w:tcW w:w="1426" w:type="dxa"/>
          </w:tcPr>
          <w:p w14:paraId="3CA1F686"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Grasslands</w:t>
            </w:r>
          </w:p>
        </w:tc>
        <w:tc>
          <w:tcPr>
            <w:tcW w:w="1092" w:type="dxa"/>
          </w:tcPr>
          <w:p w14:paraId="2C7B3DAF"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 xml:space="preserve">Primary </w:t>
            </w:r>
          </w:p>
          <w:p w14:paraId="0EFA3599"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(pilot scale)</w:t>
            </w:r>
          </w:p>
        </w:tc>
        <w:tc>
          <w:tcPr>
            <w:tcW w:w="0" w:type="auto"/>
          </w:tcPr>
          <w:p w14:paraId="2FE6EBF3" w14:textId="77777777" w:rsidR="00847C80" w:rsidRPr="006F3D27" w:rsidRDefault="00847C80" w:rsidP="003B36AF">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Amino acids production from grass silage</w:t>
            </w:r>
          </w:p>
        </w:tc>
      </w:tr>
      <w:tr w:rsidR="00847C80" w:rsidRPr="006F3D27" w14:paraId="2A38837D"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05" w:type="dxa"/>
          </w:tcPr>
          <w:p w14:paraId="3780B738" w14:textId="408B7C3C" w:rsidR="00847C80" w:rsidRPr="006F3D27" w:rsidRDefault="00847C80" w:rsidP="00847C80">
            <w:pPr>
              <w:jc w:val="right"/>
              <w:rPr>
                <w:b w:val="0"/>
                <w:sz w:val="18"/>
                <w:szCs w:val="18"/>
              </w:rPr>
            </w:pPr>
            <w:r w:rsidRPr="006F3D27">
              <w:rPr>
                <w:b w:val="0"/>
                <w:sz w:val="18"/>
                <w:szCs w:val="18"/>
              </w:rPr>
              <w:t>Muica, Msc thesis 2014</w:t>
            </w:r>
            <w:r w:rsidRPr="006F3D27">
              <w:rPr>
                <w:sz w:val="18"/>
                <w:szCs w:val="18"/>
              </w:rPr>
              <w:fldChar w:fldCharType="begin"/>
            </w:r>
            <w:r w:rsidR="005413B4">
              <w:rPr>
                <w:b w:val="0"/>
                <w:sz w:val="18"/>
                <w:szCs w:val="18"/>
              </w:rPr>
              <w:instrText xml:space="preserve"> ADDIN ZOTERO_ITEM CSL_CITATION {"citationID":"UiPKyE8B","properties":{"formattedCitation":"\\super 280\\nosupersub{}","plainCitation":"280","noteIndex":0},"citationItems":[{"id":11102,"uris":["http://zotero.org/users/6423791/items/XMBPNAWP"],"itemData":{"id":11102,"type":"thesis","publisher":"Syddansk Universitet","title":"Enhanced Management of Residual Grass in Denmark","author":[{"family":"Muica","given":"VT"}],"issued":{"date-parts":[["2014"]]}}}],"schema":"https://github.com/citation-style-language/schema/raw/master/csl-citation.json"}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280</w:t>
            </w:r>
            <w:r w:rsidRPr="006F3D27">
              <w:rPr>
                <w:sz w:val="18"/>
                <w:szCs w:val="18"/>
              </w:rPr>
              <w:fldChar w:fldCharType="end"/>
            </w:r>
          </w:p>
        </w:tc>
        <w:tc>
          <w:tcPr>
            <w:tcW w:w="842" w:type="dxa"/>
          </w:tcPr>
          <w:p w14:paraId="6001B8A8"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cLCA</w:t>
            </w:r>
          </w:p>
        </w:tc>
        <w:tc>
          <w:tcPr>
            <w:tcW w:w="1426" w:type="dxa"/>
          </w:tcPr>
          <w:p w14:paraId="3D15F2A7"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Residual grass</w:t>
            </w:r>
          </w:p>
        </w:tc>
        <w:tc>
          <w:tcPr>
            <w:tcW w:w="1092" w:type="dxa"/>
          </w:tcPr>
          <w:p w14:paraId="0E0AC08B"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Secondary</w:t>
            </w:r>
          </w:p>
        </w:tc>
        <w:tc>
          <w:tcPr>
            <w:tcW w:w="0" w:type="auto"/>
          </w:tcPr>
          <w:p w14:paraId="4D896019" w14:textId="77777777" w:rsidR="00847C80" w:rsidRPr="006F3D27" w:rsidRDefault="00847C80" w:rsidP="003B36AF">
            <w:pPr>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t>Exploratory study, residual grass</w:t>
            </w:r>
          </w:p>
        </w:tc>
      </w:tr>
      <w:tr w:rsidR="00847C80" w:rsidRPr="006F3D27" w14:paraId="57852AEC"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2405" w:type="dxa"/>
          </w:tcPr>
          <w:p w14:paraId="5519152C" w14:textId="3560C357" w:rsidR="00847C80" w:rsidRPr="006F3D27" w:rsidRDefault="00847C80" w:rsidP="00847C80">
            <w:pPr>
              <w:jc w:val="right"/>
              <w:rPr>
                <w:b w:val="0"/>
                <w:sz w:val="18"/>
                <w:szCs w:val="18"/>
              </w:rPr>
            </w:pPr>
            <w:r w:rsidRPr="006F3D27">
              <w:rPr>
                <w:b w:val="0"/>
                <w:sz w:val="18"/>
                <w:szCs w:val="18"/>
              </w:rPr>
              <w:t>Carbotech, 2000</w:t>
            </w:r>
            <w:r w:rsidRPr="006F3D27">
              <w:rPr>
                <w:sz w:val="18"/>
                <w:szCs w:val="18"/>
              </w:rPr>
              <w:fldChar w:fldCharType="begin"/>
            </w:r>
            <w:r w:rsidR="005413B4">
              <w:rPr>
                <w:b w:val="0"/>
                <w:sz w:val="18"/>
                <w:szCs w:val="18"/>
              </w:rPr>
              <w:instrText xml:space="preserve"> ADDIN ZOTERO_ITEM CSL_CITATION {"citationID":"e1207OYN","properties":{"formattedCitation":"\\super 286\\nosupersub{}","plainCitation":"286","noteIndex":0},"citationItems":[{"id":432,"uris":["http://zotero.org/users/6423791/items/XY5DE2TK"],"itemData":{"id":432,"type":"book","event-place":"Dübendorf, CH","publisher":"Swiss Centre for Life Cycle Inventories","publisher-place":"Dübendorf, CH","source":"ResearchGate","title":"Life Cycle Inventories of Bioenergy. ecoinvent report No. 17","author":[{"family":"Jungbluth","given":"Niels"},{"family":"Chudacoff","given":"M."},{"family":"Dauriat","given":"Arnaud"},{"family":"Dinkel","given":"Fredy"},{"family":"Doka","given":"G."},{"family":"Faist Emmenegger","given":"Mireille"},{"family":"Gnansounou","given":"Edgard"},{"family":"Kljun","given":"Natascha"},{"family":"Schleiss","given":"Konrad"},{"family":"Spielmann","given":"Michael"},{"family":"Stettler","given":"Cornelia"},{"family":"Sutter","given":"Jürgen"}],"issued":{"date-parts":[["2007",1,1]]}}}],"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286</w:t>
            </w:r>
            <w:r w:rsidRPr="006F3D27">
              <w:rPr>
                <w:sz w:val="18"/>
                <w:szCs w:val="18"/>
              </w:rPr>
              <w:fldChar w:fldCharType="end"/>
            </w:r>
          </w:p>
        </w:tc>
        <w:tc>
          <w:tcPr>
            <w:tcW w:w="842" w:type="dxa"/>
          </w:tcPr>
          <w:p w14:paraId="3E4E0CC1"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aLCA</w:t>
            </w:r>
          </w:p>
        </w:tc>
        <w:tc>
          <w:tcPr>
            <w:tcW w:w="1426" w:type="dxa"/>
          </w:tcPr>
          <w:p w14:paraId="534C24CC"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Grass</w:t>
            </w:r>
          </w:p>
        </w:tc>
        <w:tc>
          <w:tcPr>
            <w:tcW w:w="1092" w:type="dxa"/>
          </w:tcPr>
          <w:p w14:paraId="2B2C9A66"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 xml:space="preserve">Primary </w:t>
            </w:r>
          </w:p>
          <w:p w14:paraId="692C114C"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(pilot scale)</w:t>
            </w:r>
          </w:p>
        </w:tc>
        <w:tc>
          <w:tcPr>
            <w:tcW w:w="0" w:type="auto"/>
          </w:tcPr>
          <w:p w14:paraId="5AA06D12" w14:textId="77777777" w:rsidR="00847C80" w:rsidRPr="006F3D27" w:rsidRDefault="00847C80" w:rsidP="003B36AF">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Grass refinery, confidential, used in ecoinvent</w:t>
            </w:r>
          </w:p>
        </w:tc>
      </w:tr>
      <w:tr w:rsidR="00847C80" w:rsidRPr="006F3D27" w14:paraId="35098272"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05" w:type="dxa"/>
          </w:tcPr>
          <w:p w14:paraId="2ACC8257" w14:textId="0A299685" w:rsidR="00847C80" w:rsidRPr="006F3D27" w:rsidRDefault="00847C80" w:rsidP="00847C80">
            <w:pPr>
              <w:jc w:val="right"/>
              <w:rPr>
                <w:b w:val="0"/>
                <w:sz w:val="18"/>
                <w:szCs w:val="18"/>
              </w:rPr>
            </w:pPr>
            <w:r w:rsidRPr="006F3D27">
              <w:rPr>
                <w:b w:val="0"/>
                <w:sz w:val="18"/>
                <w:szCs w:val="18"/>
              </w:rPr>
              <w:t>Bühle et al., 2011, 2012</w:t>
            </w:r>
            <w:r w:rsidRPr="006F3D27">
              <w:rPr>
                <w:sz w:val="18"/>
                <w:szCs w:val="18"/>
              </w:rPr>
              <w:fldChar w:fldCharType="begin"/>
            </w:r>
            <w:r w:rsidR="005413B4">
              <w:rPr>
                <w:b w:val="0"/>
                <w:sz w:val="18"/>
                <w:szCs w:val="18"/>
              </w:rPr>
              <w:instrText xml:space="preserve"> ADDIN ZOTERO_ITEM CSL_CITATION {"citationID":"zOaLcj7M","properties":{"formattedCitation":"\\super 287,288\\nosupersub{}","plainCitation":"287,288","noteIndex":0},"citationItems":[{"id":11292,"uris":["http://zotero.org/users/6423791/items/39LLK4LC"],"itemData":{"id":11292,"type":"article-journal","abstract":"Today’s bioenergy systems are very different in cultivation, conservation, conversion of the biomass as well as in the form of the final energy. The assessment of bioenergy systems concerning environmental impacts is increasingly up for discussion. Future challenges will be the development of procedures which reconcile high-yielding and efficient approaches with environment friendly production. Against this background the system of Integrated Generation of Solid Fuel and Biogas from Biomass (IFBB) was suggested to increase net energy yields over a wide range of energy crops in order to obtain a higher biodiversity in energy crop cultivation. In the IFBB procedure the ensiled biomass is separated into a liquid phase for biogas production and into a solid fraction for combustion. This work is aimed at the assessment of the IFBB system in comparison to whole crop digestion (WCD). The assessment is based on crop production in a double-cropping system where winter rye and maize are grown subsequently within one growing season. The main parameters investigated are the efficiency of the whole process, primary energy and greenhouse gas savings as well as potentials of acidification and eutrophication according to principles of Life Cycle Assessment. The calculation of energy efficiency shows a superiority of the IFBB system due to a mainly thermal use of the biomass. Savings of fossil primary energy average at a similar level, whereas greenhouse gas savings are slightly higher for WCD. Investigations on acidification and eutrophication show that both bioenergy systems caused higher emissions compared to the fossil-based reference technique.","container-title":"Biomass and Bioenergy","DOI":"10.1016/j.biombioe.2010.08.056","ISSN":"0961-9534","issue":"1","journalAbbreviation":"Biomass and Bioenergy","language":"en","page":"363-373","source":"ScienceDirect","title":"Comparative life cycle assessment of the integrated generation of solid fuel and biogas from biomass (IFBB) and whole crop digestion (WCD) in Germany","volume":"35","author":[{"family":"Bühle","given":"Lutz"},{"family":"Stülpnagel","given":"R."},{"family":"Wachendorf","given":"M."}],"issued":{"date-parts":[["2011",1,1]]}}},{"id":11295,"uris":["http://zotero.org/users/6423791/items/QG7F24CU"],"itemData":{"id":11295,"type":"article-journal","abstract":"The study compares energy production from semi-natural grasslands by the integrated generation of solid fuel and biogas from biomass (IFBB) through mechanical separation of the biomass with the dry fermentation (DF) and hay combustion system (HC). In addition, traditional use for beef cattle production and non-refining systems of landscape conservation, i.e. mulching and composting, are considered. Highest conversion efficiency (45–54% of the gross yield), net savings of fossil fuels (44–54GJha−1) and net savings of greenhouse gases (2.9–3.7tCO2-eqha−1) are obtained by HC and IFBB. Potentials of DF are limited due to low digestibility of the mature biomass.","container-title":"Bioresource Technology","DOI":"10.1016/j.biortech.2012.02.072","ISSN":"0960-8524","journalAbbreviation":"Bioresource Technology","language":"en","page":"230-239","source":"ScienceDirect","title":"Life cycle assessment of the integrated generation of solid fuel and biogas from biomass (IFBB) in comparison to different energy recovery, animal-based and non-refining management systems","volume":"111","author":[{"family":"Bühle","given":"Lutz"},{"family":"Hensgen","given":"Frank"},{"family":"Donnison","given":"Iain"},{"family":"Heinsoo","given":"Katrin"},{"family":"Wachendorf","given":"Michael"}],"issued":{"date-parts":[["2012",5,1]]}}}],"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287,288</w:t>
            </w:r>
            <w:r w:rsidRPr="006F3D27">
              <w:rPr>
                <w:sz w:val="18"/>
                <w:szCs w:val="18"/>
              </w:rPr>
              <w:fldChar w:fldCharType="end"/>
            </w:r>
          </w:p>
        </w:tc>
        <w:tc>
          <w:tcPr>
            <w:tcW w:w="842" w:type="dxa"/>
          </w:tcPr>
          <w:p w14:paraId="02B11EF2"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aLCA</w:t>
            </w:r>
          </w:p>
        </w:tc>
        <w:tc>
          <w:tcPr>
            <w:tcW w:w="1426" w:type="dxa"/>
          </w:tcPr>
          <w:p w14:paraId="5FFCED7F"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Grasslands</w:t>
            </w:r>
          </w:p>
        </w:tc>
        <w:tc>
          <w:tcPr>
            <w:tcW w:w="1092" w:type="dxa"/>
          </w:tcPr>
          <w:p w14:paraId="05301B33"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Secondary</w:t>
            </w:r>
          </w:p>
        </w:tc>
        <w:tc>
          <w:tcPr>
            <w:tcW w:w="0" w:type="auto"/>
          </w:tcPr>
          <w:p w14:paraId="219039E3" w14:textId="77777777" w:rsidR="00847C80" w:rsidRPr="006F3D27" w:rsidRDefault="00847C80" w:rsidP="003B36AF">
            <w:pPr>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t>Target energy recovery, not proteins</w:t>
            </w:r>
          </w:p>
        </w:tc>
      </w:tr>
      <w:tr w:rsidR="00847C80" w:rsidRPr="006F3D27" w14:paraId="5467591B"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2405" w:type="dxa"/>
          </w:tcPr>
          <w:p w14:paraId="48DE261B" w14:textId="54F99412" w:rsidR="00847C80" w:rsidRPr="006F3D27" w:rsidRDefault="00847C80" w:rsidP="00847C80">
            <w:pPr>
              <w:jc w:val="right"/>
              <w:rPr>
                <w:b w:val="0"/>
                <w:sz w:val="18"/>
                <w:szCs w:val="18"/>
              </w:rPr>
            </w:pPr>
            <w:r w:rsidRPr="006F3D27">
              <w:rPr>
                <w:b w:val="0"/>
                <w:sz w:val="18"/>
                <w:szCs w:val="18"/>
              </w:rPr>
              <w:t>Corona et al., 2018a,b</w:t>
            </w:r>
            <w:r w:rsidRPr="006F3D27">
              <w:rPr>
                <w:sz w:val="18"/>
                <w:szCs w:val="18"/>
              </w:rPr>
              <w:fldChar w:fldCharType="begin"/>
            </w:r>
            <w:r w:rsidR="005413B4">
              <w:rPr>
                <w:b w:val="0"/>
                <w:sz w:val="18"/>
                <w:szCs w:val="18"/>
              </w:rPr>
              <w:instrText xml:space="preserve"> ADDIN ZOTERO_ITEM CSL_CITATION {"citationID":"LQ9vB8hn","properties":{"formattedCitation":"\\super 289,290\\nosupersub{}","plainCitation":"289,290","noteIndex":0},"citationItems":[{"id":382,"uris":["http://zotero.org/users/6423791/items/7YX86YM8"],"itemData":{"id":382,"type":"article-journal","abstract":"Green bioreﬁnery (GBR) is a new bioreﬁnery technology for the conversion of fresh biomass to value added products. In the present study, we combined a Process Flowsheet Simulation (PFS) and Life Cycle Assessment (LCA) of a small scale decentralized GBR to screen environmental impact proﬁles for potential biomass feedstocks for GBR conversion. Furthermore, we carried out hotspot and sensitivity analysis to identify where the largest impacts arise in the bioreﬁning stage in order to provide recommendations and focus points for GBR technology developers. The GBR considered in this study produces a protein-rich feed for monogastric animals and an energy-rich feed from the press pulp and biogas from the GBR residues. The included biomass feedstocks are: alfalfa, grass-clover, festulolium and ryegrass. These biomasses were selected to accommodate variations in central biomass characteristics like: crop yields, rate of fertilizer application, chemical biomass compositions and related potential environmental implications. Among the studied crops, alfalfa provides the best overall environmental performance due to its high yield and low agricultural input demands. Results of the hotspot analysis further identiﬁed the coagulation and the drying as the processes that induce most of the environmental impacts in the bioreﬁning stage. Conversion of green biomass for the production of feed and energy could provide environmental beneﬁts compared to the production of conventional feed. However, the GBR technology have still room for optimization in order to further reduce the environmental impacts, across all impact categories, by decreasing energy consumption and increasing conversion efﬁciency.","container-title":"Journal of Cleaner Production","DOI":"10.1016/j.jclepro.2018.03.316","ISSN":"09596526","journalAbbreviation":"J. Clean. Prod.","language":"en","page":"344-357","source":"DOI.org (Crossref)","title":"Environmental screening of potential biomass for green biorefinery conversion","volume":"189","author":[{"family":"Corona","given":"Andrea"},{"family":"Parajuli","given":"Ranjan"},{"family":"Ambye-Jensen","given":"Morten"},{"family":"Hauschild","given":"Michael Zwicky"},{"family":"Birkved","given":"Morten"}],"issued":{"date-parts":[["2018",7]]}}},{"id":392,"uris":["http://zotero.org/users/6423791/items/P3739BFG"],"itemData":{"id":392,"type":"article-journal","abstract":"The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289,290</w:t>
            </w:r>
            <w:r w:rsidRPr="006F3D27">
              <w:rPr>
                <w:sz w:val="18"/>
                <w:szCs w:val="18"/>
              </w:rPr>
              <w:fldChar w:fldCharType="end"/>
            </w:r>
          </w:p>
        </w:tc>
        <w:tc>
          <w:tcPr>
            <w:tcW w:w="842" w:type="dxa"/>
          </w:tcPr>
          <w:p w14:paraId="0D68B9B8"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aLCA &amp; TEA</w:t>
            </w:r>
          </w:p>
        </w:tc>
        <w:tc>
          <w:tcPr>
            <w:tcW w:w="1426" w:type="dxa"/>
          </w:tcPr>
          <w:p w14:paraId="05A98E81"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Grass-legumes</w:t>
            </w:r>
          </w:p>
        </w:tc>
        <w:tc>
          <w:tcPr>
            <w:tcW w:w="1092" w:type="dxa"/>
          </w:tcPr>
          <w:p w14:paraId="54CCA95A"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Primary</w:t>
            </w:r>
          </w:p>
          <w:p w14:paraId="4A89CE44"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(pilot scale)</w:t>
            </w:r>
          </w:p>
        </w:tc>
        <w:tc>
          <w:tcPr>
            <w:tcW w:w="0" w:type="auto"/>
          </w:tcPr>
          <w:p w14:paraId="23BAE81D" w14:textId="77777777" w:rsidR="00847C80" w:rsidRPr="006F3D27" w:rsidRDefault="00847C80" w:rsidP="003B36AF">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Scenarios assessing different uses of the generated (co-)products</w:t>
            </w:r>
          </w:p>
        </w:tc>
      </w:tr>
      <w:tr w:rsidR="00847C80" w:rsidRPr="006F3D27" w14:paraId="6BECDACB"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gridSpan w:val="5"/>
          </w:tcPr>
          <w:p w14:paraId="1BD23FF8" w14:textId="77777777" w:rsidR="00847C80" w:rsidRPr="006F3D27" w:rsidRDefault="00847C80" w:rsidP="003B36AF">
            <w:pPr>
              <w:rPr>
                <w:b w:val="0"/>
                <w:sz w:val="18"/>
                <w:szCs w:val="18"/>
              </w:rPr>
            </w:pPr>
            <w:r w:rsidRPr="006F3D27">
              <w:rPr>
                <w:b w:val="0"/>
                <w:sz w:val="18"/>
                <w:szCs w:val="18"/>
              </w:rPr>
              <w:t>Broader assessments of green biorefineries useful for LCI modeling</w:t>
            </w:r>
          </w:p>
        </w:tc>
      </w:tr>
      <w:tr w:rsidR="00847C80" w:rsidRPr="006F3D27" w14:paraId="71651D9E"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2405" w:type="dxa"/>
          </w:tcPr>
          <w:p w14:paraId="78928572" w14:textId="7B46202D" w:rsidR="00847C80" w:rsidRPr="006F3D27" w:rsidRDefault="00847C80" w:rsidP="00847C80">
            <w:pPr>
              <w:jc w:val="right"/>
              <w:rPr>
                <w:b w:val="0"/>
                <w:sz w:val="18"/>
                <w:szCs w:val="18"/>
              </w:rPr>
            </w:pPr>
            <w:r w:rsidRPr="006F3D27">
              <w:rPr>
                <w:b w:val="0"/>
                <w:sz w:val="18"/>
                <w:szCs w:val="18"/>
              </w:rPr>
              <w:t>Tamayo Tenorio et al.,  2017</w:t>
            </w:r>
            <w:r w:rsidRPr="006F3D27">
              <w:rPr>
                <w:sz w:val="18"/>
                <w:szCs w:val="18"/>
              </w:rPr>
              <w:fldChar w:fldCharType="begin"/>
            </w:r>
            <w:r w:rsidR="005413B4">
              <w:rPr>
                <w:b w:val="0"/>
                <w:sz w:val="18"/>
                <w:szCs w:val="18"/>
              </w:rPr>
              <w:instrText xml:space="preserve"> ADDIN ZOTERO_ITEM CSL_CITATION {"citationID":"J8wR5omU","properties":{"formattedCitation":"\\super 272\\nosupersub{}","plainCitation":"272","noteIndex":0},"citationItems":[{"id":9255,"uris":["http://zotero.org/users/6423791/items/9EZA9MQK"],"itemData":{"id":9255,"type":"article-journal","abstract":"Large-scale processing of leaves for food applications requires quick processing or stabilisation to avoid perishability, due to the high moisture content in this biomass. Leaf perishability is compounded by the seasonal availability of crops, like sugar beet plants, of which the leaves are regarded as a potential protein source. This study evaluates the resource efficiency of a hypothetical sugar beet leaf processing chain by comparing supply chain options. First, two options consider leaf processing with and without stabilising the leaves by freezing. Then, these two options are considered in a centralised and decentralised process configuration. The latter places leaf freezing and pressing at the farm and further processes occur at a central facility. Energy usage and exergy consumption were used to quantify the thermodynamic performance of the processing options. Freezing has negligible effect on the process-ability of the leaves in terms of protein content and protein yield. The overall resource efficiency of the process was dominated by the amount of leaf material effectively used, which stresses the importance of full use of all (side-)streams. This outcome also explains the limited additional energy requirements for freezing. Exergetic indicators were affected by variations on the dry matter content of the starting biomass, compared to a negligible effect of other parameters (equipment scale, efficiency or energy use). Transportation load and soil quality were also discussed for the centralised and decentralised configurations. On-farm processing of the leaves (decentralised chain) clearly reduces the transportation load due to the large difference in bulk densities of leaves (73 kg/m3) and leaf juice (1000 kg/m3). Additionally, decentralised scenarios enable direct returning of the leaf pulp to the soil and thereby improving soil quality (i.e. nutrient retention and fertility). Soil quality is required to fully assess the use of biomass that is currently regarded as waste, but that actually plays a role in soil fertility. Therefore, the preferred chain configuration would be a decentralised system where the leaves are directly pressed at the farm, the pulp is used to fertilise the soil, and the leaf juice is chilled transported to a centralised factory.","container-title":"Journal of Cleaner Production","DOI":"10.1016/j.jclepro.2017.06.248","ISSN":"0959-6526","journalAbbreviation":"J. Clean. Prod.","language":"en","page":"736-748","source":"ScienceDirect","title":"Processing concepts for the use of green leaves as raw materials for the food industry","volume":"164","author":[{"family":"Tamayo Tenorio","given":"A."},{"family":"Schreuders","given":"F. K. G."},{"family":"Zisopoulos","given":"F. K."},{"family":"Boom","given":"R. M."},{"family":"Goot","given":"A. J.","non-dropping-particle":"van der"}],"issued":{"date-parts":[["2017",10,15]]}}}],"schema":"https://github.com/citation-style-language/schema/raw/master/csl-citation.json"}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272</w:t>
            </w:r>
            <w:r w:rsidRPr="006F3D27">
              <w:rPr>
                <w:sz w:val="18"/>
                <w:szCs w:val="18"/>
              </w:rPr>
              <w:fldChar w:fldCharType="end"/>
            </w:r>
          </w:p>
        </w:tc>
        <w:tc>
          <w:tcPr>
            <w:tcW w:w="842" w:type="dxa"/>
          </w:tcPr>
          <w:p w14:paraId="28164F3E"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Exergy</w:t>
            </w:r>
          </w:p>
        </w:tc>
        <w:tc>
          <w:tcPr>
            <w:tcW w:w="1426" w:type="dxa"/>
          </w:tcPr>
          <w:p w14:paraId="7AEAB57E"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Sugarbeet tops</w:t>
            </w:r>
          </w:p>
        </w:tc>
        <w:tc>
          <w:tcPr>
            <w:tcW w:w="1092" w:type="dxa"/>
          </w:tcPr>
          <w:p w14:paraId="194196EA"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Primary</w:t>
            </w:r>
          </w:p>
          <w:p w14:paraId="04475778"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(lab scale)</w:t>
            </w:r>
          </w:p>
        </w:tc>
        <w:tc>
          <w:tcPr>
            <w:tcW w:w="0" w:type="auto"/>
            <w:vMerge w:val="restart"/>
          </w:tcPr>
          <w:p w14:paraId="3FF33C82" w14:textId="77777777" w:rsidR="00847C80" w:rsidRPr="006F3D27" w:rsidRDefault="00847C80" w:rsidP="003B36AF">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Mass and energy analysis of different GB set-ups and supply chains</w:t>
            </w:r>
          </w:p>
        </w:tc>
      </w:tr>
      <w:tr w:rsidR="00847C80" w:rsidRPr="006F3D27" w14:paraId="05AB8BCE"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05" w:type="dxa"/>
          </w:tcPr>
          <w:p w14:paraId="4F2E20CC" w14:textId="24E68540" w:rsidR="00847C80" w:rsidRPr="006F3D27" w:rsidRDefault="00847C80" w:rsidP="00847C80">
            <w:pPr>
              <w:jc w:val="right"/>
              <w:rPr>
                <w:b w:val="0"/>
                <w:sz w:val="18"/>
                <w:szCs w:val="18"/>
              </w:rPr>
            </w:pPr>
            <w:r w:rsidRPr="006F3D27">
              <w:rPr>
                <w:b w:val="0"/>
                <w:sz w:val="18"/>
                <w:szCs w:val="18"/>
              </w:rPr>
              <w:t>Kamp et al., 2019</w:t>
            </w:r>
            <w:r w:rsidRPr="006F3D27">
              <w:rPr>
                <w:sz w:val="18"/>
                <w:szCs w:val="18"/>
              </w:rPr>
              <w:fldChar w:fldCharType="begin"/>
            </w:r>
            <w:r w:rsidR="005413B4">
              <w:rPr>
                <w:b w:val="0"/>
                <w:sz w:val="18"/>
                <w:szCs w:val="18"/>
              </w:rPr>
              <w:instrText xml:space="preserve"> ADDIN ZOTERO_ITEM CSL_CITATION {"citationID":"BLdO86om","properties":{"formattedCitation":"\\super 291\\nosupersub{}","plainCitation":"291","noteIndex":0},"citationItems":[{"id":386,"uris":["http://zotero.org/users/6423791/items/TTWM84UQ"],"itemData":{"id":386,"type":"article-journal","abstract":"Trends of increasing human population, diets rich in meat, highly processed and vigorously transported products put high pressure on our ability to produce ever more food globally at the same time as supporting healthy agricultural ecosystems globally. Future food production needs to focus on optimisation of the food system in order to develop within the constraints of planetary boundaries. Modelling of energy and material flows of production systems by means of Emergy Assessment is a way to help in this task. We model and assess a hypothetical, large-scale biorefinery production from field to the provision of pig feed, biogas and fertiliser based on grass-clover mixtures (Bioref scenario). A hot spot analysis concludes that grass-clover mixture cultivation has high diesel and labour requirements, and that approximately half of the resource use (in solar emjoules, sej) in the Bioref scenario occurs during agricultural production. We find that the Bioref scenario is very labour intensive: 75% of total resource use (in sej/year) is related to labour. Next, we compare the Bioref scenario to the current provision in Denmark of soy meal imported from Brazil combined with natural gas from Denmark (Current scenario). We conclude that the Bioref production system could reduce the use of resources, reduce the dependence on non-renewable resources, significantly decrease GHG emissions from fossil fuel use, and does not need external heat input, but has higher diesel and electricity use, increased land demand and much more dependence on labour embodied in goods. Finally, we discuss different perspectives in relation to labour requirements for the two production systems.","container-title":"Ecological Modelling","DOI":"10.1016/j.ecolmodel.2019.108738","ISSN":"03043800","journalAbbreviation":"Ecological Modelling","language":"en","page":"108738","source":"DOI.org (Crossref)","title":"Modelling matter and energy flows of local, refined grass-clover protein feed as alternative to imported soy meal","volume":"410","author":[{"family":"Kamp","given":"Andreas"},{"family":"Ambye-Jensen","given":"Morten"},{"family":"Østergård","given":"Hanne"}],"issued":{"date-parts":[["2019",10]]}}}],"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291</w:t>
            </w:r>
            <w:r w:rsidRPr="006F3D27">
              <w:rPr>
                <w:sz w:val="18"/>
                <w:szCs w:val="18"/>
              </w:rPr>
              <w:fldChar w:fldCharType="end"/>
            </w:r>
          </w:p>
        </w:tc>
        <w:tc>
          <w:tcPr>
            <w:tcW w:w="842" w:type="dxa"/>
          </w:tcPr>
          <w:p w14:paraId="37AD0940"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Emergy</w:t>
            </w:r>
          </w:p>
        </w:tc>
        <w:tc>
          <w:tcPr>
            <w:tcW w:w="1426" w:type="dxa"/>
          </w:tcPr>
          <w:p w14:paraId="0448BF9C"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Grass-clover</w:t>
            </w:r>
          </w:p>
        </w:tc>
        <w:tc>
          <w:tcPr>
            <w:tcW w:w="1092" w:type="dxa"/>
          </w:tcPr>
          <w:p w14:paraId="75EB719A"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Secondary</w:t>
            </w:r>
          </w:p>
        </w:tc>
        <w:tc>
          <w:tcPr>
            <w:tcW w:w="0" w:type="auto"/>
            <w:vMerge/>
          </w:tcPr>
          <w:p w14:paraId="6472080B" w14:textId="77777777" w:rsidR="00847C80" w:rsidRPr="006F3D27" w:rsidRDefault="00847C80" w:rsidP="003B36AF">
            <w:pPr>
              <w:cnfStyle w:val="000000100000" w:firstRow="0" w:lastRow="0" w:firstColumn="0" w:lastColumn="0" w:oddVBand="0" w:evenVBand="0" w:oddHBand="1" w:evenHBand="0" w:firstRowFirstColumn="0" w:firstRowLastColumn="0" w:lastRowFirstColumn="0" w:lastRowLastColumn="0"/>
              <w:rPr>
                <w:i/>
                <w:sz w:val="18"/>
                <w:szCs w:val="18"/>
              </w:rPr>
            </w:pPr>
          </w:p>
        </w:tc>
      </w:tr>
      <w:tr w:rsidR="00847C80" w:rsidRPr="006F3D27" w14:paraId="246EF70D"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2405" w:type="dxa"/>
          </w:tcPr>
          <w:p w14:paraId="211F1057" w14:textId="769F511B" w:rsidR="00847C80" w:rsidRPr="006F3D27" w:rsidRDefault="00847C80" w:rsidP="00847C80">
            <w:pPr>
              <w:jc w:val="right"/>
              <w:rPr>
                <w:b w:val="0"/>
                <w:sz w:val="18"/>
                <w:szCs w:val="18"/>
              </w:rPr>
            </w:pPr>
            <w:r w:rsidRPr="006F3D27">
              <w:rPr>
                <w:b w:val="0"/>
                <w:sz w:val="18"/>
                <w:szCs w:val="18"/>
              </w:rPr>
              <w:t>Djomo et al., 2020</w:t>
            </w:r>
            <w:r w:rsidRPr="006F3D27">
              <w:rPr>
                <w:sz w:val="18"/>
                <w:szCs w:val="18"/>
              </w:rPr>
              <w:fldChar w:fldCharType="begin"/>
            </w:r>
            <w:r w:rsidR="005413B4">
              <w:rPr>
                <w:b w:val="0"/>
                <w:sz w:val="18"/>
                <w:szCs w:val="18"/>
              </w:rPr>
              <w:instrText xml:space="preserve"> ADDIN ZOTERO_ITEM CSL_CITATION {"citationID":"cPAxgfS7","properties":{"formattedCitation":"\\super 292\\nosupersub{}","plainCitation":"292","noteIndex":0},"citationItems":[{"id":1357,"uris":["http://zotero.org/users/6423791/items/JC2HTDQN"],"itemData":{"id":1357,"type":"article-journal","abstract":"The heavy reliance of the livestock industry of the European Union (EU) on feed protein imports has initiated a transition to alternative protein sources such as grass proteins. Green biorefineries (which process grass into protein and other related bio-products) are gaining interest in the EU as the EU searches for ways to cut its import of feed proteins, to reduce its reliance on fossil fuels, and to combat climate change. However, the vulnerability of green biorefineries to fossil energy constraints has not been studied. We estimated the energy conversion efficiencies (EE) and the energy return on investment (EROI) of bio-products from standalone (SGBR) and integrated grass refinery (IGBR) systems using scenario and energy analysis. The base scenario assumes an SGBR that processes grass into protein, fiber, and brown juice. The three IGBR scenarios assume that grass is processed into protein, fiber, and biomethane (Scenario 1); into protein, fiber, heat, and electricity (Scenario 2); or into protein, fiber, heat, and biomethane (Scenario 3). We found that the EE of the IGBR (83%–85%) largely exceeded that of the SGBR (77%) in all cases. Energy returns on investment were lower for grass than for clover-grass because of the high fertilizer needs of the former. The standard EROIs (EROIstd) for grass protein ranged from 1.6 to 5.4 over the various feedstocks and scenarios evaluated. The EROIstd decreased when the system boundary was expanded to the point of use (EROIpou), or when they were adjusted for quality (EROIqly). Other bioproducts from both SGBR and IGBR also had high EROIstd, and showed similar patterns to that of grass protein (i.e., EROIstd &gt; EROIpou &gt; EROIqly). Although Scenario 1 had a high EE relative to the base scenario, its heavy reliance on auxiliary energy inputs reduced the EROIs of its products. Our analysis showed the strong impacts of brown-juice recycling in the energy performance of green biorefinery. It thus deserves close attention when designing and implementing a green biorefinery in a given region. With favorable economic conditions, green biorefineries could contribute to the reduction of food and energy insecurity in Europe in a sustainable way. © 2020 Society of Chemical Industry and John Wiley &amp; Sons, Ltd","container-title":"Biofuels, Bioproducts and Biorefining","DOI":"10.1002/bbb.2098","ISSN":"1932-1031","issue":"3","language":"English","license":"© 2020 Society of Chemical Industry and John Wiley &amp; Sons, Ltd","note":"_eprint: https://onlinelibrary.wiley.com/doi/pdf/10.1002/bbb.2098","page":"605-619","source":"Wiley Online Library","title":"Green proteins: An energy-efficient solution for increased self-sufficiency in protein in Europe","title-short":"Green proteins","volume":"14","author":[{"family":"Djomo","given":"Sylvestre Njakou"},{"family":"Knudsen","given":"Marie Trydeman"},{"family":"Martinsen","given":"Louise"},{"family":"Andersen","given":"Mikael Skou"},{"family":"Ambye‐Jensen","given":"Morten"},{"family":"Møller","given":"Henrik Bjarne"},{"family":"Hermansen","given":"John Erik"}],"issued":{"date-parts":[["2020",3,27]]}}}],"schema":"https://github.com/citation-style-language/schema/raw/master/csl-citation.json"}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292</w:t>
            </w:r>
            <w:r w:rsidRPr="006F3D27">
              <w:rPr>
                <w:sz w:val="18"/>
                <w:szCs w:val="18"/>
              </w:rPr>
              <w:fldChar w:fldCharType="end"/>
            </w:r>
          </w:p>
        </w:tc>
        <w:tc>
          <w:tcPr>
            <w:tcW w:w="842" w:type="dxa"/>
          </w:tcPr>
          <w:p w14:paraId="3FC29D6A"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Energy</w:t>
            </w:r>
          </w:p>
        </w:tc>
        <w:tc>
          <w:tcPr>
            <w:tcW w:w="1426" w:type="dxa"/>
          </w:tcPr>
          <w:p w14:paraId="281DD41C"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Grass-clover</w:t>
            </w:r>
          </w:p>
        </w:tc>
        <w:tc>
          <w:tcPr>
            <w:tcW w:w="1092" w:type="dxa"/>
          </w:tcPr>
          <w:p w14:paraId="1B5EFF87"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Primary</w:t>
            </w:r>
          </w:p>
          <w:p w14:paraId="267DB137"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(pilot-scale)</w:t>
            </w:r>
          </w:p>
        </w:tc>
        <w:tc>
          <w:tcPr>
            <w:tcW w:w="0" w:type="auto"/>
            <w:vMerge/>
          </w:tcPr>
          <w:p w14:paraId="3F045649" w14:textId="77777777" w:rsidR="00847C80" w:rsidRPr="006F3D27" w:rsidRDefault="00847C80" w:rsidP="003B36AF">
            <w:pPr>
              <w:cnfStyle w:val="000000000000" w:firstRow="0" w:lastRow="0" w:firstColumn="0" w:lastColumn="0" w:oddVBand="0" w:evenVBand="0" w:oddHBand="0" w:evenHBand="0" w:firstRowFirstColumn="0" w:firstRowLastColumn="0" w:lastRowFirstColumn="0" w:lastRowLastColumn="0"/>
              <w:rPr>
                <w:i/>
                <w:sz w:val="18"/>
                <w:szCs w:val="18"/>
              </w:rPr>
            </w:pPr>
          </w:p>
        </w:tc>
      </w:tr>
      <w:tr w:rsidR="00847C80" w:rsidRPr="006F3D27" w14:paraId="77CE9F70"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05" w:type="dxa"/>
          </w:tcPr>
          <w:p w14:paraId="500880F8" w14:textId="2AAAC86C" w:rsidR="00847C80" w:rsidRPr="006F3D27" w:rsidRDefault="00847C80" w:rsidP="00847C80">
            <w:pPr>
              <w:jc w:val="right"/>
              <w:rPr>
                <w:b w:val="0"/>
                <w:sz w:val="18"/>
                <w:szCs w:val="18"/>
              </w:rPr>
            </w:pPr>
            <w:r w:rsidRPr="006F3D27">
              <w:rPr>
                <w:b w:val="0"/>
                <w:sz w:val="18"/>
                <w:szCs w:val="18"/>
              </w:rPr>
              <w:t>Muneer et al., 2021</w:t>
            </w:r>
            <w:r w:rsidRPr="006F3D27">
              <w:rPr>
                <w:sz w:val="18"/>
                <w:szCs w:val="18"/>
              </w:rPr>
              <w:fldChar w:fldCharType="begin"/>
            </w:r>
            <w:r w:rsidR="005413B4">
              <w:rPr>
                <w:b w:val="0"/>
                <w:sz w:val="18"/>
                <w:szCs w:val="18"/>
              </w:rPr>
              <w:instrText xml:space="preserve"> ADDIN ZOTERO_ITEM CSL_CITATION {"citationID":"e974DsZm","properties":{"formattedCitation":"\\super 293\\nosupersub{}","plainCitation":"293","noteIndex":0},"citationItems":[{"id":5119,"uris":["http://zotero.org/users/6423791/items/6UZKFBBI"],"itemData":{"id":5119,"type":"article-journal","abstract":"Green biomass is a major potential source of proteins for food and feed. This pre-feasibility study evaluates the use of green biomass of buckwheat, phacelia, hemp and oilseed radish grown as intermediate crops (IC) as a feedstock for production of protein concentrates to produce protein-rich food and feed products. We investigated the biomass yield, protein concentration and protein recovery potential of non-fertilized IC, nitrogen-fertilized IC and IC intercropped with legumes, harvested in late summer to autumn during 2017 and 2018 in southern Sweden. In addition, economic assessment of potential protein and fibre feed and food products were evaluated. The results showed that IC fertilized with 40 kg ha-1 N and intercropping with legumes contributed to a higher biomass dry matter (DM) yield of 4.9-5.8 t ha-1 as compared to between 2.2-3.1 t ha-1 for non-fertilized IC. Intercropping with legumes also resulted in higher protein yield of 154 g kg-1 vs. 103 g kg-1 for non-fertilized IC. Among IC, hemp, phacelia and oilseed radish showed up to ca. 25% higher DM yield and up to ca. 70% higher protein concentration as compared to buckwheat. Higher DM yield was obtained when IC were harvested in October and November than in August and September. Economic assessment was made on two feasible protein production pathways; (A) Green and white proteins and (B) total recoverable combined protein fraction (CPF). For all IC, cost per t DM was higher in August due to lower biomass yield as compared to other harvesting months. Nitrogen concentration was the main factor determining the size of revenues. Nitrogen concentration was 34% higher in 2018 compared to 2017 and therefore resulted in higher revenues in that year. Intercropping resulted in higher protein content and therefore contributed to lower breakeven prices of recovered green proteins for all IC. Breakeven price analyses showed that green protein and CPF were economically feasible to market as both bulk and premium products depending on lower (≤2 € kg-1) or higher (2-10 € kg-1) price ranges, respectively. The results demonstrate that use of IC biomass could be a feasible option to produce high value protein-rich products, which can contribute extra income from IC for farmers.","container-title":"Journal of Cleaner Production","DOI":"10.1016/j.jclepro.2021.126304","ISSN":"0959-6526","journalAbbreviation":"J Clean Prod","language":"en","page":"126304","source":"ScienceDirect","title":"Economic viability of protein concentrate production from green biomass of intermediate crops: A pre-feasibility study","title-short":"Economic viability of protein concentrate production from green biomass of intermediate crops","author":[{"family":"Muneer","given":"Faraz"},{"family":"Hovmalm","given":"Helena Persson"},{"family":"Svensson","given":"Sven-Erik"},{"family":"Newson","given":"William R."},{"family":"Johansson","given":"Eva"},{"family":"Prade","given":"Thomas"}],"issued":{"date-parts":[["2021",2,9]]}}}],"schema":"https://github.com/citation-style-language/schema/raw/master/csl-citation.json"}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293</w:t>
            </w:r>
            <w:r w:rsidRPr="006F3D27">
              <w:rPr>
                <w:sz w:val="18"/>
                <w:szCs w:val="18"/>
              </w:rPr>
              <w:fldChar w:fldCharType="end"/>
            </w:r>
          </w:p>
        </w:tc>
        <w:tc>
          <w:tcPr>
            <w:tcW w:w="842" w:type="dxa"/>
          </w:tcPr>
          <w:p w14:paraId="71487C5D"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TEA</w:t>
            </w:r>
          </w:p>
        </w:tc>
        <w:tc>
          <w:tcPr>
            <w:tcW w:w="1426" w:type="dxa"/>
          </w:tcPr>
          <w:p w14:paraId="04D7E690"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Intermediate crops</w:t>
            </w:r>
          </w:p>
        </w:tc>
        <w:tc>
          <w:tcPr>
            <w:tcW w:w="1092" w:type="dxa"/>
          </w:tcPr>
          <w:p w14:paraId="69B4CFA4"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Secondary</w:t>
            </w:r>
          </w:p>
        </w:tc>
        <w:tc>
          <w:tcPr>
            <w:tcW w:w="0" w:type="auto"/>
          </w:tcPr>
          <w:p w14:paraId="588EC2A8" w14:textId="77777777" w:rsidR="00847C80" w:rsidRPr="006F3D27" w:rsidRDefault="00847C80" w:rsidP="003B36AF">
            <w:pPr>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t>Based on primary field data for intermediate crop system</w:t>
            </w:r>
          </w:p>
        </w:tc>
      </w:tr>
      <w:tr w:rsidR="00847C80" w:rsidRPr="006F3D27" w14:paraId="05E49BA7"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2405" w:type="dxa"/>
          </w:tcPr>
          <w:p w14:paraId="4CC787EB" w14:textId="356A1648" w:rsidR="00847C80" w:rsidRPr="006F3D27" w:rsidRDefault="00847C80" w:rsidP="00847C80">
            <w:pPr>
              <w:jc w:val="right"/>
              <w:rPr>
                <w:b w:val="0"/>
                <w:sz w:val="18"/>
                <w:szCs w:val="18"/>
              </w:rPr>
            </w:pPr>
            <w:r w:rsidRPr="006F3D27">
              <w:rPr>
                <w:b w:val="0"/>
                <w:sz w:val="18"/>
                <w:szCs w:val="18"/>
              </w:rPr>
              <w:t>Höltinger et al., 2013</w:t>
            </w:r>
            <w:r w:rsidRPr="006F3D27">
              <w:rPr>
                <w:sz w:val="18"/>
                <w:szCs w:val="18"/>
              </w:rPr>
              <w:fldChar w:fldCharType="begin"/>
            </w:r>
            <w:r w:rsidR="005413B4">
              <w:rPr>
                <w:b w:val="0"/>
                <w:sz w:val="18"/>
                <w:szCs w:val="18"/>
              </w:rPr>
              <w:instrText xml:space="preserve"> ADDIN ZOTERO_ITEM CSL_CITATION {"citationID":"tknyJ84R","properties":{"formattedCitation":"\\super 294\\nosupersub{}","plainCitation":"294","noteIndex":0},"citationItems":[{"id":11545,"uris":["http://zotero.org/users/6423791/items/WM4PTNTG"],"itemData":{"id":11545,"type":"article-journal","abstract":"Biorefineries are seen as a key component for the transition toward a resource-efficient, low-carbon bio-economy. The green biorefinery (GBR) concept is promoted in several countries to create business and employment opportunities in rural areas. It aims at providing alternative utilization pathways for surplus grassland areas by producing bioenergy, biomaterials, livestock feed, and organic acids. We have developed a spatially explicit, mixed integer programming model that maximizes total producer surpluses of GBR supply chains subject to resource endowments by selecting optimal plant locations and sizes. The model is applied to assess the economic viability of three GBR concepts compared to biogas plants. Impacts of uncertain model input parameters on model outputs are analyzed by Monte-Carlo simulations and regression analysis. The model results reveal that green biorefineries could utilize significantly more biomass than biogas plants, leading to higher regional feedstock prices. Furthermore, the Monte-Carlo simulation results demonstrate that the economic viability of green biorefineries mainly depends on the selected process layout and the prices of the main products. Under favorable market conditions GBRs are economically viable even without policy support measures with average profits between Ä15 and Ä115 t–1 feedstock input. © 2013 Society of Chemical Industry and John Wiley &amp; Sons, Ltd","container-title":"Biofuels, Bioproducts and Biorefining","DOI":"10.1002/bbb.1461","ISSN":"1932-1031","issue":"3","language":"en","note":"_eprint: https://onlinelibrary.wiley.com/doi/pdf/10.1002/bbb.1461","page":"325-341","source":"Wiley Online Library","title":"A spatially explicit techno-economic assessment of green biorefinery concepts","volume":"8","author":[{"family":"Höltinger","given":"Stefan"},{"family":"Schmidt","given":"Johannes"},{"family":"Schönhart","given":"Martin"},{"family":"Schmid","given":"Erwin"}],"issued":{"date-parts":[["2014"]]}}}],"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294</w:t>
            </w:r>
            <w:r w:rsidRPr="006F3D27">
              <w:rPr>
                <w:sz w:val="18"/>
                <w:szCs w:val="18"/>
              </w:rPr>
              <w:fldChar w:fldCharType="end"/>
            </w:r>
          </w:p>
        </w:tc>
        <w:tc>
          <w:tcPr>
            <w:tcW w:w="842" w:type="dxa"/>
          </w:tcPr>
          <w:p w14:paraId="1DB62282"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TEA</w:t>
            </w:r>
          </w:p>
        </w:tc>
        <w:tc>
          <w:tcPr>
            <w:tcW w:w="1426" w:type="dxa"/>
          </w:tcPr>
          <w:p w14:paraId="6F568A6C"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Grass silage</w:t>
            </w:r>
          </w:p>
        </w:tc>
        <w:tc>
          <w:tcPr>
            <w:tcW w:w="1092" w:type="dxa"/>
          </w:tcPr>
          <w:p w14:paraId="66095016"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Secondary</w:t>
            </w:r>
          </w:p>
        </w:tc>
        <w:tc>
          <w:tcPr>
            <w:tcW w:w="0" w:type="auto"/>
          </w:tcPr>
          <w:p w14:paraId="0E5249C4" w14:textId="6AD6DA00" w:rsidR="00847C80" w:rsidRPr="006F3D27" w:rsidRDefault="00847C80" w:rsidP="003B36AF">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 xml:space="preserve">Includes </w:t>
            </w:r>
            <w:r w:rsidR="003B36AF" w:rsidRPr="006F3D27">
              <w:rPr>
                <w:i/>
                <w:sz w:val="18"/>
                <w:szCs w:val="18"/>
              </w:rPr>
              <w:t>global sensitivity analysis</w:t>
            </w:r>
          </w:p>
        </w:tc>
      </w:tr>
      <w:tr w:rsidR="00847C80" w:rsidRPr="006F3D27" w14:paraId="6B15006C"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05" w:type="dxa"/>
          </w:tcPr>
          <w:p w14:paraId="2E341908" w14:textId="53C63F34" w:rsidR="00847C80" w:rsidRPr="006F3D27" w:rsidRDefault="00847C80" w:rsidP="00847C80">
            <w:pPr>
              <w:jc w:val="right"/>
              <w:rPr>
                <w:b w:val="0"/>
                <w:sz w:val="18"/>
                <w:szCs w:val="18"/>
              </w:rPr>
            </w:pPr>
            <w:r w:rsidRPr="006F3D27">
              <w:rPr>
                <w:b w:val="0"/>
                <w:sz w:val="18"/>
                <w:szCs w:val="18"/>
              </w:rPr>
              <w:t>O’Keeffe et al., 2010, 2011</w:t>
            </w:r>
            <w:r w:rsidRPr="006F3D27">
              <w:rPr>
                <w:sz w:val="18"/>
                <w:szCs w:val="18"/>
              </w:rPr>
              <w:fldChar w:fldCharType="begin"/>
            </w:r>
            <w:r w:rsidR="005413B4">
              <w:rPr>
                <w:b w:val="0"/>
                <w:sz w:val="18"/>
                <w:szCs w:val="18"/>
              </w:rPr>
              <w:instrText xml:space="preserve"> ADDIN ZOTERO_ITEM CSL_CITATION {"citationID":"1WAZ2puF","properties":{"formattedCitation":"\\super 295,296\\nosupersub{}","plainCitation":"295,296","noteIndex":0},"citationItems":[{"id":399,"uris":["http://zotero.org/users/6423791/items/VKZ573LE"],"itemData":{"id":399,"type":"article-journal","abstract":"Green bioreﬁnery” (GBR) could be an alternative option for using grassland biomass. GBR involves applying technology to chemically and physically fractionate (split) biomass such as grass and grass silage into marketable products. From the grass ﬁbre fraction insulation materials can be produced. From the grass juice fraction, proteinaceous products for animal feed and lactic acid (LA) for plastic production (polylactic acid e PLA) can be produced. This paper is the ﬁrst part in the analysis to develop a blueprint for a ﬁrst generation Irish GBR system. The focus of this paper is on the technical aspects of developing three GBR system models and subsequent scenario analyses. The three GBR system models were a combination of feedstock system and bioreﬁnery technology; Grass/silageebasic technology (GS), Silageebasic technology (S) and SilageeHigh Tech (AT). The models, which were integrated mass and energy balances, were then assessed at the three different input volumes, to generate nine scenarios. The scenarios which required further economic analysis in a companion paper to determine their overall feasibility (technical and economic) in the development of blueprint for a ﬁrst generation Irish GBR system were identiﬁed. From the technical analysis outlined in this paper six scenarios were identiﬁed which require further economic analysis. These were scenarios generated for the GS, S and AT GBR systems, at two input volume rates.","container-title":"Biomass and Bioenergy","DOI":"10.1016/j.biombioe.2011.06.017","ISSN":"09619534","issue":"11","journalAbbreviation":"Biomass Bioenergy.","language":"en","page":"4712-4723","source":"DOI.org (Crossref)","title":"I. Technical assessment for first generation green biorefinery (GBR) using mass and energy balances: Scenarios for an Irish GBR blueprint","title-short":"I. Technical assessment for first generation green biorefinery (GBR) using mass and energy balances","volume":"35","author":[{"family":"O’Keeffe","given":"S."},{"family":"Schulte","given":"R.P.O."},{"family":"Sanders","given":"J.P.M."},{"family":"Struik","given":"P.C."}],"issued":{"date-parts":[["2011",11]]}}},{"id":1583,"uris":["http://zotero.org/users/6423791/items/LMICSNI8"],"itemData":{"id":1583,"type":"article-journal","abstract":"Green biorefinery (GBR) is an alternative use of grassland biomass. GBR involves applying technology to chemically and physically fractionate (split) biomass such as grass and grass silage to produce marketable products. Three GBR system models were developed in a companion paper to determine, using scenario analysis, the most technically feasible scenario for the development of a blueprint Irish GBR system. The three GBR system models were a combination of feedstock system and biorefinery technology: Grass/silage – basic technology (GS), Silage – basic technology (S) and Silage – advanced technology (AT). The models were then assessed at different input volumes. The focus of this paper is on the development of the economic modelling component of the three GBR system models in order to identify which of the previously selected GBR scenarios is the most technically and economically viable to develop a blueprint for a first generation GBR. Six scenarios were assessed in this paper. The GS, S and AT GBR systems, at two input volume rates: medium volume and low volume. Additional scenario analyses were also carried out to investigate two possible production scenarios \"No Prot\" (fibre product only), and \"Prot\" (includes proteinaceous secondary product). Both the economic and technical scenario analyses of this paper and its companion paper suggest the most appropriate GBR systems for a first generation Irish blueprint are the combination of Silage feedstock – basic biorefinery technology (S), at the medium input volume and both \"Prot\" and \"No Prot\" systems.","container-title":"Biomass and Bioenergy","DOI":"10.1016/j.biombioe.2011.11.018","ISSN":"0961-9534","journalAbbreviation":"Biomass Bioenergy.","language":"en","page":"1-13","source":"ScienceDirect","title":"II. Economic assessment for first generation green biorefinery (GBR): Scenarios for an Irish GBR blueprint","title-short":"II. Economic assessment for first generation green biorefinery (GBR)","volume":"41","author":[{"family":"O’Keeffe","given":"S."},{"family":"Schulte","given":"R. P. O."},{"family":"Sanders","given":"J. P. M."},{"family":"Struik","given":"P. C."}],"issued":{"date-parts":[["2012",6,1]]}}}],"schema":"https://github.com/citation-style-language/schema/raw/master/csl-citation.json"}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295,296</w:t>
            </w:r>
            <w:r w:rsidRPr="006F3D27">
              <w:rPr>
                <w:sz w:val="18"/>
                <w:szCs w:val="18"/>
              </w:rPr>
              <w:fldChar w:fldCharType="end"/>
            </w:r>
          </w:p>
        </w:tc>
        <w:tc>
          <w:tcPr>
            <w:tcW w:w="842" w:type="dxa"/>
          </w:tcPr>
          <w:p w14:paraId="1FB106B3"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TEA</w:t>
            </w:r>
          </w:p>
        </w:tc>
        <w:tc>
          <w:tcPr>
            <w:tcW w:w="1426" w:type="dxa"/>
          </w:tcPr>
          <w:p w14:paraId="655ABCBE"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Grasslands</w:t>
            </w:r>
          </w:p>
        </w:tc>
        <w:tc>
          <w:tcPr>
            <w:tcW w:w="1092" w:type="dxa"/>
          </w:tcPr>
          <w:p w14:paraId="6507BC4F"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Secondary</w:t>
            </w:r>
          </w:p>
        </w:tc>
        <w:tc>
          <w:tcPr>
            <w:tcW w:w="0" w:type="auto"/>
          </w:tcPr>
          <w:p w14:paraId="74D00321" w14:textId="77777777" w:rsidR="00847C80" w:rsidRPr="006F3D27" w:rsidRDefault="00847C80" w:rsidP="003B36AF">
            <w:pPr>
              <w:cnfStyle w:val="000000100000" w:firstRow="0" w:lastRow="0" w:firstColumn="0" w:lastColumn="0" w:oddVBand="0" w:evenVBand="0" w:oddHBand="1" w:evenHBand="0" w:firstRowFirstColumn="0" w:firstRowLastColumn="0" w:lastRowFirstColumn="0" w:lastRowLastColumn="0"/>
              <w:rPr>
                <w:i/>
                <w:sz w:val="18"/>
                <w:szCs w:val="18"/>
              </w:rPr>
            </w:pPr>
            <w:r w:rsidRPr="006F3D27">
              <w:rPr>
                <w:i/>
                <w:sz w:val="18"/>
                <w:szCs w:val="18"/>
              </w:rPr>
              <w:t>GB business model assessment</w:t>
            </w:r>
          </w:p>
        </w:tc>
      </w:tr>
      <w:tr w:rsidR="00847C80" w:rsidRPr="006F3D27" w14:paraId="61BF4924" w14:textId="77777777" w:rsidTr="006F3D27">
        <w:trPr>
          <w:trHeight w:val="47"/>
          <w:jc w:val="center"/>
        </w:trPr>
        <w:tc>
          <w:tcPr>
            <w:cnfStyle w:val="001000000000" w:firstRow="0" w:lastRow="0" w:firstColumn="1" w:lastColumn="0" w:oddVBand="0" w:evenVBand="0" w:oddHBand="0" w:evenHBand="0" w:firstRowFirstColumn="0" w:firstRowLastColumn="0" w:lastRowFirstColumn="0" w:lastRowLastColumn="0"/>
            <w:tcW w:w="2405" w:type="dxa"/>
          </w:tcPr>
          <w:p w14:paraId="1FBE1DC2" w14:textId="2A803796" w:rsidR="00847C80" w:rsidRPr="006F3D27" w:rsidRDefault="00847C80" w:rsidP="00847C80">
            <w:pPr>
              <w:jc w:val="right"/>
              <w:rPr>
                <w:b w:val="0"/>
                <w:sz w:val="18"/>
                <w:szCs w:val="18"/>
              </w:rPr>
            </w:pPr>
            <w:r w:rsidRPr="006F3D27">
              <w:rPr>
                <w:b w:val="0"/>
                <w:sz w:val="18"/>
                <w:szCs w:val="18"/>
              </w:rPr>
              <w:t>Tampio et al., 2019</w:t>
            </w:r>
            <w:r w:rsidRPr="006F3D27">
              <w:rPr>
                <w:sz w:val="18"/>
                <w:szCs w:val="18"/>
              </w:rPr>
              <w:fldChar w:fldCharType="begin"/>
            </w:r>
            <w:r w:rsidR="005413B4">
              <w:rPr>
                <w:b w:val="0"/>
                <w:sz w:val="18"/>
                <w:szCs w:val="18"/>
              </w:rPr>
              <w:instrText xml:space="preserve"> ADDIN ZOTERO_ITEM CSL_CITATION {"citationID":"mTN5myky","properties":{"formattedCitation":"\\super 297\\nosupersub{}","plainCitation":"297","noteIndex":0},"citationItems":[{"id":10929,"uris":["http://zotero.org/users/6423791/items/FW7B9ND7"],"itemData":{"id":10929,"type":"article-journal","abstract":"This study assessed the nutrient flows and the economic viability of a farm-scale grass biorefinery concept for a pig farm. Grass silage was separated into liquid and solid fractions; the liquid fraction was used as pig feed and the solid fraction was directed to biogas production together with pig slurry. The addition of grass to the farm's crop rotation and its use in feed and biogas production slightly increased the share of nitrogen (N) circulating within the farm (by 2%), thus decreasing phosphorus circulation by 3%. Despite the positive effect on N balance, the economy of the farm-scale concept had challenges. However, upgrading biogas to vehicle fuel and selling it on farm was more economically viable than combined heat and power production. The proposed concept could be economically viable with a slight increase in the price of vehicle fuel, a moderate increase in the price of the grass liquid fraction, or better optimization of the system, starting with grass cultivation and processing. Moreover, profitable production could also be reached by increasing the scale of production by increasing farm size or by two or more farms working together.","container-title":"Water Science and Technology","DOI":"10.2166/wst.2019.356","ISSN":"0273-1223","issue":"6","journalAbbreviation":"Water Science and Technology","page":"1042-1052","source":"Silverchair","title":"A farm-scale grass biorefinery concept for combined pig feed and biogas production","volume":"80","author":[{"family":"Tampio","given":"Elina"},{"family":"Winquist","given":"Erika"},{"family":"Luostarinen","given":"Sari"},{"family":"Rinne","given":"Marketta"}],"issued":{"date-parts":[["2019",10,29]]}}}],"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297</w:t>
            </w:r>
            <w:r w:rsidRPr="006F3D27">
              <w:rPr>
                <w:sz w:val="18"/>
                <w:szCs w:val="18"/>
              </w:rPr>
              <w:fldChar w:fldCharType="end"/>
            </w:r>
          </w:p>
        </w:tc>
        <w:tc>
          <w:tcPr>
            <w:tcW w:w="842" w:type="dxa"/>
          </w:tcPr>
          <w:p w14:paraId="5B884BF4"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TEA</w:t>
            </w:r>
          </w:p>
        </w:tc>
        <w:tc>
          <w:tcPr>
            <w:tcW w:w="1426" w:type="dxa"/>
          </w:tcPr>
          <w:p w14:paraId="16D6BD7D"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Grass silage</w:t>
            </w:r>
          </w:p>
        </w:tc>
        <w:tc>
          <w:tcPr>
            <w:tcW w:w="1092" w:type="dxa"/>
          </w:tcPr>
          <w:p w14:paraId="473022D3"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Secondary</w:t>
            </w:r>
          </w:p>
        </w:tc>
        <w:tc>
          <w:tcPr>
            <w:tcW w:w="0" w:type="auto"/>
          </w:tcPr>
          <w:p w14:paraId="1CB4DE42" w14:textId="77777777" w:rsidR="00847C80" w:rsidRPr="006F3D27" w:rsidRDefault="00847C80" w:rsidP="003B36AF">
            <w:pPr>
              <w:cnfStyle w:val="000000000000" w:firstRow="0" w:lastRow="0" w:firstColumn="0" w:lastColumn="0" w:oddVBand="0" w:evenVBand="0" w:oddHBand="0" w:evenHBand="0" w:firstRowFirstColumn="0" w:firstRowLastColumn="0" w:lastRowFirstColumn="0" w:lastRowLastColumn="0"/>
              <w:rPr>
                <w:i/>
                <w:sz w:val="18"/>
                <w:szCs w:val="18"/>
              </w:rPr>
            </w:pPr>
            <w:r w:rsidRPr="006F3D27">
              <w:rPr>
                <w:i/>
                <w:sz w:val="18"/>
                <w:szCs w:val="18"/>
              </w:rPr>
              <w:t>GB (juice stage only) with pig production</w:t>
            </w:r>
          </w:p>
        </w:tc>
      </w:tr>
      <w:tr w:rsidR="005002CD" w:rsidRPr="006F3D27" w14:paraId="2D23021B" w14:textId="77777777" w:rsidTr="006F3D27">
        <w:trPr>
          <w:cnfStyle w:val="000000100000" w:firstRow="0" w:lastRow="0" w:firstColumn="0" w:lastColumn="0" w:oddVBand="0" w:evenVBand="0" w:oddHBand="1" w:evenHBand="0" w:firstRowFirstColumn="0" w:firstRowLastColumn="0" w:lastRowFirstColumn="0" w:lastRowLastColumn="0"/>
          <w:trHeight w:val="47"/>
          <w:jc w:val="center"/>
        </w:trPr>
        <w:tc>
          <w:tcPr>
            <w:cnfStyle w:val="001000000000" w:firstRow="0" w:lastRow="0" w:firstColumn="1" w:lastColumn="0" w:oddVBand="0" w:evenVBand="0" w:oddHBand="0" w:evenHBand="0" w:firstRowFirstColumn="0" w:firstRowLastColumn="0" w:lastRowFirstColumn="0" w:lastRowLastColumn="0"/>
            <w:tcW w:w="2405" w:type="dxa"/>
          </w:tcPr>
          <w:p w14:paraId="1FC8CEC4" w14:textId="6700EF76" w:rsidR="005002CD" w:rsidRPr="005002CD" w:rsidRDefault="005002CD" w:rsidP="00847C80">
            <w:pPr>
              <w:jc w:val="right"/>
              <w:rPr>
                <w:b w:val="0"/>
                <w:sz w:val="18"/>
                <w:szCs w:val="18"/>
              </w:rPr>
            </w:pPr>
            <w:r w:rsidRPr="005002CD">
              <w:rPr>
                <w:b w:val="0"/>
                <w:sz w:val="18"/>
                <w:szCs w:val="18"/>
              </w:rPr>
              <w:t>Ch</w:t>
            </w:r>
            <w:r>
              <w:rPr>
                <w:b w:val="0"/>
                <w:sz w:val="18"/>
                <w:szCs w:val="18"/>
              </w:rPr>
              <w:t>a</w:t>
            </w:r>
            <w:r w:rsidRPr="005002CD">
              <w:rPr>
                <w:b w:val="0"/>
                <w:sz w:val="18"/>
                <w:szCs w:val="18"/>
              </w:rPr>
              <w:t>n et al., 2024</w:t>
            </w:r>
            <w:r w:rsidRPr="005002CD">
              <w:rPr>
                <w:sz w:val="18"/>
                <w:szCs w:val="18"/>
              </w:rPr>
              <w:fldChar w:fldCharType="begin"/>
            </w:r>
            <w:r w:rsidR="005413B4">
              <w:rPr>
                <w:b w:val="0"/>
                <w:sz w:val="18"/>
                <w:szCs w:val="18"/>
              </w:rPr>
              <w:instrText xml:space="preserve"> ADDIN ZOTERO_ITEM CSL_CITATION {"citationID":"a2kcvkccnl2","properties":{"formattedCitation":"\\super 298\\nosupersub{}","plainCitation":"298","noteIndex":0},"citationItems":[{"id":14307,"uris":["http://zotero.org/users/6423791/items/85QGNS6L"],"itemData":{"id":14307,"type":"article-journal","container-title":"Science of The Total Environment","DOI":"10.1016/j.scitotenv.2023.167943","ISSN":"00489697","journalAbbreviation":"Science of The Total Environment","language":"en","page":"167943","source":"DOI.org (Crossref)","title":"Environmental impacts of a novel biorefinery platform integrated with power-to-protein technology to decrease dependencies on soybean imports","volume":"907","author":[{"family":"Chan","given":"Shealtiel William S."},{"family":"Marami","given":"Hadis"},{"family":"Tayo","given":"Lemmuel L."},{"family":"Fog","given":"Erik"},{"family":"Andrade","given":"Thalles A."},{"family":"Ambye-Jensen","given":"Morten"},{"family":"Birkved","given":"Morten"},{"family":"Khoshnevisan","given":"Benyamin"}],"issued":{"date-parts":[["2024",1]]}}}],"schema":"https://github.com/citation-style-language/schema/raw/master/csl-citation.json"} </w:instrText>
            </w:r>
            <w:r w:rsidRPr="005002CD">
              <w:rPr>
                <w:sz w:val="18"/>
                <w:szCs w:val="18"/>
              </w:rPr>
              <w:fldChar w:fldCharType="separate"/>
            </w:r>
            <w:r w:rsidR="005413B4" w:rsidRPr="005413B4">
              <w:rPr>
                <w:rFonts w:ascii="Calibri" w:hAnsi="Calibri" w:cs="Calibri"/>
                <w:sz w:val="18"/>
                <w:szCs w:val="24"/>
                <w:vertAlign w:val="superscript"/>
              </w:rPr>
              <w:t>298</w:t>
            </w:r>
            <w:r w:rsidRPr="005002CD">
              <w:rPr>
                <w:sz w:val="18"/>
                <w:szCs w:val="18"/>
              </w:rPr>
              <w:fldChar w:fldCharType="end"/>
            </w:r>
          </w:p>
        </w:tc>
        <w:tc>
          <w:tcPr>
            <w:tcW w:w="842" w:type="dxa"/>
          </w:tcPr>
          <w:p w14:paraId="75B0E7C7" w14:textId="4F63FE1F" w:rsidR="005002CD" w:rsidRPr="006F3D27" w:rsidRDefault="005002CD" w:rsidP="00847C80">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cLCA</w:t>
            </w:r>
          </w:p>
        </w:tc>
        <w:tc>
          <w:tcPr>
            <w:tcW w:w="1426" w:type="dxa"/>
          </w:tcPr>
          <w:p w14:paraId="1EB8AE70" w14:textId="3189DB8C" w:rsidR="005002CD" w:rsidRPr="006F3D27" w:rsidRDefault="005002CD" w:rsidP="00847C80">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Grass</w:t>
            </w:r>
          </w:p>
        </w:tc>
        <w:tc>
          <w:tcPr>
            <w:tcW w:w="1092" w:type="dxa"/>
          </w:tcPr>
          <w:p w14:paraId="2E08BCF4" w14:textId="37F3C975" w:rsidR="005002CD" w:rsidRPr="006F3D27" w:rsidRDefault="005002CD" w:rsidP="00847C80">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Secondary</w:t>
            </w:r>
          </w:p>
        </w:tc>
        <w:tc>
          <w:tcPr>
            <w:tcW w:w="0" w:type="auto"/>
          </w:tcPr>
          <w:p w14:paraId="2045B44F" w14:textId="412E68B6" w:rsidR="005002CD" w:rsidRPr="006F3D27" w:rsidRDefault="005002CD" w:rsidP="003B36AF">
            <w:pPr>
              <w:cnfStyle w:val="000000100000" w:firstRow="0" w:lastRow="0" w:firstColumn="0" w:lastColumn="0" w:oddVBand="0" w:evenVBand="0" w:oddHBand="1" w:evenHBand="0" w:firstRowFirstColumn="0" w:firstRowLastColumn="0" w:lastRowFirstColumn="0" w:lastRowLastColumn="0"/>
              <w:rPr>
                <w:i/>
                <w:sz w:val="18"/>
                <w:szCs w:val="18"/>
              </w:rPr>
            </w:pPr>
            <w:r>
              <w:rPr>
                <w:i/>
                <w:sz w:val="18"/>
                <w:szCs w:val="18"/>
              </w:rPr>
              <w:t>Combination of GB with power-to-X</w:t>
            </w:r>
          </w:p>
        </w:tc>
      </w:tr>
      <w:tr w:rsidR="009F5743" w:rsidRPr="006F3D27" w14:paraId="44F942FF" w14:textId="77777777" w:rsidTr="006F3D27">
        <w:trPr>
          <w:trHeight w:val="47"/>
          <w:jc w:val="center"/>
        </w:trPr>
        <w:tc>
          <w:tcPr>
            <w:cnfStyle w:val="001000000000" w:firstRow="0" w:lastRow="0" w:firstColumn="1" w:lastColumn="0" w:oddVBand="0" w:evenVBand="0" w:oddHBand="0" w:evenHBand="0" w:firstRowFirstColumn="0" w:firstRowLastColumn="0" w:lastRowFirstColumn="0" w:lastRowLastColumn="0"/>
            <w:tcW w:w="2405" w:type="dxa"/>
          </w:tcPr>
          <w:p w14:paraId="6A7B33E1" w14:textId="7EC1B48A" w:rsidR="009F5743" w:rsidRPr="005002CD" w:rsidRDefault="009943DB" w:rsidP="00847C80">
            <w:pPr>
              <w:jc w:val="right"/>
              <w:rPr>
                <w:b w:val="0"/>
                <w:sz w:val="18"/>
                <w:szCs w:val="18"/>
              </w:rPr>
            </w:pPr>
            <w:r>
              <w:rPr>
                <w:b w:val="0"/>
                <w:sz w:val="18"/>
                <w:szCs w:val="18"/>
              </w:rPr>
              <w:t>Thiébeau et al., 2023</w:t>
            </w:r>
            <w:r w:rsidRPr="009943DB">
              <w:rPr>
                <w:sz w:val="18"/>
                <w:szCs w:val="18"/>
              </w:rPr>
              <w:fldChar w:fldCharType="begin"/>
            </w:r>
            <w:r w:rsidR="005413B4">
              <w:rPr>
                <w:b w:val="0"/>
                <w:sz w:val="18"/>
                <w:szCs w:val="18"/>
              </w:rPr>
              <w:instrText xml:space="preserve"> ADDIN ZOTERO_ITEM CSL_CITATION {"citationID":"a14rb90g126","properties":{"formattedCitation":"\\super 299\\nosupersub{}","plainCitation":"299","noteIndex":0},"citationItems":[{"id":14344,"uris":["http://zotero.org/users/6423791/items/427RT3UH"],"itemData":{"id":14344,"type":"article-journal","abstract":"The production of dehydrated alfalfa for animal feed requires substantial energy-consuming processes, which raises questions about the environmental sustainability of this sector; less energy-intensive processes and a transition to renewable energy are needed. In this study, we quantified the environmental footprint of dehydrated alfalfa production in France and its evolution over time using data collected over two periods (2006–2009 and 2016 to 2019). This study was based on twelve production units spread throughout the main alfalfa production areas in France, which represent more than 50% of the national production of dehydrated alfalfa. A life cycle assessment was performed for the three steps of this production: production in the field, transportation from the field to the factory and the dehydration process. The results showed that the adaptation and renewal of the production tools between the two time periods allowed a reduction in the consumption of nonrenewable energy per ton of dehydrated alfalfa: lignite and coal decreased from an average of 352.3 kg t−1 dehydrated alfalfa in 2006–2007 to an average of 100.6 kg t−1 dehydrated alfalfa in 2018–2019. At the same time, the introduction of biomass as an energy source represented 127.4 kg biomass t−1 dehydrated alfalfa in 2018–2019. The decrease in the moisture content of fodder due to climate change and a longer time in the field before plant transport also significantly decreased the energy needed for dehydration at the factory level. Consequently, the French production sector reduced its impact on the “climate change” impact category from 1.150 kg CO2-eq. kg−1 dry matter of dehydrated alfalfa (first period) to 0.494 kg CO2-eq. kg−1 dry matter of dehydrated alfalfa (second period). Among the eight environmental impact categories studied, only the “land competition” criterion increased from 0.840 to 1.222 m2.y between the two periods due to the substitution of fossil energies with renewable energies from wood and energy crops.","container-title":"Journal of Cleaner Production","DOI":"10.1016/j.jclepro.2023.138704","ISSN":"0959-6526","journalAbbreviation":"Journal of Cleaner Production","page":"138704","source":"ScienceDirect","title":"Environmental footprint of dehydrated alfalfa production (Medicago sativa L.) in France","volume":"423","author":[{"family":"Thiébeau","given":"Pascal"},{"family":"Auberger","given":"Julie"},{"family":"Clivot","given":"Hugues"},{"family":"Wilfart","given":"Aurélie"},{"family":"Recous","given":"Sylvie"}],"issued":{"date-parts":[["2023",10,15]]}}}],"schema":"https://github.com/citation-style-language/schema/raw/master/csl-citation.json"} </w:instrText>
            </w:r>
            <w:r w:rsidRPr="009943DB">
              <w:rPr>
                <w:sz w:val="18"/>
                <w:szCs w:val="18"/>
              </w:rPr>
              <w:fldChar w:fldCharType="separate"/>
            </w:r>
            <w:r w:rsidR="005413B4" w:rsidRPr="005413B4">
              <w:rPr>
                <w:rFonts w:ascii="Calibri" w:hAnsi="Calibri" w:cs="Calibri"/>
                <w:sz w:val="18"/>
                <w:szCs w:val="24"/>
                <w:vertAlign w:val="superscript"/>
              </w:rPr>
              <w:t>299</w:t>
            </w:r>
            <w:r w:rsidRPr="009943DB">
              <w:rPr>
                <w:sz w:val="18"/>
                <w:szCs w:val="18"/>
              </w:rPr>
              <w:fldChar w:fldCharType="end"/>
            </w:r>
          </w:p>
        </w:tc>
        <w:tc>
          <w:tcPr>
            <w:tcW w:w="842" w:type="dxa"/>
          </w:tcPr>
          <w:p w14:paraId="1382417E" w14:textId="37509BE1" w:rsidR="009F5743" w:rsidRDefault="009943DB" w:rsidP="00847C8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aLCA</w:t>
            </w:r>
          </w:p>
        </w:tc>
        <w:tc>
          <w:tcPr>
            <w:tcW w:w="1426" w:type="dxa"/>
          </w:tcPr>
          <w:p w14:paraId="071730D4" w14:textId="7FBEA88E" w:rsidR="009F5743" w:rsidRDefault="009943DB" w:rsidP="00847C8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Alfalfa</w:t>
            </w:r>
          </w:p>
        </w:tc>
        <w:tc>
          <w:tcPr>
            <w:tcW w:w="1092" w:type="dxa"/>
          </w:tcPr>
          <w:p w14:paraId="1FB8F562" w14:textId="0E4A364E" w:rsidR="009F5743" w:rsidRDefault="009943DB" w:rsidP="00847C80">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Primary (industry)</w:t>
            </w:r>
          </w:p>
        </w:tc>
        <w:tc>
          <w:tcPr>
            <w:tcW w:w="0" w:type="auto"/>
          </w:tcPr>
          <w:p w14:paraId="15AA6534" w14:textId="2D915A19" w:rsidR="009F5743" w:rsidRDefault="009943DB" w:rsidP="003B36AF">
            <w:pPr>
              <w:cnfStyle w:val="000000000000" w:firstRow="0" w:lastRow="0" w:firstColumn="0" w:lastColumn="0" w:oddVBand="0" w:evenVBand="0" w:oddHBand="0" w:evenHBand="0" w:firstRowFirstColumn="0" w:firstRowLastColumn="0" w:lastRowFirstColumn="0" w:lastRowLastColumn="0"/>
              <w:rPr>
                <w:i/>
                <w:sz w:val="18"/>
                <w:szCs w:val="18"/>
              </w:rPr>
            </w:pPr>
            <w:r>
              <w:rPr>
                <w:i/>
                <w:sz w:val="18"/>
                <w:szCs w:val="18"/>
              </w:rPr>
              <w:t xml:space="preserve">Key performance indicators of alfalfa </w:t>
            </w:r>
            <w:r w:rsidR="00D150D0">
              <w:rPr>
                <w:i/>
                <w:sz w:val="18"/>
                <w:szCs w:val="18"/>
              </w:rPr>
              <w:t>concentrate</w:t>
            </w:r>
            <w:r>
              <w:rPr>
                <w:i/>
                <w:sz w:val="18"/>
                <w:szCs w:val="18"/>
              </w:rPr>
              <w:t xml:space="preserve"> production in France.</w:t>
            </w:r>
          </w:p>
        </w:tc>
      </w:tr>
    </w:tbl>
    <w:p w14:paraId="0265C8A4" w14:textId="77777777" w:rsidR="00847C80" w:rsidRDefault="00847C80" w:rsidP="00942782">
      <w:pPr>
        <w:rPr>
          <w:sz w:val="18"/>
        </w:rPr>
      </w:pPr>
      <w:r w:rsidRPr="003F5DA8">
        <w:rPr>
          <w:sz w:val="18"/>
        </w:rPr>
        <w:t>cLCA: consequential LCA, aLCA: attributional LCA, TEA: Techno-economic analaysis</w:t>
      </w:r>
    </w:p>
    <w:p w14:paraId="7668A82D" w14:textId="01FCFB36" w:rsidR="00847C80" w:rsidRDefault="002C2BEE" w:rsidP="003B36AF">
      <w:pPr>
        <w:jc w:val="both"/>
      </w:pPr>
      <w:r w:rsidRPr="008F2922">
        <w:t xml:space="preserve">Maximizing proteins recovery yield for nutritional purposes was selected as the main driver for technology and set-up selections, which is in-line with business development assessments </w:t>
      </w:r>
      <w:r w:rsidRPr="008F2922">
        <w:fldChar w:fldCharType="begin"/>
      </w:r>
      <w:r w:rsidR="00991F7C">
        <w:instrText xml:space="preserve"> ADDIN ZOTERO_ITEM CSL_CITATION {"citationID":"pzG37eRr","properties":{"formattedCitation":"\\super 272,290,296,300\\nosupersub{}","plainCitation":"272,290,296,300","noteIndex":0},"citationItems":[{"id":392,"uris":["http://zotero.org/users/6423791/items/P3739BFG"],"itemData":{"id":392,"type":"article-journal","abstract":"The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Zwicky"},{"family":"Birkved","given":"Morten"}],"issued":{"date-parts":[["2018",9]]}}},{"id":9255,"uris":["http://zotero.org/users/6423791/items/9EZA9MQK"],"itemData":{"id":9255,"type":"article-journal","abstract":"Large-scale processing of leaves for food applications requires quick processing or stabilisation to avoid perishability, due to the high moisture content in this biomass. Leaf perishability is compounded by the seasonal availability of crops, like sugar beet plants, of which the leaves are regarded as a potential protein source. This study evaluates the resource efficiency of a hypothetical sugar beet leaf processing chain by comparing supply chain options. First, two options consider leaf processing with and without stabilising the leaves by freezing. Then, these two options are considered in a centralised and decentralised process configuration. The latter places leaf freezing and pressing at the farm and further processes occur at a central facility. Energy usage and exergy consumption were used to quantify the thermodynamic performance of the processing options. Freezing has negligible effect on the process-ability of the leaves in terms of protein content and protein yield. The overall resource efficiency of the process was dominated by the amount of leaf material effectively used, which stresses the importance of full use of all (side-)streams. This outcome also explains the limited additional energy requirements for freezing. Exergetic indicators were affected by variations on the dry matter content of the starting biomass, compared to a negligible effect of other parameters (equipment scale, efficiency or energy use). Transportation load and soil quality were also discussed for the centralised and decentralised configurations. On-farm processing of the leaves (decentralised chain) clearly reduces the transportation load due to the large difference in bulk densities of leaves (73 kg/m3) and leaf juice (1000 kg/m3). Additionally, decentralised scenarios enable direct returning of the leaf pulp to the soil and thereby improving soil quality (i.e. nutrient retention and fertility). Soil quality is required to fully assess the use of biomass that is currently regarded as waste, but that actually plays a role in soil fertility. Therefore, the preferred chain configuration would be a decentralised system where the leaves are directly pressed at the farm, the pulp is used to fertilise the soil, and the leaf juice is chilled transported to a centralised factory.","container-title":"Journal of Cleaner Production","DOI":"10.1016/j.jclepro.2017.06.248","ISSN":"0959-6526","journalAbbreviation":"J. Clean. Prod.","language":"en","page":"736-748","source":"ScienceDirect","title":"Processing concepts for the use of green leaves as raw materials for the food industry","volume":"164","author":[{"family":"Tamayo Tenorio","given":"A."},{"family":"Schreuders","given":"F. K. G."},{"family":"Zisopoulos","given":"F. K."},{"family":"Boom","given":"R. M."},{"family":"Goot","given":"A. J.","non-dropping-particle":"van der"}],"issued":{"date-parts":[["2017",10,15]]}}},{"id":1583,"uris":["http://zotero.org/users/6423791/items/LMICSNI8"],"itemData":{"id":1583,"type":"article-journal","abstract":"Green biorefinery (GBR) is an alternative use of grassland biomass. GBR involves applying technology to chemically and physically fractionate (split) biomass such as grass and grass silage to produce marketable products. Three GBR system models were developed in a companion paper to determine, using scenario analysis, the most technically feasible scenario for the development of a blueprint Irish GBR system. The three GBR system models were a combination of feedstock system and biorefinery technology: Grass/silage – basic technology (GS), Silage – basic technology (S) and Silage – advanced technology (AT). The models were then assessed at different input volumes. The focus of this paper is on the development of the economic modelling component of the three GBR system models in order to identify which of the previously selected GBR scenarios is the most technically and economically viable to develop a blueprint for a first generation GBR. Six scenarios were assessed in this paper. The GS, S and AT GBR systems, at two input volume rates: medium volume and low volume. Additional scenario analyses were also carried out to investigate two possible production scenarios \"No Prot\" (fibre product only), and \"Prot\" (includes proteinaceous secondary product). Both the economic and technical scenario analyses of this paper and its companion paper suggest the most appropriate GBR systems for a first generation Irish blueprint are the combination of Silage feedstock – basic biorefinery technology (S), at the medium input volume and both \"Prot\" and \"No Prot\" systems.","container-title":"Biomass and Bioenergy","DOI":"10.1016/j.biombioe.2011.11.018","ISSN":"0961-9534","journalAbbreviation":"Biomass Bioenergy.","language":"en","page":"1-13","source":"ScienceDirect","title":"II. Economic assessment for first generation green biorefinery (GBR): Scenarios for an Irish GBR blueprint","title-short":"II. Economic assessment for first generation green biorefinery (GBR)","volume":"41","author":[{"family":"O’Keeffe","given":"S."},{"family":"Schulte","given":"R. P. O."},{"family":"Sanders","given":"J. P. M."},{"family":"Struik","given":"P. C."}],"issued":{"date-parts":[["2012",6,1]]}}},{"id":10765,"uris":["http://zotero.org/users/6423791/items/9ZF4ICXB"],"itemData":{"id":10765,"type":"article-journal","container-title":"Computers &amp; Chemical Engineering","DOI":"10.1016/j.compchemeng.2016.03.030","ISSN":"00981354","journalAbbreviation":"Comput Chem Eng .","language":"en","page":"257-268","source":"DOI.org (Crossref)","title":"Using product driven process synthesis in the biorefinery","volume":"91","author":[{"family":"Kiskini","given":"Alexandra"},{"family":"Zondervan","given":"Edwin"},{"family":"Wierenga","given":"Peter Alexander"},{"family":"Poiesz","given":"Edwin"},{"family":"Gruppen","given":"Harry"}],"issued":{"date-parts":[["2016",8]]}}}],"schema":"https://github.com/citation-style-language/schema/raw/master/csl-citation.json"} </w:instrText>
      </w:r>
      <w:r w:rsidRPr="008F2922">
        <w:fldChar w:fldCharType="separate"/>
      </w:r>
      <w:r w:rsidR="00991F7C" w:rsidRPr="00991F7C">
        <w:rPr>
          <w:rFonts w:ascii="Calibri" w:hAnsi="Calibri" w:cs="Calibri"/>
          <w:szCs w:val="24"/>
          <w:vertAlign w:val="superscript"/>
        </w:rPr>
        <w:t>272,290,296,300</w:t>
      </w:r>
      <w:r w:rsidRPr="008F2922">
        <w:fldChar w:fldCharType="end"/>
      </w:r>
      <w:r>
        <w:t xml:space="preserve">. </w:t>
      </w:r>
      <w:r w:rsidR="003B36AF">
        <w:t xml:space="preserve">Only the recovery of feed-grade LCP was considered, </w:t>
      </w:r>
      <w:r w:rsidR="00847C80">
        <w:t>food-grade ingredients production from residual streams was discarded. This is because this approach primarily targets primary green crops (e.g. alfalfa), as the concentration, purification and isolation of food-grade fractions are more easily implementable on already food-grade biomasses</w:t>
      </w:r>
      <w:r w:rsidR="00847C80">
        <w:fldChar w:fldCharType="begin"/>
      </w:r>
      <w:r w:rsidR="00991F7C">
        <w:instrText xml:space="preserve"> ADDIN ZOTERO_ITEM CSL_CITATION {"citationID":"1O7YAjOC","properties":{"formattedCitation":"\\super 301,302\\nosupersub{}","plainCitation":"301,302","noteIndex":0},"citationItems":[{"id":13858,"uris":["http://zotero.org/users/6423791/items/RZKG6EY7"],"itemData":{"id":13858,"type":"article-journal","abstract":"Alfalfa has a high potential as a novel food protein and can contribute to meet the increasing food demand. To facilitate food grade quality, protein extraction is essential. In this study, different extractions with isoelectric focusing the protein were compared; acid precipitation (citric and lactic acids) and fermentation (endogenous and Lactobacillus salivarius). Acid precipitation resulted in the highest protein recovery (30 %) compared with L. salivarius and endogenous fermentation. The protein ribulose-1.5-bisphosphate carboxylase/oxygenase (RuBisCO) was found intact and in high concentrations in acid precipitated samples. With L. salivarius, a higher content of peptides and possible cross-linked proteins were discovered. However, for both extractions, the amino acid composition showed a promising distribution meeting the recommendation of the Food and Agriculture Organization (FAO). Overall, these results indicate that protein extracts obtained with acid precipitation might be more appropriate as a food ingredient, whereas fermented products might have potential as food supplement.","container-title":"Bioresource Technology Reports","DOI":"10.1016/j.biteb.2022.101190","ISSN":"2589-014X","journalAbbreviation":"Bioresource Technology Reports","language":"en","page":"101190","source":"ScienceDirect","title":"Protein recovery and quality of alfalfa extracts obtained by acid precipitation and fermentation","volume":"19","author":[{"family":"Nissen","given":"Signe Hjerrild"},{"family":"Lübeck","given":"Mette"},{"family":"Møller","given":"Anders Hauer"},{"family":"Dalsgaard","given":"Trine Kastrup"}],"issued":{"date-parts":[["2022",9,1]]}}},{"id":13534,"uris":["http://zotero.org/users/6423791/items/WQWZEDXS"],"itemData":{"id":13534,"type":"article-journal","abstract":"There is an increasing need to explore alternative sources of proteins for food applications. Green leaves contain high levels of the enzyme RuBisCO, representing a source of protein with good functional and nutritional properties. However, the optimal conditions for extraction and purification of RuBisCO at a large scale have not yet been defined. This review discusses the main factors affecting the extraction of proteins from green leaves, from plant composition in terms of protein content and other compounds that affect the yield and quality of extractable protein, to the essential steps and challenges faced during extraction and purification, including considerations for achieving food-grade ingredient status. There are some key factors to consider when developing a protein concentrate for human consumption. The first step is the selection of an optimal raw material; plant tissues are complex matrices that require thorough characterization, including non-protein nitrogen and other undesirable compounds. The effect of the extraction and purification process on functionality, oxidation and proteolytic stability should also be considered. Moreover, the appropriate removal of undesired compounds must be considered to obtain plant protein concentrates suitable for food products.","container-title":"Food Hydrocolloids","DOI":"10.1016/j.foodhyd.2022.107902","ISSN":"0268-005X","journalAbbreviation":"Food Hydrocolloids","language":"en","page":"107902","source":"ScienceDirect","title":"Extraction of plant protein from green leaves: Biomass composition and processing considerations","title-short":"Extraction of plant protein from green leaves","author":[{"family":"Pérez-Vila","given":"Sara"},{"family":"Fenelon","given":"Mark A."},{"family":"O'Mahony","given":"James A."},{"family":"Gómez-Mascaraque","given":"Laura G."}],"issued":{"date-parts":[["2022",6,30]]}}}],"schema":"https://github.com/citation-style-language/schema/raw/master/csl-citation.json"} </w:instrText>
      </w:r>
      <w:r w:rsidR="00847C80">
        <w:fldChar w:fldCharType="separate"/>
      </w:r>
      <w:r w:rsidR="00991F7C" w:rsidRPr="00991F7C">
        <w:rPr>
          <w:rFonts w:ascii="Calibri" w:hAnsi="Calibri" w:cs="Calibri"/>
          <w:szCs w:val="24"/>
          <w:vertAlign w:val="superscript"/>
        </w:rPr>
        <w:t>301,302</w:t>
      </w:r>
      <w:r w:rsidR="00847C80">
        <w:fldChar w:fldCharType="end"/>
      </w:r>
      <w:r w:rsidR="00847C80">
        <w:t>. Moreover, a single example scaled example of food-grade extract from residual biomass was found (Rubisco extraction from sugarbeet tops)</w:t>
      </w:r>
      <w:r w:rsidR="00847C80">
        <w:fldChar w:fldCharType="begin"/>
      </w:r>
      <w:r w:rsidR="005413B4">
        <w:instrText xml:space="preserve"> ADDIN ZOTERO_ITEM CSL_CITATION {"citationID":"5H2eWZVp","properties":{"formattedCitation":"\\super 282\\nosupersub{}","plainCitation":"282","noteIndex":0},"citationItems":[{"id":9391,"uris":["http://zotero.org/users/6423791/items/K2MZFDJX"],"itemData":{"id":9391,"type":"article-journal","abstract":"The objective of this paper was to assess the environmental performance of the system of RuBisCo protein extraction and isolation from sugar beet leaves. Life cycle assessment (LCA) calculations have been completed to identify and quantify the environmental impacts from a cradle-to-cradle perspective covering seven subsystems: milling and extraction, heat treatment, centrifugation, microfiltration, ultrafiltration, chromatography and spray drying. In this paper, six environmental impact categories were analyzed: global warming potential, ozone layer depletion, energy demand, eutrophication potential, acidification potential, and land use. When RuBisCo protein extraction and isolation from different raw materials are compared, the only crop that has a lower environmental impact than sugar beet leaves is alfalfa, while the higher environmental impact has yellow mustard, ryegrass (mixture), Italian ryegrass, Brussels sprouts, English ryegrass, carrot leaves, leaf radish, and chicory. The comparison of environmental impact categories of different protein concentrates indicated that protein powder containing RuBisCo affected the environment less than egg protein concentrate. Direct comparison to other highly functional plant proteins was not possible as these are not in the market or have no LCA data available. RuBisCo was more environmentally impacting than regular soy protein. Our results for RuBisCo were in accordance with the low end of the range of results for microalgae, which is representing Chlorella HTF (heterotrophic fermenter), for most of the analyzed impact categories. This study found that the largest contributor to the environmental profile of the entire system of RuBisCo protein extraction and isolation from sugar beet leaves is the usage of electricity, while mitigation options for optimization of environmental impacts rely on the energy pinch approach for spray drying1.","container-title":"MEST Journal","DOI":"10.12709/mest.09.09.01.20","ISSN":"23347171, 23347058","issue":"1","journalAbbreviation":"MEST","language":"en","page":"175-183","source":"DOI.org (Crossref)","title":"Rubisco protein production - LCA approach","volume":"9","author":[{"family":"Skunca","given":"Dubravka"},{"family":"Romdhana","given":"Hedi"},{"family":"Brouwers","given":"Rob"}],"editor":[{"family":"Cekerevac","given":"Zoran"}],"issued":{"date-parts":[["2021",1,15]]}}}],"schema":"https://github.com/citation-style-language/schema/raw/master/csl-citation.json"} </w:instrText>
      </w:r>
      <w:r w:rsidR="00847C80">
        <w:fldChar w:fldCharType="separate"/>
      </w:r>
      <w:r w:rsidR="005413B4" w:rsidRPr="005413B4">
        <w:rPr>
          <w:rFonts w:ascii="Calibri" w:hAnsi="Calibri" w:cs="Calibri"/>
          <w:szCs w:val="24"/>
          <w:vertAlign w:val="superscript"/>
        </w:rPr>
        <w:t>282</w:t>
      </w:r>
      <w:r w:rsidR="00847C80">
        <w:fldChar w:fldCharType="end"/>
      </w:r>
      <w:r w:rsidR="00847C80">
        <w:t xml:space="preserve">, currently under application for the “Novel Food” approval but without publicly available data. </w:t>
      </w:r>
      <w:r w:rsidR="003B36AF">
        <w:t>Moreover, albeit</w:t>
      </w:r>
      <w:r w:rsidR="00847C80">
        <w:t xml:space="preserve"> green biorefining strategies aiming to reach food markets are documented, </w:t>
      </w:r>
      <w:r w:rsidR="003B36AF">
        <w:t xml:space="preserve">these </w:t>
      </w:r>
      <w:r w:rsidR="00847C80">
        <w:t>differ in the targeted final service. On one hand, an overview of granted patents indicates that scaling projects rather target high value functionalities (e.g. emulsifying, setting agent, etc.) of purified proteins rather than their sole nutritional value</w:t>
      </w:r>
      <w:r w:rsidR="00847C80">
        <w:fldChar w:fldCharType="begin"/>
      </w:r>
      <w:r w:rsidR="00991F7C">
        <w:instrText xml:space="preserve"> ADDIN ZOTERO_ITEM CSL_CITATION {"citationID":"sc9R2wvD","properties":{"formattedCitation":"\\super 303\\uc0\\u8211{}305\\nosupersub{}","plainCitation":"303–305","noteIndex":0},"citationItems":[{"id":10753,"uris":["http://zotero.org/users/6423791/items/E4HQPEA3"],"itemData":{"id":10753,"type":"patent","authority":"World Intellectual Property Organization","call-number":"PCT/FR2020/051110","language":"fr","number":"WO2020260831A1","title":"Procédé de production de la rubisco à partir d'une biomasse végétale","URL":"https://patents.google.com/patent/WO2020260831A1/fr?oq=WO2020260831A1","author":[{"family":"Kerfai","given":"Syrine"},{"family":"Reboul","given":"Bernard"},{"family":"Alfenore","given":"Sandrine"},{"family":"AZEVEDO","given":"Jacqueline RESENDE DE"},{"family":"Fernandez","given":"Maria Aurora"},{"family":"Mathe","given":"Stephane"},{"family":"USTA","given":"Maria Angelica"},{"family":"RE","given":"Maria-Ines"},{"family":"MONTANER","given":"Manon"}],"accessed":{"date-parts":[["2021",4,2]]},"issued":{"date-parts":[["2020",12,30]]},"submitted":{"date-parts":[["2020",6,25]]}}},{"id":10945,"uris":["http://zotero.org/users/6423791/items/9I36Z9EP"],"itemData":{"id":10945,"type":"patent","authority":"World Intellectual Property Organization","call-number":"PCT/US2020/041525","language":"en","number":"WO2021007484A1","title":"Process for isolating a high purity protein preparation from plant material and products thereof","URL":"https://patents.google.com/patent/WO2021007484A1/en?q=Process+for+isolating+dechlorophyllized+rubisco+preparation+plant+material&amp;oq=Process+for+isolating+a+dechlorophyllized+rubisco+preparation+from+a+plant+material","author":[{"family":"Martens","given":"Tony"},{"family":"Flores","given":"Cesar"},{"family":"MORENO","given":"Eduardo REYNOSO"},{"family":"MOLEN","given":"Roland VAN DER"}],"accessed":{"date-parts":[["2021",4,13]]},"issued":{"date-parts":[["2021",1,14]]},"submitted":{"date-parts":[["2020",7,10]]}}},{"id":10755,"uris":["http://zotero.org/users/6423791/items/54YRHABH"],"itemData":{"id":10755,"type":"patent","authority":"European Union","call-number":"EP13818515.2A","language":"en","number":"EP2934187B1","title":"Economical process for the isolation of functional protein from plants","URL":"https://patents.google.com/patent/EP2934187B1/en?q=Rubisco+beet+leaves+protein&amp;oq=Rubisco+beet+leaves+protein","author":[{"family":"De Jong","given":"Govardus Adrianus Hubertus"},{"family":"Geerdink","given":"Peter"},{"family":"Bussmann","given":"Paulus Josephus Theodorus"},{"family":"HYLKEMA","given":"Nienke"}],"accessed":{"date-parts":[["2021",4,2]]},"issued":{"date-parts":[["2019",7,31]]},"submitted":{"date-parts":[["2013",12,20]]}}}],"schema":"https://github.com/citation-style-language/schema/raw/master/csl-citation.json"} </w:instrText>
      </w:r>
      <w:r w:rsidR="00847C80">
        <w:fldChar w:fldCharType="separate"/>
      </w:r>
      <w:r w:rsidR="00991F7C" w:rsidRPr="00991F7C">
        <w:rPr>
          <w:rFonts w:ascii="Calibri" w:hAnsi="Calibri" w:cs="Calibri"/>
          <w:szCs w:val="24"/>
          <w:vertAlign w:val="superscript"/>
        </w:rPr>
        <w:t>303–305</w:t>
      </w:r>
      <w:r w:rsidR="00847C80">
        <w:fldChar w:fldCharType="end"/>
      </w:r>
      <w:r w:rsidR="00847C80">
        <w:t>. Authors point the intense purification strategies which are required to deliver a food-grade protein, which damage the overall yield and stress the need to reach a higher value addition of the final products on markets (compared to current plant-based proteins mix) for economic viability</w:t>
      </w:r>
      <w:r w:rsidR="00847C80">
        <w:fldChar w:fldCharType="begin"/>
      </w:r>
      <w:r w:rsidR="00991F7C">
        <w:instrText xml:space="preserve"> ADDIN ZOTERO_ITEM CSL_CITATION {"citationID":"rw9N7vIG","properties":{"formattedCitation":"\\super 306\\nosupersub{}","plainCitation":"306","noteIndex":0},"citationItems":[{"id":9242,"uris":["http://zotero.org/users/6423791/items/Y7FWTYV6"],"itemData":{"id":9242,"type":"article-journal","abstract":"Background\nAlternative protein sources are constantly explored to secure the future food and protein demand. Among these sources, biomasses originating from algae, seaweed or leaves receive lots of attention. However, when the yields and purities of protein extracted from these sources are compared to the corresponding data for protein crops such as soy, lupine and pulses, much lower yields are reported for alternative biomasses.\nScope and approach\nIn this overview paper, we analyse whether this difference is due to lack of scientific insight and technology or that more fundamental reasons are behind the variations in the extraction behaviour. For this purpose, we prepared a description of herbaceous and aquatic biomasses (denoted as green biomass/sources) and their protein extraction practices, final products, and common trends and challenges. The discussion continues with a general comparison to protein crops and the implications for future research.\nKey findings and conclusions\nOverviewing the state of the art, we tend to conclude that physiological and biochemical factors hinder efficient fractionation of green sources. Such factors include cell architecture and high interconnection between cell components; and biochemical differences, in particular the type of proteins present. These fundamental differences imply that green sources should be explored in a different manner, with higher emphasis on the interesting functional properties of enriched fractions and less on their purity. This approach is further encouraged by highlighting examples where the intricate structures found in green biomass can give rise to positive effects (e.g. health, food structure) when integrally applied in food products.","container-title":"Trends in Food Science &amp; Technology","DOI":"10.1016/j.tifs.2017.11.010","ISSN":"0924-2244","journalAbbreviation":"Trends Food Sci. Technol.","language":"en","page":"235-245","source":"ScienceDirect","title":"Understanding differences in protein fractionation from conventional crops, and herbaceous and aquatic biomass - Consequences for industrial use","volume":"71","author":[{"family":"Tamayo Tenorio","given":"Angelica"},{"family":"Kyriakopoulou","given":"Konstantina E."},{"family":"Suarez-Garcia","given":"Edgar"},{"family":"Berg","given":"Corjan","non-dropping-particle":"van den"},{"family":"Goot","given":"Atze Jan","non-dropping-particle":"van der"}],"issued":{"date-parts":[["2018",1,1]]}}}],"schema":"https://github.com/citation-style-language/schema/raw/master/csl-citation.json"} </w:instrText>
      </w:r>
      <w:r w:rsidR="00847C80">
        <w:fldChar w:fldCharType="separate"/>
      </w:r>
      <w:r w:rsidR="00991F7C" w:rsidRPr="00991F7C">
        <w:rPr>
          <w:rFonts w:ascii="Calibri" w:hAnsi="Calibri" w:cs="Calibri"/>
          <w:szCs w:val="24"/>
          <w:vertAlign w:val="superscript"/>
        </w:rPr>
        <w:t>306</w:t>
      </w:r>
      <w:r w:rsidR="00847C80">
        <w:fldChar w:fldCharType="end"/>
      </w:r>
      <w:r w:rsidR="00847C80">
        <w:t>. Indeed, one of the main issues when extracting food-grade proteins from green biomasses lies in the polyphenols-proteins interactions and chlorophyll degradation which lead to undesirable neoformed compounds (bound to protein complexes) when using common protein extraction methods (e.g. heat and acid treatments)</w:t>
      </w:r>
      <w:r w:rsidR="00847C80">
        <w:fldChar w:fldCharType="begin"/>
      </w:r>
      <w:r w:rsidR="00991F7C">
        <w:instrText xml:space="preserve"> ADDIN ZOTERO_ITEM CSL_CITATION {"citationID":"A5reMplJ","properties":{"formattedCitation":"\\super 293,307\\nosupersub{}","plainCitation":"293,307","noteIndex":0},"citationItems":[{"id":5119,"uris":["http://zotero.org/users/6423791/items/6UZKFBBI"],"itemData":{"id":5119,"type":"article-journal","abstract":"Green biomass is a major potential source of proteins for food and feed. This pre-feasibility study evaluates the use of green biomass of buckwheat, phacelia, hemp and oilseed radish grown as intermediate crops (IC) as a feedstock for production of protein concentrates to produce protein-rich food and feed products. We investigated the biomass yield, protein concentration and protein recovery potential of non-fertilized IC, nitrogen-fertilized IC and IC intercropped with legumes, harvested in late summer to autumn during 2017 and 2018 in southern Sweden. In addition, economic assessment of potential protein and fibre feed and food products were evaluated. The results showed that IC fertilized with 40 kg ha-1 N and intercropping with legumes contributed to a higher biomass dry matter (DM) yield of 4.9-5.8 t ha-1 as compared to between 2.2-3.1 t ha-1 for non-fertilized IC. Intercropping with legumes also resulted in higher protein yield of 154 g kg-1 vs. 103 g kg-1 for non-fertilized IC. Among IC, hemp, phacelia and oilseed radish showed up to ca. 25% higher DM yield and up to ca. 70% higher protein concentration as compared to buckwheat. Higher DM yield was obtained when IC were harvested in October and November than in August and September. Economic assessment was made on two feasible protein production pathways; (A) Green and white proteins and (B) total recoverable combined protein fraction (CPF). For all IC, cost per t DM was higher in August due to lower biomass yield as compared to other harvesting months. Nitrogen concentration was the main factor determining the size of revenues. Nitrogen concentration was 34% higher in 2018 compared to 2017 and therefore resulted in higher revenues in that year. Intercropping resulted in higher protein content and therefore contributed to lower breakeven prices of recovered green proteins for all IC. Breakeven price analyses showed that green protein and CPF were economically feasible to market as both bulk and premium products depending on lower (≤2 € kg-1) or higher (2-10 € kg-1) price ranges, respectively. The results demonstrate that use of IC biomass could be a feasible option to produce high value protein-rich products, which can contribute extra income from IC for farmers.","container-title":"Journal of Cleaner Production","DOI":"10.1016/j.jclepro.2021.126304","ISSN":"0959-6526","journalAbbreviation":"J Clean Prod","language":"en","page":"126304","source":"ScienceDirect","title":"Economic viability of protein concentrate production from green biomass of intermediate crops: A pre-feasibility study","title-short":"Economic viability of protein concentrate production from green biomass of intermediate crops","author":[{"family":"Muneer","given":"Faraz"},{"family":"Hovmalm","given":"Helena Persson"},{"family":"Svensson","given":"Sven-Erik"},{"family":"Newson","given":"William R."},{"family":"Johansson","given":"Eva"},{"family":"Prade","given":"Thomas"}],"issued":{"date-parts":[["2021",2,9]]}}},{"id":12796,"uris":["http://zotero.org/users/6423791/items/U8SFU42Q"],"itemData":{"id":12796,"type":"article-journal","abstract":"There is a growing need for protein for both feed and food in order to meet future demands. It is imperative to explore and utilize novel protein sources such as protein from leafy plant material, which contains high amounts of the enzyme ribulose-1,5-biphosphate carboxylase/oxygenase (RuBisCo). Leafy crops such as grasses and legumes can in humid climate produce high protein yields in a sustainable way when compared with many traditional seed protein crops. Despite this, very little RuBisCo is utilized for foods because proteins in the leaf material has a low accessibility to monogastrics. In order to utilize the leaf protein for food purposes, the protein needs to be extracted from the fiber rich leaf matrix. This conversion of green biomass to valuable products has been labeled green biorefinery. The green biorefinery may be tailored to produce different products, but in this Review, the focus is on production of food-grade protein. The existing knowledge on the extraction, purification, and concentration of protein from green biomass is reviewed. Additionally, the quality and potential application of the leaf protein in food products and side streams from the green biorefinery will be discussed along with possible uses of side streams from the protein production.","container-title":"Journal of Agricultural and Food Chemistry","DOI":"10.1021/acs.jafc.1c04289","ISSN":"0021-8561","journalAbbreviation":"J. Agric. Food Chem.","source":"ACS Publications","title":"Biorefinery of Green Biomass─How to Extract and Evaluate High Quality Leaf Protein for Food?","URL":"https://doi.org/10.1021/acs.jafc.1c04289","author":[{"family":"Møller","given":"Anders Hauer"},{"family":"Hammershøj","given":"Marianne"},{"family":"Passos","given":"Natalia Hachow Motta","non-dropping-particle":"dos"},{"family":"Tanambell","given":"Hartono"},{"family":"Stødkilde","given":"Lene"},{"family":"Ambye-Jensen","given":"Morten"},{"family":"Danielsen","given":"Marianne"},{"family":"Jensen","given":"Søren K."},{"family":"Dalsgaard","given":"Trine K."}],"accessed":{"date-parts":[["2021",12,4]]},"issued":{"date-parts":[["2021",11,30]]}}}],"schema":"https://github.com/citation-style-language/schema/raw/master/csl-citation.json"} </w:instrText>
      </w:r>
      <w:r w:rsidR="00847C80">
        <w:fldChar w:fldCharType="separate"/>
      </w:r>
      <w:r w:rsidR="00991F7C" w:rsidRPr="00991F7C">
        <w:rPr>
          <w:rFonts w:ascii="Calibri" w:hAnsi="Calibri" w:cs="Calibri"/>
          <w:szCs w:val="24"/>
          <w:vertAlign w:val="superscript"/>
        </w:rPr>
        <w:t>293,307</w:t>
      </w:r>
      <w:r w:rsidR="00847C80">
        <w:fldChar w:fldCharType="end"/>
      </w:r>
      <w:r w:rsidR="00847C80">
        <w:t>. Such anti-nutritional compounds lead to loss of functionality, off-flavors of the extracts, and even its unsuitability as food ingredients (e.g. cyanide in cassava LPC)</w:t>
      </w:r>
      <w:r w:rsidR="00847C80">
        <w:fldChar w:fldCharType="begin"/>
      </w:r>
      <w:r w:rsidR="005413B4">
        <w:instrText xml:space="preserve"> ADDIN ZOTERO_ITEM CSL_CITATION {"citationID":"TIpX7JNv","properties":{"formattedCitation":"\\super 276\\nosupersub{}","plainCitation":"276","noteIndex":0},"citationItems":[{"id":13783,"uris":["http://zotero.org/users/6423791/items/PM47CACP"],"itemData":{"id":13783,"type":"article-journal","abstract":"Nowadays, cassava leaves are mostly treated as a byproduct of cassava root production, yet this readily available biomass is rich in protein with a balanced content of amino acids. Cassava leaves therefore represent a promising, underutilized biomass for extraction of proteins. The purpose of this study was to provide updated information on the feasibility of producing cassava leaf protein concentrate for use in feed and food. In this context, protein concentrates were refined from cassava leaves using different precipitation methods and the refining process evaluated with focus on protein, amino acids and selected antinutritional factors. Crude protein was mainly distributed to the press cake and protein concentrates during the two processing steps, i.e., pressing and precipitation, and between 21% and 26% (w/w) of leaf crude protein was recovered in the concentrates. After drying, these contained 40–45% crude protein with an amino acid profile comparable to soybean and tolerable levels of tannins (&gt;1% of TS) for feed purposes. However, the refining process did not significantly reduce the cyanogenic potential, i.e., the total amount of releasable HCN, which accumulated in the dried protein product to around 150–250 ppm. This lies significantly above the 10–50 ppm deemed safe for food and feedstuff by several food safety authorities. Based on these results, extraction of leaf protein from cassava appears promising, but additional research is required to evaluate its full potential, especially in relation to its use in food products.","container-title":"Journal of Cleaner Production","DOI":"10.1016/j.jclepro.2022.134730","ISSN":"0959-6526","journalAbbreviation":"Journal of Cleaner Production","language":"en","page":"134730","source":"ScienceDirect","title":"Production of leaf protein concentrates from cassava: Protein distribution and anti-nutritional factors in biorefining fractions","title-short":"Production of leaf protein concentrates from cassava","volume":"379","author":[{"family":"Gundersen","given":"E."},{"family":"Christiansen","given":"A. H. C."},{"family":"Jørgensen","given":"K."},{"family":"Lübeck","given":"M."}],"issued":{"date-parts":[["2022",12,15]]}}}],"schema":"https://github.com/citation-style-language/schema/raw/master/csl-citation.json"} </w:instrText>
      </w:r>
      <w:r w:rsidR="00847C80">
        <w:fldChar w:fldCharType="separate"/>
      </w:r>
      <w:r w:rsidR="005413B4" w:rsidRPr="005413B4">
        <w:rPr>
          <w:rFonts w:ascii="Calibri" w:hAnsi="Calibri" w:cs="Calibri"/>
          <w:szCs w:val="24"/>
          <w:vertAlign w:val="superscript"/>
        </w:rPr>
        <w:t>276</w:t>
      </w:r>
      <w:r w:rsidR="00847C80">
        <w:fldChar w:fldCharType="end"/>
      </w:r>
      <w:r w:rsidR="00847C80">
        <w:t>. On the other hand, an alternative documented set-up consists in extracting two different protein fractions: an animal-grade one called “green proteins” and a food-grade one called “white proteins”</w:t>
      </w:r>
      <w:r w:rsidR="00847C80">
        <w:fldChar w:fldCharType="begin"/>
      </w:r>
      <w:r w:rsidR="005413B4">
        <w:instrText xml:space="preserve"> ADDIN ZOTERO_ITEM CSL_CITATION {"citationID":"duZAACoL","properties":{"formattedCitation":"\\super 275,290,293\\nosupersub{}","plainCitation":"275,290,293","noteIndex":0},"citationItems":[{"id":12426,"uris":["http://zotero.org/users/6423791/items/GS4RZCAW"],"itemData":{"id":12426,"type":"article-journal","abstract":"This pre-feasibility study evaluates the use of residual leafy green biomass from broccoli (Brassica oleracea, var. Italica) and kale (Brassica oleracea, var. Sabellica) as feedstock for protein fractionation and potential application of the fractions in food and feed products. The protein concentration, protein recovery potential and the content of phenols and dietary ﬁbre in these biomass sources and fractions were investigated. Field produce and side-stream analysis showed that among broccoli and kale side-streams the potentially suitable leaves for protein fractionation constitute up to 16 and 1.9 t/ha (DM content), respectively. Fractionation demonstrated that between 34–42 and 25–34 kg total protein could be extracted per t DM of broccoli and kale residue leaves, respectively. The amount of protein was generally high in green protein fraction (GPF) and the white protein concentrate (WPC) of both crops, although signiﬁcantly higher in broccoli compared to kale. The recovery of bound and free phenolic compounds was up to 18% in the GPF of both crops, while only 0.4% ended up in the WPC. The economic assessment showed that the feedstock and processing costs of producing GPF and WPC, as well as of the combined protein fraction (CPF) 1.9–6.0 and 1.3–3.9 times higher than expected revenues for broccoli and kale, respectively, indicating that the production of protein fractions is not economically feasible with the current production scheme. However, potentially higher revenues may be obtained if value-added products such as fractionated phenols and dietary ﬁbre components are also included and investigated in future production schemes. The pathway investigated, that included a direct drying and milling of leaf biomass showed a low processing cost and thereby the most favourable economic alternative, with approx. 7–30% proﬁt for kale, while for broccoli revenues covered only 44–47% of the costs due to the extra harvest cost of the broccoli leaves.","container-title":"Food and Bioproducts Processing","DOI":"10.1016/j.fbp.2021.10.004","ISSN":"09603085","journalAbbreviation":"FBP","language":"en","page":"229-243","source":"DOI.org (Crossref)","title":"Protein fractionation of broccoli (Brassica oleracea, var. Italica) and kale (Brassica oleracea, var. Sabellica) residual leaves — A pre-feasibility assessment and evaluation of fraction phenol and fibre content","volume":"130","author":[{"family":"Prade","given":"Thomas"},{"family":"Muneer","given":"Faraz"},{"family":"Berndtsson","given":"Emilia"},{"family":"Nynäs","given":"Anna-Lovisa"},{"family":"Svensson","given":"Sven-Erik"},{"family":"Newson","given":"William R."},{"family":"Johansson","given":"Eva"}],"issued":{"date-parts":[["2021",11]]}}},{"id":392,"uris":["http://zotero.org/users/6423791/items/P3739BFG"],"itemData":{"id":392,"type":"article-journal","abstract":"The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Zwicky"},{"family":"Birkved","given":"Morten"}],"issued":{"date-parts":[["2018",9]]}}},{"id":5119,"uris":["http://zotero.org/users/6423791/items/6UZKFBBI"],"itemData":{"id":5119,"type":"article-journal","abstract":"Green biomass is a major potential source of proteins for food and feed. This pre-feasibility study evaluates the use of green biomass of buckwheat, phacelia, hemp and oilseed radish grown as intermediate crops (IC) as a feedstock for production of protein concentrates to produce protein-rich food and feed products. We investigated the biomass yield, protein concentration and protein recovery potential of non-fertilized IC, nitrogen-fertilized IC and IC intercropped with legumes, harvested in late summer to autumn during 2017 and 2018 in southern Sweden. In addition, economic assessment of potential protein and fibre feed and food products were evaluated. The results showed that IC fertilized with 40 kg ha-1 N and intercropping with legumes contributed to a higher biomass dry matter (DM) yield of 4.9-5.8 t ha-1 as compared to between 2.2-3.1 t ha-1 for non-fertilized IC. Intercropping with legumes also resulted in higher protein yield of 154 g kg-1 vs. 103 g kg-1 for non-fertilized IC. Among IC, hemp, phacelia and oilseed radish showed up to ca. 25% higher DM yield and up to ca. 70% higher protein concentration as compared to buckwheat. Higher DM yield was obtained when IC were harvested in October and November than in August and September. Economic assessment was made on two feasible protein production pathways; (A) Green and white proteins and (B) total recoverable combined protein fraction (CPF). For all IC, cost per t DM was higher in August due to lower biomass yield as compared to other harvesting months. Nitrogen concentration was the main factor determining the size of revenues. Nitrogen concentration was 34% higher in 2018 compared to 2017 and therefore resulted in higher revenues in that year. Intercropping resulted in higher protein content and therefore contributed to lower breakeven prices of recovered green proteins for all IC. Breakeven price analyses showed that green protein and CPF were economically feasible to market as both bulk and premium products depending on lower (≤2 € kg-1) or higher (2-10 € kg-1) price ranges, respectively. The results demonstrate that use of IC biomass could be a feasible option to produce high value protein-rich products, which can contribute extra income from IC for farmers.","container-title":"Journal of Cleaner Production","DOI":"10.1016/j.jclepro.2021.126304","ISSN":"0959-6526","journalAbbreviation":"J Clean Prod","language":"en","page":"126304","source":"ScienceDirect","title":"Economic viability of protein concentrate production from green biomass of intermediate crops: A pre-feasibility study","title-short":"Economic viability of protein concentrate production from green biomass of intermediate crops","author":[{"family":"Muneer","given":"Faraz"},{"family":"Hovmalm","given":"Helena Persson"},{"family":"Svensson","given":"Sven-Erik"},{"family":"Newson","given":"William R."},{"family":"Johansson","given":"Eva"},{"family":"Prade","given":"Thomas"}],"issued":{"date-parts":[["2021",2,9]]}}}],"schema":"https://github.com/citation-style-language/schema/raw/master/csl-citation.json"} </w:instrText>
      </w:r>
      <w:r w:rsidR="00847C80">
        <w:fldChar w:fldCharType="separate"/>
      </w:r>
      <w:r w:rsidR="005413B4" w:rsidRPr="005413B4">
        <w:rPr>
          <w:rFonts w:ascii="Calibri" w:hAnsi="Calibri" w:cs="Calibri"/>
          <w:szCs w:val="24"/>
          <w:vertAlign w:val="superscript"/>
        </w:rPr>
        <w:t>275,290,293</w:t>
      </w:r>
      <w:r w:rsidR="00847C80">
        <w:fldChar w:fldCharType="end"/>
      </w:r>
      <w:r w:rsidR="00847C80">
        <w:t>. Authors argue to target the plant-based proteins market (e.g. ingredient to formulate milk alternatives)</w:t>
      </w:r>
      <w:r w:rsidR="00847C80">
        <w:fldChar w:fldCharType="begin"/>
      </w:r>
      <w:r w:rsidR="005413B4">
        <w:instrText xml:space="preserve"> ADDIN ZOTERO_ITEM CSL_CITATION {"citationID":"KgdFOjcb","properties":{"formattedCitation":"\\super 290\\nosupersub{}","plainCitation":"290","noteIndex":0},"citationItems":[{"id":392,"uris":["http://zotero.org/users/6423791/items/P3739BFG"],"itemData":{"id":392,"type":"article-journal","abstract":"The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Zwicky"},{"family":"Birkved","given":"Morten"}],"issued":{"date-parts":[["2018",9]]}}}],"schema":"https://github.com/citation-style-language/schema/raw/master/csl-citation.json"} </w:instrText>
      </w:r>
      <w:r w:rsidR="00847C80">
        <w:fldChar w:fldCharType="separate"/>
      </w:r>
      <w:r w:rsidR="005413B4" w:rsidRPr="005413B4">
        <w:rPr>
          <w:rFonts w:ascii="Calibri" w:hAnsi="Calibri" w:cs="Calibri"/>
          <w:szCs w:val="24"/>
          <w:vertAlign w:val="superscript"/>
        </w:rPr>
        <w:t>290</w:t>
      </w:r>
      <w:r w:rsidR="00847C80">
        <w:fldChar w:fldCharType="end"/>
      </w:r>
      <w:r w:rsidR="00847C80">
        <w:t xml:space="preserve">, but no data is made available to sustain this possibility. Therefore, in the framework of this study, it was assumed that food-grade protein </w:t>
      </w:r>
      <w:r w:rsidR="00847C80">
        <w:lastRenderedPageBreak/>
        <w:t xml:space="preserve">extractions from green biomass will promptly stem from dedicated cultures, not residual biomass, so, this option was not modeled. Instead, residual biomass-based LPC was modeled to target monogastric animal feed as the process is already established at industrial scale, and the data availability is sufficient to enable representative LCI modeling (albeit most assessments are based on secondary data and only display intermediary calculation indicators; </w:t>
      </w:r>
      <w:r w:rsidR="003B36AF" w:rsidRPr="003B36AF">
        <w:rPr>
          <w:b/>
        </w:rPr>
        <w:fldChar w:fldCharType="begin"/>
      </w:r>
      <w:r w:rsidR="003B36AF" w:rsidRPr="003B36AF">
        <w:rPr>
          <w:b/>
        </w:rPr>
        <w:instrText xml:space="preserve"> REF _Ref144909390 \h </w:instrText>
      </w:r>
      <w:r w:rsidR="003B36AF">
        <w:rPr>
          <w:b/>
        </w:rPr>
        <w:instrText xml:space="preserve"> \* MERGEFORMAT </w:instrText>
      </w:r>
      <w:r w:rsidR="003B36AF" w:rsidRPr="003B36AF">
        <w:rPr>
          <w:b/>
        </w:rPr>
      </w:r>
      <w:r w:rsidR="003B36AF" w:rsidRPr="003B36AF">
        <w:rPr>
          <w:b/>
        </w:rPr>
        <w:fldChar w:fldCharType="separate"/>
      </w:r>
      <w:r w:rsidR="00F25F8C" w:rsidRPr="00F25F8C">
        <w:rPr>
          <w:b/>
        </w:rPr>
        <w:t xml:space="preserve">Table SI. </w:t>
      </w:r>
      <w:r w:rsidR="00F25F8C" w:rsidRPr="00F25F8C">
        <w:rPr>
          <w:b/>
          <w:noProof/>
        </w:rPr>
        <w:t>83</w:t>
      </w:r>
      <w:r w:rsidR="003B36AF" w:rsidRPr="003B36AF">
        <w:rPr>
          <w:b/>
        </w:rPr>
        <w:fldChar w:fldCharType="end"/>
      </w:r>
      <w:r w:rsidR="00847C80">
        <w:t xml:space="preserve">). </w:t>
      </w:r>
      <w:bookmarkStart w:id="364" w:name="_Hlk143521668"/>
      <w:r w:rsidR="00847C80" w:rsidRPr="003B36AF">
        <w:t xml:space="preserve">Importantly, no biomass storage was considered to maximize yield, safeguard proteins and prevent microbial contamination. </w:t>
      </w:r>
      <w:bookmarkEnd w:id="364"/>
      <w:r w:rsidR="00847C80" w:rsidRPr="003B36AF">
        <w:t>Indeed, fresh green biomass spoils on an hourly basis: authors mention to start processing no longer than 2-6 hours after cutting, which is only extendable if a cold chain is implemented</w:t>
      </w:r>
      <w:r w:rsidR="00847C80" w:rsidRPr="003B36AF">
        <w:fldChar w:fldCharType="begin"/>
      </w:r>
      <w:r w:rsidR="005413B4">
        <w:instrText xml:space="preserve"> ADDIN ZOTERO_ITEM CSL_CITATION {"citationID":"Z6MTDv9J","properties":{"formattedCitation":"\\super 266,272\\nosupersub{}","plainCitation":"266,272","noteIndex":0},"citationItems":[{"id":11340,"uris":["http://zotero.org/users/6423791/items/WY7NQ5DU"],"itemData":{"id":11340,"type":"report","abstract":"Industrial extraction of proteins and pigments from alfalfa makes it possible to obtain from leaves of this forage legume protein concentrates with a high content in pigments and omega-3 fatty acids. The high tech process is less energy consuming than the classical dehydration process, even when considering the large energy savings made for forage dehydration during the last two years. Today, the main commercial outlets for this concentrate are the market of protein concentrate for herbivores, the one of pigments for poultry production and also the market of omega-3 rich feeds for ruminants.","archive_location":"hal-02658324","collection-title":"Innovations Agronomiques","language":"fr","page":"147-156","publisher":"INRAE","source":"Zotero","title":"Extraction industrielle de protéines et de pigments chez la luzerne: état des lieux et perspectives","URL":"https://hal.inrae.fr/hal-02658324/document","author":[{"family":"Andurand","given":"J"},{"family":"Coulmier","given":"D"},{"family":"Despres","given":"J L"},{"family":"Rambourg","given":"J C"}],"issued":{"date-parts":[["2010"]]}}},{"id":9255,"uris":["http://zotero.org/users/6423791/items/9EZA9MQK"],"itemData":{"id":9255,"type":"article-journal","abstract":"Large-scale processing of leaves for food applications requires quick processing or stabilisation to avoid perishability, due to the high moisture content in this biomass. Leaf perishability is compounded by the seasonal availability of crops, like sugar beet plants, of which the leaves are regarded as a potential protein source. This study evaluates the resource efficiency of a hypothetical sugar beet leaf processing chain by comparing supply chain options. First, two options consider leaf processing with and without stabilising the leaves by freezing. Then, these two options are considered in a centralised and decentralised process configuration. The latter places leaf freezing and pressing at the farm and further processes occur at a central facility. Energy usage and exergy consumption were used to quantify the thermodynamic performance of the processing options. Freezing has negligible effect on the process-ability of the leaves in terms of protein content and protein yield. The overall resource efficiency of the process was dominated by the amount of leaf material effectively used, which stresses the importance of full use of all (side-)streams. This outcome also explains the limited additional energy requirements for freezing. Exergetic indicators were affected by variations on the dry matter content of the starting biomass, compared to a negligible effect of other parameters (equipment scale, efficiency or energy use). Transportation load and soil quality were also discussed for the centralised and decentralised configurations. On-farm processing of the leaves (decentralised chain) clearly reduces the transportation load due to the large difference in bulk densities of leaves (73 kg/m3) and leaf juice (1000 kg/m3). Additionally, decentralised scenarios enable direct returning of the leaf pulp to the soil and thereby improving soil quality (i.e. nutrient retention and fertility). Soil quality is required to fully assess the use of biomass that is currently regarded as waste, but that actually plays a role in soil fertility. Therefore, the preferred chain configuration would be a decentralised system where the leaves are directly pressed at the farm, the pulp is used to fertilise the soil, and the leaf juice is chilled transported to a centralised factory.","container-title":"Journal of Cleaner Production","DOI":"10.1016/j.jclepro.2017.06.248","ISSN":"0959-6526","journalAbbreviation":"J. Clean. Prod.","language":"en","page":"736-748","source":"ScienceDirect","title":"Processing concepts for the use of green leaves as raw materials for the food industry","volume":"164","author":[{"family":"Tamayo Tenorio","given":"A."},{"family":"Schreuders","given":"F. K. G."},{"family":"Zisopoulos","given":"F. K."},{"family":"Boom","given":"R. M."},{"family":"Goot","given":"A. J.","non-dropping-particle":"van der"}],"issued":{"date-parts":[["2017",10,15]]}}}],"schema":"https://github.com/citation-style-language/schema/raw/master/csl-citation.json"} </w:instrText>
      </w:r>
      <w:r w:rsidR="00847C80" w:rsidRPr="003B36AF">
        <w:fldChar w:fldCharType="separate"/>
      </w:r>
      <w:r w:rsidR="005413B4" w:rsidRPr="005413B4">
        <w:rPr>
          <w:rFonts w:ascii="Calibri" w:hAnsi="Calibri" w:cs="Calibri"/>
          <w:szCs w:val="24"/>
          <w:vertAlign w:val="superscript"/>
        </w:rPr>
        <w:t>266,272</w:t>
      </w:r>
      <w:r w:rsidR="00847C80" w:rsidRPr="003B36AF">
        <w:fldChar w:fldCharType="end"/>
      </w:r>
      <w:r w:rsidR="00847C80" w:rsidRPr="003B36AF">
        <w:t>. For the energy costs of refrigerating water-rich streams</w:t>
      </w:r>
      <w:r w:rsidR="00847C80" w:rsidRPr="003B36AF">
        <w:fldChar w:fldCharType="begin"/>
      </w:r>
      <w:r w:rsidR="005413B4">
        <w:instrText xml:space="preserve"> ADDIN ZOTERO_ITEM CSL_CITATION {"citationID":"pvTZMa4V","properties":{"formattedCitation":"\\super 272\\nosupersub{}","plainCitation":"272","noteIndex":0},"citationItems":[{"id":9255,"uris":["http://zotero.org/users/6423791/items/9EZA9MQK"],"itemData":{"id":9255,"type":"article-journal","abstract":"Large-scale processing of leaves for food applications requires quick processing or stabilisation to avoid perishability, due to the high moisture content in this biomass. Leaf perishability is compounded by the seasonal availability of crops, like sugar beet plants, of which the leaves are regarded as a potential protein source. This study evaluates the resource efficiency of a hypothetical sugar beet leaf processing chain by comparing supply chain options. First, two options consider leaf processing with and without stabilising the leaves by freezing. Then, these two options are considered in a centralised and decentralised process configuration. The latter places leaf freezing and pressing at the farm and further processes occur at a central facility. Energy usage and exergy consumption were used to quantify the thermodynamic performance of the processing options. Freezing has negligible effect on the process-ability of the leaves in terms of protein content and protein yield. The overall resource efficiency of the process was dominated by the amount of leaf material effectively used, which stresses the importance of full use of all (side-)streams. This outcome also explains the limited additional energy requirements for freezing. Exergetic indicators were affected by variations on the dry matter content of the starting biomass, compared to a negligible effect of other parameters (equipment scale, efficiency or energy use). Transportation load and soil quality were also discussed for the centralised and decentralised configurations. On-farm processing of the leaves (decentralised chain) clearly reduces the transportation load due to the large difference in bulk densities of leaves (73 kg/m3) and leaf juice (1000 kg/m3). Additionally, decentralised scenarios enable direct returning of the leaf pulp to the soil and thereby improving soil quality (i.e. nutrient retention and fertility). Soil quality is required to fully assess the use of biomass that is currently regarded as waste, but that actually plays a role in soil fertility. Therefore, the preferred chain configuration would be a decentralised system where the leaves are directly pressed at the farm, the pulp is used to fertilise the soil, and the leaf juice is chilled transported to a centralised factory.","container-title":"Journal of Cleaner Production","DOI":"10.1016/j.jclepro.2017.06.248","ISSN":"0959-6526","journalAbbreviation":"J. Clean. Prod.","language":"en","page":"736-748","source":"ScienceDirect","title":"Processing concepts for the use of green leaves as raw materials for the food industry","volume":"164","author":[{"family":"Tamayo Tenorio","given":"A."},{"family":"Schreuders","given":"F. K. G."},{"family":"Zisopoulos","given":"F. K."},{"family":"Boom","given":"R. M."},{"family":"Goot","given":"A. J.","non-dropping-particle":"van der"}],"issued":{"date-parts":[["2017",10,15]]}}}],"schema":"https://github.com/citation-style-language/schema/raw/master/csl-citation.json"} </w:instrText>
      </w:r>
      <w:r w:rsidR="00847C80" w:rsidRPr="003B36AF">
        <w:fldChar w:fldCharType="separate"/>
      </w:r>
      <w:r w:rsidR="005413B4" w:rsidRPr="005413B4">
        <w:rPr>
          <w:rFonts w:ascii="Calibri" w:hAnsi="Calibri" w:cs="Calibri"/>
          <w:szCs w:val="24"/>
          <w:vertAlign w:val="superscript"/>
        </w:rPr>
        <w:t>272</w:t>
      </w:r>
      <w:r w:rsidR="00847C80" w:rsidRPr="003B36AF">
        <w:fldChar w:fldCharType="end"/>
      </w:r>
      <w:r w:rsidR="00847C80" w:rsidRPr="003B36AF">
        <w:t>, refrigerating (or freezing) storage was not considered here. Silage-like storages also damage green biorefinery efficiency for inducing proteolysis (leading to lower proteins coagulation potential)</w:t>
      </w:r>
      <w:r w:rsidR="00847C80" w:rsidRPr="003B36AF">
        <w:fldChar w:fldCharType="begin"/>
      </w:r>
      <w:r w:rsidR="005413B4">
        <w:instrText xml:space="preserve"> ADDIN ZOTERO_ITEM CSL_CITATION {"citationID":"HnP0ewuK","properties":{"formattedCitation":"\\super 294,295\\nosupersub{}","plainCitation":"294,295","noteIndex":0},"citationItems":[{"id":11545,"uris":["http://zotero.org/users/6423791/items/WM4PTNTG"],"itemData":{"id":11545,"type":"article-journal","abstract":"Biorefineries are seen as a key component for the transition toward a resource-efficient, low-carbon bio-economy. The green biorefinery (GBR) concept is promoted in several countries to create business and employment opportunities in rural areas. It aims at providing alternative utilization pathways for surplus grassland areas by producing bioenergy, biomaterials, livestock feed, and organic acids. We have developed a spatially explicit, mixed integer programming model that maximizes total producer surpluses of GBR supply chains subject to resource endowments by selecting optimal plant locations and sizes. The model is applied to assess the economic viability of three GBR concepts compared to biogas plants. Impacts of uncertain model input parameters on model outputs are analyzed by Monte-Carlo simulations and regression analysis. The model results reveal that green biorefineries could utilize significantly more biomass than biogas plants, leading to higher regional feedstock prices. Furthermore, the Monte-Carlo simulation results demonstrate that the economic viability of green biorefineries mainly depends on the selected process layout and the prices of the main products. Under favorable market conditions GBRs are economically viable even without policy support measures with average profits between Ä15 and Ä115 t–1 feedstock input. © 2013 Society of Chemical Industry and John Wiley &amp; Sons, Ltd","container-title":"Biofuels, Bioproducts and Biorefining","DOI":"10.1002/bbb.1461","ISSN":"1932-1031","issue":"3","language":"en","note":"_eprint: https://onlinelibrary.wiley.com/doi/pdf/10.1002/bbb.1461","page":"325-341","source":"Wiley Online Library","title":"A spatially explicit techno-economic assessment of green biorefinery concepts","volume":"8","author":[{"family":"Höltinger","given":"Stefan"},{"family":"Schmidt","given":"Johannes"},{"family":"Schönhart","given":"Martin"},{"family":"Schmid","given":"Erwin"}],"issued":{"date-parts":[["2014"]]}}},{"id":399,"uris":["http://zotero.org/users/6423791/items/VKZ573LE"],"itemData":{"id":399,"type":"article-journal","abstract":"Green bioreﬁnery” (GBR) could be an alternative option for using grassland biomass. GBR involves applying technology to chemically and physically fractionate (split) biomass such as grass and grass silage into marketable products. From the grass ﬁbre fraction insulation materials can be produced. From the grass juice fraction, proteinaceous products for animal feed and lactic acid (LA) for plastic production (polylactic acid e PLA) can be produced. This paper is the ﬁrst part in the analysis to develop a blueprint for a ﬁrst generation Irish GBR system. The focus of this paper is on the technical aspects of developing three GBR system models and subsequent scenario analyses. The three GBR system models were a combination of feedstock system and bioreﬁnery technology; Grass/silageebasic technology (GS), Silageebasic technology (S) and SilageeHigh Tech (AT). The models, which were integrated mass and energy balances, were then assessed at the three different input volumes, to generate nine scenarios. The scenarios which required further economic analysis in a companion paper to determine their overall feasibility (technical and economic) in the development of blueprint for a ﬁrst generation Irish GBR system were identiﬁed. From the technical analysis outlined in this paper six scenarios were identiﬁed which require further economic analysis. These were scenarios generated for the GS, S and AT GBR systems, at two input volume rates.","container-title":"Biomass and Bioenergy","DOI":"10.1016/j.biombioe.2011.06.017","ISSN":"09619534","issue":"11","journalAbbreviation":"Biomass Bioenergy.","language":"en","page":"4712-4723","source":"DOI.org (Crossref)","title":"I. Technical assessment for first generation green biorefinery (GBR) using mass and energy balances: Scenarios for an Irish GBR blueprint","title-short":"I. Technical assessment for first generation green biorefinery (GBR) using mass and energy balances","volume":"35","author":[{"family":"O’Keeffe","given":"S."},{"family":"Schulte","given":"R.P.O."},{"family":"Sanders","given":"J.P.M."},{"family":"Struik","given":"P.C."}],"issued":{"date-parts":[["2011",11]]}}}],"schema":"https://github.com/citation-style-language/schema/raw/master/csl-citation.json"} </w:instrText>
      </w:r>
      <w:r w:rsidR="00847C80" w:rsidRPr="003B36AF">
        <w:fldChar w:fldCharType="separate"/>
      </w:r>
      <w:r w:rsidR="005413B4" w:rsidRPr="005413B4">
        <w:rPr>
          <w:rFonts w:ascii="Calibri" w:hAnsi="Calibri" w:cs="Calibri"/>
          <w:szCs w:val="24"/>
          <w:vertAlign w:val="superscript"/>
        </w:rPr>
        <w:t>294,295</w:t>
      </w:r>
      <w:r w:rsidR="00847C80" w:rsidRPr="003B36AF">
        <w:fldChar w:fldCharType="end"/>
      </w:r>
      <w:r w:rsidR="00847C80" w:rsidRPr="003B36AF">
        <w:t>, these were not considered neither.</w:t>
      </w:r>
    </w:p>
    <w:p w14:paraId="5B8939F5" w14:textId="6302E934" w:rsidR="00847C80" w:rsidRDefault="00847C80" w:rsidP="00CE55F4">
      <w:pPr>
        <w:tabs>
          <w:tab w:val="left" w:pos="1157"/>
        </w:tabs>
        <w:jc w:val="both"/>
      </w:pPr>
      <w:r>
        <w:t>Albeit if extremely decentralized (e.g. container-like) facilities are economically implementables</w:t>
      </w:r>
      <w:r>
        <w:fldChar w:fldCharType="begin"/>
      </w:r>
      <w:r w:rsidR="00991F7C">
        <w:instrText xml:space="preserve"> ADDIN ZOTERO_ITEM CSL_CITATION {"citationID":"4HaVhigx","properties":{"formattedCitation":"\\super 296,308\\nosupersub{}","plainCitation":"296,308","noteIndex":0},"citationItems":[{"id":1583,"uris":["http://zotero.org/users/6423791/items/LMICSNI8"],"itemData":{"id":1583,"type":"article-journal","abstract":"Green biorefinery (GBR) is an alternative use of grassland biomass. GBR involves applying technology to chemically and physically fractionate (split) biomass such as grass and grass silage to produce marketable products. Three GBR system models were developed in a companion paper to determine, using scenario analysis, the most technically feasible scenario for the development of a blueprint Irish GBR system. The three GBR system models were a combination of feedstock system and biorefinery technology: Grass/silage – basic technology (GS), Silage – basic technology (S) and Silage – advanced technology (AT). The models were then assessed at different input volumes. The focus of this paper is on the development of the economic modelling component of the three GBR system models in order to identify which of the previously selected GBR scenarios is the most technically and economically viable to develop a blueprint for a first generation GBR. Six scenarios were assessed in this paper. The GS, S and AT GBR systems, at two input volume rates: medium volume and low volume. Additional scenario analyses were also carried out to investigate two possible production scenarios \"No Prot\" (fibre product only), and \"Prot\" (includes proteinaceous secondary product). Both the economic and technical scenario analyses of this paper and its companion paper suggest the most appropriate GBR systems for a first generation Irish blueprint are the combination of Silage feedstock – basic biorefinery technology (S), at the medium input volume and both \"Prot\" and \"No Prot\" systems.","container-title":"Biomass and Bioenergy","DOI":"10.1016/j.biombioe.2011.11.018","ISSN":"0961-9534","journalAbbreviation":"Biomass Bioenergy.","language":"en","page":"1-13","source":"ScienceDirect","title":"II. Economic assessment for first generation green biorefinery (GBR): Scenarios for an Irish GBR blueprint","title-short":"II. Economic assessment for first generation green biorefinery (GBR)","volume":"41","author":[{"family":"O’Keeffe","given":"S."},{"family":"Schulte","given":"R. P. O."},{"family":"Sanders","given":"J. P. M."},{"family":"Struik","given":"P. C."}],"issued":{"date-parts":[["2012",6,1]]}}},{"id":13870,"uris":["http://zotero.org/users/6423791/items/UU8L3AKY"],"itemData":{"id":13870,"type":"article-journal","abstract":"Biorefineries have many possible designs and therefore, present varied benefits in regards to sustainable development. Evaluating these biorefineries is central for the domain, and, as small-scale biorefineries (SSB) are commonly opposed to the large ones, specifying the concept of scale of a biorefinery is essential as well. However, there is no consensual definition of the “scale”, and the meaning of the term changes with the context. This paper presents a methodology to specify the concept of scale by grouping various biorefineries processing lignocellulosic biomass according to factors related to feedstock, process, economy and mobility of the facility, without any predetermined pattern. Data from 15 operational biorefineries are analyzed using a multivariate analysis combined with a hierarchical clustering. The classification obtained categorizes biorefineries into four design classes: smallest, small, hybrid and large scale. Small-scale biorefineries are characterized by a small investment cost (less than 2 M€), a low processing capacity (less than 100 t/day) and a low process complexity, while the end-products’ added value is variable. The mobility of the plants is a sufficient, but not necessary, criterion to have a small-scale biorefinery. Finally, the designs of the investigated biorefineries can be explained by two main trade-offs: one between the mobility and the processing capacity-investment cost, and the other between the process complexity and the added value.","container-title":"Sustainability","DOI":"10.3390/su13137310","ISSN":"2071-1050","issue":"13","language":"en","license":"http://creativecommons.org/licenses/by/3.0/","note":"number: 13\npublisher: Multidisciplinary Digital Publishing Institute","page":"7310","source":"www.mdpi.com","title":"Multicriteria Definition of Small-Scale Biorefineries Based on a Statistical Classification","volume":"13","author":[{"family":"Ait Sair","given":"Aicha"},{"family":"Kansou","given":"Kamal"},{"family":"Michaud","given":"Franck"},{"family":"Cathala","given":"Bernard"}],"issued":{"date-parts":[["2021",1]]}}}],"schema":"https://github.com/citation-style-language/schema/raw/master/csl-citation.json"} </w:instrText>
      </w:r>
      <w:r>
        <w:fldChar w:fldCharType="separate"/>
      </w:r>
      <w:r w:rsidR="00991F7C" w:rsidRPr="00991F7C">
        <w:rPr>
          <w:rFonts w:ascii="Calibri" w:hAnsi="Calibri" w:cs="Calibri"/>
          <w:szCs w:val="24"/>
          <w:vertAlign w:val="superscript"/>
        </w:rPr>
        <w:t>296,308</w:t>
      </w:r>
      <w:r>
        <w:fldChar w:fldCharType="end"/>
      </w:r>
      <w:r>
        <w:t xml:space="preserve"> sometimes necessary (to allow fast processing of fresh biomass)</w:t>
      </w:r>
      <w:r>
        <w:fldChar w:fldCharType="begin"/>
      </w:r>
      <w:r w:rsidR="005413B4">
        <w:instrText xml:space="preserve"> ADDIN ZOTERO_ITEM CSL_CITATION {"citationID":"RRUyDcod","properties":{"formattedCitation":"\\super 268\\nosupersub{}","plainCitation":"268","noteIndex":0},"citationItems":[{"id":13129,"uris":["http://zotero.org/users/6423791/items/VRK2HTHB"],"itemData":{"id":13129,"type":"article-journal","abstract":"The aim of this review was to investigate and develop possible material and energetic utilization strategies for grass from nature conservation areas, which is harvested late in the year and currently largely unused. Compared to freshly harvested grass, it contains less proteins and higher contents of fibers. Landscape management grass has therefore poor forage quality and is not suitable as animal feed. Due to its high calorific value, grass biomass can be used as a material for combustion. However, combustion technology must be adapted to the high contents of inorganics. Fresh grass is a widely used feedstock in biogas plants; late-harvested grass however shows lower biogas yields. The integrated generation of solid fuel and biogas represents a promising combination of combustion and digestion. Grass biomass can also be used in a green biorefinery (GBR) or a lignocellulose biorefinery (LCB). A GBR uses fresh green biomass, producing a protein concentrate (recovery of 30–60%, w/w) and a fiber fraction (recovery of up to 95%, w/w). It is supposed that late-harvested grass is less suitable due to low contents of exploitable components. An LCB operates on dry lignocellulosic feedstock and produces a wide range of carbohydrate products. To date, no LCB or GBR operating on late-harvested grass from semi-natural grasslands was described, and further research on the practical implementation is needed.","container-title":"Biomass Conversion and Biorefinery","DOI":"10.1007/s13399-022-02568-0","ISSN":"2190-6823","journalAbbreviation":"Biomass Conv. Bioref.","language":"en","source":"Springer Link","title":"Valorization of landscape management grass","URL":"https://doi.org/10.1007/s13399-022-02568-0","author":[{"family":"Krenz","given":"Lina Maja Marie"},{"family":"Pleissner","given":"Daniel"}],"accessed":{"date-parts":[["2022",3,30]]},"issued":{"date-parts":[["2022",3,23]]}}}],"schema":"https://github.com/citation-style-language/schema/raw/master/csl-citation.json"} </w:instrText>
      </w:r>
      <w:r>
        <w:fldChar w:fldCharType="separate"/>
      </w:r>
      <w:r w:rsidR="005413B4" w:rsidRPr="005413B4">
        <w:rPr>
          <w:rFonts w:ascii="Calibri" w:hAnsi="Calibri" w:cs="Calibri"/>
          <w:szCs w:val="24"/>
          <w:vertAlign w:val="superscript"/>
        </w:rPr>
        <w:t>268</w:t>
      </w:r>
      <w:r>
        <w:fldChar w:fldCharType="end"/>
      </w:r>
      <w:r>
        <w:t>, and already available</w:t>
      </w:r>
      <w:r>
        <w:fldChar w:fldCharType="begin"/>
      </w:r>
      <w:r w:rsidR="005413B4">
        <w:instrText xml:space="preserve"> ADDIN ZOTERO_ITEM CSL_CITATION {"citationID":"PmkzJ2Wb","properties":{"formattedCitation":"\\super 270\\nosupersub{}","plainCitation":"270","noteIndex":0},"citationItems":[{"id":10991,"uris":["http://zotero.org/users/6423791/items/IGIQNA49"],"itemData":{"id":10991,"type":"patent","authority":"United States","call-number":"US16/611,257","number":"US20200187525A1","title":"Method and system for the production of non-ruminant animal feed","URL":"https://patents.google.com/patent/US20200187525A1/en","author":[{"family":"Sanders","given":"Johan Pieter Marinus"},{"family":"Koopmans","given":"Sybrandus"}],"accessed":{"date-parts":[["2021",4,14]]},"issued":{"date-parts":[["2020",6,18]]},"submitted":{"date-parts":[["2018",4,30]]}}}],"schema":"https://github.com/citation-style-language/schema/raw/master/csl-citation.json"} </w:instrText>
      </w:r>
      <w:r>
        <w:fldChar w:fldCharType="separate"/>
      </w:r>
      <w:r w:rsidR="005413B4" w:rsidRPr="005413B4">
        <w:rPr>
          <w:rFonts w:ascii="Calibri" w:hAnsi="Calibri" w:cs="Calibri"/>
          <w:szCs w:val="24"/>
          <w:vertAlign w:val="superscript"/>
        </w:rPr>
        <w:t>270</w:t>
      </w:r>
      <w:r>
        <w:fldChar w:fldCharType="end"/>
      </w:r>
      <w:r>
        <w:t>, a regional-scale set-up was modeled to be consistent with the rest of the waste-to-nutrition pathways</w:t>
      </w:r>
      <w:r w:rsidRPr="003B36AF">
        <w:t>.</w:t>
      </w:r>
      <w:r w:rsidR="003B36AF" w:rsidRPr="003B36AF">
        <w:t xml:space="preserve"> Indeed, Nynas, 2022</w:t>
      </w:r>
      <w:bookmarkStart w:id="365" w:name="_Hlk143522096"/>
      <w:r w:rsidR="003B36AF" w:rsidRPr="003B36AF">
        <w:fldChar w:fldCharType="begin"/>
      </w:r>
      <w:r w:rsidR="005413B4">
        <w:instrText xml:space="preserve"> ADDIN ZOTERO_ITEM CSL_CITATION {"citationID":"dAgz7UWX","properties":{"formattedCitation":"\\super 271\\nosupersub{}","plainCitation":"271","noteIndex":0},"citationItems":[{"id":13179,"uris":["http://zotero.org/users/6423791/items/JQNSIYF3"],"itemData":{"id":13179,"type":"thesis","abstract":"Demand for sustainable protein-rich food sources is currently increasing to meet the nutritional requirements of a growing population, while also considering climate challenges. Green leafy biomass (GLBM), in the form of side-streams and main crops, is a widely available protein source with potential food value. Extended use of GLBM, e.g. through a biorefinery process targeting leaf protein concentrates (LPCs), could add direct values, e.g. economic revenues from side-stream valorisation, or indirect values, e.g. reduced greenhouse gas emissions from higher resource utilisation.","event-place":"Alnarp","language":"en","number-of-pages":"114","publisher":"Swedish University of Agricultural Science","publisher-place":"Alnarp","source":"Zotero","title":"Harnessing the potential of green leaves : agricultural biomass as a source of sustainable","author":[{"family":"Nynäs","given":"Anna-Lovisa"}],"issued":{"date-parts":[["2022"]]}}}],"schema":"https://github.com/citation-style-language/schema/raw/master/csl-citation.json"} </w:instrText>
      </w:r>
      <w:r w:rsidR="003B36AF" w:rsidRPr="003B36AF">
        <w:fldChar w:fldCharType="separate"/>
      </w:r>
      <w:r w:rsidR="005413B4" w:rsidRPr="005413B4">
        <w:rPr>
          <w:rFonts w:ascii="Calibri" w:hAnsi="Calibri" w:cs="Calibri"/>
          <w:szCs w:val="24"/>
          <w:vertAlign w:val="superscript"/>
        </w:rPr>
        <w:t>271</w:t>
      </w:r>
      <w:r w:rsidR="003B36AF" w:rsidRPr="003B36AF">
        <w:fldChar w:fldCharType="end"/>
      </w:r>
      <w:r w:rsidR="003B36AF" w:rsidRPr="003B36AF">
        <w:t xml:space="preserve"> </w:t>
      </w:r>
      <w:bookmarkEnd w:id="365"/>
      <w:r w:rsidR="003B36AF" w:rsidRPr="003B36AF">
        <w:t>argues (in the case of southern Sweden) that a mix of green biomasses can be found to supply a green biorefinery almost all year round.</w:t>
      </w:r>
      <w:r w:rsidR="003B36AF">
        <w:t xml:space="preserve"> </w:t>
      </w:r>
      <w:r>
        <w:t>For example, vegetable production residues such as potato tops can supply the summer months along with alfalfa and grass-clover, while sugarbeet tops can supply the autumns months and vegetable production residues (e.g. kale) again supply the winter months. Framing a spatially-explicit distribution and operationality of biorefineries, as well as designing their feedstock sourcing coverage radius is out of the scope of this study,</w:t>
      </w:r>
      <w:r w:rsidR="003B36AF">
        <w:t xml:space="preserve"> </w:t>
      </w:r>
      <w:r w:rsidR="003B36AF" w:rsidRPr="003B36AF">
        <w:t xml:space="preserve">but it </w:t>
      </w:r>
      <w:r w:rsidR="003B36AF">
        <w:t>wa</w:t>
      </w:r>
      <w:r w:rsidR="003B36AF" w:rsidRPr="003B36AF">
        <w:t>s assumed that a solution exists to justify the implementation of year-round regional-scale green biorefineries with reduced storage.</w:t>
      </w:r>
    </w:p>
    <w:p w14:paraId="198F1C68" w14:textId="77777777" w:rsidR="00847C80" w:rsidRPr="00847C80" w:rsidRDefault="00847C80" w:rsidP="003B36AF">
      <w:pPr>
        <w:pStyle w:val="Titre3"/>
      </w:pPr>
      <w:bookmarkStart w:id="366" w:name="_Toc145069132"/>
      <w:r w:rsidRPr="00847C80">
        <w:t>Unit operation design and assumptions</w:t>
      </w:r>
      <w:bookmarkEnd w:id="366"/>
    </w:p>
    <w:p w14:paraId="224186CB" w14:textId="77777777" w:rsidR="00847C80" w:rsidRPr="00847C80" w:rsidRDefault="00847C80" w:rsidP="003B36AF">
      <w:pPr>
        <w:pStyle w:val="Titre4"/>
      </w:pPr>
      <w:r w:rsidRPr="00847C80">
        <w:t>Handling</w:t>
      </w:r>
    </w:p>
    <w:p w14:paraId="46DCD863" w14:textId="3D2AB231" w:rsidR="00847C80" w:rsidRPr="00BF20B2" w:rsidRDefault="00847C80" w:rsidP="003B36AF">
      <w:pPr>
        <w:ind w:firstLine="360"/>
        <w:jc w:val="both"/>
      </w:pPr>
      <w:r>
        <w:t xml:space="preserve">Green residual biomass streams are mostly left on land after cutting (as part of main product harvesting or due to current management practices), their harvesting was modeled as detailed in </w:t>
      </w:r>
      <w:r w:rsidR="002D3BB7">
        <w:t>Javourez et al</w:t>
      </w:r>
      <w:r w:rsidR="002D3BB7" w:rsidRPr="000C6C37">
        <w:t>., 202</w:t>
      </w:r>
      <w:r w:rsidR="000C6C37" w:rsidRPr="000C6C37">
        <w:t>4</w:t>
      </w:r>
      <w:r w:rsidR="002D3BB7" w:rsidRPr="000C6C37">
        <w:fldChar w:fldCharType="begin"/>
      </w:r>
      <w:r w:rsidR="00827449">
        <w:instrText xml:space="preserve"> ADDIN ZOTERO_ITEM CSL_CITATION {"citationID":"hysp1bnh","properties":{"formattedCitation":"\\super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2D3BB7" w:rsidRPr="000C6C37">
        <w:fldChar w:fldCharType="separate"/>
      </w:r>
      <w:r w:rsidR="008C451C" w:rsidRPr="000C6C37">
        <w:rPr>
          <w:rFonts w:ascii="Calibri" w:hAnsi="Calibri" w:cs="Calibri"/>
          <w:szCs w:val="24"/>
          <w:vertAlign w:val="superscript"/>
        </w:rPr>
        <w:t>1</w:t>
      </w:r>
      <w:r w:rsidR="002D3BB7" w:rsidRPr="000C6C37">
        <w:fldChar w:fldCharType="end"/>
      </w:r>
      <w:r w:rsidR="003B36AF" w:rsidRPr="000C6C37">
        <w:rPr>
          <w:b/>
        </w:rPr>
        <w:t xml:space="preserve"> </w:t>
      </w:r>
      <w:r w:rsidR="003B36AF" w:rsidRPr="000C6C37">
        <w:t>for</w:t>
      </w:r>
      <w:r w:rsidR="003B36AF" w:rsidRPr="003B36AF">
        <w:t xml:space="preserve"> crop residues</w:t>
      </w:r>
      <w:r w:rsidRPr="003B36AF">
        <w:t>.</w:t>
      </w:r>
      <w:r>
        <w:t xml:space="preserve"> No losses were specifically considered at this stage, these being rather defined in the biomass resource availability (e.g. share effectively harvestable, etc.) than in the present FU. In front of the need of fast processing and careful handling of green streams, no </w:t>
      </w:r>
      <w:r w:rsidR="003B36AF">
        <w:t xml:space="preserve">intermediary </w:t>
      </w:r>
      <w:r>
        <w:t xml:space="preserve">collection platforms were considered </w:t>
      </w:r>
      <w:r w:rsidRPr="008143BC">
        <w:t xml:space="preserve">and the biomass </w:t>
      </w:r>
      <w:r w:rsidR="003B36AF">
        <w:t>was</w:t>
      </w:r>
      <w:r w:rsidRPr="008143BC">
        <w:t xml:space="preserve"> directly sent to the GB facility. Transportation systems to limit leaves damaging (e.g. keeping density</w:t>
      </w:r>
      <w:r>
        <w:t xml:space="preserve"> to 70-90 kg.m</w:t>
      </w:r>
      <w:r w:rsidRPr="00362D85">
        <w:rPr>
          <w:vertAlign w:val="superscript"/>
        </w:rPr>
        <w:t>-3</w:t>
      </w:r>
      <w:r>
        <w:t>)</w:t>
      </w:r>
      <w:r>
        <w:fldChar w:fldCharType="begin"/>
      </w:r>
      <w:r w:rsidR="005413B4">
        <w:instrText xml:space="preserve"> ADDIN ZOTERO_ITEM CSL_CITATION {"citationID":"GlL7hc6z","properties":{"formattedCitation":"\\super 272,293\\nosupersub{}","plainCitation":"272,293","noteIndex":0},"citationItems":[{"id":9255,"uris":["http://zotero.org/users/6423791/items/9EZA9MQK"],"itemData":{"id":9255,"type":"article-journal","abstract":"Large-scale processing of leaves for food applications requires quick processing or stabilisation to avoid perishability, due to the high moisture content in this biomass. Leaf perishability is compounded by the seasonal availability of crops, like sugar beet plants, of which the leaves are regarded as a potential protein source. This study evaluates the resource efficiency of a hypothetical sugar beet leaf processing chain by comparing supply chain options. First, two options consider leaf processing with and without stabilising the leaves by freezing. Then, these two options are considered in a centralised and decentralised process configuration. The latter places leaf freezing and pressing at the farm and further processes occur at a central facility. Energy usage and exergy consumption were used to quantify the thermodynamic performance of the processing options. Freezing has negligible effect on the process-ability of the leaves in terms of protein content and protein yield. The overall resource efficiency of the process was dominated by the amount of leaf material effectively used, which stresses the importance of full use of all (side-)streams. This outcome also explains the limited additional energy requirements for freezing. Exergetic indicators were affected by variations on the dry matter content of the starting biomass, compared to a negligible effect of other parameters (equipment scale, efficiency or energy use). Transportation load and soil quality were also discussed for the centralised and decentralised configurations. On-farm processing of the leaves (decentralised chain) clearly reduces the transportation load due to the large difference in bulk densities of leaves (73 kg/m3) and leaf juice (1000 kg/m3). Additionally, decentralised scenarios enable direct returning of the leaf pulp to the soil and thereby improving soil quality (i.e. nutrient retention and fertility). Soil quality is required to fully assess the use of biomass that is currently regarded as waste, but that actually plays a role in soil fertility. Therefore, the preferred chain configuration would be a decentralised system where the leaves are directly pressed at the farm, the pulp is used to fertilise the soil, and the leaf juice is chilled transported to a centralised factory.","container-title":"Journal of Cleaner Production","DOI":"10.1016/j.jclepro.2017.06.248","ISSN":"0959-6526","journalAbbreviation":"J. Clean. Prod.","language":"en","page":"736-748","source":"ScienceDirect","title":"Processing concepts for the use of green leaves as raw materials for the food industry","volume":"164","author":[{"family":"Tamayo Tenorio","given":"A."},{"family":"Schreuders","given":"F. K. G."},{"family":"Zisopoulos","given":"F. K."},{"family":"Boom","given":"R. M."},{"family":"Goot","given":"A. J.","non-dropping-particle":"van der"}],"issued":{"date-parts":[["2017",10,15]]}}},{"id":5119,"uris":["http://zotero.org/users/6423791/items/6UZKFBBI"],"itemData":{"id":5119,"type":"article-journal","abstract":"Green biomass is a major potential source of proteins for food and feed. This pre-feasibility study evaluates the use of green biomass of buckwheat, phacelia, hemp and oilseed radish grown as intermediate crops (IC) as a feedstock for production of protein concentrates to produce protein-rich food and feed products. We investigated the biomass yield, protein concentration and protein recovery potential of non-fertilized IC, nitrogen-fertilized IC and IC intercropped with legumes, harvested in late summer to autumn during 2017 and 2018 in southern Sweden. In addition, economic assessment of potential protein and fibre feed and food products were evaluated. The results showed that IC fertilized with 40 kg ha-1 N and intercropping with legumes contributed to a higher biomass dry matter (DM) yield of 4.9-5.8 t ha-1 as compared to between 2.2-3.1 t ha-1 for non-fertilized IC. Intercropping with legumes also resulted in higher protein yield of 154 g kg-1 vs. 103 g kg-1 for non-fertilized IC. Among IC, hemp, phacelia and oilseed radish showed up to ca. 25% higher DM yield and up to ca. 70% higher protein concentration as compared to buckwheat. Higher DM yield was obtained when IC were harvested in October and November than in August and September. Economic assessment was made on two feasible protein production pathways; (A) Green and white proteins and (B) total recoverable combined protein fraction (CPF). For all IC, cost per t DM was higher in August due to lower biomass yield as compared to other harvesting months. Nitrogen concentration was the main factor determining the size of revenues. Nitrogen concentration was 34% higher in 2018 compared to 2017 and therefore resulted in higher revenues in that year. Intercropping resulted in higher protein content and therefore contributed to lower breakeven prices of recovered green proteins for all IC. Breakeven price analyses showed that green protein and CPF were economically feasible to market as both bulk and premium products depending on lower (≤2 € kg-1) or higher (2-10 € kg-1) price ranges, respectively. The results demonstrate that use of IC biomass could be a feasible option to produce high value protein-rich products, which can contribute extra income from IC for farmers.","container-title":"Journal of Cleaner Production","DOI":"10.1016/j.jclepro.2021.126304","ISSN":"0959-6526","journalAbbreviation":"J Clean Prod","language":"en","page":"126304","source":"ScienceDirect","title":"Economic viability of protein concentrate production from green biomass of intermediate crops: A pre-feasibility study","title-short":"Economic viability of protein concentrate production from green biomass of intermediate crops","author":[{"family":"Muneer","given":"Faraz"},{"family":"Hovmalm","given":"Helena Persson"},{"family":"Svensson","given":"Sven-Erik"},{"family":"Newson","given":"William R."},{"family":"Johansson","given":"Eva"},{"family":"Prade","given":"Thomas"}],"issued":{"date-parts":[["2021",2,9]]}}}],"schema":"https://github.com/citation-style-language/schema/raw/master/csl-citation.json"} </w:instrText>
      </w:r>
      <w:r>
        <w:fldChar w:fldCharType="separate"/>
      </w:r>
      <w:r w:rsidR="005413B4" w:rsidRPr="005413B4">
        <w:rPr>
          <w:rFonts w:ascii="Calibri" w:hAnsi="Calibri" w:cs="Calibri"/>
          <w:szCs w:val="24"/>
          <w:vertAlign w:val="superscript"/>
        </w:rPr>
        <w:t>272,293</w:t>
      </w:r>
      <w:r>
        <w:fldChar w:fldCharType="end"/>
      </w:r>
      <w:r>
        <w:t xml:space="preserve"> were not specifically modeled.</w:t>
      </w:r>
    </w:p>
    <w:p w14:paraId="2166221D" w14:textId="77777777" w:rsidR="00847C80" w:rsidRPr="00847C80" w:rsidRDefault="00847C80" w:rsidP="003B36AF">
      <w:pPr>
        <w:pStyle w:val="Titre4"/>
      </w:pPr>
      <w:r w:rsidRPr="00847C80">
        <w:t>Pretreatment</w:t>
      </w:r>
    </w:p>
    <w:p w14:paraId="66376556" w14:textId="4AB4F6E0" w:rsidR="00847C80" w:rsidRDefault="00847C80" w:rsidP="003B36AF">
      <w:pPr>
        <w:ind w:firstLine="360"/>
        <w:jc w:val="both"/>
      </w:pPr>
      <w:r>
        <w:t xml:space="preserve">Streams were first discharged to the biorefinery conveyor-belt system and washed to remove undesirable fractions (soil, sand, rocks, etc.) which are detrimental to process operationality. Washing water pumping was accounted, and resulting wastewater was assumed to be reused on field nearby (without specific treatment nor transportation), yet not necessarily replacing irrigation water (depend on location, season, pedoclimatic conditions, etc.). Therefore, this was set as an option </w:t>
      </w:r>
      <w:r w:rsidRPr="008143BC">
        <w:t>(</w:t>
      </w:r>
      <w:r w:rsidR="003B36AF" w:rsidRPr="003B36AF">
        <w:rPr>
          <w:b/>
        </w:rPr>
        <w:fldChar w:fldCharType="begin"/>
      </w:r>
      <w:r w:rsidR="003B36AF" w:rsidRPr="003B36AF">
        <w:rPr>
          <w:b/>
        </w:rPr>
        <w:instrText xml:space="preserve"> REF _Ref144910308 \h  \* MERGEFORMAT </w:instrText>
      </w:r>
      <w:r w:rsidR="003B36AF" w:rsidRPr="003B36AF">
        <w:rPr>
          <w:b/>
        </w:rPr>
      </w:r>
      <w:r w:rsidR="003B36AF" w:rsidRPr="003B36AF">
        <w:rPr>
          <w:b/>
        </w:rPr>
        <w:fldChar w:fldCharType="separate"/>
      </w:r>
      <w:r w:rsidR="00F25F8C" w:rsidRPr="00F25F8C">
        <w:rPr>
          <w:b/>
        </w:rPr>
        <w:t xml:space="preserve">Table SI. </w:t>
      </w:r>
      <w:r w:rsidR="00F25F8C" w:rsidRPr="00F25F8C">
        <w:rPr>
          <w:b/>
          <w:noProof/>
        </w:rPr>
        <w:t>84</w:t>
      </w:r>
      <w:r w:rsidR="003B36AF" w:rsidRPr="003B36AF">
        <w:rPr>
          <w:b/>
        </w:rPr>
        <w:fldChar w:fldCharType="end"/>
      </w:r>
      <w:r w:rsidRPr="008143BC">
        <w:t>).</w:t>
      </w:r>
      <w:r>
        <w:t xml:space="preserve"> The share of water not replacing irrigation was accounted as directly discharged to soil (modeled as a biosphere flow in the inventory). No other pretreatments were considered before the juice separation stage, except maceration (see </w:t>
      </w:r>
      <w:r w:rsidR="003B36AF">
        <w:rPr>
          <w:b/>
        </w:rPr>
        <w:t>next section</w:t>
      </w:r>
      <w:r>
        <w:t>). Heat or weak acid pretreatments, albeit documented</w:t>
      </w:r>
      <w:r>
        <w:fldChar w:fldCharType="begin"/>
      </w:r>
      <w:r w:rsidR="00991F7C">
        <w:instrText xml:space="preserve"> ADDIN ZOTERO_ITEM CSL_CITATION {"citationID":"S8OhGLJ2","properties":{"formattedCitation":"\\super 309,310\\nosupersub{}","plainCitation":"309,310","noteIndex":0},"citationItems":[{"id":11272,"uris":["http://zotero.org/users/6423791/items/NTVJJB2S"],"itemData":{"id":11272,"type":"article-journal","abstract":"In a Green Biorefinery processing green biomass, one possible application for the press-cake fraction is as biomass fuel for combustion. In an industrial setting, the preservation of herbage as silage and its subsequent fractionation into press-juice and press-cake fractions represent the two major process steps in the utilization of green biomass. This study investigated (i) the effects of ensiling and fractionation on the chemical composition of three common temperate grassland species harvested at different stages of maturity and (ii) the suitability of the herbage of these species for thermal combustion. The high contents of ash, N, Cl and K in perennial ryegrass, cocksfoot and red clover, at both pre- and post-ensiling, make these materials less suitable for combustion in certain applications. The loss of soluble/fermentable organic matter during ensiling increased the relative proportions of fibre, ash and N in the herbage, but these changes were relatively minor. In contrast, the substantial reduction in the concentration of compounds such as ash, N, Cl and K during fractionation improved the suitability of the press-cake fraction for combustion compared with the parent material. Press-cake prepared from later-harvested grass herbage with lower ash, S and N contents would be more suitable for combustion.","container-title":"Grass and Forage Science","DOI":"https://doi.org/10.1111/j.1365-2494.2012.00902.x","ISSN":"1365-2494","issue":"4","language":"en","license":"© 2012 Blackwell Publishing Ltd","note":"_eprint: https://onlinelibrary.wiley.com/doi/pdf/10.1111/j.1365-2494.2012.00902.x","page":"559-568","source":"Wiley Online Library","title":"The effect of ensiling and fractionation on the suitability for combustion of three common grassland species at sequential harvest dates","volume":"67","author":[{"family":"McEniry","given":"J."},{"family":"Finnan","given":"J."},{"family":"King","given":"C."},{"family":"O'Kiely","given":"P."}],"issued":{"date-parts":[["2012"]]}}},{"id":11139,"uris":["http://zotero.org/users/6423791/items/2VS9UQXE"],"itemData":{"id":11139,"type":"article-journal","abstract":"The use of semi-natural grasslands for the production of renewable energy through conventional conversion techniques faces major limitations because of chemical and physical properties of the biomass. A new conversion procedure was developed which separates the biomass, as silage, into a liquid phase for biogas production and into a solid fraction to be used as fuel. Separation (mechanical dehydration) is carried out with a screw press after mashing with water (hydrothermal conditioning). The effect of hydrothermal conditioning at different temperatures (5, 60 and 80°C) and mechanical dehydration on mass flows of plant compounds into the press fluid was investigated for five grassland pastures typical of mountain areas of Germany. Results show that 0·18 of the crude fibre was transferred into the fluid, whereas more digestible organic compounds, such as crude protein and nitrogen-free extract, showed mass flows of 0·40 and 0·31 respectively. While 0·52–0·89 of potassium (K), magnesium (Mg) and chloride (Cl), which are detrimental for the combustion of the press cake, were transferred into the press fluid, more than 0·50 of calcium, which has positive combustion properties, remained in the press cake. Significantly (P &lt; 0·05) higher mass flows were detected at conditioning temperatures of 60°C (K and Mg) and 80°C (crude fibre and nitrogen-free extract) compared with the 5°C treatment. Because of the separation of solids and liquids, high proportions of P (0·61–0·74) and K (0·64–0·85) but only 0·32–0·45 of nitrogen exported from the grassland would be recycled with an application of the digestates from the anaerobic digestion of the press liquid.","container-title":"Grass and Forage Science","DOI":"https://doi.org/10.1111/j.1365-2494.2009.00677.x","ISSN":"1365-2494","issue":"2","language":"en","license":"© 2009 Blackwell Publishing Ltd","note":"_eprint: https://onlinelibrary.wiley.com/doi/pdf/10.1111/j.1365-2494.2009.00677.x","page":"132-143","source":"Wiley Online Library","title":"Utilization of semi-natural grassland through integrated generation of solid fuel and biogas from biomass. I. Effects of hydrothermal conditioning and mechanical dehydration on mass flows of organic and mineral plant compounds, and nutrient balances","volume":"64","author":[{"family":"Wachendorf","given":"M."},{"family":"Richter","given":"F."},{"family":"Fricke","given":"T."},{"family":"Graß","given":"R."},{"family":"Neff","given":"R."}],"issued":{"date-parts":[["2009"]]}}}],"schema":"https://github.com/citation-style-language/schema/raw/master/csl-citation.json"} </w:instrText>
      </w:r>
      <w:r>
        <w:fldChar w:fldCharType="separate"/>
      </w:r>
      <w:r w:rsidR="00991F7C" w:rsidRPr="00991F7C">
        <w:rPr>
          <w:rFonts w:ascii="Calibri" w:hAnsi="Calibri" w:cs="Calibri"/>
          <w:szCs w:val="24"/>
          <w:vertAlign w:val="superscript"/>
        </w:rPr>
        <w:t>309,310</w:t>
      </w:r>
      <w:r>
        <w:fldChar w:fldCharType="end"/>
      </w:r>
      <w:r>
        <w:t xml:space="preserve"> , rather target biomass energy valorization, and likely induce negative effects on protein recovery efficiencies (e.g. protein denaturation)</w:t>
      </w:r>
      <w:r>
        <w:fldChar w:fldCharType="begin"/>
      </w:r>
      <w:r w:rsidR="00991F7C">
        <w:instrText xml:space="preserve"> ADDIN ZOTERO_ITEM CSL_CITATION {"citationID":"AfGCfggi","properties":{"formattedCitation":"\\super 311\\nosupersub{}","plainCitation":"311","noteIndex":0},"citationItems":[{"id":10931,"uris":["http://zotero.org/users/6423791/items/52ZVTHWD"],"itemData":{"id":10931,"type":"article-journal","abstract":"This meta-analysis based on 19 studies from Finland comprising 43 grass silages was undertaken to evaluate the effect of silage quality on liquid yield, liquid composition and retained compounds in liquid using four different liquid–solid separation methods. Silages were classified according to species (grass, clover or a mixture of them), additive treatment (no, biological or formic acid-based additive) and harvest (primary growth or regrowth). A mixed model regression analysis with random study effect was used to evaluate the impact of silage characteristics on biorefinery efficiency. There was a large variation in silage quality in the data set. Silage dry-matter concentration was the characteristic most highly correlated with liquid yield for all separation methods, and when used as an independent variable in the model, it resulted in the best predictions. The liquid–solid separation methods presented a great variation in the liquid yield, ranging from 0.26 to 0.56 when silage dry-matter concentration was standardized to 250 g/kg. There was no effect of additive treatment and harvest in the estimation of the biorefinery potential, but species was a significant variable in predicting liquid yield for the laboratory-scale presses with higher liquid yield for mixed grass and legume. The high correlation between silage quality and liquid yield and liquid composition provides potential to predict the biorefinery potential based on equations developed for each separation method. This information can be used to modify the silage production systems so that they best meet the requirements of a green biorefinery process.","container-title":"Grass and Forage Science","DOI":"https://doi.org/10.1111/gfs.12421","ISSN":"1365-2494","issue":"2","language":"en","license":"© 2019 John Wiley &amp; Sons Ltd","note":"_eprint: https://onlinelibrary.wiley.com/doi/pdf/10.1111/gfs.12421","page":"218-230","source":"Wiley Online Library","title":"Grass silage for biorefinery—A meta-analysis of silage factors affecting liquid–solid separation","volume":"74","author":[{"family":"Franco","given":"Marcia"},{"family":"Hurme","given":"Timo"},{"family":"Winquist","given":"Erika"},{"family":"Rinne","given":"Marketta"}],"issued":{"date-parts":[["2019"]]}}}],"schema":"https://github.com/citation-style-language/schema/raw/master/csl-citation.json"} </w:instrText>
      </w:r>
      <w:r>
        <w:fldChar w:fldCharType="separate"/>
      </w:r>
      <w:r w:rsidR="00991F7C" w:rsidRPr="00991F7C">
        <w:rPr>
          <w:rFonts w:ascii="Calibri" w:hAnsi="Calibri" w:cs="Calibri"/>
          <w:szCs w:val="24"/>
          <w:vertAlign w:val="superscript"/>
        </w:rPr>
        <w:t>311</w:t>
      </w:r>
      <w:r>
        <w:fldChar w:fldCharType="end"/>
      </w:r>
      <w:r>
        <w:t>. Other emerging pretreatments such as electric field pulses could enhance protein extractability</w:t>
      </w:r>
      <w:r>
        <w:fldChar w:fldCharType="begin"/>
      </w:r>
      <w:r w:rsidR="00991F7C">
        <w:instrText xml:space="preserve"> ADDIN ZOTERO_ITEM CSL_CITATION {"citationID":"vtNaJ8Nd","properties":{"formattedCitation":"\\super 300,312\\nosupersub{}","plainCitation":"300,312","noteIndex":0},"citationItems":[{"id":10765,"uris":["http://zotero.org/users/6423791/items/9ZF4ICXB"],"itemData":{"id":10765,"type":"article-journal","container-title":"Computers &amp; Chemical Engineering","DOI":"10.1016/j.compchemeng.2016.03.030","ISSN":"00981354","journalAbbreviation":"Comput Chem Eng .","language":"en","page":"257-268","source":"DOI.org (Crossref)","title":"Using product driven process synthesis in the biorefinery","volume":"91","author":[{"family":"Kiskini","given":"Alexandra"},{"family":"Zondervan","given":"Edwin"},{"family":"Wierenga","given":"Peter Alexander"},{"family":"Poiesz","given":"Edwin"},{"family":"Gruppen","given":"Harry"}],"issued":{"date-parts":[["2016",8]]}}},{"id":13558,"uris":["http://zotero.org/users/6423791/items/3Z2JZEUP"],"itemData":{"id":13558,"type":"article-journal","abstract":"In this work we report the new technical feasibility of combining a large-scale screw pressing facility with an industrial-scale pulsed electric field (PEF) system for a great increase in the yields of plant juice and crude protein extracted from freshly harvested blends of perennial ryegrass (Lolium perenne) (70%) and white clover (30%). A disc separator has been successfully utilized for continuous separation of 400 L of raw juice and successive protein precipitated at pH 5.0 and 60°C. The yields of pressed juice and crude protein were increased by around 25% and 31%, respectively. The crude protein content reached 37.3 g/100g in dry matter. In addition to the crude protein, the precipitated sediment contained minerals like Ca, K, Na, Mg and P, which are essential for health and promisingly interesting for future applications such as food alternatives. Microbial status, chemical compositions, macromolecular sizes and fat-protein microstructures of the samples collected at different process steps were explored, which allows for a better understanding of pilot-scale extraction processes and optimization. This study indicated a great potential for protein extraction from green biomass and for future food applications.","container-title":"Future Foods","DOI":"10.1016/j.fufo.2022.100173","ISSN":"2666-8335","journalAbbreviation":"Future Foods","language":"en","page":"100173","source":"ScienceDirect","title":"Extraction of protein from juice blend of grass and clover pressed by a pilot pressing facility combined with a pulsed electric field treatment","author":[{"family":"Guo","given":"Xiaoai"},{"family":"Aganovic","given":"Kemal"},{"family":"Bindrich","given":"Ute"},{"family":"Juadjur","given":"Andreas"},{"family":"Hertel","given":"Christian"},{"family":"Ebert","given":"Edward"},{"family":"Macke","given":"Johannes","dropping-particle":"große"},{"family":"Geil","given":"Christoph"},{"family":"Heinz","given":"Volker"}],"issued":{"date-parts":[["2022",7,16]]}}}],"schema":"https://github.com/citation-style-language/schema/raw/master/csl-citation.json"} </w:instrText>
      </w:r>
      <w:r>
        <w:fldChar w:fldCharType="separate"/>
      </w:r>
      <w:r w:rsidR="00991F7C" w:rsidRPr="00991F7C">
        <w:rPr>
          <w:rFonts w:ascii="Calibri" w:hAnsi="Calibri" w:cs="Calibri"/>
          <w:szCs w:val="24"/>
          <w:vertAlign w:val="superscript"/>
        </w:rPr>
        <w:t>300,312</w:t>
      </w:r>
      <w:r>
        <w:fldChar w:fldCharType="end"/>
      </w:r>
      <w:r>
        <w:t xml:space="preserve">, but not enough data exist to document the performances and model them. Similarly, leaves and stems separation as well as visual sorting of </w:t>
      </w:r>
      <w:r>
        <w:lastRenderedPageBreak/>
        <w:t>damaged or discolored leaves were not considered as these actions are not seen implementable at the industrial scale under current circumstances</w:t>
      </w:r>
      <w:r>
        <w:fldChar w:fldCharType="begin"/>
      </w:r>
      <w:r w:rsidR="005413B4">
        <w:instrText xml:space="preserve"> ADDIN ZOTERO_ITEM CSL_CITATION {"citationID":"e1mFFzv9","properties":{"formattedCitation":"\\super 272,275\\nosupersub{}","plainCitation":"272,275","noteIndex":0},"citationItems":[{"id":12426,"uris":["http://zotero.org/users/6423791/items/GS4RZCAW"],"itemData":{"id":12426,"type":"article-journal","abstract":"This pre-feasibility study evaluates the use of residual leafy green biomass from broccoli (Brassica oleracea, var. Italica) and kale (Brassica oleracea, var. Sabellica) as feedstock for protein fractionation and potential application of the fractions in food and feed products. The protein concentration, protein recovery potential and the content of phenols and dietary ﬁbre in these biomass sources and fractions were investigated. Field produce and side-stream analysis showed that among broccoli and kale side-streams the potentially suitable leaves for protein fractionation constitute up to 16 and 1.9 t/ha (DM content), respectively. Fractionation demonstrated that between 34–42 and 25–34 kg total protein could be extracted per t DM of broccoli and kale residue leaves, respectively. The amount of protein was generally high in green protein fraction (GPF) and the white protein concentrate (WPC) of both crops, although signiﬁcantly higher in broccoli compared to kale. The recovery of bound and free phenolic compounds was up to 18% in the GPF of both crops, while only 0.4% ended up in the WPC. The economic assessment showed that the feedstock and processing costs of producing GPF and WPC, as well as of the combined protein fraction (CPF) 1.9–6.0 and 1.3–3.9 times higher than expected revenues for broccoli and kale, respectively, indicating that the production of protein fractions is not economically feasible with the current production scheme. However, potentially higher revenues may be obtained if value-added products such as fractionated phenols and dietary ﬁbre components are also included and investigated in future production schemes. The pathway investigated, that included a direct drying and milling of leaf biomass showed a low processing cost and thereby the most favourable economic alternative, with approx. 7–30% proﬁt for kale, while for broccoli revenues covered only 44–47% of the costs due to the extra harvest cost of the broccoli leaves.","container-title":"Food and Bioproducts Processing","DOI":"10.1016/j.fbp.2021.10.004","ISSN":"09603085","journalAbbreviation":"FBP","language":"en","page":"229-243","source":"DOI.org (Crossref)","title":"Protein fractionation of broccoli (Brassica oleracea, var. Italica) and kale (Brassica oleracea, var. Sabellica) residual leaves — A pre-feasibility assessment and evaluation of fraction phenol and fibre content","volume":"130","author":[{"family":"Prade","given":"Thomas"},{"family":"Muneer","given":"Faraz"},{"family":"Berndtsson","given":"Emilia"},{"family":"Nynäs","given":"Anna-Lovisa"},{"family":"Svensson","given":"Sven-Erik"},{"family":"Newson","given":"William R."},{"family":"Johansson","given":"Eva"}],"issued":{"date-parts":[["2021",11]]}}},{"id":9255,"uris":["http://zotero.org/users/6423791/items/9EZA9MQK"],"itemData":{"id":9255,"type":"article-journal","abstract":"Large-scale processing of leaves for food applications requires quick processing or stabilisation to avoid perishability, due to the high moisture content in this biomass. Leaf perishability is compounded by the seasonal availability of crops, like sugar beet plants, of which the leaves are regarded as a potential protein source. This study evaluates the resource efficiency of a hypothetical sugar beet leaf processing chain by comparing supply chain options. First, two options consider leaf processing with and without stabilising the leaves by freezing. Then, these two options are considered in a centralised and decentralised process configuration. The latter places leaf freezing and pressing at the farm and further processes occur at a central facility. Energy usage and exergy consumption were used to quantify the thermodynamic performance of the processing options. Freezing has negligible effect on the process-ability of the leaves in terms of protein content and protein yield. The overall resource efficiency of the process was dominated by the amount of leaf material effectively used, which stresses the importance of full use of all (side-)streams. This outcome also explains the limited additional energy requirements for freezing. Exergetic indicators were affected by variations on the dry matter content of the starting biomass, compared to a negligible effect of other parameters (equipment scale, efficiency or energy use). Transportation load and soil quality were also discussed for the centralised and decentralised configurations. On-farm processing of the leaves (decentralised chain) clearly reduces the transportation load due to the large difference in bulk densities of leaves (73 kg/m3) and leaf juice (1000 kg/m3). Additionally, decentralised scenarios enable direct returning of the leaf pulp to the soil and thereby improving soil quality (i.e. nutrient retention and fertility). Soil quality is required to fully assess the use of biomass that is currently regarded as waste, but that actually plays a role in soil fertility. Therefore, the preferred chain configuration would be a decentralised system where the leaves are directly pressed at the farm, the pulp is used to fertilise the soil, and the leaf juice is chilled transported to a centralised factory.","container-title":"Journal of Cleaner Production","DOI":"10.1016/j.jclepro.2017.06.248","ISSN":"0959-6526","journalAbbreviation":"J. Clean. Prod.","language":"en","page":"736-748","source":"ScienceDirect","title":"Processing concepts for the use of green leaves as raw materials for the food industry","volume":"164","author":[{"family":"Tamayo Tenorio","given":"A."},{"family":"Schreuders","given":"F. K. G."},{"family":"Zisopoulos","given":"F. K."},{"family":"Boom","given":"R. M."},{"family":"Goot","given":"A. J.","non-dropping-particle":"van der"}],"issued":{"date-parts":[["2017",10,15]]}}}],"schema":"https://github.com/citation-style-language/schema/raw/master/csl-citation.json"} </w:instrText>
      </w:r>
      <w:r>
        <w:fldChar w:fldCharType="separate"/>
      </w:r>
      <w:r w:rsidR="005413B4" w:rsidRPr="005413B4">
        <w:rPr>
          <w:rFonts w:ascii="Calibri" w:hAnsi="Calibri" w:cs="Calibri"/>
          <w:szCs w:val="24"/>
          <w:vertAlign w:val="superscript"/>
        </w:rPr>
        <w:t>272,275</w:t>
      </w:r>
      <w:r>
        <w:fldChar w:fldCharType="end"/>
      </w:r>
      <w:r>
        <w:t>. Equipment and facilities were estimated using a global proxy for the whole biorefinery (</w:t>
      </w:r>
      <w:r w:rsidR="00A03425" w:rsidRPr="00A03425">
        <w:rPr>
          <w:b/>
        </w:rPr>
        <w:fldChar w:fldCharType="begin"/>
      </w:r>
      <w:r w:rsidR="00A03425" w:rsidRPr="00A03425">
        <w:rPr>
          <w:b/>
        </w:rPr>
        <w:instrText xml:space="preserve"> REF _Ref144911530 \h </w:instrText>
      </w:r>
      <w:r w:rsidR="00A03425">
        <w:rPr>
          <w:b/>
        </w:rPr>
        <w:instrText xml:space="preserve"> \* MERGEFORMAT </w:instrText>
      </w:r>
      <w:r w:rsidR="00A03425" w:rsidRPr="00A03425">
        <w:rPr>
          <w:b/>
        </w:rPr>
      </w:r>
      <w:r w:rsidR="00A03425" w:rsidRPr="00A03425">
        <w:rPr>
          <w:b/>
        </w:rPr>
        <w:fldChar w:fldCharType="separate"/>
      </w:r>
      <w:r w:rsidR="00F25F8C" w:rsidRPr="00F25F8C">
        <w:rPr>
          <w:b/>
        </w:rPr>
        <w:t xml:space="preserve">Table SI. </w:t>
      </w:r>
      <w:r w:rsidR="00F25F8C" w:rsidRPr="00F25F8C">
        <w:rPr>
          <w:b/>
          <w:noProof/>
        </w:rPr>
        <w:t>93</w:t>
      </w:r>
      <w:r w:rsidR="00A03425" w:rsidRPr="00A03425">
        <w:rPr>
          <w:b/>
        </w:rPr>
        <w:fldChar w:fldCharType="end"/>
      </w:r>
      <w:r>
        <w:t>).</w:t>
      </w:r>
    </w:p>
    <w:p w14:paraId="763773EC" w14:textId="3F29AC76" w:rsidR="00847C80" w:rsidRPr="008143BC" w:rsidRDefault="00874128" w:rsidP="00942782">
      <w:pPr>
        <w:pStyle w:val="Lgende"/>
        <w:jc w:val="left"/>
        <w:rPr>
          <w:rFonts w:cs="Times New Roman"/>
          <w:b w:val="0"/>
          <w:i/>
        </w:rPr>
      </w:pPr>
      <w:bookmarkStart w:id="367" w:name="_Ref144910308"/>
      <w:bookmarkStart w:id="368" w:name="_Toc134537681"/>
      <w:bookmarkStart w:id="369" w:name="_Toc151967968"/>
      <w:r>
        <w:t>Table SI.</w:t>
      </w:r>
      <w:r w:rsidR="00847C80">
        <w:t xml:space="preserve"> </w:t>
      </w:r>
      <w:r>
        <w:fldChar w:fldCharType="begin"/>
      </w:r>
      <w:r>
        <w:instrText xml:space="preserve"> SEQ Table_SI. \* ARABIC </w:instrText>
      </w:r>
      <w:r>
        <w:fldChar w:fldCharType="separate"/>
      </w:r>
      <w:r w:rsidR="00F25F8C">
        <w:rPr>
          <w:noProof/>
        </w:rPr>
        <w:t>84</w:t>
      </w:r>
      <w:r>
        <w:fldChar w:fldCharType="end"/>
      </w:r>
      <w:bookmarkEnd w:id="367"/>
      <w:r w:rsidR="00847C80">
        <w:t xml:space="preserve"> </w:t>
      </w:r>
      <w:r w:rsidR="00847C80" w:rsidRPr="00E105F3">
        <w:rPr>
          <w:rFonts w:cs="Times New Roman"/>
        </w:rPr>
        <w:t>– GB pretreatment modeling parameters</w:t>
      </w:r>
      <w:bookmarkEnd w:id="368"/>
      <w:bookmarkEnd w:id="369"/>
    </w:p>
    <w:tbl>
      <w:tblPr>
        <w:tblStyle w:val="Tableausimple2"/>
        <w:tblW w:w="0" w:type="auto"/>
        <w:jc w:val="center"/>
        <w:tblLook w:val="04A0" w:firstRow="1" w:lastRow="0" w:firstColumn="1" w:lastColumn="0" w:noHBand="0" w:noVBand="1"/>
      </w:tblPr>
      <w:tblGrid>
        <w:gridCol w:w="1610"/>
        <w:gridCol w:w="1087"/>
        <w:gridCol w:w="699"/>
        <w:gridCol w:w="679"/>
        <w:gridCol w:w="4997"/>
      </w:tblGrid>
      <w:tr w:rsidR="00847C80" w:rsidRPr="006F3D27" w14:paraId="2DE96458" w14:textId="77777777" w:rsidTr="006F3D27">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48672337" w14:textId="77777777" w:rsidR="00847C80" w:rsidRPr="006F3D27" w:rsidRDefault="00847C80" w:rsidP="00847C80">
            <w:pPr>
              <w:jc w:val="right"/>
              <w:rPr>
                <w:sz w:val="18"/>
              </w:rPr>
            </w:pPr>
            <w:r w:rsidRPr="006F3D27">
              <w:rPr>
                <w:sz w:val="18"/>
              </w:rPr>
              <w:t>Parameter</w:t>
            </w:r>
          </w:p>
        </w:tc>
        <w:tc>
          <w:tcPr>
            <w:tcW w:w="1087" w:type="dxa"/>
          </w:tcPr>
          <w:p w14:paraId="37BEBFD6" w14:textId="77777777" w:rsidR="00847C80" w:rsidRPr="006F3D27" w:rsidRDefault="00847C80" w:rsidP="00847C80">
            <w:pPr>
              <w:cnfStyle w:val="100000000000" w:firstRow="1" w:lastRow="0" w:firstColumn="0" w:lastColumn="0" w:oddVBand="0" w:evenVBand="0" w:oddHBand="0" w:evenHBand="0" w:firstRowFirstColumn="0" w:firstRowLastColumn="0" w:lastRowFirstColumn="0" w:lastRowLastColumn="0"/>
              <w:rPr>
                <w:sz w:val="18"/>
              </w:rPr>
            </w:pPr>
            <w:r w:rsidRPr="006F3D27">
              <w:rPr>
                <w:sz w:val="18"/>
              </w:rPr>
              <w:t>Unit</w:t>
            </w:r>
          </w:p>
        </w:tc>
        <w:tc>
          <w:tcPr>
            <w:tcW w:w="699" w:type="dxa"/>
          </w:tcPr>
          <w:p w14:paraId="2BD239D4" w14:textId="77777777" w:rsidR="00847C80" w:rsidRPr="006F3D27" w:rsidRDefault="00847C80" w:rsidP="00847C80">
            <w:pPr>
              <w:cnfStyle w:val="100000000000" w:firstRow="1" w:lastRow="0" w:firstColumn="0" w:lastColumn="0" w:oddVBand="0" w:evenVBand="0" w:oddHBand="0" w:evenHBand="0" w:firstRowFirstColumn="0" w:firstRowLastColumn="0" w:lastRowFirstColumn="0" w:lastRowLastColumn="0"/>
              <w:rPr>
                <w:sz w:val="18"/>
              </w:rPr>
            </w:pPr>
            <w:r w:rsidRPr="006F3D27">
              <w:rPr>
                <w:sz w:val="18"/>
              </w:rPr>
              <w:t>Value</w:t>
            </w:r>
          </w:p>
        </w:tc>
        <w:tc>
          <w:tcPr>
            <w:tcW w:w="679" w:type="dxa"/>
          </w:tcPr>
          <w:p w14:paraId="3B013FA0" w14:textId="77777777" w:rsidR="00847C80" w:rsidRPr="006F3D27" w:rsidRDefault="00847C80" w:rsidP="00847C80">
            <w:pPr>
              <w:cnfStyle w:val="100000000000" w:firstRow="1" w:lastRow="0" w:firstColumn="0" w:lastColumn="0" w:oddVBand="0" w:evenVBand="0" w:oddHBand="0" w:evenHBand="0" w:firstRowFirstColumn="0" w:firstRowLastColumn="0" w:lastRowFirstColumn="0" w:lastRowLastColumn="0"/>
              <w:rPr>
                <w:sz w:val="18"/>
              </w:rPr>
            </w:pPr>
            <w:r w:rsidRPr="006F3D27">
              <w:rPr>
                <w:sz w:val="18"/>
              </w:rPr>
              <w:t>Range</w:t>
            </w:r>
          </w:p>
        </w:tc>
        <w:tc>
          <w:tcPr>
            <w:tcW w:w="0" w:type="auto"/>
          </w:tcPr>
          <w:p w14:paraId="39F2AD26" w14:textId="77777777" w:rsidR="00847C80" w:rsidRPr="006F3D27" w:rsidRDefault="00847C80" w:rsidP="003B36AF">
            <w:pPr>
              <w:cnfStyle w:val="100000000000" w:firstRow="1" w:lastRow="0" w:firstColumn="0" w:lastColumn="0" w:oddVBand="0" w:evenVBand="0" w:oddHBand="0" w:evenHBand="0" w:firstRowFirstColumn="0" w:firstRowLastColumn="0" w:lastRowFirstColumn="0" w:lastRowLastColumn="0"/>
              <w:rPr>
                <w:sz w:val="18"/>
              </w:rPr>
            </w:pPr>
            <w:r w:rsidRPr="006F3D27">
              <w:rPr>
                <w:sz w:val="18"/>
              </w:rPr>
              <w:t>Comment</w:t>
            </w:r>
          </w:p>
        </w:tc>
      </w:tr>
      <w:tr w:rsidR="00847C80" w:rsidRPr="006F3D27" w14:paraId="26163BF2"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6DBB6021" w14:textId="77777777" w:rsidR="00847C80" w:rsidRPr="006F3D27" w:rsidRDefault="00847C80" w:rsidP="00847C80">
            <w:pPr>
              <w:jc w:val="right"/>
              <w:rPr>
                <w:b w:val="0"/>
                <w:sz w:val="18"/>
              </w:rPr>
            </w:pPr>
            <w:r w:rsidRPr="006F3D27">
              <w:rPr>
                <w:b w:val="0"/>
                <w:sz w:val="18"/>
              </w:rPr>
              <w:t>Feed-in conveyor energy</w:t>
            </w:r>
          </w:p>
        </w:tc>
        <w:tc>
          <w:tcPr>
            <w:tcW w:w="1087" w:type="dxa"/>
          </w:tcPr>
          <w:p w14:paraId="4863BBDD"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kWh.t</w:t>
            </w:r>
            <w:r w:rsidRPr="006F3D27">
              <w:rPr>
                <w:sz w:val="18"/>
                <w:vertAlign w:val="subscript"/>
              </w:rPr>
              <w:t>ww</w:t>
            </w:r>
            <w:r w:rsidRPr="006F3D27">
              <w:rPr>
                <w:sz w:val="18"/>
                <w:vertAlign w:val="superscript"/>
              </w:rPr>
              <w:t>-1</w:t>
            </w:r>
          </w:p>
        </w:tc>
        <w:tc>
          <w:tcPr>
            <w:tcW w:w="699" w:type="dxa"/>
          </w:tcPr>
          <w:p w14:paraId="352ADA16"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0.12</w:t>
            </w:r>
          </w:p>
        </w:tc>
        <w:tc>
          <w:tcPr>
            <w:tcW w:w="679" w:type="dxa"/>
          </w:tcPr>
          <w:p w14:paraId="47FD5ECD"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rPr>
            </w:pPr>
          </w:p>
        </w:tc>
        <w:tc>
          <w:tcPr>
            <w:tcW w:w="0" w:type="auto"/>
            <w:vMerge w:val="restart"/>
          </w:tcPr>
          <w:p w14:paraId="5E2AAC06" w14:textId="63580325" w:rsidR="00847C80" w:rsidRPr="006F3D27" w:rsidRDefault="00847C80" w:rsidP="003B36AF">
            <w:pPr>
              <w:cnfStyle w:val="000000100000" w:firstRow="0" w:lastRow="0" w:firstColumn="0" w:lastColumn="0" w:oddVBand="0" w:evenVBand="0" w:oddHBand="1" w:evenHBand="0" w:firstRowFirstColumn="0" w:firstRowLastColumn="0" w:lastRowFirstColumn="0" w:lastRowLastColumn="0"/>
              <w:rPr>
                <w:i/>
                <w:sz w:val="18"/>
              </w:rPr>
            </w:pPr>
            <w:r w:rsidRPr="006F3D27">
              <w:rPr>
                <w:i/>
                <w:sz w:val="18"/>
              </w:rPr>
              <w:fldChar w:fldCharType="begin"/>
            </w:r>
            <w:r w:rsidR="005413B4">
              <w:rPr>
                <w:i/>
                <w:sz w:val="18"/>
              </w:rPr>
              <w:instrText xml:space="preserve"> ADDIN ZOTERO_ITEM CSL_CITATION {"citationID":"38WsrBji","properties":{"formattedCitation":"\\super 295\\nosupersub{}","plainCitation":"295","noteIndex":0},"citationItems":[{"id":399,"uris":["http://zotero.org/users/6423791/items/VKZ573LE"],"itemData":{"id":399,"type":"article-journal","abstract":"Green bioreﬁnery” (GBR) could be an alternative option for using grassland biomass. GBR involves applying technology to chemically and physically fractionate (split) biomass such as grass and grass silage into marketable products. From the grass ﬁbre fraction insulation materials can be produced. From the grass juice fraction, proteinaceous products for animal feed and lactic acid (LA) for plastic production (polylactic acid e PLA) can be produced. This paper is the ﬁrst part in the analysis to develop a blueprint for a ﬁrst generation Irish GBR system. The focus of this paper is on the technical aspects of developing three GBR system models and subsequent scenario analyses. The three GBR system models were a combination of feedstock system and bioreﬁnery technology; Grass/silageebasic technology (GS), Silageebasic technology (S) and SilageeHigh Tech (AT). The models, which were integrated mass and energy balances, were then assessed at the three different input volumes, to generate nine scenarios. The scenarios which required further economic analysis in a companion paper to determine their overall feasibility (technical and economic) in the development of blueprint for a ﬁrst generation Irish GBR system were identiﬁed. From the technical analysis outlined in this paper six scenarios were identiﬁed which require further economic analysis. These were scenarios generated for the GS, S and AT GBR systems, at two input volume rates.","container-title":"Biomass and Bioenergy","DOI":"10.1016/j.biombioe.2011.06.017","ISSN":"09619534","issue":"11","journalAbbreviation":"Biomass Bioenergy.","language":"en","page":"4712-4723","source":"DOI.org (Crossref)","title":"I. Technical assessment for first generation green biorefinery (GBR) using mass and energy balances: Scenarios for an Irish GBR blueprint","title-short":"I. Technical assessment for first generation green biorefinery (GBR) using mass and energy balances","volume":"35","author":[{"family":"O’Keeffe","given":"S."},{"family":"Schulte","given":"R.P.O."},{"family":"Sanders","given":"J.P.M."},{"family":"Struik","given":"P.C."}],"issued":{"date-parts":[["2011",11]]}}}],"schema":"https://github.com/citation-style-language/schema/raw/master/csl-citation.json"} </w:instrText>
            </w:r>
            <w:r w:rsidRPr="006F3D27">
              <w:rPr>
                <w:i/>
                <w:sz w:val="18"/>
              </w:rPr>
              <w:fldChar w:fldCharType="separate"/>
            </w:r>
            <w:r w:rsidR="005413B4" w:rsidRPr="005413B4">
              <w:rPr>
                <w:rFonts w:ascii="Calibri" w:hAnsi="Calibri" w:cs="Calibri"/>
                <w:sz w:val="18"/>
                <w:szCs w:val="24"/>
                <w:vertAlign w:val="superscript"/>
              </w:rPr>
              <w:t>295</w:t>
            </w:r>
            <w:r w:rsidRPr="006F3D27">
              <w:rPr>
                <w:i/>
                <w:sz w:val="18"/>
              </w:rPr>
              <w:fldChar w:fldCharType="end"/>
            </w:r>
          </w:p>
        </w:tc>
      </w:tr>
      <w:tr w:rsidR="00847C80" w:rsidRPr="006F3D27" w14:paraId="24473495"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3E067D9E" w14:textId="77777777" w:rsidR="00847C80" w:rsidRPr="006F3D27" w:rsidRDefault="00847C80" w:rsidP="00847C80">
            <w:pPr>
              <w:jc w:val="right"/>
              <w:rPr>
                <w:b w:val="0"/>
                <w:sz w:val="18"/>
              </w:rPr>
            </w:pPr>
            <w:r w:rsidRPr="006F3D27">
              <w:rPr>
                <w:b w:val="0"/>
                <w:sz w:val="18"/>
              </w:rPr>
              <w:t>Washing water pumping</w:t>
            </w:r>
          </w:p>
        </w:tc>
        <w:tc>
          <w:tcPr>
            <w:tcW w:w="1087" w:type="dxa"/>
          </w:tcPr>
          <w:p w14:paraId="1A0DF3E9"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kWh.kg</w:t>
            </w:r>
            <w:r w:rsidRPr="006F3D27">
              <w:rPr>
                <w:sz w:val="18"/>
                <w:vertAlign w:val="subscript"/>
              </w:rPr>
              <w:t>water</w:t>
            </w:r>
            <w:r w:rsidRPr="006F3D27">
              <w:rPr>
                <w:sz w:val="18"/>
                <w:vertAlign w:val="superscript"/>
              </w:rPr>
              <w:t>-1</w:t>
            </w:r>
          </w:p>
        </w:tc>
        <w:tc>
          <w:tcPr>
            <w:tcW w:w="699" w:type="dxa"/>
          </w:tcPr>
          <w:p w14:paraId="2452FF7F"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0.7</w:t>
            </w:r>
          </w:p>
        </w:tc>
        <w:tc>
          <w:tcPr>
            <w:tcW w:w="679" w:type="dxa"/>
          </w:tcPr>
          <w:p w14:paraId="1F207A6A"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rPr>
            </w:pPr>
          </w:p>
        </w:tc>
        <w:tc>
          <w:tcPr>
            <w:tcW w:w="0" w:type="auto"/>
            <w:vMerge/>
          </w:tcPr>
          <w:p w14:paraId="3C04EEBA" w14:textId="77777777" w:rsidR="00847C80" w:rsidRPr="006F3D27" w:rsidRDefault="00847C80" w:rsidP="003B36AF">
            <w:pPr>
              <w:cnfStyle w:val="000000000000" w:firstRow="0" w:lastRow="0" w:firstColumn="0" w:lastColumn="0" w:oddVBand="0" w:evenVBand="0" w:oddHBand="0" w:evenHBand="0" w:firstRowFirstColumn="0" w:firstRowLastColumn="0" w:lastRowFirstColumn="0" w:lastRowLastColumn="0"/>
              <w:rPr>
                <w:i/>
                <w:sz w:val="18"/>
              </w:rPr>
            </w:pPr>
          </w:p>
        </w:tc>
      </w:tr>
      <w:tr w:rsidR="00847C80" w:rsidRPr="006F3D27" w14:paraId="0770C429"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5AB8F7E4" w14:textId="77777777" w:rsidR="00847C80" w:rsidRPr="006F3D27" w:rsidRDefault="00847C80" w:rsidP="00847C80">
            <w:pPr>
              <w:jc w:val="right"/>
              <w:rPr>
                <w:b w:val="0"/>
                <w:sz w:val="18"/>
              </w:rPr>
            </w:pPr>
            <w:r w:rsidRPr="006F3D27">
              <w:rPr>
                <w:b w:val="0"/>
                <w:sz w:val="18"/>
              </w:rPr>
              <w:t>Washing water</w:t>
            </w:r>
          </w:p>
        </w:tc>
        <w:tc>
          <w:tcPr>
            <w:tcW w:w="1087" w:type="dxa"/>
          </w:tcPr>
          <w:p w14:paraId="050AD5C6"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m</w:t>
            </w:r>
            <w:r w:rsidRPr="006F3D27">
              <w:rPr>
                <w:sz w:val="18"/>
                <w:vertAlign w:val="superscript"/>
              </w:rPr>
              <w:t>3</w:t>
            </w:r>
            <w:r w:rsidRPr="006F3D27">
              <w:rPr>
                <w:sz w:val="18"/>
              </w:rPr>
              <w:t>.t</w:t>
            </w:r>
            <w:r w:rsidRPr="006F3D27">
              <w:rPr>
                <w:sz w:val="18"/>
                <w:vertAlign w:val="subscript"/>
              </w:rPr>
              <w:t>ww</w:t>
            </w:r>
            <w:r w:rsidRPr="006F3D27">
              <w:rPr>
                <w:sz w:val="18"/>
                <w:vertAlign w:val="superscript"/>
              </w:rPr>
              <w:t>-1</w:t>
            </w:r>
          </w:p>
        </w:tc>
        <w:tc>
          <w:tcPr>
            <w:tcW w:w="699" w:type="dxa"/>
          </w:tcPr>
          <w:p w14:paraId="0BB7CEA5"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33</w:t>
            </w:r>
          </w:p>
        </w:tc>
        <w:tc>
          <w:tcPr>
            <w:tcW w:w="679" w:type="dxa"/>
          </w:tcPr>
          <w:p w14:paraId="257F4EE2"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12-87</w:t>
            </w:r>
          </w:p>
        </w:tc>
        <w:tc>
          <w:tcPr>
            <w:tcW w:w="0" w:type="auto"/>
          </w:tcPr>
          <w:p w14:paraId="2001FDC2" w14:textId="7BB42D9E" w:rsidR="00847C80" w:rsidRPr="006F3D27" w:rsidRDefault="00847C80" w:rsidP="003B36AF">
            <w:pPr>
              <w:cnfStyle w:val="000000100000" w:firstRow="0" w:lastRow="0" w:firstColumn="0" w:lastColumn="0" w:oddVBand="0" w:evenVBand="0" w:oddHBand="1" w:evenHBand="0" w:firstRowFirstColumn="0" w:firstRowLastColumn="0" w:lastRowFirstColumn="0" w:lastRowLastColumn="0"/>
              <w:rPr>
                <w:i/>
                <w:sz w:val="18"/>
              </w:rPr>
            </w:pPr>
            <w:r w:rsidRPr="006F3D27">
              <w:rPr>
                <w:i/>
                <w:sz w:val="18"/>
              </w:rPr>
              <w:t>Proxy from the spinach processing industry</w:t>
            </w:r>
            <w:r w:rsidRPr="006F3D27">
              <w:rPr>
                <w:i/>
                <w:sz w:val="18"/>
              </w:rPr>
              <w:fldChar w:fldCharType="begin"/>
            </w:r>
            <w:r w:rsidR="005413B4">
              <w:rPr>
                <w:i/>
                <w:sz w:val="18"/>
              </w:rPr>
              <w:instrText xml:space="preserve"> ADDIN ZOTERO_ITEM CSL_CITATION {"citationID":"aAHZVSeT","properties":{"formattedCitation":"\\super 313\\nosupersub{}","plainCitation":"313","noteIndex":0},"citationItems":[{"id":14041,"uris":["http://zotero.org/users/6423791/items/LK2WC2Y4"],"itemData":{"id":14041,"type":"webpage","title":"Water and Wastewater Use in the Food Processing Industry","URL":"https://www.foodnorthwest.org/index.php?option=com_content&amp;view=article&amp;id=83%3Awater-and-wastewater-use-in-the-food-processing-industry&amp;catid=20%3Asite-content&amp;showall=1&amp;id=83:water-and-wastewater-use-in-the-food-processing-industry","author":[{"literal":"FoodNorthWest"}],"accessed":{"date-parts":[["2023",1,20]]},"issued":{"date-parts":[["2020"]]}}}],"schema":"https://github.com/citation-style-language/schema/raw/master/csl-citation.json"} </w:instrText>
            </w:r>
            <w:r w:rsidRPr="006F3D27">
              <w:rPr>
                <w:i/>
                <w:sz w:val="18"/>
              </w:rPr>
              <w:fldChar w:fldCharType="separate"/>
            </w:r>
            <w:r w:rsidR="005413B4" w:rsidRPr="005413B4">
              <w:rPr>
                <w:rFonts w:ascii="Calibri" w:hAnsi="Calibri" w:cs="Calibri"/>
                <w:sz w:val="18"/>
                <w:szCs w:val="24"/>
                <w:vertAlign w:val="superscript"/>
              </w:rPr>
              <w:t>313</w:t>
            </w:r>
            <w:r w:rsidRPr="006F3D27">
              <w:rPr>
                <w:i/>
                <w:sz w:val="18"/>
              </w:rPr>
              <w:fldChar w:fldCharType="end"/>
            </w:r>
          </w:p>
        </w:tc>
      </w:tr>
      <w:tr w:rsidR="00847C80" w:rsidRPr="006F3D27" w14:paraId="58AEC9C9" w14:textId="77777777" w:rsidTr="006F3D27">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0C2213B7" w14:textId="77777777" w:rsidR="00847C80" w:rsidRPr="006F3D27" w:rsidRDefault="00847C80" w:rsidP="00847C80">
            <w:pPr>
              <w:jc w:val="right"/>
              <w:rPr>
                <w:b w:val="0"/>
                <w:sz w:val="18"/>
              </w:rPr>
            </w:pPr>
            <w:r w:rsidRPr="006F3D27">
              <w:rPr>
                <w:b w:val="0"/>
                <w:sz w:val="18"/>
              </w:rPr>
              <w:t>Irrigation replacement</w:t>
            </w:r>
          </w:p>
        </w:tc>
        <w:tc>
          <w:tcPr>
            <w:tcW w:w="1087" w:type="dxa"/>
          </w:tcPr>
          <w:p w14:paraId="125B1D83"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w:t>
            </w:r>
          </w:p>
        </w:tc>
        <w:tc>
          <w:tcPr>
            <w:tcW w:w="699" w:type="dxa"/>
          </w:tcPr>
          <w:p w14:paraId="4C87EFC0"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50%</w:t>
            </w:r>
          </w:p>
        </w:tc>
        <w:tc>
          <w:tcPr>
            <w:tcW w:w="679" w:type="dxa"/>
          </w:tcPr>
          <w:p w14:paraId="16056554"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rPr>
            </w:pPr>
            <w:r w:rsidRPr="006F3D27">
              <w:rPr>
                <w:sz w:val="18"/>
              </w:rPr>
              <w:t>0-100%</w:t>
            </w:r>
          </w:p>
        </w:tc>
        <w:tc>
          <w:tcPr>
            <w:tcW w:w="0" w:type="auto"/>
          </w:tcPr>
          <w:p w14:paraId="680D136A" w14:textId="77777777" w:rsidR="00847C80" w:rsidRPr="006F3D27" w:rsidRDefault="00847C80" w:rsidP="003B36AF">
            <w:pPr>
              <w:cnfStyle w:val="000000000000" w:firstRow="0" w:lastRow="0" w:firstColumn="0" w:lastColumn="0" w:oddVBand="0" w:evenVBand="0" w:oddHBand="0" w:evenHBand="0" w:firstRowFirstColumn="0" w:firstRowLastColumn="0" w:lastRowFirstColumn="0" w:lastRowLastColumn="0"/>
              <w:rPr>
                <w:i/>
                <w:sz w:val="18"/>
              </w:rPr>
            </w:pPr>
            <w:r w:rsidRPr="006F3D27">
              <w:rPr>
                <w:i/>
                <w:sz w:val="18"/>
              </w:rPr>
              <w:t>To account for the potential reuse of washing wastewater. Full variation range as depend on the specific context.</w:t>
            </w:r>
          </w:p>
        </w:tc>
      </w:tr>
      <w:tr w:rsidR="00847C80" w:rsidRPr="006F3D27" w14:paraId="15B4A4F1" w14:textId="77777777" w:rsidTr="006F3D2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447FFCA9" w14:textId="77777777" w:rsidR="00847C80" w:rsidRPr="006F3D27" w:rsidRDefault="00847C80" w:rsidP="00847C80">
            <w:pPr>
              <w:jc w:val="right"/>
              <w:rPr>
                <w:b w:val="0"/>
                <w:sz w:val="18"/>
              </w:rPr>
            </w:pPr>
            <w:r w:rsidRPr="006F3D27">
              <w:rPr>
                <w:b w:val="0"/>
                <w:sz w:val="18"/>
              </w:rPr>
              <w:t>Forwarding</w:t>
            </w:r>
          </w:p>
        </w:tc>
        <w:tc>
          <w:tcPr>
            <w:tcW w:w="1087" w:type="dxa"/>
          </w:tcPr>
          <w:p w14:paraId="7D0CB4A9"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PMH. t</w:t>
            </w:r>
            <w:r w:rsidRPr="006F3D27">
              <w:rPr>
                <w:sz w:val="18"/>
                <w:vertAlign w:val="subscript"/>
              </w:rPr>
              <w:t>ww</w:t>
            </w:r>
            <w:r w:rsidRPr="006F3D27">
              <w:rPr>
                <w:sz w:val="18"/>
                <w:vertAlign w:val="superscript"/>
              </w:rPr>
              <w:t>-1</w:t>
            </w:r>
          </w:p>
        </w:tc>
        <w:tc>
          <w:tcPr>
            <w:tcW w:w="699" w:type="dxa"/>
          </w:tcPr>
          <w:p w14:paraId="6B7BAC5B"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rPr>
            </w:pPr>
            <w:r w:rsidRPr="006F3D27">
              <w:rPr>
                <w:sz w:val="18"/>
              </w:rPr>
              <w:t>0.315</w:t>
            </w:r>
          </w:p>
        </w:tc>
        <w:tc>
          <w:tcPr>
            <w:tcW w:w="679" w:type="dxa"/>
          </w:tcPr>
          <w:p w14:paraId="02900DBB"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rPr>
            </w:pPr>
          </w:p>
        </w:tc>
        <w:tc>
          <w:tcPr>
            <w:tcW w:w="0" w:type="auto"/>
          </w:tcPr>
          <w:p w14:paraId="6B6B7D59" w14:textId="77777777" w:rsidR="00847C80" w:rsidRPr="006F3D27" w:rsidRDefault="00847C80" w:rsidP="003B36AF">
            <w:pPr>
              <w:cnfStyle w:val="000000100000" w:firstRow="0" w:lastRow="0" w:firstColumn="0" w:lastColumn="0" w:oddVBand="0" w:evenVBand="0" w:oddHBand="1" w:evenHBand="0" w:firstRowFirstColumn="0" w:firstRowLastColumn="0" w:lastRowFirstColumn="0" w:lastRowLastColumn="0"/>
              <w:rPr>
                <w:i/>
                <w:sz w:val="18"/>
              </w:rPr>
            </w:pPr>
            <w:r w:rsidRPr="006F3D27">
              <w:rPr>
                <w:i/>
                <w:sz w:val="18"/>
              </w:rPr>
              <w:t>Assumed, to move biomass within the GB facility</w:t>
            </w:r>
          </w:p>
        </w:tc>
      </w:tr>
    </w:tbl>
    <w:p w14:paraId="146F97D7" w14:textId="77777777" w:rsidR="003B36AF" w:rsidRDefault="003B36AF" w:rsidP="00847C80">
      <w:pPr>
        <w:jc w:val="both"/>
        <w:rPr>
          <w:b/>
          <w:i/>
        </w:rPr>
      </w:pPr>
    </w:p>
    <w:p w14:paraId="7E2E956B" w14:textId="5B0CC85E" w:rsidR="00847C80" w:rsidRPr="00847C80" w:rsidRDefault="00847C80" w:rsidP="003B36AF">
      <w:pPr>
        <w:pStyle w:val="Titre4"/>
      </w:pPr>
      <w:r w:rsidRPr="00847C80">
        <w:t>Juice separation</w:t>
      </w:r>
    </w:p>
    <w:p w14:paraId="5C272F9E" w14:textId="309D37E4" w:rsidR="00847C80" w:rsidRDefault="00847C80" w:rsidP="003B36AF">
      <w:pPr>
        <w:ind w:firstLine="360"/>
        <w:jc w:val="both"/>
      </w:pPr>
      <w:r>
        <w:t>A literature benchmark was developed to capture range of variations of the main parameters (</w:t>
      </w:r>
      <w:r w:rsidR="003B36AF" w:rsidRPr="003B36AF">
        <w:rPr>
          <w:b/>
        </w:rPr>
        <w:fldChar w:fldCharType="begin"/>
      </w:r>
      <w:r w:rsidR="003B36AF" w:rsidRPr="003B36AF">
        <w:rPr>
          <w:b/>
        </w:rPr>
        <w:instrText xml:space="preserve"> REF _Ref144910409 \h </w:instrText>
      </w:r>
      <w:r w:rsidR="003B36AF">
        <w:rPr>
          <w:b/>
        </w:rPr>
        <w:instrText xml:space="preserve"> \* MERGEFORMAT </w:instrText>
      </w:r>
      <w:r w:rsidR="003B36AF" w:rsidRPr="003B36AF">
        <w:rPr>
          <w:b/>
        </w:rPr>
      </w:r>
      <w:r w:rsidR="003B36AF" w:rsidRPr="003B36AF">
        <w:rPr>
          <w:b/>
        </w:rPr>
        <w:fldChar w:fldCharType="separate"/>
      </w:r>
      <w:r w:rsidR="00F25F8C" w:rsidRPr="00F25F8C">
        <w:rPr>
          <w:b/>
        </w:rPr>
        <w:t xml:space="preserve">Table SI. </w:t>
      </w:r>
      <w:r w:rsidR="00F25F8C" w:rsidRPr="00F25F8C">
        <w:rPr>
          <w:b/>
          <w:noProof/>
        </w:rPr>
        <w:t>85</w:t>
      </w:r>
      <w:r w:rsidR="003B36AF" w:rsidRPr="003B36AF">
        <w:rPr>
          <w:b/>
        </w:rPr>
        <w:fldChar w:fldCharType="end"/>
      </w:r>
      <w:r>
        <w:t>). Besides the scale (laboratory, pilot, etc.), reported performances of juice separation differ between installations due to different pressing technologies and set-ups.</w:t>
      </w:r>
    </w:p>
    <w:p w14:paraId="1A75EEBC" w14:textId="0270D28C" w:rsidR="00942782" w:rsidRDefault="00942782" w:rsidP="00942782">
      <w:pPr>
        <w:jc w:val="both"/>
      </w:pPr>
      <w:r>
        <w:t xml:space="preserve">Range of performances were selected according to the generic data quality </w:t>
      </w:r>
      <w:r w:rsidRPr="008143BC">
        <w:t>guideline (</w:t>
      </w:r>
      <w:r w:rsidRPr="003B36AF">
        <w:rPr>
          <w:b/>
        </w:rPr>
        <w:fldChar w:fldCharType="begin"/>
      </w:r>
      <w:r w:rsidRPr="003B36AF">
        <w:rPr>
          <w:b/>
        </w:rPr>
        <w:instrText xml:space="preserve"> REF _Ref144733720 \h </w:instrText>
      </w:r>
      <w:r>
        <w:rPr>
          <w:b/>
        </w:rPr>
        <w:instrText xml:space="preserve"> \* MERGEFORMAT </w:instrText>
      </w:r>
      <w:r w:rsidRPr="003B36AF">
        <w:rPr>
          <w:b/>
        </w:rPr>
      </w:r>
      <w:r w:rsidRPr="003B36AF">
        <w:rPr>
          <w:b/>
        </w:rPr>
        <w:fldChar w:fldCharType="separate"/>
      </w:r>
      <w:r w:rsidRPr="00F25F8C">
        <w:rPr>
          <w:b/>
        </w:rPr>
        <w:t xml:space="preserve">Table SI. </w:t>
      </w:r>
      <w:r w:rsidRPr="00F25F8C">
        <w:rPr>
          <w:b/>
          <w:noProof/>
        </w:rPr>
        <w:t>7</w:t>
      </w:r>
      <w:r w:rsidRPr="003B36AF">
        <w:rPr>
          <w:b/>
        </w:rPr>
        <w:fldChar w:fldCharType="end"/>
      </w:r>
      <w:r w:rsidRPr="008143BC">
        <w:t>),</w:t>
      </w:r>
      <w:r>
        <w:t xml:space="preserve"> acknowledging that juice extraction efficiencies for residual streams are generally lower than for premium green crops. </w:t>
      </w:r>
      <w:r w:rsidRPr="003B36AF">
        <w:rPr>
          <w:b/>
        </w:rPr>
        <w:fldChar w:fldCharType="begin"/>
      </w:r>
      <w:r w:rsidRPr="003B36AF">
        <w:rPr>
          <w:b/>
        </w:rPr>
        <w:instrText xml:space="preserve"> REF _Ref144910510 \h </w:instrText>
      </w:r>
      <w:r>
        <w:rPr>
          <w:b/>
        </w:rPr>
        <w:instrText xml:space="preserve"> \* MERGEFORMAT </w:instrText>
      </w:r>
      <w:r w:rsidRPr="003B36AF">
        <w:rPr>
          <w:b/>
        </w:rPr>
      </w:r>
      <w:r w:rsidRPr="003B36AF">
        <w:rPr>
          <w:b/>
        </w:rPr>
        <w:fldChar w:fldCharType="separate"/>
      </w:r>
      <w:r w:rsidRPr="00F25F8C">
        <w:rPr>
          <w:b/>
        </w:rPr>
        <w:t xml:space="preserve">Table SI. </w:t>
      </w:r>
      <w:r w:rsidRPr="00F25F8C">
        <w:rPr>
          <w:b/>
          <w:noProof/>
        </w:rPr>
        <w:t>86</w:t>
      </w:r>
      <w:r w:rsidRPr="003B36AF">
        <w:rPr>
          <w:b/>
        </w:rPr>
        <w:fldChar w:fldCharType="end"/>
      </w:r>
      <w:r>
        <w:t xml:space="preserve"> further summarizes the modeling details selected for this unit operation. A necessary yet strong assumption lies on the relative independence in-between transfer coefficients of different fractions, and also with energy consumption. Yet, in turns, this modeling flexibility allows to screen wide sets of performances intrinsically linked with the inherent variability in the compositions of input feedstocks. Therefore, no specific technology choices were made: even if the baseline was designed to be representative of twin screw-press scaled performances, range of parameters consider the performances of single screw-press or two stages twin screw-press configurations (</w:t>
      </w:r>
      <w:r w:rsidRPr="003B36AF">
        <w:rPr>
          <w:b/>
        </w:rPr>
        <w:fldChar w:fldCharType="begin"/>
      </w:r>
      <w:r w:rsidRPr="003B36AF">
        <w:rPr>
          <w:b/>
        </w:rPr>
        <w:instrText xml:space="preserve"> REF _Ref144910510 \h </w:instrText>
      </w:r>
      <w:r>
        <w:rPr>
          <w:b/>
        </w:rPr>
        <w:instrText xml:space="preserve"> \* MERGEFORMAT </w:instrText>
      </w:r>
      <w:r w:rsidRPr="003B36AF">
        <w:rPr>
          <w:b/>
        </w:rPr>
      </w:r>
      <w:r w:rsidRPr="003B36AF">
        <w:rPr>
          <w:b/>
        </w:rPr>
        <w:fldChar w:fldCharType="separate"/>
      </w:r>
      <w:r w:rsidRPr="00F25F8C">
        <w:rPr>
          <w:b/>
        </w:rPr>
        <w:t xml:space="preserve">Table SI. </w:t>
      </w:r>
      <w:r w:rsidRPr="00F25F8C">
        <w:rPr>
          <w:b/>
          <w:noProof/>
        </w:rPr>
        <w:t>86</w:t>
      </w:r>
      <w:r w:rsidRPr="003B36AF">
        <w:rPr>
          <w:b/>
        </w:rPr>
        <w:fldChar w:fldCharType="end"/>
      </w:r>
      <w:r>
        <w:t>). Overall, no losses were considered, matter either ends up in the press pulp or the green juice. Washings to increase yields</w:t>
      </w:r>
      <w:r>
        <w:fldChar w:fldCharType="begin"/>
      </w:r>
      <w:r w:rsidR="005413B4">
        <w:instrText xml:space="preserve"> ADDIN ZOTERO_ITEM CSL_CITATION {"citationID":"0EZZfGlK","properties":{"formattedCitation":"\\super 283\\nosupersub{}","plainCitation":"283","noteIndex":0},"citationItems":[{"id":384,"uris":["http://zotero.org/users/6423791/items/KF9ZRBIK"],"itemData":{"id":384,"type":"article-journal","container-title":"Science of The Total Environment","DOI":"10.1016/j.scitotenv.2017.11.082","ISSN":"00489697","journalAbbreviation":"Sci. Total Environ.","language":"en","page":"127-143","source":"DOI.org (Crossref)","title":"Can farmers mitigate environmental impacts through combined production of food, fuel and feed? A consequential life cycle assessment of integrated mixed crop-livestock system with a green biorefinery","title-short":"Can farmers mitigate environmental impacts through combined production of food, fuel and feed?","volume":"619-620","author":[{"family":"Parajuli","given":"Ranjan"},{"family":"Dalgaard","given":"Tommy"},{"family":"Birkved","given":"Morten"}],"issued":{"date-parts":[["2018",4]]}}}],"schema":"https://github.com/citation-style-language/schema/raw/master/csl-citation.json"} </w:instrText>
      </w:r>
      <w:r>
        <w:fldChar w:fldCharType="separate"/>
      </w:r>
      <w:r w:rsidR="005413B4" w:rsidRPr="005413B4">
        <w:rPr>
          <w:rFonts w:ascii="Calibri" w:hAnsi="Calibri" w:cs="Calibri"/>
          <w:szCs w:val="24"/>
          <w:vertAlign w:val="superscript"/>
        </w:rPr>
        <w:t>283</w:t>
      </w:r>
      <w:r>
        <w:fldChar w:fldCharType="end"/>
      </w:r>
      <w:r>
        <w:t xml:space="preserve"> or prevent over-warming when pressing</w:t>
      </w:r>
      <w:r>
        <w:fldChar w:fldCharType="begin"/>
      </w:r>
      <w:r w:rsidR="005413B4">
        <w:instrText xml:space="preserve"> ADDIN ZOTERO_ITEM CSL_CITATION {"citationID":"YOktcQO7","properties":{"formattedCitation":"\\super 295\\nosupersub{}","plainCitation":"295","noteIndex":0},"citationItems":[{"id":399,"uris":["http://zotero.org/users/6423791/items/VKZ573LE"],"itemData":{"id":399,"type":"article-journal","abstract":"Green bioreﬁnery” (GBR) could be an alternative option for using grassland biomass. GBR involves applying technology to chemically and physically fractionate (split) biomass such as grass and grass silage into marketable products. From the grass ﬁbre fraction insulation materials can be produced. From the grass juice fraction, proteinaceous products for animal feed and lactic acid (LA) for plastic production (polylactic acid e PLA) can be produced. This paper is the ﬁrst part in the analysis to develop a blueprint for a ﬁrst generation Irish GBR system. The focus of this paper is on the technical aspects of developing three GBR system models and subsequent scenario analyses. The three GBR system models were a combination of feedstock system and bioreﬁnery technology; Grass/silageebasic technology (GS), Silageebasic technology (S) and SilageeHigh Tech (AT). The models, which were integrated mass and energy balances, were then assessed at the three different input volumes, to generate nine scenarios. The scenarios which required further economic analysis in a companion paper to determine their overall feasibility (technical and economic) in the development of blueprint for a ﬁrst generation Irish GBR system were identiﬁed. From the technical analysis outlined in this paper six scenarios were identiﬁed which require further economic analysis. These were scenarios generated for the GS, S and AT GBR systems, at two input volume rates.","container-title":"Biomass and Bioenergy","DOI":"10.1016/j.biombioe.2011.06.017","ISSN":"09619534","issue":"11","journalAbbreviation":"Biomass Bioenergy.","language":"en","page":"4712-4723","source":"DOI.org (Crossref)","title":"I. Technical assessment for first generation green biorefinery (GBR) using mass and energy balances: Scenarios for an Irish GBR blueprint","title-short":"I. Technical assessment for first generation green biorefinery (GBR) using mass and energy balances","volume":"35","author":[{"family":"O’Keeffe","given":"S."},{"family":"Schulte","given":"R.P.O."},{"family":"Sanders","given":"J.P.M."},{"family":"Struik","given":"P.C."}],"issued":{"date-parts":[["2011",11]]}}}],"schema":"https://github.com/citation-style-language/schema/raw/master/csl-citation.json"} </w:instrText>
      </w:r>
      <w:r>
        <w:fldChar w:fldCharType="separate"/>
      </w:r>
      <w:r w:rsidR="005413B4" w:rsidRPr="005413B4">
        <w:rPr>
          <w:rFonts w:ascii="Calibri" w:hAnsi="Calibri" w:cs="Calibri"/>
          <w:szCs w:val="24"/>
          <w:vertAlign w:val="superscript"/>
        </w:rPr>
        <w:t>295</w:t>
      </w:r>
      <w:r>
        <w:fldChar w:fldCharType="end"/>
      </w:r>
      <w:r>
        <w:t xml:space="preserve"> were assumed developed internally with the same green juice, hence not requiring any external water addition (only pumping was accounted as </w:t>
      </w:r>
      <w:r w:rsidRPr="00F16BF2">
        <w:t>in O’keeffe et al., 2011</w:t>
      </w:r>
      <w:r>
        <w:fldChar w:fldCharType="begin"/>
      </w:r>
      <w:r w:rsidR="005413B4">
        <w:instrText xml:space="preserve"> ADDIN ZOTERO_ITEM CSL_CITATION {"citationID":"lutgFR6W","properties":{"formattedCitation":"\\super 295\\nosupersub{}","plainCitation":"295","noteIndex":0},"citationItems":[{"id":399,"uris":["http://zotero.org/users/6423791/items/VKZ573LE"],"itemData":{"id":399,"type":"article-journal","abstract":"Green bioreﬁnery” (GBR) could be an alternative option for using grassland biomass. GBR involves applying technology to chemically and physically fractionate (split) biomass such as grass and grass silage into marketable products. From the grass ﬁbre fraction insulation materials can be produced. From the grass juice fraction, proteinaceous products for animal feed and lactic acid (LA) for plastic production (polylactic acid e PLA) can be produced. This paper is the ﬁrst part in the analysis to develop a blueprint for a ﬁrst generation Irish GBR system. The focus of this paper is on the technical aspects of developing three GBR system models and subsequent scenario analyses. The three GBR system models were a combination of feedstock system and bioreﬁnery technology; Grass/silageebasic technology (GS), Silageebasic technology (S) and SilageeHigh Tech (AT). The models, which were integrated mass and energy balances, were then assessed at the three different input volumes, to generate nine scenarios. The scenarios which required further economic analysis in a companion paper to determine their overall feasibility (technical and economic) in the development of blueprint for a ﬁrst generation Irish GBR system were identiﬁed. From the technical analysis outlined in this paper six scenarios were identiﬁed which require further economic analysis. These were scenarios generated for the GS, S and AT GBR systems, at two input volume rates.","container-title":"Biomass and Bioenergy","DOI":"10.1016/j.biombioe.2011.06.017","ISSN":"09619534","issue":"11","journalAbbreviation":"Biomass Bioenergy.","language":"en","page":"4712-4723","source":"DOI.org (Crossref)","title":"I. Technical assessment for first generation green biorefinery (GBR) using mass and energy balances: Scenarios for an Irish GBR blueprint","title-short":"I. Technical assessment for first generation green biorefinery (GBR) using mass and energy balances","volume":"35","author":[{"family":"O’Keeffe","given":"S."},{"family":"Schulte","given":"R.P.O."},{"family":"Sanders","given":"J.P.M."},{"family":"Struik","given":"P.C."}],"issued":{"date-parts":[["2011",11]]}}}],"schema":"https://github.com/citation-style-language/schema/raw/master/csl-citation.json"} </w:instrText>
      </w:r>
      <w:r>
        <w:fldChar w:fldCharType="separate"/>
      </w:r>
      <w:r w:rsidR="005413B4" w:rsidRPr="005413B4">
        <w:rPr>
          <w:rFonts w:ascii="Calibri" w:hAnsi="Calibri" w:cs="Calibri"/>
          <w:szCs w:val="24"/>
          <w:vertAlign w:val="superscript"/>
        </w:rPr>
        <w:t>295</w:t>
      </w:r>
      <w:r>
        <w:fldChar w:fldCharType="end"/>
      </w:r>
      <w:r>
        <w:t>). The filtration of green juice is assumed performed</w:t>
      </w:r>
      <w:r>
        <w:fldChar w:fldCharType="begin"/>
      </w:r>
      <w:r w:rsidR="005413B4">
        <w:instrText xml:space="preserve"> ADDIN ZOTERO_ITEM CSL_CITATION {"citationID":"fIk5BeDN","properties":{"formattedCitation":"\\super 285\\nosupersub{}","plainCitation":"285","noteIndex":0},"citationItems":[{"id":10774,"uris":["http://zotero.org/users/6423791/items/WQGCZFWD"],"itemData":{"id":10774,"type":"article-journal","abstract":"In this study, the biorefinery process for generating amino acids (AA) from grass silage is analyzed ecologically. Life-cycle assessment is conducted in accordance with ISO 14040 and ISO 14044. A kilogram of amino acid is selected as a functional unit. The system boundary is drawn around silage production and includes both agricultural and conversion processes. The technology setup is modeled based on data from a demonstration amino acid production plant that uses the silages of permanent grassland in Austria (GBR 1), and data from the experimental work conducted within the European-funded GRASSFinery project (GBR 2) located in the Czech Republic and Germany, using life-cycle assessment software (GaBi®). Different scenarios are developed with different system boundaries. The baseline scenario for GBR 1 and the primary and central processing units of GBR 2 includes the green biorefinery processes without the disposal of waste flows to the biogas plant. By enlarging the system boundaries, the waste flows to the biogas plant and the energy yield from anaerobic digestion are considered as well as the transportation of intermediate products. The global warming potential (GWP) of the whole AA production process ranges from 11.4 to 16.8 kg CO2eq/kg AA, depending on the scenario. The GWP excludes biogenic carbon so the bound carbon in the grass silage is not included. High quality grass silage is crucial to achieve high yields of amino acids. Closed loops are a sensible step to reduce the environmental impact. © 2019 Society of Chemical Industry and John Wiley &amp; Sons, Ltd","container-title":"Biofuels, Bioproducts and Biorefining","DOI":"https://doi.org/10.1002/bbb.2022","ISSN":"1932-1031","issue":"6","language":"en","license":"© 2019 Society of Chemical Industry and John Wiley &amp; Sons, Ltd","note":"_eprint: https://onlinelibrary.wiley.com/doi/pdf/10.1002/bbb.2022","page":"1391-1401","source":"Wiley Online Library","title":"Life-cycle assessment of green biorefinery process options","volume":"13","author":[{"family":"Prieler","given":"Manuela"},{"family":"Lindorfer","given":"Johannes"},{"family":"Steinmüller","given":"Horst"}],"issued":{"date-parts":[["2019"]]}}}],"schema":"https://github.com/citation-style-language/schema/raw/master/csl-citation.json"} </w:instrText>
      </w:r>
      <w:r>
        <w:fldChar w:fldCharType="separate"/>
      </w:r>
      <w:r w:rsidR="005413B4" w:rsidRPr="005413B4">
        <w:rPr>
          <w:rFonts w:ascii="Calibri" w:hAnsi="Calibri" w:cs="Calibri"/>
          <w:szCs w:val="24"/>
          <w:vertAlign w:val="superscript"/>
        </w:rPr>
        <w:t>285</w:t>
      </w:r>
      <w:r>
        <w:fldChar w:fldCharType="end"/>
      </w:r>
      <w:r>
        <w:t>, but was not explicitly modeled. Filtrates are mixed with the press pulp and selected transfer coefficients were assumed to already account for these (</w:t>
      </w:r>
      <w:r w:rsidRPr="003B36AF">
        <w:rPr>
          <w:b/>
        </w:rPr>
        <w:fldChar w:fldCharType="begin"/>
      </w:r>
      <w:r w:rsidRPr="003B36AF">
        <w:rPr>
          <w:b/>
        </w:rPr>
        <w:instrText xml:space="preserve"> REF _Ref144910510 \h </w:instrText>
      </w:r>
      <w:r>
        <w:rPr>
          <w:b/>
        </w:rPr>
        <w:instrText xml:space="preserve"> \* MERGEFORMAT </w:instrText>
      </w:r>
      <w:r w:rsidRPr="003B36AF">
        <w:rPr>
          <w:b/>
        </w:rPr>
      </w:r>
      <w:r w:rsidRPr="003B36AF">
        <w:rPr>
          <w:b/>
        </w:rPr>
        <w:fldChar w:fldCharType="separate"/>
      </w:r>
      <w:r w:rsidRPr="00F25F8C">
        <w:rPr>
          <w:b/>
        </w:rPr>
        <w:t xml:space="preserve">Table SI. </w:t>
      </w:r>
      <w:r w:rsidRPr="00F25F8C">
        <w:rPr>
          <w:b/>
          <w:noProof/>
        </w:rPr>
        <w:t>86</w:t>
      </w:r>
      <w:r w:rsidRPr="003B36AF">
        <w:rPr>
          <w:b/>
        </w:rPr>
        <w:fldChar w:fldCharType="end"/>
      </w:r>
      <w:r>
        <w:t>).</w:t>
      </w:r>
    </w:p>
    <w:p w14:paraId="1D4C491A" w14:textId="77777777" w:rsidR="00942782" w:rsidRDefault="00942782">
      <w:pPr>
        <w:rPr>
          <w:rFonts w:eastAsia="BatangChe" w:cs="Angsana New"/>
          <w:b/>
          <w:bCs/>
          <w:kern w:val="2"/>
          <w:sz w:val="20"/>
          <w:szCs w:val="20"/>
          <w:lang w:eastAsia="ko-KR"/>
        </w:rPr>
      </w:pPr>
      <w:bookmarkStart w:id="370" w:name="_Ref144910409"/>
      <w:bookmarkStart w:id="371" w:name="_Toc134537682"/>
      <w:r>
        <w:br w:type="page"/>
      </w:r>
    </w:p>
    <w:p w14:paraId="3E2F1892" w14:textId="7B1CDCB7" w:rsidR="00847C80" w:rsidRPr="008143BC" w:rsidRDefault="00874128" w:rsidP="00942782">
      <w:pPr>
        <w:pStyle w:val="Lgende"/>
        <w:jc w:val="left"/>
        <w:rPr>
          <w:b w:val="0"/>
          <w:i/>
        </w:rPr>
      </w:pPr>
      <w:bookmarkStart w:id="372" w:name="_Toc151967969"/>
      <w:r>
        <w:lastRenderedPageBreak/>
        <w:t>Table SI.</w:t>
      </w:r>
      <w:r w:rsidR="00847C80">
        <w:t xml:space="preserve"> </w:t>
      </w:r>
      <w:r>
        <w:fldChar w:fldCharType="begin"/>
      </w:r>
      <w:r>
        <w:instrText xml:space="preserve"> SEQ Table_SI. \* ARABIC </w:instrText>
      </w:r>
      <w:r>
        <w:fldChar w:fldCharType="separate"/>
      </w:r>
      <w:r w:rsidR="00F25F8C">
        <w:rPr>
          <w:noProof/>
        </w:rPr>
        <w:t>85</w:t>
      </w:r>
      <w:r>
        <w:fldChar w:fldCharType="end"/>
      </w:r>
      <w:bookmarkEnd w:id="370"/>
      <w:r w:rsidR="00847C80">
        <w:t xml:space="preserve"> </w:t>
      </w:r>
      <w:r w:rsidR="00847C80" w:rsidRPr="00E105F3">
        <w:t>–</w:t>
      </w:r>
      <w:r w:rsidR="00847C80">
        <w:t xml:space="preserve"> B</w:t>
      </w:r>
      <w:r w:rsidR="00847C80" w:rsidRPr="00E105F3">
        <w:t>enchmark of green juice extraction performances</w:t>
      </w:r>
      <w:bookmarkEnd w:id="371"/>
      <w:bookmarkEnd w:id="372"/>
    </w:p>
    <w:tbl>
      <w:tblPr>
        <w:tblStyle w:val="Tableausimple2"/>
        <w:tblW w:w="0" w:type="auto"/>
        <w:tblLook w:val="04A0" w:firstRow="1" w:lastRow="0" w:firstColumn="1" w:lastColumn="0" w:noHBand="0" w:noVBand="1"/>
      </w:tblPr>
      <w:tblGrid>
        <w:gridCol w:w="822"/>
        <w:gridCol w:w="449"/>
        <w:gridCol w:w="542"/>
        <w:gridCol w:w="541"/>
        <w:gridCol w:w="559"/>
        <w:gridCol w:w="559"/>
        <w:gridCol w:w="559"/>
        <w:gridCol w:w="547"/>
        <w:gridCol w:w="575"/>
        <w:gridCol w:w="528"/>
        <w:gridCol w:w="650"/>
        <w:gridCol w:w="528"/>
        <w:gridCol w:w="559"/>
        <w:gridCol w:w="559"/>
        <w:gridCol w:w="559"/>
        <w:gridCol w:w="536"/>
      </w:tblGrid>
      <w:tr w:rsidR="00847C80" w:rsidRPr="006F3D27" w14:paraId="413F3A6E" w14:textId="77777777" w:rsidTr="00C828F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extDirection w:val="btLr"/>
          </w:tcPr>
          <w:p w14:paraId="2FCE7EDE" w14:textId="77777777" w:rsidR="00847C80" w:rsidRPr="006F3D27" w:rsidRDefault="00847C80" w:rsidP="00847C80">
            <w:pPr>
              <w:ind w:left="113" w:right="113"/>
              <w:rPr>
                <w:sz w:val="18"/>
                <w:szCs w:val="18"/>
              </w:rPr>
            </w:pPr>
            <w:r w:rsidRPr="006F3D27">
              <w:rPr>
                <w:sz w:val="18"/>
                <w:szCs w:val="18"/>
              </w:rPr>
              <w:t>Reference</w:t>
            </w:r>
          </w:p>
        </w:tc>
        <w:tc>
          <w:tcPr>
            <w:tcW w:w="0" w:type="auto"/>
            <w:vMerge w:val="restart"/>
            <w:textDirection w:val="btLr"/>
          </w:tcPr>
          <w:p w14:paraId="1FE5DEB8" w14:textId="77777777" w:rsidR="00847C80" w:rsidRPr="006F3D27" w:rsidRDefault="00847C80" w:rsidP="00847C80">
            <w:pPr>
              <w:ind w:left="113" w:right="113"/>
              <w:cnfStyle w:val="100000000000" w:firstRow="1" w:lastRow="0" w:firstColumn="0" w:lastColumn="0" w:oddVBand="0" w:evenVBand="0" w:oddHBand="0" w:evenHBand="0" w:firstRowFirstColumn="0" w:firstRowLastColumn="0" w:lastRowFirstColumn="0" w:lastRowLastColumn="0"/>
              <w:rPr>
                <w:sz w:val="18"/>
                <w:szCs w:val="18"/>
              </w:rPr>
            </w:pPr>
            <w:r w:rsidRPr="006F3D27">
              <w:rPr>
                <w:sz w:val="18"/>
                <w:szCs w:val="18"/>
              </w:rPr>
              <w:t>Data</w:t>
            </w:r>
          </w:p>
        </w:tc>
        <w:tc>
          <w:tcPr>
            <w:tcW w:w="0" w:type="auto"/>
            <w:gridSpan w:val="2"/>
          </w:tcPr>
          <w:p w14:paraId="509E0B0A" w14:textId="77777777" w:rsidR="00847C80" w:rsidRPr="006F3D27" w:rsidRDefault="00847C80" w:rsidP="00847C80">
            <w:pPr>
              <w:cnfStyle w:val="100000000000" w:firstRow="1" w:lastRow="0" w:firstColumn="0" w:lastColumn="0" w:oddVBand="0" w:evenVBand="0" w:oddHBand="0" w:evenHBand="0" w:firstRowFirstColumn="0" w:firstRowLastColumn="0" w:lastRowFirstColumn="0" w:lastRowLastColumn="0"/>
              <w:rPr>
                <w:sz w:val="18"/>
                <w:szCs w:val="18"/>
              </w:rPr>
            </w:pPr>
            <w:r w:rsidRPr="006F3D27">
              <w:rPr>
                <w:sz w:val="18"/>
                <w:szCs w:val="18"/>
              </w:rPr>
              <w:t>Maceration</w:t>
            </w:r>
          </w:p>
        </w:tc>
        <w:tc>
          <w:tcPr>
            <w:tcW w:w="0" w:type="auto"/>
            <w:gridSpan w:val="12"/>
          </w:tcPr>
          <w:p w14:paraId="5A1A6270" w14:textId="77777777" w:rsidR="00847C80" w:rsidRPr="006F3D27" w:rsidRDefault="00847C80" w:rsidP="00847C80">
            <w:pPr>
              <w:cnfStyle w:val="100000000000" w:firstRow="1" w:lastRow="0" w:firstColumn="0" w:lastColumn="0" w:oddVBand="0" w:evenVBand="0" w:oddHBand="0" w:evenHBand="0" w:firstRowFirstColumn="0" w:firstRowLastColumn="0" w:lastRowFirstColumn="0" w:lastRowLastColumn="0"/>
              <w:rPr>
                <w:sz w:val="18"/>
                <w:szCs w:val="18"/>
              </w:rPr>
            </w:pPr>
            <w:r w:rsidRPr="006F3D27">
              <w:rPr>
                <w:sz w:val="18"/>
                <w:szCs w:val="18"/>
              </w:rPr>
              <w:t>Juice separation (%</w:t>
            </w:r>
            <w:r w:rsidRPr="006F3D27">
              <w:rPr>
                <w:sz w:val="18"/>
                <w:szCs w:val="18"/>
                <w:vertAlign w:val="subscript"/>
              </w:rPr>
              <w:t>juice/in</w:t>
            </w:r>
            <w:r w:rsidRPr="006F3D27">
              <w:rPr>
                <w:sz w:val="18"/>
                <w:szCs w:val="18"/>
              </w:rPr>
              <w:t>)</w:t>
            </w:r>
          </w:p>
        </w:tc>
      </w:tr>
      <w:tr w:rsidR="00847C80" w:rsidRPr="006F3D27" w14:paraId="3D26A305" w14:textId="77777777" w:rsidTr="00942782">
        <w:trPr>
          <w:cnfStyle w:val="000000100000" w:firstRow="0" w:lastRow="0" w:firstColumn="0" w:lastColumn="0" w:oddVBand="0" w:evenVBand="0" w:oddHBand="1" w:evenHBand="0" w:firstRowFirstColumn="0" w:firstRowLastColumn="0" w:lastRowFirstColumn="0" w:lastRowLastColumn="0"/>
          <w:trHeight w:val="1007"/>
        </w:trPr>
        <w:tc>
          <w:tcPr>
            <w:cnfStyle w:val="001000000000" w:firstRow="0" w:lastRow="0" w:firstColumn="1" w:lastColumn="0" w:oddVBand="0" w:evenVBand="0" w:oddHBand="0" w:evenHBand="0" w:firstRowFirstColumn="0" w:firstRowLastColumn="0" w:lastRowFirstColumn="0" w:lastRowLastColumn="0"/>
            <w:tcW w:w="0" w:type="auto"/>
            <w:vMerge/>
          </w:tcPr>
          <w:p w14:paraId="31B15C56" w14:textId="77777777" w:rsidR="00847C80" w:rsidRPr="006F3D27" w:rsidRDefault="00847C80" w:rsidP="00847C80">
            <w:pPr>
              <w:rPr>
                <w:b w:val="0"/>
                <w:sz w:val="18"/>
                <w:szCs w:val="18"/>
              </w:rPr>
            </w:pPr>
          </w:p>
        </w:tc>
        <w:tc>
          <w:tcPr>
            <w:tcW w:w="0" w:type="auto"/>
            <w:vMerge/>
          </w:tcPr>
          <w:p w14:paraId="7C3028EE"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p>
        </w:tc>
        <w:tc>
          <w:tcPr>
            <w:tcW w:w="0" w:type="auto"/>
            <w:textDirection w:val="btLr"/>
          </w:tcPr>
          <w:p w14:paraId="5E9F1C8F" w14:textId="77777777" w:rsidR="00847C80" w:rsidRPr="006F3D27"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Type</w:t>
            </w:r>
          </w:p>
        </w:tc>
        <w:tc>
          <w:tcPr>
            <w:tcW w:w="0" w:type="auto"/>
            <w:textDirection w:val="btLr"/>
          </w:tcPr>
          <w:p w14:paraId="19177B95" w14:textId="77777777" w:rsidR="00847C80" w:rsidRPr="006F3D27"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kWh.t</w:t>
            </w:r>
            <w:r w:rsidRPr="006F3D27">
              <w:rPr>
                <w:b/>
                <w:sz w:val="18"/>
                <w:szCs w:val="18"/>
                <w:vertAlign w:val="subscript"/>
              </w:rPr>
              <w:t>ww</w:t>
            </w:r>
            <w:r w:rsidRPr="006F3D27">
              <w:rPr>
                <w:b/>
                <w:sz w:val="18"/>
                <w:szCs w:val="18"/>
                <w:vertAlign w:val="superscript"/>
              </w:rPr>
              <w:t>-1</w:t>
            </w:r>
          </w:p>
        </w:tc>
        <w:tc>
          <w:tcPr>
            <w:tcW w:w="0" w:type="auto"/>
            <w:textDirection w:val="btLr"/>
          </w:tcPr>
          <w:p w14:paraId="34ECD09B" w14:textId="77777777" w:rsidR="00847C80" w:rsidRPr="006F3D27"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fresh matter</w:t>
            </w:r>
          </w:p>
        </w:tc>
        <w:tc>
          <w:tcPr>
            <w:tcW w:w="0" w:type="auto"/>
            <w:textDirection w:val="btLr"/>
          </w:tcPr>
          <w:p w14:paraId="7C0B9D1A" w14:textId="77777777" w:rsidR="00847C80" w:rsidRPr="006F3D27"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dry matter</w:t>
            </w:r>
          </w:p>
        </w:tc>
        <w:tc>
          <w:tcPr>
            <w:tcW w:w="0" w:type="auto"/>
            <w:textDirection w:val="btLr"/>
          </w:tcPr>
          <w:p w14:paraId="6496E3A2" w14:textId="77777777" w:rsidR="00847C80" w:rsidRPr="006F3D27"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proteins</w:t>
            </w:r>
            <w:r w:rsidRPr="006F3D27">
              <w:rPr>
                <w:b/>
                <w:sz w:val="18"/>
                <w:szCs w:val="18"/>
                <w:vertAlign w:val="superscript"/>
              </w:rPr>
              <w:t>*</w:t>
            </w:r>
          </w:p>
        </w:tc>
        <w:tc>
          <w:tcPr>
            <w:tcW w:w="0" w:type="auto"/>
            <w:textDirection w:val="btLr"/>
          </w:tcPr>
          <w:p w14:paraId="0BA79AFE" w14:textId="77777777" w:rsidR="00847C80" w:rsidRPr="006F3D27"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fat</w:t>
            </w:r>
          </w:p>
        </w:tc>
        <w:tc>
          <w:tcPr>
            <w:tcW w:w="0" w:type="auto"/>
            <w:textDirection w:val="btLr"/>
          </w:tcPr>
          <w:p w14:paraId="37F1AD48" w14:textId="77777777" w:rsidR="00847C80" w:rsidRPr="006F3D27"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Fibers</w:t>
            </w:r>
            <w:r w:rsidRPr="006F3D27">
              <w:rPr>
                <w:b/>
                <w:sz w:val="18"/>
                <w:szCs w:val="18"/>
                <w:vertAlign w:val="superscript"/>
              </w:rPr>
              <w:t>**</w:t>
            </w:r>
          </w:p>
        </w:tc>
        <w:tc>
          <w:tcPr>
            <w:tcW w:w="0" w:type="auto"/>
            <w:textDirection w:val="btLr"/>
          </w:tcPr>
          <w:p w14:paraId="4D918709" w14:textId="77777777" w:rsidR="00847C80" w:rsidRPr="006F3D27"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solubles</w:t>
            </w:r>
          </w:p>
        </w:tc>
        <w:tc>
          <w:tcPr>
            <w:tcW w:w="0" w:type="auto"/>
            <w:textDirection w:val="btLr"/>
          </w:tcPr>
          <w:p w14:paraId="62F642FA" w14:textId="77777777" w:rsidR="00847C80" w:rsidRPr="006F3D27"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ashes</w:t>
            </w:r>
          </w:p>
        </w:tc>
        <w:tc>
          <w:tcPr>
            <w:tcW w:w="0" w:type="auto"/>
            <w:textDirection w:val="btLr"/>
          </w:tcPr>
          <w:p w14:paraId="1C746171" w14:textId="77777777" w:rsidR="00847C80" w:rsidRPr="006F3D27"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C</w:t>
            </w:r>
          </w:p>
        </w:tc>
        <w:tc>
          <w:tcPr>
            <w:tcW w:w="0" w:type="auto"/>
            <w:textDirection w:val="btLr"/>
          </w:tcPr>
          <w:p w14:paraId="37CADFC1" w14:textId="77777777" w:rsidR="00847C80" w:rsidRPr="006F3D27"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P</w:t>
            </w:r>
          </w:p>
        </w:tc>
        <w:tc>
          <w:tcPr>
            <w:tcW w:w="0" w:type="auto"/>
            <w:textDirection w:val="btLr"/>
          </w:tcPr>
          <w:p w14:paraId="7CF6AF53" w14:textId="77777777" w:rsidR="00847C80" w:rsidRPr="006F3D27"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K</w:t>
            </w:r>
          </w:p>
        </w:tc>
        <w:tc>
          <w:tcPr>
            <w:tcW w:w="0" w:type="auto"/>
            <w:textDirection w:val="btLr"/>
          </w:tcPr>
          <w:p w14:paraId="1EB0F68B" w14:textId="77777777" w:rsidR="00847C80" w:rsidRPr="006F3D27"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S</w:t>
            </w:r>
          </w:p>
        </w:tc>
        <w:tc>
          <w:tcPr>
            <w:tcW w:w="0" w:type="auto"/>
            <w:textDirection w:val="btLr"/>
          </w:tcPr>
          <w:p w14:paraId="05EF01D9" w14:textId="77777777" w:rsidR="00847C80" w:rsidRPr="006F3D27"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6F3D27">
              <w:rPr>
                <w:b/>
                <w:sz w:val="18"/>
                <w:szCs w:val="18"/>
              </w:rPr>
              <w:t>kWh.t</w:t>
            </w:r>
            <w:r w:rsidRPr="006F3D27">
              <w:rPr>
                <w:b/>
                <w:sz w:val="18"/>
                <w:szCs w:val="18"/>
                <w:vertAlign w:val="subscript"/>
              </w:rPr>
              <w:t>ww</w:t>
            </w:r>
            <w:r w:rsidRPr="006F3D27">
              <w:rPr>
                <w:b/>
                <w:sz w:val="18"/>
                <w:szCs w:val="18"/>
                <w:vertAlign w:val="superscript"/>
              </w:rPr>
              <w:t>-1</w:t>
            </w:r>
          </w:p>
        </w:tc>
      </w:tr>
      <w:tr w:rsidR="00847C80" w:rsidRPr="006F3D27" w14:paraId="0F30F6DD" w14:textId="77777777" w:rsidTr="00C828FC">
        <w:tc>
          <w:tcPr>
            <w:cnfStyle w:val="001000000000" w:firstRow="0" w:lastRow="0" w:firstColumn="1" w:lastColumn="0" w:oddVBand="0" w:evenVBand="0" w:oddHBand="0" w:evenHBand="0" w:firstRowFirstColumn="0" w:firstRowLastColumn="0" w:lastRowFirstColumn="0" w:lastRowLastColumn="0"/>
            <w:tcW w:w="0" w:type="auto"/>
          </w:tcPr>
          <w:p w14:paraId="0E48D1B5" w14:textId="3277918A" w:rsidR="00847C80" w:rsidRPr="006F3D27" w:rsidRDefault="00847C80" w:rsidP="00847C80">
            <w:pPr>
              <w:rPr>
                <w:sz w:val="18"/>
                <w:szCs w:val="18"/>
              </w:rPr>
            </w:pPr>
            <w:r w:rsidRPr="006F3D27">
              <w:rPr>
                <w:sz w:val="18"/>
                <w:szCs w:val="18"/>
              </w:rPr>
              <w:fldChar w:fldCharType="begin"/>
            </w:r>
            <w:r w:rsidR="005413B4">
              <w:rPr>
                <w:sz w:val="18"/>
                <w:szCs w:val="18"/>
              </w:rPr>
              <w:instrText xml:space="preserve"> ADDIN ZOTERO_ITEM CSL_CITATION {"citationID":"zvZZolgI","properties":{"formattedCitation":"\\super 281\\nosupersub{}","plainCitation":"281","noteIndex":0},"citationItems":[{"id":1983,"uris":["http://zotero.org/users/6423791/items/28BXN4BJ"],"itemData":{"id":1983,"type":"article-journal","abstract":"Plant leaves are a major potential source of novel food proteins. Till now, leaf protein extraction methods mainly focus on the extraction of soluble proteins, like rubisco protein, leaving more than half of all protein unextracted. Here, we report on the total protein extraction from sugar beet leaves (Beta vulgaris L.) by a traditional thermal extraction method consisting of mechanical pressing, heating to 50°C and centrifugation. The resulting streams (i.e. supernatant, green-protein pellet and fibrous pulp) were characterised in terms of composition, physical structure and processing options. The protein distributed almost equally over the supernatant, pellet and pulp. This shows that thermal precipitation is an unselective process with respect to fractionation between soluble (rubisco) and insoluble (other) proteins. About 6% of the total protein could be extracted as pure rubisco (90% purity) from the supernatant. Surfactants commonly used for protein solubilisation could hardly re-dissolve the precipitated proteins in the pellet phase, which suggested that irreversible association was induced between the co-precipitated proteins and cell debris. Thus, the extraction of this protein will require prevention of their co-precipitation, and should take place in the original juice solution.","container-title":"Food Chemistry","DOI":"10.1016/j.foodchem.2016.02.092","ISSN":"0308-8146","journalAbbreviation":"Food Chemistry","language":"en","page":"402-408","source":"ScienceDirect","title":"Recovery of protein from green leaves: Overview of crucial steps for utilisation","title-short":"Recovery of protein from green leaves","volume":"203","author":[{"family":"Tamayo Tenorio","given":"Angelica"},{"family":"Gieteling","given":"Jarno"},{"family":"Jong","given":"Govardus A. H.","non-dropping-particle":"de"},{"family":"Boom","given":"Remko M."},{"family":"Goot","given":"Atze J.","non-dropping-particle":"van der"}],"issued":{"date-parts":[["2016",7,15]]}}}],"schema":"https://github.com/citation-style-language/schema/raw/master/csl-citation.json"}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281</w:t>
            </w:r>
            <w:r w:rsidRPr="006F3D27">
              <w:rPr>
                <w:sz w:val="18"/>
                <w:szCs w:val="18"/>
              </w:rPr>
              <w:fldChar w:fldCharType="end"/>
            </w:r>
          </w:p>
        </w:tc>
        <w:tc>
          <w:tcPr>
            <w:tcW w:w="0" w:type="auto"/>
            <w:vMerge w:val="restart"/>
            <w:textDirection w:val="btLr"/>
          </w:tcPr>
          <w:p w14:paraId="1AA1CCE5" w14:textId="77777777" w:rsidR="00847C80" w:rsidRPr="006F3D27" w:rsidRDefault="00847C80" w:rsidP="00847C80">
            <w:pPr>
              <w:ind w:left="113" w:right="113"/>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Lab experiment</w:t>
            </w:r>
          </w:p>
        </w:tc>
        <w:tc>
          <w:tcPr>
            <w:tcW w:w="0" w:type="auto"/>
            <w:gridSpan w:val="2"/>
            <w:vMerge w:val="restart"/>
          </w:tcPr>
          <w:p w14:paraId="4C3E3340"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No</w:t>
            </w:r>
          </w:p>
        </w:tc>
        <w:tc>
          <w:tcPr>
            <w:tcW w:w="0" w:type="auto"/>
          </w:tcPr>
          <w:p w14:paraId="0940F1B9"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77%</w:t>
            </w:r>
          </w:p>
        </w:tc>
        <w:tc>
          <w:tcPr>
            <w:tcW w:w="0" w:type="auto"/>
          </w:tcPr>
          <w:p w14:paraId="1B860706"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58%</w:t>
            </w:r>
          </w:p>
        </w:tc>
        <w:tc>
          <w:tcPr>
            <w:tcW w:w="0" w:type="auto"/>
          </w:tcPr>
          <w:p w14:paraId="7FC82939"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69%</w:t>
            </w:r>
          </w:p>
        </w:tc>
        <w:tc>
          <w:tcPr>
            <w:tcW w:w="0" w:type="auto"/>
          </w:tcPr>
          <w:p w14:paraId="3CE26AD1"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59%</w:t>
            </w:r>
          </w:p>
        </w:tc>
        <w:tc>
          <w:tcPr>
            <w:tcW w:w="0" w:type="auto"/>
          </w:tcPr>
          <w:p w14:paraId="5528982F"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19%</w:t>
            </w:r>
          </w:p>
        </w:tc>
        <w:tc>
          <w:tcPr>
            <w:tcW w:w="0" w:type="auto"/>
          </w:tcPr>
          <w:p w14:paraId="11632F20"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25138F41"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89%</w:t>
            </w:r>
          </w:p>
        </w:tc>
        <w:tc>
          <w:tcPr>
            <w:tcW w:w="0" w:type="auto"/>
          </w:tcPr>
          <w:p w14:paraId="7A6B8607"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0A01BD72"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7FCD7E79"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0979F3C7"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2689CAAC"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r>
      <w:tr w:rsidR="00847C80" w:rsidRPr="006F3D27" w14:paraId="4D643D31"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47B2F9C" w14:textId="7F68A037" w:rsidR="00847C80" w:rsidRPr="006F3D27" w:rsidRDefault="00847C80" w:rsidP="00847C80">
            <w:pPr>
              <w:rPr>
                <w:sz w:val="18"/>
                <w:szCs w:val="18"/>
              </w:rPr>
            </w:pPr>
            <w:r w:rsidRPr="006F3D27">
              <w:rPr>
                <w:sz w:val="18"/>
                <w:szCs w:val="18"/>
              </w:rPr>
              <w:fldChar w:fldCharType="begin"/>
            </w:r>
            <w:r w:rsidR="005413B4">
              <w:rPr>
                <w:sz w:val="18"/>
                <w:szCs w:val="18"/>
              </w:rPr>
              <w:instrText xml:space="preserve"> ADDIN ZOTERO_ITEM CSL_CITATION {"citationID":"GDnhhngv","properties":{"formattedCitation":"\\super 314\\nosupersub{}","plainCitation":"314","noteIndex":0},"citationItems":[{"id":2888,"uris":["http://zotero.org/users/6423791/items/RG6KXF3Y"],"itemData":{"id":2888,"type":"article-journal","abstract":"In colder humid areas, green forages are recognised as high protein yielding crops and have the potential to be a locally grown sustainable protein source. However, without processing, the protein cannot be properly utilised by monogastrics. By screw pressing, a pulp fraction suitable for ruminants and a protein concentrate suitable for monogastrics can be produced. The aim of this study was to analyse the chemical composition of the produced fractions and the mass balance distribution of protein and dry matter (DM) between the fractions. Mass balances are important in order to determine the potential of biorefining of forages as a tool for sustainable feed production. White clover, red clover, lucerne, and perennial ryegrass were separated into a green juice and a fibrous pulp in a screw-press, and a protein concentrate was precipitated from the green juice by heat or acidic precipitation. The pulp and green juice had an average crude protein (CP) concentration of 203 g/kg DM and 249 g/kg DM, respectively. The majority of the DM and the CP from the plant was retained in the fibrous pulp. Protein concentrates from the green juice and pulp contained higher concentrations of the essential amino acids for monogastrics and ruminants compared with unprocessed forage. The results demonstrate that fractions with high protein concentration and balanced amino acid composition can be produced, which combined with a high recovery highlight the potential of both fractions as a protein source for livestock.","container-title":"Animal Feed Science and Technology","DOI":"10.1016/j.anifeedsci.2020.114401","ISSN":"0377-8401","journalAbbreviation":"Anim. Feed Sci. Technol.","language":"en","page":"114401","source":"ScienceDirect","title":"Screw-pressed fractions from green forages as animal feed: Chemical composition and mass balances","title-short":"Screw-pressed fractions from green forages as animal feed","volume":"261","author":[{"family":"Damborg","given":"Vinni Kragbæk"},{"family":"Jensen","given":"Søren Krogh"},{"family":"Weisbjerg","given":"Martin R."},{"family":"Adamsen","given":"Anders Peter"},{"family":"Stødkilde","given":"Lene"}],"issued":{"date-parts":[["2020",3,1]]}}}],"schema":"https://github.com/citation-style-language/schema/raw/master/csl-citation.json"}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314</w:t>
            </w:r>
            <w:r w:rsidRPr="006F3D27">
              <w:rPr>
                <w:sz w:val="18"/>
                <w:szCs w:val="18"/>
              </w:rPr>
              <w:fldChar w:fldCharType="end"/>
            </w:r>
          </w:p>
        </w:tc>
        <w:tc>
          <w:tcPr>
            <w:tcW w:w="0" w:type="auto"/>
            <w:vMerge/>
          </w:tcPr>
          <w:p w14:paraId="64DE5DC5"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gridSpan w:val="2"/>
            <w:vMerge/>
          </w:tcPr>
          <w:p w14:paraId="41C03033"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0505E202"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57-71%</w:t>
            </w:r>
          </w:p>
        </w:tc>
        <w:tc>
          <w:tcPr>
            <w:tcW w:w="0" w:type="auto"/>
          </w:tcPr>
          <w:p w14:paraId="4DBC1329"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29-36%</w:t>
            </w:r>
          </w:p>
        </w:tc>
        <w:tc>
          <w:tcPr>
            <w:tcW w:w="0" w:type="auto"/>
          </w:tcPr>
          <w:p w14:paraId="4337DAB8"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35-43%</w:t>
            </w:r>
          </w:p>
        </w:tc>
        <w:tc>
          <w:tcPr>
            <w:tcW w:w="0" w:type="auto"/>
          </w:tcPr>
          <w:p w14:paraId="50CEA1FB"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2228EB8F"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16E18A78"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6589D5F0"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73E148CD"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24B2E0E7"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7D6ABE47"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0312AB20"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7E3B8B84"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r>
      <w:tr w:rsidR="00847C80" w:rsidRPr="006F3D27" w14:paraId="2116C28B" w14:textId="77777777" w:rsidTr="00C828FC">
        <w:tc>
          <w:tcPr>
            <w:cnfStyle w:val="001000000000" w:firstRow="0" w:lastRow="0" w:firstColumn="1" w:lastColumn="0" w:oddVBand="0" w:evenVBand="0" w:oddHBand="0" w:evenHBand="0" w:firstRowFirstColumn="0" w:firstRowLastColumn="0" w:lastRowFirstColumn="0" w:lastRowLastColumn="0"/>
            <w:tcW w:w="0" w:type="auto"/>
          </w:tcPr>
          <w:p w14:paraId="198C637C" w14:textId="6E2B0568" w:rsidR="00847C80" w:rsidRPr="006F3D27" w:rsidRDefault="00847C80" w:rsidP="00847C80">
            <w:pPr>
              <w:rPr>
                <w:sz w:val="18"/>
                <w:szCs w:val="18"/>
              </w:rPr>
            </w:pPr>
            <w:r w:rsidRPr="006F3D27">
              <w:rPr>
                <w:sz w:val="18"/>
                <w:szCs w:val="18"/>
              </w:rPr>
              <w:fldChar w:fldCharType="begin"/>
            </w:r>
            <w:r w:rsidR="005413B4">
              <w:rPr>
                <w:sz w:val="18"/>
                <w:szCs w:val="18"/>
              </w:rPr>
              <w:instrText xml:space="preserve"> ADDIN ZOTERO_ITEM CSL_CITATION {"citationID":"jCeoVVQV","properties":{"formattedCitation":"\\super 315\\nosupersub{}","plainCitation":"315","noteIndex":0},"citationItems":[{"id":7949,"uris":["http://zotero.org/users/6423791/items/45NGJEH9"],"itemData":{"id":7949,"type":"article-journal","abstract":"Nutrient recovery from organic green biomass after processing in a green biorefinery concept for the production of protein feed, biogas and fertilizer for organic farming was investigated. Mass balances in terms of wet weight, TS, VS, C, N, P, K and S were evaluated for processing red clover and clover grass into protein concentrate, press cake and brown juice according to the green biorefinery concept. Depending on the biomass, between 60 and 79% of C and between 52 and 63% of N, P and S in the fresh biomass were found in the press cake, while only 6–10% of C, 8–15% of N, but up to 27% of P and up to 26% of S were found in the brown juice. In contrast, less than 45% of K was transferred to the press cake and 19–31% of K ended up in the brown juice. Moreover, nutrient recovery in the digestate after anaerobic co-digestion of press cake and brown juice produced from clover grass in a pilot-scale trial was assessed in a bench-scale biogas reactor. The analysis of the digestate from the AD process revealed that 56% of the influent total-C was converted into biogas and that the share of ammonia-N of total-N was increased from 9.4 to 43% during the biogas process. Therefore, the proportion of plant available N was improved in the digestate. The digestate to be applied as organic fertilizer presented a C:N ratio of 7 and a nutrients N:P:K ratio of 4:1:12.","container-title":"Waste and Biomass Valorization","DOI":"10.1007/s12649-019-00842-3","ISSN":"1877-265X","issue":"11","journalAbbreviation":"Waste Biomass Valor.","language":"en","page":"5901-5911","source":"Springer Link","title":"Potential Nutrient Recovery in a Green Biorefinery for Production of Feed, Fuel and Fertilizer for Organic Farming","volume":"11","author":[{"family":"Santamaría-Fernández","given":"Maria"},{"family":"Ytting","given":"Nanna Karkov"},{"family":"Lübeck","given":"Mette"},{"family":"Uellendahl","given":"Hinrich"}],"issued":{"date-parts":[["2020",11,1]]}}}],"schema":"https://github.com/citation-style-language/schema/raw/master/csl-citation.json"}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315</w:t>
            </w:r>
            <w:r w:rsidRPr="006F3D27">
              <w:rPr>
                <w:sz w:val="18"/>
                <w:szCs w:val="18"/>
              </w:rPr>
              <w:fldChar w:fldCharType="end"/>
            </w:r>
          </w:p>
        </w:tc>
        <w:tc>
          <w:tcPr>
            <w:tcW w:w="0" w:type="auto"/>
            <w:vMerge/>
          </w:tcPr>
          <w:p w14:paraId="39D147FD"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gridSpan w:val="2"/>
            <w:vMerge/>
          </w:tcPr>
          <w:p w14:paraId="2CC39ABD"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671418BA"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60%</w:t>
            </w:r>
          </w:p>
        </w:tc>
        <w:tc>
          <w:tcPr>
            <w:tcW w:w="0" w:type="auto"/>
          </w:tcPr>
          <w:p w14:paraId="09059022"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25-42%</w:t>
            </w:r>
          </w:p>
        </w:tc>
        <w:tc>
          <w:tcPr>
            <w:tcW w:w="0" w:type="auto"/>
          </w:tcPr>
          <w:p w14:paraId="357725CB"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36F1B47D"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71A5EDC8"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05A011B6"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68D436ED"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304C0AB3"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70433E61"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44-47%</w:t>
            </w:r>
          </w:p>
        </w:tc>
        <w:tc>
          <w:tcPr>
            <w:tcW w:w="0" w:type="auto"/>
          </w:tcPr>
          <w:p w14:paraId="5EBD08C5"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57-60%</w:t>
            </w:r>
          </w:p>
        </w:tc>
        <w:tc>
          <w:tcPr>
            <w:tcW w:w="0" w:type="auto"/>
          </w:tcPr>
          <w:p w14:paraId="15065F63"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45-48%</w:t>
            </w:r>
          </w:p>
        </w:tc>
        <w:tc>
          <w:tcPr>
            <w:tcW w:w="0" w:type="auto"/>
          </w:tcPr>
          <w:p w14:paraId="30860912"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r>
      <w:tr w:rsidR="00847C80" w:rsidRPr="006F3D27" w14:paraId="4B286C41"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1322185" w14:textId="41B60380" w:rsidR="00847C80" w:rsidRPr="006F3D27" w:rsidRDefault="00847C80" w:rsidP="00847C80">
            <w:pPr>
              <w:rPr>
                <w:sz w:val="18"/>
                <w:szCs w:val="18"/>
              </w:rPr>
            </w:pPr>
            <w:r w:rsidRPr="006F3D27">
              <w:rPr>
                <w:sz w:val="18"/>
                <w:szCs w:val="18"/>
              </w:rPr>
              <w:fldChar w:fldCharType="begin"/>
            </w:r>
            <w:r w:rsidR="005413B4">
              <w:rPr>
                <w:sz w:val="18"/>
                <w:szCs w:val="18"/>
              </w:rPr>
              <w:instrText xml:space="preserve"> ADDIN ZOTERO_ITEM CSL_CITATION {"citationID":"9FXbrH0O","properties":{"formattedCitation":"\\super 316\\nosupersub{}","plainCitation":"316","noteIndex":0},"citationItems":[{"id":7947,"uris":["http://zotero.org/users/6423791/items/ZD94KAUE"],"itemData":{"id":7947,"type":"article-journal","abstract":"The extraction of leaf proteins from perennial forage crops within a green biorefinery concept represents a promising approach to face the increasing demand for protein arisen in the organic farming sector to feed monogastric animals. Given the background, the present research aims at assessing the protein extractability from three plant species i.e. chicory, red clover and timothy, at different development stages and investigating lactic acid fermentation as the key method for the extraction of leaf proteins. Based on our results, up to 86% of the proteins in the green juice were recovered in the leaf protein concentrate (LPC) by means of lactic acid fermentation. Red clover presented the highest protein content and resulted in the extraction of 65–98 kg crude proteins per ton dry matter and the production of 186–235 kg dry LPC per ton dry matter. The plants development stage significantly influenced the process figures i.e. protein extractability and production of protein concentrate were reduced with maturity. Accordingly, the maturity of the plants should be addressed when utilized as feedstock for producing protein concentrates for animal feeding in order to optimize the process yields.","container-title":"Journal of Cleaner Production","DOI":"10.1016/j.jclepro.2019.01.292","ISSN":"0959-6526","journalAbbreviation":"Journal of Cleaner Production","language":"en","page":"1055-1064","source":"ScienceDirect","title":"Influence of the development stage of perennial forage crops for the recovery yields of extractable proteins using lactic acid fermentation","volume":"218","author":[{"family":"Santamaría-Fernández","given":"M."},{"family":"Karkov Ytting","given":"N."},{"family":"Lübeck","given":"M."}],"issued":{"date-parts":[["2019",5,1]]}}}],"schema":"https://github.com/citation-style-language/schema/raw/master/csl-citation.json"}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316</w:t>
            </w:r>
            <w:r w:rsidRPr="006F3D27">
              <w:rPr>
                <w:sz w:val="18"/>
                <w:szCs w:val="18"/>
              </w:rPr>
              <w:fldChar w:fldCharType="end"/>
            </w:r>
          </w:p>
        </w:tc>
        <w:tc>
          <w:tcPr>
            <w:tcW w:w="0" w:type="auto"/>
            <w:vMerge/>
          </w:tcPr>
          <w:p w14:paraId="7B3CA8AE"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gridSpan w:val="2"/>
            <w:vMerge/>
          </w:tcPr>
          <w:p w14:paraId="61201259"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266CBE5E"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60-70%</w:t>
            </w:r>
          </w:p>
        </w:tc>
        <w:tc>
          <w:tcPr>
            <w:tcW w:w="0" w:type="auto"/>
          </w:tcPr>
          <w:p w14:paraId="34CFF46A"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28E05F4D"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50-57%</w:t>
            </w:r>
          </w:p>
        </w:tc>
        <w:tc>
          <w:tcPr>
            <w:tcW w:w="0" w:type="auto"/>
          </w:tcPr>
          <w:p w14:paraId="42B4C9D1"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2CAF1D49"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55034280"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791AFF30"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1BBCDAB6"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371F3EC7"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44B816C9"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654EE33A"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1E70097B"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r>
      <w:tr w:rsidR="00847C80" w:rsidRPr="006F3D27" w14:paraId="7C720EF7" w14:textId="77777777" w:rsidTr="00C828FC">
        <w:tc>
          <w:tcPr>
            <w:cnfStyle w:val="001000000000" w:firstRow="0" w:lastRow="0" w:firstColumn="1" w:lastColumn="0" w:oddVBand="0" w:evenVBand="0" w:oddHBand="0" w:evenHBand="0" w:firstRowFirstColumn="0" w:firstRowLastColumn="0" w:lastRowFirstColumn="0" w:lastRowLastColumn="0"/>
            <w:tcW w:w="0" w:type="auto"/>
          </w:tcPr>
          <w:p w14:paraId="68CDD8C5" w14:textId="171B918D" w:rsidR="00847C80" w:rsidRPr="006F3D27" w:rsidRDefault="00847C80" w:rsidP="00847C80">
            <w:pPr>
              <w:rPr>
                <w:sz w:val="18"/>
                <w:szCs w:val="18"/>
              </w:rPr>
            </w:pPr>
            <w:r w:rsidRPr="006F3D27">
              <w:rPr>
                <w:sz w:val="18"/>
                <w:szCs w:val="18"/>
              </w:rPr>
              <w:fldChar w:fldCharType="begin"/>
            </w:r>
            <w:r w:rsidR="005413B4">
              <w:rPr>
                <w:sz w:val="18"/>
                <w:szCs w:val="18"/>
              </w:rPr>
              <w:instrText xml:space="preserve"> ADDIN ZOTERO_ITEM CSL_CITATION {"citationID":"IruLijNR","properties":{"formattedCitation":"\\super 317\\nosupersub{}","plainCitation":"317","noteIndex":0},"citationItems":[{"id":1364,"uris":["http://zotero.org/users/6423791/items/TIWJETVE"],"itemData":{"id":1364,"type":"article-journal","container-title":"CLEAN - Soil, Air, Water","DOI":"10.1002/clen.200800122","ISSN":"18630650, 18630669","issue":"1","journalAbbreviation":"Clean Soil Air Water","language":"en","page":"27-30","source":"DOI.org (Crossref)","title":"Biorefining of Green Biomass - Technical and Energetic Considerations","volume":"37","author":[{"family":"Kamm","given":"Birgit"},{"family":"Schönicke","given":"Petra"},{"family":"Kamm","given":"Michael"}],"issued":{"date-parts":[["2009",1]]}}}],"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317</w:t>
            </w:r>
            <w:r w:rsidRPr="006F3D27">
              <w:rPr>
                <w:sz w:val="18"/>
                <w:szCs w:val="18"/>
              </w:rPr>
              <w:fldChar w:fldCharType="end"/>
            </w:r>
          </w:p>
        </w:tc>
        <w:tc>
          <w:tcPr>
            <w:tcW w:w="0" w:type="auto"/>
            <w:vMerge/>
          </w:tcPr>
          <w:p w14:paraId="3C01F1A2"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gridSpan w:val="2"/>
            <w:vMerge/>
          </w:tcPr>
          <w:p w14:paraId="319F9531"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522B3B43"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5F8D5799"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4C6675C1"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11C0398B"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166C4777"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52FE5C06"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031D2A13"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10E3D0DB"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0ED00CA6"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5E81F16D"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3A17DA7C"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40259280"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3.3</w:t>
            </w:r>
          </w:p>
        </w:tc>
      </w:tr>
      <w:tr w:rsidR="00847C80" w:rsidRPr="006F3D27" w14:paraId="0C987AAF"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EB50B19" w14:textId="5E9C92C7" w:rsidR="00847C80" w:rsidRPr="006F3D27" w:rsidRDefault="00847C80" w:rsidP="00847C80">
            <w:pPr>
              <w:rPr>
                <w:sz w:val="18"/>
                <w:szCs w:val="18"/>
              </w:rPr>
            </w:pPr>
            <w:r w:rsidRPr="006F3D27">
              <w:rPr>
                <w:sz w:val="18"/>
                <w:szCs w:val="18"/>
              </w:rPr>
              <w:fldChar w:fldCharType="begin"/>
            </w:r>
            <w:r w:rsidR="005413B4">
              <w:rPr>
                <w:sz w:val="18"/>
                <w:szCs w:val="18"/>
              </w:rPr>
              <w:instrText xml:space="preserve"> ADDIN ZOTERO_ITEM CSL_CITATION {"citationID":"J8ElNCW6","properties":{"formattedCitation":"\\super 295\\nosupersub{}","plainCitation":"295","noteIndex":0},"citationItems":[{"id":399,"uris":["http://zotero.org/users/6423791/items/VKZ573LE"],"itemData":{"id":399,"type":"article-journal","abstract":"Green bioreﬁnery” (GBR) could be an alternative option for using grassland biomass. GBR involves applying technology to chemically and physically fractionate (split) biomass such as grass and grass silage into marketable products. From the grass ﬁbre fraction insulation materials can be produced. From the grass juice fraction, proteinaceous products for animal feed and lactic acid (LA) for plastic production (polylactic acid e PLA) can be produced. This paper is the ﬁrst part in the analysis to develop a blueprint for a ﬁrst generation Irish GBR system. The focus of this paper is on the technical aspects of developing three GBR system models and subsequent scenario analyses. The three GBR system models were a combination of feedstock system and bioreﬁnery technology; Grass/silageebasic technology (GS), Silageebasic technology (S) and SilageeHigh Tech (AT). The models, which were integrated mass and energy balances, were then assessed at the three different input volumes, to generate nine scenarios. The scenarios which required further economic analysis in a companion paper to determine their overall feasibility (technical and economic) in the development of blueprint for a ﬁrst generation Irish GBR system were identiﬁed. From the technical analysis outlined in this paper six scenarios were identiﬁed which require further economic analysis. These were scenarios generated for the GS, S and AT GBR systems, at two input volume rates.","container-title":"Biomass and Bioenergy","DOI":"10.1016/j.biombioe.2011.06.017","ISSN":"09619534","issue":"11","journalAbbreviation":"Biomass Bioenergy.","language":"en","page":"4712-4723","source":"DOI.org (Crossref)","title":"I. Technical assessment for first generation green biorefinery (GBR) using mass and energy balances: Scenarios for an Irish GBR blueprint","title-short":"I. Technical assessment for first generation green biorefinery (GBR) using mass and energy balances","volume":"35","author":[{"family":"O’Keeffe","given":"S."},{"family":"Schulte","given":"R.P.O."},{"family":"Sanders","given":"J.P.M."},{"family":"Struik","given":"P.C."}],"issued":{"date-parts":[["2011",11]]}}}],"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295</w:t>
            </w:r>
            <w:r w:rsidRPr="006F3D27">
              <w:rPr>
                <w:sz w:val="18"/>
                <w:szCs w:val="18"/>
              </w:rPr>
              <w:fldChar w:fldCharType="end"/>
            </w:r>
          </w:p>
        </w:tc>
        <w:tc>
          <w:tcPr>
            <w:tcW w:w="0" w:type="auto"/>
            <w:vMerge/>
          </w:tcPr>
          <w:p w14:paraId="4277912D"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gridSpan w:val="2"/>
            <w:vMerge/>
          </w:tcPr>
          <w:p w14:paraId="0009560D"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0136D704"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2FE360F7"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410BA0D1"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762539DB"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0D296ECA"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098BE1F9"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5668D5D6"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0EE05E6B"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5092E305"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2E1C20D7"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0824B2C6"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02EB012B"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2.5</w:t>
            </w:r>
          </w:p>
        </w:tc>
      </w:tr>
      <w:tr w:rsidR="00847C80" w:rsidRPr="006F3D27" w14:paraId="5FAD607B" w14:textId="77777777" w:rsidTr="00C828FC">
        <w:tc>
          <w:tcPr>
            <w:cnfStyle w:val="001000000000" w:firstRow="0" w:lastRow="0" w:firstColumn="1" w:lastColumn="0" w:oddVBand="0" w:evenVBand="0" w:oddHBand="0" w:evenHBand="0" w:firstRowFirstColumn="0" w:firstRowLastColumn="0" w:lastRowFirstColumn="0" w:lastRowLastColumn="0"/>
            <w:tcW w:w="0" w:type="auto"/>
          </w:tcPr>
          <w:p w14:paraId="50A7378F" w14:textId="5DDF2258" w:rsidR="00847C80" w:rsidRPr="006F3D27" w:rsidRDefault="00847C80" w:rsidP="00847C80">
            <w:pPr>
              <w:rPr>
                <w:sz w:val="18"/>
                <w:szCs w:val="18"/>
              </w:rPr>
            </w:pPr>
            <w:r w:rsidRPr="006F3D27">
              <w:rPr>
                <w:sz w:val="18"/>
                <w:szCs w:val="18"/>
              </w:rPr>
              <w:fldChar w:fldCharType="begin"/>
            </w:r>
            <w:r w:rsidR="005413B4">
              <w:rPr>
                <w:sz w:val="18"/>
                <w:szCs w:val="18"/>
              </w:rPr>
              <w:instrText xml:space="preserve"> ADDIN ZOTERO_ITEM CSL_CITATION {"citationID":"O7fM7RUP","properties":{"formattedCitation":"\\super 318\\nosupersub{}","plainCitation":"318","noteIndex":0},"citationItems":[{"id":11291,"uris":["http://zotero.org/users/6423791/items/X2TRNE4F"],"itemData":{"id":11291,"type":"book","collection-title":"Proceedings of the 28th General Meeting of the European Grassland Federation","ISBN":"978-952-326-944-6","language":"en","publisher":"Natural Resources Institute Finland (Luke)","source":"Zotero","title":"Meeting the future demands for grassland production","editor":[{"family":"Virkajärvi","given":"P."},{"family":"Hakala","given":"K."},{"family":"Hakojärvi","given":"M."},{"family":"Helin","given":"J."}],"issued":{"date-parts":[["2020"]]}}}],"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318</w:t>
            </w:r>
            <w:r w:rsidRPr="006F3D27">
              <w:rPr>
                <w:sz w:val="18"/>
                <w:szCs w:val="18"/>
              </w:rPr>
              <w:fldChar w:fldCharType="end"/>
            </w:r>
          </w:p>
        </w:tc>
        <w:tc>
          <w:tcPr>
            <w:tcW w:w="0" w:type="auto"/>
            <w:vMerge/>
          </w:tcPr>
          <w:p w14:paraId="3A0B4B52"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gridSpan w:val="2"/>
            <w:vMerge/>
          </w:tcPr>
          <w:p w14:paraId="5E55664C"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0D4265D4"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47491EED"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43-46%</w:t>
            </w:r>
          </w:p>
        </w:tc>
        <w:tc>
          <w:tcPr>
            <w:tcW w:w="0" w:type="auto"/>
          </w:tcPr>
          <w:p w14:paraId="5B344AAE"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33-61%</w:t>
            </w:r>
          </w:p>
        </w:tc>
        <w:tc>
          <w:tcPr>
            <w:tcW w:w="0" w:type="auto"/>
          </w:tcPr>
          <w:p w14:paraId="0021D439"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2CD74E79"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5AEA4189"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67E11B3B"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41DE86F1"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10EBA398"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3AEFC21B"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1AF64F04"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764211AF"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r>
      <w:tr w:rsidR="00847C80" w:rsidRPr="006F3D27" w14:paraId="695CAFBD"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95B3CE8" w14:textId="13E3521E" w:rsidR="00847C80" w:rsidRPr="006F3D27" w:rsidRDefault="00847C80" w:rsidP="00847C80">
            <w:pPr>
              <w:rPr>
                <w:sz w:val="18"/>
                <w:szCs w:val="18"/>
              </w:rPr>
            </w:pPr>
            <w:r w:rsidRPr="006F3D27">
              <w:rPr>
                <w:sz w:val="18"/>
                <w:szCs w:val="18"/>
              </w:rPr>
              <w:fldChar w:fldCharType="begin"/>
            </w:r>
            <w:r w:rsidR="005413B4">
              <w:rPr>
                <w:sz w:val="18"/>
                <w:szCs w:val="18"/>
              </w:rPr>
              <w:instrText xml:space="preserve"> ADDIN ZOTERO_ITEM CSL_CITATION {"citationID":"1Ccm7A8j","properties":{"formattedCitation":"\\super 275\\nosupersub{}","plainCitation":"275","noteIndex":0},"citationItems":[{"id":12426,"uris":["http://zotero.org/users/6423791/items/GS4RZCAW"],"itemData":{"id":12426,"type":"article-journal","abstract":"This pre-feasibility study evaluates the use of residual leafy green biomass from broccoli (Brassica oleracea, var. Italica) and kale (Brassica oleracea, var. Sabellica) as feedstock for protein fractionation and potential application of the fractions in food and feed products. The protein concentration, protein recovery potential and the content of phenols and dietary ﬁbre in these biomass sources and fractions were investigated. Field produce and side-stream analysis showed that among broccoli and kale side-streams the potentially suitable leaves for protein fractionation constitute up to 16 and 1.9 t/ha (DM content), respectively. Fractionation demonstrated that between 34–42 and 25–34 kg total protein could be extracted per t DM of broccoli and kale residue leaves, respectively. The amount of protein was generally high in green protein fraction (GPF) and the white protein concentrate (WPC) of both crops, although signiﬁcantly higher in broccoli compared to kale. The recovery of bound and free phenolic compounds was up to 18% in the GPF of both crops, while only 0.4% ended up in the WPC. The economic assessment showed that the feedstock and processing costs of producing GPF and WPC, as well as of the combined protein fraction (CPF) 1.9–6.0 and 1.3–3.9 times higher than expected revenues for broccoli and kale, respectively, indicating that the production of protein fractions is not economically feasible with the current production scheme. However, potentially higher revenues may be obtained if value-added products such as fractionated phenols and dietary ﬁbre components are also included and investigated in future production schemes. The pathway investigated, that included a direct drying and milling of leaf biomass showed a low processing cost and thereby the most favourable economic alternative, with approx. 7–30% proﬁt for kale, while for broccoli revenues covered only 44–47% of the costs due to the extra harvest cost of the broccoli leaves.","container-title":"Food and Bioproducts Processing","DOI":"10.1016/j.fbp.2021.10.004","ISSN":"09603085","journalAbbreviation":"FBP","language":"en","page":"229-243","source":"DOI.org (Crossref)","title":"Protein fractionation of broccoli (Brassica oleracea, var. Italica) and kale (Brassica oleracea, var. Sabellica) residual leaves — A pre-feasibility assessment and evaluation of fraction phenol and fibre content","volume":"130","author":[{"family":"Prade","given":"Thomas"},{"family":"Muneer","given":"Faraz"},{"family":"Berndtsson","given":"Emilia"},{"family":"Nynäs","given":"Anna-Lovisa"},{"family":"Svensson","given":"Sven-Erik"},{"family":"Newson","given":"William R."},{"family":"Johansson","given":"Eva"}],"issued":{"date-parts":[["2021",11]]}}}],"schema":"https://github.com/citation-style-language/schema/raw/master/csl-citation.json"}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275</w:t>
            </w:r>
            <w:r w:rsidRPr="006F3D27">
              <w:rPr>
                <w:sz w:val="18"/>
                <w:szCs w:val="18"/>
              </w:rPr>
              <w:fldChar w:fldCharType="end"/>
            </w:r>
          </w:p>
        </w:tc>
        <w:tc>
          <w:tcPr>
            <w:tcW w:w="0" w:type="auto"/>
            <w:vMerge/>
          </w:tcPr>
          <w:p w14:paraId="5C3C4B2C"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gridSpan w:val="2"/>
            <w:vMerge/>
          </w:tcPr>
          <w:p w14:paraId="101CCE59"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3C24ED5F"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6FB32276"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10-20%</w:t>
            </w:r>
          </w:p>
        </w:tc>
        <w:tc>
          <w:tcPr>
            <w:tcW w:w="0" w:type="auto"/>
          </w:tcPr>
          <w:p w14:paraId="463DF79C"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39-44%</w:t>
            </w:r>
          </w:p>
        </w:tc>
        <w:tc>
          <w:tcPr>
            <w:tcW w:w="0" w:type="auto"/>
          </w:tcPr>
          <w:p w14:paraId="5251077E"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0999553A"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4-9%</w:t>
            </w:r>
          </w:p>
        </w:tc>
        <w:tc>
          <w:tcPr>
            <w:tcW w:w="0" w:type="auto"/>
          </w:tcPr>
          <w:p w14:paraId="5A674D7D"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48148FD3"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57DE5C34"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08842CD5"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51B8971C"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3189DBB3"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10BE234B"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r>
      <w:tr w:rsidR="00847C80" w:rsidRPr="006F3D27" w14:paraId="087C95D6" w14:textId="77777777" w:rsidTr="00C828FC">
        <w:tc>
          <w:tcPr>
            <w:cnfStyle w:val="001000000000" w:firstRow="0" w:lastRow="0" w:firstColumn="1" w:lastColumn="0" w:oddVBand="0" w:evenVBand="0" w:oddHBand="0" w:evenHBand="0" w:firstRowFirstColumn="0" w:firstRowLastColumn="0" w:lastRowFirstColumn="0" w:lastRowLastColumn="0"/>
            <w:tcW w:w="0" w:type="auto"/>
          </w:tcPr>
          <w:p w14:paraId="23CEC80B" w14:textId="35C825B3" w:rsidR="00847C80" w:rsidRPr="006F3D27" w:rsidRDefault="00847C80" w:rsidP="00847C80">
            <w:pPr>
              <w:rPr>
                <w:sz w:val="18"/>
                <w:szCs w:val="18"/>
              </w:rPr>
            </w:pPr>
            <w:r w:rsidRPr="006F3D27">
              <w:rPr>
                <w:sz w:val="18"/>
                <w:szCs w:val="18"/>
              </w:rPr>
              <w:fldChar w:fldCharType="begin"/>
            </w:r>
            <w:r w:rsidR="005413B4">
              <w:rPr>
                <w:sz w:val="18"/>
                <w:szCs w:val="18"/>
              </w:rPr>
              <w:instrText xml:space="preserve"> ADDIN ZOTERO_ITEM CSL_CITATION {"citationID":"znOdM5AR","properties":{"formattedCitation":"\\super 279\\nosupersub{}","plainCitation":"279","noteIndex":0},"citationItems":[{"id":12919,"uris":["http://zotero.org/users/6423791/items/H9PL35VW"],"itemData":{"id":12919,"type":"article-journal","abstract":"Paludiculture, and in particular the cultivation of perennial grasses as biomass feedstock for green biorefineries, may be an economic and environmentally sustainable option for agricultural peatlands in temperate regions. However, the optimal biomass quality for protein extraction from flood-tolerant grasses is largely unknown. The aim of this study was to define the combined effect of harvest and fertilization frequency, with one to five annual cuts, on protein yield and extractability for the grasses tall fescue (TF) and reed canary grass (RCG), cultivated on an agricultural fen peatland in Denmark.The content of protein fractions was determined according to the Cornell Net Carbohydrate and Protein System (CNCPS). We assessed protein extractability by lab-scale biorefinery techniques using a screw-press followed by acid precipitation of true protein. The two methods were compared to correlate potential extractable protein yields with actual biorefinery outputs. We found the highest annual biomass and crude protein (CP) yields in the two cut treatments, with 13.4 and 15.6 t dry matter (DM) ha−1 year−1, containing 2.9–3.4 t CP ha−1 year−1 for TF and RCG, respectively. The highest neutral-extractable (fractions B1 and B2) true protein yields of 1.1 and 1.5 t ha−1 year−1 were found in the two cut treatments, representing 39% (TF) - 45% (RCG) of total CP. Using biorefining techniques, we were able to precipitate up to 2.2 t DM ha−1 year−1 of protein concentrate, containing up to 39% CP. Significant correlations between methods were found, with a distinct relationship between CNCPS fractions B1 + B2 and CP yield of the protein concentrate, indicating the suitability of the CNCPS as an indicator for extractable protein yields. Biomass and CP yields were not significantly improved beyond two annual cuts. However, timing and harvest frequencies significantly affected plant maturity and consequently extractable CP contents and protein concentrate yields. We conclude that TF and RCG are promising feedstocks for green biorefineries due to high biomass, extractable CP, and protein concentrate yields, and highlight the potential of flood-tolerant grasses, cultivated on wet agricultural peatlands, for an enhanced valorisation beyond the common utilisation for bioenergy.","container-title":"Frontiers in Environmental Science","ISSN":"2296-665X","journalAbbreviation":"Front. Environ. Sci.","source":"Frontiers","title":"Effects of Harvest and Fertilization Frequency on Protein Yield and Extractability From Flood-Tolerant Perennial Grasses Cultivated on a fen Peatland","URL":"https://www.frontiersin.org/article/10.3389/fenvs.2021.619258","volume":"9","author":[{"family":"Nielsen","given":"Claudia Kalla"},{"family":"Stødkilde","given":"Lene"},{"family":"Jørgensen","given":"Uffe"},{"family":"Lærke","given":"Poul Erik"}],"accessed":{"date-parts":[["2022",1,27]]},"issued":{"date-parts":[["2021"]]}}}],"schema":"https://github.com/citation-style-language/schema/raw/master/csl-citation.json"}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279</w:t>
            </w:r>
            <w:r w:rsidRPr="006F3D27">
              <w:rPr>
                <w:sz w:val="18"/>
                <w:szCs w:val="18"/>
              </w:rPr>
              <w:fldChar w:fldCharType="end"/>
            </w:r>
          </w:p>
        </w:tc>
        <w:tc>
          <w:tcPr>
            <w:tcW w:w="0" w:type="auto"/>
            <w:vMerge/>
          </w:tcPr>
          <w:p w14:paraId="4EDD146E"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gridSpan w:val="2"/>
            <w:vMerge/>
          </w:tcPr>
          <w:p w14:paraId="12658FEA"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5D4EB037"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2ECB0E44"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18-38%</w:t>
            </w:r>
          </w:p>
        </w:tc>
        <w:tc>
          <w:tcPr>
            <w:tcW w:w="0" w:type="auto"/>
          </w:tcPr>
          <w:p w14:paraId="3EEF09D7"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19-48%</w:t>
            </w:r>
          </w:p>
        </w:tc>
        <w:tc>
          <w:tcPr>
            <w:tcW w:w="0" w:type="auto"/>
          </w:tcPr>
          <w:p w14:paraId="73594D5A"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43F96424"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51838907"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3E2CA41D"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51A0CCD1"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20DE576D"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0CCCC0D9"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260F0CEA"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2A6F3CCF"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r>
      <w:tr w:rsidR="00847C80" w:rsidRPr="006F3D27" w14:paraId="066A5246"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E8CF4E8" w14:textId="5DC9CA83" w:rsidR="00847C80" w:rsidRPr="006F3D27" w:rsidRDefault="00847C80" w:rsidP="00847C80">
            <w:pPr>
              <w:rPr>
                <w:sz w:val="18"/>
                <w:szCs w:val="18"/>
              </w:rPr>
            </w:pPr>
            <w:r w:rsidRPr="006F3D27">
              <w:rPr>
                <w:sz w:val="18"/>
                <w:szCs w:val="18"/>
              </w:rPr>
              <w:fldChar w:fldCharType="begin"/>
            </w:r>
            <w:r w:rsidR="005413B4">
              <w:rPr>
                <w:sz w:val="18"/>
                <w:szCs w:val="18"/>
              </w:rPr>
              <w:instrText xml:space="preserve"> ADDIN ZOTERO_ITEM CSL_CITATION {"citationID":"1955cSai","properties":{"formattedCitation":"\\super 276\\nosupersub{}","plainCitation":"276","noteIndex":0},"citationItems":[{"id":13783,"uris":["http://zotero.org/users/6423791/items/PM47CACP"],"itemData":{"id":13783,"type":"article-journal","abstract":"Nowadays, cassava leaves are mostly treated as a byproduct of cassava root production, yet this readily available biomass is rich in protein with a balanced content of amino acids. Cassava leaves therefore represent a promising, underutilized biomass for extraction of proteins. The purpose of this study was to provide updated information on the feasibility of producing cassava leaf protein concentrate for use in feed and food. In this context, protein concentrates were refined from cassava leaves using different precipitation methods and the refining process evaluated with focus on protein, amino acids and selected antinutritional factors. Crude protein was mainly distributed to the press cake and protein concentrates during the two processing steps, i.e., pressing and precipitation, and between 21% and 26% (w/w) of leaf crude protein was recovered in the concentrates. After drying, these contained 40–45% crude protein with an amino acid profile comparable to soybean and tolerable levels of tannins (&gt;1% of TS) for feed purposes. However, the refining process did not significantly reduce the cyanogenic potential, i.e., the total amount of releasable HCN, which accumulated in the dried protein product to around 150–250 ppm. This lies significantly above the 10–50 ppm deemed safe for food and feedstuff by several food safety authorities. Based on these results, extraction of leaf protein from cassava appears promising, but additional research is required to evaluate its full potential, especially in relation to its use in food products.","container-title":"Journal of Cleaner Production","DOI":"10.1016/j.jclepro.2022.134730","ISSN":"0959-6526","journalAbbreviation":"Journal of Cleaner Production","language":"en","page":"134730","source":"ScienceDirect","title":"Production of leaf protein concentrates from cassava: Protein distribution and anti-nutritional factors in biorefining fractions","title-short":"Production of leaf protein concentrates from cassava","volume":"379","author":[{"family":"Gundersen","given":"E."},{"family":"Christiansen","given":"A. H. C."},{"family":"Jørgensen","given":"K."},{"family":"Lübeck","given":"M."}],"issued":{"date-parts":[["2022",12,15]]}}}],"schema":"https://github.com/citation-style-language/schema/raw/master/csl-citation.json"}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276</w:t>
            </w:r>
            <w:r w:rsidRPr="006F3D27">
              <w:rPr>
                <w:sz w:val="18"/>
                <w:szCs w:val="18"/>
              </w:rPr>
              <w:fldChar w:fldCharType="end"/>
            </w:r>
          </w:p>
        </w:tc>
        <w:tc>
          <w:tcPr>
            <w:tcW w:w="0" w:type="auto"/>
            <w:vMerge/>
          </w:tcPr>
          <w:p w14:paraId="709C2AAA"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gridSpan w:val="2"/>
            <w:vMerge/>
          </w:tcPr>
          <w:p w14:paraId="321DB96A"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395EE283"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08248E9D"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30%</w:t>
            </w:r>
          </w:p>
        </w:tc>
        <w:tc>
          <w:tcPr>
            <w:tcW w:w="0" w:type="auto"/>
          </w:tcPr>
          <w:p w14:paraId="7D7FDA66"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31%</w:t>
            </w:r>
          </w:p>
        </w:tc>
        <w:tc>
          <w:tcPr>
            <w:tcW w:w="0" w:type="auto"/>
          </w:tcPr>
          <w:p w14:paraId="2CEA7231"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392B9473"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57EAC0AA"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63EE1F22"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412D5257"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02BC982B"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182664D1"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13F66C70"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6FAACC3E"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r>
      <w:tr w:rsidR="00847C80" w:rsidRPr="006F3D27" w14:paraId="317B85AD" w14:textId="77777777" w:rsidTr="00C828FC">
        <w:tc>
          <w:tcPr>
            <w:cnfStyle w:val="001000000000" w:firstRow="0" w:lastRow="0" w:firstColumn="1" w:lastColumn="0" w:oddVBand="0" w:evenVBand="0" w:oddHBand="0" w:evenHBand="0" w:firstRowFirstColumn="0" w:firstRowLastColumn="0" w:lastRowFirstColumn="0" w:lastRowLastColumn="0"/>
            <w:tcW w:w="0" w:type="auto"/>
          </w:tcPr>
          <w:p w14:paraId="37E302B3" w14:textId="09F90324" w:rsidR="00847C80" w:rsidRPr="006F3D27" w:rsidRDefault="00847C80" w:rsidP="00847C80">
            <w:pPr>
              <w:rPr>
                <w:sz w:val="18"/>
                <w:szCs w:val="18"/>
              </w:rPr>
            </w:pPr>
            <w:r w:rsidRPr="006F3D27">
              <w:rPr>
                <w:sz w:val="18"/>
                <w:szCs w:val="18"/>
              </w:rPr>
              <w:fldChar w:fldCharType="begin"/>
            </w:r>
            <w:r w:rsidR="005413B4">
              <w:rPr>
                <w:sz w:val="18"/>
                <w:szCs w:val="18"/>
              </w:rPr>
              <w:instrText xml:space="preserve"> ADDIN ZOTERO_ITEM CSL_CITATION {"citationID":"vozmbFGY","properties":{"formattedCitation":"\\super 319\\nosupersub{}","plainCitation":"319","noteIndex":0},"citationItems":[{"id":10930,"uris":["http://zotero.org/users/6423791/items/LMLZUABT"],"itemData":{"id":10930,"type":"article-journal","abstract":"Grass is a versatile raw material for green biorefineries and preserving it as silage provides a year-round feedstock. The objective of the current study was to evaluate the effect of fibrolytic enzyme application on silage as a feedstock for a biorefinery. Two batches of grass (mixture of timothy and meadow fescue) silages were ensiled in pilot scale after fibrolytic enzyme was applied to them at four levels. Enzyme application increased fibre degradation linearly during ensiling and increased lactic and acetic acid concentrations in the silage. Simultaneously, silage fermentation quality improved as indicated by decreasing pH and ammonia values. Press-juice and crude protein yields increased in response to the fibrolytic enzyme application, which is beneficial in a biorefinery concept for retrieving valuable nutrients from grass matrix. Optimized ensiling methodology can be considered as a pretreatment for a biorefinery process.","container-title":"Bioresource Technology","DOI":"10.1016/j.biortech.2019.122572","ISSN":"0960-8524","journalAbbreviation":"Bioresource Technology","language":"en","page":"122572","source":"ScienceDirect","title":"Fibrolytic enzyme treatment prior to ensiling increased press-juice and crude protein yield from grass silage","volume":"299","author":[{"family":"Rinne","given":"Marketta"},{"family":"Winquist","given":"Erika"},{"family":"Pihlajaniemi","given":"Ville"},{"family":"Niemi","given":"Piritta"},{"family":"Seppälä","given":"Arja"},{"family":"Siika-aho","given":"Matti"}],"issued":{"date-parts":[["2020",3,1]]}}}],"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319</w:t>
            </w:r>
            <w:r w:rsidRPr="006F3D27">
              <w:rPr>
                <w:sz w:val="18"/>
                <w:szCs w:val="18"/>
              </w:rPr>
              <w:fldChar w:fldCharType="end"/>
            </w:r>
          </w:p>
        </w:tc>
        <w:tc>
          <w:tcPr>
            <w:tcW w:w="0" w:type="auto"/>
            <w:vMerge/>
          </w:tcPr>
          <w:p w14:paraId="1AEB5A81"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gridSpan w:val="2"/>
            <w:vMerge/>
          </w:tcPr>
          <w:p w14:paraId="51FBD9A9"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45D9F738"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55EDFC7B"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31-44%</w:t>
            </w:r>
          </w:p>
        </w:tc>
        <w:tc>
          <w:tcPr>
            <w:tcW w:w="0" w:type="auto"/>
          </w:tcPr>
          <w:p w14:paraId="25FBCC0F"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43-63%</w:t>
            </w:r>
          </w:p>
        </w:tc>
        <w:tc>
          <w:tcPr>
            <w:tcW w:w="0" w:type="auto"/>
          </w:tcPr>
          <w:p w14:paraId="47D018F7"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155A9A71"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4FE3AB4E"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6C2FA966"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27-100%</w:t>
            </w:r>
          </w:p>
        </w:tc>
        <w:tc>
          <w:tcPr>
            <w:tcW w:w="0" w:type="auto"/>
          </w:tcPr>
          <w:p w14:paraId="7B8294A1"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5B8CD7F4"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45458208"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169A574F"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3A14227A"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r>
      <w:tr w:rsidR="00847C80" w:rsidRPr="006F3D27" w14:paraId="04DF8A59"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AC41224" w14:textId="17DA3CCC" w:rsidR="00847C80" w:rsidRPr="006F3D27" w:rsidRDefault="00847C80" w:rsidP="00847C80">
            <w:pPr>
              <w:rPr>
                <w:sz w:val="18"/>
                <w:szCs w:val="18"/>
              </w:rPr>
            </w:pPr>
            <w:r w:rsidRPr="006F3D27">
              <w:rPr>
                <w:sz w:val="18"/>
                <w:szCs w:val="18"/>
              </w:rPr>
              <w:fldChar w:fldCharType="begin"/>
            </w:r>
            <w:r w:rsidR="005413B4">
              <w:rPr>
                <w:sz w:val="18"/>
                <w:szCs w:val="18"/>
              </w:rPr>
              <w:instrText xml:space="preserve"> ADDIN ZOTERO_ITEM CSL_CITATION {"citationID":"bsMyxBI8","properties":{"formattedCitation":"\\super 271\\nosupersub{}","plainCitation":"271","noteIndex":0},"citationItems":[{"id":13179,"uris":["http://zotero.org/users/6423791/items/JQNSIYF3"],"itemData":{"id":13179,"type":"thesis","abstract":"Demand for sustainable protein-rich food sources is currently increasing to meet the nutritional requirements of a growing population, while also considering climate challenges. Green leafy biomass (GLBM), in the form of side-streams and main crops, is a widely available protein source with potential food value. Extended use of GLBM, e.g. through a biorefinery process targeting leaf protein concentrates (LPCs), could add direct values, e.g. economic revenues from side-stream valorisation, or indirect values, e.g. reduced greenhouse gas emissions from higher resource utilisation.","event-place":"Alnarp","language":"en","number-of-pages":"114","publisher":"Swedish University of Agricultural Science","publisher-place":"Alnarp","source":"Zotero","title":"Harnessing the potential of green leaves : agricultural biomass as a source of sustainable","author":[{"family":"Nynäs","given":"Anna-Lovisa"}],"issued":{"date-parts":[["2022"]]}}}],"schema":"https://github.com/citation-style-language/schema/raw/master/csl-citation.json"}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271</w:t>
            </w:r>
            <w:r w:rsidRPr="006F3D27">
              <w:rPr>
                <w:sz w:val="18"/>
                <w:szCs w:val="18"/>
              </w:rPr>
              <w:fldChar w:fldCharType="end"/>
            </w:r>
          </w:p>
        </w:tc>
        <w:tc>
          <w:tcPr>
            <w:tcW w:w="0" w:type="auto"/>
            <w:vMerge/>
          </w:tcPr>
          <w:p w14:paraId="7EF8D62D"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gridSpan w:val="2"/>
            <w:vMerge/>
          </w:tcPr>
          <w:p w14:paraId="2B3D7A27"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7084031B"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137813F4"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00A235E9"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15-53%</w:t>
            </w:r>
          </w:p>
        </w:tc>
        <w:tc>
          <w:tcPr>
            <w:tcW w:w="0" w:type="auto"/>
          </w:tcPr>
          <w:p w14:paraId="69FADCF2"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57FB1DAF"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57AEABD9"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63038589"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1926D394"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018FA372"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7E7DF53F"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413671DE"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60BB19F4"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r>
      <w:tr w:rsidR="00847C80" w:rsidRPr="006F3D27" w14:paraId="695B5945" w14:textId="77777777" w:rsidTr="00C828FC">
        <w:tc>
          <w:tcPr>
            <w:cnfStyle w:val="001000000000" w:firstRow="0" w:lastRow="0" w:firstColumn="1" w:lastColumn="0" w:oddVBand="0" w:evenVBand="0" w:oddHBand="0" w:evenHBand="0" w:firstRowFirstColumn="0" w:firstRowLastColumn="0" w:lastRowFirstColumn="0" w:lastRowLastColumn="0"/>
            <w:tcW w:w="0" w:type="auto"/>
          </w:tcPr>
          <w:p w14:paraId="0ECB309B" w14:textId="324CE01B" w:rsidR="00847C80" w:rsidRPr="006F3D27" w:rsidRDefault="00847C80" w:rsidP="00847C80">
            <w:pPr>
              <w:rPr>
                <w:sz w:val="18"/>
                <w:szCs w:val="18"/>
              </w:rPr>
            </w:pPr>
            <w:r w:rsidRPr="006F3D27">
              <w:rPr>
                <w:sz w:val="18"/>
                <w:szCs w:val="18"/>
              </w:rPr>
              <w:fldChar w:fldCharType="begin"/>
            </w:r>
            <w:r w:rsidR="005413B4">
              <w:rPr>
                <w:sz w:val="18"/>
                <w:szCs w:val="18"/>
              </w:rPr>
              <w:instrText xml:space="preserve"> ADDIN ZOTERO_ITEM CSL_CITATION {"citationID":"zJi2W2Fp","properties":{"formattedCitation":"\\super 272\\nosupersub{}","plainCitation":"272","noteIndex":0},"citationItems":[{"id":9255,"uris":["http://zotero.org/users/6423791/items/9EZA9MQK"],"itemData":{"id":9255,"type":"article-journal","abstract":"Large-scale processing of leaves for food applications requires quick processing or stabilisation to avoid perishability, due to the high moisture content in this biomass. Leaf perishability is compounded by the seasonal availability of crops, like sugar beet plants, of which the leaves are regarded as a potential protein source. This study evaluates the resource efficiency of a hypothetical sugar beet leaf processing chain by comparing supply chain options. First, two options consider leaf processing with and without stabilising the leaves by freezing. Then, these two options are considered in a centralised and decentralised process configuration. The latter places leaf freezing and pressing at the farm and further processes occur at a central facility. Energy usage and exergy consumption were used to quantify the thermodynamic performance of the processing options. Freezing has negligible effect on the process-ability of the leaves in terms of protein content and protein yield. The overall resource efficiency of the process was dominated by the amount of leaf material effectively used, which stresses the importance of full use of all (side-)streams. This outcome also explains the limited additional energy requirements for freezing. Exergetic indicators were affected by variations on the dry matter content of the starting biomass, compared to a negligible effect of other parameters (equipment scale, efficiency or energy use). Transportation load and soil quality were also discussed for the centralised and decentralised configurations. On-farm processing of the leaves (decentralised chain) clearly reduces the transportation load due to the large difference in bulk densities of leaves (73 kg/m3) and leaf juice (1000 kg/m3). Additionally, decentralised scenarios enable direct returning of the leaf pulp to the soil and thereby improving soil quality (i.e. nutrient retention and fertility). Soil quality is required to fully assess the use of biomass that is currently regarded as waste, but that actually plays a role in soil fertility. Therefore, the preferred chain configuration would be a decentralised system where the leaves are directly pressed at the farm, the pulp is used to fertilise the soil, and the leaf juice is chilled transported to a centralised factory.","container-title":"Journal of Cleaner Production","DOI":"10.1016/j.jclepro.2017.06.248","ISSN":"0959-6526","journalAbbreviation":"J. Clean. Prod.","language":"en","page":"736-748","source":"ScienceDirect","title":"Processing concepts for the use of green leaves as raw materials for the food industry","volume":"164","author":[{"family":"Tamayo Tenorio","given":"A."},{"family":"Schreuders","given":"F. K. G."},{"family":"Zisopoulos","given":"F. K."},{"family":"Boom","given":"R. M."},{"family":"Goot","given":"A. J.","non-dropping-particle":"van der"}],"issued":{"date-parts":[["2017",10,15]]}}}],"schema":"https://github.com/citation-style-language/schema/raw/master/csl-citation.json"}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272</w:t>
            </w:r>
            <w:r w:rsidRPr="006F3D27">
              <w:rPr>
                <w:sz w:val="18"/>
                <w:szCs w:val="18"/>
              </w:rPr>
              <w:fldChar w:fldCharType="end"/>
            </w:r>
          </w:p>
        </w:tc>
        <w:tc>
          <w:tcPr>
            <w:tcW w:w="0" w:type="auto"/>
            <w:vMerge w:val="restart"/>
            <w:textDirection w:val="btLr"/>
          </w:tcPr>
          <w:p w14:paraId="24146D99" w14:textId="77777777" w:rsidR="00847C80" w:rsidRPr="006F3D27" w:rsidRDefault="00847C80" w:rsidP="00847C80">
            <w:pPr>
              <w:ind w:left="113" w:right="113"/>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Pilot experiment</w:t>
            </w:r>
          </w:p>
        </w:tc>
        <w:tc>
          <w:tcPr>
            <w:tcW w:w="0" w:type="auto"/>
            <w:gridSpan w:val="2"/>
            <w:vMerge w:val="restart"/>
          </w:tcPr>
          <w:p w14:paraId="3EBD3E67"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No</w:t>
            </w:r>
          </w:p>
        </w:tc>
        <w:tc>
          <w:tcPr>
            <w:tcW w:w="0" w:type="auto"/>
          </w:tcPr>
          <w:p w14:paraId="7D0FDB9E"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65-77%</w:t>
            </w:r>
          </w:p>
        </w:tc>
        <w:tc>
          <w:tcPr>
            <w:tcW w:w="0" w:type="auto"/>
          </w:tcPr>
          <w:p w14:paraId="6469334F"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32E241BB"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2D006938"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03D14B5C"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0F44BCE0"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5B0E968B"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59B2430A"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26C2A9BB"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14F62F45"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438036B8"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28C003B7"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11.7</w:t>
            </w:r>
          </w:p>
        </w:tc>
      </w:tr>
      <w:tr w:rsidR="00847C80" w:rsidRPr="006F3D27" w14:paraId="1FB523B3"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07CAB71" w14:textId="3E22FAFB" w:rsidR="00847C80" w:rsidRPr="006F3D27" w:rsidRDefault="00847C80" w:rsidP="00847C80">
            <w:pPr>
              <w:rPr>
                <w:sz w:val="18"/>
                <w:szCs w:val="18"/>
              </w:rPr>
            </w:pPr>
            <w:r w:rsidRPr="006F3D27">
              <w:rPr>
                <w:sz w:val="18"/>
                <w:szCs w:val="18"/>
              </w:rPr>
              <w:fldChar w:fldCharType="begin"/>
            </w:r>
            <w:r w:rsidR="00991F7C">
              <w:rPr>
                <w:sz w:val="18"/>
                <w:szCs w:val="18"/>
              </w:rPr>
              <w:instrText xml:space="preserve"> ADDIN ZOTERO_ITEM CSL_CITATION {"citationID":"ayN8H5VZ","properties":{"formattedCitation":"\\super 310\\nosupersub{}","plainCitation":"310","noteIndex":0},"citationItems":[{"id":11139,"uris":["http://zotero.org/users/6423791/items/2VS9UQXE"],"itemData":{"id":11139,"type":"article-journal","abstract":"The use of semi-natural grasslands for the production of renewable energy through conventional conversion techniques faces major limitations because of chemical and physical properties of the biomass. A new conversion procedure was developed which separates the biomass, as silage, into a liquid phase for biogas production and into a solid fraction to be used as fuel. Separation (mechanical dehydration) is carried out with a screw press after mashing with water (hydrothermal conditioning). The effect of hydrothermal conditioning at different temperatures (5, 60 and 80°C) and mechanical dehydration on mass flows of plant compounds into the press fluid was investigated for five grassland pastures typical of mountain areas of Germany. Results show that 0·18 of the crude fibre was transferred into the fluid, whereas more digestible organic compounds, such as crude protein and nitrogen-free extract, showed mass flows of 0·40 and 0·31 respectively. While 0·52–0·89 of potassium (K), magnesium (Mg) and chloride (Cl), which are detrimental for the combustion of the press cake, were transferred into the press fluid, more than 0·50 of calcium, which has positive combustion properties, remained in the press cake. Significantly (P &lt; 0·05) higher mass flows were detected at conditioning temperatures of 60°C (K and Mg) and 80°C (crude fibre and nitrogen-free extract) compared with the 5°C treatment. Because of the separation of solids and liquids, high proportions of P (0·61–0·74) and K (0·64–0·85) but only 0·32–0·45 of nitrogen exported from the grassland would be recycled with an application of the digestates from the anaerobic digestion of the press liquid.","container-title":"Grass and Forage Science","DOI":"https://doi.org/10.1111/j.1365-2494.2009.00677.x","ISSN":"1365-2494","issue":"2","language":"en","license":"© 2009 Blackwell Publishing Ltd","note":"_eprint: https://onlinelibrary.wiley.com/doi/pdf/10.1111/j.1365-2494.2009.00677.x","page":"132-143","source":"Wiley Online Library","title":"Utilization of semi-natural grassland through integrated generation of solid fuel and biogas from biomass. I. Effects of hydrothermal conditioning and mechanical dehydration on mass flows of organic and mineral plant compounds, and nutrient balances","volume":"64","author":[{"family":"Wachendorf","given":"M."},{"family":"Richter","given":"F."},{"family":"Fricke","given":"T."},{"family":"Graß","given":"R."},{"family":"Neff","given":"R."}],"issued":{"date-parts":[["2009"]]}}}],"schema":"https://github.com/citation-style-language/schema/raw/master/csl-citation.json"} </w:instrText>
            </w:r>
            <w:r w:rsidRPr="006F3D27">
              <w:rPr>
                <w:sz w:val="18"/>
                <w:szCs w:val="18"/>
              </w:rPr>
              <w:fldChar w:fldCharType="separate"/>
            </w:r>
            <w:r w:rsidR="00991F7C" w:rsidRPr="00991F7C">
              <w:rPr>
                <w:rFonts w:ascii="Calibri" w:hAnsi="Calibri" w:cs="Calibri"/>
                <w:sz w:val="18"/>
                <w:szCs w:val="24"/>
                <w:vertAlign w:val="superscript"/>
              </w:rPr>
              <w:t>310</w:t>
            </w:r>
            <w:r w:rsidRPr="006F3D27">
              <w:rPr>
                <w:sz w:val="18"/>
                <w:szCs w:val="18"/>
              </w:rPr>
              <w:fldChar w:fldCharType="end"/>
            </w:r>
          </w:p>
        </w:tc>
        <w:tc>
          <w:tcPr>
            <w:tcW w:w="0" w:type="auto"/>
            <w:vMerge/>
          </w:tcPr>
          <w:p w14:paraId="79CA0628"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gridSpan w:val="2"/>
            <w:vMerge/>
          </w:tcPr>
          <w:p w14:paraId="565B3354"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03CCEEAB"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67ECBEBB"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18-28%</w:t>
            </w:r>
          </w:p>
        </w:tc>
        <w:tc>
          <w:tcPr>
            <w:tcW w:w="0" w:type="auto"/>
          </w:tcPr>
          <w:p w14:paraId="005DF703"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25-39%</w:t>
            </w:r>
          </w:p>
        </w:tc>
        <w:tc>
          <w:tcPr>
            <w:tcW w:w="0" w:type="auto"/>
          </w:tcPr>
          <w:p w14:paraId="2FD9D0DC"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8-36%</w:t>
            </w:r>
          </w:p>
        </w:tc>
        <w:tc>
          <w:tcPr>
            <w:tcW w:w="0" w:type="auto"/>
          </w:tcPr>
          <w:p w14:paraId="522E4630"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6-26%</w:t>
            </w:r>
          </w:p>
        </w:tc>
        <w:tc>
          <w:tcPr>
            <w:tcW w:w="0" w:type="auto"/>
          </w:tcPr>
          <w:p w14:paraId="5447857D"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56D8F562"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22-38%</w:t>
            </w:r>
          </w:p>
        </w:tc>
        <w:tc>
          <w:tcPr>
            <w:tcW w:w="0" w:type="auto"/>
          </w:tcPr>
          <w:p w14:paraId="5C4A9CCC"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356E230A"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50-72%</w:t>
            </w:r>
          </w:p>
        </w:tc>
        <w:tc>
          <w:tcPr>
            <w:tcW w:w="0" w:type="auto"/>
          </w:tcPr>
          <w:p w14:paraId="5D4303CF"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56-72%</w:t>
            </w:r>
          </w:p>
        </w:tc>
        <w:tc>
          <w:tcPr>
            <w:tcW w:w="0" w:type="auto"/>
          </w:tcPr>
          <w:p w14:paraId="6EF5F97B"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51-63%</w:t>
            </w:r>
          </w:p>
        </w:tc>
        <w:tc>
          <w:tcPr>
            <w:tcW w:w="0" w:type="auto"/>
          </w:tcPr>
          <w:p w14:paraId="6D70E95A"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r>
      <w:tr w:rsidR="00847C80" w:rsidRPr="006F3D27" w14:paraId="73D18FCA" w14:textId="77777777" w:rsidTr="00C828FC">
        <w:tc>
          <w:tcPr>
            <w:cnfStyle w:val="001000000000" w:firstRow="0" w:lastRow="0" w:firstColumn="1" w:lastColumn="0" w:oddVBand="0" w:evenVBand="0" w:oddHBand="0" w:evenHBand="0" w:firstRowFirstColumn="0" w:firstRowLastColumn="0" w:lastRowFirstColumn="0" w:lastRowLastColumn="0"/>
            <w:tcW w:w="0" w:type="auto"/>
          </w:tcPr>
          <w:p w14:paraId="03274334" w14:textId="3C1E142C" w:rsidR="00847C80" w:rsidRPr="006F3D27" w:rsidRDefault="00847C80" w:rsidP="00847C80">
            <w:pPr>
              <w:rPr>
                <w:b w:val="0"/>
                <w:sz w:val="18"/>
                <w:szCs w:val="18"/>
              </w:rPr>
            </w:pPr>
            <w:r w:rsidRPr="006F3D27">
              <w:rPr>
                <w:sz w:val="18"/>
                <w:szCs w:val="18"/>
              </w:rPr>
              <w:fldChar w:fldCharType="begin"/>
            </w:r>
            <w:r w:rsidR="005413B4">
              <w:rPr>
                <w:b w:val="0"/>
                <w:sz w:val="18"/>
                <w:szCs w:val="18"/>
              </w:rPr>
              <w:instrText xml:space="preserve"> ADDIN ZOTERO_ITEM CSL_CITATION {"citationID":"lDve5srr","properties":{"formattedCitation":"\\super 288\\nosupersub{}","plainCitation":"288","noteIndex":0},"citationItems":[{"id":11295,"uris":["http://zotero.org/users/6423791/items/QG7F24CU"],"itemData":{"id":11295,"type":"article-journal","abstract":"The study compares energy production from semi-natural grasslands by the integrated generation of solid fuel and biogas from biomass (IFBB) through mechanical separation of the biomass with the dry fermentation (DF) and hay combustion system (HC). In addition, traditional use for beef cattle production and non-refining systems of landscape conservation, i.e. mulching and composting, are considered. Highest conversion efficiency (45–54% of the gross yield), net savings of fossil fuels (44–54GJha−1) and net savings of greenhouse gases (2.9–3.7tCO2-eqha−1) are obtained by HC and IFBB. Potentials of DF are limited due to low digestibility of the mature biomass.","container-title":"Bioresource Technology","DOI":"10.1016/j.biortech.2012.02.072","ISSN":"0960-8524","journalAbbreviation":"Bioresource Technology","language":"en","page":"230-239","source":"ScienceDirect","title":"Life cycle assessment of the integrated generation of solid fuel and biogas from biomass (IFBB) in comparison to different energy recovery, animal-based and non-refining management systems","volume":"111","author":[{"family":"Bühle","given":"Lutz"},{"family":"Hensgen","given":"Frank"},{"family":"Donnison","given":"Iain"},{"family":"Heinsoo","given":"Katrin"},{"family":"Wachendorf","given":"Michael"}],"issued":{"date-parts":[["2012",5,1]]}}}],"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288</w:t>
            </w:r>
            <w:r w:rsidRPr="006F3D27">
              <w:rPr>
                <w:sz w:val="18"/>
                <w:szCs w:val="18"/>
              </w:rPr>
              <w:fldChar w:fldCharType="end"/>
            </w:r>
          </w:p>
        </w:tc>
        <w:tc>
          <w:tcPr>
            <w:tcW w:w="0" w:type="auto"/>
            <w:vMerge/>
          </w:tcPr>
          <w:p w14:paraId="1449C5B6"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gridSpan w:val="2"/>
            <w:vMerge/>
          </w:tcPr>
          <w:p w14:paraId="6D3283D9"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45F91D88"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00EED46F"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18%</w:t>
            </w:r>
          </w:p>
        </w:tc>
        <w:tc>
          <w:tcPr>
            <w:tcW w:w="0" w:type="auto"/>
          </w:tcPr>
          <w:p w14:paraId="65585A9F"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35%</w:t>
            </w:r>
          </w:p>
        </w:tc>
        <w:tc>
          <w:tcPr>
            <w:tcW w:w="0" w:type="auto"/>
          </w:tcPr>
          <w:p w14:paraId="09997DBA"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60790017"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1D05630D"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72B5A464"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43%</w:t>
            </w:r>
          </w:p>
        </w:tc>
        <w:tc>
          <w:tcPr>
            <w:tcW w:w="0" w:type="auto"/>
          </w:tcPr>
          <w:p w14:paraId="3D7072C9"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1DF05693"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67%</w:t>
            </w:r>
          </w:p>
        </w:tc>
        <w:tc>
          <w:tcPr>
            <w:tcW w:w="0" w:type="auto"/>
          </w:tcPr>
          <w:p w14:paraId="2835F8CE"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78%</w:t>
            </w:r>
          </w:p>
        </w:tc>
        <w:tc>
          <w:tcPr>
            <w:tcW w:w="0" w:type="auto"/>
          </w:tcPr>
          <w:p w14:paraId="3996C18A"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47%</w:t>
            </w:r>
          </w:p>
        </w:tc>
        <w:tc>
          <w:tcPr>
            <w:tcW w:w="0" w:type="auto"/>
          </w:tcPr>
          <w:p w14:paraId="678BA8A4"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r>
      <w:tr w:rsidR="00847C80" w:rsidRPr="006F3D27" w14:paraId="443F8888"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9862E05" w14:textId="4A786C00" w:rsidR="00847C80" w:rsidRPr="006F3D27" w:rsidRDefault="00847C80" w:rsidP="00847C80">
            <w:pPr>
              <w:rPr>
                <w:b w:val="0"/>
                <w:sz w:val="18"/>
                <w:szCs w:val="18"/>
              </w:rPr>
            </w:pPr>
            <w:r w:rsidRPr="006F3D27">
              <w:rPr>
                <w:sz w:val="18"/>
                <w:szCs w:val="18"/>
              </w:rPr>
              <w:fldChar w:fldCharType="begin"/>
            </w:r>
            <w:r w:rsidR="005413B4">
              <w:rPr>
                <w:b w:val="0"/>
                <w:sz w:val="18"/>
                <w:szCs w:val="18"/>
              </w:rPr>
              <w:instrText xml:space="preserve"> ADDIN ZOTERO_ITEM CSL_CITATION {"citationID":"BlsES0fN","properties":{"formattedCitation":"\\super 289\\nosupersub{}","plainCitation":"289","noteIndex":0},"citationItems":[{"id":382,"uris":["http://zotero.org/users/6423791/items/7YX86YM8"],"itemData":{"id":382,"type":"article-journal","abstract":"Green bioreﬁnery (GBR) is a new bioreﬁnery technology for the conversion of fresh biomass to value added products. In the present study, we combined a Process Flowsheet Simulation (PFS) and Life Cycle Assessment (LCA) of a small scale decentralized GBR to screen environmental impact proﬁles for potential biomass feedstocks for GBR conversion. Furthermore, we carried out hotspot and sensitivity analysis to identify where the largest impacts arise in the bioreﬁning stage in order to provide recommendations and focus points for GBR technology developers. The GBR considered in this study produces a protein-rich feed for monogastric animals and an energy-rich feed from the press pulp and biogas from the GBR residues. The included biomass feedstocks are: alfalfa, grass-clover, festulolium and ryegrass. These biomasses were selected to accommodate variations in central biomass characteristics like: crop yields, rate of fertilizer application, chemical biomass compositions and related potential environmental implications. Among the studied crops, alfalfa provides the best overall environmental performance due to its high yield and low agricultural input demands. Results of the hotspot analysis further identiﬁed the coagulation and the drying as the processes that induce most of the environmental impacts in the bioreﬁning stage. Conversion of green biomass for the production of feed and energy could provide environmental beneﬁts compared to the production of conventional feed. However, the GBR technology have still room for optimization in order to further reduce the environmental impacts, across all impact categories, by decreasing energy consumption and increasing conversion efﬁciency.","container-title":"Journal of Cleaner Production","DOI":"10.1016/j.jclepro.2018.03.316","ISSN":"09596526","journalAbbreviation":"J. Clean. Prod.","language":"en","page":"344-357","source":"DOI.org (Crossref)","title":"Environmental screening of potential biomass for green biorefinery conversion","volume":"189","author":[{"family":"Corona","given":"Andrea"},{"family":"Parajuli","given":"Ranjan"},{"family":"Ambye-Jensen","given":"Morten"},{"family":"Hauschild","given":"Michael Zwicky"},{"family":"Birkved","given":"Morten"}],"issued":{"date-parts":[["2018",7]]}}}],"schema":"https://github.com/citation-style-language/schema/raw/master/csl-citation.json"}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289</w:t>
            </w:r>
            <w:r w:rsidRPr="006F3D27">
              <w:rPr>
                <w:sz w:val="18"/>
                <w:szCs w:val="18"/>
              </w:rPr>
              <w:fldChar w:fldCharType="end"/>
            </w:r>
          </w:p>
        </w:tc>
        <w:tc>
          <w:tcPr>
            <w:tcW w:w="0" w:type="auto"/>
            <w:vMerge/>
          </w:tcPr>
          <w:p w14:paraId="3BA0568D"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gridSpan w:val="2"/>
          </w:tcPr>
          <w:p w14:paraId="112525CF"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No</w:t>
            </w:r>
          </w:p>
        </w:tc>
        <w:tc>
          <w:tcPr>
            <w:tcW w:w="0" w:type="auto"/>
          </w:tcPr>
          <w:p w14:paraId="59282DB8"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67%</w:t>
            </w:r>
          </w:p>
        </w:tc>
        <w:tc>
          <w:tcPr>
            <w:tcW w:w="0" w:type="auto"/>
          </w:tcPr>
          <w:p w14:paraId="756EDC88"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33%</w:t>
            </w:r>
          </w:p>
        </w:tc>
        <w:tc>
          <w:tcPr>
            <w:tcW w:w="0" w:type="auto"/>
          </w:tcPr>
          <w:p w14:paraId="390F54CD"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45%</w:t>
            </w:r>
          </w:p>
        </w:tc>
        <w:tc>
          <w:tcPr>
            <w:tcW w:w="0" w:type="auto"/>
          </w:tcPr>
          <w:p w14:paraId="1C351F02"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3CF33DBC"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5A941D01"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7F2982AE"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53%</w:t>
            </w:r>
          </w:p>
        </w:tc>
        <w:tc>
          <w:tcPr>
            <w:tcW w:w="0" w:type="auto"/>
          </w:tcPr>
          <w:p w14:paraId="76874CD0"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3F9AAE4A"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2C1D27EC"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759156CF"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63BC2760"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r>
      <w:tr w:rsidR="00847C80" w:rsidRPr="006F3D27" w14:paraId="1434C684" w14:textId="77777777" w:rsidTr="00C828FC">
        <w:tc>
          <w:tcPr>
            <w:cnfStyle w:val="001000000000" w:firstRow="0" w:lastRow="0" w:firstColumn="1" w:lastColumn="0" w:oddVBand="0" w:evenVBand="0" w:oddHBand="0" w:evenHBand="0" w:firstRowFirstColumn="0" w:firstRowLastColumn="0" w:lastRowFirstColumn="0" w:lastRowLastColumn="0"/>
            <w:tcW w:w="0" w:type="auto"/>
          </w:tcPr>
          <w:p w14:paraId="5465B082" w14:textId="1BBE053E" w:rsidR="00847C80" w:rsidRPr="006F3D27" w:rsidRDefault="00847C80" w:rsidP="00847C80">
            <w:pPr>
              <w:rPr>
                <w:b w:val="0"/>
                <w:sz w:val="18"/>
                <w:szCs w:val="18"/>
              </w:rPr>
            </w:pPr>
            <w:r w:rsidRPr="006F3D27">
              <w:rPr>
                <w:sz w:val="18"/>
                <w:szCs w:val="18"/>
              </w:rPr>
              <w:fldChar w:fldCharType="begin"/>
            </w:r>
            <w:r w:rsidR="005413B4">
              <w:rPr>
                <w:b w:val="0"/>
                <w:sz w:val="18"/>
                <w:szCs w:val="18"/>
              </w:rPr>
              <w:instrText xml:space="preserve"> ADDIN ZOTERO_ITEM CSL_CITATION {"citationID":"m8PB4yUz","properties":{"formattedCitation":"\\super 286\\nosupersub{}","plainCitation":"286","noteIndex":0},"citationItems":[{"id":432,"uris":["http://zotero.org/users/6423791/items/XY5DE2TK"],"itemData":{"id":432,"type":"book","event-place":"Dübendorf, CH","publisher":"Swiss Centre for Life Cycle Inventories","publisher-place":"Dübendorf, CH","source":"ResearchGate","title":"Life Cycle Inventories of Bioenergy. ecoinvent report No. 17","author":[{"family":"Jungbluth","given":"Niels"},{"family":"Chudacoff","given":"M."},{"family":"Dauriat","given":"Arnaud"},{"family":"Dinkel","given":"Fredy"},{"family":"Doka","given":"G."},{"family":"Faist Emmenegger","given":"Mireille"},{"family":"Gnansounou","given":"Edgard"},{"family":"Kljun","given":"Natascha"},{"family":"Schleiss","given":"Konrad"},{"family":"Spielmann","given":"Michael"},{"family":"Stettler","given":"Cornelia"},{"family":"Sutter","given":"Jürgen"}],"issued":{"date-parts":[["2007",1,1]]}}}],"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286</w:t>
            </w:r>
            <w:r w:rsidRPr="006F3D27">
              <w:rPr>
                <w:sz w:val="18"/>
                <w:szCs w:val="18"/>
              </w:rPr>
              <w:fldChar w:fldCharType="end"/>
            </w:r>
          </w:p>
        </w:tc>
        <w:tc>
          <w:tcPr>
            <w:tcW w:w="0" w:type="auto"/>
            <w:vMerge/>
          </w:tcPr>
          <w:p w14:paraId="5C3142AB"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gridSpan w:val="2"/>
          </w:tcPr>
          <w:p w14:paraId="68D772FC"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Pulping</w:t>
            </w:r>
          </w:p>
        </w:tc>
        <w:tc>
          <w:tcPr>
            <w:tcW w:w="0" w:type="auto"/>
          </w:tcPr>
          <w:p w14:paraId="2C6317B9"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7091D671"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60%</w:t>
            </w:r>
          </w:p>
        </w:tc>
        <w:tc>
          <w:tcPr>
            <w:tcW w:w="0" w:type="auto"/>
          </w:tcPr>
          <w:p w14:paraId="25DC9CC5"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1B7704D0"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400071D6"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6C1BE326"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04E622CB"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0BD16E23"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50%</w:t>
            </w:r>
          </w:p>
        </w:tc>
        <w:tc>
          <w:tcPr>
            <w:tcW w:w="0" w:type="auto"/>
          </w:tcPr>
          <w:p w14:paraId="7C7AE484"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119D97D0"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65D5C3C7"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54C4927E"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r>
      <w:tr w:rsidR="00847C80" w:rsidRPr="006F3D27" w14:paraId="27B53F08" w14:textId="77777777" w:rsidTr="00C828FC">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0" w:type="auto"/>
          </w:tcPr>
          <w:p w14:paraId="47B06828" w14:textId="6D53933C" w:rsidR="00847C80" w:rsidRPr="006F3D27" w:rsidRDefault="00847C80" w:rsidP="00847C80">
            <w:pPr>
              <w:rPr>
                <w:b w:val="0"/>
                <w:sz w:val="18"/>
                <w:szCs w:val="18"/>
              </w:rPr>
            </w:pPr>
            <w:r w:rsidRPr="006F3D27">
              <w:rPr>
                <w:sz w:val="18"/>
                <w:szCs w:val="18"/>
              </w:rPr>
              <w:fldChar w:fldCharType="begin"/>
            </w:r>
            <w:r w:rsidR="005413B4">
              <w:rPr>
                <w:b w:val="0"/>
                <w:sz w:val="18"/>
                <w:szCs w:val="18"/>
              </w:rPr>
              <w:instrText xml:space="preserve"> ADDIN ZOTERO_ITEM CSL_CITATION {"citationID":"LTc8DmF5","properties":{"formattedCitation":"\\super 290\\nosupersub{}","plainCitation":"290","noteIndex":0},"citationItems":[{"id":392,"uris":["http://zotero.org/users/6423791/items/P3739BFG"],"itemData":{"id":392,"type":"article-journal","abstract":"The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290</w:t>
            </w:r>
            <w:r w:rsidRPr="006F3D27">
              <w:rPr>
                <w:sz w:val="18"/>
                <w:szCs w:val="18"/>
              </w:rPr>
              <w:fldChar w:fldCharType="end"/>
            </w:r>
            <w:r w:rsidRPr="006F3D27">
              <w:rPr>
                <w:b w:val="0"/>
                <w:sz w:val="18"/>
                <w:szCs w:val="18"/>
              </w:rPr>
              <w:t xml:space="preserve"> (one stage)</w:t>
            </w:r>
          </w:p>
        </w:tc>
        <w:tc>
          <w:tcPr>
            <w:tcW w:w="0" w:type="auto"/>
            <w:vMerge/>
          </w:tcPr>
          <w:p w14:paraId="559894D5"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val="restart"/>
            <w:textDirection w:val="btLr"/>
          </w:tcPr>
          <w:p w14:paraId="59928219" w14:textId="77777777" w:rsidR="00847C80" w:rsidRPr="006F3D27" w:rsidRDefault="00847C80" w:rsidP="00847C80">
            <w:pPr>
              <w:ind w:left="113" w:right="113"/>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Shredder</w:t>
            </w:r>
          </w:p>
        </w:tc>
        <w:tc>
          <w:tcPr>
            <w:tcW w:w="0" w:type="auto"/>
            <w:vMerge w:val="restart"/>
          </w:tcPr>
          <w:p w14:paraId="6495E74D"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4.1</w:t>
            </w:r>
          </w:p>
        </w:tc>
        <w:tc>
          <w:tcPr>
            <w:tcW w:w="0" w:type="auto"/>
          </w:tcPr>
          <w:p w14:paraId="65D7563A"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62%</w:t>
            </w:r>
          </w:p>
        </w:tc>
        <w:tc>
          <w:tcPr>
            <w:tcW w:w="0" w:type="auto"/>
          </w:tcPr>
          <w:p w14:paraId="1113E66F"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30%</w:t>
            </w:r>
          </w:p>
        </w:tc>
        <w:tc>
          <w:tcPr>
            <w:tcW w:w="0" w:type="auto"/>
          </w:tcPr>
          <w:p w14:paraId="437BF15D"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45%</w:t>
            </w:r>
          </w:p>
        </w:tc>
        <w:tc>
          <w:tcPr>
            <w:tcW w:w="0" w:type="auto"/>
          </w:tcPr>
          <w:p w14:paraId="04E749BE"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val="restart"/>
          </w:tcPr>
          <w:p w14:paraId="3804A00B"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1, 3, 15%</w:t>
            </w:r>
          </w:p>
        </w:tc>
        <w:tc>
          <w:tcPr>
            <w:tcW w:w="0" w:type="auto"/>
            <w:vMerge w:val="restart"/>
          </w:tcPr>
          <w:p w14:paraId="247C8B4F"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70%</w:t>
            </w:r>
          </w:p>
        </w:tc>
        <w:tc>
          <w:tcPr>
            <w:tcW w:w="0" w:type="auto"/>
            <w:vMerge w:val="restart"/>
          </w:tcPr>
          <w:p w14:paraId="58F909D9"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59%</w:t>
            </w:r>
          </w:p>
        </w:tc>
        <w:tc>
          <w:tcPr>
            <w:tcW w:w="0" w:type="auto"/>
          </w:tcPr>
          <w:p w14:paraId="64FBB3DB"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272FB339"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6BFB634D"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261D79C2"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53D4D9D2"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2.3</w:t>
            </w:r>
          </w:p>
        </w:tc>
      </w:tr>
      <w:tr w:rsidR="00847C80" w:rsidRPr="006F3D27" w14:paraId="592E8D6C" w14:textId="77777777" w:rsidTr="00C828FC">
        <w:trPr>
          <w:trHeight w:val="550"/>
        </w:trPr>
        <w:tc>
          <w:tcPr>
            <w:cnfStyle w:val="001000000000" w:firstRow="0" w:lastRow="0" w:firstColumn="1" w:lastColumn="0" w:oddVBand="0" w:evenVBand="0" w:oddHBand="0" w:evenHBand="0" w:firstRowFirstColumn="0" w:firstRowLastColumn="0" w:lastRowFirstColumn="0" w:lastRowLastColumn="0"/>
            <w:tcW w:w="0" w:type="auto"/>
          </w:tcPr>
          <w:p w14:paraId="6F3FE567" w14:textId="0720DE17" w:rsidR="00847C80" w:rsidRPr="006F3D27" w:rsidRDefault="00847C80" w:rsidP="00847C80">
            <w:pPr>
              <w:rPr>
                <w:b w:val="0"/>
                <w:sz w:val="18"/>
                <w:szCs w:val="18"/>
              </w:rPr>
            </w:pPr>
            <w:r w:rsidRPr="006F3D27">
              <w:rPr>
                <w:sz w:val="18"/>
                <w:szCs w:val="18"/>
              </w:rPr>
              <w:fldChar w:fldCharType="begin"/>
            </w:r>
            <w:r w:rsidR="005413B4">
              <w:rPr>
                <w:b w:val="0"/>
                <w:sz w:val="18"/>
                <w:szCs w:val="18"/>
              </w:rPr>
              <w:instrText xml:space="preserve"> ADDIN ZOTERO_ITEM CSL_CITATION {"citationID":"hUgYM9qg","properties":{"formattedCitation":"\\super 290\\nosupersub{}","plainCitation":"290","noteIndex":0},"citationItems":[{"id":392,"uris":["http://zotero.org/users/6423791/items/P3739BFG"],"itemData":{"id":392,"type":"article-journal","abstract":"The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290</w:t>
            </w:r>
            <w:r w:rsidRPr="006F3D27">
              <w:rPr>
                <w:sz w:val="18"/>
                <w:szCs w:val="18"/>
              </w:rPr>
              <w:fldChar w:fldCharType="end"/>
            </w:r>
            <w:r w:rsidRPr="006F3D27">
              <w:rPr>
                <w:b w:val="0"/>
                <w:sz w:val="18"/>
                <w:szCs w:val="18"/>
              </w:rPr>
              <w:t xml:space="preserve"> (two stages)</w:t>
            </w:r>
          </w:p>
        </w:tc>
        <w:tc>
          <w:tcPr>
            <w:tcW w:w="0" w:type="auto"/>
            <w:vMerge/>
          </w:tcPr>
          <w:p w14:paraId="015095E9"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0B93B7EE"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3D03E65A"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59A8D536"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63%</w:t>
            </w:r>
          </w:p>
        </w:tc>
        <w:tc>
          <w:tcPr>
            <w:tcW w:w="0" w:type="auto"/>
          </w:tcPr>
          <w:p w14:paraId="3D0857ED"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34%</w:t>
            </w:r>
          </w:p>
        </w:tc>
        <w:tc>
          <w:tcPr>
            <w:tcW w:w="0" w:type="auto"/>
          </w:tcPr>
          <w:p w14:paraId="0421FABD"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65%</w:t>
            </w:r>
          </w:p>
        </w:tc>
        <w:tc>
          <w:tcPr>
            <w:tcW w:w="0" w:type="auto"/>
          </w:tcPr>
          <w:p w14:paraId="269CDDC2"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6AF41EAF"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324A1D28"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604D4B7D"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1055F0F3"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4C095B64"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1E03DF40"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15985E83"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116E8D47"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4.6</w:t>
            </w:r>
          </w:p>
        </w:tc>
      </w:tr>
      <w:tr w:rsidR="00847C80" w:rsidRPr="006F3D27" w14:paraId="16197920"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9F43DA7" w14:textId="7D466ADF" w:rsidR="00847C80" w:rsidRPr="006F3D27" w:rsidRDefault="00847C80" w:rsidP="00847C80">
            <w:pPr>
              <w:rPr>
                <w:b w:val="0"/>
                <w:sz w:val="18"/>
                <w:szCs w:val="18"/>
              </w:rPr>
            </w:pPr>
            <w:r w:rsidRPr="006F3D27">
              <w:rPr>
                <w:sz w:val="18"/>
                <w:szCs w:val="18"/>
              </w:rPr>
              <w:fldChar w:fldCharType="begin"/>
            </w:r>
            <w:r w:rsidR="005413B4">
              <w:rPr>
                <w:b w:val="0"/>
                <w:sz w:val="18"/>
                <w:szCs w:val="18"/>
              </w:rPr>
              <w:instrText xml:space="preserve"> ADDIN ZOTERO_ITEM CSL_CITATION {"citationID":"TGP2gP1c","properties":{"formattedCitation":"\\super 320\\nosupersub{}","plainCitation":"320","noteIndex":0},"citationItems":[{"id":7932,"uris":["http://zotero.org/users/6423791/items/PPC35VRK"],"itemData":{"id":7932,"type":"article-journal","abstract":"There is an increasing interest in green biorefineries for the utilization of green biomass to provide a variety of valuable products. Proteins can be extracted from green biomasses such as alfalfa, clover, or grass and separated into protein-rich concentrates suitable for feeding to monogastric animals. Press cake suitable for feeding ruminant animals is also produced. Full implementation of such a green biorefinery requires knowledge and experience of production at demonstration scale. Moreover, product evaluation in animal-feeding trials requires a large amount of product. There has been collaboration in Denmark between several partners from industry and academia to assess the practicality and scalability of a green biorefining plant producing protein concentrate and press cake silage from organic grass clover at the scale of ca. 10 tons per hour fresh biomass input. Lactic acid fermentation of the pressed green juice was successfully performed to precipitate proteins and stabilize the juice. Despite minor difficulties, the demonstration-scale biorefining plant was operative for four days, processed 444 tons of grass clover, and resulted in the overall production of 1 ton of dried protein concentrate, 7 tons of protein paste, and 223 tons of press cake silage. The protein concentrate was rich in essential amino acids and was tested in feeding trials with poultry; the press cake silage, rich in processed fibers and fiber-associated proteins, was tested in feeding trials with dairy cows. © 2018 Society of Chemical Industry and John Wiley &amp; Sons, Ltd","container-title":"Biofuels, Bioproducts and Biorefining","DOI":"https://doi.org/10.1002/bbb.1957","ISSN":"1932-1031","issue":"3","language":"en","license":"© 2018 Society of Chemical Industry and John Wiley &amp; Sons, Ltd","page":"502-513","source":"Wiley Online Library","title":"Demonstration-scale protein recovery by lactic acid fermentation from grass clover – a single case of the production of protein concentrate and press cake silage for animal feeding trials","volume":"13","author":[{"family":"Santamaría-Fernández","given":"Maria"},{"family":"Ambye‐Jensen","given":"Morten"},{"family":"Damborg","given":"Vinni K."},{"family":"Lübeck","given":"Mette"}],"issued":{"date-parts":[["2019"]]}}}],"schema":"https://github.com/citation-style-language/schema/raw/master/csl-citation.json"}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320</w:t>
            </w:r>
            <w:r w:rsidRPr="006F3D27">
              <w:rPr>
                <w:sz w:val="18"/>
                <w:szCs w:val="18"/>
              </w:rPr>
              <w:fldChar w:fldCharType="end"/>
            </w:r>
          </w:p>
        </w:tc>
        <w:tc>
          <w:tcPr>
            <w:tcW w:w="0" w:type="auto"/>
            <w:vMerge/>
          </w:tcPr>
          <w:p w14:paraId="59EE0C34"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gridSpan w:val="2"/>
          </w:tcPr>
          <w:p w14:paraId="1C570D3F"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Cutter</w:t>
            </w:r>
          </w:p>
        </w:tc>
        <w:tc>
          <w:tcPr>
            <w:tcW w:w="0" w:type="auto"/>
          </w:tcPr>
          <w:p w14:paraId="52A3E202"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50%</w:t>
            </w:r>
          </w:p>
        </w:tc>
        <w:tc>
          <w:tcPr>
            <w:tcW w:w="0" w:type="auto"/>
          </w:tcPr>
          <w:p w14:paraId="74224270"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21%</w:t>
            </w:r>
          </w:p>
        </w:tc>
        <w:tc>
          <w:tcPr>
            <w:tcW w:w="0" w:type="auto"/>
          </w:tcPr>
          <w:p w14:paraId="615BA91D"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31%</w:t>
            </w:r>
          </w:p>
        </w:tc>
        <w:tc>
          <w:tcPr>
            <w:tcW w:w="0" w:type="auto"/>
          </w:tcPr>
          <w:p w14:paraId="1473A311"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33437B60"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3EE0CE31"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5153101B"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7A9DC1A2"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111A5E4A"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3B9FE8DE"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00B55808"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47FED40B"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r>
      <w:tr w:rsidR="00847C80" w:rsidRPr="006F3D27" w14:paraId="191E6234" w14:textId="77777777" w:rsidTr="00C828FC">
        <w:tc>
          <w:tcPr>
            <w:cnfStyle w:val="001000000000" w:firstRow="0" w:lastRow="0" w:firstColumn="1" w:lastColumn="0" w:oddVBand="0" w:evenVBand="0" w:oddHBand="0" w:evenHBand="0" w:firstRowFirstColumn="0" w:firstRowLastColumn="0" w:lastRowFirstColumn="0" w:lastRowLastColumn="0"/>
            <w:tcW w:w="0" w:type="auto"/>
          </w:tcPr>
          <w:p w14:paraId="6A48785F" w14:textId="5D984BB3" w:rsidR="00847C80" w:rsidRPr="006F3D27" w:rsidRDefault="00847C80" w:rsidP="00847C80">
            <w:pPr>
              <w:rPr>
                <w:b w:val="0"/>
                <w:sz w:val="18"/>
                <w:szCs w:val="18"/>
              </w:rPr>
            </w:pPr>
            <w:r w:rsidRPr="006F3D27">
              <w:rPr>
                <w:sz w:val="18"/>
                <w:szCs w:val="18"/>
              </w:rPr>
              <w:fldChar w:fldCharType="begin"/>
            </w:r>
            <w:r w:rsidR="005413B4">
              <w:rPr>
                <w:b w:val="0"/>
                <w:sz w:val="18"/>
                <w:szCs w:val="18"/>
              </w:rPr>
              <w:instrText xml:space="preserve"> ADDIN ZOTERO_ITEM CSL_CITATION {"citationID":"pZZHh2My","properties":{"formattedCitation":"\\super 285\\nosupersub{}","plainCitation":"285","noteIndex":0},"citationItems":[{"id":10774,"uris":["http://zotero.org/users/6423791/items/WQGCZFWD"],"itemData":{"id":10774,"type":"article-journal","abstract":"In this study, the biorefinery process for generating amino acids (AA) from grass silage is analyzed ecologically. Life-cycle assessment is conducted in accordance with ISO 14040 and ISO 14044. A kilogram of amino acid is selected as a functional unit. The system boundary is drawn around silage production and includes both agricultural and conversion processes. The technology setup is modeled based on data from a demonstration amino acid production plant that uses the silages of permanent grassland in Austria (GBR 1), and data from the experimental work conducted within the European-funded GRASSFinery project (GBR 2) located in the Czech Republic and Germany, using life-cycle assessment software (GaBi®). Different scenarios are developed with different system boundaries. The baseline scenario for GBR 1 and the primary and central processing units of GBR 2 includes the green biorefinery processes without the disposal of waste flows to the biogas plant. By enlarging the system boundaries, the waste flows to the biogas plant and the energy yield from anaerobic digestion are considered as well as the transportation of intermediate products. The global warming potential (GWP) of the whole AA production process ranges from 11.4 to 16.8 kg CO2eq/kg AA, depending on the scenario. The GWP excludes biogenic carbon so the bound carbon in the grass silage is not included. High quality grass silage is crucial to achieve high yields of amino acids. Closed loops are a sensible step to reduce the environmental impact. © 2019 Society of Chemical Industry and John Wiley &amp; Sons, Ltd","container-title":"Biofuels, Bioproducts and Biorefining","DOI":"https://doi.org/10.1002/bbb.2022","ISSN":"1932-1031","issue":"6","language":"en","license":"© 2019 Society of Chemical Industry and John Wiley &amp; Sons, Ltd","note":"_eprint: https://onlinelibrary.wiley.com/doi/pdf/10.1002/bbb.2022","page":"1391-1401","source":"Wiley Online Library","title":"Life-cycle assessment of green biorefinery process options","volume":"13","author":[{"family":"Prieler","given":"Manuela"},{"family":"Lindorfer","given":"Johannes"},{"family":"Steinmüller","given":"Horst"}],"issued":{"date-parts":[["2019"]]}}}],"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285</w:t>
            </w:r>
            <w:r w:rsidRPr="006F3D27">
              <w:rPr>
                <w:sz w:val="18"/>
                <w:szCs w:val="18"/>
              </w:rPr>
              <w:fldChar w:fldCharType="end"/>
            </w:r>
          </w:p>
        </w:tc>
        <w:tc>
          <w:tcPr>
            <w:tcW w:w="0" w:type="auto"/>
            <w:vMerge/>
          </w:tcPr>
          <w:p w14:paraId="793EB3BE"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gridSpan w:val="2"/>
          </w:tcPr>
          <w:p w14:paraId="75827B0E"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Mixer</w:t>
            </w:r>
          </w:p>
        </w:tc>
        <w:tc>
          <w:tcPr>
            <w:tcW w:w="0" w:type="auto"/>
          </w:tcPr>
          <w:p w14:paraId="29B7ABD1"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60%</w:t>
            </w:r>
          </w:p>
        </w:tc>
        <w:tc>
          <w:tcPr>
            <w:tcW w:w="0" w:type="auto"/>
          </w:tcPr>
          <w:p w14:paraId="064741C7"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76B32264"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66%</w:t>
            </w:r>
          </w:p>
        </w:tc>
        <w:tc>
          <w:tcPr>
            <w:tcW w:w="0" w:type="auto"/>
          </w:tcPr>
          <w:p w14:paraId="513B51E2"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6BC1392B"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6EBB204D"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73%</w:t>
            </w:r>
          </w:p>
        </w:tc>
        <w:tc>
          <w:tcPr>
            <w:tcW w:w="0" w:type="auto"/>
          </w:tcPr>
          <w:p w14:paraId="1BD32994"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0EEED322"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7B2673F3"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0D3B1EC0"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30176DC3"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0DDAACA8"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r>
      <w:tr w:rsidR="00847C80" w:rsidRPr="006F3D27" w14:paraId="2AC4B961" w14:textId="77777777" w:rsidTr="00C828FC">
        <w:trPr>
          <w:cnfStyle w:val="000000100000" w:firstRow="0" w:lastRow="0" w:firstColumn="0" w:lastColumn="0" w:oddVBand="0" w:evenVBand="0" w:oddHBand="1" w:evenHBand="0" w:firstRowFirstColumn="0" w:firstRowLastColumn="0" w:lastRowFirstColumn="0" w:lastRowLastColumn="0"/>
          <w:trHeight w:val="349"/>
        </w:trPr>
        <w:tc>
          <w:tcPr>
            <w:cnfStyle w:val="001000000000" w:firstRow="0" w:lastRow="0" w:firstColumn="1" w:lastColumn="0" w:oddVBand="0" w:evenVBand="0" w:oddHBand="0" w:evenHBand="0" w:firstRowFirstColumn="0" w:firstRowLastColumn="0" w:lastRowFirstColumn="0" w:lastRowLastColumn="0"/>
            <w:tcW w:w="0" w:type="auto"/>
          </w:tcPr>
          <w:p w14:paraId="3DAA2F12" w14:textId="2D3D4000" w:rsidR="00847C80" w:rsidRPr="006F3D27" w:rsidRDefault="00847C80" w:rsidP="00847C80">
            <w:pPr>
              <w:rPr>
                <w:b w:val="0"/>
                <w:sz w:val="18"/>
                <w:szCs w:val="18"/>
              </w:rPr>
            </w:pPr>
            <w:r w:rsidRPr="006F3D27">
              <w:rPr>
                <w:sz w:val="18"/>
                <w:szCs w:val="18"/>
              </w:rPr>
              <w:fldChar w:fldCharType="begin"/>
            </w:r>
            <w:r w:rsidR="00991F7C">
              <w:rPr>
                <w:b w:val="0"/>
                <w:sz w:val="18"/>
                <w:szCs w:val="18"/>
              </w:rPr>
              <w:instrText xml:space="preserve"> ADDIN ZOTERO_ITEM CSL_CITATION {"citationID":"kwnegZTX","properties":{"formattedCitation":"\\super 311\\nosupersub{}","plainCitation":"311","noteIndex":0},"citationItems":[{"id":10931,"uris":["http://zotero.org/users/6423791/items/52ZVTHWD"],"itemData":{"id":10931,"type":"article-journal","abstract":"This meta-analysis based on 19 studies from Finland comprising 43 grass silages was undertaken to evaluate the effect of silage quality on liquid yield, liquid composition and retained compounds in liquid using four different liquid–solid separation methods. Silages were classified according to species (grass, clover or a mixture of them), additive treatment (no, biological or formic acid-based additive) and harvest (primary growth or regrowth). A mixed model regression analysis with random study effect was used to evaluate the impact of silage characteristics on biorefinery efficiency. There was a large variation in silage quality in the data set. Silage dry-matter concentration was the characteristic most highly correlated with liquid yield for all separation methods, and when used as an independent variable in the model, it resulted in the best predictions. The liquid–solid separation methods presented a great variation in the liquid yield, ranging from 0.26 to 0.56 when silage dry-matter concentration was standardized to 250 g/kg. There was no effect of additive treatment and harvest in the estimation of the biorefinery potential, but species was a significant variable in predicting liquid yield for the laboratory-scale presses with higher liquid yield for mixed grass and legume. The high correlation between silage quality and liquid yield and liquid composition provides potential to predict the biorefinery potential based on equations developed for each separation method. This information can be used to modify the silage production systems so that they best meet the requirements of a green biorefinery process.","container-title":"Grass and Forage Science","DOI":"https://doi.org/10.1111/gfs.12421","ISSN":"1365-2494","issue":"2","language":"en","license":"© 2019 John Wiley &amp; Sons Ltd","note":"_eprint: https://onlinelibrary.wiley.com/doi/pdf/10.1111/gfs.12421","page":"218-230","source":"Wiley Online Library","title":"Grass silage for biorefinery—A meta-analysis of silage factors affecting liquid–solid separation","volume":"74","author":[{"family":"Franco","given":"Marcia"},{"family":"Hurme","given":"Timo"},{"family":"Winquist","given":"Erika"},{"family":"Rinne","given":"Marketta"}],"issued":{"date-parts":[["2019"]]}}}],"schema":"https://github.com/citation-style-language/schema/raw/master/csl-citation.json"} </w:instrText>
            </w:r>
            <w:r w:rsidRPr="006F3D27">
              <w:rPr>
                <w:sz w:val="18"/>
                <w:szCs w:val="18"/>
              </w:rPr>
              <w:fldChar w:fldCharType="separate"/>
            </w:r>
            <w:r w:rsidR="00991F7C" w:rsidRPr="00991F7C">
              <w:rPr>
                <w:rFonts w:ascii="Calibri" w:hAnsi="Calibri" w:cs="Calibri"/>
                <w:sz w:val="18"/>
                <w:szCs w:val="24"/>
                <w:vertAlign w:val="superscript"/>
              </w:rPr>
              <w:t>311</w:t>
            </w:r>
            <w:r w:rsidRPr="006F3D27">
              <w:rPr>
                <w:sz w:val="18"/>
                <w:szCs w:val="18"/>
              </w:rPr>
              <w:fldChar w:fldCharType="end"/>
            </w:r>
            <w:r w:rsidRPr="006F3D27">
              <w:rPr>
                <w:b w:val="0"/>
                <w:sz w:val="18"/>
                <w:szCs w:val="18"/>
              </w:rPr>
              <w:t xml:space="preserve"> (single press)</w:t>
            </w:r>
          </w:p>
        </w:tc>
        <w:tc>
          <w:tcPr>
            <w:tcW w:w="0" w:type="auto"/>
            <w:vMerge w:val="restart"/>
            <w:textDirection w:val="btLr"/>
          </w:tcPr>
          <w:p w14:paraId="44DC98A2" w14:textId="77777777" w:rsidR="00847C80" w:rsidRPr="006F3D27" w:rsidRDefault="00847C80" w:rsidP="00847C80">
            <w:pPr>
              <w:ind w:left="113" w:right="113"/>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Industrial</w:t>
            </w:r>
            <w:r w:rsidRPr="006F3D27">
              <w:rPr>
                <w:sz w:val="18"/>
                <w:szCs w:val="18"/>
                <w:vertAlign w:val="superscript"/>
              </w:rPr>
              <w:t>***</w:t>
            </w:r>
          </w:p>
        </w:tc>
        <w:tc>
          <w:tcPr>
            <w:tcW w:w="0" w:type="auto"/>
            <w:gridSpan w:val="2"/>
            <w:vMerge w:val="restart"/>
          </w:tcPr>
          <w:p w14:paraId="5DD8698C"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No</w:t>
            </w:r>
          </w:p>
        </w:tc>
        <w:tc>
          <w:tcPr>
            <w:tcW w:w="0" w:type="auto"/>
          </w:tcPr>
          <w:p w14:paraId="525612E0"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21-32%</w:t>
            </w:r>
          </w:p>
        </w:tc>
        <w:tc>
          <w:tcPr>
            <w:tcW w:w="0" w:type="auto"/>
          </w:tcPr>
          <w:p w14:paraId="4B1EEE3F"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8-13%</w:t>
            </w:r>
          </w:p>
        </w:tc>
        <w:tc>
          <w:tcPr>
            <w:tcW w:w="0" w:type="auto"/>
          </w:tcPr>
          <w:p w14:paraId="7CA6BCAD"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12-21%</w:t>
            </w:r>
          </w:p>
        </w:tc>
        <w:tc>
          <w:tcPr>
            <w:tcW w:w="0" w:type="auto"/>
          </w:tcPr>
          <w:p w14:paraId="23A1383A"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7AF6DAD0"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6B356448"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7A550EC5"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16-28%</w:t>
            </w:r>
          </w:p>
        </w:tc>
        <w:tc>
          <w:tcPr>
            <w:tcW w:w="0" w:type="auto"/>
          </w:tcPr>
          <w:p w14:paraId="2C249C12"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138425CD"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4FAAD2FB"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676CD926"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55D36B35"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r>
      <w:tr w:rsidR="00847C80" w:rsidRPr="006F3D27" w14:paraId="29A558A3" w14:textId="77777777" w:rsidTr="00C828FC">
        <w:trPr>
          <w:trHeight w:val="672"/>
        </w:trPr>
        <w:tc>
          <w:tcPr>
            <w:cnfStyle w:val="001000000000" w:firstRow="0" w:lastRow="0" w:firstColumn="1" w:lastColumn="0" w:oddVBand="0" w:evenVBand="0" w:oddHBand="0" w:evenHBand="0" w:firstRowFirstColumn="0" w:firstRowLastColumn="0" w:lastRowFirstColumn="0" w:lastRowLastColumn="0"/>
            <w:tcW w:w="0" w:type="auto"/>
            <w:vMerge w:val="restart"/>
          </w:tcPr>
          <w:p w14:paraId="58089202" w14:textId="5782B187" w:rsidR="00847C80" w:rsidRPr="006F3D27" w:rsidRDefault="00847C80" w:rsidP="00847C80">
            <w:pPr>
              <w:rPr>
                <w:b w:val="0"/>
                <w:sz w:val="18"/>
                <w:szCs w:val="18"/>
              </w:rPr>
            </w:pPr>
            <w:r w:rsidRPr="006F3D27">
              <w:rPr>
                <w:sz w:val="18"/>
                <w:szCs w:val="18"/>
              </w:rPr>
              <w:fldChar w:fldCharType="begin"/>
            </w:r>
            <w:r w:rsidR="00991F7C">
              <w:rPr>
                <w:b w:val="0"/>
                <w:sz w:val="18"/>
                <w:szCs w:val="18"/>
              </w:rPr>
              <w:instrText xml:space="preserve"> ADDIN ZOTERO_ITEM CSL_CITATION {"citationID":"u1Zh5YS9","properties":{"formattedCitation":"\\super 311\\nosupersub{}","plainCitation":"311","noteIndex":0},"citationItems":[{"id":10931,"uris":["http://zotero.org/users/6423791/items/52ZVTHWD"],"itemData":{"id":10931,"type":"article-journal","abstract":"This meta-analysis based on 19 studies from Finland comprising 43 grass silages was undertaken to evaluate the effect of silage quality on liquid yield, liquid composition and retained compounds in liquid using four different liquid–solid separation methods. Silages were classified according to species (grass, clover or a mixture of them), additive treatment (no, biological or formic acid-based additive) and harvest (primary growth or regrowth). A mixed model regression analysis with random study effect was used to evaluate the impact of silage characteristics on biorefinery efficiency. There was a large variation in silage quality in the data set. Silage dry-matter concentration was the characteristic most highly correlated with liquid yield for all separation methods, and when used as an independent variable in the model, it resulted in the best predictions. The liquid–solid separation methods presented a great variation in the liquid yield, ranging from 0.26 to 0.56 when silage dry-matter concentration was standardized to 250 g/kg. There was no effect of additive treatment and harvest in the estimation of the biorefinery potential, but species was a significant variable in predicting liquid yield for the laboratory-scale presses with higher liquid yield for mixed grass and legume. The high correlation between silage quality and liquid yield and liquid composition provides potential to predict the biorefinery potential based on equations developed for each separation method. This information can be used to modify the silage production systems so that they best meet the requirements of a green biorefinery process.","container-title":"Grass and Forage Science","DOI":"https://doi.org/10.1111/gfs.12421","ISSN":"1365-2494","issue":"2","language":"en","license":"© 2019 John Wiley &amp; Sons Ltd","note":"_eprint: https://onlinelibrary.wiley.com/doi/pdf/10.1111/gfs.12421","page":"218-230","source":"Wiley Online Library","title":"Grass silage for biorefinery—A meta-analysis of silage factors affecting liquid–solid separation","volume":"74","author":[{"family":"Franco","given":"Marcia"},{"family":"Hurme","given":"Timo"},{"family":"Winquist","given":"Erika"},{"family":"Rinne","given":"Marketta"}],"issued":{"date-parts":[["2019"]]}}}],"schema":"https://github.com/citation-style-language/schema/raw/master/csl-citation.json"} </w:instrText>
            </w:r>
            <w:r w:rsidRPr="006F3D27">
              <w:rPr>
                <w:sz w:val="18"/>
                <w:szCs w:val="18"/>
              </w:rPr>
              <w:fldChar w:fldCharType="separate"/>
            </w:r>
            <w:r w:rsidR="00991F7C" w:rsidRPr="00991F7C">
              <w:rPr>
                <w:rFonts w:ascii="Calibri" w:hAnsi="Calibri" w:cs="Calibri"/>
                <w:sz w:val="18"/>
                <w:szCs w:val="24"/>
                <w:vertAlign w:val="superscript"/>
              </w:rPr>
              <w:t>311</w:t>
            </w:r>
            <w:r w:rsidRPr="006F3D27">
              <w:rPr>
                <w:sz w:val="18"/>
                <w:szCs w:val="18"/>
              </w:rPr>
              <w:fldChar w:fldCharType="end"/>
            </w:r>
            <w:r w:rsidRPr="006F3D27">
              <w:rPr>
                <w:b w:val="0"/>
                <w:sz w:val="18"/>
                <w:szCs w:val="18"/>
              </w:rPr>
              <w:t xml:space="preserve"> (twin press)</w:t>
            </w:r>
          </w:p>
        </w:tc>
        <w:tc>
          <w:tcPr>
            <w:tcW w:w="0" w:type="auto"/>
            <w:vMerge/>
          </w:tcPr>
          <w:p w14:paraId="5BD63369"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gridSpan w:val="2"/>
            <w:vMerge/>
          </w:tcPr>
          <w:p w14:paraId="437F376F"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027E7392"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51-59%</w:t>
            </w:r>
          </w:p>
        </w:tc>
        <w:tc>
          <w:tcPr>
            <w:tcW w:w="0" w:type="auto"/>
          </w:tcPr>
          <w:p w14:paraId="48245E23"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20-27%</w:t>
            </w:r>
          </w:p>
        </w:tc>
        <w:tc>
          <w:tcPr>
            <w:tcW w:w="0" w:type="auto"/>
          </w:tcPr>
          <w:p w14:paraId="363C441A"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28-43%</w:t>
            </w:r>
          </w:p>
        </w:tc>
        <w:tc>
          <w:tcPr>
            <w:tcW w:w="0" w:type="auto"/>
          </w:tcPr>
          <w:p w14:paraId="410D6CB1"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3B0F9493"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5FC38FCF"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6C70F22E"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42-51%</w:t>
            </w:r>
          </w:p>
        </w:tc>
        <w:tc>
          <w:tcPr>
            <w:tcW w:w="0" w:type="auto"/>
          </w:tcPr>
          <w:p w14:paraId="4407C3D3"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78F04BE4"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359C6CA7"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4D012233"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3F89EF12"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r>
      <w:tr w:rsidR="00847C80" w:rsidRPr="006F3D27" w14:paraId="73B0BABD" w14:textId="77777777" w:rsidTr="00C828FC">
        <w:trPr>
          <w:cnfStyle w:val="000000100000" w:firstRow="0" w:lastRow="0" w:firstColumn="0" w:lastColumn="0" w:oddVBand="0" w:evenVBand="0" w:oddHBand="1" w:evenHBand="0" w:firstRowFirstColumn="0" w:firstRowLastColumn="0" w:lastRowFirstColumn="0" w:lastRowLastColumn="0"/>
          <w:trHeight w:val="763"/>
        </w:trPr>
        <w:tc>
          <w:tcPr>
            <w:cnfStyle w:val="001000000000" w:firstRow="0" w:lastRow="0" w:firstColumn="1" w:lastColumn="0" w:oddVBand="0" w:evenVBand="0" w:oddHBand="0" w:evenHBand="0" w:firstRowFirstColumn="0" w:firstRowLastColumn="0" w:lastRowFirstColumn="0" w:lastRowLastColumn="0"/>
            <w:tcW w:w="0" w:type="auto"/>
            <w:vMerge/>
          </w:tcPr>
          <w:p w14:paraId="4746298D" w14:textId="77777777" w:rsidR="00847C80" w:rsidRPr="006F3D27" w:rsidRDefault="00847C80" w:rsidP="00847C80">
            <w:pPr>
              <w:rPr>
                <w:sz w:val="18"/>
                <w:szCs w:val="18"/>
              </w:rPr>
            </w:pPr>
          </w:p>
        </w:tc>
        <w:tc>
          <w:tcPr>
            <w:tcW w:w="0" w:type="auto"/>
            <w:textDirection w:val="btLr"/>
          </w:tcPr>
          <w:p w14:paraId="69B4D2DF" w14:textId="77777777" w:rsidR="00847C80" w:rsidRPr="006F3D27" w:rsidRDefault="00847C80" w:rsidP="00847C80">
            <w:pPr>
              <w:ind w:left="113" w:right="113"/>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 xml:space="preserve">Lab </w:t>
            </w:r>
            <w:r w:rsidRPr="006F3D27">
              <w:rPr>
                <w:sz w:val="18"/>
                <w:szCs w:val="18"/>
                <w:vertAlign w:val="superscript"/>
              </w:rPr>
              <w:t>***</w:t>
            </w:r>
          </w:p>
        </w:tc>
        <w:tc>
          <w:tcPr>
            <w:tcW w:w="0" w:type="auto"/>
            <w:gridSpan w:val="2"/>
            <w:vMerge/>
          </w:tcPr>
          <w:p w14:paraId="590AAE3F"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09CB7CAF"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55-67%</w:t>
            </w:r>
          </w:p>
        </w:tc>
        <w:tc>
          <w:tcPr>
            <w:tcW w:w="0" w:type="auto"/>
          </w:tcPr>
          <w:p w14:paraId="5E7AF839"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22-35%</w:t>
            </w:r>
          </w:p>
        </w:tc>
        <w:tc>
          <w:tcPr>
            <w:tcW w:w="0" w:type="auto"/>
          </w:tcPr>
          <w:p w14:paraId="2E919AD2"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21-52%</w:t>
            </w:r>
          </w:p>
        </w:tc>
        <w:tc>
          <w:tcPr>
            <w:tcW w:w="0" w:type="auto"/>
          </w:tcPr>
          <w:p w14:paraId="22ED2449"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7E95CE9F"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54249C40"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1B8B3212"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47-86%</w:t>
            </w:r>
          </w:p>
        </w:tc>
        <w:tc>
          <w:tcPr>
            <w:tcW w:w="0" w:type="auto"/>
          </w:tcPr>
          <w:p w14:paraId="460CA8D1"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6EB53051"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380B7DD3"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2BE6DECC"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52FDF51A"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r>
      <w:tr w:rsidR="00847C80" w:rsidRPr="006F3D27" w14:paraId="29FEEB83" w14:textId="77777777" w:rsidTr="00C828FC">
        <w:trPr>
          <w:trHeight w:val="412"/>
        </w:trPr>
        <w:tc>
          <w:tcPr>
            <w:cnfStyle w:val="001000000000" w:firstRow="0" w:lastRow="0" w:firstColumn="1" w:lastColumn="0" w:oddVBand="0" w:evenVBand="0" w:oddHBand="0" w:evenHBand="0" w:firstRowFirstColumn="0" w:firstRowLastColumn="0" w:lastRowFirstColumn="0" w:lastRowLastColumn="0"/>
            <w:tcW w:w="0" w:type="auto"/>
          </w:tcPr>
          <w:p w14:paraId="5DF8CBC3" w14:textId="4E7ABE3A" w:rsidR="00847C80" w:rsidRPr="006F3D27" w:rsidRDefault="00847C80" w:rsidP="00847C80">
            <w:pPr>
              <w:rPr>
                <w:sz w:val="18"/>
                <w:szCs w:val="18"/>
              </w:rPr>
            </w:pPr>
            <w:r w:rsidRPr="006F3D27">
              <w:rPr>
                <w:sz w:val="18"/>
                <w:szCs w:val="18"/>
              </w:rPr>
              <w:fldChar w:fldCharType="begin"/>
            </w:r>
            <w:r w:rsidR="005413B4">
              <w:rPr>
                <w:sz w:val="18"/>
                <w:szCs w:val="18"/>
              </w:rPr>
              <w:instrText xml:space="preserve"> ADDIN ZOTERO_ITEM CSL_CITATION {"citationID":"eAbMP4Kn","properties":{"formattedCitation":"\\super 321\\nosupersub{}","plainCitation":"321","noteIndex":0},"citationItems":[{"id":10954,"uris":["http://zotero.org/users/6423791/items/XJK68EQQ"],"itemData":{"id":10954,"type":"paper-conference","container-title":"Proceedings of the 9th Nordic Feed Science Conference","title":"Grass silage for biorefinery – separation efficiency and aerobic stability of silage and solid fraction","URL":"https://jukuri.luke.fi/bitstream/handle/10024/543533/Stefanski%20et%20al..pdf?sequence=1","author":[{"family":"Stefański","given":"T"},{"family":"Franco","given":"M."},{"family":"Kautto","given":"O"},{"family":"Jalava","given":"T"},{"family":"Winquist","given":"E"},{"family":"Rinne","given":"M"}],"accessed":{"date-parts":[["2021",4,13]]},"issued":{"date-parts":[["2018"]]}}}],"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321</w:t>
            </w:r>
            <w:r w:rsidRPr="006F3D27">
              <w:rPr>
                <w:sz w:val="18"/>
                <w:szCs w:val="18"/>
              </w:rPr>
              <w:fldChar w:fldCharType="end"/>
            </w:r>
          </w:p>
        </w:tc>
        <w:tc>
          <w:tcPr>
            <w:tcW w:w="0" w:type="auto"/>
            <w:vMerge w:val="restart"/>
            <w:textDirection w:val="btLr"/>
          </w:tcPr>
          <w:p w14:paraId="2CADCF48" w14:textId="77777777" w:rsidR="00847C80" w:rsidRPr="006F3D27" w:rsidRDefault="00847C80" w:rsidP="00847C80">
            <w:pPr>
              <w:ind w:left="113" w:right="113"/>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Industrial</w:t>
            </w:r>
          </w:p>
        </w:tc>
        <w:tc>
          <w:tcPr>
            <w:tcW w:w="0" w:type="auto"/>
            <w:gridSpan w:val="2"/>
            <w:vMerge/>
          </w:tcPr>
          <w:p w14:paraId="22F5D606"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4C2067FD"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58%</w:t>
            </w:r>
          </w:p>
        </w:tc>
        <w:tc>
          <w:tcPr>
            <w:tcW w:w="0" w:type="auto"/>
          </w:tcPr>
          <w:p w14:paraId="12423D83"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19%</w:t>
            </w:r>
          </w:p>
        </w:tc>
        <w:tc>
          <w:tcPr>
            <w:tcW w:w="0" w:type="auto"/>
          </w:tcPr>
          <w:p w14:paraId="123E93F3"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36%</w:t>
            </w:r>
          </w:p>
        </w:tc>
        <w:tc>
          <w:tcPr>
            <w:tcW w:w="0" w:type="auto"/>
          </w:tcPr>
          <w:p w14:paraId="05BE7E17"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77F7DD4B"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7AF17523"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1C27B953"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6F3D27">
              <w:rPr>
                <w:sz w:val="18"/>
                <w:szCs w:val="18"/>
              </w:rPr>
              <w:t>54%</w:t>
            </w:r>
          </w:p>
        </w:tc>
        <w:tc>
          <w:tcPr>
            <w:tcW w:w="0" w:type="auto"/>
          </w:tcPr>
          <w:p w14:paraId="3AFD7780"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28DE34E1"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6F9F6B3C"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51E1D249"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5F4D0D2A" w14:textId="77777777" w:rsidR="00847C80" w:rsidRPr="006F3D27"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r>
      <w:tr w:rsidR="00847C80" w:rsidRPr="006F3D27" w14:paraId="75081583" w14:textId="77777777" w:rsidTr="00C828FC">
        <w:trPr>
          <w:cnfStyle w:val="000000100000" w:firstRow="0" w:lastRow="0" w:firstColumn="0" w:lastColumn="0" w:oddVBand="0" w:evenVBand="0" w:oddHBand="1" w:evenHBand="0" w:firstRowFirstColumn="0" w:firstRowLastColumn="0" w:lastRowFirstColumn="0" w:lastRowLastColumn="0"/>
          <w:trHeight w:val="613"/>
        </w:trPr>
        <w:tc>
          <w:tcPr>
            <w:cnfStyle w:val="001000000000" w:firstRow="0" w:lastRow="0" w:firstColumn="1" w:lastColumn="0" w:oddVBand="0" w:evenVBand="0" w:oddHBand="0" w:evenHBand="0" w:firstRowFirstColumn="0" w:firstRowLastColumn="0" w:lastRowFirstColumn="0" w:lastRowLastColumn="0"/>
            <w:tcW w:w="0" w:type="auto"/>
          </w:tcPr>
          <w:p w14:paraId="339DBF9B" w14:textId="1267724A" w:rsidR="00847C80" w:rsidRPr="006F3D27" w:rsidRDefault="00847C80" w:rsidP="00847C80">
            <w:pPr>
              <w:rPr>
                <w:sz w:val="18"/>
                <w:szCs w:val="18"/>
              </w:rPr>
            </w:pPr>
            <w:r w:rsidRPr="006F3D27">
              <w:rPr>
                <w:sz w:val="18"/>
                <w:szCs w:val="18"/>
              </w:rPr>
              <w:fldChar w:fldCharType="begin"/>
            </w:r>
            <w:r w:rsidR="005413B4">
              <w:rPr>
                <w:sz w:val="18"/>
                <w:szCs w:val="18"/>
              </w:rPr>
              <w:instrText xml:space="preserve"> ADDIN ZOTERO_ITEM CSL_CITATION {"citationID":"oS6CJT60","properties":{"formattedCitation":"\\super 266\\nosupersub{}","plainCitation":"266","noteIndex":0},"citationItems":[{"id":11340,"uris":["http://zotero.org/users/6423791/items/WY7NQ5DU"],"itemData":{"id":11340,"type":"report","abstract":"Industrial extraction of proteins and pigments from alfalfa makes it possible to obtain from leaves of this forage legume protein concentrates with a high content in pigments and omega-3 fatty acids. The high tech process is less energy consuming than the classical dehydration process, even when considering the large energy savings made for forage dehydration during the last two years. Today, the main commercial outlets for this concentrate are the market of protein concentrate for herbivores, the one of pigments for poultry production and also the market of omega-3 rich feeds for ruminants.","archive_location":"hal-02658324","collection-title":"Innovations Agronomiques","language":"fr","page":"147-156","publisher":"INRAE","source":"Zotero","title":"Extraction industrielle de protéines et de pigments chez la luzerne: état des lieux et perspectives","URL":"https://hal.inrae.fr/hal-02658324/document","author":[{"family":"Andurand","given":"J"},{"family":"Coulmier","given":"D"},{"family":"Despres","given":"J L"},{"family":"Rambourg","given":"J C"}],"issued":{"date-parts":[["2010"]]}}}],"schema":"https://github.com/citation-style-language/schema/raw/master/csl-citation.json"} </w:instrText>
            </w:r>
            <w:r w:rsidRPr="006F3D27">
              <w:rPr>
                <w:sz w:val="18"/>
                <w:szCs w:val="18"/>
              </w:rPr>
              <w:fldChar w:fldCharType="separate"/>
            </w:r>
            <w:r w:rsidR="005413B4" w:rsidRPr="005413B4">
              <w:rPr>
                <w:rFonts w:ascii="Calibri" w:hAnsi="Calibri" w:cs="Calibri"/>
                <w:sz w:val="18"/>
                <w:szCs w:val="24"/>
                <w:vertAlign w:val="superscript"/>
              </w:rPr>
              <w:t>266</w:t>
            </w:r>
            <w:r w:rsidRPr="006F3D27">
              <w:rPr>
                <w:sz w:val="18"/>
                <w:szCs w:val="18"/>
              </w:rPr>
              <w:fldChar w:fldCharType="end"/>
            </w:r>
          </w:p>
        </w:tc>
        <w:tc>
          <w:tcPr>
            <w:tcW w:w="0" w:type="auto"/>
            <w:vMerge/>
          </w:tcPr>
          <w:p w14:paraId="45CC6DEE"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gridSpan w:val="2"/>
          </w:tcPr>
          <w:p w14:paraId="4EA22E62"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Defibering</w:t>
            </w:r>
          </w:p>
        </w:tc>
        <w:tc>
          <w:tcPr>
            <w:tcW w:w="0" w:type="auto"/>
          </w:tcPr>
          <w:p w14:paraId="3EDA4729"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64%</w:t>
            </w:r>
          </w:p>
        </w:tc>
        <w:tc>
          <w:tcPr>
            <w:tcW w:w="0" w:type="auto"/>
          </w:tcPr>
          <w:p w14:paraId="56E8B667"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31%</w:t>
            </w:r>
          </w:p>
        </w:tc>
        <w:tc>
          <w:tcPr>
            <w:tcW w:w="0" w:type="auto"/>
          </w:tcPr>
          <w:p w14:paraId="38AA6456"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6F3D27">
              <w:rPr>
                <w:sz w:val="18"/>
                <w:szCs w:val="18"/>
              </w:rPr>
              <w:t>42%</w:t>
            </w:r>
          </w:p>
        </w:tc>
        <w:tc>
          <w:tcPr>
            <w:tcW w:w="0" w:type="auto"/>
          </w:tcPr>
          <w:p w14:paraId="7BD805B0"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295F37F6"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44F29822"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29C319EF"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3CC6A789"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2C161813"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66A65A8E"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16ECE8A2"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19A549AC" w14:textId="77777777" w:rsidR="00847C80" w:rsidRPr="006F3D27"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r>
    </w:tbl>
    <w:p w14:paraId="522E2E1C" w14:textId="77777777" w:rsidR="00847C80" w:rsidRPr="00EF7E83" w:rsidRDefault="00847C80" w:rsidP="000C6C37">
      <w:pPr>
        <w:rPr>
          <w:sz w:val="18"/>
        </w:rPr>
      </w:pPr>
      <w:r w:rsidRPr="00EF7E83">
        <w:rPr>
          <w:sz w:val="18"/>
        </w:rPr>
        <w:t>Studies using secondary data were not included here.</w:t>
      </w:r>
      <w:r>
        <w:rPr>
          <w:sz w:val="18"/>
        </w:rPr>
        <w:t xml:space="preserve"> No differentiation per biomass type. </w:t>
      </w:r>
      <w:r w:rsidRPr="00EF7E83">
        <w:rPr>
          <w:sz w:val="18"/>
          <w:vertAlign w:val="superscript"/>
        </w:rPr>
        <w:t>*</w:t>
      </w:r>
      <w:r>
        <w:rPr>
          <w:sz w:val="18"/>
        </w:rPr>
        <w:t xml:space="preserve">: proteins and nitrogen transfer coefficients are mostly reported equivalent. </w:t>
      </w:r>
      <w:r w:rsidRPr="00B15791">
        <w:rPr>
          <w:sz w:val="18"/>
          <w:vertAlign w:val="superscript"/>
        </w:rPr>
        <w:t>**</w:t>
      </w:r>
      <w:r>
        <w:rPr>
          <w:sz w:val="18"/>
        </w:rPr>
        <w:t>:</w:t>
      </w:r>
      <w:r w:rsidRPr="00B15791">
        <w:rPr>
          <w:sz w:val="18"/>
        </w:rPr>
        <w:t xml:space="preserve"> </w:t>
      </w:r>
      <w:r>
        <w:rPr>
          <w:sz w:val="18"/>
        </w:rPr>
        <w:t xml:space="preserve">fibers are sometimes considered as a whole, sometimes separated in main components in this order: lignin / cellulose / hemicellulose. </w:t>
      </w:r>
      <w:r w:rsidRPr="001A5B64">
        <w:rPr>
          <w:sz w:val="18"/>
          <w:vertAlign w:val="superscript"/>
        </w:rPr>
        <w:t>***</w:t>
      </w:r>
      <w:r>
        <w:rPr>
          <w:sz w:val="18"/>
        </w:rPr>
        <w:t>: meta-analysis</w:t>
      </w:r>
      <w:r>
        <w:rPr>
          <w:sz w:val="18"/>
        </w:rPr>
        <w:br/>
      </w:r>
    </w:p>
    <w:p w14:paraId="2A9B2C41" w14:textId="77777777" w:rsidR="00C828FC" w:rsidRDefault="00C828FC">
      <w:r>
        <w:br w:type="page"/>
      </w:r>
    </w:p>
    <w:p w14:paraId="6C04934E" w14:textId="498D1D5D" w:rsidR="00847C80" w:rsidRPr="00F54FAB" w:rsidRDefault="00874128" w:rsidP="00942782">
      <w:pPr>
        <w:pStyle w:val="Lgende"/>
        <w:jc w:val="left"/>
        <w:rPr>
          <w:b w:val="0"/>
          <w:i/>
        </w:rPr>
      </w:pPr>
      <w:bookmarkStart w:id="373" w:name="_Ref144910510"/>
      <w:bookmarkStart w:id="374" w:name="_Toc134537683"/>
      <w:bookmarkStart w:id="375" w:name="_Toc151967970"/>
      <w:r>
        <w:lastRenderedPageBreak/>
        <w:t>Table SI.</w:t>
      </w:r>
      <w:r w:rsidR="00847C80">
        <w:t xml:space="preserve"> </w:t>
      </w:r>
      <w:r>
        <w:fldChar w:fldCharType="begin"/>
      </w:r>
      <w:r>
        <w:instrText xml:space="preserve"> SEQ Table_SI. \* ARABIC </w:instrText>
      </w:r>
      <w:r>
        <w:fldChar w:fldCharType="separate"/>
      </w:r>
      <w:r w:rsidR="00F25F8C">
        <w:rPr>
          <w:noProof/>
        </w:rPr>
        <w:t>86</w:t>
      </w:r>
      <w:r>
        <w:fldChar w:fldCharType="end"/>
      </w:r>
      <w:bookmarkEnd w:id="373"/>
      <w:r w:rsidR="00847C80">
        <w:t xml:space="preserve"> </w:t>
      </w:r>
      <w:r w:rsidR="00847C80" w:rsidRPr="00E105F3">
        <w:t xml:space="preserve">– </w:t>
      </w:r>
      <w:r w:rsidR="00847C80">
        <w:t>S</w:t>
      </w:r>
      <w:r w:rsidR="00847C80" w:rsidRPr="00E105F3">
        <w:t>elected parameters and variation ranges for green juice extraction</w:t>
      </w:r>
      <w:bookmarkEnd w:id="374"/>
      <w:bookmarkEnd w:id="375"/>
    </w:p>
    <w:tbl>
      <w:tblPr>
        <w:tblStyle w:val="Tableausimple2"/>
        <w:tblW w:w="0" w:type="auto"/>
        <w:jc w:val="center"/>
        <w:tblLook w:val="04A0" w:firstRow="1" w:lastRow="0" w:firstColumn="1" w:lastColumn="0" w:noHBand="0" w:noVBand="1"/>
      </w:tblPr>
      <w:tblGrid>
        <w:gridCol w:w="989"/>
        <w:gridCol w:w="1249"/>
        <w:gridCol w:w="1070"/>
        <w:gridCol w:w="669"/>
        <w:gridCol w:w="691"/>
        <w:gridCol w:w="4404"/>
      </w:tblGrid>
      <w:tr w:rsidR="00847C80" w:rsidRPr="00C828FC" w14:paraId="0099D230" w14:textId="77777777" w:rsidTr="00C828F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gridSpan w:val="2"/>
          </w:tcPr>
          <w:p w14:paraId="0694137F" w14:textId="77777777" w:rsidR="00847C80" w:rsidRPr="00C828FC" w:rsidRDefault="00847C80" w:rsidP="003B36AF">
            <w:pPr>
              <w:jc w:val="right"/>
              <w:rPr>
                <w:sz w:val="18"/>
                <w:szCs w:val="18"/>
              </w:rPr>
            </w:pPr>
            <w:r w:rsidRPr="00C828FC">
              <w:rPr>
                <w:sz w:val="18"/>
                <w:szCs w:val="18"/>
              </w:rPr>
              <w:t>Parameters</w:t>
            </w:r>
          </w:p>
        </w:tc>
        <w:tc>
          <w:tcPr>
            <w:tcW w:w="0" w:type="auto"/>
          </w:tcPr>
          <w:p w14:paraId="79BCA1DC" w14:textId="77777777" w:rsidR="00847C80" w:rsidRPr="00C828FC" w:rsidRDefault="00847C80" w:rsidP="00847C80">
            <w:pPr>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Baseline</w:t>
            </w:r>
          </w:p>
        </w:tc>
        <w:tc>
          <w:tcPr>
            <w:tcW w:w="0" w:type="auto"/>
          </w:tcPr>
          <w:p w14:paraId="549A7400" w14:textId="77777777" w:rsidR="00847C80" w:rsidRPr="00C828FC" w:rsidRDefault="00847C80" w:rsidP="00847C80">
            <w:pPr>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Min</w:t>
            </w:r>
          </w:p>
        </w:tc>
        <w:tc>
          <w:tcPr>
            <w:tcW w:w="0" w:type="auto"/>
          </w:tcPr>
          <w:p w14:paraId="4461003D" w14:textId="77777777" w:rsidR="00847C80" w:rsidRPr="00C828FC" w:rsidRDefault="00847C80" w:rsidP="00847C80">
            <w:pPr>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Max</w:t>
            </w:r>
          </w:p>
        </w:tc>
        <w:tc>
          <w:tcPr>
            <w:tcW w:w="0" w:type="auto"/>
          </w:tcPr>
          <w:p w14:paraId="5852EEA3" w14:textId="77777777" w:rsidR="00847C80" w:rsidRPr="00C828FC" w:rsidRDefault="00847C80" w:rsidP="003B36AF">
            <w:pPr>
              <w:jc w:val="both"/>
              <w:cnfStyle w:val="100000000000" w:firstRow="1" w:lastRow="0" w:firstColumn="0" w:lastColumn="0" w:oddVBand="0" w:evenVBand="0" w:oddHBand="0" w:evenHBand="0" w:firstRowFirstColumn="0" w:firstRowLastColumn="0" w:lastRowFirstColumn="0" w:lastRowLastColumn="0"/>
              <w:rPr>
                <w:i/>
                <w:sz w:val="18"/>
                <w:szCs w:val="18"/>
              </w:rPr>
            </w:pPr>
            <w:r w:rsidRPr="00C828FC">
              <w:rPr>
                <w:i/>
                <w:sz w:val="18"/>
                <w:szCs w:val="18"/>
              </w:rPr>
              <w:t>Comment</w:t>
            </w:r>
          </w:p>
        </w:tc>
      </w:tr>
      <w:tr w:rsidR="00847C80" w:rsidRPr="00C828FC" w14:paraId="3FE874CD" w14:textId="77777777" w:rsidTr="00C828FC">
        <w:trPr>
          <w:cnfStyle w:val="000000100000" w:firstRow="0" w:lastRow="0" w:firstColumn="0" w:lastColumn="0" w:oddVBand="0" w:evenVBand="0" w:oddHBand="1" w:evenHBand="0" w:firstRowFirstColumn="0" w:firstRowLastColumn="0" w:lastRowFirstColumn="0" w:lastRowLastColumn="0"/>
          <w:trHeight w:val="793"/>
          <w:jc w:val="center"/>
        </w:trPr>
        <w:tc>
          <w:tcPr>
            <w:cnfStyle w:val="001000000000" w:firstRow="0" w:lastRow="0" w:firstColumn="1" w:lastColumn="0" w:oddVBand="0" w:evenVBand="0" w:oddHBand="0" w:evenHBand="0" w:firstRowFirstColumn="0" w:firstRowLastColumn="0" w:lastRowFirstColumn="0" w:lastRowLastColumn="0"/>
            <w:tcW w:w="988" w:type="dxa"/>
            <w:vMerge w:val="restart"/>
            <w:textDirection w:val="btLr"/>
          </w:tcPr>
          <w:p w14:paraId="28212F4A" w14:textId="77777777" w:rsidR="00847C80" w:rsidRPr="00C828FC" w:rsidRDefault="00847C80" w:rsidP="00942782">
            <w:pPr>
              <w:ind w:left="113" w:right="113"/>
              <w:jc w:val="center"/>
              <w:rPr>
                <w:sz w:val="18"/>
                <w:szCs w:val="18"/>
              </w:rPr>
            </w:pPr>
            <w:r w:rsidRPr="00C828FC">
              <w:rPr>
                <w:sz w:val="18"/>
                <w:szCs w:val="18"/>
              </w:rPr>
              <w:t>Juice separation (%</w:t>
            </w:r>
            <w:r w:rsidRPr="00C828FC">
              <w:rPr>
                <w:sz w:val="18"/>
                <w:szCs w:val="18"/>
                <w:vertAlign w:val="subscript"/>
              </w:rPr>
              <w:t>juice/in</w:t>
            </w:r>
            <w:r w:rsidRPr="00C828FC">
              <w:rPr>
                <w:sz w:val="18"/>
                <w:szCs w:val="18"/>
              </w:rPr>
              <w:t>)</w:t>
            </w:r>
          </w:p>
        </w:tc>
        <w:tc>
          <w:tcPr>
            <w:tcW w:w="1160" w:type="dxa"/>
          </w:tcPr>
          <w:p w14:paraId="1C1FF809" w14:textId="77777777" w:rsidR="00847C80" w:rsidRPr="00C828FC" w:rsidRDefault="00847C80" w:rsidP="003B36AF">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fresh matter</w:t>
            </w:r>
          </w:p>
        </w:tc>
        <w:tc>
          <w:tcPr>
            <w:tcW w:w="0" w:type="auto"/>
            <w:gridSpan w:val="3"/>
          </w:tcPr>
          <w:p w14:paraId="117B418F" w14:textId="1E8AF492" w:rsidR="00847C80" w:rsidRPr="00C828FC" w:rsidRDefault="00874128" w:rsidP="00847C80">
            <w:pPr>
              <w:pStyle w:val="Lgende"/>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Equation</w:t>
            </w:r>
            <w:r w:rsidR="00847C80" w:rsidRPr="00C828FC">
              <w:rPr>
                <w:sz w:val="18"/>
                <w:szCs w:val="18"/>
              </w:rPr>
              <w:t xml:space="preserve"> </w:t>
            </w:r>
            <w:r w:rsidRPr="00C828FC">
              <w:rPr>
                <w:sz w:val="18"/>
                <w:szCs w:val="18"/>
              </w:rPr>
              <w:fldChar w:fldCharType="begin"/>
            </w:r>
            <w:r w:rsidRPr="00C828FC">
              <w:rPr>
                <w:sz w:val="18"/>
                <w:szCs w:val="18"/>
              </w:rPr>
              <w:instrText xml:space="preserve"> SEQ Equation \* ARABIC </w:instrText>
            </w:r>
            <w:r w:rsidRPr="00C828FC">
              <w:rPr>
                <w:sz w:val="18"/>
                <w:szCs w:val="18"/>
              </w:rPr>
              <w:fldChar w:fldCharType="separate"/>
            </w:r>
            <w:r w:rsidR="00F25F8C" w:rsidRPr="00C828FC">
              <w:rPr>
                <w:noProof/>
                <w:sz w:val="18"/>
                <w:szCs w:val="18"/>
              </w:rPr>
              <w:t>14</w:t>
            </w:r>
            <w:r w:rsidRPr="00C828FC">
              <w:rPr>
                <w:sz w:val="18"/>
                <w:szCs w:val="18"/>
              </w:rPr>
              <w:fldChar w:fldCharType="end"/>
            </w:r>
            <w:r w:rsidR="00847C80" w:rsidRPr="00C828FC">
              <w:rPr>
                <w:sz w:val="18"/>
                <w:szCs w:val="18"/>
              </w:rPr>
              <w:br/>
              <w:t>65.6% - 50% x %</w:t>
            </w:r>
            <w:r w:rsidR="00847C80" w:rsidRPr="00C828FC">
              <w:rPr>
                <w:sz w:val="18"/>
                <w:szCs w:val="18"/>
                <w:vertAlign w:val="subscript"/>
              </w:rPr>
              <w:t>DM</w:t>
            </w:r>
          </w:p>
        </w:tc>
        <w:tc>
          <w:tcPr>
            <w:tcW w:w="0" w:type="auto"/>
          </w:tcPr>
          <w:p w14:paraId="408EC355" w14:textId="5D9CD374" w:rsidR="00847C80" w:rsidRPr="00C828FC" w:rsidRDefault="00847C80" w:rsidP="003B36AF">
            <w:pPr>
              <w:jc w:val="both"/>
              <w:cnfStyle w:val="000000100000" w:firstRow="0" w:lastRow="0" w:firstColumn="0" w:lastColumn="0" w:oddVBand="0" w:evenVBand="0" w:oddHBand="1" w:evenHBand="0" w:firstRowFirstColumn="0" w:firstRowLastColumn="0" w:lastRowFirstColumn="0" w:lastRowLastColumn="0"/>
              <w:rPr>
                <w:i/>
                <w:sz w:val="18"/>
                <w:szCs w:val="18"/>
              </w:rPr>
            </w:pPr>
            <w:r w:rsidRPr="00C828FC">
              <w:rPr>
                <w:i/>
                <w:sz w:val="18"/>
                <w:szCs w:val="18"/>
              </w:rPr>
              <w:t>Empirical equation from meta-analysis</w:t>
            </w:r>
            <w:r w:rsidRPr="00C828FC">
              <w:rPr>
                <w:i/>
                <w:sz w:val="18"/>
                <w:szCs w:val="18"/>
              </w:rPr>
              <w:fldChar w:fldCharType="begin"/>
            </w:r>
            <w:r w:rsidR="00991F7C">
              <w:rPr>
                <w:i/>
                <w:sz w:val="18"/>
                <w:szCs w:val="18"/>
              </w:rPr>
              <w:instrText xml:space="preserve"> ADDIN ZOTERO_ITEM CSL_CITATION {"citationID":"Vkswv1Ug","properties":{"formattedCitation":"\\super 311\\nosupersub{}","plainCitation":"311","noteIndex":0},"citationItems":[{"id":10931,"uris":["http://zotero.org/users/6423791/items/52ZVTHWD"],"itemData":{"id":10931,"type":"article-journal","abstract":"This meta-analysis based on 19 studies from Finland comprising 43 grass silages was undertaken to evaluate the effect of silage quality on liquid yield, liquid composition and retained compounds in liquid using four different liquid–solid separation methods. Silages were classified according to species (grass, clover or a mixture of them), additive treatment (no, biological or formic acid-based additive) and harvest (primary growth or regrowth). A mixed model regression analysis with random study effect was used to evaluate the impact of silage characteristics on biorefinery efficiency. There was a large variation in silage quality in the data set. Silage dry-matter concentration was the characteristic most highly correlated with liquid yield for all separation methods, and when used as an independent variable in the model, it resulted in the best predictions. The liquid–solid separation methods presented a great variation in the liquid yield, ranging from 0.26 to 0.56 when silage dry-matter concentration was standardized to 250 g/kg. There was no effect of additive treatment and harvest in the estimation of the biorefinery potential, but species was a significant variable in predicting liquid yield for the laboratory-scale presses with higher liquid yield for mixed grass and legume. The high correlation between silage quality and liquid yield and liquid composition provides potential to predict the biorefinery potential based on equations developed for each separation method. This information can be used to modify the silage production systems so that they best meet the requirements of a green biorefinery process.","container-title":"Grass and Forage Science","DOI":"https://doi.org/10.1111/gfs.12421","ISSN":"1365-2494","issue":"2","language":"en","license":"© 2019 John Wiley &amp; Sons Ltd","note":"_eprint: https://onlinelibrary.wiley.com/doi/pdf/10.1111/gfs.12421","page":"218-230","source":"Wiley Online Library","title":"Grass silage for biorefinery—A meta-analysis of silage factors affecting liquid–solid separation","volume":"74","author":[{"family":"Franco","given":"Marcia"},{"family":"Hurme","given":"Timo"},{"family":"Winquist","given":"Erika"},{"family":"Rinne","given":"Marketta"}],"issued":{"date-parts":[["2019"]]}}}],"schema":"https://github.com/citation-style-language/schema/raw/master/csl-citation.json"} </w:instrText>
            </w:r>
            <w:r w:rsidRPr="00C828FC">
              <w:rPr>
                <w:i/>
                <w:sz w:val="18"/>
                <w:szCs w:val="18"/>
              </w:rPr>
              <w:fldChar w:fldCharType="separate"/>
            </w:r>
            <w:r w:rsidR="00991F7C" w:rsidRPr="00991F7C">
              <w:rPr>
                <w:rFonts w:ascii="Calibri" w:hAnsi="Calibri" w:cs="Calibri"/>
                <w:sz w:val="18"/>
                <w:szCs w:val="24"/>
                <w:vertAlign w:val="superscript"/>
              </w:rPr>
              <w:t>311</w:t>
            </w:r>
            <w:r w:rsidRPr="00C828FC">
              <w:rPr>
                <w:i/>
                <w:sz w:val="18"/>
                <w:szCs w:val="18"/>
              </w:rPr>
              <w:fldChar w:fldCharType="end"/>
            </w:r>
            <w:r w:rsidRPr="00C828FC">
              <w:rPr>
                <w:i/>
                <w:sz w:val="18"/>
                <w:szCs w:val="18"/>
              </w:rPr>
              <w:t xml:space="preserve"> of large scale twin screw-press</w:t>
            </w:r>
            <w:r w:rsidRPr="00C828FC">
              <w:rPr>
                <w:i/>
                <w:sz w:val="18"/>
                <w:szCs w:val="18"/>
                <w:vertAlign w:val="superscript"/>
              </w:rPr>
              <w:t>*</w:t>
            </w:r>
            <w:r w:rsidRPr="00C828FC">
              <w:rPr>
                <w:i/>
                <w:sz w:val="18"/>
                <w:szCs w:val="18"/>
              </w:rPr>
              <w:t>. Equation fixed.</w:t>
            </w:r>
          </w:p>
        </w:tc>
      </w:tr>
      <w:tr w:rsidR="00847C80" w:rsidRPr="00C828FC" w14:paraId="399BEF66"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988" w:type="dxa"/>
            <w:vMerge/>
          </w:tcPr>
          <w:p w14:paraId="53D5A142" w14:textId="77777777" w:rsidR="00847C80" w:rsidRPr="00C828FC" w:rsidRDefault="00847C80" w:rsidP="00847C80">
            <w:pPr>
              <w:rPr>
                <w:sz w:val="18"/>
                <w:szCs w:val="18"/>
              </w:rPr>
            </w:pPr>
          </w:p>
        </w:tc>
        <w:tc>
          <w:tcPr>
            <w:tcW w:w="1160" w:type="dxa"/>
          </w:tcPr>
          <w:p w14:paraId="45983113" w14:textId="77777777" w:rsidR="00847C80" w:rsidRPr="00C828FC" w:rsidRDefault="00847C80" w:rsidP="003B36AF">
            <w:pPr>
              <w:jc w:val="right"/>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dry matter</w:t>
            </w:r>
          </w:p>
        </w:tc>
        <w:tc>
          <w:tcPr>
            <w:tcW w:w="0" w:type="auto"/>
            <w:gridSpan w:val="3"/>
          </w:tcPr>
          <w:p w14:paraId="7A9F8668"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Modeled as the sum of individual fractions recovery (so output)</w:t>
            </w:r>
          </w:p>
        </w:tc>
        <w:tc>
          <w:tcPr>
            <w:tcW w:w="0" w:type="auto"/>
          </w:tcPr>
          <w:p w14:paraId="54F4422F" w14:textId="6CBDDC3D" w:rsidR="00847C80" w:rsidRPr="00C828FC" w:rsidRDefault="00847C80" w:rsidP="003B36AF">
            <w:pPr>
              <w:jc w:val="both"/>
              <w:cnfStyle w:val="000000000000" w:firstRow="0" w:lastRow="0" w:firstColumn="0" w:lastColumn="0" w:oddVBand="0" w:evenVBand="0" w:oddHBand="0" w:evenHBand="0" w:firstRowFirstColumn="0" w:firstRowLastColumn="0" w:lastRowFirstColumn="0" w:lastRowLastColumn="0"/>
              <w:rPr>
                <w:i/>
                <w:sz w:val="18"/>
                <w:szCs w:val="18"/>
              </w:rPr>
            </w:pPr>
            <w:r w:rsidRPr="00C828FC">
              <w:rPr>
                <w:i/>
                <w:sz w:val="18"/>
                <w:szCs w:val="18"/>
              </w:rPr>
              <w:t>Should range between 10% (single press</w:t>
            </w:r>
            <w:r w:rsidRPr="00C828FC">
              <w:rPr>
                <w:i/>
                <w:sz w:val="18"/>
                <w:szCs w:val="18"/>
              </w:rPr>
              <w:fldChar w:fldCharType="begin"/>
            </w:r>
            <w:r w:rsidR="00991F7C">
              <w:rPr>
                <w:i/>
                <w:sz w:val="18"/>
                <w:szCs w:val="18"/>
              </w:rPr>
              <w:instrText xml:space="preserve"> ADDIN ZOTERO_ITEM CSL_CITATION {"citationID":"Pdb9RQI2","properties":{"formattedCitation":"\\super 311\\nosupersub{}","plainCitation":"311","noteIndex":0},"citationItems":[{"id":10931,"uris":["http://zotero.org/users/6423791/items/52ZVTHWD"],"itemData":{"id":10931,"type":"article-journal","abstract":"This meta-analysis based on 19 studies from Finland comprising 43 grass silages was undertaken to evaluate the effect of silage quality on liquid yield, liquid composition and retained compounds in liquid using four different liquid–solid separation methods. Silages were classified according to species (grass, clover or a mixture of them), additive treatment (no, biological or formic acid-based additive) and harvest (primary growth or regrowth). A mixed model regression analysis with random study effect was used to evaluate the impact of silage characteristics on biorefinery efficiency. There was a large variation in silage quality in the data set. Silage dry-matter concentration was the characteristic most highly correlated with liquid yield for all separation methods, and when used as an independent variable in the model, it resulted in the best predictions. The liquid–solid separation methods presented a great variation in the liquid yield, ranging from 0.26 to 0.56 when silage dry-matter concentration was standardized to 250 g/kg. There was no effect of additive treatment and harvest in the estimation of the biorefinery potential, but species was a significant variable in predicting liquid yield for the laboratory-scale presses with higher liquid yield for mixed grass and legume. The high correlation between silage quality and liquid yield and liquid composition provides potential to predict the biorefinery potential based on equations developed for each separation method. This information can be used to modify the silage production systems so that they best meet the requirements of a green biorefinery process.","container-title":"Grass and Forage Science","DOI":"https://doi.org/10.1111/gfs.12421","ISSN":"1365-2494","issue":"2","language":"en","license":"© 2019 John Wiley &amp; Sons Ltd","note":"_eprint: https://onlinelibrary.wiley.com/doi/pdf/10.1111/gfs.12421","page":"218-230","source":"Wiley Online Library","title":"Grass silage for biorefinery—A meta-analysis of silage factors affecting liquid–solid separation","volume":"74","author":[{"family":"Franco","given":"Marcia"},{"family":"Hurme","given":"Timo"},{"family":"Winquist","given":"Erika"},{"family":"Rinne","given":"Marketta"}],"issued":{"date-parts":[["2019"]]}}}],"schema":"https://github.com/citation-style-language/schema/raw/master/csl-citation.json"} </w:instrText>
            </w:r>
            <w:r w:rsidRPr="00C828FC">
              <w:rPr>
                <w:i/>
                <w:sz w:val="18"/>
                <w:szCs w:val="18"/>
              </w:rPr>
              <w:fldChar w:fldCharType="separate"/>
            </w:r>
            <w:r w:rsidR="00991F7C" w:rsidRPr="00991F7C">
              <w:rPr>
                <w:rFonts w:ascii="Calibri" w:hAnsi="Calibri" w:cs="Calibri"/>
                <w:sz w:val="18"/>
                <w:szCs w:val="24"/>
                <w:vertAlign w:val="superscript"/>
              </w:rPr>
              <w:t>311</w:t>
            </w:r>
            <w:r w:rsidRPr="00C828FC">
              <w:rPr>
                <w:i/>
                <w:sz w:val="18"/>
                <w:szCs w:val="18"/>
              </w:rPr>
              <w:fldChar w:fldCharType="end"/>
            </w:r>
            <w:r w:rsidRPr="00C828FC">
              <w:rPr>
                <w:i/>
                <w:sz w:val="18"/>
                <w:szCs w:val="18"/>
              </w:rPr>
              <w:t>) and 30-35% (twin press</w:t>
            </w:r>
            <w:r w:rsidRPr="00C828FC">
              <w:rPr>
                <w:i/>
                <w:sz w:val="18"/>
                <w:szCs w:val="18"/>
              </w:rPr>
              <w:fldChar w:fldCharType="begin"/>
            </w:r>
            <w:r w:rsidR="005413B4">
              <w:rPr>
                <w:i/>
                <w:sz w:val="18"/>
                <w:szCs w:val="18"/>
              </w:rPr>
              <w:instrText xml:space="preserve"> ADDIN ZOTERO_ITEM CSL_CITATION {"citationID":"Ec0av5wV","properties":{"formattedCitation":"\\super 290,314,315\\nosupersub{}","plainCitation":"290,314,315","noteIndex":0},"citationItems":[{"id":392,"uris":["http://zotero.org/users/6423791/items/P3739BFG"],"itemData":{"id":392,"type":"article-journal","abstract":"The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Zwicky"},{"family":"Birkved","given":"Morten"}],"issued":{"date-parts":[["2018",9]]}}},{"id":2888,"uris":["http://zotero.org/users/6423791/items/RG6KXF3Y"],"itemData":{"id":2888,"type":"article-journal","abstract":"In colder humid areas, green forages are recognised as high protein yielding crops and have the potential to be a locally grown sustainable protein source. However, without processing, the protein cannot be properly utilised by monogastrics. By screw pressing, a pulp fraction suitable for ruminants and a protein concentrate suitable for monogastrics can be produced. The aim of this study was to analyse the chemical composition of the produced fractions and the mass balance distribution of protein and dry matter (DM) between the fractions. Mass balances are important in order to determine the potential of biorefining of forages as a tool for sustainable feed production. White clover, red clover, lucerne, and perennial ryegrass were separated into a green juice and a fibrous pulp in a screw-press, and a protein concentrate was precipitated from the green juice by heat or acidic precipitation. The pulp and green juice had an average crude protein (CP) concentration of 203 g/kg DM and 249 g/kg DM, respectively. The majority of the DM and the CP from the plant was retained in the fibrous pulp. Protein concentrates from the green juice and pulp contained higher concentrations of the essential amino acids for monogastrics and ruminants compared with unprocessed forage. The results demonstrate that fractions with high protein concentration and balanced amino acid composition can be produced, which combined with a high recovery highlight the potential of both fractions as a protein source for livestock.","container-title":"Animal Feed Science and Technology","DOI":"10.1016/j.anifeedsci.2020.114401","ISSN":"0377-8401","journalAbbreviation":"Anim. Feed Sci. Technol.","language":"en","page":"114401","source":"ScienceDirect","title":"Screw-pressed fractions from green forages as animal feed: Chemical composition and mass balances","title-short":"Screw-pressed fractions from green forages as animal feed","volume":"261","author":[{"family":"Damborg","given":"Vinni Kragbæk"},{"family":"Jensen","given":"Søren Krogh"},{"family":"Weisbjerg","given":"Martin R."},{"family":"Adamsen","given":"Anders Peter"},{"family":"Stødkilde","given":"Lene"}],"issued":{"date-parts":[["2020",3,1]]}}},{"id":7949,"uris":["http://zotero.org/users/6423791/items/45NGJEH9"],"itemData":{"id":7949,"type":"article-journal","abstract":"Nutrient recovery from organic green biomass after processing in a green biorefinery concept for the production of protein feed, biogas and fertilizer for organic farming was investigated. Mass balances in terms of wet weight, TS, VS, C, N, P, K and S were evaluated for processing red clover and clover grass into protein concentrate, press cake and brown juice according to the green biorefinery concept. Depending on the biomass, between 60 and 79% of C and between 52 and 63% of N, P and S in the fresh biomass were found in the press cake, while only 6–10% of C, 8–15% of N, but up to 27% of P and up to 26% of S were found in the brown juice. In contrast, less than 45% of K was transferred to the press cake and 19–31% of K ended up in the brown juice. Moreover, nutrient recovery in the digestate after anaerobic co-digestion of press cake and brown juice produced from clover grass in a pilot-scale trial was assessed in a bench-scale biogas reactor. The analysis of the digestate from the AD process revealed that 56% of the influent total-C was converted into biogas and that the share of ammonia-N of total-N was increased from 9.4 to 43% during the biogas process. Therefore, the proportion of plant available N was improved in the digestate. The digestate to be applied as organic fertilizer presented a C:N ratio of 7 and a nutrients N:P:K ratio of 4:1:12.","container-title":"Waste and Biomass Valorization","DOI":"10.1007/s12649-019-00842-3","ISSN":"1877-265X","issue":"11","journalAbbreviation":"Waste Biomass Valor.","language":"en","page":"5901-5911","source":"Springer Link","title":"Potential Nutrient Recovery in a Green Biorefinery for Production of Feed, Fuel and Fertilizer for Organic Farming","volume":"11","author":[{"family":"Santamaría-Fernández","given":"Maria"},{"family":"Ytting","given":"Nanna Karkov"},{"family":"Lübeck","given":"Mette"},{"family":"Uellendahl","given":"Hinrich"}],"issued":{"date-parts":[["2020",11,1]]}}}],"schema":"https://github.com/citation-style-language/schema/raw/master/csl-citation.json"} </w:instrText>
            </w:r>
            <w:r w:rsidRPr="00C828FC">
              <w:rPr>
                <w:i/>
                <w:sz w:val="18"/>
                <w:szCs w:val="18"/>
              </w:rPr>
              <w:fldChar w:fldCharType="separate"/>
            </w:r>
            <w:r w:rsidR="005413B4" w:rsidRPr="005413B4">
              <w:rPr>
                <w:rFonts w:ascii="Calibri" w:hAnsi="Calibri" w:cs="Calibri"/>
                <w:sz w:val="18"/>
                <w:szCs w:val="24"/>
                <w:vertAlign w:val="superscript"/>
              </w:rPr>
              <w:t>290,314,315</w:t>
            </w:r>
            <w:r w:rsidRPr="00C828FC">
              <w:rPr>
                <w:i/>
                <w:sz w:val="18"/>
                <w:szCs w:val="18"/>
              </w:rPr>
              <w:fldChar w:fldCharType="end"/>
            </w:r>
            <w:r w:rsidRPr="00C828FC">
              <w:rPr>
                <w:i/>
                <w:sz w:val="18"/>
                <w:szCs w:val="18"/>
              </w:rPr>
              <w:t>). Defined by mass balance</w:t>
            </w:r>
          </w:p>
        </w:tc>
      </w:tr>
      <w:tr w:rsidR="00847C80" w:rsidRPr="00C828FC" w14:paraId="1DFC47B0"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vMerge/>
          </w:tcPr>
          <w:p w14:paraId="2E3BEC3B" w14:textId="77777777" w:rsidR="00847C80" w:rsidRPr="00C828FC" w:rsidRDefault="00847C80" w:rsidP="00847C80">
            <w:pPr>
              <w:rPr>
                <w:sz w:val="18"/>
                <w:szCs w:val="18"/>
              </w:rPr>
            </w:pPr>
          </w:p>
        </w:tc>
        <w:tc>
          <w:tcPr>
            <w:tcW w:w="1160" w:type="dxa"/>
          </w:tcPr>
          <w:p w14:paraId="4BE2548C" w14:textId="77777777" w:rsidR="00847C80" w:rsidRPr="00C828FC" w:rsidRDefault="00847C80" w:rsidP="003B36AF">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proteins</w:t>
            </w:r>
          </w:p>
        </w:tc>
        <w:tc>
          <w:tcPr>
            <w:tcW w:w="0" w:type="auto"/>
          </w:tcPr>
          <w:p w14:paraId="44D252C7"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36%</w:t>
            </w:r>
          </w:p>
        </w:tc>
        <w:tc>
          <w:tcPr>
            <w:tcW w:w="0" w:type="auto"/>
          </w:tcPr>
          <w:p w14:paraId="53BE86EA"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16%</w:t>
            </w:r>
          </w:p>
        </w:tc>
        <w:tc>
          <w:tcPr>
            <w:tcW w:w="0" w:type="auto"/>
          </w:tcPr>
          <w:p w14:paraId="4F4AAB0E"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69%</w:t>
            </w:r>
          </w:p>
        </w:tc>
        <w:tc>
          <w:tcPr>
            <w:tcW w:w="0" w:type="auto"/>
          </w:tcPr>
          <w:p w14:paraId="7E910F13" w14:textId="0D2C9BDD" w:rsidR="00847C80" w:rsidRPr="00C828FC" w:rsidRDefault="00847C80" w:rsidP="003B36AF">
            <w:pPr>
              <w:jc w:val="both"/>
              <w:cnfStyle w:val="000000100000" w:firstRow="0" w:lastRow="0" w:firstColumn="0" w:lastColumn="0" w:oddVBand="0" w:evenVBand="0" w:oddHBand="1" w:evenHBand="0" w:firstRowFirstColumn="0" w:firstRowLastColumn="0" w:lastRowFirstColumn="0" w:lastRowLastColumn="0"/>
              <w:rPr>
                <w:i/>
                <w:sz w:val="18"/>
                <w:szCs w:val="18"/>
              </w:rPr>
            </w:pPr>
            <w:r w:rsidRPr="00C828FC">
              <w:rPr>
                <w:i/>
                <w:sz w:val="18"/>
                <w:szCs w:val="18"/>
              </w:rPr>
              <w:t>Baseline representative of large scale twin screw-press performances</w:t>
            </w:r>
            <w:r w:rsidRPr="00C828FC">
              <w:rPr>
                <w:i/>
                <w:sz w:val="18"/>
                <w:szCs w:val="18"/>
              </w:rPr>
              <w:fldChar w:fldCharType="begin"/>
            </w:r>
            <w:r w:rsidR="00991F7C">
              <w:rPr>
                <w:i/>
                <w:sz w:val="18"/>
                <w:szCs w:val="18"/>
              </w:rPr>
              <w:instrText xml:space="preserve"> ADDIN ZOTERO_ITEM CSL_CITATION {"citationID":"raeVnMQT","properties":{"formattedCitation":"\\super 310,311,314\\nosupersub{}","plainCitation":"310,311,314","noteIndex":0},"citationItems":[{"id":11139,"uris":["http://zotero.org/users/6423791/items/2VS9UQXE"],"itemData":{"id":11139,"type":"article-journal","abstract":"The use of semi-natural grasslands for the production of renewable energy through conventional conversion techniques faces major limitations because of chemical and physical properties of the biomass. A new conversion procedure was developed which separates the biomass, as silage, into a liquid phase for biogas production and into a solid fraction to be used as fuel. Separation (mechanical dehydration) is carried out with a screw press after mashing with water (hydrothermal conditioning). The effect of hydrothermal conditioning at different temperatures (5, 60 and 80°C) and mechanical dehydration on mass flows of plant compounds into the press fluid was investigated for five grassland pastures typical of mountain areas of Germany. Results show that 0·18 of the crude fibre was transferred into the fluid, whereas more digestible organic compounds, such as crude protein and nitrogen-free extract, showed mass flows of 0·40 and 0·31 respectively. While 0·52–0·89 of potassium (K), magnesium (Mg) and chloride (Cl), which are detrimental for the combustion of the press cake, were transferred into the press fluid, more than 0·50 of calcium, which has positive combustion properties, remained in the press cake. Significantly (P &lt; 0·05) higher mass flows were detected at conditioning temperatures of 60°C (K and Mg) and 80°C (crude fibre and nitrogen-free extract) compared with the 5°C treatment. Because of the separation of solids and liquids, high proportions of P (0·61–0·74) and K (0·64–0·85) but only 0·32–0·45 of nitrogen exported from the grassland would be recycled with an application of the digestates from the anaerobic digestion of the press liquid.","container-title":"Grass and Forage Science","DOI":"https://doi.org/10.1111/j.1365-2494.2009.00677.x","ISSN":"1365-2494","issue":"2","language":"en","license":"© 2009 Blackwell Publishing Ltd","note":"_eprint: https://onlinelibrary.wiley.com/doi/pdf/10.1111/j.1365-2494.2009.00677.x","page":"132-143","source":"Wiley Online Library","title":"Utilization of semi-natural grassland through integrated generation of solid fuel and biogas from biomass. I. Effects of hydrothermal conditioning and mechanical dehydration on mass flows of organic and mineral plant compounds, and nutrient balances","volume":"64","author":[{"family":"Wachendorf","given":"M."},{"family":"Richter","given":"F."},{"family":"Fricke","given":"T."},{"family":"Graß","given":"R."},{"family":"Neff","given":"R."}],"issued":{"date-parts":[["2009"]]}}},{"id":10931,"uris":["http://zotero.org/users/6423791/items/52ZVTHWD"],"itemData":{"id":10931,"type":"article-journal","abstract":"This meta-analysis based on 19 studies from Finland comprising 43 grass silages was undertaken to evaluate the effect of silage quality on liquid yield, liquid composition and retained compounds in liquid using four different liquid–solid separation methods. Silages were classified according to species (grass, clover or a mixture of them), additive treatment (no, biological or formic acid-based additive) and harvest (primary growth or regrowth). A mixed model regression analysis with random study effect was used to evaluate the impact of silage characteristics on biorefinery efficiency. There was a large variation in silage quality in the data set. Silage dry-matter concentration was the characteristic most highly correlated with liquid yield for all separation methods, and when used as an independent variable in the model, it resulted in the best predictions. The liquid–solid separation methods presented a great variation in the liquid yield, ranging from 0.26 to 0.56 when silage dry-matter concentration was standardized to 250 g/kg. There was no effect of additive treatment and harvest in the estimation of the biorefinery potential, but species was a significant variable in predicting liquid yield for the laboratory-scale presses with higher liquid yield for mixed grass and legume. The high correlation between silage quality and liquid yield and liquid composition provides potential to predict the biorefinery potential based on equations developed for each separation method. This information can be used to modify the silage production systems so that they best meet the requirements of a green biorefinery process.","container-title":"Grass and Forage Science","DOI":"https://doi.org/10.1111/gfs.12421","ISSN":"1365-2494","issue":"2","language":"en","license":"© 2019 John Wiley &amp; Sons Ltd","note":"_eprint: https://onlinelibrary.wiley.com/doi/pdf/10.1111/gfs.12421","page":"218-230","source":"Wiley Online Library","title":"Grass silage for biorefinery—A meta-analysis of silage factors affecting liquid–solid separation","volume":"74","author":[{"family":"Franco","given":"Marcia"},{"family":"Hurme","given":"Timo"},{"family":"Winquist","given":"Erika"},{"family":"Rinne","given":"Marketta"}],"issued":{"date-parts":[["2019"]]}}},{"id":2888,"uris":["http://zotero.org/users/6423791/items/RG6KXF3Y"],"itemData":{"id":2888,"type":"article-journal","abstract":"In colder humid areas, green forages are recognised as high protein yielding crops and have the potential to be a locally grown sustainable protein source. However, without processing, the protein cannot be properly utilised by monogastrics. By screw pressing, a pulp fraction suitable for ruminants and a protein concentrate suitable for monogastrics can be produced. The aim of this study was to analyse the chemical composition of the produced fractions and the mass balance distribution of protein and dry matter (DM) between the fractions. Mass balances are important in order to determine the potential of biorefining of forages as a tool for sustainable feed production. White clover, red clover, lucerne, and perennial ryegrass were separated into a green juice and a fibrous pulp in a screw-press, and a protein concentrate was precipitated from the green juice by heat or acidic precipitation. The pulp and green juice had an average crude protein (CP) concentration of 203 g/kg DM and 249 g/kg DM, respectively. The majority of the DM and the CP from the plant was retained in the fibrous pulp. Protein concentrates from the green juice and pulp contained higher concentrations of the essential amino acids for monogastrics and ruminants compared with unprocessed forage. The results demonstrate that fractions with high protein concentration and balanced amino acid composition can be produced, which combined with a high recovery highlight the potential of both fractions as a protein source for livestock.","container-title":"Animal Feed Science and Technology","DOI":"10.1016/j.anifeedsci.2020.114401","ISSN":"0377-8401","journalAbbreviation":"Anim. Feed Sci. Technol.","language":"en","page":"114401","source":"ScienceDirect","title":"Screw-pressed fractions from green forages as animal feed: Chemical composition and mass balances","title-short":"Screw-pressed fractions from green forages as animal feed","volume":"261","author":[{"family":"Damborg","given":"Vinni Kragbæk"},{"family":"Jensen","given":"Søren Krogh"},{"family":"Weisbjerg","given":"Martin R."},{"family":"Adamsen","given":"Anders Peter"},{"family":"Stødkilde","given":"Lene"}],"issued":{"date-parts":[["2020",3,1]]}}}],"schema":"https://github.com/citation-style-language/schema/raw/master/csl-citation.json"} </w:instrText>
            </w:r>
            <w:r w:rsidRPr="00C828FC">
              <w:rPr>
                <w:i/>
                <w:sz w:val="18"/>
                <w:szCs w:val="18"/>
              </w:rPr>
              <w:fldChar w:fldCharType="separate"/>
            </w:r>
            <w:r w:rsidR="00991F7C" w:rsidRPr="00991F7C">
              <w:rPr>
                <w:rFonts w:ascii="Calibri" w:hAnsi="Calibri" w:cs="Calibri"/>
                <w:sz w:val="18"/>
                <w:szCs w:val="24"/>
                <w:vertAlign w:val="superscript"/>
              </w:rPr>
              <w:t>310,311,314</w:t>
            </w:r>
            <w:r w:rsidRPr="00C828FC">
              <w:rPr>
                <w:i/>
                <w:sz w:val="18"/>
                <w:szCs w:val="18"/>
              </w:rPr>
              <w:fldChar w:fldCharType="end"/>
            </w:r>
            <w:r w:rsidRPr="00C828FC">
              <w:rPr>
                <w:i/>
                <w:sz w:val="18"/>
                <w:szCs w:val="18"/>
              </w:rPr>
              <w:t>, and min as currently achieved by large scale single screw-press</w:t>
            </w:r>
            <w:r w:rsidRPr="00C828FC">
              <w:rPr>
                <w:i/>
                <w:sz w:val="18"/>
                <w:szCs w:val="18"/>
              </w:rPr>
              <w:fldChar w:fldCharType="begin"/>
            </w:r>
            <w:r w:rsidR="00991F7C">
              <w:rPr>
                <w:i/>
                <w:sz w:val="18"/>
                <w:szCs w:val="18"/>
              </w:rPr>
              <w:instrText xml:space="preserve"> ADDIN ZOTERO_ITEM CSL_CITATION {"citationID":"0i9gfIGl","properties":{"formattedCitation":"\\super 311\\nosupersub{}","plainCitation":"311","noteIndex":0},"citationItems":[{"id":10931,"uris":["http://zotero.org/users/6423791/items/52ZVTHWD"],"itemData":{"id":10931,"type":"article-journal","abstract":"This meta-analysis based on 19 studies from Finland comprising 43 grass silages was undertaken to evaluate the effect of silage quality on liquid yield, liquid composition and retained compounds in liquid using four different liquid–solid separation methods. Silages were classified according to species (grass, clover or a mixture of them), additive treatment (no, biological or formic acid-based additive) and harvest (primary growth or regrowth). A mixed model regression analysis with random study effect was used to evaluate the impact of silage characteristics on biorefinery efficiency. There was a large variation in silage quality in the data set. Silage dry-matter concentration was the characteristic most highly correlated with liquid yield for all separation methods, and when used as an independent variable in the model, it resulted in the best predictions. The liquid–solid separation methods presented a great variation in the liquid yield, ranging from 0.26 to 0.56 when silage dry-matter concentration was standardized to 250 g/kg. There was no effect of additive treatment and harvest in the estimation of the biorefinery potential, but species was a significant variable in predicting liquid yield for the laboratory-scale presses with higher liquid yield for mixed grass and legume. The high correlation between silage quality and liquid yield and liquid composition provides potential to predict the biorefinery potential based on equations developed for each separation method. This information can be used to modify the silage production systems so that they best meet the requirements of a green biorefinery process.","container-title":"Grass and Forage Science","DOI":"https://doi.org/10.1111/gfs.12421","ISSN":"1365-2494","issue":"2","language":"en","license":"© 2019 John Wiley &amp; Sons Ltd","note":"_eprint: https://onlinelibrary.wiley.com/doi/pdf/10.1111/gfs.12421","page":"218-230","source":"Wiley Online Library","title":"Grass silage for biorefinery—A meta-analysis of silage factors affecting liquid–solid separation","volume":"74","author":[{"family":"Franco","given":"Marcia"},{"family":"Hurme","given":"Timo"},{"family":"Winquist","given":"Erika"},{"family":"Rinne","given":"Marketta"}],"issued":{"date-parts":[["2019"]]}}}],"schema":"https://github.com/citation-style-language/schema/raw/master/csl-citation.json"} </w:instrText>
            </w:r>
            <w:r w:rsidRPr="00C828FC">
              <w:rPr>
                <w:i/>
                <w:sz w:val="18"/>
                <w:szCs w:val="18"/>
              </w:rPr>
              <w:fldChar w:fldCharType="separate"/>
            </w:r>
            <w:r w:rsidR="00991F7C" w:rsidRPr="00991F7C">
              <w:rPr>
                <w:rFonts w:ascii="Calibri" w:hAnsi="Calibri" w:cs="Calibri"/>
                <w:sz w:val="18"/>
                <w:szCs w:val="24"/>
                <w:vertAlign w:val="superscript"/>
              </w:rPr>
              <w:t>311</w:t>
            </w:r>
            <w:r w:rsidRPr="00C828FC">
              <w:rPr>
                <w:i/>
                <w:sz w:val="18"/>
                <w:szCs w:val="18"/>
              </w:rPr>
              <w:fldChar w:fldCharType="end"/>
            </w:r>
            <w:r w:rsidRPr="00C828FC">
              <w:rPr>
                <w:i/>
                <w:sz w:val="18"/>
                <w:szCs w:val="18"/>
              </w:rPr>
              <w:t>. Max selected as higher reported value in reviewed literature</w:t>
            </w:r>
            <w:r w:rsidRPr="00C828FC">
              <w:rPr>
                <w:sz w:val="18"/>
                <w:szCs w:val="18"/>
              </w:rPr>
              <w:fldChar w:fldCharType="begin"/>
            </w:r>
            <w:r w:rsidR="005413B4">
              <w:rPr>
                <w:sz w:val="18"/>
                <w:szCs w:val="18"/>
              </w:rPr>
              <w:instrText xml:space="preserve"> ADDIN ZOTERO_ITEM CSL_CITATION {"citationID":"LGVECoMO","properties":{"formattedCitation":"\\super 281\\nosupersub{}","plainCitation":"281","noteIndex":0},"citationItems":[{"id":1983,"uris":["http://zotero.org/users/6423791/items/28BXN4BJ"],"itemData":{"id":1983,"type":"article-journal","abstract":"Plant leaves are a major potential source of novel food proteins. Till now, leaf protein extraction methods mainly focus on the extraction of soluble proteins, like rubisco protein, leaving more than half of all protein unextracted. Here, we report on the total protein extraction from sugar beet leaves (Beta vulgaris L.) by a traditional thermal extraction method consisting of mechanical pressing, heating to 50°C and centrifugation. The resulting streams (i.e. supernatant, green-protein pellet and fibrous pulp) were characterised in terms of composition, physical structure and processing options. The protein distributed almost equally over the supernatant, pellet and pulp. This shows that thermal precipitation is an unselective process with respect to fractionation between soluble (rubisco) and insoluble (other) proteins. About 6% of the total protein could be extracted as pure rubisco (90% purity) from the supernatant. Surfactants commonly used for protein solubilisation could hardly re-dissolve the precipitated proteins in the pellet phase, which suggested that irreversible association was induced between the co-precipitated proteins and cell debris. Thus, the extraction of this protein will require prevention of their co-precipitation, and should take place in the original juice solution.","container-title":"Food Chemistry","DOI":"10.1016/j.foodchem.2016.02.092","ISSN":"0308-8146","journalAbbreviation":"Food Chemistry","language":"en","page":"402-408","source":"ScienceDirect","title":"Recovery of protein from green leaves: Overview of crucial steps for utilisation","title-short":"Recovery of protein from green leaves","volume":"203","author":[{"family":"Tamayo Tenorio","given":"Angelica"},{"family":"Gieteling","given":"Jarno"},{"family":"Jong","given":"Govardus A. H.","non-dropping-particle":"de"},{"family":"Boom","given":"Remko M."},{"family":"Goot","given":"Atze J.","non-dropping-particle":"van der"}],"issued":{"date-parts":[["2016",7,15]]}}}],"schema":"https://github.com/citation-style-language/schema/raw/master/csl-citation.json"}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281</w:t>
            </w:r>
            <w:r w:rsidRPr="00C828FC">
              <w:rPr>
                <w:sz w:val="18"/>
                <w:szCs w:val="18"/>
              </w:rPr>
              <w:fldChar w:fldCharType="end"/>
            </w:r>
            <w:r w:rsidRPr="00C828FC">
              <w:rPr>
                <w:i/>
                <w:sz w:val="18"/>
                <w:szCs w:val="18"/>
              </w:rPr>
              <w:t xml:space="preserve"> (</w:t>
            </w:r>
            <w:r w:rsidR="003B36AF" w:rsidRPr="00C828FC">
              <w:rPr>
                <w:b/>
                <w:i/>
                <w:sz w:val="18"/>
                <w:szCs w:val="18"/>
              </w:rPr>
              <w:fldChar w:fldCharType="begin"/>
            </w:r>
            <w:r w:rsidR="003B36AF" w:rsidRPr="00C828FC">
              <w:rPr>
                <w:b/>
                <w:i/>
                <w:sz w:val="18"/>
                <w:szCs w:val="18"/>
              </w:rPr>
              <w:instrText xml:space="preserve"> REF _Ref144910409 \h  \* MERGEFORMAT </w:instrText>
            </w:r>
            <w:r w:rsidR="003B36AF" w:rsidRPr="00C828FC">
              <w:rPr>
                <w:b/>
                <w:i/>
                <w:sz w:val="18"/>
                <w:szCs w:val="18"/>
              </w:rPr>
            </w:r>
            <w:r w:rsidR="003B36AF" w:rsidRPr="00C828FC">
              <w:rPr>
                <w:b/>
                <w:i/>
                <w:sz w:val="18"/>
                <w:szCs w:val="18"/>
              </w:rPr>
              <w:fldChar w:fldCharType="separate"/>
            </w:r>
            <w:r w:rsidR="00F25F8C" w:rsidRPr="00C828FC">
              <w:rPr>
                <w:b/>
                <w:i/>
                <w:sz w:val="18"/>
                <w:szCs w:val="18"/>
              </w:rPr>
              <w:t xml:space="preserve">Table SI. </w:t>
            </w:r>
            <w:r w:rsidR="00F25F8C" w:rsidRPr="00C828FC">
              <w:rPr>
                <w:b/>
                <w:i/>
                <w:noProof/>
                <w:sz w:val="18"/>
                <w:szCs w:val="18"/>
              </w:rPr>
              <w:t>85</w:t>
            </w:r>
            <w:r w:rsidR="003B36AF" w:rsidRPr="00C828FC">
              <w:rPr>
                <w:b/>
                <w:i/>
                <w:sz w:val="18"/>
                <w:szCs w:val="18"/>
              </w:rPr>
              <w:fldChar w:fldCharType="end"/>
            </w:r>
            <w:r w:rsidRPr="00C828FC">
              <w:rPr>
                <w:i/>
                <w:sz w:val="18"/>
                <w:szCs w:val="18"/>
              </w:rPr>
              <w:t>).</w:t>
            </w:r>
          </w:p>
        </w:tc>
      </w:tr>
      <w:tr w:rsidR="00847C80" w:rsidRPr="00C828FC" w14:paraId="4C4394E5"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988" w:type="dxa"/>
            <w:vMerge/>
          </w:tcPr>
          <w:p w14:paraId="7256E11C" w14:textId="77777777" w:rsidR="00847C80" w:rsidRPr="00C828FC" w:rsidRDefault="00847C80" w:rsidP="00847C80">
            <w:pPr>
              <w:rPr>
                <w:sz w:val="18"/>
                <w:szCs w:val="18"/>
              </w:rPr>
            </w:pPr>
          </w:p>
        </w:tc>
        <w:tc>
          <w:tcPr>
            <w:tcW w:w="1160" w:type="dxa"/>
          </w:tcPr>
          <w:p w14:paraId="0A06D587" w14:textId="77777777" w:rsidR="00847C80" w:rsidRPr="00C828FC" w:rsidRDefault="00847C80" w:rsidP="003B36AF">
            <w:pPr>
              <w:jc w:val="right"/>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fat</w:t>
            </w:r>
          </w:p>
        </w:tc>
        <w:tc>
          <w:tcPr>
            <w:tcW w:w="0" w:type="auto"/>
          </w:tcPr>
          <w:p w14:paraId="433A545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22%</w:t>
            </w:r>
          </w:p>
        </w:tc>
        <w:tc>
          <w:tcPr>
            <w:tcW w:w="0" w:type="auto"/>
          </w:tcPr>
          <w:p w14:paraId="2FC16AB6"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18%</w:t>
            </w:r>
          </w:p>
        </w:tc>
        <w:tc>
          <w:tcPr>
            <w:tcW w:w="0" w:type="auto"/>
          </w:tcPr>
          <w:p w14:paraId="2A27A64E"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59%</w:t>
            </w:r>
          </w:p>
        </w:tc>
        <w:tc>
          <w:tcPr>
            <w:tcW w:w="0" w:type="auto"/>
          </w:tcPr>
          <w:p w14:paraId="4E23BE2D" w14:textId="0BC37950" w:rsidR="00847C80" w:rsidRPr="00C828FC" w:rsidRDefault="00847C80" w:rsidP="003B36AF">
            <w:pPr>
              <w:jc w:val="both"/>
              <w:cnfStyle w:val="000000000000" w:firstRow="0" w:lastRow="0" w:firstColumn="0" w:lastColumn="0" w:oddVBand="0" w:evenVBand="0" w:oddHBand="0" w:evenHBand="0" w:firstRowFirstColumn="0" w:firstRowLastColumn="0" w:lastRowFirstColumn="0" w:lastRowLastColumn="0"/>
              <w:rPr>
                <w:i/>
                <w:sz w:val="18"/>
                <w:szCs w:val="18"/>
              </w:rPr>
            </w:pPr>
            <w:r w:rsidRPr="00C828FC">
              <w:rPr>
                <w:i/>
                <w:sz w:val="18"/>
                <w:szCs w:val="18"/>
              </w:rPr>
              <w:t>Baseline and min representative of current achievements</w:t>
            </w:r>
            <w:r w:rsidRPr="00C828FC">
              <w:rPr>
                <w:i/>
                <w:sz w:val="18"/>
                <w:szCs w:val="18"/>
              </w:rPr>
              <w:fldChar w:fldCharType="begin"/>
            </w:r>
            <w:r w:rsidR="00991F7C">
              <w:rPr>
                <w:i/>
                <w:sz w:val="18"/>
                <w:szCs w:val="18"/>
              </w:rPr>
              <w:instrText xml:space="preserve"> ADDIN ZOTERO_ITEM CSL_CITATION {"citationID":"TlIv5GTF","properties":{"formattedCitation":"\\super 310\\nosupersub{}","plainCitation":"310","noteIndex":0},"citationItems":[{"id":11139,"uris":["http://zotero.org/users/6423791/items/2VS9UQXE"],"itemData":{"id":11139,"type":"article-journal","abstract":"The use of semi-natural grasslands for the production of renewable energy through conventional conversion techniques faces major limitations because of chemical and physical properties of the biomass. A new conversion procedure was developed which separates the biomass, as silage, into a liquid phase for biogas production and into a solid fraction to be used as fuel. Separation (mechanical dehydration) is carried out with a screw press after mashing with water (hydrothermal conditioning). The effect of hydrothermal conditioning at different temperatures (5, 60 and 80°C) and mechanical dehydration on mass flows of plant compounds into the press fluid was investigated for five grassland pastures typical of mountain areas of Germany. Results show that 0·18 of the crude fibre was transferred into the fluid, whereas more digestible organic compounds, such as crude protein and nitrogen-free extract, showed mass flows of 0·40 and 0·31 respectively. While 0·52–0·89 of potassium (K), magnesium (Mg) and chloride (Cl), which are detrimental for the combustion of the press cake, were transferred into the press fluid, more than 0·50 of calcium, which has positive combustion properties, remained in the press cake. Significantly (P &lt; 0·05) higher mass flows were detected at conditioning temperatures of 60°C (K and Mg) and 80°C (crude fibre and nitrogen-free extract) compared with the 5°C treatment. Because of the separation of solids and liquids, high proportions of P (0·61–0·74) and K (0·64–0·85) but only 0·32–0·45 of nitrogen exported from the grassland would be recycled with an application of the digestates from the anaerobic digestion of the press liquid.","container-title":"Grass and Forage Science","DOI":"https://doi.org/10.1111/j.1365-2494.2009.00677.x","ISSN":"1365-2494","issue":"2","language":"en","license":"© 2009 Blackwell Publishing Ltd","note":"_eprint: https://onlinelibrary.wiley.com/doi/pdf/10.1111/j.1365-2494.2009.00677.x","page":"132-143","source":"Wiley Online Library","title":"Utilization of semi-natural grassland through integrated generation of solid fuel and biogas from biomass. I. Effects of hydrothermal conditioning and mechanical dehydration on mass flows of organic and mineral plant compounds, and nutrient balances","volume":"64","author":[{"family":"Wachendorf","given":"M."},{"family":"Richter","given":"F."},{"family":"Fricke","given":"T."},{"family":"Graß","given":"R."},{"family":"Neff","given":"R."}],"issued":{"date-parts":[["2009"]]}}}],"schema":"https://github.com/citation-style-language/schema/raw/master/csl-citation.json"} </w:instrText>
            </w:r>
            <w:r w:rsidRPr="00C828FC">
              <w:rPr>
                <w:i/>
                <w:sz w:val="18"/>
                <w:szCs w:val="18"/>
              </w:rPr>
              <w:fldChar w:fldCharType="separate"/>
            </w:r>
            <w:r w:rsidR="00991F7C" w:rsidRPr="00991F7C">
              <w:rPr>
                <w:rFonts w:ascii="Calibri" w:hAnsi="Calibri" w:cs="Calibri"/>
                <w:sz w:val="18"/>
                <w:szCs w:val="24"/>
                <w:vertAlign w:val="superscript"/>
              </w:rPr>
              <w:t>310</w:t>
            </w:r>
            <w:r w:rsidRPr="00C828FC">
              <w:rPr>
                <w:i/>
                <w:sz w:val="18"/>
                <w:szCs w:val="18"/>
              </w:rPr>
              <w:fldChar w:fldCharType="end"/>
            </w:r>
            <w:r w:rsidRPr="00C828FC">
              <w:rPr>
                <w:i/>
                <w:sz w:val="18"/>
                <w:szCs w:val="18"/>
              </w:rPr>
              <w:t xml:space="preserve"> while max selected as higher reported value in reviewed literature</w:t>
            </w:r>
            <w:r w:rsidRPr="00C828FC">
              <w:rPr>
                <w:sz w:val="18"/>
                <w:szCs w:val="18"/>
              </w:rPr>
              <w:fldChar w:fldCharType="begin"/>
            </w:r>
            <w:r w:rsidR="005413B4">
              <w:rPr>
                <w:sz w:val="18"/>
                <w:szCs w:val="18"/>
              </w:rPr>
              <w:instrText xml:space="preserve"> ADDIN ZOTERO_ITEM CSL_CITATION {"citationID":"BQtYDh5l","properties":{"formattedCitation":"\\super 281\\nosupersub{}","plainCitation":"281","noteIndex":0},"citationItems":[{"id":1983,"uris":["http://zotero.org/users/6423791/items/28BXN4BJ"],"itemData":{"id":1983,"type":"article-journal","abstract":"Plant leaves are a major potential source of novel food proteins. Till now, leaf protein extraction methods mainly focus on the extraction of soluble proteins, like rubisco protein, leaving more than half of all protein unextracted. Here, we report on the total protein extraction from sugar beet leaves (Beta vulgaris L.) by a traditional thermal extraction method consisting of mechanical pressing, heating to 50°C and centrifugation. The resulting streams (i.e. supernatant, green-protein pellet and fibrous pulp) were characterised in terms of composition, physical structure and processing options. The protein distributed almost equally over the supernatant, pellet and pulp. This shows that thermal precipitation is an unselective process with respect to fractionation between soluble (rubisco) and insoluble (other) proteins. About 6% of the total protein could be extracted as pure rubisco (90% purity) from the supernatant. Surfactants commonly used for protein solubilisation could hardly re-dissolve the precipitated proteins in the pellet phase, which suggested that irreversible association was induced between the co-precipitated proteins and cell debris. Thus, the extraction of this protein will require prevention of their co-precipitation, and should take place in the original juice solution.","container-title":"Food Chemistry","DOI":"10.1016/j.foodchem.2016.02.092","ISSN":"0308-8146","journalAbbreviation":"Food Chemistry","language":"en","page":"402-408","source":"ScienceDirect","title":"Recovery of protein from green leaves: Overview of crucial steps for utilisation","title-short":"Recovery of protein from green leaves","volume":"203","author":[{"family":"Tamayo Tenorio","given":"Angelica"},{"family":"Gieteling","given":"Jarno"},{"family":"Jong","given":"Govardus A. H.","non-dropping-particle":"de"},{"family":"Boom","given":"Remko M."},{"family":"Goot","given":"Atze J.","non-dropping-particle":"van der"}],"issued":{"date-parts":[["2016",7,15]]}}}],"schema":"https://github.com/citation-style-language/schema/raw/master/csl-citation.json"}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281</w:t>
            </w:r>
            <w:r w:rsidRPr="00C828FC">
              <w:rPr>
                <w:sz w:val="18"/>
                <w:szCs w:val="18"/>
              </w:rPr>
              <w:fldChar w:fldCharType="end"/>
            </w:r>
            <w:r w:rsidRPr="00C828FC">
              <w:rPr>
                <w:i/>
                <w:sz w:val="18"/>
                <w:szCs w:val="18"/>
              </w:rPr>
              <w:t xml:space="preserve"> (</w:t>
            </w:r>
            <w:r w:rsidR="003B36AF" w:rsidRPr="00C828FC">
              <w:rPr>
                <w:b/>
                <w:i/>
                <w:sz w:val="18"/>
                <w:szCs w:val="18"/>
              </w:rPr>
              <w:fldChar w:fldCharType="begin"/>
            </w:r>
            <w:r w:rsidR="003B36AF" w:rsidRPr="00C828FC">
              <w:rPr>
                <w:b/>
                <w:i/>
                <w:sz w:val="18"/>
                <w:szCs w:val="18"/>
              </w:rPr>
              <w:instrText xml:space="preserve"> REF _Ref144910409 \h  \* MERGEFORMAT </w:instrText>
            </w:r>
            <w:r w:rsidR="003B36AF" w:rsidRPr="00C828FC">
              <w:rPr>
                <w:b/>
                <w:i/>
                <w:sz w:val="18"/>
                <w:szCs w:val="18"/>
              </w:rPr>
            </w:r>
            <w:r w:rsidR="003B36AF" w:rsidRPr="00C828FC">
              <w:rPr>
                <w:b/>
                <w:i/>
                <w:sz w:val="18"/>
                <w:szCs w:val="18"/>
              </w:rPr>
              <w:fldChar w:fldCharType="separate"/>
            </w:r>
            <w:r w:rsidR="00F25F8C" w:rsidRPr="00C828FC">
              <w:rPr>
                <w:b/>
                <w:i/>
                <w:sz w:val="18"/>
                <w:szCs w:val="18"/>
              </w:rPr>
              <w:t xml:space="preserve">Table SI. </w:t>
            </w:r>
            <w:r w:rsidR="00F25F8C" w:rsidRPr="00C828FC">
              <w:rPr>
                <w:b/>
                <w:i/>
                <w:noProof/>
                <w:sz w:val="18"/>
                <w:szCs w:val="18"/>
              </w:rPr>
              <w:t>85</w:t>
            </w:r>
            <w:r w:rsidR="003B36AF" w:rsidRPr="00C828FC">
              <w:rPr>
                <w:b/>
                <w:i/>
                <w:sz w:val="18"/>
                <w:szCs w:val="18"/>
              </w:rPr>
              <w:fldChar w:fldCharType="end"/>
            </w:r>
            <w:r w:rsidRPr="00C828FC">
              <w:rPr>
                <w:i/>
                <w:sz w:val="18"/>
                <w:szCs w:val="18"/>
              </w:rPr>
              <w:t>).</w:t>
            </w:r>
          </w:p>
        </w:tc>
      </w:tr>
      <w:tr w:rsidR="00847C80" w:rsidRPr="00C828FC" w14:paraId="65B534E0"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vMerge/>
          </w:tcPr>
          <w:p w14:paraId="57B3F925" w14:textId="77777777" w:rsidR="00847C80" w:rsidRPr="00C828FC" w:rsidRDefault="00847C80" w:rsidP="00847C80">
            <w:pPr>
              <w:rPr>
                <w:sz w:val="18"/>
                <w:szCs w:val="18"/>
              </w:rPr>
            </w:pPr>
          </w:p>
        </w:tc>
        <w:tc>
          <w:tcPr>
            <w:tcW w:w="1160" w:type="dxa"/>
          </w:tcPr>
          <w:p w14:paraId="2E69E61F" w14:textId="77777777" w:rsidR="00847C80" w:rsidRPr="00C828FC" w:rsidRDefault="00847C80" w:rsidP="003B36AF">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soluble carbs</w:t>
            </w:r>
          </w:p>
        </w:tc>
        <w:tc>
          <w:tcPr>
            <w:tcW w:w="0" w:type="auto"/>
          </w:tcPr>
          <w:p w14:paraId="2FADF965"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40%</w:t>
            </w:r>
          </w:p>
        </w:tc>
        <w:tc>
          <w:tcPr>
            <w:tcW w:w="0" w:type="auto"/>
          </w:tcPr>
          <w:p w14:paraId="40457221"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15%</w:t>
            </w:r>
          </w:p>
        </w:tc>
        <w:tc>
          <w:tcPr>
            <w:tcW w:w="0" w:type="auto"/>
          </w:tcPr>
          <w:p w14:paraId="43383F0B"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70%</w:t>
            </w:r>
          </w:p>
        </w:tc>
        <w:tc>
          <w:tcPr>
            <w:tcW w:w="0" w:type="auto"/>
          </w:tcPr>
          <w:p w14:paraId="5FD767C7" w14:textId="3928454F" w:rsidR="00847C80" w:rsidRPr="00C828FC" w:rsidRDefault="00847C80" w:rsidP="003B36AF">
            <w:pPr>
              <w:jc w:val="both"/>
              <w:cnfStyle w:val="000000100000" w:firstRow="0" w:lastRow="0" w:firstColumn="0" w:lastColumn="0" w:oddVBand="0" w:evenVBand="0" w:oddHBand="1" w:evenHBand="0" w:firstRowFirstColumn="0" w:firstRowLastColumn="0" w:lastRowFirstColumn="0" w:lastRowLastColumn="0"/>
              <w:rPr>
                <w:i/>
                <w:sz w:val="18"/>
                <w:szCs w:val="18"/>
              </w:rPr>
            </w:pPr>
            <w:r w:rsidRPr="00C828FC">
              <w:rPr>
                <w:i/>
                <w:sz w:val="18"/>
                <w:szCs w:val="18"/>
              </w:rPr>
              <w:t>Few data (</w:t>
            </w:r>
            <w:r w:rsidR="003B36AF" w:rsidRPr="00C828FC">
              <w:rPr>
                <w:b/>
                <w:i/>
                <w:sz w:val="18"/>
                <w:szCs w:val="18"/>
              </w:rPr>
              <w:fldChar w:fldCharType="begin"/>
            </w:r>
            <w:r w:rsidR="003B36AF" w:rsidRPr="00C828FC">
              <w:rPr>
                <w:b/>
                <w:i/>
                <w:sz w:val="18"/>
                <w:szCs w:val="18"/>
              </w:rPr>
              <w:instrText xml:space="preserve"> REF _Ref144910409 \h  \* MERGEFORMAT </w:instrText>
            </w:r>
            <w:r w:rsidR="003B36AF" w:rsidRPr="00C828FC">
              <w:rPr>
                <w:b/>
                <w:i/>
                <w:sz w:val="18"/>
                <w:szCs w:val="18"/>
              </w:rPr>
            </w:r>
            <w:r w:rsidR="003B36AF" w:rsidRPr="00C828FC">
              <w:rPr>
                <w:b/>
                <w:i/>
                <w:sz w:val="18"/>
                <w:szCs w:val="18"/>
              </w:rPr>
              <w:fldChar w:fldCharType="separate"/>
            </w:r>
            <w:r w:rsidR="00F25F8C" w:rsidRPr="00C828FC">
              <w:rPr>
                <w:b/>
                <w:i/>
                <w:sz w:val="18"/>
                <w:szCs w:val="18"/>
              </w:rPr>
              <w:t xml:space="preserve">Table SI. </w:t>
            </w:r>
            <w:r w:rsidR="00F25F8C" w:rsidRPr="00C828FC">
              <w:rPr>
                <w:b/>
                <w:i/>
                <w:noProof/>
                <w:sz w:val="18"/>
                <w:szCs w:val="18"/>
              </w:rPr>
              <w:t>85</w:t>
            </w:r>
            <w:r w:rsidR="003B36AF" w:rsidRPr="00C828FC">
              <w:rPr>
                <w:b/>
                <w:i/>
                <w:sz w:val="18"/>
                <w:szCs w:val="18"/>
              </w:rPr>
              <w:fldChar w:fldCharType="end"/>
            </w:r>
            <w:r w:rsidRPr="00C828FC">
              <w:rPr>
                <w:i/>
                <w:sz w:val="18"/>
                <w:szCs w:val="18"/>
              </w:rPr>
              <w:t>), large range considered</w:t>
            </w:r>
          </w:p>
        </w:tc>
      </w:tr>
      <w:tr w:rsidR="00847C80" w:rsidRPr="00C828FC" w14:paraId="0B824A48"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988" w:type="dxa"/>
            <w:vMerge/>
          </w:tcPr>
          <w:p w14:paraId="73BA71AE" w14:textId="77777777" w:rsidR="00847C80" w:rsidRPr="00C828FC" w:rsidRDefault="00847C80" w:rsidP="00847C80">
            <w:pPr>
              <w:rPr>
                <w:sz w:val="18"/>
                <w:szCs w:val="18"/>
              </w:rPr>
            </w:pPr>
          </w:p>
        </w:tc>
        <w:tc>
          <w:tcPr>
            <w:tcW w:w="1160" w:type="dxa"/>
          </w:tcPr>
          <w:p w14:paraId="52A80729" w14:textId="77777777" w:rsidR="00847C80" w:rsidRPr="00C828FC" w:rsidRDefault="00847C80" w:rsidP="003B36AF">
            <w:pPr>
              <w:jc w:val="right"/>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hemicellulose</w:t>
            </w:r>
          </w:p>
        </w:tc>
        <w:tc>
          <w:tcPr>
            <w:tcW w:w="0" w:type="auto"/>
          </w:tcPr>
          <w:p w14:paraId="13279FEA"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15%</w:t>
            </w:r>
          </w:p>
        </w:tc>
        <w:tc>
          <w:tcPr>
            <w:tcW w:w="0" w:type="auto"/>
          </w:tcPr>
          <w:p w14:paraId="722E9CAF"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10%</w:t>
            </w:r>
          </w:p>
        </w:tc>
        <w:tc>
          <w:tcPr>
            <w:tcW w:w="0" w:type="auto"/>
          </w:tcPr>
          <w:p w14:paraId="013DED2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19%</w:t>
            </w:r>
          </w:p>
        </w:tc>
        <w:tc>
          <w:tcPr>
            <w:tcW w:w="0" w:type="auto"/>
            <w:vMerge w:val="restart"/>
          </w:tcPr>
          <w:p w14:paraId="3FBE885E" w14:textId="2A7D20A8" w:rsidR="00847C80" w:rsidRPr="00C828FC" w:rsidRDefault="00847C80" w:rsidP="003B36AF">
            <w:pPr>
              <w:jc w:val="both"/>
              <w:cnfStyle w:val="000000000000" w:firstRow="0" w:lastRow="0" w:firstColumn="0" w:lastColumn="0" w:oddVBand="0" w:evenVBand="0" w:oddHBand="0" w:evenHBand="0" w:firstRowFirstColumn="0" w:firstRowLastColumn="0" w:lastRowFirstColumn="0" w:lastRowLastColumn="0"/>
              <w:rPr>
                <w:i/>
                <w:sz w:val="18"/>
                <w:szCs w:val="18"/>
              </w:rPr>
            </w:pPr>
            <w:r w:rsidRPr="00C828FC">
              <w:rPr>
                <w:i/>
                <w:sz w:val="18"/>
                <w:szCs w:val="18"/>
              </w:rPr>
              <w:t>Few data, not individually reported except in Corona et al., 2018</w:t>
            </w:r>
            <w:r w:rsidRPr="00C828FC">
              <w:rPr>
                <w:i/>
                <w:sz w:val="18"/>
                <w:szCs w:val="18"/>
              </w:rPr>
              <w:fldChar w:fldCharType="begin"/>
            </w:r>
            <w:r w:rsidR="005413B4">
              <w:rPr>
                <w:i/>
                <w:sz w:val="18"/>
                <w:szCs w:val="18"/>
              </w:rPr>
              <w:instrText xml:space="preserve"> ADDIN ZOTERO_ITEM CSL_CITATION {"citationID":"j1pettWc","properties":{"formattedCitation":"\\super 290\\nosupersub{}","plainCitation":"290","noteIndex":0},"citationItems":[{"id":392,"uris":["http://zotero.org/users/6423791/items/P3739BFG"],"itemData":{"id":392,"type":"article-journal","abstract":"The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Zwicky"},{"family":"Birkved","given":"Morten"}],"issued":{"date-parts":[["2018",9]]}}}],"schema":"https://github.com/citation-style-language/schema/raw/master/csl-citation.json"} </w:instrText>
            </w:r>
            <w:r w:rsidRPr="00C828FC">
              <w:rPr>
                <w:i/>
                <w:sz w:val="18"/>
                <w:szCs w:val="18"/>
              </w:rPr>
              <w:fldChar w:fldCharType="separate"/>
            </w:r>
            <w:r w:rsidR="005413B4" w:rsidRPr="005413B4">
              <w:rPr>
                <w:rFonts w:ascii="Calibri" w:hAnsi="Calibri" w:cs="Calibri"/>
                <w:sz w:val="18"/>
                <w:szCs w:val="24"/>
                <w:vertAlign w:val="superscript"/>
              </w:rPr>
              <w:t>290</w:t>
            </w:r>
            <w:r w:rsidRPr="00C828FC">
              <w:rPr>
                <w:i/>
                <w:sz w:val="18"/>
                <w:szCs w:val="18"/>
              </w:rPr>
              <w:fldChar w:fldCharType="end"/>
            </w:r>
            <w:r w:rsidRPr="00C828FC">
              <w:rPr>
                <w:i/>
                <w:sz w:val="18"/>
                <w:szCs w:val="18"/>
              </w:rPr>
              <w:t xml:space="preserve"> (selected as baseline). Range adapted with values for total fibers (</w:t>
            </w:r>
            <w:r w:rsidR="003B36AF" w:rsidRPr="00C828FC">
              <w:rPr>
                <w:b/>
                <w:i/>
                <w:sz w:val="18"/>
                <w:szCs w:val="18"/>
              </w:rPr>
              <w:fldChar w:fldCharType="begin"/>
            </w:r>
            <w:r w:rsidR="003B36AF" w:rsidRPr="00C828FC">
              <w:rPr>
                <w:b/>
                <w:i/>
                <w:sz w:val="18"/>
                <w:szCs w:val="18"/>
              </w:rPr>
              <w:instrText xml:space="preserve"> REF _Ref144910409 \h  \* MERGEFORMAT </w:instrText>
            </w:r>
            <w:r w:rsidR="003B36AF" w:rsidRPr="00C828FC">
              <w:rPr>
                <w:b/>
                <w:i/>
                <w:sz w:val="18"/>
                <w:szCs w:val="18"/>
              </w:rPr>
            </w:r>
            <w:r w:rsidR="003B36AF" w:rsidRPr="00C828FC">
              <w:rPr>
                <w:b/>
                <w:i/>
                <w:sz w:val="18"/>
                <w:szCs w:val="18"/>
              </w:rPr>
              <w:fldChar w:fldCharType="separate"/>
            </w:r>
            <w:r w:rsidR="00F25F8C" w:rsidRPr="00C828FC">
              <w:rPr>
                <w:b/>
                <w:i/>
                <w:sz w:val="18"/>
                <w:szCs w:val="18"/>
              </w:rPr>
              <w:t xml:space="preserve">Table SI. </w:t>
            </w:r>
            <w:r w:rsidR="00F25F8C" w:rsidRPr="00C828FC">
              <w:rPr>
                <w:b/>
                <w:i/>
                <w:noProof/>
                <w:sz w:val="18"/>
                <w:szCs w:val="18"/>
              </w:rPr>
              <w:t>85</w:t>
            </w:r>
            <w:r w:rsidR="003B36AF" w:rsidRPr="00C828FC">
              <w:rPr>
                <w:b/>
                <w:i/>
                <w:sz w:val="18"/>
                <w:szCs w:val="18"/>
              </w:rPr>
              <w:fldChar w:fldCharType="end"/>
            </w:r>
            <w:r w:rsidRPr="00C828FC">
              <w:rPr>
                <w:i/>
                <w:sz w:val="18"/>
                <w:szCs w:val="18"/>
              </w:rPr>
              <w:t>).</w:t>
            </w:r>
          </w:p>
        </w:tc>
      </w:tr>
      <w:tr w:rsidR="00847C80" w:rsidRPr="00C828FC" w14:paraId="6F7AB2F0"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vMerge/>
          </w:tcPr>
          <w:p w14:paraId="206859B7" w14:textId="77777777" w:rsidR="00847C80" w:rsidRPr="00C828FC" w:rsidRDefault="00847C80" w:rsidP="00847C80">
            <w:pPr>
              <w:rPr>
                <w:sz w:val="18"/>
                <w:szCs w:val="18"/>
              </w:rPr>
            </w:pPr>
          </w:p>
        </w:tc>
        <w:tc>
          <w:tcPr>
            <w:tcW w:w="1160" w:type="dxa"/>
          </w:tcPr>
          <w:p w14:paraId="5E4685BD" w14:textId="77777777" w:rsidR="00847C80" w:rsidRPr="00C828FC" w:rsidRDefault="00847C80" w:rsidP="003B36AF">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cellulose</w:t>
            </w:r>
          </w:p>
        </w:tc>
        <w:tc>
          <w:tcPr>
            <w:tcW w:w="0" w:type="auto"/>
            <w:vMerge w:val="restart"/>
          </w:tcPr>
          <w:p w14:paraId="52858FB5"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3%</w:t>
            </w:r>
          </w:p>
        </w:tc>
        <w:tc>
          <w:tcPr>
            <w:tcW w:w="0" w:type="auto"/>
            <w:vMerge w:val="restart"/>
          </w:tcPr>
          <w:p w14:paraId="68E6E9BE"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w:t>
            </w:r>
          </w:p>
        </w:tc>
        <w:tc>
          <w:tcPr>
            <w:tcW w:w="0" w:type="auto"/>
            <w:vMerge w:val="restart"/>
          </w:tcPr>
          <w:p w14:paraId="7DA219CD"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19%</w:t>
            </w:r>
          </w:p>
        </w:tc>
        <w:tc>
          <w:tcPr>
            <w:tcW w:w="0" w:type="auto"/>
            <w:vMerge/>
          </w:tcPr>
          <w:p w14:paraId="4EC4D05F" w14:textId="77777777" w:rsidR="00847C80" w:rsidRPr="00C828FC" w:rsidRDefault="00847C80" w:rsidP="003B36AF">
            <w:pPr>
              <w:jc w:val="both"/>
              <w:cnfStyle w:val="000000100000" w:firstRow="0" w:lastRow="0" w:firstColumn="0" w:lastColumn="0" w:oddVBand="0" w:evenVBand="0" w:oddHBand="1" w:evenHBand="0" w:firstRowFirstColumn="0" w:firstRowLastColumn="0" w:lastRowFirstColumn="0" w:lastRowLastColumn="0"/>
              <w:rPr>
                <w:i/>
                <w:sz w:val="18"/>
                <w:szCs w:val="18"/>
              </w:rPr>
            </w:pPr>
          </w:p>
        </w:tc>
      </w:tr>
      <w:tr w:rsidR="00847C80" w:rsidRPr="00C828FC" w14:paraId="426B99AF"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988" w:type="dxa"/>
            <w:vMerge/>
          </w:tcPr>
          <w:p w14:paraId="512F86A4" w14:textId="77777777" w:rsidR="00847C80" w:rsidRPr="00C828FC" w:rsidRDefault="00847C80" w:rsidP="00847C80">
            <w:pPr>
              <w:rPr>
                <w:sz w:val="18"/>
                <w:szCs w:val="18"/>
              </w:rPr>
            </w:pPr>
          </w:p>
        </w:tc>
        <w:tc>
          <w:tcPr>
            <w:tcW w:w="1160" w:type="dxa"/>
          </w:tcPr>
          <w:p w14:paraId="274D1952" w14:textId="77777777" w:rsidR="00847C80" w:rsidRPr="00C828FC" w:rsidRDefault="00847C80" w:rsidP="003B36AF">
            <w:pPr>
              <w:jc w:val="right"/>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lignin</w:t>
            </w:r>
          </w:p>
        </w:tc>
        <w:tc>
          <w:tcPr>
            <w:tcW w:w="0" w:type="auto"/>
            <w:vMerge/>
          </w:tcPr>
          <w:p w14:paraId="53D12D2A"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1ABE7DF3"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18F29704"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2D982FB9" w14:textId="77777777" w:rsidR="00847C80" w:rsidRPr="00C828FC" w:rsidRDefault="00847C80" w:rsidP="003B36AF">
            <w:pPr>
              <w:jc w:val="both"/>
              <w:cnfStyle w:val="000000000000" w:firstRow="0" w:lastRow="0" w:firstColumn="0" w:lastColumn="0" w:oddVBand="0" w:evenVBand="0" w:oddHBand="0" w:evenHBand="0" w:firstRowFirstColumn="0" w:firstRowLastColumn="0" w:lastRowFirstColumn="0" w:lastRowLastColumn="0"/>
              <w:rPr>
                <w:i/>
                <w:sz w:val="18"/>
                <w:szCs w:val="18"/>
              </w:rPr>
            </w:pPr>
          </w:p>
        </w:tc>
      </w:tr>
      <w:tr w:rsidR="00847C80" w:rsidRPr="00C828FC" w14:paraId="3521FA3B"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vMerge/>
          </w:tcPr>
          <w:p w14:paraId="34F3A15F" w14:textId="77777777" w:rsidR="00847C80" w:rsidRPr="00C828FC" w:rsidRDefault="00847C80" w:rsidP="00847C80">
            <w:pPr>
              <w:rPr>
                <w:sz w:val="18"/>
                <w:szCs w:val="18"/>
              </w:rPr>
            </w:pPr>
          </w:p>
        </w:tc>
        <w:tc>
          <w:tcPr>
            <w:tcW w:w="1160" w:type="dxa"/>
          </w:tcPr>
          <w:p w14:paraId="01828857" w14:textId="77777777" w:rsidR="00847C80" w:rsidRPr="00C828FC" w:rsidRDefault="00847C80" w:rsidP="003B36AF">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ashes</w:t>
            </w:r>
          </w:p>
        </w:tc>
        <w:tc>
          <w:tcPr>
            <w:tcW w:w="0" w:type="auto"/>
          </w:tcPr>
          <w:p w14:paraId="07B52862"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46%</w:t>
            </w:r>
          </w:p>
        </w:tc>
        <w:tc>
          <w:tcPr>
            <w:tcW w:w="0" w:type="auto"/>
          </w:tcPr>
          <w:p w14:paraId="4BDAE29C"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22%</w:t>
            </w:r>
          </w:p>
        </w:tc>
        <w:tc>
          <w:tcPr>
            <w:tcW w:w="0" w:type="auto"/>
          </w:tcPr>
          <w:p w14:paraId="27346A0E"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59%</w:t>
            </w:r>
          </w:p>
        </w:tc>
        <w:tc>
          <w:tcPr>
            <w:tcW w:w="0" w:type="auto"/>
          </w:tcPr>
          <w:p w14:paraId="20D5621F" w14:textId="0CAE831B" w:rsidR="00847C80" w:rsidRPr="00C828FC" w:rsidRDefault="00847C80" w:rsidP="003B36AF">
            <w:pPr>
              <w:jc w:val="both"/>
              <w:cnfStyle w:val="000000100000" w:firstRow="0" w:lastRow="0" w:firstColumn="0" w:lastColumn="0" w:oddVBand="0" w:evenVBand="0" w:oddHBand="1" w:evenHBand="0" w:firstRowFirstColumn="0" w:firstRowLastColumn="0" w:lastRowFirstColumn="0" w:lastRowLastColumn="0"/>
              <w:rPr>
                <w:i/>
                <w:sz w:val="18"/>
                <w:szCs w:val="18"/>
              </w:rPr>
            </w:pPr>
            <w:r w:rsidRPr="00C828FC">
              <w:rPr>
                <w:i/>
                <w:sz w:val="18"/>
                <w:szCs w:val="18"/>
              </w:rPr>
              <w:t>Baseline representative of large scale twin screw-press performances</w:t>
            </w:r>
            <w:r w:rsidRPr="00C828FC">
              <w:rPr>
                <w:i/>
                <w:sz w:val="18"/>
                <w:szCs w:val="18"/>
              </w:rPr>
              <w:fldChar w:fldCharType="begin"/>
            </w:r>
            <w:r w:rsidR="00991F7C">
              <w:rPr>
                <w:i/>
                <w:sz w:val="18"/>
                <w:szCs w:val="18"/>
              </w:rPr>
              <w:instrText xml:space="preserve"> ADDIN ZOTERO_ITEM CSL_CITATION {"citationID":"kafHTUXM","properties":{"formattedCitation":"\\super 311,322\\nosupersub{}","plainCitation":"311,322","noteIndex":0},"citationItems":[{"id":10931,"uris":["http://zotero.org/users/6423791/items/52ZVTHWD"],"itemData":{"id":10931,"type":"article-journal","abstract":"This meta-analysis based on 19 studies from Finland comprising 43 grass silages was undertaken to evaluate the effect of silage quality on liquid yield, liquid composition and retained compounds in liquid using four different liquid–solid separation methods. Silages were classified according to species (grass, clover or a mixture of them), additive treatment (no, biological or formic acid-based additive) and harvest (primary growth or regrowth). A mixed model regression analysis with random study effect was used to evaluate the impact of silage characteristics on biorefinery efficiency. There was a large variation in silage quality in the data set. Silage dry-matter concentration was the characteristic most highly correlated with liquid yield for all separation methods, and when used as an independent variable in the model, it resulted in the best predictions. The liquid–solid separation methods presented a great variation in the liquid yield, ranging from 0.26 to 0.56 when silage dry-matter concentration was standardized to 250 g/kg. There was no effect of additive treatment and harvest in the estimation of the biorefinery potential, but species was a significant variable in predicting liquid yield for the laboratory-scale presses with higher liquid yield for mixed grass and legume. The high correlation between silage quality and liquid yield and liquid composition provides potential to predict the biorefinery potential based on equations developed for each separation method. This information can be used to modify the silage production systems so that they best meet the requirements of a green biorefinery process.","container-title":"Grass and Forage Science","DOI":"https://doi.org/10.1111/gfs.12421","ISSN":"1365-2494","issue":"2","language":"en","license":"© 2019 John Wiley &amp; Sons Ltd","note":"_eprint: https://onlinelibrary.wiley.com/doi/pdf/10.1111/gfs.12421","page":"218-230","source":"Wiley Online Library","title":"Grass silage for biorefinery—A meta-analysis of silage factors affecting liquid–solid separation","volume":"74","author":[{"family":"Franco","given":"Marcia"},{"family":"Hurme","given":"Timo"},{"family":"Winquist","given":"Erika"},{"family":"Rinne","given":"Marketta"}],"issued":{"date-parts":[["2019"]]}}},{"id":11300,"uris":["http://zotero.org/users/6423791/items/RN878BPA"],"itemData":{"id":11300,"type":"article-journal","abstract":"Regular and delayed harvest of species-rich grasslands is a precondition of maintaining the biodiversity status, but often not cost-effective due to low nutritional value and absence of substrate-adapted conversion techniques to produce energy from the highly lignified biomass. Combustion characteristics can be improved by water mashing and subsequent dehydration of the biomass, whereas the...","container-title":"Grassland farming and land management systems in mountainous regions. Proceedings of the 16th Symposium of the European Grassland Federation, Gumpenstein, Austria, 29th-31st August, 2011","language":"English","note":"publisher: Agricultural Research and Education Center (AREC) Raumberg-Gumpenstein","page":"398-400","source":"www.cabdirect.org","title":"Evaluation of fuel and biogas production on typical semi-natural grasslands in Germany, Wales and Estonia.","author":[{"family":"Bühle","given":"L."},{"family":"Hensgen","given":"F."},{"family":"Donnison","given":"I."},{"family":"Heinsoo","given":"K."},{"family":"Wachendorf","given":"M."}],"issued":{"date-parts":[["2011"]]}}}],"schema":"https://github.com/citation-style-language/schema/raw/master/csl-citation.json"} </w:instrText>
            </w:r>
            <w:r w:rsidRPr="00C828FC">
              <w:rPr>
                <w:i/>
                <w:sz w:val="18"/>
                <w:szCs w:val="18"/>
              </w:rPr>
              <w:fldChar w:fldCharType="separate"/>
            </w:r>
            <w:r w:rsidR="00991F7C" w:rsidRPr="00991F7C">
              <w:rPr>
                <w:rFonts w:ascii="Calibri" w:hAnsi="Calibri" w:cs="Calibri"/>
                <w:sz w:val="18"/>
                <w:szCs w:val="24"/>
                <w:vertAlign w:val="superscript"/>
              </w:rPr>
              <w:t>311,322</w:t>
            </w:r>
            <w:r w:rsidRPr="00C828FC">
              <w:rPr>
                <w:i/>
                <w:sz w:val="18"/>
                <w:szCs w:val="18"/>
              </w:rPr>
              <w:fldChar w:fldCharType="end"/>
            </w:r>
            <w:r w:rsidRPr="00C828FC">
              <w:rPr>
                <w:i/>
                <w:sz w:val="18"/>
                <w:szCs w:val="18"/>
              </w:rPr>
              <w:t>, and min considered as currently achieved by large scale single screw-press</w:t>
            </w:r>
            <w:r w:rsidRPr="00C828FC">
              <w:rPr>
                <w:i/>
                <w:sz w:val="18"/>
                <w:szCs w:val="18"/>
              </w:rPr>
              <w:fldChar w:fldCharType="begin"/>
            </w:r>
            <w:r w:rsidR="00991F7C">
              <w:rPr>
                <w:i/>
                <w:sz w:val="18"/>
                <w:szCs w:val="18"/>
              </w:rPr>
              <w:instrText xml:space="preserve"> ADDIN ZOTERO_ITEM CSL_CITATION {"citationID":"GTtMZzkv","properties":{"formattedCitation":"\\super 310,311\\nosupersub{}","plainCitation":"310,311","noteIndex":0},"citationItems":[{"id":11139,"uris":["http://zotero.org/users/6423791/items/2VS9UQXE"],"itemData":{"id":11139,"type":"article-journal","abstract":"The use of semi-natural grasslands for the production of renewable energy through conventional conversion techniques faces major limitations because of chemical and physical properties of the biomass. A new conversion procedure was developed which separates the biomass, as silage, into a liquid phase for biogas production and into a solid fraction to be used as fuel. Separation (mechanical dehydration) is carried out with a screw press after mashing with water (hydrothermal conditioning). The effect of hydrothermal conditioning at different temperatures (5, 60 and 80°C) and mechanical dehydration on mass flows of plant compounds into the press fluid was investigated for five grassland pastures typical of mountain areas of Germany. Results show that 0·18 of the crude fibre was transferred into the fluid, whereas more digestible organic compounds, such as crude protein and nitrogen-free extract, showed mass flows of 0·40 and 0·31 respectively. While 0·52–0·89 of potassium (K), magnesium (Mg) and chloride (Cl), which are detrimental for the combustion of the press cake, were transferred into the press fluid, more than 0·50 of calcium, which has positive combustion properties, remained in the press cake. Significantly (P &lt; 0·05) higher mass flows were detected at conditioning temperatures of 60°C (K and Mg) and 80°C (crude fibre and nitrogen-free extract) compared with the 5°C treatment. Because of the separation of solids and liquids, high proportions of P (0·61–0·74) and K (0·64–0·85) but only 0·32–0·45 of nitrogen exported from the grassland would be recycled with an application of the digestates from the anaerobic digestion of the press liquid.","container-title":"Grass and Forage Science","DOI":"https://doi.org/10.1111/j.1365-2494.2009.00677.x","ISSN":"1365-2494","issue":"2","language":"en","license":"© 2009 Blackwell Publishing Ltd","note":"_eprint: https://onlinelibrary.wiley.com/doi/pdf/10.1111/j.1365-2494.2009.00677.x","page":"132-143","source":"Wiley Online Library","title":"Utilization of semi-natural grassland through integrated generation of solid fuel and biogas from biomass. I. Effects of hydrothermal conditioning and mechanical dehydration on mass flows of organic and mineral plant compounds, and nutrient balances","volume":"64","author":[{"family":"Wachendorf","given":"M."},{"family":"Richter","given":"F."},{"family":"Fricke","given":"T."},{"family":"Graß","given":"R."},{"family":"Neff","given":"R."}],"issued":{"date-parts":[["2009"]]}}},{"id":10931,"uris":["http://zotero.org/users/6423791/items/52ZVTHWD"],"itemData":{"id":10931,"type":"article-journal","abstract":"This meta-analysis based on 19 studies from Finland comprising 43 grass silages was undertaken to evaluate the effect of silage quality on liquid yield, liquid composition and retained compounds in liquid using four different liquid–solid separation methods. Silages were classified according to species (grass, clover or a mixture of them), additive treatment (no, biological or formic acid-based additive) and harvest (primary growth or regrowth). A mixed model regression analysis with random study effect was used to evaluate the impact of silage characteristics on biorefinery efficiency. There was a large variation in silage quality in the data set. Silage dry-matter concentration was the characteristic most highly correlated with liquid yield for all separation methods, and when used as an independent variable in the model, it resulted in the best predictions. The liquid–solid separation methods presented a great variation in the liquid yield, ranging from 0.26 to 0.56 when silage dry-matter concentration was standardized to 250 g/kg. There was no effect of additive treatment and harvest in the estimation of the biorefinery potential, but species was a significant variable in predicting liquid yield for the laboratory-scale presses with higher liquid yield for mixed grass and legume. The high correlation between silage quality and liquid yield and liquid composition provides potential to predict the biorefinery potential based on equations developed for each separation method. This information can be used to modify the silage production systems so that they best meet the requirements of a green biorefinery process.","container-title":"Grass and Forage Science","DOI":"https://doi.org/10.1111/gfs.12421","ISSN":"1365-2494","issue":"2","language":"en","license":"© 2019 John Wiley &amp; Sons Ltd","note":"_eprint: https://onlinelibrary.wiley.com/doi/pdf/10.1111/gfs.12421","page":"218-230","source":"Wiley Online Library","title":"Grass silage for biorefinery—A meta-analysis of silage factors affecting liquid–solid separation","volume":"74","author":[{"family":"Franco","given":"Marcia"},{"family":"Hurme","given":"Timo"},{"family":"Winquist","given":"Erika"},{"family":"Rinne","given":"Marketta"}],"issued":{"date-parts":[["2019"]]}}}],"schema":"https://github.com/citation-style-language/schema/raw/master/csl-citation.json"} </w:instrText>
            </w:r>
            <w:r w:rsidRPr="00C828FC">
              <w:rPr>
                <w:i/>
                <w:sz w:val="18"/>
                <w:szCs w:val="18"/>
              </w:rPr>
              <w:fldChar w:fldCharType="separate"/>
            </w:r>
            <w:r w:rsidR="00991F7C" w:rsidRPr="00991F7C">
              <w:rPr>
                <w:rFonts w:ascii="Calibri" w:hAnsi="Calibri" w:cs="Calibri"/>
                <w:sz w:val="18"/>
                <w:szCs w:val="24"/>
                <w:vertAlign w:val="superscript"/>
              </w:rPr>
              <w:t>310,311</w:t>
            </w:r>
            <w:r w:rsidRPr="00C828FC">
              <w:rPr>
                <w:i/>
                <w:sz w:val="18"/>
                <w:szCs w:val="18"/>
              </w:rPr>
              <w:fldChar w:fldCharType="end"/>
            </w:r>
            <w:r w:rsidRPr="00C828FC">
              <w:rPr>
                <w:i/>
                <w:sz w:val="18"/>
                <w:szCs w:val="18"/>
              </w:rPr>
              <w:t>. Max selected as currently achieved on quality feedstocks</w:t>
            </w:r>
            <w:r w:rsidRPr="00C828FC">
              <w:rPr>
                <w:i/>
                <w:sz w:val="18"/>
                <w:szCs w:val="18"/>
              </w:rPr>
              <w:fldChar w:fldCharType="begin"/>
            </w:r>
            <w:r w:rsidR="005413B4">
              <w:rPr>
                <w:i/>
                <w:sz w:val="18"/>
                <w:szCs w:val="18"/>
              </w:rPr>
              <w:instrText xml:space="preserve"> ADDIN ZOTERO_ITEM CSL_CITATION {"citationID":"wB2LsSxX","properties":{"formattedCitation":"\\super 290,321\\nosupersub{}","plainCitation":"290,321","noteIndex":0},"citationItems":[{"id":392,"uris":["http://zotero.org/users/6423791/items/P3739BFG"],"itemData":{"id":392,"type":"article-journal","abstract":"The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Zwicky"},{"family":"Birkved","given":"Morten"}],"issued":{"date-parts":[["2018",9]]}}},{"id":10954,"uris":["http://zotero.org/users/6423791/items/XJK68EQQ"],"itemData":{"id":10954,"type":"paper-conference","container-title":"Proceedings of the 9th Nordic Feed Science Conference","title":"Grass silage for biorefinery – separation efficiency and aerobic stability of silage and solid fraction","URL":"https://jukuri.luke.fi/bitstream/handle/10024/543533/Stefanski%20et%20al..pdf?sequence=1","author":[{"family":"Stefański","given":"T"},{"family":"Franco","given":"M."},{"family":"Kautto","given":"O"},{"family":"Jalava","given":"T"},{"family":"Winquist","given":"E"},{"family":"Rinne","given":"M"}],"accessed":{"date-parts":[["2021",4,13]]},"issued":{"date-parts":[["2018"]]}}}],"schema":"https://github.com/citation-style-language/schema/raw/master/csl-citation.json"} </w:instrText>
            </w:r>
            <w:r w:rsidRPr="00C828FC">
              <w:rPr>
                <w:i/>
                <w:sz w:val="18"/>
                <w:szCs w:val="18"/>
              </w:rPr>
              <w:fldChar w:fldCharType="separate"/>
            </w:r>
            <w:r w:rsidR="005413B4" w:rsidRPr="005413B4">
              <w:rPr>
                <w:rFonts w:ascii="Calibri" w:hAnsi="Calibri" w:cs="Calibri"/>
                <w:sz w:val="18"/>
                <w:szCs w:val="24"/>
                <w:vertAlign w:val="superscript"/>
              </w:rPr>
              <w:t>290,321</w:t>
            </w:r>
            <w:r w:rsidRPr="00C828FC">
              <w:rPr>
                <w:i/>
                <w:sz w:val="18"/>
                <w:szCs w:val="18"/>
              </w:rPr>
              <w:fldChar w:fldCharType="end"/>
            </w:r>
            <w:r w:rsidRPr="00C828FC">
              <w:rPr>
                <w:i/>
                <w:sz w:val="18"/>
                <w:szCs w:val="18"/>
              </w:rPr>
              <w:t>.</w:t>
            </w:r>
          </w:p>
        </w:tc>
      </w:tr>
      <w:tr w:rsidR="00847C80" w:rsidRPr="00C828FC" w14:paraId="2BBDE662"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988" w:type="dxa"/>
            <w:vMerge/>
          </w:tcPr>
          <w:p w14:paraId="73898166" w14:textId="77777777" w:rsidR="00847C80" w:rsidRPr="00C828FC" w:rsidRDefault="00847C80" w:rsidP="00847C80">
            <w:pPr>
              <w:rPr>
                <w:sz w:val="18"/>
                <w:szCs w:val="18"/>
              </w:rPr>
            </w:pPr>
          </w:p>
        </w:tc>
        <w:tc>
          <w:tcPr>
            <w:tcW w:w="1160" w:type="dxa"/>
          </w:tcPr>
          <w:p w14:paraId="7D360955" w14:textId="77777777" w:rsidR="00847C80" w:rsidRPr="00C828FC" w:rsidRDefault="00847C80" w:rsidP="003B36AF">
            <w:pPr>
              <w:jc w:val="right"/>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rest</w:t>
            </w:r>
          </w:p>
        </w:tc>
        <w:tc>
          <w:tcPr>
            <w:tcW w:w="0" w:type="auto"/>
            <w:gridSpan w:val="3"/>
          </w:tcPr>
          <w:p w14:paraId="1D10F5A5"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Modeled as average of rest</w:t>
            </w:r>
          </w:p>
        </w:tc>
        <w:tc>
          <w:tcPr>
            <w:tcW w:w="0" w:type="auto"/>
          </w:tcPr>
          <w:p w14:paraId="2EAC86D8" w14:textId="77777777" w:rsidR="00847C80" w:rsidRPr="00C828FC" w:rsidRDefault="00847C80" w:rsidP="003B36AF">
            <w:pPr>
              <w:jc w:val="both"/>
              <w:cnfStyle w:val="000000000000" w:firstRow="0" w:lastRow="0" w:firstColumn="0" w:lastColumn="0" w:oddVBand="0" w:evenVBand="0" w:oddHBand="0" w:evenHBand="0" w:firstRowFirstColumn="0" w:firstRowLastColumn="0" w:lastRowFirstColumn="0" w:lastRowLastColumn="0"/>
              <w:rPr>
                <w:i/>
                <w:sz w:val="18"/>
                <w:szCs w:val="18"/>
              </w:rPr>
            </w:pPr>
            <w:r w:rsidRPr="00C828FC">
              <w:rPr>
                <w:i/>
                <w:sz w:val="18"/>
                <w:szCs w:val="18"/>
              </w:rPr>
              <w:t>Calculated.</w:t>
            </w:r>
          </w:p>
        </w:tc>
      </w:tr>
      <w:tr w:rsidR="00847C80" w:rsidRPr="00C828FC" w14:paraId="3264730D"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vMerge/>
          </w:tcPr>
          <w:p w14:paraId="2F3C163E" w14:textId="77777777" w:rsidR="00847C80" w:rsidRPr="00C828FC" w:rsidRDefault="00847C80" w:rsidP="00847C80">
            <w:pPr>
              <w:rPr>
                <w:sz w:val="18"/>
                <w:szCs w:val="18"/>
              </w:rPr>
            </w:pPr>
          </w:p>
        </w:tc>
        <w:tc>
          <w:tcPr>
            <w:tcW w:w="1160" w:type="dxa"/>
          </w:tcPr>
          <w:p w14:paraId="2F2E1DCB" w14:textId="77777777" w:rsidR="00847C80" w:rsidRPr="00C828FC" w:rsidRDefault="00847C80" w:rsidP="003B36AF">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N</w:t>
            </w:r>
          </w:p>
        </w:tc>
        <w:tc>
          <w:tcPr>
            <w:tcW w:w="0" w:type="auto"/>
            <w:gridSpan w:val="3"/>
          </w:tcPr>
          <w:p w14:paraId="1739C359"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Modeled as proteins (linked)</w:t>
            </w:r>
          </w:p>
        </w:tc>
        <w:tc>
          <w:tcPr>
            <w:tcW w:w="0" w:type="auto"/>
          </w:tcPr>
          <w:p w14:paraId="1E07F591" w14:textId="77777777" w:rsidR="00847C80" w:rsidRPr="00C828FC" w:rsidRDefault="00847C80" w:rsidP="003B36AF">
            <w:pPr>
              <w:jc w:val="both"/>
              <w:cnfStyle w:val="000000100000" w:firstRow="0" w:lastRow="0" w:firstColumn="0" w:lastColumn="0" w:oddVBand="0" w:evenVBand="0" w:oddHBand="1" w:evenHBand="0" w:firstRowFirstColumn="0" w:firstRowLastColumn="0" w:lastRowFirstColumn="0" w:lastRowLastColumn="0"/>
              <w:rPr>
                <w:i/>
                <w:sz w:val="18"/>
                <w:szCs w:val="18"/>
              </w:rPr>
            </w:pPr>
            <w:r w:rsidRPr="00C828FC">
              <w:rPr>
                <w:i/>
                <w:sz w:val="18"/>
                <w:szCs w:val="18"/>
              </w:rPr>
              <w:t>Neglecting potential differences for non-protein N.</w:t>
            </w:r>
          </w:p>
        </w:tc>
      </w:tr>
      <w:tr w:rsidR="00847C80" w:rsidRPr="00C828FC" w14:paraId="0C2974AF"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988" w:type="dxa"/>
            <w:vMerge/>
          </w:tcPr>
          <w:p w14:paraId="529E761D" w14:textId="77777777" w:rsidR="00847C80" w:rsidRPr="00C828FC" w:rsidRDefault="00847C80" w:rsidP="00847C80">
            <w:pPr>
              <w:rPr>
                <w:sz w:val="18"/>
                <w:szCs w:val="18"/>
              </w:rPr>
            </w:pPr>
          </w:p>
        </w:tc>
        <w:tc>
          <w:tcPr>
            <w:tcW w:w="1160" w:type="dxa"/>
          </w:tcPr>
          <w:p w14:paraId="24261FD0" w14:textId="77777777" w:rsidR="00847C80" w:rsidRPr="00C828FC" w:rsidRDefault="00847C80" w:rsidP="003B36AF">
            <w:pPr>
              <w:jc w:val="right"/>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P</w:t>
            </w:r>
          </w:p>
        </w:tc>
        <w:tc>
          <w:tcPr>
            <w:tcW w:w="0" w:type="auto"/>
          </w:tcPr>
          <w:p w14:paraId="659F29E7"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61%</w:t>
            </w:r>
          </w:p>
        </w:tc>
        <w:tc>
          <w:tcPr>
            <w:tcW w:w="0" w:type="auto"/>
          </w:tcPr>
          <w:p w14:paraId="26177DBA"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44%</w:t>
            </w:r>
          </w:p>
        </w:tc>
        <w:tc>
          <w:tcPr>
            <w:tcW w:w="0" w:type="auto"/>
          </w:tcPr>
          <w:p w14:paraId="6E3F173E"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67%</w:t>
            </w:r>
          </w:p>
        </w:tc>
        <w:tc>
          <w:tcPr>
            <w:tcW w:w="0" w:type="auto"/>
            <w:vMerge w:val="restart"/>
          </w:tcPr>
          <w:p w14:paraId="056B9B17" w14:textId="3C149B81" w:rsidR="00847C80" w:rsidRPr="00C828FC" w:rsidRDefault="00847C80" w:rsidP="003B36AF">
            <w:pPr>
              <w:jc w:val="both"/>
              <w:cnfStyle w:val="000000000000" w:firstRow="0" w:lastRow="0" w:firstColumn="0" w:lastColumn="0" w:oddVBand="0" w:evenVBand="0" w:oddHBand="0" w:evenHBand="0" w:firstRowFirstColumn="0" w:firstRowLastColumn="0" w:lastRowFirstColumn="0" w:lastRowLastColumn="0"/>
              <w:rPr>
                <w:i/>
                <w:sz w:val="18"/>
                <w:szCs w:val="18"/>
              </w:rPr>
            </w:pPr>
            <w:r w:rsidRPr="00C828FC">
              <w:rPr>
                <w:i/>
                <w:sz w:val="18"/>
                <w:szCs w:val="18"/>
              </w:rPr>
              <w:t>Baseline as average of currently achieved yield</w:t>
            </w:r>
            <w:r w:rsidRPr="00C828FC">
              <w:rPr>
                <w:i/>
                <w:sz w:val="18"/>
                <w:szCs w:val="18"/>
              </w:rPr>
              <w:fldChar w:fldCharType="begin"/>
            </w:r>
            <w:r w:rsidR="00991F7C">
              <w:rPr>
                <w:i/>
                <w:sz w:val="18"/>
                <w:szCs w:val="18"/>
              </w:rPr>
              <w:instrText xml:space="preserve"> ADDIN ZOTERO_ITEM CSL_CITATION {"citationID":"Qd4qkcZA","properties":{"formattedCitation":"\\super 310\\nosupersub{}","plainCitation":"310","noteIndex":0},"citationItems":[{"id":11139,"uris":["http://zotero.org/users/6423791/items/2VS9UQXE"],"itemData":{"id":11139,"type":"article-journal","abstract":"The use of semi-natural grasslands for the production of renewable energy through conventional conversion techniques faces major limitations because of chemical and physical properties of the biomass. A new conversion procedure was developed which separates the biomass, as silage, into a liquid phase for biogas production and into a solid fraction to be used as fuel. Separation (mechanical dehydration) is carried out with a screw press after mashing with water (hydrothermal conditioning). The effect of hydrothermal conditioning at different temperatures (5, 60 and 80°C) and mechanical dehydration on mass flows of plant compounds into the press fluid was investigated for five grassland pastures typical of mountain areas of Germany. Results show that 0·18 of the crude fibre was transferred into the fluid, whereas more digestible organic compounds, such as crude protein and nitrogen-free extract, showed mass flows of 0·40 and 0·31 respectively. While 0·52–0·89 of potassium (K), magnesium (Mg) and chloride (Cl), which are detrimental for the combustion of the press cake, were transferred into the press fluid, more than 0·50 of calcium, which has positive combustion properties, remained in the press cake. Significantly (P &lt; 0·05) higher mass flows were detected at conditioning temperatures of 60°C (K and Mg) and 80°C (crude fibre and nitrogen-free extract) compared with the 5°C treatment. Because of the separation of solids and liquids, high proportions of P (0·61–0·74) and K (0·64–0·85) but only 0·32–0·45 of nitrogen exported from the grassland would be recycled with an application of the digestates from the anaerobic digestion of the press liquid.","container-title":"Grass and Forage Science","DOI":"https://doi.org/10.1111/j.1365-2494.2009.00677.x","ISSN":"1365-2494","issue":"2","language":"en","license":"© 2009 Blackwell Publishing Ltd","note":"_eprint: https://onlinelibrary.wiley.com/doi/pdf/10.1111/j.1365-2494.2009.00677.x","page":"132-143","source":"Wiley Online Library","title":"Utilization of semi-natural grassland through integrated generation of solid fuel and biogas from biomass. I. Effects of hydrothermal conditioning and mechanical dehydration on mass flows of organic and mineral plant compounds, and nutrient balances","volume":"64","author":[{"family":"Wachendorf","given":"M."},{"family":"Richter","given":"F."},{"family":"Fricke","given":"T."},{"family":"Graß","given":"R."},{"family":"Neff","given":"R."}],"issued":{"date-parts":[["2009"]]}}}],"schema":"https://github.com/citation-style-language/schema/raw/master/csl-citation.json"} </w:instrText>
            </w:r>
            <w:r w:rsidRPr="00C828FC">
              <w:rPr>
                <w:i/>
                <w:sz w:val="18"/>
                <w:szCs w:val="18"/>
              </w:rPr>
              <w:fldChar w:fldCharType="separate"/>
            </w:r>
            <w:r w:rsidR="00991F7C" w:rsidRPr="00991F7C">
              <w:rPr>
                <w:rFonts w:ascii="Calibri" w:hAnsi="Calibri" w:cs="Calibri"/>
                <w:sz w:val="18"/>
                <w:szCs w:val="24"/>
                <w:vertAlign w:val="superscript"/>
              </w:rPr>
              <w:t>310</w:t>
            </w:r>
            <w:r w:rsidRPr="00C828FC">
              <w:rPr>
                <w:i/>
                <w:sz w:val="18"/>
                <w:szCs w:val="18"/>
              </w:rPr>
              <w:fldChar w:fldCharType="end"/>
            </w:r>
            <w:r w:rsidRPr="00C828FC">
              <w:rPr>
                <w:i/>
                <w:sz w:val="18"/>
                <w:szCs w:val="18"/>
              </w:rPr>
              <w:t>, ranges from the benchmark (</w:t>
            </w:r>
            <w:r w:rsidR="003B36AF" w:rsidRPr="00C828FC">
              <w:rPr>
                <w:b/>
                <w:i/>
                <w:sz w:val="18"/>
                <w:szCs w:val="18"/>
              </w:rPr>
              <w:fldChar w:fldCharType="begin"/>
            </w:r>
            <w:r w:rsidR="003B36AF" w:rsidRPr="00C828FC">
              <w:rPr>
                <w:b/>
                <w:i/>
                <w:sz w:val="18"/>
                <w:szCs w:val="18"/>
              </w:rPr>
              <w:instrText xml:space="preserve"> REF _Ref144910409 \h  \* MERGEFORMAT </w:instrText>
            </w:r>
            <w:r w:rsidR="003B36AF" w:rsidRPr="00C828FC">
              <w:rPr>
                <w:b/>
                <w:i/>
                <w:sz w:val="18"/>
                <w:szCs w:val="18"/>
              </w:rPr>
            </w:r>
            <w:r w:rsidR="003B36AF" w:rsidRPr="00C828FC">
              <w:rPr>
                <w:b/>
                <w:i/>
                <w:sz w:val="18"/>
                <w:szCs w:val="18"/>
              </w:rPr>
              <w:fldChar w:fldCharType="separate"/>
            </w:r>
            <w:r w:rsidR="00F25F8C" w:rsidRPr="00C828FC">
              <w:rPr>
                <w:b/>
                <w:i/>
                <w:sz w:val="18"/>
                <w:szCs w:val="18"/>
              </w:rPr>
              <w:t xml:space="preserve">Table SI. </w:t>
            </w:r>
            <w:r w:rsidR="00F25F8C" w:rsidRPr="00C828FC">
              <w:rPr>
                <w:b/>
                <w:i/>
                <w:noProof/>
                <w:sz w:val="18"/>
                <w:szCs w:val="18"/>
              </w:rPr>
              <w:t>85</w:t>
            </w:r>
            <w:r w:rsidR="003B36AF" w:rsidRPr="00C828FC">
              <w:rPr>
                <w:b/>
                <w:i/>
                <w:sz w:val="18"/>
                <w:szCs w:val="18"/>
              </w:rPr>
              <w:fldChar w:fldCharType="end"/>
            </w:r>
            <w:r w:rsidRPr="00C828FC">
              <w:rPr>
                <w:i/>
                <w:sz w:val="18"/>
                <w:szCs w:val="18"/>
              </w:rPr>
              <w:t>).</w:t>
            </w:r>
          </w:p>
        </w:tc>
      </w:tr>
      <w:tr w:rsidR="00847C80" w:rsidRPr="00C828FC" w14:paraId="1C5DC484"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vMerge/>
          </w:tcPr>
          <w:p w14:paraId="2D6E2150" w14:textId="77777777" w:rsidR="00847C80" w:rsidRPr="00C828FC" w:rsidRDefault="00847C80" w:rsidP="00847C80">
            <w:pPr>
              <w:rPr>
                <w:sz w:val="18"/>
                <w:szCs w:val="18"/>
              </w:rPr>
            </w:pPr>
          </w:p>
        </w:tc>
        <w:tc>
          <w:tcPr>
            <w:tcW w:w="1160" w:type="dxa"/>
          </w:tcPr>
          <w:p w14:paraId="7500B554" w14:textId="77777777" w:rsidR="00847C80" w:rsidRPr="00C828FC" w:rsidRDefault="00847C80" w:rsidP="003B36AF">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K</w:t>
            </w:r>
          </w:p>
        </w:tc>
        <w:tc>
          <w:tcPr>
            <w:tcW w:w="0" w:type="auto"/>
          </w:tcPr>
          <w:p w14:paraId="37394B5B"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64%</w:t>
            </w:r>
          </w:p>
        </w:tc>
        <w:tc>
          <w:tcPr>
            <w:tcW w:w="0" w:type="auto"/>
          </w:tcPr>
          <w:p w14:paraId="2C0CB501"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57%</w:t>
            </w:r>
          </w:p>
        </w:tc>
        <w:tc>
          <w:tcPr>
            <w:tcW w:w="0" w:type="auto"/>
          </w:tcPr>
          <w:p w14:paraId="7E88C41F"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78%</w:t>
            </w:r>
          </w:p>
        </w:tc>
        <w:tc>
          <w:tcPr>
            <w:tcW w:w="0" w:type="auto"/>
            <w:vMerge/>
          </w:tcPr>
          <w:p w14:paraId="5FD8D484" w14:textId="77777777" w:rsidR="00847C80" w:rsidRPr="00C828FC" w:rsidRDefault="00847C80" w:rsidP="003B36AF">
            <w:pPr>
              <w:jc w:val="both"/>
              <w:cnfStyle w:val="000000100000" w:firstRow="0" w:lastRow="0" w:firstColumn="0" w:lastColumn="0" w:oddVBand="0" w:evenVBand="0" w:oddHBand="1" w:evenHBand="0" w:firstRowFirstColumn="0" w:firstRowLastColumn="0" w:lastRowFirstColumn="0" w:lastRowLastColumn="0"/>
              <w:rPr>
                <w:i/>
                <w:sz w:val="18"/>
                <w:szCs w:val="18"/>
              </w:rPr>
            </w:pPr>
          </w:p>
        </w:tc>
      </w:tr>
      <w:tr w:rsidR="00847C80" w:rsidRPr="00C828FC" w14:paraId="0D5FF60A"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988" w:type="dxa"/>
            <w:vMerge/>
          </w:tcPr>
          <w:p w14:paraId="5448B965" w14:textId="77777777" w:rsidR="00847C80" w:rsidRPr="00C828FC" w:rsidRDefault="00847C80" w:rsidP="00847C80">
            <w:pPr>
              <w:rPr>
                <w:sz w:val="18"/>
                <w:szCs w:val="18"/>
              </w:rPr>
            </w:pPr>
          </w:p>
        </w:tc>
        <w:tc>
          <w:tcPr>
            <w:tcW w:w="1160" w:type="dxa"/>
          </w:tcPr>
          <w:p w14:paraId="04FD2F70" w14:textId="77777777" w:rsidR="00847C80" w:rsidRPr="00C828FC" w:rsidRDefault="00847C80" w:rsidP="003B36AF">
            <w:pPr>
              <w:jc w:val="right"/>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S</w:t>
            </w:r>
          </w:p>
        </w:tc>
        <w:tc>
          <w:tcPr>
            <w:tcW w:w="0" w:type="auto"/>
          </w:tcPr>
          <w:p w14:paraId="001183B4"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48%</w:t>
            </w:r>
          </w:p>
        </w:tc>
        <w:tc>
          <w:tcPr>
            <w:tcW w:w="0" w:type="auto"/>
            <w:gridSpan w:val="2"/>
          </w:tcPr>
          <w:p w14:paraId="3AF643B8"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n.a.</w:t>
            </w:r>
          </w:p>
        </w:tc>
        <w:tc>
          <w:tcPr>
            <w:tcW w:w="0" w:type="auto"/>
          </w:tcPr>
          <w:p w14:paraId="1490AD95" w14:textId="09DF3C36" w:rsidR="00847C80" w:rsidRPr="00C828FC" w:rsidRDefault="00847C80" w:rsidP="003B36AF">
            <w:pPr>
              <w:jc w:val="both"/>
              <w:cnfStyle w:val="000000000000" w:firstRow="0" w:lastRow="0" w:firstColumn="0" w:lastColumn="0" w:oddVBand="0" w:evenVBand="0" w:oddHBand="0" w:evenHBand="0" w:firstRowFirstColumn="0" w:firstRowLastColumn="0" w:lastRowFirstColumn="0" w:lastRowLastColumn="0"/>
              <w:rPr>
                <w:i/>
                <w:sz w:val="18"/>
                <w:szCs w:val="18"/>
              </w:rPr>
            </w:pPr>
            <w:r w:rsidRPr="00C828FC">
              <w:rPr>
                <w:i/>
                <w:sz w:val="18"/>
                <w:szCs w:val="18"/>
              </w:rPr>
              <w:t>Baseline as average of currently achieved yield</w:t>
            </w:r>
            <w:r w:rsidRPr="00C828FC">
              <w:rPr>
                <w:i/>
                <w:sz w:val="18"/>
                <w:szCs w:val="18"/>
              </w:rPr>
              <w:fldChar w:fldCharType="begin"/>
            </w:r>
            <w:r w:rsidR="00991F7C">
              <w:rPr>
                <w:i/>
                <w:sz w:val="18"/>
                <w:szCs w:val="18"/>
              </w:rPr>
              <w:instrText xml:space="preserve"> ADDIN ZOTERO_ITEM CSL_CITATION {"citationID":"5xDRJw9H","properties":{"formattedCitation":"\\super 310\\nosupersub{}","plainCitation":"310","noteIndex":0},"citationItems":[{"id":11139,"uris":["http://zotero.org/users/6423791/items/2VS9UQXE"],"itemData":{"id":11139,"type":"article-journal","abstract":"The use of semi-natural grasslands for the production of renewable energy through conventional conversion techniques faces major limitations because of chemical and physical properties of the biomass. A new conversion procedure was developed which separates the biomass, as silage, into a liquid phase for biogas production and into a solid fraction to be used as fuel. Separation (mechanical dehydration) is carried out with a screw press after mashing with water (hydrothermal conditioning). The effect of hydrothermal conditioning at different temperatures (5, 60 and 80°C) and mechanical dehydration on mass flows of plant compounds into the press fluid was investigated for five grassland pastures typical of mountain areas of Germany. Results show that 0·18 of the crude fibre was transferred into the fluid, whereas more digestible organic compounds, such as crude protein and nitrogen-free extract, showed mass flows of 0·40 and 0·31 respectively. While 0·52–0·89 of potassium (K), magnesium (Mg) and chloride (Cl), which are detrimental for the combustion of the press cake, were transferred into the press fluid, more than 0·50 of calcium, which has positive combustion properties, remained in the press cake. Significantly (P &lt; 0·05) higher mass flows were detected at conditioning temperatures of 60°C (K and Mg) and 80°C (crude fibre and nitrogen-free extract) compared with the 5°C treatment. Because of the separation of solids and liquids, high proportions of P (0·61–0·74) and K (0·64–0·85) but only 0·32–0·45 of nitrogen exported from the grassland would be recycled with an application of the digestates from the anaerobic digestion of the press liquid.","container-title":"Grass and Forage Science","DOI":"https://doi.org/10.1111/j.1365-2494.2009.00677.x","ISSN":"1365-2494","issue":"2","language":"en","license":"© 2009 Blackwell Publishing Ltd","note":"_eprint: https://onlinelibrary.wiley.com/doi/pdf/10.1111/j.1365-2494.2009.00677.x","page":"132-143","source":"Wiley Online Library","title":"Utilization of semi-natural grassland through integrated generation of solid fuel and biogas from biomass. I. Effects of hydrothermal conditioning and mechanical dehydration on mass flows of organic and mineral plant compounds, and nutrient balances","volume":"64","author":[{"family":"Wachendorf","given":"M."},{"family":"Richter","given":"F."},{"family":"Fricke","given":"T."},{"family":"Graß","given":"R."},{"family":"Neff","given":"R."}],"issued":{"date-parts":[["2009"]]}}}],"schema":"https://github.com/citation-style-language/schema/raw/master/csl-citation.json"} </w:instrText>
            </w:r>
            <w:r w:rsidRPr="00C828FC">
              <w:rPr>
                <w:i/>
                <w:sz w:val="18"/>
                <w:szCs w:val="18"/>
              </w:rPr>
              <w:fldChar w:fldCharType="separate"/>
            </w:r>
            <w:r w:rsidR="00991F7C" w:rsidRPr="00991F7C">
              <w:rPr>
                <w:rFonts w:ascii="Calibri" w:hAnsi="Calibri" w:cs="Calibri"/>
                <w:sz w:val="18"/>
                <w:szCs w:val="24"/>
                <w:vertAlign w:val="superscript"/>
              </w:rPr>
              <w:t>310</w:t>
            </w:r>
            <w:r w:rsidRPr="00C828FC">
              <w:rPr>
                <w:i/>
                <w:sz w:val="18"/>
                <w:szCs w:val="18"/>
              </w:rPr>
              <w:fldChar w:fldCharType="end"/>
            </w:r>
            <w:r w:rsidRPr="00C828FC">
              <w:rPr>
                <w:i/>
                <w:sz w:val="18"/>
                <w:szCs w:val="18"/>
              </w:rPr>
              <w:t>. Not a parameter for lack of data (</w:t>
            </w:r>
            <w:r w:rsidR="003B36AF" w:rsidRPr="00C828FC">
              <w:rPr>
                <w:b/>
                <w:i/>
                <w:sz w:val="18"/>
                <w:szCs w:val="18"/>
              </w:rPr>
              <w:fldChar w:fldCharType="begin"/>
            </w:r>
            <w:r w:rsidR="003B36AF" w:rsidRPr="00C828FC">
              <w:rPr>
                <w:b/>
                <w:i/>
                <w:sz w:val="18"/>
                <w:szCs w:val="18"/>
              </w:rPr>
              <w:instrText xml:space="preserve"> REF _Ref144910409 \h  \* MERGEFORMAT </w:instrText>
            </w:r>
            <w:r w:rsidR="003B36AF" w:rsidRPr="00C828FC">
              <w:rPr>
                <w:b/>
                <w:i/>
                <w:sz w:val="18"/>
                <w:szCs w:val="18"/>
              </w:rPr>
            </w:r>
            <w:r w:rsidR="003B36AF" w:rsidRPr="00C828FC">
              <w:rPr>
                <w:b/>
                <w:i/>
                <w:sz w:val="18"/>
                <w:szCs w:val="18"/>
              </w:rPr>
              <w:fldChar w:fldCharType="separate"/>
            </w:r>
            <w:r w:rsidR="00F25F8C" w:rsidRPr="00C828FC">
              <w:rPr>
                <w:b/>
                <w:i/>
                <w:sz w:val="18"/>
                <w:szCs w:val="18"/>
              </w:rPr>
              <w:t xml:space="preserve">Table SI. </w:t>
            </w:r>
            <w:r w:rsidR="00F25F8C" w:rsidRPr="00C828FC">
              <w:rPr>
                <w:b/>
                <w:i/>
                <w:noProof/>
                <w:sz w:val="18"/>
                <w:szCs w:val="18"/>
              </w:rPr>
              <w:t>85</w:t>
            </w:r>
            <w:r w:rsidR="003B36AF" w:rsidRPr="00C828FC">
              <w:rPr>
                <w:b/>
                <w:i/>
                <w:sz w:val="18"/>
                <w:szCs w:val="18"/>
              </w:rPr>
              <w:fldChar w:fldCharType="end"/>
            </w:r>
            <w:r w:rsidRPr="00C828FC">
              <w:rPr>
                <w:i/>
                <w:sz w:val="18"/>
                <w:szCs w:val="18"/>
              </w:rPr>
              <w:t>).</w:t>
            </w:r>
          </w:p>
        </w:tc>
      </w:tr>
      <w:tr w:rsidR="00847C80" w:rsidRPr="00C828FC" w14:paraId="0EAF377D"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vMerge/>
          </w:tcPr>
          <w:p w14:paraId="356E86FF" w14:textId="77777777" w:rsidR="00847C80" w:rsidRPr="00C828FC" w:rsidRDefault="00847C80" w:rsidP="00847C80">
            <w:pPr>
              <w:rPr>
                <w:sz w:val="18"/>
                <w:szCs w:val="18"/>
              </w:rPr>
            </w:pPr>
          </w:p>
        </w:tc>
        <w:tc>
          <w:tcPr>
            <w:tcW w:w="1160" w:type="dxa"/>
          </w:tcPr>
          <w:p w14:paraId="6C3DA24D" w14:textId="77777777" w:rsidR="00847C80" w:rsidRPr="00C828FC" w:rsidRDefault="00847C80" w:rsidP="003B36AF">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C</w:t>
            </w:r>
          </w:p>
        </w:tc>
        <w:tc>
          <w:tcPr>
            <w:tcW w:w="0" w:type="auto"/>
            <w:gridSpan w:val="3"/>
            <w:vMerge w:val="restart"/>
          </w:tcPr>
          <w:p w14:paraId="1388509F"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Proportionally adjusted to fit mass balance (so output)</w:t>
            </w:r>
          </w:p>
        </w:tc>
        <w:tc>
          <w:tcPr>
            <w:tcW w:w="0" w:type="auto"/>
            <w:vMerge w:val="restart"/>
          </w:tcPr>
          <w:p w14:paraId="6F89A5EC" w14:textId="77777777" w:rsidR="00847C80" w:rsidRPr="00C828FC" w:rsidRDefault="00847C80" w:rsidP="003B36AF">
            <w:pPr>
              <w:jc w:val="both"/>
              <w:cnfStyle w:val="000000100000" w:firstRow="0" w:lastRow="0" w:firstColumn="0" w:lastColumn="0" w:oddVBand="0" w:evenVBand="0" w:oddHBand="1" w:evenHBand="0" w:firstRowFirstColumn="0" w:firstRowLastColumn="0" w:lastRowFirstColumn="0" w:lastRowLastColumn="0"/>
              <w:rPr>
                <w:i/>
                <w:sz w:val="18"/>
                <w:szCs w:val="18"/>
              </w:rPr>
            </w:pPr>
            <w:r w:rsidRPr="00C828FC">
              <w:rPr>
                <w:i/>
                <w:sz w:val="18"/>
                <w:szCs w:val="18"/>
              </w:rPr>
              <w:t>No data. Calculated by mass balance</w:t>
            </w:r>
          </w:p>
        </w:tc>
      </w:tr>
      <w:tr w:rsidR="00847C80" w:rsidRPr="00C828FC" w14:paraId="2F86FDFF"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988" w:type="dxa"/>
            <w:vMerge/>
          </w:tcPr>
          <w:p w14:paraId="72F0677C" w14:textId="77777777" w:rsidR="00847C80" w:rsidRPr="00C828FC" w:rsidRDefault="00847C80" w:rsidP="00847C80">
            <w:pPr>
              <w:rPr>
                <w:sz w:val="18"/>
                <w:szCs w:val="18"/>
              </w:rPr>
            </w:pPr>
          </w:p>
        </w:tc>
        <w:tc>
          <w:tcPr>
            <w:tcW w:w="1160" w:type="dxa"/>
          </w:tcPr>
          <w:p w14:paraId="0BBEFF47" w14:textId="77777777" w:rsidR="00847C80" w:rsidRPr="00C828FC" w:rsidRDefault="00847C80" w:rsidP="003B36AF">
            <w:pPr>
              <w:jc w:val="right"/>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O</w:t>
            </w:r>
          </w:p>
        </w:tc>
        <w:tc>
          <w:tcPr>
            <w:tcW w:w="0" w:type="auto"/>
            <w:gridSpan w:val="3"/>
            <w:vMerge/>
          </w:tcPr>
          <w:p w14:paraId="39540AC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682D5E49" w14:textId="77777777" w:rsidR="00847C80" w:rsidRPr="00C828FC" w:rsidRDefault="00847C80" w:rsidP="003B36AF">
            <w:pPr>
              <w:jc w:val="both"/>
              <w:cnfStyle w:val="000000000000" w:firstRow="0" w:lastRow="0" w:firstColumn="0" w:lastColumn="0" w:oddVBand="0" w:evenVBand="0" w:oddHBand="0" w:evenHBand="0" w:firstRowFirstColumn="0" w:firstRowLastColumn="0" w:lastRowFirstColumn="0" w:lastRowLastColumn="0"/>
              <w:rPr>
                <w:i/>
                <w:sz w:val="18"/>
                <w:szCs w:val="18"/>
              </w:rPr>
            </w:pPr>
          </w:p>
        </w:tc>
      </w:tr>
      <w:tr w:rsidR="00847C80" w:rsidRPr="00C828FC" w14:paraId="29079B3A"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vMerge/>
          </w:tcPr>
          <w:p w14:paraId="68CAF38E" w14:textId="77777777" w:rsidR="00847C80" w:rsidRPr="00C828FC" w:rsidRDefault="00847C80" w:rsidP="00847C80">
            <w:pPr>
              <w:rPr>
                <w:sz w:val="18"/>
                <w:szCs w:val="18"/>
              </w:rPr>
            </w:pPr>
          </w:p>
        </w:tc>
        <w:tc>
          <w:tcPr>
            <w:tcW w:w="1160" w:type="dxa"/>
          </w:tcPr>
          <w:p w14:paraId="4CEE7935" w14:textId="77777777" w:rsidR="00847C80" w:rsidRPr="00C828FC" w:rsidRDefault="00847C80" w:rsidP="003B36AF">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H</w:t>
            </w:r>
          </w:p>
        </w:tc>
        <w:tc>
          <w:tcPr>
            <w:tcW w:w="0" w:type="auto"/>
            <w:gridSpan w:val="3"/>
            <w:vMerge/>
          </w:tcPr>
          <w:p w14:paraId="73ACD24C"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tcPr>
          <w:p w14:paraId="480CAAF7" w14:textId="77777777" w:rsidR="00847C80" w:rsidRPr="00C828FC" w:rsidRDefault="00847C80" w:rsidP="003B36AF">
            <w:pPr>
              <w:jc w:val="both"/>
              <w:cnfStyle w:val="000000100000" w:firstRow="0" w:lastRow="0" w:firstColumn="0" w:lastColumn="0" w:oddVBand="0" w:evenVBand="0" w:oddHBand="1" w:evenHBand="0" w:firstRowFirstColumn="0" w:firstRowLastColumn="0" w:lastRowFirstColumn="0" w:lastRowLastColumn="0"/>
              <w:rPr>
                <w:i/>
                <w:sz w:val="18"/>
                <w:szCs w:val="18"/>
              </w:rPr>
            </w:pPr>
          </w:p>
        </w:tc>
      </w:tr>
      <w:tr w:rsidR="00847C80" w:rsidRPr="00C828FC" w14:paraId="3B4124D8"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988" w:type="dxa"/>
            <w:vMerge w:val="restart"/>
          </w:tcPr>
          <w:p w14:paraId="23DABD37" w14:textId="77777777" w:rsidR="00847C80" w:rsidRPr="00C828FC" w:rsidRDefault="00847C80" w:rsidP="00847C80">
            <w:pPr>
              <w:rPr>
                <w:sz w:val="18"/>
                <w:szCs w:val="18"/>
              </w:rPr>
            </w:pPr>
            <w:r w:rsidRPr="00C828FC">
              <w:rPr>
                <w:sz w:val="18"/>
                <w:szCs w:val="18"/>
              </w:rPr>
              <w:t>kWh.t</w:t>
            </w:r>
            <w:r w:rsidRPr="00C828FC">
              <w:rPr>
                <w:sz w:val="18"/>
                <w:szCs w:val="18"/>
                <w:vertAlign w:val="subscript"/>
              </w:rPr>
              <w:t>ww</w:t>
            </w:r>
            <w:r w:rsidRPr="00C828FC">
              <w:rPr>
                <w:sz w:val="18"/>
                <w:szCs w:val="18"/>
                <w:vertAlign w:val="superscript"/>
              </w:rPr>
              <w:t>-1</w:t>
            </w:r>
          </w:p>
        </w:tc>
        <w:tc>
          <w:tcPr>
            <w:tcW w:w="1160" w:type="dxa"/>
          </w:tcPr>
          <w:p w14:paraId="1999A2DA" w14:textId="77777777" w:rsidR="00847C80" w:rsidRPr="00C828FC" w:rsidRDefault="00847C80" w:rsidP="003B36AF">
            <w:pPr>
              <w:jc w:val="right"/>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maceration</w:t>
            </w:r>
          </w:p>
        </w:tc>
        <w:tc>
          <w:tcPr>
            <w:tcW w:w="0" w:type="auto"/>
          </w:tcPr>
          <w:p w14:paraId="36093DB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4.1</w:t>
            </w:r>
          </w:p>
        </w:tc>
        <w:tc>
          <w:tcPr>
            <w:tcW w:w="0" w:type="auto"/>
          </w:tcPr>
          <w:p w14:paraId="1B90877E"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2.8</w:t>
            </w:r>
          </w:p>
        </w:tc>
        <w:tc>
          <w:tcPr>
            <w:tcW w:w="0" w:type="auto"/>
          </w:tcPr>
          <w:p w14:paraId="12AABE9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8.3</w:t>
            </w:r>
          </w:p>
        </w:tc>
        <w:tc>
          <w:tcPr>
            <w:tcW w:w="0" w:type="auto"/>
          </w:tcPr>
          <w:p w14:paraId="3B5EB48C" w14:textId="55CF5611" w:rsidR="00847C80" w:rsidRPr="00C828FC" w:rsidRDefault="00847C80" w:rsidP="003B36AF">
            <w:pPr>
              <w:jc w:val="both"/>
              <w:cnfStyle w:val="000000000000" w:firstRow="0" w:lastRow="0" w:firstColumn="0" w:lastColumn="0" w:oddVBand="0" w:evenVBand="0" w:oddHBand="0" w:evenHBand="0" w:firstRowFirstColumn="0" w:firstRowLastColumn="0" w:lastRowFirstColumn="0" w:lastRowLastColumn="0"/>
              <w:rPr>
                <w:i/>
                <w:sz w:val="18"/>
                <w:szCs w:val="18"/>
              </w:rPr>
            </w:pPr>
            <w:r w:rsidRPr="00C828FC">
              <w:rPr>
                <w:i/>
                <w:sz w:val="18"/>
                <w:szCs w:val="18"/>
              </w:rPr>
              <w:t>Range between current pilots</w:t>
            </w:r>
            <w:r w:rsidRPr="00C828FC">
              <w:rPr>
                <w:i/>
                <w:sz w:val="18"/>
                <w:szCs w:val="18"/>
              </w:rPr>
              <w:fldChar w:fldCharType="begin"/>
            </w:r>
            <w:r w:rsidR="005413B4">
              <w:rPr>
                <w:i/>
                <w:sz w:val="18"/>
                <w:szCs w:val="18"/>
              </w:rPr>
              <w:instrText xml:space="preserve"> ADDIN ZOTERO_ITEM CSL_CITATION {"citationID":"00jqlPQi","properties":{"formattedCitation":"\\super 290\\nosupersub{}","plainCitation":"290","noteIndex":0},"citationItems":[{"id":392,"uris":["http://zotero.org/users/6423791/items/P3739BFG"],"itemData":{"id":392,"type":"article-journal","abstract":"The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Zwicky"},{"family":"Birkved","given":"Morten"}],"issued":{"date-parts":[["2018",9]]}}}],"schema":"https://github.com/citation-style-language/schema/raw/master/csl-citation.json"} </w:instrText>
            </w:r>
            <w:r w:rsidRPr="00C828FC">
              <w:rPr>
                <w:i/>
                <w:sz w:val="18"/>
                <w:szCs w:val="18"/>
              </w:rPr>
              <w:fldChar w:fldCharType="separate"/>
            </w:r>
            <w:r w:rsidR="005413B4" w:rsidRPr="005413B4">
              <w:rPr>
                <w:rFonts w:ascii="Calibri" w:hAnsi="Calibri" w:cs="Calibri"/>
                <w:sz w:val="18"/>
                <w:szCs w:val="24"/>
                <w:vertAlign w:val="superscript"/>
              </w:rPr>
              <w:t>290</w:t>
            </w:r>
            <w:r w:rsidRPr="00C828FC">
              <w:rPr>
                <w:i/>
                <w:sz w:val="18"/>
                <w:szCs w:val="18"/>
              </w:rPr>
              <w:fldChar w:fldCharType="end"/>
            </w:r>
            <w:r w:rsidRPr="00C828FC">
              <w:rPr>
                <w:i/>
                <w:sz w:val="18"/>
                <w:szCs w:val="18"/>
              </w:rPr>
              <w:t xml:space="preserve"> and scaled estimations</w:t>
            </w:r>
            <w:r w:rsidRPr="00C828FC">
              <w:rPr>
                <w:i/>
                <w:sz w:val="18"/>
                <w:szCs w:val="18"/>
              </w:rPr>
              <w:fldChar w:fldCharType="begin"/>
            </w:r>
            <w:r w:rsidR="005413B4">
              <w:rPr>
                <w:i/>
                <w:sz w:val="18"/>
                <w:szCs w:val="18"/>
              </w:rPr>
              <w:instrText xml:space="preserve"> ADDIN ZOTERO_ITEM CSL_CITATION {"citationID":"QNySToIa","properties":{"formattedCitation":"\\super 323\\nosupersub{}","plainCitation":"323","noteIndex":0},"citationItems":[{"id":13851,"uris":["http://zotero.org/users/6423791/items/NTX9MTYI"],"itemData":{"id":13851,"type":"article-journal","container-title":"Transactions of the ASABE","DOI":"10.13031/2013.34886","ISSN":"2151-0040","issue":"5","language":"en","page":"1639-1651","source":"DOI.org (Crossref)","title":"Knife Mill Comminution Energy Analysis of Switchgrass, Wheat Straw, and Corn Stover and Characterization of Particle Size Distributions","volume":"53","author":[{"family":"Bitra","given":"V. S. P."},{"family":"Womac","given":"A. R."},{"family":"Igathinathane","given":"C."},{"family":"Sokhansanj","given":"S."}],"issued":{"date-parts":[["2010"]]}}}],"schema":"https://github.com/citation-style-language/schema/raw/master/csl-citation.json"} </w:instrText>
            </w:r>
            <w:r w:rsidRPr="00C828FC">
              <w:rPr>
                <w:i/>
                <w:sz w:val="18"/>
                <w:szCs w:val="18"/>
              </w:rPr>
              <w:fldChar w:fldCharType="separate"/>
            </w:r>
            <w:r w:rsidR="005413B4" w:rsidRPr="005413B4">
              <w:rPr>
                <w:rFonts w:ascii="Calibri" w:hAnsi="Calibri" w:cs="Calibri"/>
                <w:sz w:val="18"/>
                <w:szCs w:val="24"/>
                <w:vertAlign w:val="superscript"/>
              </w:rPr>
              <w:t>323</w:t>
            </w:r>
            <w:r w:rsidRPr="00C828FC">
              <w:rPr>
                <w:i/>
                <w:sz w:val="18"/>
                <w:szCs w:val="18"/>
              </w:rPr>
              <w:fldChar w:fldCharType="end"/>
            </w:r>
            <w:r w:rsidRPr="00C828FC">
              <w:rPr>
                <w:i/>
                <w:sz w:val="18"/>
                <w:szCs w:val="18"/>
              </w:rPr>
              <w:t>.</w:t>
            </w:r>
          </w:p>
        </w:tc>
      </w:tr>
      <w:tr w:rsidR="00847C80" w:rsidRPr="00C828FC" w14:paraId="280F1078"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88" w:type="dxa"/>
            <w:vMerge/>
          </w:tcPr>
          <w:p w14:paraId="4D2F3EF8" w14:textId="77777777" w:rsidR="00847C80" w:rsidRPr="00C828FC" w:rsidRDefault="00847C80" w:rsidP="00847C80">
            <w:pPr>
              <w:rPr>
                <w:b w:val="0"/>
                <w:sz w:val="18"/>
                <w:szCs w:val="18"/>
              </w:rPr>
            </w:pPr>
          </w:p>
        </w:tc>
        <w:tc>
          <w:tcPr>
            <w:tcW w:w="1160" w:type="dxa"/>
          </w:tcPr>
          <w:p w14:paraId="288F9B65" w14:textId="77777777" w:rsidR="00847C80" w:rsidRPr="00C828FC" w:rsidRDefault="00847C80" w:rsidP="003B36AF">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pressing</w:t>
            </w:r>
          </w:p>
        </w:tc>
        <w:tc>
          <w:tcPr>
            <w:tcW w:w="0" w:type="auto"/>
          </w:tcPr>
          <w:p w14:paraId="2849295D"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3.4</w:t>
            </w:r>
          </w:p>
        </w:tc>
        <w:tc>
          <w:tcPr>
            <w:tcW w:w="0" w:type="auto"/>
          </w:tcPr>
          <w:p w14:paraId="19C4AD0E"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2.3</w:t>
            </w:r>
          </w:p>
        </w:tc>
        <w:tc>
          <w:tcPr>
            <w:tcW w:w="0" w:type="auto"/>
          </w:tcPr>
          <w:p w14:paraId="292FA484"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4.5</w:t>
            </w:r>
          </w:p>
        </w:tc>
        <w:tc>
          <w:tcPr>
            <w:tcW w:w="0" w:type="auto"/>
          </w:tcPr>
          <w:p w14:paraId="23C718CC" w14:textId="7023D067" w:rsidR="00847C80" w:rsidRPr="00C828FC" w:rsidRDefault="00847C80" w:rsidP="003B36AF">
            <w:pPr>
              <w:keepNext/>
              <w:jc w:val="both"/>
              <w:cnfStyle w:val="000000100000" w:firstRow="0" w:lastRow="0" w:firstColumn="0" w:lastColumn="0" w:oddVBand="0" w:evenVBand="0" w:oddHBand="1" w:evenHBand="0" w:firstRowFirstColumn="0" w:firstRowLastColumn="0" w:lastRowFirstColumn="0" w:lastRowLastColumn="0"/>
              <w:rPr>
                <w:i/>
                <w:sz w:val="18"/>
                <w:szCs w:val="18"/>
              </w:rPr>
            </w:pPr>
            <w:r w:rsidRPr="00C828FC">
              <w:rPr>
                <w:i/>
                <w:sz w:val="18"/>
                <w:szCs w:val="18"/>
              </w:rPr>
              <w:t>Range between twin and single screw-press (</w:t>
            </w:r>
            <w:r w:rsidR="003B36AF" w:rsidRPr="00C828FC">
              <w:rPr>
                <w:b/>
                <w:i/>
                <w:sz w:val="18"/>
                <w:szCs w:val="18"/>
              </w:rPr>
              <w:fldChar w:fldCharType="begin"/>
            </w:r>
            <w:r w:rsidR="003B36AF" w:rsidRPr="00C828FC">
              <w:rPr>
                <w:b/>
                <w:i/>
                <w:sz w:val="18"/>
                <w:szCs w:val="18"/>
              </w:rPr>
              <w:instrText xml:space="preserve"> REF _Ref144910409 \h  \* MERGEFORMAT </w:instrText>
            </w:r>
            <w:r w:rsidR="003B36AF" w:rsidRPr="00C828FC">
              <w:rPr>
                <w:b/>
                <w:i/>
                <w:sz w:val="18"/>
                <w:szCs w:val="18"/>
              </w:rPr>
            </w:r>
            <w:r w:rsidR="003B36AF" w:rsidRPr="00C828FC">
              <w:rPr>
                <w:b/>
                <w:i/>
                <w:sz w:val="18"/>
                <w:szCs w:val="18"/>
              </w:rPr>
              <w:fldChar w:fldCharType="separate"/>
            </w:r>
            <w:r w:rsidR="00F25F8C" w:rsidRPr="00C828FC">
              <w:rPr>
                <w:b/>
                <w:i/>
                <w:sz w:val="18"/>
                <w:szCs w:val="18"/>
              </w:rPr>
              <w:t xml:space="preserve">Table SI. </w:t>
            </w:r>
            <w:r w:rsidR="00F25F8C" w:rsidRPr="00C828FC">
              <w:rPr>
                <w:b/>
                <w:i/>
                <w:noProof/>
                <w:sz w:val="18"/>
                <w:szCs w:val="18"/>
              </w:rPr>
              <w:t>85</w:t>
            </w:r>
            <w:r w:rsidR="003B36AF" w:rsidRPr="00C828FC">
              <w:rPr>
                <w:b/>
                <w:i/>
                <w:sz w:val="18"/>
                <w:szCs w:val="18"/>
              </w:rPr>
              <w:fldChar w:fldCharType="end"/>
            </w:r>
            <w:r w:rsidRPr="00C828FC">
              <w:rPr>
                <w:i/>
                <w:sz w:val="18"/>
                <w:szCs w:val="18"/>
              </w:rPr>
              <w:t>).</w:t>
            </w:r>
          </w:p>
        </w:tc>
      </w:tr>
    </w:tbl>
    <w:p w14:paraId="64F79492" w14:textId="35A0BEF6" w:rsidR="00847C80" w:rsidRPr="000E1D61" w:rsidRDefault="00847C80" w:rsidP="00942782">
      <w:pPr>
        <w:jc w:val="right"/>
        <w:rPr>
          <w:sz w:val="18"/>
        </w:rPr>
      </w:pPr>
      <w:r w:rsidRPr="000E1D61">
        <w:rPr>
          <w:sz w:val="18"/>
          <w:vertAlign w:val="superscript"/>
        </w:rPr>
        <w:t>*</w:t>
      </w:r>
      <w:r w:rsidRPr="000E1D61">
        <w:rPr>
          <w:sz w:val="18"/>
        </w:rPr>
        <w:t xml:space="preserve">: </w:t>
      </w:r>
      <w:r>
        <w:rPr>
          <w:sz w:val="18"/>
        </w:rPr>
        <w:t>seen valid for grass silage under 30%</w:t>
      </w:r>
      <w:r w:rsidRPr="000E1D61">
        <w:rPr>
          <w:sz w:val="18"/>
          <w:vertAlign w:val="subscript"/>
        </w:rPr>
        <w:t>DM</w:t>
      </w:r>
      <w:r>
        <w:rPr>
          <w:sz w:val="18"/>
          <w:vertAlign w:val="subscript"/>
        </w:rPr>
        <w:fldChar w:fldCharType="begin"/>
      </w:r>
      <w:r w:rsidR="00991F7C">
        <w:rPr>
          <w:sz w:val="18"/>
          <w:vertAlign w:val="subscript"/>
        </w:rPr>
        <w:instrText xml:space="preserve"> ADDIN ZOTERO_ITEM CSL_CITATION {"citationID":"uoN6c3KN","properties":{"formattedCitation":"\\super 311\\nosupersub{}","plainCitation":"311","noteIndex":0},"citationItems":[{"id":10931,"uris":["http://zotero.org/users/6423791/items/52ZVTHWD"],"itemData":{"id":10931,"type":"article-journal","abstract":"This meta-analysis based on 19 studies from Finland comprising 43 grass silages was undertaken to evaluate the effect of silage quality on liquid yield, liquid composition and retained compounds in liquid using four different liquid–solid separation methods. Silages were classified according to species (grass, clover or a mixture of them), additive treatment (no, biological or formic acid-based additive) and harvest (primary growth or regrowth). A mixed model regression analysis with random study effect was used to evaluate the impact of silage characteristics on biorefinery efficiency. There was a large variation in silage quality in the data set. Silage dry-matter concentration was the characteristic most highly correlated with liquid yield for all separation methods, and when used as an independent variable in the model, it resulted in the best predictions. The liquid–solid separation methods presented a great variation in the liquid yield, ranging from 0.26 to 0.56 when silage dry-matter concentration was standardized to 250 g/kg. There was no effect of additive treatment and harvest in the estimation of the biorefinery potential, but species was a significant variable in predicting liquid yield for the laboratory-scale presses with higher liquid yield for mixed grass and legume. The high correlation between silage quality and liquid yield and liquid composition provides potential to predict the biorefinery potential based on equations developed for each separation method. This information can be used to modify the silage production systems so that they best meet the requirements of a green biorefinery process.","container-title":"Grass and Forage Science","DOI":"https://doi.org/10.1111/gfs.12421","ISSN":"1365-2494","issue":"2","language":"en","license":"© 2019 John Wiley &amp; Sons Ltd","note":"_eprint: https://onlinelibrary.wiley.com/doi/pdf/10.1111/gfs.12421","page":"218-230","source":"Wiley Online Library","title":"Grass silage for biorefinery—A meta-analysis of silage factors affecting liquid–solid separation","volume":"74","author":[{"family":"Franco","given":"Marcia"},{"family":"Hurme","given":"Timo"},{"family":"Winquist","given":"Erika"},{"family":"Rinne","given":"Marketta"}],"issued":{"date-parts":[["2019"]]}}}],"schema":"https://github.com/citation-style-language/schema/raw/master/csl-citation.json"} </w:instrText>
      </w:r>
      <w:r>
        <w:rPr>
          <w:sz w:val="18"/>
          <w:vertAlign w:val="subscript"/>
        </w:rPr>
        <w:fldChar w:fldCharType="separate"/>
      </w:r>
      <w:r w:rsidR="00991F7C" w:rsidRPr="00991F7C">
        <w:rPr>
          <w:rFonts w:ascii="Calibri" w:hAnsi="Calibri" w:cs="Calibri"/>
          <w:sz w:val="18"/>
          <w:szCs w:val="24"/>
          <w:vertAlign w:val="superscript"/>
        </w:rPr>
        <w:t>311</w:t>
      </w:r>
      <w:r>
        <w:rPr>
          <w:sz w:val="18"/>
          <w:vertAlign w:val="subscript"/>
        </w:rPr>
        <w:fldChar w:fldCharType="end"/>
      </w:r>
      <w:r>
        <w:rPr>
          <w:sz w:val="18"/>
        </w:rPr>
        <w:t>.</w:t>
      </w:r>
    </w:p>
    <w:p w14:paraId="090BA219" w14:textId="77777777" w:rsidR="00847C80" w:rsidRPr="00847C80" w:rsidRDefault="00847C80" w:rsidP="003B36AF">
      <w:pPr>
        <w:pStyle w:val="Titre4"/>
      </w:pPr>
      <w:r w:rsidRPr="00847C80">
        <w:t>Protein recovery</w:t>
      </w:r>
    </w:p>
    <w:p w14:paraId="1E5652A1" w14:textId="46B03E24" w:rsidR="00C828FC" w:rsidRDefault="00847C80" w:rsidP="003B36AF">
      <w:pPr>
        <w:ind w:firstLine="360"/>
        <w:jc w:val="both"/>
      </w:pPr>
      <w:r>
        <w:t>The goal of this stage is to recover as much feed-grade proteins as possible from the green juice</w:t>
      </w:r>
      <w:r w:rsidRPr="00F54FAB">
        <w:t>.</w:t>
      </w:r>
      <w:r>
        <w:t xml:space="preserve"> In this case, the preferred method is protein coagulation which can be thermal, acid or biological, followed by a decanter/centrifuge to recover the “green protein’ fraction. The co-product of this stage is the supernatant also referred to as “brown juice”. In this model, a heat treatment at 80°C was selected. Indeed, this treatment is recognized to maximize proteins recovery</w:t>
      </w:r>
      <w:r>
        <w:fldChar w:fldCharType="begin"/>
      </w:r>
      <w:r w:rsidR="005413B4">
        <w:instrText xml:space="preserve"> ADDIN ZOTERO_ITEM CSL_CITATION {"citationID":"7OEHIRDX","properties":{"formattedCitation":"\\super 272,276,290\\nosupersub{}","plainCitation":"272,276,290","noteIndex":0},"citationItems":[{"id":392,"uris":["http://zotero.org/users/6423791/items/P3739BFG"],"itemData":{"id":392,"type":"article-journal","abstract":"The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Zwicky"},{"family":"Birkved","given":"Morten"}],"issued":{"date-parts":[["2018",9]]}}},{"id":9255,"uris":["http://zotero.org/users/6423791/items/9EZA9MQK"],"itemData":{"id":9255,"type":"article-journal","abstract":"Large-scale processing of leaves for food applications requires quick processing or stabilisation to avoid perishability, due to the high moisture content in this biomass. Leaf perishability is compounded by the seasonal availability of crops, like sugar beet plants, of which the leaves are regarded as a potential protein source. This study evaluates the resource efficiency of a hypothetical sugar beet leaf processing chain by comparing supply chain options. First, two options consider leaf processing with and without stabilising the leaves by freezing. Then, these two options are considered in a centralised and decentralised process configuration. The latter places leaf freezing and pressing at the farm and further processes occur at a central facility. Energy usage and exergy consumption were used to quantify the thermodynamic performance of the processing options. Freezing has negligible effect on the process-ability of the leaves in terms of protein content and protein yield. The overall resource efficiency of the process was dominated by the amount of leaf material effectively used, which stresses the importance of full use of all (side-)streams. This outcome also explains the limited additional energy requirements for freezing. Exergetic indicators were affected by variations on the dry matter content of the starting biomass, compared to a negligible effect of other parameters (equipment scale, efficiency or energy use). Transportation load and soil quality were also discussed for the centralised and decentralised configurations. On-farm processing of the leaves (decentralised chain) clearly reduces the transportation load due to the large difference in bulk densities of leaves (73 kg/m3) and leaf juice (1000 kg/m3). Additionally, decentralised scenarios enable direct returning of the leaf pulp to the soil and thereby improving soil quality (i.e. nutrient retention and fertility). Soil quality is required to fully assess the use of biomass that is currently regarded as waste, but that actually plays a role in soil fertility. Therefore, the preferred chain configuration would be a decentralised system where the leaves are directly pressed at the farm, the pulp is used to fertilise the soil, and the leaf juice is chilled transported to a centralised factory.","container-title":"Journal of Cleaner Production","DOI":"10.1016/j.jclepro.2017.06.248","ISSN":"0959-6526","journalAbbreviation":"J. Clean. Prod.","language":"en","page":"736-748","source":"ScienceDirect","title":"Processing concepts for the use of green leaves as raw materials for the food industry","volume":"164","author":[{"family":"Tamayo Tenorio","given":"A."},{"family":"Schreuders","given":"F. K. G."},{"family":"Zisopoulos","given":"F. K."},{"family":"Boom","given":"R. M."},{"family":"Goot","given":"A. J.","non-dropping-particle":"van der"}],"issued":{"date-parts":[["2017",10,15]]}}},{"id":13783,"uris":["http://zotero.org/users/6423791/items/PM47CACP"],"itemData":{"id":13783,"type":"article-journal","abstract":"Nowadays, cassava leaves are mostly treated as a byproduct of cassava root production, yet this readily available biomass is rich in protein with a balanced content of amino acids. Cassava leaves therefore represent a promising, underutilized biomass for extraction of proteins. The purpose of this study was to provide updated information on the feasibility of producing cassava leaf protein concentrate for use in feed and food. In this context, protein concentrates were refined from cassava leaves using different precipitation methods and the refining process evaluated with focus on protein, amino acids and selected antinutritional factors. Crude protein was mainly distributed to the press cake and protein concentrates during the two processing steps, i.e., pressing and precipitation, and between 21% and 26% (w/w) of leaf crude protein was recovered in the concentrates. After drying, these contained 40–45% crude protein with an amino acid profile comparable to soybean and tolerable levels of tannins (&gt;1% of TS) for feed purposes. However, the refining process did not significantly reduce the cyanogenic potential, i.e., the total amount of releasable HCN, which accumulated in the dried protein product to around 150–250 ppm. This lies significantly above the 10–50 ppm deemed safe for food and feedstuff by several food safety authorities. Based on these results, extraction of leaf protein from cassava appears promising, but additional research is required to evaluate its full potential, especially in relation to its use in food products.","container-title":"Journal of Cleaner Production","DOI":"10.1016/j.jclepro.2022.134730","ISSN":"0959-6526","journalAbbreviation":"Journal of Cleaner Production","language":"en","page":"134730","source":"ScienceDirect","title":"Production of leaf protein concentrates from cassava: Protein distribution and anti-nutritional factors in biorefining fractions","title-short":"Production of leaf protein concentrates from cassava","volume":"379","author":[{"family":"Gundersen","given":"E."},{"family":"Christiansen","given":"A. H. C."},{"family":"Jørgensen","given":"K."},{"family":"Lübeck","given":"M."}],"issued":{"date-parts":[["2022",12,15]]}}}],"schema":"https://github.com/citation-style-language/schema/raw/master/csl-citation.json"} </w:instrText>
      </w:r>
      <w:r>
        <w:fldChar w:fldCharType="separate"/>
      </w:r>
      <w:r w:rsidR="005413B4" w:rsidRPr="005413B4">
        <w:rPr>
          <w:rFonts w:ascii="Calibri" w:hAnsi="Calibri" w:cs="Calibri"/>
          <w:szCs w:val="24"/>
          <w:vertAlign w:val="superscript"/>
        </w:rPr>
        <w:t>272,276,290</w:t>
      </w:r>
      <w:r>
        <w:fldChar w:fldCharType="end"/>
      </w:r>
      <w:r>
        <w:t xml:space="preserve"> and is proven at industrial scale</w:t>
      </w:r>
      <w:bookmarkStart w:id="376" w:name="_Hlk143522741"/>
      <w:r>
        <w:fldChar w:fldCharType="begin"/>
      </w:r>
      <w:r w:rsidR="005413B4">
        <w:instrText xml:space="preserve"> ADDIN ZOTERO_ITEM CSL_CITATION {"citationID":"Fchaegy1","properties":{"formattedCitation":"\\super 266\\nosupersub{}","plainCitation":"266","noteIndex":0},"citationItems":[{"id":11340,"uris":["http://zotero.org/users/6423791/items/WY7NQ5DU"],"itemData":{"id":11340,"type":"report","abstract":"Industrial extraction of proteins and pigments from alfalfa makes it possible to obtain from leaves of this forage legume protein concentrates with a high content in pigments and omega-3 fatty acids. The high tech process is less energy consuming than the classical dehydration process, even when considering the large energy savings made for forage dehydration during the last two years. Today, the main commercial outlets for this concentrate are the market of protein concentrate for herbivores, the one of pigments for poultry production and also the market of omega-3 rich feeds for ruminants.","archive_location":"hal-02658324","collection-title":"Innovations Agronomiques","language":"fr","page":"147-156","publisher":"INRAE","source":"Zotero","title":"Extraction industrielle de protéines et de pigments chez la luzerne: état des lieux et perspectives","URL":"https://hal.inrae.fr/hal-02658324/document","author":[{"family":"Andurand","given":"J"},{"family":"Coulmier","given":"D"},{"family":"Despres","given":"J L"},{"family":"Rambourg","given":"J C"}],"issued":{"date-parts":[["2010"]]}}}],"schema":"https://github.com/citation-style-language/schema/raw/master/csl-citation.json"} </w:instrText>
      </w:r>
      <w:r>
        <w:fldChar w:fldCharType="separate"/>
      </w:r>
      <w:r w:rsidR="005413B4" w:rsidRPr="005413B4">
        <w:rPr>
          <w:rFonts w:ascii="Calibri" w:hAnsi="Calibri" w:cs="Calibri"/>
          <w:szCs w:val="24"/>
          <w:vertAlign w:val="superscript"/>
        </w:rPr>
        <w:t>266</w:t>
      </w:r>
      <w:r>
        <w:fldChar w:fldCharType="end"/>
      </w:r>
      <w:bookmarkEnd w:id="376"/>
      <w:r>
        <w:t xml:space="preserve"> (which is not the case for e.g. lactic acid fermentation still under development</w:t>
      </w:r>
      <w:r>
        <w:fldChar w:fldCharType="begin"/>
      </w:r>
      <w:r w:rsidR="005413B4">
        <w:instrText xml:space="preserve"> ADDIN ZOTERO_ITEM CSL_CITATION {"citationID":"xVKf2UUk","properties":{"formattedCitation":"\\super 320\\nosupersub{}","plainCitation":"320","noteIndex":0},"citationItems":[{"id":7932,"uris":["http://zotero.org/users/6423791/items/PPC35VRK"],"itemData":{"id":7932,"type":"article-journal","abstract":"There is an increasing interest in green biorefineries for the utilization of green biomass to provide a variety of valuable products. Proteins can be extracted from green biomasses such as alfalfa, clover, or grass and separated into protein-rich concentrates suitable for feeding to monogastric animals. Press cake suitable for feeding ruminant animals is also produced. Full implementation of such a green biorefinery requires knowledge and experience of production at demonstration scale. Moreover, product evaluation in animal-feeding trials requires a large amount of product. There has been collaboration in Denmark between several partners from industry and academia to assess the practicality and scalability of a green biorefining plant producing protein concentrate and press cake silage from organic grass clover at the scale of ca. 10 tons per hour fresh biomass input. Lactic acid fermentation of the pressed green juice was successfully performed to precipitate proteins and stabilize the juice. Despite minor difficulties, the demonstration-scale biorefining plant was operative for four days, processed 444 tons of grass clover, and resulted in the overall production of 1 ton of dried protein concentrate, 7 tons of protein paste, and 223 tons of press cake silage. The protein concentrate was rich in essential amino acids and was tested in feeding trials with poultry; the press cake silage, rich in processed fibers and fiber-associated proteins, was tested in feeding trials with dairy cows. © 2018 Society of Chemical Industry and John Wiley &amp; Sons, Ltd","container-title":"Biofuels, Bioproducts and Biorefining","DOI":"https://doi.org/10.1002/bbb.1957","ISSN":"1932-1031","issue":"3","language":"en","license":"© 2018 Society of Chemical Industry and John Wiley &amp; Sons, Ltd","page":"502-513","source":"Wiley Online Library","title":"Demonstration-scale protein recovery by lactic acid fermentation from grass clover – a single case of the production of protein concentrate and press cake silage for animal feeding trials","volume":"13","author":[{"family":"Santamaría-Fernández","given":"Maria"},{"family":"Ambye‐Jensen","given":"Morten"},{"family":"Damborg","given":"Vinni K."},{"family":"Lübeck","given":"Mette"}],"issued":{"date-parts":[["2019"]]}}}],"schema":"https://github.com/citation-style-language/schema/raw/master/csl-citation.json"} </w:instrText>
      </w:r>
      <w:r>
        <w:fldChar w:fldCharType="separate"/>
      </w:r>
      <w:r w:rsidR="005413B4" w:rsidRPr="005413B4">
        <w:rPr>
          <w:rFonts w:ascii="Calibri" w:hAnsi="Calibri" w:cs="Calibri"/>
          <w:szCs w:val="24"/>
          <w:vertAlign w:val="superscript"/>
        </w:rPr>
        <w:t>320</w:t>
      </w:r>
      <w:r>
        <w:fldChar w:fldCharType="end"/>
      </w:r>
      <w:r>
        <w:t xml:space="preserve">). As </w:t>
      </w:r>
      <w:r w:rsidRPr="003B36AF">
        <w:t>developed for</w:t>
      </w:r>
      <w:r w:rsidR="003B36AF" w:rsidRPr="003B36AF">
        <w:t xml:space="preserve"> the juice separation stage</w:t>
      </w:r>
      <w:r w:rsidRPr="003B36AF">
        <w:t>, a literature</w:t>
      </w:r>
      <w:r>
        <w:t xml:space="preserve"> benchmark was established to capture the variation ranges of the key parameters of this unit operation (</w:t>
      </w:r>
      <w:r w:rsidR="003B36AF" w:rsidRPr="003B36AF">
        <w:rPr>
          <w:b/>
        </w:rPr>
        <w:fldChar w:fldCharType="begin"/>
      </w:r>
      <w:r w:rsidR="003B36AF" w:rsidRPr="003B36AF">
        <w:rPr>
          <w:b/>
        </w:rPr>
        <w:instrText xml:space="preserve"> REF _Ref144910707 \h </w:instrText>
      </w:r>
      <w:r w:rsidR="003B36AF">
        <w:rPr>
          <w:b/>
        </w:rPr>
        <w:instrText xml:space="preserve"> \* MERGEFORMAT </w:instrText>
      </w:r>
      <w:r w:rsidR="003B36AF" w:rsidRPr="003B36AF">
        <w:rPr>
          <w:b/>
        </w:rPr>
      </w:r>
      <w:r w:rsidR="003B36AF" w:rsidRPr="003B36AF">
        <w:rPr>
          <w:b/>
        </w:rPr>
        <w:fldChar w:fldCharType="separate"/>
      </w:r>
      <w:r w:rsidR="00F25F8C" w:rsidRPr="00F25F8C">
        <w:rPr>
          <w:b/>
        </w:rPr>
        <w:t xml:space="preserve">Table SI. </w:t>
      </w:r>
      <w:r w:rsidR="00F25F8C" w:rsidRPr="00F25F8C">
        <w:rPr>
          <w:b/>
          <w:noProof/>
        </w:rPr>
        <w:t>87</w:t>
      </w:r>
      <w:r w:rsidR="003B36AF" w:rsidRPr="003B36AF">
        <w:rPr>
          <w:b/>
        </w:rPr>
        <w:fldChar w:fldCharType="end"/>
      </w:r>
      <w:r>
        <w:t>).</w:t>
      </w:r>
    </w:p>
    <w:p w14:paraId="34B4C01C" w14:textId="77777777" w:rsidR="00C828FC" w:rsidRDefault="00C828FC">
      <w:r>
        <w:br w:type="page"/>
      </w:r>
    </w:p>
    <w:p w14:paraId="70ACB125" w14:textId="3201DB55" w:rsidR="00847C80" w:rsidRPr="00F54FAB" w:rsidRDefault="00874128" w:rsidP="00942782">
      <w:pPr>
        <w:pStyle w:val="Lgende"/>
        <w:jc w:val="left"/>
        <w:rPr>
          <w:b w:val="0"/>
          <w:i/>
        </w:rPr>
      </w:pPr>
      <w:bookmarkStart w:id="377" w:name="_Ref144910707"/>
      <w:bookmarkStart w:id="378" w:name="_Toc134537684"/>
      <w:bookmarkStart w:id="379" w:name="_Toc151967971"/>
      <w:r>
        <w:lastRenderedPageBreak/>
        <w:t>Table SI.</w:t>
      </w:r>
      <w:r w:rsidR="00847C80">
        <w:t xml:space="preserve"> </w:t>
      </w:r>
      <w:r>
        <w:fldChar w:fldCharType="begin"/>
      </w:r>
      <w:r>
        <w:instrText xml:space="preserve"> SEQ Table_SI. \* ARABIC </w:instrText>
      </w:r>
      <w:r>
        <w:fldChar w:fldCharType="separate"/>
      </w:r>
      <w:r w:rsidR="00F25F8C">
        <w:rPr>
          <w:noProof/>
        </w:rPr>
        <w:t>87</w:t>
      </w:r>
      <w:r>
        <w:fldChar w:fldCharType="end"/>
      </w:r>
      <w:bookmarkEnd w:id="377"/>
      <w:r w:rsidR="00847C80">
        <w:t xml:space="preserve"> </w:t>
      </w:r>
      <w:r w:rsidR="00847C80" w:rsidRPr="00E105F3">
        <w:t>– Benchmark of green protein recovery performances</w:t>
      </w:r>
      <w:bookmarkEnd w:id="378"/>
      <w:bookmarkEnd w:id="379"/>
    </w:p>
    <w:tbl>
      <w:tblPr>
        <w:tblStyle w:val="Tableausimple2"/>
        <w:tblW w:w="0" w:type="auto"/>
        <w:tblLook w:val="04A0" w:firstRow="1" w:lastRow="0" w:firstColumn="1" w:lastColumn="0" w:noHBand="0" w:noVBand="1"/>
      </w:tblPr>
      <w:tblGrid>
        <w:gridCol w:w="612"/>
        <w:gridCol w:w="952"/>
        <w:gridCol w:w="674"/>
        <w:gridCol w:w="674"/>
        <w:gridCol w:w="528"/>
        <w:gridCol w:w="765"/>
        <w:gridCol w:w="765"/>
        <w:gridCol w:w="619"/>
        <w:gridCol w:w="528"/>
        <w:gridCol w:w="448"/>
        <w:gridCol w:w="528"/>
      </w:tblGrid>
      <w:tr w:rsidR="00847C80" w:rsidRPr="00C828FC" w14:paraId="08666B5C" w14:textId="77777777" w:rsidTr="009427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extDirection w:val="btLr"/>
          </w:tcPr>
          <w:p w14:paraId="2C14BD4C" w14:textId="77777777" w:rsidR="00847C80" w:rsidRPr="00C828FC" w:rsidRDefault="00847C80" w:rsidP="00847C80">
            <w:pPr>
              <w:ind w:left="113" w:right="113"/>
              <w:rPr>
                <w:sz w:val="18"/>
                <w:szCs w:val="18"/>
              </w:rPr>
            </w:pPr>
            <w:r w:rsidRPr="00C828FC">
              <w:rPr>
                <w:sz w:val="18"/>
                <w:szCs w:val="18"/>
              </w:rPr>
              <w:t>Reference</w:t>
            </w:r>
          </w:p>
        </w:tc>
        <w:tc>
          <w:tcPr>
            <w:tcW w:w="0" w:type="auto"/>
            <w:vMerge w:val="restart"/>
            <w:textDirection w:val="btLr"/>
          </w:tcPr>
          <w:p w14:paraId="32AED2F8" w14:textId="77777777" w:rsidR="00847C80" w:rsidRPr="00C828FC" w:rsidRDefault="00847C80" w:rsidP="00847C80">
            <w:pPr>
              <w:ind w:left="113" w:right="113"/>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Data</w:t>
            </w:r>
          </w:p>
        </w:tc>
        <w:tc>
          <w:tcPr>
            <w:tcW w:w="0" w:type="auto"/>
            <w:vMerge w:val="restart"/>
            <w:textDirection w:val="btLr"/>
          </w:tcPr>
          <w:p w14:paraId="77E03D12" w14:textId="77777777" w:rsidR="00847C80" w:rsidRPr="00C828FC" w:rsidRDefault="00847C80" w:rsidP="00847C80">
            <w:pPr>
              <w:ind w:left="113" w:right="113"/>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 xml:space="preserve">Heat </w:t>
            </w:r>
          </w:p>
          <w:p w14:paraId="7093D897" w14:textId="77777777" w:rsidR="00847C80" w:rsidRPr="00C828FC" w:rsidRDefault="00847C80" w:rsidP="00847C80">
            <w:pPr>
              <w:ind w:left="113" w:right="113"/>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(MJ.t</w:t>
            </w:r>
            <w:r w:rsidRPr="00C828FC">
              <w:rPr>
                <w:sz w:val="18"/>
                <w:szCs w:val="18"/>
                <w:vertAlign w:val="subscript"/>
              </w:rPr>
              <w:t>ww</w:t>
            </w:r>
            <w:r w:rsidRPr="00C828FC">
              <w:rPr>
                <w:sz w:val="18"/>
                <w:szCs w:val="18"/>
                <w:vertAlign w:val="superscript"/>
              </w:rPr>
              <w:t>-1</w:t>
            </w:r>
            <w:r w:rsidRPr="00C828FC">
              <w:rPr>
                <w:sz w:val="18"/>
                <w:szCs w:val="18"/>
              </w:rPr>
              <w:t>)</w:t>
            </w:r>
          </w:p>
        </w:tc>
        <w:tc>
          <w:tcPr>
            <w:tcW w:w="0" w:type="auto"/>
            <w:vMerge w:val="restart"/>
            <w:textDirection w:val="btLr"/>
          </w:tcPr>
          <w:p w14:paraId="72E91F33" w14:textId="77777777" w:rsidR="00847C80" w:rsidRPr="00C828FC" w:rsidRDefault="00847C80" w:rsidP="00847C80">
            <w:pPr>
              <w:ind w:left="113" w:right="113"/>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Separation</w:t>
            </w:r>
          </w:p>
          <w:p w14:paraId="745EDB97" w14:textId="77777777" w:rsidR="00847C80" w:rsidRPr="00C828FC" w:rsidRDefault="00847C80" w:rsidP="00847C80">
            <w:pPr>
              <w:ind w:left="113" w:right="113"/>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(kWh.t</w:t>
            </w:r>
            <w:r w:rsidRPr="00C828FC">
              <w:rPr>
                <w:sz w:val="18"/>
                <w:szCs w:val="18"/>
                <w:vertAlign w:val="subscript"/>
              </w:rPr>
              <w:t>ww</w:t>
            </w:r>
            <w:r w:rsidRPr="00C828FC">
              <w:rPr>
                <w:sz w:val="18"/>
                <w:szCs w:val="18"/>
                <w:vertAlign w:val="superscript"/>
              </w:rPr>
              <w:t>-1</w:t>
            </w:r>
            <w:r w:rsidRPr="00C828FC">
              <w:rPr>
                <w:sz w:val="18"/>
                <w:szCs w:val="18"/>
              </w:rPr>
              <w:t>)</w:t>
            </w:r>
          </w:p>
        </w:tc>
        <w:tc>
          <w:tcPr>
            <w:tcW w:w="0" w:type="auto"/>
            <w:gridSpan w:val="7"/>
          </w:tcPr>
          <w:p w14:paraId="761B17A1" w14:textId="77777777" w:rsidR="00847C80" w:rsidRPr="00C828FC" w:rsidRDefault="00847C80" w:rsidP="00847C80">
            <w:pPr>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Green protein recovery (%</w:t>
            </w:r>
            <w:r w:rsidRPr="00C828FC">
              <w:rPr>
                <w:sz w:val="18"/>
                <w:szCs w:val="18"/>
                <w:vertAlign w:val="subscript"/>
              </w:rPr>
              <w:t>pellet/in</w:t>
            </w:r>
            <w:r w:rsidRPr="00C828FC">
              <w:rPr>
                <w:sz w:val="18"/>
                <w:szCs w:val="18"/>
              </w:rPr>
              <w:t>)</w:t>
            </w:r>
          </w:p>
        </w:tc>
      </w:tr>
      <w:tr w:rsidR="00847C80" w:rsidRPr="00C828FC" w14:paraId="69317BD6" w14:textId="77777777" w:rsidTr="00942782">
        <w:trPr>
          <w:cnfStyle w:val="000000100000" w:firstRow="0" w:lastRow="0" w:firstColumn="0" w:lastColumn="0" w:oddVBand="0" w:evenVBand="0" w:oddHBand="1" w:evenHBand="0" w:firstRowFirstColumn="0" w:firstRowLastColumn="0" w:lastRowFirstColumn="0" w:lastRowLastColumn="0"/>
          <w:trHeight w:val="1285"/>
        </w:trPr>
        <w:tc>
          <w:tcPr>
            <w:cnfStyle w:val="001000000000" w:firstRow="0" w:lastRow="0" w:firstColumn="1" w:lastColumn="0" w:oddVBand="0" w:evenVBand="0" w:oddHBand="0" w:evenHBand="0" w:firstRowFirstColumn="0" w:firstRowLastColumn="0" w:lastRowFirstColumn="0" w:lastRowLastColumn="0"/>
            <w:tcW w:w="0" w:type="auto"/>
            <w:vMerge/>
          </w:tcPr>
          <w:p w14:paraId="5C31633D" w14:textId="77777777" w:rsidR="00847C80" w:rsidRPr="00C828FC" w:rsidRDefault="00847C80" w:rsidP="00847C80">
            <w:pPr>
              <w:rPr>
                <w:sz w:val="18"/>
                <w:szCs w:val="18"/>
              </w:rPr>
            </w:pPr>
          </w:p>
        </w:tc>
        <w:tc>
          <w:tcPr>
            <w:tcW w:w="0" w:type="auto"/>
            <w:vMerge/>
          </w:tcPr>
          <w:p w14:paraId="6DB90B8D"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p>
        </w:tc>
        <w:tc>
          <w:tcPr>
            <w:tcW w:w="0" w:type="auto"/>
            <w:vMerge/>
            <w:textDirection w:val="btLr"/>
          </w:tcPr>
          <w:p w14:paraId="6EFD0BBE" w14:textId="77777777" w:rsidR="00847C80" w:rsidRPr="00C828FC"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p>
        </w:tc>
        <w:tc>
          <w:tcPr>
            <w:tcW w:w="0" w:type="auto"/>
            <w:vMerge/>
            <w:textDirection w:val="btLr"/>
          </w:tcPr>
          <w:p w14:paraId="7CB86B09" w14:textId="77777777" w:rsidR="00847C80" w:rsidRPr="00C828FC"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p>
        </w:tc>
        <w:tc>
          <w:tcPr>
            <w:tcW w:w="0" w:type="auto"/>
            <w:textDirection w:val="btLr"/>
          </w:tcPr>
          <w:p w14:paraId="49EF3194" w14:textId="77777777" w:rsidR="00847C80" w:rsidRPr="00C828FC"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fresh matter</w:t>
            </w:r>
          </w:p>
        </w:tc>
        <w:tc>
          <w:tcPr>
            <w:tcW w:w="0" w:type="auto"/>
            <w:textDirection w:val="btLr"/>
          </w:tcPr>
          <w:p w14:paraId="784DD799" w14:textId="77777777" w:rsidR="00847C80" w:rsidRPr="00C828FC"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dry matter</w:t>
            </w:r>
          </w:p>
        </w:tc>
        <w:tc>
          <w:tcPr>
            <w:tcW w:w="0" w:type="auto"/>
            <w:textDirection w:val="btLr"/>
          </w:tcPr>
          <w:p w14:paraId="5D550ACE" w14:textId="77777777" w:rsidR="00847C80" w:rsidRPr="00C828FC"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proteins</w:t>
            </w:r>
            <w:r w:rsidRPr="00C828FC">
              <w:rPr>
                <w:b/>
                <w:sz w:val="18"/>
                <w:szCs w:val="18"/>
                <w:vertAlign w:val="superscript"/>
              </w:rPr>
              <w:t>*</w:t>
            </w:r>
          </w:p>
        </w:tc>
        <w:tc>
          <w:tcPr>
            <w:tcW w:w="0" w:type="auto"/>
            <w:textDirection w:val="btLr"/>
          </w:tcPr>
          <w:p w14:paraId="228C755A" w14:textId="77777777" w:rsidR="00847C80" w:rsidRPr="00C828FC"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fat</w:t>
            </w:r>
          </w:p>
        </w:tc>
        <w:tc>
          <w:tcPr>
            <w:tcW w:w="0" w:type="auto"/>
            <w:textDirection w:val="btLr"/>
          </w:tcPr>
          <w:p w14:paraId="017EC27C" w14:textId="77777777" w:rsidR="00847C80" w:rsidRPr="00C828FC"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Fibers</w:t>
            </w:r>
            <w:r w:rsidRPr="00C828FC">
              <w:rPr>
                <w:b/>
                <w:sz w:val="18"/>
                <w:szCs w:val="18"/>
                <w:vertAlign w:val="superscript"/>
              </w:rPr>
              <w:t>**</w:t>
            </w:r>
          </w:p>
        </w:tc>
        <w:tc>
          <w:tcPr>
            <w:tcW w:w="0" w:type="auto"/>
            <w:textDirection w:val="btLr"/>
          </w:tcPr>
          <w:p w14:paraId="76F7B8C7" w14:textId="77777777" w:rsidR="00847C80" w:rsidRPr="00C828FC"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solubles</w:t>
            </w:r>
          </w:p>
        </w:tc>
        <w:tc>
          <w:tcPr>
            <w:tcW w:w="0" w:type="auto"/>
            <w:textDirection w:val="btLr"/>
          </w:tcPr>
          <w:p w14:paraId="1878B12B" w14:textId="77777777" w:rsidR="00847C80" w:rsidRPr="00C828FC"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ashes</w:t>
            </w:r>
          </w:p>
        </w:tc>
      </w:tr>
      <w:tr w:rsidR="00847C80" w:rsidRPr="00C828FC" w14:paraId="11704814"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2A68A9F1" w14:textId="1795CF1D" w:rsidR="00847C80" w:rsidRPr="00C828FC" w:rsidRDefault="00847C80" w:rsidP="00847C80">
            <w:pPr>
              <w:rPr>
                <w:b w:val="0"/>
                <w:sz w:val="18"/>
                <w:szCs w:val="18"/>
              </w:rPr>
            </w:pPr>
            <w:r w:rsidRPr="00C828FC">
              <w:rPr>
                <w:sz w:val="18"/>
                <w:szCs w:val="18"/>
              </w:rPr>
              <w:fldChar w:fldCharType="begin"/>
            </w:r>
            <w:r w:rsidR="005413B4">
              <w:rPr>
                <w:b w:val="0"/>
                <w:sz w:val="18"/>
                <w:szCs w:val="18"/>
              </w:rPr>
              <w:instrText xml:space="preserve"> ADDIN ZOTERO_ITEM CSL_CITATION {"citationID":"3IY56IKK","properties":{"formattedCitation":"\\super 272,281\\nosupersub{}","plainCitation":"272,281","noteIndex":0},"citationItems":[{"id":9255,"uris":["http://zotero.org/users/6423791/items/9EZA9MQK"],"itemData":{"id":9255,"type":"article-journal","abstract":"Large-scale processing of leaves for food applications requires quick processing or stabilisation to avoid perishability, due to the high moisture content in this biomass. Leaf perishability is compounded by the seasonal availability of crops, like sugar beet plants, of which the leaves are regarded as a potential protein source. This study evaluates the resource efficiency of a hypothetical sugar beet leaf processing chain by comparing supply chain options. First, two options consider leaf processing with and without stabilising the leaves by freezing. Then, these two options are considered in a centralised and decentralised process configuration. The latter places leaf freezing and pressing at the farm and further processes occur at a central facility. Energy usage and exergy consumption were used to quantify the thermodynamic performance of the processing options. Freezing has negligible effect on the process-ability of the leaves in terms of protein content and protein yield. The overall resource efficiency of the process was dominated by the amount of leaf material effectively used, which stresses the importance of full use of all (side-)streams. This outcome also explains the limited additional energy requirements for freezing. Exergetic indicators were affected by variations on the dry matter content of the starting biomass, compared to a negligible effect of other parameters (equipment scale, efficiency or energy use). Transportation load and soil quality were also discussed for the centralised and decentralised configurations. On-farm processing of the leaves (decentralised chain) clearly reduces the transportation load due to the large difference in bulk densities of leaves (73 kg/m3) and leaf juice (1000 kg/m3). Additionally, decentralised scenarios enable direct returning of the leaf pulp to the soil and thereby improving soil quality (i.e. nutrient retention and fertility). Soil quality is required to fully assess the use of biomass that is currently regarded as waste, but that actually plays a role in soil fertility. Therefore, the preferred chain configuration would be a decentralised system where the leaves are directly pressed at the farm, the pulp is used to fertilise the soil, and the leaf juice is chilled transported to a centralised factory.","container-title":"Journal of Cleaner Production","DOI":"10.1016/j.jclepro.2017.06.248","ISSN":"0959-6526","journalAbbreviation":"J. Clean. Prod.","language":"en","page":"736-748","source":"ScienceDirect","title":"Processing concepts for the use of green leaves as raw materials for the food industry","volume":"164","author":[{"family":"Tamayo Tenorio","given":"A."},{"family":"Schreuders","given":"F. K. G."},{"family":"Zisopoulos","given":"F. K."},{"family":"Boom","given":"R. M."},{"family":"Goot","given":"A. J.","non-dropping-particle":"van der"}],"issued":{"date-parts":[["2017",10,15]]}}},{"id":1983,"uris":["http://zotero.org/users/6423791/items/28BXN4BJ"],"itemData":{"id":1983,"type":"article-journal","abstract":"Plant leaves are a major potential source of novel food proteins. Till now, leaf protein extraction methods mainly focus on the extraction of soluble proteins, like rubisco protein, leaving more than half of all protein unextracted. Here, we report on the total protein extraction from sugar beet leaves (Beta vulgaris L.) by a traditional thermal extraction method consisting of mechanical pressing, heating to 50°C and centrifugation. The resulting streams (i.e. supernatant, green-protein pellet and fibrous pulp) were characterised in terms of composition, physical structure and processing options. The protein distributed almost equally over the supernatant, pellet and pulp. This shows that thermal precipitation is an unselective process with respect to fractionation between soluble (rubisco) and insoluble (other) proteins. About 6% of the total protein could be extracted as pure rubisco (90% purity) from the supernatant. Surfactants commonly used for protein solubilisation could hardly re-dissolve the precipitated proteins in the pellet phase, which suggested that irreversible association was induced between the co-precipitated proteins and cell debris. Thus, the extraction of this protein will require prevention of their co-precipitation, and should take place in the original juice solution.","container-title":"Food Chemistry","DOI":"10.1016/j.foodchem.2016.02.092","ISSN":"0308-8146","journalAbbreviation":"Food Chemistry","language":"en","page":"402-408","source":"ScienceDirect","title":"Recovery of protein from green leaves: Overview of crucial steps for utilisation","title-short":"Recovery of protein from green leaves","volume":"203","author":[{"family":"Tamayo Tenorio","given":"Angelica"},{"family":"Gieteling","given":"Jarno"},{"family":"Jong","given":"Govardus A. H.","non-dropping-particle":"de"},{"family":"Boom","given":"Remko M."},{"family":"Goot","given":"Atze J.","non-dropping-particle":"van der"}],"issued":{"date-parts":[["2016",7,15]]}}}],"schema":"https://github.com/citation-style-language/schema/raw/master/csl-citation.json"}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272,281</w:t>
            </w:r>
            <w:r w:rsidRPr="00C828FC">
              <w:rPr>
                <w:sz w:val="18"/>
                <w:szCs w:val="18"/>
              </w:rPr>
              <w:fldChar w:fldCharType="end"/>
            </w:r>
          </w:p>
        </w:tc>
        <w:tc>
          <w:tcPr>
            <w:tcW w:w="0" w:type="auto"/>
            <w:vMerge w:val="restart"/>
          </w:tcPr>
          <w:p w14:paraId="0C4C5D4B"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Lab scale</w:t>
            </w:r>
          </w:p>
        </w:tc>
        <w:tc>
          <w:tcPr>
            <w:tcW w:w="0" w:type="auto"/>
          </w:tcPr>
          <w:p w14:paraId="68A3B872"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210</w:t>
            </w:r>
          </w:p>
        </w:tc>
        <w:tc>
          <w:tcPr>
            <w:tcW w:w="0" w:type="auto"/>
          </w:tcPr>
          <w:p w14:paraId="6BE7E213"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1.2</w:t>
            </w:r>
          </w:p>
        </w:tc>
        <w:tc>
          <w:tcPr>
            <w:tcW w:w="0" w:type="auto"/>
          </w:tcPr>
          <w:p w14:paraId="39D8EBFD"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51E210C4"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28%</w:t>
            </w:r>
          </w:p>
        </w:tc>
        <w:tc>
          <w:tcPr>
            <w:tcW w:w="0" w:type="auto"/>
          </w:tcPr>
          <w:p w14:paraId="68AA1075"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45%</w:t>
            </w:r>
          </w:p>
        </w:tc>
        <w:tc>
          <w:tcPr>
            <w:tcW w:w="0" w:type="auto"/>
          </w:tcPr>
          <w:p w14:paraId="5F464FDD"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100%</w:t>
            </w:r>
          </w:p>
        </w:tc>
        <w:tc>
          <w:tcPr>
            <w:tcW w:w="0" w:type="auto"/>
          </w:tcPr>
          <w:p w14:paraId="2772B8B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63%</w:t>
            </w:r>
          </w:p>
        </w:tc>
        <w:tc>
          <w:tcPr>
            <w:tcW w:w="0" w:type="auto"/>
          </w:tcPr>
          <w:p w14:paraId="772404E3"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3BDC6736"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15%</w:t>
            </w:r>
          </w:p>
        </w:tc>
      </w:tr>
      <w:tr w:rsidR="00847C80" w:rsidRPr="00C828FC" w14:paraId="20D95BAE"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B89E95B" w14:textId="53496CF8" w:rsidR="00847C80" w:rsidRPr="00C828FC" w:rsidRDefault="00847C80" w:rsidP="00847C80">
            <w:pPr>
              <w:rPr>
                <w:b w:val="0"/>
                <w:sz w:val="18"/>
                <w:szCs w:val="18"/>
              </w:rPr>
            </w:pPr>
            <w:r w:rsidRPr="00C828FC">
              <w:rPr>
                <w:sz w:val="18"/>
                <w:szCs w:val="18"/>
              </w:rPr>
              <w:fldChar w:fldCharType="begin"/>
            </w:r>
            <w:r w:rsidR="005413B4">
              <w:rPr>
                <w:b w:val="0"/>
                <w:sz w:val="18"/>
                <w:szCs w:val="18"/>
              </w:rPr>
              <w:instrText xml:space="preserve"> ADDIN ZOTERO_ITEM CSL_CITATION {"citationID":"iMSZPyRR","properties":{"formattedCitation":"\\super 314\\nosupersub{}","plainCitation":"314","noteIndex":0},"citationItems":[{"id":2888,"uris":["http://zotero.org/users/6423791/items/RG6KXF3Y"],"itemData":{"id":2888,"type":"article-journal","abstract":"In colder humid areas, green forages are recognised as high protein yielding crops and have the potential to be a locally grown sustainable protein source. However, without processing, the protein cannot be properly utilised by monogastrics. By screw pressing, a pulp fraction suitable for ruminants and a protein concentrate suitable for monogastrics can be produced. The aim of this study was to analyse the chemical composition of the produced fractions and the mass balance distribution of protein and dry matter (DM) between the fractions. Mass balances are important in order to determine the potential of biorefining of forages as a tool for sustainable feed production. White clover, red clover, lucerne, and perennial ryegrass were separated into a green juice and a fibrous pulp in a screw-press, and a protein concentrate was precipitated from the green juice by heat or acidic precipitation. The pulp and green juice had an average crude protein (CP) concentration of 203 g/kg DM and 249 g/kg DM, respectively. The majority of the DM and the CP from the plant was retained in the fibrous pulp. Protein concentrates from the green juice and pulp contained higher concentrations of the essential amino acids for monogastrics and ruminants compared with unprocessed forage. The results demonstrate that fractions with high protein concentration and balanced amino acid composition can be produced, which combined with a high recovery highlight the potential of both fractions as a protein source for livestock.","container-title":"Animal Feed Science and Technology","DOI":"10.1016/j.anifeedsci.2020.114401","ISSN":"0377-8401","journalAbbreviation":"Anim. Feed Sci. Technol.","language":"en","page":"114401","source":"ScienceDirect","title":"Screw-pressed fractions from green forages as animal feed: Chemical composition and mass balances","title-short":"Screw-pressed fractions from green forages as animal feed","volume":"261","author":[{"family":"Damborg","given":"Vinni Kragbæk"},{"family":"Jensen","given":"Søren Krogh"},{"family":"Weisbjerg","given":"Martin R."},{"family":"Adamsen","given":"Anders Peter"},{"family":"Stødkilde","given":"Lene"}],"issued":{"date-parts":[["2020",3,1]]}}}],"schema":"https://github.com/citation-style-language/schema/raw/master/csl-citation.json"}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314</w:t>
            </w:r>
            <w:r w:rsidRPr="00C828FC">
              <w:rPr>
                <w:sz w:val="18"/>
                <w:szCs w:val="18"/>
              </w:rPr>
              <w:fldChar w:fldCharType="end"/>
            </w:r>
          </w:p>
        </w:tc>
        <w:tc>
          <w:tcPr>
            <w:tcW w:w="0" w:type="auto"/>
            <w:vMerge/>
          </w:tcPr>
          <w:p w14:paraId="14CA037B"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24F43ABC"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487E08DA"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262662C5"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18%</w:t>
            </w:r>
          </w:p>
        </w:tc>
        <w:tc>
          <w:tcPr>
            <w:tcW w:w="0" w:type="auto"/>
          </w:tcPr>
          <w:p w14:paraId="29A7F5A9"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42-46%</w:t>
            </w:r>
          </w:p>
        </w:tc>
        <w:tc>
          <w:tcPr>
            <w:tcW w:w="0" w:type="auto"/>
          </w:tcPr>
          <w:p w14:paraId="2B8822EC"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58-61%</w:t>
            </w:r>
          </w:p>
        </w:tc>
        <w:tc>
          <w:tcPr>
            <w:tcW w:w="0" w:type="auto"/>
          </w:tcPr>
          <w:p w14:paraId="20B07900"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2D1EB07F"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0D65B428"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11BD28F8"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r>
      <w:tr w:rsidR="00847C80" w:rsidRPr="00C828FC" w14:paraId="300C2C3D"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4D9EF4C8" w14:textId="07028691" w:rsidR="00847C80" w:rsidRPr="00C828FC" w:rsidRDefault="00847C80" w:rsidP="00847C80">
            <w:pPr>
              <w:rPr>
                <w:b w:val="0"/>
                <w:sz w:val="18"/>
                <w:szCs w:val="18"/>
              </w:rPr>
            </w:pPr>
            <w:r w:rsidRPr="00C828FC">
              <w:rPr>
                <w:sz w:val="18"/>
                <w:szCs w:val="18"/>
              </w:rPr>
              <w:fldChar w:fldCharType="begin"/>
            </w:r>
            <w:r w:rsidR="005413B4">
              <w:rPr>
                <w:b w:val="0"/>
                <w:sz w:val="18"/>
                <w:szCs w:val="18"/>
              </w:rPr>
              <w:instrText xml:space="preserve"> ADDIN ZOTERO_ITEM CSL_CITATION {"citationID":"vt36solJ","properties":{"formattedCitation":"\\super 295\\nosupersub{}","plainCitation":"295","noteIndex":0},"citationItems":[{"id":399,"uris":["http://zotero.org/users/6423791/items/VKZ573LE"],"itemData":{"id":399,"type":"article-journal","abstract":"Green bioreﬁnery” (GBR) could be an alternative option for using grassland biomass. GBR involves applying technology to chemically and physically fractionate (split) biomass such as grass and grass silage into marketable products. From the grass ﬁbre fraction insulation materials can be produced. From the grass juice fraction, proteinaceous products for animal feed and lactic acid (LA) for plastic production (polylactic acid e PLA) can be produced. This paper is the ﬁrst part in the analysis to develop a blueprint for a ﬁrst generation Irish GBR system. The focus of this paper is on the technical aspects of developing three GBR system models and subsequent scenario analyses. The three GBR system models were a combination of feedstock system and bioreﬁnery technology; Grass/silageebasic technology (GS), Silageebasic technology (S) and SilageeHigh Tech (AT). The models, which were integrated mass and energy balances, were then assessed at the three different input volumes, to generate nine scenarios. The scenarios which required further economic analysis in a companion paper to determine their overall feasibility (technical and economic) in the development of blueprint for a ﬁrst generation Irish GBR system were identiﬁed. From the technical analysis outlined in this paper six scenarios were identiﬁed which require further economic analysis. These were scenarios generated for the GS, S and AT GBR systems, at two input volume rates.","container-title":"Biomass and Bioenergy","DOI":"10.1016/j.biombioe.2011.06.017","ISSN":"09619534","issue":"11","journalAbbreviation":"Biomass Bioenergy.","language":"en","page":"4712-4723","source":"DOI.org (Crossref)","title":"I. Technical assessment for first generation green biorefinery (GBR) using mass and energy balances: Scenarios for an Irish GBR blueprint","title-short":"I. Technical assessment for first generation green biorefinery (GBR) using mass and energy balances","volume":"35","author":[{"family":"O’Keeffe","given":"S."},{"family":"Schulte","given":"R.P.O."},{"family":"Sanders","given":"J.P.M."},{"family":"Struik","given":"P.C."}],"issued":{"date-parts":[["2011",11]]}}}],"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295</w:t>
            </w:r>
            <w:r w:rsidRPr="00C828FC">
              <w:rPr>
                <w:sz w:val="18"/>
                <w:szCs w:val="18"/>
              </w:rPr>
              <w:fldChar w:fldCharType="end"/>
            </w:r>
          </w:p>
        </w:tc>
        <w:tc>
          <w:tcPr>
            <w:tcW w:w="0" w:type="auto"/>
            <w:vMerge/>
          </w:tcPr>
          <w:p w14:paraId="66217CF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2DC2ECB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126</w:t>
            </w:r>
          </w:p>
        </w:tc>
        <w:tc>
          <w:tcPr>
            <w:tcW w:w="0" w:type="auto"/>
          </w:tcPr>
          <w:p w14:paraId="29FEEC3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0.8</w:t>
            </w:r>
          </w:p>
        </w:tc>
        <w:tc>
          <w:tcPr>
            <w:tcW w:w="0" w:type="auto"/>
          </w:tcPr>
          <w:p w14:paraId="33B7B585"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29BB7F1E"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18%</w:t>
            </w:r>
          </w:p>
        </w:tc>
        <w:tc>
          <w:tcPr>
            <w:tcW w:w="0" w:type="auto"/>
          </w:tcPr>
          <w:p w14:paraId="1908668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51%</w:t>
            </w:r>
          </w:p>
        </w:tc>
        <w:tc>
          <w:tcPr>
            <w:tcW w:w="0" w:type="auto"/>
          </w:tcPr>
          <w:p w14:paraId="725257EE"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5C042E36"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28%</w:t>
            </w:r>
          </w:p>
        </w:tc>
        <w:tc>
          <w:tcPr>
            <w:tcW w:w="0" w:type="auto"/>
          </w:tcPr>
          <w:p w14:paraId="276DA50F"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3462095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13%</w:t>
            </w:r>
          </w:p>
        </w:tc>
      </w:tr>
      <w:tr w:rsidR="00847C80" w:rsidRPr="00C828FC" w14:paraId="37202C6F"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E09E265" w14:textId="4026C038" w:rsidR="00847C80" w:rsidRPr="00C828FC" w:rsidRDefault="00847C80" w:rsidP="00847C80">
            <w:pPr>
              <w:rPr>
                <w:b w:val="0"/>
                <w:sz w:val="18"/>
                <w:szCs w:val="18"/>
              </w:rPr>
            </w:pPr>
            <w:r w:rsidRPr="00C828FC">
              <w:rPr>
                <w:sz w:val="18"/>
                <w:szCs w:val="18"/>
              </w:rPr>
              <w:fldChar w:fldCharType="begin"/>
            </w:r>
            <w:r w:rsidR="005413B4">
              <w:rPr>
                <w:b w:val="0"/>
                <w:sz w:val="18"/>
                <w:szCs w:val="18"/>
              </w:rPr>
              <w:instrText xml:space="preserve"> ADDIN ZOTERO_ITEM CSL_CITATION {"citationID":"v2MrYgN3","properties":{"formattedCitation":"\\super 276\\nosupersub{}","plainCitation":"276","noteIndex":0},"citationItems":[{"id":13783,"uris":["http://zotero.org/users/6423791/items/PM47CACP"],"itemData":{"id":13783,"type":"article-journal","abstract":"Nowadays, cassava leaves are mostly treated as a byproduct of cassava root production, yet this readily available biomass is rich in protein with a balanced content of amino acids. Cassava leaves therefore represent a promising, underutilized biomass for extraction of proteins. The purpose of this study was to provide updated information on the feasibility of producing cassava leaf protein concentrate for use in feed and food. In this context, protein concentrates were refined from cassava leaves using different precipitation methods and the refining process evaluated with focus on protein, amino acids and selected antinutritional factors. Crude protein was mainly distributed to the press cake and protein concentrates during the two processing steps, i.e., pressing and precipitation, and between 21% and 26% (w/w) of leaf crude protein was recovered in the concentrates. After drying, these contained 40–45% crude protein with an amino acid profile comparable to soybean and tolerable levels of tannins (&gt;1% of TS) for feed purposes. However, the refining process did not significantly reduce the cyanogenic potential, i.e., the total amount of releasable HCN, which accumulated in the dried protein product to around 150–250 ppm. This lies significantly above the 10–50 ppm deemed safe for food and feedstuff by several food safety authorities. Based on these results, extraction of leaf protein from cassava appears promising, but additional research is required to evaluate its full potential, especially in relation to its use in food products.","container-title":"Journal of Cleaner Production","DOI":"10.1016/j.jclepro.2022.134730","ISSN":"0959-6526","journalAbbreviation":"Journal of Cleaner Production","language":"en","page":"134730","source":"ScienceDirect","title":"Production of leaf protein concentrates from cassava: Protein distribution and anti-nutritional factors in biorefining fractions","title-short":"Production of leaf protein concentrates from cassava","volume":"379","author":[{"family":"Gundersen","given":"E."},{"family":"Christiansen","given":"A. H. C."},{"family":"Jørgensen","given":"K."},{"family":"Lübeck","given":"M."}],"issued":{"date-parts":[["2022",12,15]]}}}],"schema":"https://github.com/citation-style-language/schema/raw/master/csl-citation.json"}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276</w:t>
            </w:r>
            <w:r w:rsidRPr="00C828FC">
              <w:rPr>
                <w:sz w:val="18"/>
                <w:szCs w:val="18"/>
              </w:rPr>
              <w:fldChar w:fldCharType="end"/>
            </w:r>
          </w:p>
        </w:tc>
        <w:tc>
          <w:tcPr>
            <w:tcW w:w="0" w:type="auto"/>
            <w:vMerge/>
          </w:tcPr>
          <w:p w14:paraId="3C3F2C69"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5E978B50"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76C86DBA"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02266778"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165C137B"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50-58%</w:t>
            </w:r>
          </w:p>
        </w:tc>
        <w:tc>
          <w:tcPr>
            <w:tcW w:w="0" w:type="auto"/>
          </w:tcPr>
          <w:p w14:paraId="65640198"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68-84%</w:t>
            </w:r>
          </w:p>
        </w:tc>
        <w:tc>
          <w:tcPr>
            <w:tcW w:w="0" w:type="auto"/>
          </w:tcPr>
          <w:p w14:paraId="489DFFA2"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7064B467"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6269C95A"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tcPr>
          <w:p w14:paraId="0F5E7E4E"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r>
      <w:tr w:rsidR="00847C80" w:rsidRPr="00C828FC" w14:paraId="3C1E8845" w14:textId="77777777" w:rsidTr="00942782">
        <w:trPr>
          <w:trHeight w:val="194"/>
        </w:trPr>
        <w:tc>
          <w:tcPr>
            <w:cnfStyle w:val="001000000000" w:firstRow="0" w:lastRow="0" w:firstColumn="1" w:lastColumn="0" w:oddVBand="0" w:evenVBand="0" w:oddHBand="0" w:evenHBand="0" w:firstRowFirstColumn="0" w:firstRowLastColumn="0" w:lastRowFirstColumn="0" w:lastRowLastColumn="0"/>
            <w:tcW w:w="0" w:type="auto"/>
          </w:tcPr>
          <w:p w14:paraId="68557DB5" w14:textId="78B8392D" w:rsidR="00847C80" w:rsidRPr="00C828FC" w:rsidRDefault="00847C80" w:rsidP="00847C80">
            <w:pPr>
              <w:rPr>
                <w:b w:val="0"/>
                <w:sz w:val="18"/>
                <w:szCs w:val="18"/>
              </w:rPr>
            </w:pPr>
            <w:r w:rsidRPr="00C828FC">
              <w:rPr>
                <w:sz w:val="18"/>
                <w:szCs w:val="18"/>
              </w:rPr>
              <w:fldChar w:fldCharType="begin"/>
            </w:r>
            <w:r w:rsidR="005413B4">
              <w:rPr>
                <w:b w:val="0"/>
                <w:sz w:val="18"/>
                <w:szCs w:val="18"/>
              </w:rPr>
              <w:instrText xml:space="preserve"> ADDIN ZOTERO_ITEM CSL_CITATION {"citationID":"rVGvmuqa","properties":{"formattedCitation":"\\super 290\\nosupersub{}","plainCitation":"290","noteIndex":0},"citationItems":[{"id":392,"uris":["http://zotero.org/users/6423791/items/P3739BFG"],"itemData":{"id":392,"type":"article-journal","abstract":"The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290</w:t>
            </w:r>
            <w:r w:rsidRPr="00C828FC">
              <w:rPr>
                <w:sz w:val="18"/>
                <w:szCs w:val="18"/>
              </w:rPr>
              <w:fldChar w:fldCharType="end"/>
            </w:r>
          </w:p>
        </w:tc>
        <w:tc>
          <w:tcPr>
            <w:tcW w:w="0" w:type="auto"/>
          </w:tcPr>
          <w:p w14:paraId="32C46B5C"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Pilot scale</w:t>
            </w:r>
          </w:p>
        </w:tc>
        <w:tc>
          <w:tcPr>
            <w:tcW w:w="0" w:type="auto"/>
          </w:tcPr>
          <w:p w14:paraId="345783C3"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294</w:t>
            </w:r>
          </w:p>
        </w:tc>
        <w:tc>
          <w:tcPr>
            <w:tcW w:w="0" w:type="auto"/>
          </w:tcPr>
          <w:p w14:paraId="1C66936D"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11</w:t>
            </w:r>
          </w:p>
        </w:tc>
        <w:tc>
          <w:tcPr>
            <w:tcW w:w="0" w:type="auto"/>
          </w:tcPr>
          <w:p w14:paraId="2632904B"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7CD662F6"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14%</w:t>
            </w:r>
          </w:p>
        </w:tc>
        <w:tc>
          <w:tcPr>
            <w:tcW w:w="0" w:type="auto"/>
          </w:tcPr>
          <w:p w14:paraId="479F6FC7"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90%</w:t>
            </w:r>
          </w:p>
        </w:tc>
        <w:tc>
          <w:tcPr>
            <w:tcW w:w="0" w:type="auto"/>
          </w:tcPr>
          <w:p w14:paraId="4A8FFB3C"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10A613C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90%</w:t>
            </w:r>
          </w:p>
        </w:tc>
        <w:tc>
          <w:tcPr>
            <w:tcW w:w="0" w:type="auto"/>
          </w:tcPr>
          <w:p w14:paraId="4E50764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tcPr>
          <w:p w14:paraId="7FD57CB7"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50%</w:t>
            </w:r>
          </w:p>
        </w:tc>
      </w:tr>
    </w:tbl>
    <w:p w14:paraId="7A5E886B" w14:textId="77777777" w:rsidR="00847C80" w:rsidRPr="001E3781" w:rsidRDefault="00847C80" w:rsidP="00847C80">
      <w:pPr>
        <w:jc w:val="both"/>
        <w:rPr>
          <w:sz w:val="18"/>
        </w:rPr>
      </w:pPr>
      <w:r w:rsidRPr="00E105F3">
        <w:rPr>
          <w:sz w:val="18"/>
        </w:rPr>
        <w:t>Only consid</w:t>
      </w:r>
      <w:r>
        <w:rPr>
          <w:sz w:val="18"/>
        </w:rPr>
        <w:t xml:space="preserve">ering heat treatments and primary data. </w:t>
      </w:r>
      <w:r w:rsidRPr="00EF7E83">
        <w:rPr>
          <w:sz w:val="18"/>
          <w:vertAlign w:val="superscript"/>
        </w:rPr>
        <w:t>*</w:t>
      </w:r>
      <w:r>
        <w:rPr>
          <w:sz w:val="18"/>
        </w:rPr>
        <w:t xml:space="preserve">: proteins and nitrogen transfer coefficients are mostly reported equivalent. </w:t>
      </w:r>
      <w:r w:rsidRPr="00087550">
        <w:rPr>
          <w:sz w:val="18"/>
          <w:vertAlign w:val="superscript"/>
        </w:rPr>
        <w:t>**</w:t>
      </w:r>
      <w:r w:rsidRPr="00087550">
        <w:rPr>
          <w:sz w:val="18"/>
        </w:rPr>
        <w:t>: fibers are sometimes considered as a whole, sometimes separated in main components in this order: lignin / cellulose / hemicellulose.</w:t>
      </w:r>
    </w:p>
    <w:p w14:paraId="1992E33D" w14:textId="3C370779" w:rsidR="00847C80" w:rsidRDefault="00847C80" w:rsidP="003B36AF">
      <w:pPr>
        <w:jc w:val="both"/>
      </w:pPr>
      <w:r>
        <w:t xml:space="preserve">Fewer primary data is available </w:t>
      </w:r>
      <w:r w:rsidR="003B36AF">
        <w:t>for protein recovery compared to juice extraction (</w:t>
      </w:r>
      <w:r w:rsidR="003B36AF" w:rsidRPr="003B36AF">
        <w:rPr>
          <w:b/>
        </w:rPr>
        <w:fldChar w:fldCharType="begin"/>
      </w:r>
      <w:r w:rsidR="003B36AF" w:rsidRPr="003B36AF">
        <w:rPr>
          <w:b/>
        </w:rPr>
        <w:instrText xml:space="preserve"> REF _Ref144910707 \h </w:instrText>
      </w:r>
      <w:r w:rsidR="003B36AF">
        <w:rPr>
          <w:b/>
        </w:rPr>
        <w:instrText xml:space="preserve"> \* MERGEFORMAT </w:instrText>
      </w:r>
      <w:r w:rsidR="003B36AF" w:rsidRPr="003B36AF">
        <w:rPr>
          <w:b/>
        </w:rPr>
      </w:r>
      <w:r w:rsidR="003B36AF" w:rsidRPr="003B36AF">
        <w:rPr>
          <w:b/>
        </w:rPr>
        <w:fldChar w:fldCharType="separate"/>
      </w:r>
      <w:r w:rsidR="00F25F8C" w:rsidRPr="00F25F8C">
        <w:rPr>
          <w:b/>
        </w:rPr>
        <w:t xml:space="preserve">Table SI. </w:t>
      </w:r>
      <w:r w:rsidR="00F25F8C" w:rsidRPr="00F25F8C">
        <w:rPr>
          <w:b/>
          <w:noProof/>
        </w:rPr>
        <w:t>87</w:t>
      </w:r>
      <w:r w:rsidR="003B36AF" w:rsidRPr="003B36AF">
        <w:rPr>
          <w:b/>
        </w:rPr>
        <w:fldChar w:fldCharType="end"/>
      </w:r>
      <w:r w:rsidR="003B36AF">
        <w:t>)</w:t>
      </w:r>
      <w:r w:rsidRPr="007130AB">
        <w:t>, leading practitioners to develop their own calculation and estimation</w:t>
      </w:r>
      <w:r>
        <w:t>. We used a similar approach to estimate the parameters of this unit operation, the main assumptions are summarized in</w:t>
      </w:r>
      <w:r w:rsidR="003B36AF">
        <w:t xml:space="preserve"> </w:t>
      </w:r>
      <w:r w:rsidR="003B36AF" w:rsidRPr="003B36AF">
        <w:rPr>
          <w:b/>
        </w:rPr>
        <w:fldChar w:fldCharType="begin"/>
      </w:r>
      <w:r w:rsidR="003B36AF" w:rsidRPr="003B36AF">
        <w:rPr>
          <w:b/>
        </w:rPr>
        <w:instrText xml:space="preserve"> REF _Ref144910773 \h </w:instrText>
      </w:r>
      <w:r w:rsidR="003B36AF">
        <w:rPr>
          <w:b/>
        </w:rPr>
        <w:instrText xml:space="preserve"> \* MERGEFORMAT </w:instrText>
      </w:r>
      <w:r w:rsidR="003B36AF" w:rsidRPr="003B36AF">
        <w:rPr>
          <w:b/>
        </w:rPr>
      </w:r>
      <w:r w:rsidR="003B36AF" w:rsidRPr="003B36AF">
        <w:rPr>
          <w:b/>
        </w:rPr>
        <w:fldChar w:fldCharType="separate"/>
      </w:r>
      <w:r w:rsidR="00F25F8C" w:rsidRPr="00F25F8C">
        <w:rPr>
          <w:b/>
        </w:rPr>
        <w:t xml:space="preserve">Table SI. </w:t>
      </w:r>
      <w:r w:rsidR="00F25F8C" w:rsidRPr="00F25F8C">
        <w:rPr>
          <w:b/>
          <w:noProof/>
        </w:rPr>
        <w:t>88</w:t>
      </w:r>
      <w:r w:rsidR="003B36AF" w:rsidRPr="003B36AF">
        <w:rPr>
          <w:b/>
        </w:rPr>
        <w:fldChar w:fldCharType="end"/>
      </w:r>
      <w:r>
        <w:t>. No losses were considered: green juice fractions either end in the green pellet or in the brown juice. Passive cooling was considered after heat treatment, as active cooling was only mentioned once in the reviewed literature</w:t>
      </w:r>
      <w:r>
        <w:fldChar w:fldCharType="begin"/>
      </w:r>
      <w:r w:rsidR="005413B4">
        <w:instrText xml:space="preserve"> ADDIN ZOTERO_ITEM CSL_CITATION {"citationID":"1e4gPrUg","properties":{"formattedCitation":"\\super 272\\nosupersub{}","plainCitation":"272","noteIndex":0},"citationItems":[{"id":9255,"uris":["http://zotero.org/users/6423791/items/9EZA9MQK"],"itemData":{"id":9255,"type":"article-journal","abstract":"Large-scale processing of leaves for food applications requires quick processing or stabilisation to avoid perishability, due to the high moisture content in this biomass. Leaf perishability is compounded by the seasonal availability of crops, like sugar beet plants, of which the leaves are regarded as a potential protein source. This study evaluates the resource efficiency of a hypothetical sugar beet leaf processing chain by comparing supply chain options. First, two options consider leaf processing with and without stabilising the leaves by freezing. Then, these two options are considered in a centralised and decentralised process configuration. The latter places leaf freezing and pressing at the farm and further processes occur at a central facility. Energy usage and exergy consumption were used to quantify the thermodynamic performance of the processing options. Freezing has negligible effect on the process-ability of the leaves in terms of protein content and protein yield. The overall resource efficiency of the process was dominated by the amount of leaf material effectively used, which stresses the importance of full use of all (side-)streams. This outcome also explains the limited additional energy requirements for freezing. Exergetic indicators were affected by variations on the dry matter content of the starting biomass, compared to a negligible effect of other parameters (equipment scale, efficiency or energy use). Transportation load and soil quality were also discussed for the centralised and decentralised configurations. On-farm processing of the leaves (decentralised chain) clearly reduces the transportation load due to the large difference in bulk densities of leaves (73 kg/m3) and leaf juice (1000 kg/m3). Additionally, decentralised scenarios enable direct returning of the leaf pulp to the soil and thereby improving soil quality (i.e. nutrient retention and fertility). Soil quality is required to fully assess the use of biomass that is currently regarded as waste, but that actually plays a role in soil fertility. Therefore, the preferred chain configuration would be a decentralised system where the leaves are directly pressed at the farm, the pulp is used to fertilise the soil, and the leaf juice is chilled transported to a centralised factory.","container-title":"Journal of Cleaner Production","DOI":"10.1016/j.jclepro.2017.06.248","ISSN":"0959-6526","journalAbbreviation":"J. Clean. Prod.","language":"en","page":"736-748","source":"ScienceDirect","title":"Processing concepts for the use of green leaves as raw materials for the food industry","volume":"164","author":[{"family":"Tamayo Tenorio","given":"A."},{"family":"Schreuders","given":"F. K. G."},{"family":"Zisopoulos","given":"F. K."},{"family":"Boom","given":"R. M."},{"family":"Goot","given":"A. J.","non-dropping-particle":"van der"}],"issued":{"date-parts":[["2017",10,15]]}}}],"schema":"https://github.com/citation-style-language/schema/raw/master/csl-citation.json"} </w:instrText>
      </w:r>
      <w:r>
        <w:fldChar w:fldCharType="separate"/>
      </w:r>
      <w:r w:rsidR="005413B4" w:rsidRPr="005413B4">
        <w:rPr>
          <w:rFonts w:ascii="Calibri" w:hAnsi="Calibri" w:cs="Calibri"/>
          <w:szCs w:val="24"/>
          <w:vertAlign w:val="superscript"/>
        </w:rPr>
        <w:t>272</w:t>
      </w:r>
      <w:r>
        <w:fldChar w:fldCharType="end"/>
      </w:r>
      <w:r>
        <w:t xml:space="preserve">. Pumping of the brown juice towards its valorization pathway was accounted using (0.83 </w:t>
      </w:r>
      <w:r w:rsidRPr="00643D92">
        <w:t>kWh.t</w:t>
      </w:r>
      <w:r w:rsidRPr="00643D92">
        <w:rPr>
          <w:vertAlign w:val="subscript"/>
        </w:rPr>
        <w:t>ww</w:t>
      </w:r>
      <w:r w:rsidRPr="00643D92">
        <w:rPr>
          <w:vertAlign w:val="superscript"/>
        </w:rPr>
        <w:t>-1</w:t>
      </w:r>
      <w:r>
        <w:t>)</w:t>
      </w:r>
      <w:r>
        <w:fldChar w:fldCharType="begin"/>
      </w:r>
      <w:r w:rsidR="005413B4">
        <w:instrText xml:space="preserve"> ADDIN ZOTERO_ITEM CSL_CITATION {"citationID":"nomUD2MH","properties":{"formattedCitation":"\\super 290\\nosupersub{}","plainCitation":"290","noteIndex":0},"citationItems":[{"id":392,"uris":["http://zotero.org/users/6423791/items/P3739BFG"],"itemData":{"id":392,"type":"article-journal","abstract":"The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Zwicky"},{"family":"Birkved","given":"Morten"}],"issued":{"date-parts":[["2018",9]]}}}],"schema":"https://github.com/citation-style-language/schema/raw/master/csl-citation.json"} </w:instrText>
      </w:r>
      <w:r>
        <w:fldChar w:fldCharType="separate"/>
      </w:r>
      <w:r w:rsidR="005413B4" w:rsidRPr="005413B4">
        <w:rPr>
          <w:rFonts w:ascii="Calibri" w:hAnsi="Calibri" w:cs="Calibri"/>
          <w:szCs w:val="24"/>
          <w:vertAlign w:val="superscript"/>
        </w:rPr>
        <w:t>290</w:t>
      </w:r>
      <w:r>
        <w:fldChar w:fldCharType="end"/>
      </w:r>
      <w:r>
        <w:t>. The required 80°C heat was modeled as LT heat. Finally, green pellet recovery operations (skimming, centrifugation, etc. towards 20-30%</w:t>
      </w:r>
      <w:r w:rsidRPr="00BC6568">
        <w:rPr>
          <w:vertAlign w:val="subscript"/>
        </w:rPr>
        <w:t>DM</w:t>
      </w:r>
      <w:r>
        <w:t>)</w:t>
      </w:r>
      <w:r>
        <w:fldChar w:fldCharType="begin"/>
      </w:r>
      <w:r w:rsidR="005413B4">
        <w:instrText xml:space="preserve"> ADDIN ZOTERO_ITEM CSL_CITATION {"citationID":"XYXQtRZG","properties":{"formattedCitation":"\\super 272\\nosupersub{}","plainCitation":"272","noteIndex":0},"citationItems":[{"id":9255,"uris":["http://zotero.org/users/6423791/items/9EZA9MQK"],"itemData":{"id":9255,"type":"article-journal","abstract":"Large-scale processing of leaves for food applications requires quick processing or stabilisation to avoid perishability, due to the high moisture content in this biomass. Leaf perishability is compounded by the seasonal availability of crops, like sugar beet plants, of which the leaves are regarded as a potential protein source. This study evaluates the resource efficiency of a hypothetical sugar beet leaf processing chain by comparing supply chain options. First, two options consider leaf processing with and without stabilising the leaves by freezing. Then, these two options are considered in a centralised and decentralised process configuration. The latter places leaf freezing and pressing at the farm and further processes occur at a central facility. Energy usage and exergy consumption were used to quantify the thermodynamic performance of the processing options. Freezing has negligible effect on the process-ability of the leaves in terms of protein content and protein yield. The overall resource efficiency of the process was dominated by the amount of leaf material effectively used, which stresses the importance of full use of all (side-)streams. This outcome also explains the limited additional energy requirements for freezing. Exergetic indicators were affected by variations on the dry matter content of the starting biomass, compared to a negligible effect of other parameters (equipment scale, efficiency or energy use). Transportation load and soil quality were also discussed for the centralised and decentralised configurations. On-farm processing of the leaves (decentralised chain) clearly reduces the transportation load due to the large difference in bulk densities of leaves (73 kg/m3) and leaf juice (1000 kg/m3). Additionally, decentralised scenarios enable direct returning of the leaf pulp to the soil and thereby improving soil quality (i.e. nutrient retention and fertility). Soil quality is required to fully assess the use of biomass that is currently regarded as waste, but that actually plays a role in soil fertility. Therefore, the preferred chain configuration would be a decentralised system where the leaves are directly pressed at the farm, the pulp is used to fertilise the soil, and the leaf juice is chilled transported to a centralised factory.","container-title":"Journal of Cleaner Production","DOI":"10.1016/j.jclepro.2017.06.248","ISSN":"0959-6526","journalAbbreviation":"J. Clean. Prod.","language":"en","page":"736-748","source":"ScienceDirect","title":"Processing concepts for the use of green leaves as raw materials for the food industry","volume":"164","author":[{"family":"Tamayo Tenorio","given":"A."},{"family":"Schreuders","given":"F. K. G."},{"family":"Zisopoulos","given":"F. K."},{"family":"Boom","given":"R. M."},{"family":"Goot","given":"A. J.","non-dropping-particle":"van der"}],"issued":{"date-parts":[["2017",10,15]]}}}],"schema":"https://github.com/citation-style-language/schema/raw/master/csl-citation.json"} </w:instrText>
      </w:r>
      <w:r>
        <w:fldChar w:fldCharType="separate"/>
      </w:r>
      <w:r w:rsidR="005413B4" w:rsidRPr="005413B4">
        <w:rPr>
          <w:rFonts w:ascii="Calibri" w:hAnsi="Calibri" w:cs="Calibri"/>
          <w:szCs w:val="24"/>
          <w:vertAlign w:val="superscript"/>
        </w:rPr>
        <w:t>272</w:t>
      </w:r>
      <w:r>
        <w:fldChar w:fldCharType="end"/>
      </w:r>
      <w:r>
        <w:t xml:space="preserve"> were generically accounted through an electricity consumption parameter (see </w:t>
      </w:r>
      <w:r w:rsidR="003B36AF" w:rsidRPr="003B36AF">
        <w:rPr>
          <w:b/>
        </w:rPr>
        <w:fldChar w:fldCharType="begin"/>
      </w:r>
      <w:r w:rsidR="003B36AF" w:rsidRPr="003B36AF">
        <w:rPr>
          <w:b/>
        </w:rPr>
        <w:instrText xml:space="preserve"> REF _Ref144910773 \h </w:instrText>
      </w:r>
      <w:r w:rsidR="003B36AF">
        <w:rPr>
          <w:b/>
        </w:rPr>
        <w:instrText xml:space="preserve"> \* MERGEFORMAT </w:instrText>
      </w:r>
      <w:r w:rsidR="003B36AF" w:rsidRPr="003B36AF">
        <w:rPr>
          <w:b/>
        </w:rPr>
      </w:r>
      <w:r w:rsidR="003B36AF" w:rsidRPr="003B36AF">
        <w:rPr>
          <w:b/>
        </w:rPr>
        <w:fldChar w:fldCharType="separate"/>
      </w:r>
      <w:r w:rsidR="00F25F8C" w:rsidRPr="00F25F8C">
        <w:rPr>
          <w:b/>
        </w:rPr>
        <w:t xml:space="preserve">Table SI. </w:t>
      </w:r>
      <w:r w:rsidR="00F25F8C" w:rsidRPr="00F25F8C">
        <w:rPr>
          <w:b/>
          <w:noProof/>
        </w:rPr>
        <w:t>88</w:t>
      </w:r>
      <w:r w:rsidR="003B36AF" w:rsidRPr="003B36AF">
        <w:rPr>
          <w:b/>
        </w:rPr>
        <w:fldChar w:fldCharType="end"/>
      </w:r>
      <w:r>
        <w:t>).</w:t>
      </w:r>
    </w:p>
    <w:p w14:paraId="33244B44" w14:textId="271C1D1E" w:rsidR="00847C80" w:rsidRPr="00F54FAB" w:rsidRDefault="00874128" w:rsidP="00942782">
      <w:pPr>
        <w:pStyle w:val="Lgende"/>
        <w:jc w:val="left"/>
        <w:rPr>
          <w:b w:val="0"/>
          <w:i/>
        </w:rPr>
      </w:pPr>
      <w:bookmarkStart w:id="380" w:name="_Ref144910773"/>
      <w:bookmarkStart w:id="381" w:name="_Toc134537685"/>
      <w:bookmarkStart w:id="382" w:name="_Toc151967972"/>
      <w:r>
        <w:t>Table SI.</w:t>
      </w:r>
      <w:r w:rsidR="00847C80">
        <w:t xml:space="preserve"> </w:t>
      </w:r>
      <w:r>
        <w:fldChar w:fldCharType="begin"/>
      </w:r>
      <w:r>
        <w:instrText xml:space="preserve"> SEQ Table_SI. \* ARABIC </w:instrText>
      </w:r>
      <w:r>
        <w:fldChar w:fldCharType="separate"/>
      </w:r>
      <w:r w:rsidR="00F25F8C">
        <w:rPr>
          <w:noProof/>
        </w:rPr>
        <w:t>88</w:t>
      </w:r>
      <w:r>
        <w:fldChar w:fldCharType="end"/>
      </w:r>
      <w:bookmarkEnd w:id="380"/>
      <w:r w:rsidR="00847C80">
        <w:t xml:space="preserve"> </w:t>
      </w:r>
      <w:r w:rsidR="00847C80" w:rsidRPr="00E105F3">
        <w:t xml:space="preserve">– </w:t>
      </w:r>
      <w:r w:rsidR="00847C80">
        <w:t>S</w:t>
      </w:r>
      <w:r w:rsidR="00847C80" w:rsidRPr="00E105F3">
        <w:t>elected parameters and variation ranges for green proteins recovery</w:t>
      </w:r>
      <w:bookmarkEnd w:id="381"/>
      <w:bookmarkEnd w:id="382"/>
    </w:p>
    <w:tbl>
      <w:tblPr>
        <w:tblStyle w:val="Tableausimple2"/>
        <w:tblW w:w="9209" w:type="dxa"/>
        <w:tblLook w:val="04A0" w:firstRow="1" w:lastRow="0" w:firstColumn="1" w:lastColumn="0" w:noHBand="0" w:noVBand="1"/>
      </w:tblPr>
      <w:tblGrid>
        <w:gridCol w:w="981"/>
        <w:gridCol w:w="1271"/>
        <w:gridCol w:w="972"/>
        <w:gridCol w:w="973"/>
        <w:gridCol w:w="973"/>
        <w:gridCol w:w="4039"/>
      </w:tblGrid>
      <w:tr w:rsidR="00847C80" w:rsidRPr="00C828FC" w14:paraId="464C5F37" w14:textId="77777777" w:rsidTr="009427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2" w:type="dxa"/>
            <w:gridSpan w:val="2"/>
          </w:tcPr>
          <w:p w14:paraId="12683AB6" w14:textId="77777777" w:rsidR="00847C80" w:rsidRPr="00C828FC" w:rsidRDefault="00847C80" w:rsidP="00847C80">
            <w:pPr>
              <w:rPr>
                <w:sz w:val="18"/>
                <w:szCs w:val="18"/>
              </w:rPr>
            </w:pPr>
            <w:r w:rsidRPr="00C828FC">
              <w:rPr>
                <w:sz w:val="18"/>
                <w:szCs w:val="18"/>
              </w:rPr>
              <w:t>Parameters</w:t>
            </w:r>
          </w:p>
        </w:tc>
        <w:tc>
          <w:tcPr>
            <w:tcW w:w="972" w:type="dxa"/>
          </w:tcPr>
          <w:p w14:paraId="43A104C6" w14:textId="77777777" w:rsidR="00847C80" w:rsidRPr="00C828FC" w:rsidRDefault="00847C80" w:rsidP="00847C80">
            <w:pPr>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Baseline</w:t>
            </w:r>
          </w:p>
        </w:tc>
        <w:tc>
          <w:tcPr>
            <w:tcW w:w="973" w:type="dxa"/>
          </w:tcPr>
          <w:p w14:paraId="134103AA" w14:textId="77777777" w:rsidR="00847C80" w:rsidRPr="00C828FC" w:rsidRDefault="00847C80" w:rsidP="00847C80">
            <w:pPr>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Min</w:t>
            </w:r>
          </w:p>
        </w:tc>
        <w:tc>
          <w:tcPr>
            <w:tcW w:w="973" w:type="dxa"/>
          </w:tcPr>
          <w:p w14:paraId="40363B2B" w14:textId="77777777" w:rsidR="00847C80" w:rsidRPr="00C828FC" w:rsidRDefault="00847C80" w:rsidP="00847C80">
            <w:pPr>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Max</w:t>
            </w:r>
          </w:p>
        </w:tc>
        <w:tc>
          <w:tcPr>
            <w:tcW w:w="4039" w:type="dxa"/>
          </w:tcPr>
          <w:p w14:paraId="7B88B31D" w14:textId="77777777" w:rsidR="00847C80" w:rsidRPr="00C828FC" w:rsidRDefault="00847C80" w:rsidP="003B36AF">
            <w:pPr>
              <w:jc w:val="both"/>
              <w:cnfStyle w:val="100000000000" w:firstRow="1" w:lastRow="0" w:firstColumn="0" w:lastColumn="0" w:oddVBand="0" w:evenVBand="0" w:oddHBand="0" w:evenHBand="0" w:firstRowFirstColumn="0" w:firstRowLastColumn="0" w:lastRowFirstColumn="0" w:lastRowLastColumn="0"/>
              <w:rPr>
                <w:i/>
                <w:sz w:val="18"/>
                <w:szCs w:val="18"/>
              </w:rPr>
            </w:pPr>
            <w:r w:rsidRPr="00C828FC">
              <w:rPr>
                <w:i/>
                <w:sz w:val="18"/>
                <w:szCs w:val="18"/>
              </w:rPr>
              <w:t>Comment</w:t>
            </w:r>
          </w:p>
        </w:tc>
      </w:tr>
      <w:tr w:rsidR="00847C80" w:rsidRPr="00C828FC" w14:paraId="53134F2F"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1" w:type="dxa"/>
            <w:vMerge w:val="restart"/>
            <w:textDirection w:val="btLr"/>
          </w:tcPr>
          <w:p w14:paraId="7AED883C" w14:textId="77777777" w:rsidR="00847C80" w:rsidRPr="00C828FC" w:rsidRDefault="00847C80" w:rsidP="00847C80">
            <w:pPr>
              <w:ind w:left="113" w:right="113"/>
              <w:rPr>
                <w:sz w:val="18"/>
                <w:szCs w:val="18"/>
              </w:rPr>
            </w:pPr>
            <w:r w:rsidRPr="00C828FC">
              <w:rPr>
                <w:sz w:val="18"/>
                <w:szCs w:val="18"/>
              </w:rPr>
              <w:t>Green proteins recovery (%</w:t>
            </w:r>
            <w:r w:rsidRPr="00C828FC">
              <w:rPr>
                <w:sz w:val="18"/>
                <w:szCs w:val="18"/>
                <w:vertAlign w:val="subscript"/>
              </w:rPr>
              <w:t>pellet/in</w:t>
            </w:r>
            <w:r w:rsidRPr="00C828FC">
              <w:rPr>
                <w:sz w:val="18"/>
                <w:szCs w:val="18"/>
              </w:rPr>
              <w:t>)</w:t>
            </w:r>
          </w:p>
        </w:tc>
        <w:tc>
          <w:tcPr>
            <w:tcW w:w="1271" w:type="dxa"/>
          </w:tcPr>
          <w:p w14:paraId="05905C0A"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fresh matter</w:t>
            </w:r>
          </w:p>
        </w:tc>
        <w:tc>
          <w:tcPr>
            <w:tcW w:w="972" w:type="dxa"/>
          </w:tcPr>
          <w:p w14:paraId="0E279107"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10%</w:t>
            </w:r>
          </w:p>
        </w:tc>
        <w:tc>
          <w:tcPr>
            <w:tcW w:w="973" w:type="dxa"/>
          </w:tcPr>
          <w:p w14:paraId="1EF35F29"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5%</w:t>
            </w:r>
          </w:p>
        </w:tc>
        <w:tc>
          <w:tcPr>
            <w:tcW w:w="973" w:type="dxa"/>
          </w:tcPr>
          <w:p w14:paraId="79966269"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15%</w:t>
            </w:r>
          </w:p>
        </w:tc>
        <w:tc>
          <w:tcPr>
            <w:tcW w:w="4039" w:type="dxa"/>
          </w:tcPr>
          <w:p w14:paraId="194A5108" w14:textId="10735827" w:rsidR="00847C80" w:rsidRPr="00C828FC" w:rsidRDefault="00847C80" w:rsidP="00847C80">
            <w:pPr>
              <w:jc w:val="both"/>
              <w:cnfStyle w:val="000000100000" w:firstRow="0" w:lastRow="0" w:firstColumn="0" w:lastColumn="0" w:oddVBand="0" w:evenVBand="0" w:oddHBand="1" w:evenHBand="0" w:firstRowFirstColumn="0" w:firstRowLastColumn="0" w:lastRowFirstColumn="0" w:lastRowLastColumn="0"/>
              <w:rPr>
                <w:i/>
                <w:sz w:val="18"/>
                <w:szCs w:val="18"/>
              </w:rPr>
            </w:pPr>
            <w:r w:rsidRPr="00C828FC">
              <w:rPr>
                <w:i/>
                <w:sz w:val="18"/>
                <w:szCs w:val="18"/>
              </w:rPr>
              <w:t>In-between data from acid fermentation (ca. 5%)</w:t>
            </w:r>
            <w:r w:rsidRPr="00C828FC">
              <w:rPr>
                <w:i/>
                <w:sz w:val="18"/>
                <w:szCs w:val="18"/>
              </w:rPr>
              <w:fldChar w:fldCharType="begin"/>
            </w:r>
            <w:r w:rsidR="005413B4">
              <w:rPr>
                <w:i/>
                <w:sz w:val="18"/>
                <w:szCs w:val="18"/>
              </w:rPr>
              <w:instrText xml:space="preserve"> ADDIN ZOTERO_ITEM CSL_CITATION {"citationID":"JEVWM9zw","properties":{"formattedCitation":"\\super 320,324\\nosupersub{}","plainCitation":"320,324","noteIndex":0},"citationItems":[{"id":7932,"uris":["http://zotero.org/users/6423791/items/PPC35VRK"],"itemData":{"id":7932,"type":"article-journal","abstract":"There is an increasing interest in green biorefineries for the utilization of green biomass to provide a variety of valuable products. Proteins can be extracted from green biomasses such as alfalfa, clover, or grass and separated into protein-rich concentrates suitable for feeding to monogastric animals. Press cake suitable for feeding ruminant animals is also produced. Full implementation of such a green biorefinery requires knowledge and experience of production at demonstration scale. Moreover, product evaluation in animal-feeding trials requires a large amount of product. There has been collaboration in Denmark between several partners from industry and academia to assess the practicality and scalability of a green biorefining plant producing protein concentrate and press cake silage from organic grass clover at the scale of ca. 10 tons per hour fresh biomass input. Lactic acid fermentation of the pressed green juice was successfully performed to precipitate proteins and stabilize the juice. Despite minor difficulties, the demonstration-scale biorefining plant was operative for four days, processed 444 tons of grass clover, and resulted in the overall production of 1 ton of dried protein concentrate, 7 tons of protein paste, and 223 tons of press cake silage. The protein concentrate was rich in essential amino acids and was tested in feeding trials with poultry; the press cake silage, rich in processed fibers and fiber-associated proteins, was tested in feeding trials with dairy cows. © 2018 Society of Chemical Industry and John Wiley &amp; Sons, Ltd","container-title":"Biofuels, Bioproducts and Biorefining","DOI":"https://doi.org/10.1002/bbb.1957","ISSN":"1932-1031","issue":"3","language":"en","license":"© 2018 Society of Chemical Industry and John Wiley &amp; Sons, Ltd","page":"502-513","source":"Wiley Online Library","title":"Demonstration-scale protein recovery by lactic acid fermentation from grass clover – a single case of the production of protein concentrate and press cake silage for animal feeding trials","volume":"13","author":[{"family":"Santamaría-Fernández","given":"Maria"},{"family":"Ambye‐Jensen","given":"Morten"},{"family":"Damborg","given":"Vinni K."},{"family":"Lübeck","given":"Mette"}],"issued":{"date-parts":[["2019"]]}}},{"id":11359,"uris":["http://zotero.org/users/6423791/items/E9EGQI5S"],"itemData":{"id":11359,"type":"article-journal","abstract":"The Green Biorefinery (GBR) is a complex and full-integrated system of environment- and resource-protecting technologies for comprehensive material and energetic use of green biomasses. GBR's are multiproduct systems and perform and produce in accordance with the physiology of the corresponding plant material preserving and using the diversity of the synthesis generated by nature. In addition to the general biorefinery concept, GBR's are based strongly on sustainable principles (sustainable land use, sustainable raw materials, gentle technologies, autarkic energy supply, etc.). Existing agricultural structures of the green crop processing industry, such as green crop drying plants, offer good opportunities for the implementation of biorefinery technologies that will help overcoming energy-intensive and partially obsolete technologies, such as the thermal drying of feedstock. Accordingly, the primary fractionation of green biomasses and the integrated production of proteins, fermentation media, animal feed, and biogas was projected and will be realized in a demonstration facility directly linked to the existing green crop drying plant, Selbelang, in Havelland (Germany, state Brandenburg, 50 km west of Berlin). The primary refinery will have an annual capacity of 20 000 tons alfalfa and grass biomass and can be diversified in modules for the production of platform chemicals and synthesis gas. We discuss the processes, products, operating costs and climate protection effects through examination of the basic engineering of the primary refinery. The production site and planned demonstration facility are also presented. Copyright © 2010 Society of Chemical Industry and John Wiley &amp; Sons, Ltd","container-title":"Biofuels, Bioproducts and Biorefining","DOI":"https://doi.org/10.1002/bbb.218","ISSN":"1932-1031","issue":"3","language":"en","license":"Copyright © 2010 Society of Chemical Industry and John Wiley &amp; Sons, Ltd","note":"_eprint: https://onlinelibrary.wiley.com/doi/pdf/10.1002/bbb.218","page":"253-262","source":"Wiley Online Library","title":"Green biorefinery demonstration plant in Havelland (Germany)","volume":"4","author":[{"family":"Kamm","given":"Birgit"},{"family":"Hille","given":"Christoph"},{"family":"Schönicke","given":"Petra"},{"family":"Dautzenberg","given":"Geertje"}],"issued":{"date-parts":[["2010"]]}}}],"schema":"https://github.com/citation-style-language/schema/raw/master/csl-citation.json"} </w:instrText>
            </w:r>
            <w:r w:rsidRPr="00C828FC">
              <w:rPr>
                <w:i/>
                <w:sz w:val="18"/>
                <w:szCs w:val="18"/>
              </w:rPr>
              <w:fldChar w:fldCharType="separate"/>
            </w:r>
            <w:r w:rsidR="005413B4" w:rsidRPr="005413B4">
              <w:rPr>
                <w:rFonts w:ascii="Calibri" w:hAnsi="Calibri" w:cs="Calibri"/>
                <w:sz w:val="18"/>
                <w:szCs w:val="24"/>
                <w:vertAlign w:val="superscript"/>
              </w:rPr>
              <w:t>320,324</w:t>
            </w:r>
            <w:r w:rsidRPr="00C828FC">
              <w:rPr>
                <w:i/>
                <w:sz w:val="18"/>
                <w:szCs w:val="18"/>
              </w:rPr>
              <w:fldChar w:fldCharType="end"/>
            </w:r>
            <w:r w:rsidRPr="00C828FC">
              <w:rPr>
                <w:i/>
                <w:sz w:val="18"/>
                <w:szCs w:val="18"/>
              </w:rPr>
              <w:t xml:space="preserve"> and achieved during lab experiments</w:t>
            </w:r>
            <w:r w:rsidRPr="00C828FC">
              <w:rPr>
                <w:i/>
                <w:sz w:val="18"/>
                <w:szCs w:val="18"/>
              </w:rPr>
              <w:fldChar w:fldCharType="begin"/>
            </w:r>
            <w:r w:rsidR="005413B4">
              <w:rPr>
                <w:i/>
                <w:sz w:val="18"/>
                <w:szCs w:val="18"/>
              </w:rPr>
              <w:instrText xml:space="preserve"> ADDIN ZOTERO_ITEM CSL_CITATION {"citationID":"Fem8LIDz","properties":{"formattedCitation":"\\super 291,314\\nosupersub{}","plainCitation":"291,314","noteIndex":0},"citationItems":[{"id":386,"uris":["http://zotero.org/users/6423791/items/TTWM84UQ"],"itemData":{"id":386,"type":"article-journal","abstract":"Trends of increasing human population, diets rich in meat, highly processed and vigorously transported products put high pressure on our ability to produce ever more food globally at the same time as supporting healthy agricultural ecosystems globally. Future food production needs to focus on optimisation of the food system in order to develop within the constraints of planetary boundaries. Modelling of energy and material flows of production systems by means of Emergy Assessment is a way to help in this task. We model and assess a hypothetical, large-scale biorefinery production from field to the provision of pig feed, biogas and fertiliser based on grass-clover mixtures (Bioref scenario). A hot spot analysis concludes that grass-clover mixture cultivation has high diesel and labour requirements, and that approximately half of the resource use (in solar emjoules, sej) in the Bioref scenario occurs during agricultural production. We find that the Bioref scenario is very labour intensive: 75% of total resource use (in sej/year) is related to labour. Next, we compare the Bioref scenario to the current provision in Denmark of soy meal imported from Brazil combined with natural gas from Denmark (Current scenario). We conclude that the Bioref production system could reduce the use of resources, reduce the dependence on non-renewable resources, significantly decrease GHG emissions from fossil fuel use, and does not need external heat input, but has higher diesel and electricity use, increased land demand and much more dependence on labour embodied in goods. Finally, we discuss different perspectives in relation to labour requirements for the two production systems.","container-title":"Ecological Modelling","DOI":"10.1016/j.ecolmodel.2019.108738","ISSN":"03043800","journalAbbreviation":"Ecological Modelling","language":"en","page":"108738","source":"DOI.org (Crossref)","title":"Modelling matter and energy flows of local, refined grass-clover protein feed as alternative to imported soy meal","volume":"410","author":[{"family":"Kamp","given":"Andreas"},{"family":"Ambye-Jensen","given":"Morten"},{"family":"Østergård","given":"Hanne"}],"issued":{"date-parts":[["2019",10]]}}},{"id":2888,"uris":["http://zotero.org/users/6423791/items/RG6KXF3Y"],"itemData":{"id":2888,"type":"article-journal","abstract":"In colder humid areas, green forages are recognised as high protein yielding crops and have the potential to be a locally grown sustainable protein source. However, without processing, the protein cannot be properly utilised by monogastrics. By screw pressing, a pulp fraction suitable for ruminants and a protein concentrate suitable for monogastrics can be produced. The aim of this study was to analyse the chemical composition of the produced fractions and the mass balance distribution of protein and dry matter (DM) between the fractions. Mass balances are important in order to determine the potential of biorefining of forages as a tool for sustainable feed production. White clover, red clover, lucerne, and perennial ryegrass were separated into a green juice and a fibrous pulp in a screw-press, and a protein concentrate was precipitated from the green juice by heat or acidic precipitation. The pulp and green juice had an average crude protein (CP) concentration of 203 g/kg DM and 249 g/kg DM, respectively. The majority of the DM and the CP from the plant was retained in the fibrous pulp. Protein concentrates from the green juice and pulp contained higher concentrations of the essential amino acids for monogastrics and ruminants compared with unprocessed forage. The results demonstrate that fractions with high protein concentration and balanced amino acid composition can be produced, which combined with a high recovery highlight the potential of both fractions as a protein source for livestock.","container-title":"Animal Feed Science and Technology","DOI":"10.1016/j.anifeedsci.2020.114401","ISSN":"0377-8401","journalAbbreviation":"Anim. Feed Sci. Technol.","language":"en","page":"114401","source":"ScienceDirect","title":"Screw-pressed fractions from green forages as animal feed: Chemical composition and mass balances","title-short":"Screw-pressed fractions from green forages as animal feed","volume":"261","author":[{"family":"Damborg","given":"Vinni Kragbæk"},{"family":"Jensen","given":"Søren Krogh"},{"family":"Weisbjerg","given":"Martin R."},{"family":"Adamsen","given":"Anders Peter"},{"family":"Stødkilde","given":"Lene"}],"issued":{"date-parts":[["2020",3,1]]}}}],"schema":"https://github.com/citation-style-language/schema/raw/master/csl-citation.json"} </w:instrText>
            </w:r>
            <w:r w:rsidRPr="00C828FC">
              <w:rPr>
                <w:i/>
                <w:sz w:val="18"/>
                <w:szCs w:val="18"/>
              </w:rPr>
              <w:fldChar w:fldCharType="separate"/>
            </w:r>
            <w:r w:rsidR="005413B4" w:rsidRPr="005413B4">
              <w:rPr>
                <w:rFonts w:ascii="Calibri" w:hAnsi="Calibri" w:cs="Calibri"/>
                <w:sz w:val="18"/>
                <w:szCs w:val="24"/>
                <w:vertAlign w:val="superscript"/>
              </w:rPr>
              <w:t>291,314</w:t>
            </w:r>
            <w:r w:rsidRPr="00C828FC">
              <w:rPr>
                <w:i/>
                <w:sz w:val="18"/>
                <w:szCs w:val="18"/>
              </w:rPr>
              <w:fldChar w:fldCharType="end"/>
            </w:r>
            <w:r w:rsidRPr="00C828FC">
              <w:rPr>
                <w:i/>
                <w:sz w:val="18"/>
                <w:szCs w:val="18"/>
              </w:rPr>
              <w:t>.</w:t>
            </w:r>
          </w:p>
        </w:tc>
      </w:tr>
      <w:tr w:rsidR="00847C80" w:rsidRPr="00C828FC" w14:paraId="2FB97BF9" w14:textId="77777777" w:rsidTr="00942782">
        <w:tc>
          <w:tcPr>
            <w:cnfStyle w:val="001000000000" w:firstRow="0" w:lastRow="0" w:firstColumn="1" w:lastColumn="0" w:oddVBand="0" w:evenVBand="0" w:oddHBand="0" w:evenHBand="0" w:firstRowFirstColumn="0" w:firstRowLastColumn="0" w:lastRowFirstColumn="0" w:lastRowLastColumn="0"/>
            <w:tcW w:w="981" w:type="dxa"/>
            <w:vMerge/>
          </w:tcPr>
          <w:p w14:paraId="26D1AF84" w14:textId="77777777" w:rsidR="00847C80" w:rsidRPr="00C828FC" w:rsidRDefault="00847C80" w:rsidP="00847C80">
            <w:pPr>
              <w:rPr>
                <w:sz w:val="18"/>
                <w:szCs w:val="18"/>
              </w:rPr>
            </w:pPr>
          </w:p>
        </w:tc>
        <w:tc>
          <w:tcPr>
            <w:tcW w:w="1271" w:type="dxa"/>
          </w:tcPr>
          <w:p w14:paraId="554734F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dry matter</w:t>
            </w:r>
          </w:p>
        </w:tc>
        <w:tc>
          <w:tcPr>
            <w:tcW w:w="2918" w:type="dxa"/>
            <w:gridSpan w:val="3"/>
          </w:tcPr>
          <w:p w14:paraId="27C6E12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Modeled as the sum of individual fractions recovery (so output)</w:t>
            </w:r>
          </w:p>
        </w:tc>
        <w:tc>
          <w:tcPr>
            <w:tcW w:w="4039" w:type="dxa"/>
          </w:tcPr>
          <w:p w14:paraId="13B8B30B" w14:textId="30BC5A85" w:rsidR="00847C80" w:rsidRPr="00C828FC" w:rsidRDefault="00847C80" w:rsidP="00847C80">
            <w:pPr>
              <w:jc w:val="both"/>
              <w:cnfStyle w:val="000000000000" w:firstRow="0" w:lastRow="0" w:firstColumn="0" w:lastColumn="0" w:oddVBand="0" w:evenVBand="0" w:oddHBand="0" w:evenHBand="0" w:firstRowFirstColumn="0" w:firstRowLastColumn="0" w:lastRowFirstColumn="0" w:lastRowLastColumn="0"/>
              <w:rPr>
                <w:i/>
                <w:sz w:val="18"/>
                <w:szCs w:val="18"/>
              </w:rPr>
            </w:pPr>
            <w:r w:rsidRPr="00C828FC">
              <w:rPr>
                <w:i/>
                <w:sz w:val="18"/>
                <w:szCs w:val="18"/>
              </w:rPr>
              <w:t>Should range between 14%</w:t>
            </w:r>
            <w:r w:rsidRPr="00C828FC">
              <w:rPr>
                <w:i/>
                <w:sz w:val="18"/>
                <w:szCs w:val="18"/>
              </w:rPr>
              <w:fldChar w:fldCharType="begin"/>
            </w:r>
            <w:r w:rsidR="005413B4">
              <w:rPr>
                <w:i/>
                <w:sz w:val="18"/>
                <w:szCs w:val="18"/>
              </w:rPr>
              <w:instrText xml:space="preserve"> ADDIN ZOTERO_ITEM CSL_CITATION {"citationID":"cd5H1vE5","properties":{"formattedCitation":"\\super 290\\nosupersub{}","plainCitation":"290","noteIndex":0},"citationItems":[{"id":392,"uris":["http://zotero.org/users/6423791/items/P3739BFG"],"itemData":{"id":392,"type":"article-journal","abstract":"The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Zwicky"},{"family":"Birkved","given":"Morten"}],"issued":{"date-parts":[["2018",9]]}}}],"schema":"https://github.com/citation-style-language/schema/raw/master/csl-citation.json"} </w:instrText>
            </w:r>
            <w:r w:rsidRPr="00C828FC">
              <w:rPr>
                <w:i/>
                <w:sz w:val="18"/>
                <w:szCs w:val="18"/>
              </w:rPr>
              <w:fldChar w:fldCharType="separate"/>
            </w:r>
            <w:r w:rsidR="005413B4" w:rsidRPr="005413B4">
              <w:rPr>
                <w:rFonts w:ascii="Calibri" w:hAnsi="Calibri" w:cs="Calibri"/>
                <w:sz w:val="18"/>
                <w:szCs w:val="24"/>
                <w:vertAlign w:val="superscript"/>
              </w:rPr>
              <w:t>290</w:t>
            </w:r>
            <w:r w:rsidRPr="00C828FC">
              <w:rPr>
                <w:i/>
                <w:sz w:val="18"/>
                <w:szCs w:val="18"/>
              </w:rPr>
              <w:fldChar w:fldCharType="end"/>
            </w:r>
            <w:r w:rsidRPr="00C828FC">
              <w:rPr>
                <w:i/>
                <w:sz w:val="18"/>
                <w:szCs w:val="18"/>
              </w:rPr>
              <w:t xml:space="preserve"> and 45%</w:t>
            </w:r>
            <w:r w:rsidRPr="00C828FC">
              <w:rPr>
                <w:i/>
                <w:sz w:val="18"/>
                <w:szCs w:val="18"/>
              </w:rPr>
              <w:fldChar w:fldCharType="begin"/>
            </w:r>
            <w:r w:rsidR="005413B4">
              <w:rPr>
                <w:i/>
                <w:sz w:val="18"/>
                <w:szCs w:val="18"/>
              </w:rPr>
              <w:instrText xml:space="preserve"> ADDIN ZOTERO_ITEM CSL_CITATION {"citationID":"nom5DHiI","properties":{"formattedCitation":"\\super 314\\nosupersub{}","plainCitation":"314","noteIndex":0},"citationItems":[{"id":2888,"uris":["http://zotero.org/users/6423791/items/RG6KXF3Y"],"itemData":{"id":2888,"type":"article-journal","abstract":"In colder humid areas, green forages are recognised as high protein yielding crops and have the potential to be a locally grown sustainable protein source. However, without processing, the protein cannot be properly utilised by monogastrics. By screw pressing, a pulp fraction suitable for ruminants and a protein concentrate suitable for monogastrics can be produced. The aim of this study was to analyse the chemical composition of the produced fractions and the mass balance distribution of protein and dry matter (DM) between the fractions. Mass balances are important in order to determine the potential of biorefining of forages as a tool for sustainable feed production. White clover, red clover, lucerne, and perennial ryegrass were separated into a green juice and a fibrous pulp in a screw-press, and a protein concentrate was precipitated from the green juice by heat or acidic precipitation. The pulp and green juice had an average crude protein (CP) concentration of 203 g/kg DM and 249 g/kg DM, respectively. The majority of the DM and the CP from the plant was retained in the fibrous pulp. Protein concentrates from the green juice and pulp contained higher concentrations of the essential amino acids for monogastrics and ruminants compared with unprocessed forage. The results demonstrate that fractions with high protein concentration and balanced amino acid composition can be produced, which combined with a high recovery highlight the potential of both fractions as a protein source for livestock.","container-title":"Animal Feed Science and Technology","DOI":"10.1016/j.anifeedsci.2020.114401","ISSN":"0377-8401","journalAbbreviation":"Anim. Feed Sci. Technol.","language":"en","page":"114401","source":"ScienceDirect","title":"Screw-pressed fractions from green forages as animal feed: Chemical composition and mass balances","title-short":"Screw-pressed fractions from green forages as animal feed","volume":"261","author":[{"family":"Damborg","given":"Vinni Kragbæk"},{"family":"Jensen","given":"Søren Krogh"},{"family":"Weisbjerg","given":"Martin R."},{"family":"Adamsen","given":"Anders Peter"},{"family":"Stødkilde","given":"Lene"}],"issued":{"date-parts":[["2020",3,1]]}}}],"schema":"https://github.com/citation-style-language/schema/raw/master/csl-citation.json"} </w:instrText>
            </w:r>
            <w:r w:rsidRPr="00C828FC">
              <w:rPr>
                <w:i/>
                <w:sz w:val="18"/>
                <w:szCs w:val="18"/>
              </w:rPr>
              <w:fldChar w:fldCharType="separate"/>
            </w:r>
            <w:r w:rsidR="005413B4" w:rsidRPr="005413B4">
              <w:rPr>
                <w:rFonts w:ascii="Calibri" w:hAnsi="Calibri" w:cs="Calibri"/>
                <w:sz w:val="18"/>
                <w:szCs w:val="24"/>
                <w:vertAlign w:val="superscript"/>
              </w:rPr>
              <w:t>314</w:t>
            </w:r>
            <w:r w:rsidRPr="00C828FC">
              <w:rPr>
                <w:i/>
                <w:sz w:val="18"/>
                <w:szCs w:val="18"/>
              </w:rPr>
              <w:fldChar w:fldCharType="end"/>
            </w:r>
            <w:r w:rsidRPr="00C828FC">
              <w:rPr>
                <w:i/>
                <w:sz w:val="18"/>
                <w:szCs w:val="18"/>
              </w:rPr>
              <w:t>.</w:t>
            </w:r>
          </w:p>
        </w:tc>
      </w:tr>
      <w:tr w:rsidR="00847C80" w:rsidRPr="00C828FC" w14:paraId="3555CD69"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1" w:type="dxa"/>
            <w:vMerge/>
          </w:tcPr>
          <w:p w14:paraId="79D5C42A" w14:textId="77777777" w:rsidR="00847C80" w:rsidRPr="00C828FC" w:rsidRDefault="00847C80" w:rsidP="00847C80">
            <w:pPr>
              <w:rPr>
                <w:sz w:val="18"/>
                <w:szCs w:val="18"/>
              </w:rPr>
            </w:pPr>
          </w:p>
        </w:tc>
        <w:tc>
          <w:tcPr>
            <w:tcW w:w="1271" w:type="dxa"/>
          </w:tcPr>
          <w:p w14:paraId="18D36EC1"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proteins</w:t>
            </w:r>
          </w:p>
        </w:tc>
        <w:tc>
          <w:tcPr>
            <w:tcW w:w="972" w:type="dxa"/>
          </w:tcPr>
          <w:p w14:paraId="024CA062"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50%</w:t>
            </w:r>
          </w:p>
        </w:tc>
        <w:tc>
          <w:tcPr>
            <w:tcW w:w="973" w:type="dxa"/>
          </w:tcPr>
          <w:p w14:paraId="50B180E7"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30%</w:t>
            </w:r>
          </w:p>
        </w:tc>
        <w:tc>
          <w:tcPr>
            <w:tcW w:w="973" w:type="dxa"/>
          </w:tcPr>
          <w:p w14:paraId="44AB0BB1"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90%</w:t>
            </w:r>
          </w:p>
        </w:tc>
        <w:tc>
          <w:tcPr>
            <w:tcW w:w="4039" w:type="dxa"/>
          </w:tcPr>
          <w:p w14:paraId="70EC53BF" w14:textId="2D22E272" w:rsidR="00847C80" w:rsidRPr="00C828FC" w:rsidRDefault="00847C80" w:rsidP="00847C80">
            <w:pPr>
              <w:jc w:val="both"/>
              <w:cnfStyle w:val="000000100000" w:firstRow="0" w:lastRow="0" w:firstColumn="0" w:lastColumn="0" w:oddVBand="0" w:evenVBand="0" w:oddHBand="1" w:evenHBand="0" w:firstRowFirstColumn="0" w:firstRowLastColumn="0" w:lastRowFirstColumn="0" w:lastRowLastColumn="0"/>
              <w:rPr>
                <w:i/>
                <w:sz w:val="18"/>
                <w:szCs w:val="18"/>
              </w:rPr>
            </w:pPr>
            <w:r w:rsidRPr="00C828FC">
              <w:rPr>
                <w:i/>
                <w:sz w:val="18"/>
                <w:szCs w:val="18"/>
              </w:rPr>
              <w:t>Max value for quality grass</w:t>
            </w:r>
            <w:r w:rsidRPr="00C828FC">
              <w:rPr>
                <w:i/>
                <w:sz w:val="18"/>
                <w:szCs w:val="18"/>
              </w:rPr>
              <w:fldChar w:fldCharType="begin"/>
            </w:r>
            <w:r w:rsidR="005413B4">
              <w:rPr>
                <w:i/>
                <w:sz w:val="18"/>
                <w:szCs w:val="18"/>
              </w:rPr>
              <w:instrText xml:space="preserve"> ADDIN ZOTERO_ITEM CSL_CITATION {"citationID":"FkwcVzsd","properties":{"formattedCitation":"\\super 289\\nosupersub{}","plainCitation":"289","noteIndex":0},"citationItems":[{"id":382,"uris":["http://zotero.org/users/6423791/items/7YX86YM8"],"itemData":{"id":382,"type":"article-journal","abstract":"Green bioreﬁnery (GBR) is a new bioreﬁnery technology for the conversion of fresh biomass to value added products. In the present study, we combined a Process Flowsheet Simulation (PFS) and Life Cycle Assessment (LCA) of a small scale decentralized GBR to screen environmental impact proﬁles for potential biomass feedstocks for GBR conversion. Furthermore, we carried out hotspot and sensitivity analysis to identify where the largest impacts arise in the bioreﬁning stage in order to provide recommendations and focus points for GBR technology developers. The GBR considered in this study produces a protein-rich feed for monogastric animals and an energy-rich feed from the press pulp and biogas from the GBR residues. The included biomass feedstocks are: alfalfa, grass-clover, festulolium and ryegrass. These biomasses were selected to accommodate variations in central biomass characteristics like: crop yields, rate of fertilizer application, chemical biomass compositions and related potential environmental implications. Among the studied crops, alfalfa provides the best overall environmental performance due to its high yield and low agricultural input demands. Results of the hotspot analysis further identiﬁed the coagulation and the drying as the processes that induce most of the environmental impacts in the bioreﬁning stage. Conversion of green biomass for the production of feed and energy could provide environmental beneﬁts compared to the production of conventional feed. However, the GBR technology have still room for optimization in order to further reduce the environmental impacts, across all impact categories, by decreasing energy consumption and increasing conversion efﬁciency.","container-title":"Journal of Cleaner Production","DOI":"10.1016/j.jclepro.2018.03.316","ISSN":"09596526","journalAbbreviation":"J. Clean. Prod.","language":"en","page":"344-357","source":"DOI.org (Crossref)","title":"Environmental screening of potential biomass for green biorefinery conversion","volume":"189","author":[{"family":"Corona","given":"Andrea"},{"family":"Parajuli","given":"Ranjan"},{"family":"Ambye-Jensen","given":"Morten"},{"family":"Hauschild","given":"Michael Zwicky"},{"family":"Birkved","given":"Morten"}],"issued":{"date-parts":[["2018",7]]}}}],"schema":"https://github.com/citation-style-language/schema/raw/master/csl-citation.json"} </w:instrText>
            </w:r>
            <w:r w:rsidRPr="00C828FC">
              <w:rPr>
                <w:i/>
                <w:sz w:val="18"/>
                <w:szCs w:val="18"/>
              </w:rPr>
              <w:fldChar w:fldCharType="separate"/>
            </w:r>
            <w:r w:rsidR="005413B4" w:rsidRPr="005413B4">
              <w:rPr>
                <w:rFonts w:ascii="Calibri" w:hAnsi="Calibri" w:cs="Calibri"/>
                <w:sz w:val="18"/>
                <w:szCs w:val="24"/>
                <w:vertAlign w:val="superscript"/>
              </w:rPr>
              <w:t>289</w:t>
            </w:r>
            <w:r w:rsidRPr="00C828FC">
              <w:rPr>
                <w:i/>
                <w:sz w:val="18"/>
                <w:szCs w:val="18"/>
              </w:rPr>
              <w:fldChar w:fldCharType="end"/>
            </w:r>
            <w:r w:rsidRPr="00C828FC">
              <w:rPr>
                <w:i/>
                <w:sz w:val="18"/>
                <w:szCs w:val="18"/>
              </w:rPr>
              <w:t xml:space="preserve"> but residual streams report lower yields (45-51%)</w:t>
            </w:r>
            <w:r w:rsidRPr="00C828FC">
              <w:rPr>
                <w:i/>
                <w:sz w:val="18"/>
                <w:szCs w:val="18"/>
              </w:rPr>
              <w:fldChar w:fldCharType="begin"/>
            </w:r>
            <w:r w:rsidR="005413B4">
              <w:rPr>
                <w:i/>
                <w:sz w:val="18"/>
                <w:szCs w:val="18"/>
              </w:rPr>
              <w:instrText xml:space="preserve"> ADDIN ZOTERO_ITEM CSL_CITATION {"citationID":"beVZ1cK5","properties":{"formattedCitation":"\\super 281,295\\nosupersub{}","plainCitation":"281,295","noteIndex":0},"citationItems":[{"id":1983,"uris":["http://zotero.org/users/6423791/items/28BXN4BJ"],"itemData":{"id":1983,"type":"article-journal","abstract":"Plant leaves are a major potential source of novel food proteins. Till now, leaf protein extraction methods mainly focus on the extraction of soluble proteins, like rubisco protein, leaving more than half of all protein unextracted. Here, we report on the total protein extraction from sugar beet leaves (Beta vulgaris L.) by a traditional thermal extraction method consisting of mechanical pressing, heating to 50°C and centrifugation. The resulting streams (i.e. supernatant, green-protein pellet and fibrous pulp) were characterised in terms of composition, physical structure and processing options. The protein distributed almost equally over the supernatant, pellet and pulp. This shows that thermal precipitation is an unselective process with respect to fractionation between soluble (rubisco) and insoluble (other) proteins. About 6% of the total protein could be extracted as pure rubisco (90% purity) from the supernatant. Surfactants commonly used for protein solubilisation could hardly re-dissolve the precipitated proteins in the pellet phase, which suggested that irreversible association was induced between the co-precipitated proteins and cell debris. Thus, the extraction of this protein will require prevention of their co-precipitation, and should take place in the original juice solution.","container-title":"Food Chemistry","DOI":"10.1016/j.foodchem.2016.02.092","ISSN":"0308-8146","journalAbbreviation":"Food Chemistry","language":"en","page":"402-408","source":"ScienceDirect","title":"Recovery of protein from green leaves: Overview of crucial steps for utilisation","title-short":"Recovery of protein from green leaves","volume":"203","author":[{"family":"Tamayo Tenorio","given":"Angelica"},{"family":"Gieteling","given":"Jarno"},{"family":"Jong","given":"Govardus A. H.","non-dropping-particle":"de"},{"family":"Boom","given":"Remko M."},{"family":"Goot","given":"Atze J.","non-dropping-particle":"van der"}],"issued":{"date-parts":[["2016",7,15]]}}},{"id":399,"uris":["http://zotero.org/users/6423791/items/VKZ573LE"],"itemData":{"id":399,"type":"article-journal","abstract":"Green bioreﬁnery” (GBR) could be an alternative option for using grassland biomass. GBR involves applying technology to chemically and physically fractionate (split) biomass such as grass and grass silage into marketable products. From the grass ﬁbre fraction insulation materials can be produced. From the grass juice fraction, proteinaceous products for animal feed and lactic acid (LA) for plastic production (polylactic acid e PLA) can be produced. This paper is the ﬁrst part in the analysis to develop a blueprint for a ﬁrst generation Irish GBR system. The focus of this paper is on the technical aspects of developing three GBR system models and subsequent scenario analyses. The three GBR system models were a combination of feedstock system and bioreﬁnery technology; Grass/silageebasic technology (GS), Silageebasic technology (S) and SilageeHigh Tech (AT). The models, which were integrated mass and energy balances, were then assessed at the three different input volumes, to generate nine scenarios. The scenarios which required further economic analysis in a companion paper to determine their overall feasibility (technical and economic) in the development of blueprint for a ﬁrst generation Irish GBR system were identiﬁed. From the technical analysis outlined in this paper six scenarios were identiﬁed which require further economic analysis. These were scenarios generated for the GS, S and AT GBR systems, at two input volume rates.","container-title":"Biomass and Bioenergy","DOI":"10.1016/j.biombioe.2011.06.017","ISSN":"09619534","issue":"11","journalAbbreviation":"Biomass Bioenergy.","language":"en","page":"4712-4723","source":"DOI.org (Crossref)","title":"I. Technical assessment for first generation green biorefinery (GBR) using mass and energy balances: Scenarios for an Irish GBR blueprint","title-short":"I. Technical assessment for first generation green biorefinery (GBR) using mass and energy balances","volume":"35","author":[{"family":"O’Keeffe","given":"S."},{"family":"Schulte","given":"R.P.O."},{"family":"Sanders","given":"J.P.M."},{"family":"Struik","given":"P.C."}],"issued":{"date-parts":[["2011",11]]}}}],"schema":"https://github.com/citation-style-language/schema/raw/master/csl-citation.json"} </w:instrText>
            </w:r>
            <w:r w:rsidRPr="00C828FC">
              <w:rPr>
                <w:i/>
                <w:sz w:val="18"/>
                <w:szCs w:val="18"/>
              </w:rPr>
              <w:fldChar w:fldCharType="separate"/>
            </w:r>
            <w:r w:rsidR="005413B4" w:rsidRPr="005413B4">
              <w:rPr>
                <w:rFonts w:ascii="Calibri" w:hAnsi="Calibri" w:cs="Calibri"/>
                <w:sz w:val="18"/>
                <w:szCs w:val="24"/>
                <w:vertAlign w:val="superscript"/>
              </w:rPr>
              <w:t>281,295</w:t>
            </w:r>
            <w:r w:rsidRPr="00C828FC">
              <w:rPr>
                <w:i/>
                <w:sz w:val="18"/>
                <w:szCs w:val="18"/>
              </w:rPr>
              <w:fldChar w:fldCharType="end"/>
            </w:r>
            <w:r w:rsidRPr="00C828FC">
              <w:rPr>
                <w:i/>
                <w:sz w:val="18"/>
                <w:szCs w:val="18"/>
              </w:rPr>
              <w:t xml:space="preserve"> chosen as baseline here. Min as currently achieved with fermentation</w:t>
            </w:r>
            <w:r w:rsidRPr="00C828FC">
              <w:rPr>
                <w:i/>
                <w:sz w:val="18"/>
                <w:szCs w:val="18"/>
              </w:rPr>
              <w:fldChar w:fldCharType="begin"/>
            </w:r>
            <w:r w:rsidR="005413B4">
              <w:rPr>
                <w:i/>
                <w:sz w:val="18"/>
                <w:szCs w:val="18"/>
              </w:rPr>
              <w:instrText xml:space="preserve"> ADDIN ZOTERO_ITEM CSL_CITATION {"citationID":"nbFkbi8d","properties":{"formattedCitation":"\\super 315\\nosupersub{}","plainCitation":"315","noteIndex":0},"citationItems":[{"id":7949,"uris":["http://zotero.org/users/6423791/items/45NGJEH9"],"itemData":{"id":7949,"type":"article-journal","abstract":"Nutrient recovery from organic green biomass after processing in a green biorefinery concept for the production of protein feed, biogas and fertilizer for organic farming was investigated. Mass balances in terms of wet weight, TS, VS, C, N, P, K and S were evaluated for processing red clover and clover grass into protein concentrate, press cake and brown juice according to the green biorefinery concept. Depending on the biomass, between 60 and 79% of C and between 52 and 63% of N, P and S in the fresh biomass were found in the press cake, while only 6–10% of C, 8–15% of N, but up to 27% of P and up to 26% of S were found in the brown juice. In contrast, less than 45% of K was transferred to the press cake and 19–31% of K ended up in the brown juice. Moreover, nutrient recovery in the digestate after anaerobic co-digestion of press cake and brown juice produced from clover grass in a pilot-scale trial was assessed in a bench-scale biogas reactor. The analysis of the digestate from the AD process revealed that 56% of the influent total-C was converted into biogas and that the share of ammonia-N of total-N was increased from 9.4 to 43% during the biogas process. Therefore, the proportion of plant available N was improved in the digestate. The digestate to be applied as organic fertilizer presented a C:N ratio of 7 and a nutrients N:P:K ratio of 4:1:12.","container-title":"Waste and Biomass Valorization","DOI":"10.1007/s12649-019-00842-3","ISSN":"1877-265X","issue":"11","journalAbbreviation":"Waste Biomass Valor.","language":"en","page":"5901-5911","source":"Springer Link","title":"Potential Nutrient Recovery in a Green Biorefinery for Production of Feed, Fuel and Fertilizer for Organic Farming","volume":"11","author":[{"family":"Santamaría-Fernández","given":"Maria"},{"family":"Ytting","given":"Nanna Karkov"},{"family":"Lübeck","given":"Mette"},{"family":"Uellendahl","given":"Hinrich"}],"issued":{"date-parts":[["2020",11,1]]}}}],"schema":"https://github.com/citation-style-language/schema/raw/master/csl-citation.json"} </w:instrText>
            </w:r>
            <w:r w:rsidRPr="00C828FC">
              <w:rPr>
                <w:i/>
                <w:sz w:val="18"/>
                <w:szCs w:val="18"/>
              </w:rPr>
              <w:fldChar w:fldCharType="separate"/>
            </w:r>
            <w:r w:rsidR="005413B4" w:rsidRPr="005413B4">
              <w:rPr>
                <w:rFonts w:ascii="Calibri" w:hAnsi="Calibri" w:cs="Calibri"/>
                <w:sz w:val="18"/>
                <w:szCs w:val="24"/>
                <w:vertAlign w:val="superscript"/>
              </w:rPr>
              <w:t>315</w:t>
            </w:r>
            <w:r w:rsidRPr="00C828FC">
              <w:rPr>
                <w:i/>
                <w:sz w:val="18"/>
                <w:szCs w:val="18"/>
              </w:rPr>
              <w:fldChar w:fldCharType="end"/>
            </w:r>
            <w:r w:rsidRPr="00C828FC">
              <w:rPr>
                <w:i/>
                <w:sz w:val="18"/>
                <w:szCs w:val="18"/>
              </w:rPr>
              <w:t>.</w:t>
            </w:r>
          </w:p>
        </w:tc>
      </w:tr>
      <w:tr w:rsidR="00847C80" w:rsidRPr="00C828FC" w14:paraId="56D92A05" w14:textId="77777777" w:rsidTr="00942782">
        <w:tc>
          <w:tcPr>
            <w:cnfStyle w:val="001000000000" w:firstRow="0" w:lastRow="0" w:firstColumn="1" w:lastColumn="0" w:oddVBand="0" w:evenVBand="0" w:oddHBand="0" w:evenHBand="0" w:firstRowFirstColumn="0" w:firstRowLastColumn="0" w:lastRowFirstColumn="0" w:lastRowLastColumn="0"/>
            <w:tcW w:w="981" w:type="dxa"/>
            <w:vMerge/>
          </w:tcPr>
          <w:p w14:paraId="37B5F4E9" w14:textId="77777777" w:rsidR="00847C80" w:rsidRPr="00C828FC" w:rsidRDefault="00847C80" w:rsidP="00847C80">
            <w:pPr>
              <w:rPr>
                <w:sz w:val="18"/>
                <w:szCs w:val="18"/>
              </w:rPr>
            </w:pPr>
          </w:p>
        </w:tc>
        <w:tc>
          <w:tcPr>
            <w:tcW w:w="1271" w:type="dxa"/>
          </w:tcPr>
          <w:p w14:paraId="5A81583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fat</w:t>
            </w:r>
          </w:p>
        </w:tc>
        <w:tc>
          <w:tcPr>
            <w:tcW w:w="2918" w:type="dxa"/>
            <w:gridSpan w:val="3"/>
          </w:tcPr>
          <w:p w14:paraId="2F226AC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Modeled as proteins (linked)</w:t>
            </w:r>
          </w:p>
        </w:tc>
        <w:tc>
          <w:tcPr>
            <w:tcW w:w="4039" w:type="dxa"/>
          </w:tcPr>
          <w:p w14:paraId="56675FF5" w14:textId="77777777" w:rsidR="00847C80" w:rsidRPr="00C828FC" w:rsidRDefault="00847C80" w:rsidP="00847C80">
            <w:pPr>
              <w:jc w:val="both"/>
              <w:cnfStyle w:val="000000000000" w:firstRow="0" w:lastRow="0" w:firstColumn="0" w:lastColumn="0" w:oddVBand="0" w:evenVBand="0" w:oddHBand="0" w:evenHBand="0" w:firstRowFirstColumn="0" w:firstRowLastColumn="0" w:lastRowFirstColumn="0" w:lastRowLastColumn="0"/>
              <w:rPr>
                <w:i/>
                <w:sz w:val="18"/>
                <w:szCs w:val="18"/>
              </w:rPr>
            </w:pPr>
            <w:r w:rsidRPr="00C828FC">
              <w:rPr>
                <w:i/>
                <w:sz w:val="18"/>
                <w:szCs w:val="18"/>
              </w:rPr>
              <w:t>No data.</w:t>
            </w:r>
          </w:p>
        </w:tc>
      </w:tr>
      <w:tr w:rsidR="00847C80" w:rsidRPr="00C828FC" w14:paraId="3344D141"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1" w:type="dxa"/>
            <w:vMerge/>
          </w:tcPr>
          <w:p w14:paraId="642DF0DC" w14:textId="77777777" w:rsidR="00847C80" w:rsidRPr="00C828FC" w:rsidRDefault="00847C80" w:rsidP="00847C80">
            <w:pPr>
              <w:rPr>
                <w:sz w:val="18"/>
                <w:szCs w:val="18"/>
              </w:rPr>
            </w:pPr>
          </w:p>
        </w:tc>
        <w:tc>
          <w:tcPr>
            <w:tcW w:w="1271" w:type="dxa"/>
          </w:tcPr>
          <w:p w14:paraId="517E091A"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soluble carbs</w:t>
            </w:r>
          </w:p>
        </w:tc>
        <w:tc>
          <w:tcPr>
            <w:tcW w:w="972" w:type="dxa"/>
          </w:tcPr>
          <w:p w14:paraId="6B301AD6"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21%</w:t>
            </w:r>
          </w:p>
        </w:tc>
        <w:tc>
          <w:tcPr>
            <w:tcW w:w="973" w:type="dxa"/>
          </w:tcPr>
          <w:p w14:paraId="2F826F44"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5%</w:t>
            </w:r>
          </w:p>
        </w:tc>
        <w:tc>
          <w:tcPr>
            <w:tcW w:w="973" w:type="dxa"/>
          </w:tcPr>
          <w:p w14:paraId="39F3505B"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36%</w:t>
            </w:r>
          </w:p>
        </w:tc>
        <w:tc>
          <w:tcPr>
            <w:tcW w:w="4039" w:type="dxa"/>
          </w:tcPr>
          <w:p w14:paraId="465E85EE" w14:textId="18226DD3" w:rsidR="00847C80" w:rsidRPr="00C828FC" w:rsidRDefault="00847C80" w:rsidP="00847C80">
            <w:pPr>
              <w:jc w:val="both"/>
              <w:cnfStyle w:val="000000100000" w:firstRow="0" w:lastRow="0" w:firstColumn="0" w:lastColumn="0" w:oddVBand="0" w:evenVBand="0" w:oddHBand="1" w:evenHBand="0" w:firstRowFirstColumn="0" w:firstRowLastColumn="0" w:lastRowFirstColumn="0" w:lastRowLastColumn="0"/>
              <w:rPr>
                <w:i/>
                <w:sz w:val="18"/>
                <w:szCs w:val="18"/>
              </w:rPr>
            </w:pPr>
            <w:r w:rsidRPr="00C828FC">
              <w:rPr>
                <w:i/>
                <w:sz w:val="18"/>
                <w:szCs w:val="18"/>
              </w:rPr>
              <w:t>defined as the ratios used in similar assessments</w:t>
            </w:r>
            <w:r w:rsidRPr="00C828FC">
              <w:rPr>
                <w:i/>
                <w:sz w:val="18"/>
                <w:szCs w:val="18"/>
              </w:rPr>
              <w:fldChar w:fldCharType="begin"/>
            </w:r>
            <w:r w:rsidR="005413B4">
              <w:rPr>
                <w:i/>
                <w:sz w:val="18"/>
                <w:szCs w:val="18"/>
              </w:rPr>
              <w:instrText xml:space="preserve"> ADDIN ZOTERO_ITEM CSL_CITATION {"citationID":"SY4vCQrW","properties":{"formattedCitation":"\\super 290,295\\nosupersub{}","plainCitation":"290,295","noteIndex":0},"citationItems":[{"id":392,"uris":["http://zotero.org/users/6423791/items/P3739BFG"],"itemData":{"id":392,"type":"article-journal","abstract":"The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Zwicky"},{"family":"Birkved","given":"Morten"}],"issued":{"date-parts":[["2018",9]]}}},{"id":399,"uris":["http://zotero.org/users/6423791/items/VKZ573LE"],"itemData":{"id":399,"type":"article-journal","abstract":"Green bioreﬁnery” (GBR) could be an alternative option for using grassland biomass. GBR involves applying technology to chemically and physically fractionate (split) biomass such as grass and grass silage into marketable products. From the grass ﬁbre fraction insulation materials can be produced. From the grass juice fraction, proteinaceous products for animal feed and lactic acid (LA) for plastic production (polylactic acid e PLA) can be produced. This paper is the ﬁrst part in the analysis to develop a blueprint for a ﬁrst generation Irish GBR system. The focus of this paper is on the technical aspects of developing three GBR system models and subsequent scenario analyses. The three GBR system models were a combination of feedstock system and bioreﬁnery technology; Grass/silageebasic technology (GS), Silageebasic technology (S) and SilageeHigh Tech (AT). The models, which were integrated mass and energy balances, were then assessed at the three different input volumes, to generate nine scenarios. The scenarios which required further economic analysis in a companion paper to determine their overall feasibility (technical and economic) in the development of blueprint for a ﬁrst generation Irish GBR system were identiﬁed. From the technical analysis outlined in this paper six scenarios were identiﬁed which require further economic analysis. These were scenarios generated for the GS, S and AT GBR systems, at two input volume rates.","container-title":"Biomass and Bioenergy","DOI":"10.1016/j.biombioe.2011.06.017","ISSN":"09619534","issue":"11","journalAbbreviation":"Biomass Bioenergy.","language":"en","page":"4712-4723","source":"DOI.org (Crossref)","title":"I. Technical assessment for first generation green biorefinery (GBR) using mass and energy balances: Scenarios for an Irish GBR blueprint","title-short":"I. Technical assessment for first generation green biorefinery (GBR) using mass and energy balances","volume":"35","author":[{"family":"O’Keeffe","given":"S."},{"family":"Schulte","given":"R.P.O."},{"family":"Sanders","given":"J.P.M."},{"family":"Struik","given":"P.C."}],"issued":{"date-parts":[["2011",11]]}}}],"schema":"https://github.com/citation-style-language/schema/raw/master/csl-citation.json"} </w:instrText>
            </w:r>
            <w:r w:rsidRPr="00C828FC">
              <w:rPr>
                <w:i/>
                <w:sz w:val="18"/>
                <w:szCs w:val="18"/>
              </w:rPr>
              <w:fldChar w:fldCharType="separate"/>
            </w:r>
            <w:r w:rsidR="005413B4" w:rsidRPr="005413B4">
              <w:rPr>
                <w:rFonts w:ascii="Calibri" w:hAnsi="Calibri" w:cs="Calibri"/>
                <w:sz w:val="18"/>
                <w:szCs w:val="24"/>
                <w:vertAlign w:val="superscript"/>
              </w:rPr>
              <w:t>290,295</w:t>
            </w:r>
            <w:r w:rsidRPr="00C828FC">
              <w:rPr>
                <w:i/>
                <w:sz w:val="18"/>
                <w:szCs w:val="18"/>
              </w:rPr>
              <w:fldChar w:fldCharType="end"/>
            </w:r>
            <w:r w:rsidRPr="00C828FC">
              <w:rPr>
                <w:i/>
                <w:sz w:val="18"/>
                <w:szCs w:val="18"/>
              </w:rPr>
              <w:t>.</w:t>
            </w:r>
          </w:p>
        </w:tc>
      </w:tr>
      <w:tr w:rsidR="00847C80" w:rsidRPr="00C828FC" w14:paraId="10C4463C" w14:textId="77777777" w:rsidTr="00942782">
        <w:tc>
          <w:tcPr>
            <w:cnfStyle w:val="001000000000" w:firstRow="0" w:lastRow="0" w:firstColumn="1" w:lastColumn="0" w:oddVBand="0" w:evenVBand="0" w:oddHBand="0" w:evenHBand="0" w:firstRowFirstColumn="0" w:firstRowLastColumn="0" w:lastRowFirstColumn="0" w:lastRowLastColumn="0"/>
            <w:tcW w:w="981" w:type="dxa"/>
            <w:vMerge/>
          </w:tcPr>
          <w:p w14:paraId="721C83A0" w14:textId="77777777" w:rsidR="00847C80" w:rsidRPr="00C828FC" w:rsidRDefault="00847C80" w:rsidP="00847C80">
            <w:pPr>
              <w:rPr>
                <w:sz w:val="18"/>
                <w:szCs w:val="18"/>
              </w:rPr>
            </w:pPr>
          </w:p>
        </w:tc>
        <w:tc>
          <w:tcPr>
            <w:tcW w:w="1271" w:type="dxa"/>
          </w:tcPr>
          <w:p w14:paraId="4AF2893C"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hemicellulose</w:t>
            </w:r>
          </w:p>
        </w:tc>
        <w:tc>
          <w:tcPr>
            <w:tcW w:w="2918" w:type="dxa"/>
            <w:gridSpan w:val="3"/>
          </w:tcPr>
          <w:p w14:paraId="5587A33B"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Modeled as soluble carbs (linked)</w:t>
            </w:r>
          </w:p>
        </w:tc>
        <w:tc>
          <w:tcPr>
            <w:tcW w:w="4039" w:type="dxa"/>
          </w:tcPr>
          <w:p w14:paraId="4F8DDF81" w14:textId="77777777" w:rsidR="00847C80" w:rsidRPr="00C828FC" w:rsidRDefault="00847C80" w:rsidP="00847C80">
            <w:pPr>
              <w:jc w:val="both"/>
              <w:cnfStyle w:val="000000000000" w:firstRow="0" w:lastRow="0" w:firstColumn="0" w:lastColumn="0" w:oddVBand="0" w:evenVBand="0" w:oddHBand="0" w:evenHBand="0" w:firstRowFirstColumn="0" w:firstRowLastColumn="0" w:lastRowFirstColumn="0" w:lastRowLastColumn="0"/>
              <w:rPr>
                <w:i/>
                <w:sz w:val="18"/>
                <w:szCs w:val="18"/>
              </w:rPr>
            </w:pPr>
            <w:r w:rsidRPr="00C828FC">
              <w:rPr>
                <w:i/>
                <w:sz w:val="18"/>
                <w:szCs w:val="18"/>
              </w:rPr>
              <w:t>Assuming hemicellulose present in juice is soluble.</w:t>
            </w:r>
          </w:p>
        </w:tc>
      </w:tr>
      <w:tr w:rsidR="00847C80" w:rsidRPr="00C828FC" w14:paraId="50BE8295"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1" w:type="dxa"/>
            <w:vMerge/>
          </w:tcPr>
          <w:p w14:paraId="54C734A0" w14:textId="77777777" w:rsidR="00847C80" w:rsidRPr="00C828FC" w:rsidRDefault="00847C80" w:rsidP="00847C80">
            <w:pPr>
              <w:rPr>
                <w:sz w:val="18"/>
                <w:szCs w:val="18"/>
              </w:rPr>
            </w:pPr>
          </w:p>
        </w:tc>
        <w:tc>
          <w:tcPr>
            <w:tcW w:w="1271" w:type="dxa"/>
          </w:tcPr>
          <w:p w14:paraId="793ACD3E"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cellulose</w:t>
            </w:r>
          </w:p>
        </w:tc>
        <w:tc>
          <w:tcPr>
            <w:tcW w:w="972" w:type="dxa"/>
            <w:vMerge w:val="restart"/>
          </w:tcPr>
          <w:p w14:paraId="5FE0ABAC"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28%</w:t>
            </w:r>
          </w:p>
        </w:tc>
        <w:tc>
          <w:tcPr>
            <w:tcW w:w="973" w:type="dxa"/>
            <w:vMerge w:val="restart"/>
          </w:tcPr>
          <w:p w14:paraId="4926D1E8"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5%</w:t>
            </w:r>
          </w:p>
        </w:tc>
        <w:tc>
          <w:tcPr>
            <w:tcW w:w="973" w:type="dxa"/>
            <w:vMerge w:val="restart"/>
          </w:tcPr>
          <w:p w14:paraId="714F84C0"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90%</w:t>
            </w:r>
          </w:p>
        </w:tc>
        <w:tc>
          <w:tcPr>
            <w:tcW w:w="4039" w:type="dxa"/>
            <w:vMerge w:val="restart"/>
          </w:tcPr>
          <w:p w14:paraId="12A4A0EE" w14:textId="320262E2" w:rsidR="00847C80" w:rsidRPr="00C828FC" w:rsidRDefault="00847C80" w:rsidP="00847C80">
            <w:pPr>
              <w:jc w:val="both"/>
              <w:cnfStyle w:val="000000100000" w:firstRow="0" w:lastRow="0" w:firstColumn="0" w:lastColumn="0" w:oddVBand="0" w:evenVBand="0" w:oddHBand="1" w:evenHBand="0" w:firstRowFirstColumn="0" w:firstRowLastColumn="0" w:lastRowFirstColumn="0" w:lastRowLastColumn="0"/>
              <w:rPr>
                <w:i/>
                <w:sz w:val="18"/>
                <w:szCs w:val="18"/>
              </w:rPr>
            </w:pPr>
            <w:r w:rsidRPr="00C828FC">
              <w:rPr>
                <w:i/>
                <w:sz w:val="18"/>
                <w:szCs w:val="18"/>
              </w:rPr>
              <w:t>High variability reported (e.g. 90% lignin recovery</w:t>
            </w:r>
            <w:r w:rsidRPr="00C828FC">
              <w:rPr>
                <w:i/>
                <w:sz w:val="18"/>
                <w:szCs w:val="18"/>
              </w:rPr>
              <w:fldChar w:fldCharType="begin"/>
            </w:r>
            <w:r w:rsidR="005413B4">
              <w:rPr>
                <w:i/>
                <w:sz w:val="18"/>
                <w:szCs w:val="18"/>
              </w:rPr>
              <w:instrText xml:space="preserve"> ADDIN ZOTERO_ITEM CSL_CITATION {"citationID":"nH0vvzTJ","properties":{"formattedCitation":"\\super 290\\nosupersub{}","plainCitation":"290","noteIndex":0},"citationItems":[{"id":392,"uris":["http://zotero.org/users/6423791/items/P3739BFG"],"itemData":{"id":392,"type":"article-journal","abstract":"The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Zwicky"},{"family":"Birkved","given":"Morten"}],"issued":{"date-parts":[["2018",9]]}}}],"schema":"https://github.com/citation-style-language/schema/raw/master/csl-citation.json"} </w:instrText>
            </w:r>
            <w:r w:rsidRPr="00C828FC">
              <w:rPr>
                <w:i/>
                <w:sz w:val="18"/>
                <w:szCs w:val="18"/>
              </w:rPr>
              <w:fldChar w:fldCharType="separate"/>
            </w:r>
            <w:r w:rsidR="005413B4" w:rsidRPr="005413B4">
              <w:rPr>
                <w:rFonts w:ascii="Calibri" w:hAnsi="Calibri" w:cs="Calibri"/>
                <w:sz w:val="18"/>
                <w:szCs w:val="24"/>
                <w:vertAlign w:val="superscript"/>
              </w:rPr>
              <w:t>290</w:t>
            </w:r>
            <w:r w:rsidRPr="00C828FC">
              <w:rPr>
                <w:i/>
                <w:sz w:val="18"/>
                <w:szCs w:val="18"/>
              </w:rPr>
              <w:fldChar w:fldCharType="end"/>
            </w:r>
            <w:r w:rsidRPr="00C828FC">
              <w:rPr>
                <w:i/>
                <w:sz w:val="18"/>
                <w:szCs w:val="18"/>
              </w:rPr>
              <w:t>, 28% dietary fibers</w:t>
            </w:r>
            <w:r w:rsidRPr="00C828FC">
              <w:rPr>
                <w:i/>
                <w:sz w:val="18"/>
                <w:szCs w:val="18"/>
              </w:rPr>
              <w:fldChar w:fldCharType="begin"/>
            </w:r>
            <w:r w:rsidR="005413B4">
              <w:rPr>
                <w:i/>
                <w:sz w:val="18"/>
                <w:szCs w:val="18"/>
              </w:rPr>
              <w:instrText xml:space="preserve"> ADDIN ZOTERO_ITEM CSL_CITATION {"citationID":"MdJ8QM97","properties":{"formattedCitation":"\\super 295\\nosupersub{}","plainCitation":"295","noteIndex":0},"citationItems":[{"id":399,"uris":["http://zotero.org/users/6423791/items/VKZ573LE"],"itemData":{"id":399,"type":"article-journal","abstract":"Green bioreﬁnery” (GBR) could be an alternative option for using grassland biomass. GBR involves applying technology to chemically and physically fractionate (split) biomass such as grass and grass silage into marketable products. From the grass ﬁbre fraction insulation materials can be produced. From the grass juice fraction, proteinaceous products for animal feed and lactic acid (LA) for plastic production (polylactic acid e PLA) can be produced. This paper is the ﬁrst part in the analysis to develop a blueprint for a ﬁrst generation Irish GBR system. The focus of this paper is on the technical aspects of developing three GBR system models and subsequent scenario analyses. The three GBR system models were a combination of feedstock system and bioreﬁnery technology; Grass/silageebasic technology (GS), Silageebasic technology (S) and SilageeHigh Tech (AT). The models, which were integrated mass and energy balances, were then assessed at the three different input volumes, to generate nine scenarios. The scenarios which required further economic analysis in a companion paper to determine their overall feasibility (technical and economic) in the development of blueprint for a ﬁrst generation Irish GBR system were identiﬁed. From the technical analysis outlined in this paper six scenarios were identiﬁed which require further economic analysis. These were scenarios generated for the GS, S and AT GBR systems, at two input volume rates.","container-title":"Biomass and Bioenergy","DOI":"10.1016/j.biombioe.2011.06.017","ISSN":"09619534","issue":"11","journalAbbreviation":"Biomass Bioenergy.","language":"en","page":"4712-4723","source":"DOI.org (Crossref)","title":"I. Technical assessment for first generation green biorefinery (GBR) using mass and energy balances: Scenarios for an Irish GBR blueprint","title-short":"I. Technical assessment for first generation green biorefinery (GBR) using mass and energy balances","volume":"35","author":[{"family":"O’Keeffe","given":"S."},{"family":"Schulte","given":"R.P.O."},{"family":"Sanders","given":"J.P.M."},{"family":"Struik","given":"P.C."}],"issued":{"date-parts":[["2011",11]]}}}],"schema":"https://github.com/citation-style-language/schema/raw/master/csl-citation.json"} </w:instrText>
            </w:r>
            <w:r w:rsidRPr="00C828FC">
              <w:rPr>
                <w:i/>
                <w:sz w:val="18"/>
                <w:szCs w:val="18"/>
              </w:rPr>
              <w:fldChar w:fldCharType="separate"/>
            </w:r>
            <w:r w:rsidR="005413B4" w:rsidRPr="005413B4">
              <w:rPr>
                <w:rFonts w:ascii="Calibri" w:hAnsi="Calibri" w:cs="Calibri"/>
                <w:sz w:val="18"/>
                <w:szCs w:val="24"/>
                <w:vertAlign w:val="superscript"/>
              </w:rPr>
              <w:t>295</w:t>
            </w:r>
            <w:r w:rsidRPr="00C828FC">
              <w:rPr>
                <w:i/>
                <w:sz w:val="18"/>
                <w:szCs w:val="18"/>
              </w:rPr>
              <w:fldChar w:fldCharType="end"/>
            </w:r>
            <w:r w:rsidRPr="00C828FC">
              <w:rPr>
                <w:i/>
                <w:sz w:val="18"/>
                <w:szCs w:val="18"/>
              </w:rPr>
              <w:t>): broad variation range.</w:t>
            </w:r>
          </w:p>
        </w:tc>
      </w:tr>
      <w:tr w:rsidR="00847C80" w:rsidRPr="00C828FC" w14:paraId="58397ED3" w14:textId="77777777" w:rsidTr="00942782">
        <w:tc>
          <w:tcPr>
            <w:cnfStyle w:val="001000000000" w:firstRow="0" w:lastRow="0" w:firstColumn="1" w:lastColumn="0" w:oddVBand="0" w:evenVBand="0" w:oddHBand="0" w:evenHBand="0" w:firstRowFirstColumn="0" w:firstRowLastColumn="0" w:lastRowFirstColumn="0" w:lastRowLastColumn="0"/>
            <w:tcW w:w="981" w:type="dxa"/>
            <w:vMerge/>
          </w:tcPr>
          <w:p w14:paraId="37A469D8" w14:textId="77777777" w:rsidR="00847C80" w:rsidRPr="00C828FC" w:rsidRDefault="00847C80" w:rsidP="00847C80">
            <w:pPr>
              <w:rPr>
                <w:sz w:val="18"/>
                <w:szCs w:val="18"/>
              </w:rPr>
            </w:pPr>
          </w:p>
        </w:tc>
        <w:tc>
          <w:tcPr>
            <w:tcW w:w="1271" w:type="dxa"/>
          </w:tcPr>
          <w:p w14:paraId="397D4388"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lignin</w:t>
            </w:r>
          </w:p>
        </w:tc>
        <w:tc>
          <w:tcPr>
            <w:tcW w:w="972" w:type="dxa"/>
            <w:vMerge/>
          </w:tcPr>
          <w:p w14:paraId="15949DDD"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973" w:type="dxa"/>
            <w:vMerge/>
          </w:tcPr>
          <w:p w14:paraId="0178D884"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973" w:type="dxa"/>
            <w:vMerge/>
          </w:tcPr>
          <w:p w14:paraId="14170065"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4039" w:type="dxa"/>
            <w:vMerge/>
          </w:tcPr>
          <w:p w14:paraId="5176DE43" w14:textId="77777777" w:rsidR="00847C80" w:rsidRPr="00C828FC" w:rsidRDefault="00847C80" w:rsidP="00847C80">
            <w:pPr>
              <w:jc w:val="both"/>
              <w:cnfStyle w:val="000000000000" w:firstRow="0" w:lastRow="0" w:firstColumn="0" w:lastColumn="0" w:oddVBand="0" w:evenVBand="0" w:oddHBand="0" w:evenHBand="0" w:firstRowFirstColumn="0" w:firstRowLastColumn="0" w:lastRowFirstColumn="0" w:lastRowLastColumn="0"/>
              <w:rPr>
                <w:i/>
                <w:sz w:val="18"/>
                <w:szCs w:val="18"/>
              </w:rPr>
            </w:pPr>
          </w:p>
        </w:tc>
      </w:tr>
      <w:tr w:rsidR="00847C80" w:rsidRPr="00C828FC" w14:paraId="63FB7F40"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1" w:type="dxa"/>
            <w:vMerge/>
          </w:tcPr>
          <w:p w14:paraId="30C35BF0" w14:textId="77777777" w:rsidR="00847C80" w:rsidRPr="00C828FC" w:rsidRDefault="00847C80" w:rsidP="00847C80">
            <w:pPr>
              <w:rPr>
                <w:sz w:val="18"/>
                <w:szCs w:val="18"/>
              </w:rPr>
            </w:pPr>
          </w:p>
        </w:tc>
        <w:tc>
          <w:tcPr>
            <w:tcW w:w="1271" w:type="dxa"/>
          </w:tcPr>
          <w:p w14:paraId="51AAE69F"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ashes</w:t>
            </w:r>
          </w:p>
        </w:tc>
        <w:tc>
          <w:tcPr>
            <w:tcW w:w="972" w:type="dxa"/>
          </w:tcPr>
          <w:p w14:paraId="245E32D6"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15%</w:t>
            </w:r>
          </w:p>
        </w:tc>
        <w:tc>
          <w:tcPr>
            <w:tcW w:w="973" w:type="dxa"/>
          </w:tcPr>
          <w:p w14:paraId="4CD103BF"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13%</w:t>
            </w:r>
          </w:p>
        </w:tc>
        <w:tc>
          <w:tcPr>
            <w:tcW w:w="973" w:type="dxa"/>
          </w:tcPr>
          <w:p w14:paraId="0989A595"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50%</w:t>
            </w:r>
          </w:p>
        </w:tc>
        <w:tc>
          <w:tcPr>
            <w:tcW w:w="4039" w:type="dxa"/>
          </w:tcPr>
          <w:p w14:paraId="00A20DE3" w14:textId="7B46A18A" w:rsidR="00847C80" w:rsidRPr="00C828FC" w:rsidRDefault="00847C80" w:rsidP="00847C80">
            <w:pPr>
              <w:jc w:val="both"/>
              <w:cnfStyle w:val="000000100000" w:firstRow="0" w:lastRow="0" w:firstColumn="0" w:lastColumn="0" w:oddVBand="0" w:evenVBand="0" w:oddHBand="1" w:evenHBand="0" w:firstRowFirstColumn="0" w:firstRowLastColumn="0" w:lastRowFirstColumn="0" w:lastRowLastColumn="0"/>
              <w:rPr>
                <w:i/>
                <w:sz w:val="18"/>
                <w:szCs w:val="18"/>
              </w:rPr>
            </w:pPr>
            <w:r w:rsidRPr="00C828FC">
              <w:rPr>
                <w:i/>
                <w:sz w:val="18"/>
                <w:szCs w:val="18"/>
              </w:rPr>
              <w:t>In-between data from lab experiences</w:t>
            </w:r>
            <w:r w:rsidRPr="00C828FC">
              <w:rPr>
                <w:i/>
                <w:sz w:val="18"/>
                <w:szCs w:val="18"/>
              </w:rPr>
              <w:fldChar w:fldCharType="begin"/>
            </w:r>
            <w:r w:rsidR="005413B4">
              <w:rPr>
                <w:i/>
                <w:sz w:val="18"/>
                <w:szCs w:val="18"/>
              </w:rPr>
              <w:instrText xml:space="preserve"> ADDIN ZOTERO_ITEM CSL_CITATION {"citationID":"VpD6aYpk","properties":{"formattedCitation":"\\super 281,295\\nosupersub{}","plainCitation":"281,295","noteIndex":0},"citationItems":[{"id":1983,"uris":["http://zotero.org/users/6423791/items/28BXN4BJ"],"itemData":{"id":1983,"type":"article-journal","abstract":"Plant leaves are a major potential source of novel food proteins. Till now, leaf protein extraction methods mainly focus on the extraction of soluble proteins, like rubisco protein, leaving more than half of all protein unextracted. Here, we report on the total protein extraction from sugar beet leaves (Beta vulgaris L.) by a traditional thermal extraction method consisting of mechanical pressing, heating to 50°C and centrifugation. The resulting streams (i.e. supernatant, green-protein pellet and fibrous pulp) were characterised in terms of composition, physical structure and processing options. The protein distributed almost equally over the supernatant, pellet and pulp. This shows that thermal precipitation is an unselective process with respect to fractionation between soluble (rubisco) and insoluble (other) proteins. About 6% of the total protein could be extracted as pure rubisco (90% purity) from the supernatant. Surfactants commonly used for protein solubilisation could hardly re-dissolve the precipitated proteins in the pellet phase, which suggested that irreversible association was induced between the co-precipitated proteins and cell debris. Thus, the extraction of this protein will require prevention of their co-precipitation, and should take place in the original juice solution.","container-title":"Food Chemistry","DOI":"10.1016/j.foodchem.2016.02.092","ISSN":"0308-8146","journalAbbreviation":"Food Chemistry","language":"en","page":"402-408","source":"ScienceDirect","title":"Recovery of protein from green leaves: Overview of crucial steps for utilisation","title-short":"Recovery of protein from green leaves","volume":"203","author":[{"family":"Tamayo Tenorio","given":"Angelica"},{"family":"Gieteling","given":"Jarno"},{"family":"Jong","given":"Govardus A. H.","non-dropping-particle":"de"},{"family":"Boom","given":"Remko M."},{"family":"Goot","given":"Atze J.","non-dropping-particle":"van der"}],"issued":{"date-parts":[["2016",7,15]]}}},{"id":399,"uris":["http://zotero.org/users/6423791/items/VKZ573LE"],"itemData":{"id":399,"type":"article-journal","abstract":"Green bioreﬁnery” (GBR) could be an alternative option for using grassland biomass. GBR involves applying technology to chemically and physically fractionate (split) biomass such as grass and grass silage into marketable products. From the grass ﬁbre fraction insulation materials can be produced. From the grass juice fraction, proteinaceous products for animal feed and lactic acid (LA) for plastic production (polylactic acid e PLA) can be produced. This paper is the ﬁrst part in the analysis to develop a blueprint for a ﬁrst generation Irish GBR system. The focus of this paper is on the technical aspects of developing three GBR system models and subsequent scenario analyses. The three GBR system models were a combination of feedstock system and bioreﬁnery technology; Grass/silageebasic technology (GS), Silageebasic technology (S) and SilageeHigh Tech (AT). The models, which were integrated mass and energy balances, were then assessed at the three different input volumes, to generate nine scenarios. The scenarios which required further economic analysis in a companion paper to determine their overall feasibility (technical and economic) in the development of blueprint for a ﬁrst generation Irish GBR system were identiﬁed. From the technical analysis outlined in this paper six scenarios were identiﬁed which require further economic analysis. These were scenarios generated for the GS, S and AT GBR systems, at two input volume rates.","container-title":"Biomass and Bioenergy","DOI":"10.1016/j.biombioe.2011.06.017","ISSN":"09619534","issue":"11","journalAbbreviation":"Biomass Bioenergy.","language":"en","page":"4712-4723","source":"DOI.org (Crossref)","title":"I. Technical assessment for first generation green biorefinery (GBR) using mass and energy balances: Scenarios for an Irish GBR blueprint","title-short":"I. Technical assessment for first generation green biorefinery (GBR) using mass and energy balances","volume":"35","author":[{"family":"O’Keeffe","given":"S."},{"family":"Schulte","given":"R.P.O."},{"family":"Sanders","given":"J.P.M."},{"family":"Struik","given":"P.C."}],"issued":{"date-parts":[["2011",11]]}}}],"schema":"https://github.com/citation-style-language/schema/raw/master/csl-citation.json"} </w:instrText>
            </w:r>
            <w:r w:rsidRPr="00C828FC">
              <w:rPr>
                <w:i/>
                <w:sz w:val="18"/>
                <w:szCs w:val="18"/>
              </w:rPr>
              <w:fldChar w:fldCharType="separate"/>
            </w:r>
            <w:r w:rsidR="005413B4" w:rsidRPr="005413B4">
              <w:rPr>
                <w:rFonts w:ascii="Calibri" w:hAnsi="Calibri" w:cs="Calibri"/>
                <w:sz w:val="18"/>
                <w:szCs w:val="24"/>
                <w:vertAlign w:val="superscript"/>
              </w:rPr>
              <w:t>281,295</w:t>
            </w:r>
            <w:r w:rsidRPr="00C828FC">
              <w:rPr>
                <w:i/>
                <w:sz w:val="18"/>
                <w:szCs w:val="18"/>
              </w:rPr>
              <w:fldChar w:fldCharType="end"/>
            </w:r>
            <w:r w:rsidRPr="00C828FC">
              <w:rPr>
                <w:i/>
                <w:sz w:val="18"/>
                <w:szCs w:val="18"/>
              </w:rPr>
              <w:t xml:space="preserve"> and pilot</w:t>
            </w:r>
            <w:r w:rsidRPr="00C828FC">
              <w:rPr>
                <w:i/>
                <w:sz w:val="18"/>
                <w:szCs w:val="18"/>
              </w:rPr>
              <w:fldChar w:fldCharType="begin"/>
            </w:r>
            <w:r w:rsidR="005413B4">
              <w:rPr>
                <w:i/>
                <w:sz w:val="18"/>
                <w:szCs w:val="18"/>
              </w:rPr>
              <w:instrText xml:space="preserve"> ADDIN ZOTERO_ITEM CSL_CITATION {"citationID":"hDiJdBkm","properties":{"formattedCitation":"\\super 290\\nosupersub{}","plainCitation":"290","noteIndex":0},"citationItems":[{"id":392,"uris":["http://zotero.org/users/6423791/items/P3739BFG"],"itemData":{"id":392,"type":"article-journal","abstract":"The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Zwicky"},{"family":"Birkved","given":"Morten"}],"issued":{"date-parts":[["2018",9]]}}}],"schema":"https://github.com/citation-style-language/schema/raw/master/csl-citation.json"} </w:instrText>
            </w:r>
            <w:r w:rsidRPr="00C828FC">
              <w:rPr>
                <w:i/>
                <w:sz w:val="18"/>
                <w:szCs w:val="18"/>
              </w:rPr>
              <w:fldChar w:fldCharType="separate"/>
            </w:r>
            <w:r w:rsidR="005413B4" w:rsidRPr="005413B4">
              <w:rPr>
                <w:rFonts w:ascii="Calibri" w:hAnsi="Calibri" w:cs="Calibri"/>
                <w:sz w:val="18"/>
                <w:szCs w:val="24"/>
                <w:vertAlign w:val="superscript"/>
              </w:rPr>
              <w:t>290</w:t>
            </w:r>
            <w:r w:rsidRPr="00C828FC">
              <w:rPr>
                <w:i/>
                <w:sz w:val="18"/>
                <w:szCs w:val="18"/>
              </w:rPr>
              <w:fldChar w:fldCharType="end"/>
            </w:r>
          </w:p>
        </w:tc>
      </w:tr>
      <w:tr w:rsidR="00847C80" w:rsidRPr="00C828FC" w14:paraId="05CA5A46" w14:textId="77777777" w:rsidTr="00942782">
        <w:tc>
          <w:tcPr>
            <w:cnfStyle w:val="001000000000" w:firstRow="0" w:lastRow="0" w:firstColumn="1" w:lastColumn="0" w:oddVBand="0" w:evenVBand="0" w:oddHBand="0" w:evenHBand="0" w:firstRowFirstColumn="0" w:firstRowLastColumn="0" w:lastRowFirstColumn="0" w:lastRowLastColumn="0"/>
            <w:tcW w:w="981" w:type="dxa"/>
            <w:vMerge/>
          </w:tcPr>
          <w:p w14:paraId="424DA686" w14:textId="77777777" w:rsidR="00847C80" w:rsidRPr="00C828FC" w:rsidRDefault="00847C80" w:rsidP="00847C80">
            <w:pPr>
              <w:rPr>
                <w:sz w:val="18"/>
                <w:szCs w:val="18"/>
              </w:rPr>
            </w:pPr>
          </w:p>
        </w:tc>
        <w:tc>
          <w:tcPr>
            <w:tcW w:w="1271" w:type="dxa"/>
          </w:tcPr>
          <w:p w14:paraId="37FA33AE"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rest</w:t>
            </w:r>
          </w:p>
        </w:tc>
        <w:tc>
          <w:tcPr>
            <w:tcW w:w="2918" w:type="dxa"/>
            <w:gridSpan w:val="3"/>
          </w:tcPr>
          <w:p w14:paraId="149D5B4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Modeled as average of other coef.</w:t>
            </w:r>
          </w:p>
        </w:tc>
        <w:tc>
          <w:tcPr>
            <w:tcW w:w="4039" w:type="dxa"/>
          </w:tcPr>
          <w:p w14:paraId="73C27333" w14:textId="77777777" w:rsidR="00847C80" w:rsidRPr="00C828FC" w:rsidRDefault="00847C80" w:rsidP="00847C80">
            <w:pPr>
              <w:jc w:val="both"/>
              <w:cnfStyle w:val="000000000000" w:firstRow="0" w:lastRow="0" w:firstColumn="0" w:lastColumn="0" w:oddVBand="0" w:evenVBand="0" w:oddHBand="0" w:evenHBand="0" w:firstRowFirstColumn="0" w:firstRowLastColumn="0" w:lastRowFirstColumn="0" w:lastRowLastColumn="0"/>
              <w:rPr>
                <w:i/>
                <w:sz w:val="18"/>
                <w:szCs w:val="18"/>
              </w:rPr>
            </w:pPr>
            <w:r w:rsidRPr="00C828FC">
              <w:rPr>
                <w:i/>
                <w:sz w:val="18"/>
                <w:szCs w:val="18"/>
              </w:rPr>
              <w:t>Calculated.</w:t>
            </w:r>
          </w:p>
        </w:tc>
      </w:tr>
      <w:tr w:rsidR="00847C80" w:rsidRPr="00C828FC" w14:paraId="3D2AAE89"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1" w:type="dxa"/>
            <w:vMerge/>
          </w:tcPr>
          <w:p w14:paraId="3EF5F4E3" w14:textId="77777777" w:rsidR="00847C80" w:rsidRPr="00C828FC" w:rsidRDefault="00847C80" w:rsidP="00847C80">
            <w:pPr>
              <w:rPr>
                <w:sz w:val="18"/>
                <w:szCs w:val="18"/>
              </w:rPr>
            </w:pPr>
          </w:p>
        </w:tc>
        <w:tc>
          <w:tcPr>
            <w:tcW w:w="1271" w:type="dxa"/>
          </w:tcPr>
          <w:p w14:paraId="7CC090E9"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N</w:t>
            </w:r>
          </w:p>
        </w:tc>
        <w:tc>
          <w:tcPr>
            <w:tcW w:w="2918" w:type="dxa"/>
            <w:gridSpan w:val="3"/>
          </w:tcPr>
          <w:p w14:paraId="028442CB"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Modeled as proteins (linked)</w:t>
            </w:r>
          </w:p>
        </w:tc>
        <w:tc>
          <w:tcPr>
            <w:tcW w:w="4039" w:type="dxa"/>
          </w:tcPr>
          <w:p w14:paraId="27031ADF" w14:textId="77777777" w:rsidR="00847C80" w:rsidRPr="00C828FC" w:rsidRDefault="00847C80" w:rsidP="00847C80">
            <w:pPr>
              <w:jc w:val="both"/>
              <w:cnfStyle w:val="000000100000" w:firstRow="0" w:lastRow="0" w:firstColumn="0" w:lastColumn="0" w:oddVBand="0" w:evenVBand="0" w:oddHBand="1" w:evenHBand="0" w:firstRowFirstColumn="0" w:firstRowLastColumn="0" w:lastRowFirstColumn="0" w:lastRowLastColumn="0"/>
              <w:rPr>
                <w:i/>
                <w:sz w:val="18"/>
                <w:szCs w:val="18"/>
              </w:rPr>
            </w:pPr>
            <w:r w:rsidRPr="00C828FC">
              <w:rPr>
                <w:i/>
                <w:sz w:val="18"/>
                <w:szCs w:val="18"/>
              </w:rPr>
              <w:t>Neglecting potential differences for non-protein N.</w:t>
            </w:r>
          </w:p>
        </w:tc>
      </w:tr>
      <w:tr w:rsidR="00847C80" w:rsidRPr="00C828FC" w14:paraId="0574EEAC" w14:textId="77777777" w:rsidTr="00942782">
        <w:tc>
          <w:tcPr>
            <w:cnfStyle w:val="001000000000" w:firstRow="0" w:lastRow="0" w:firstColumn="1" w:lastColumn="0" w:oddVBand="0" w:evenVBand="0" w:oddHBand="0" w:evenHBand="0" w:firstRowFirstColumn="0" w:firstRowLastColumn="0" w:lastRowFirstColumn="0" w:lastRowLastColumn="0"/>
            <w:tcW w:w="981" w:type="dxa"/>
            <w:vMerge/>
          </w:tcPr>
          <w:p w14:paraId="2976A03A" w14:textId="77777777" w:rsidR="00847C80" w:rsidRPr="00C828FC" w:rsidRDefault="00847C80" w:rsidP="00847C80">
            <w:pPr>
              <w:rPr>
                <w:sz w:val="18"/>
                <w:szCs w:val="18"/>
              </w:rPr>
            </w:pPr>
          </w:p>
        </w:tc>
        <w:tc>
          <w:tcPr>
            <w:tcW w:w="1271" w:type="dxa"/>
          </w:tcPr>
          <w:p w14:paraId="46ED9E7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P</w:t>
            </w:r>
          </w:p>
        </w:tc>
        <w:tc>
          <w:tcPr>
            <w:tcW w:w="972" w:type="dxa"/>
          </w:tcPr>
          <w:p w14:paraId="24E553C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38%</w:t>
            </w:r>
          </w:p>
        </w:tc>
        <w:tc>
          <w:tcPr>
            <w:tcW w:w="1946" w:type="dxa"/>
            <w:gridSpan w:val="2"/>
            <w:vMerge w:val="restart"/>
          </w:tcPr>
          <w:p w14:paraId="0CCC18F8"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n.a.</w:t>
            </w:r>
          </w:p>
        </w:tc>
        <w:tc>
          <w:tcPr>
            <w:tcW w:w="4039" w:type="dxa"/>
            <w:vMerge w:val="restart"/>
          </w:tcPr>
          <w:p w14:paraId="0CE6987F" w14:textId="293EFE19" w:rsidR="00847C80" w:rsidRPr="00C828FC" w:rsidRDefault="00847C80" w:rsidP="00847C80">
            <w:pPr>
              <w:jc w:val="both"/>
              <w:cnfStyle w:val="000000000000" w:firstRow="0" w:lastRow="0" w:firstColumn="0" w:lastColumn="0" w:oddVBand="0" w:evenVBand="0" w:oddHBand="0" w:evenHBand="0" w:firstRowFirstColumn="0" w:firstRowLastColumn="0" w:lastRowFirstColumn="0" w:lastRowLastColumn="0"/>
              <w:rPr>
                <w:i/>
                <w:sz w:val="18"/>
                <w:szCs w:val="18"/>
              </w:rPr>
            </w:pPr>
            <w:r w:rsidRPr="00C828FC">
              <w:rPr>
                <w:i/>
                <w:sz w:val="18"/>
                <w:szCs w:val="18"/>
              </w:rPr>
              <w:t>Estimated from literature</w:t>
            </w:r>
            <w:r w:rsidRPr="00C828FC">
              <w:rPr>
                <w:i/>
                <w:sz w:val="18"/>
                <w:szCs w:val="18"/>
              </w:rPr>
              <w:fldChar w:fldCharType="begin"/>
            </w:r>
            <w:r w:rsidR="005413B4">
              <w:rPr>
                <w:i/>
                <w:sz w:val="18"/>
                <w:szCs w:val="18"/>
              </w:rPr>
              <w:instrText xml:space="preserve"> ADDIN ZOTERO_ITEM CSL_CITATION {"citationID":"yIRsLWJr","properties":{"formattedCitation":"\\super 280\\nosupersub{}","plainCitation":"280","noteIndex":0},"citationItems":[{"id":11102,"uris":["http://zotero.org/users/6423791/items/XMBPNAWP"],"itemData":{"id":11102,"type":"thesis","publisher":"Syddansk Universitet","title":"Enhanced Management of Residual Grass in Denmark","author":[{"family":"Muica","given":"VT"}],"issued":{"date-parts":[["2014"]]}}}],"schema":"https://github.com/citation-style-language/schema/raw/master/csl-citation.json"} </w:instrText>
            </w:r>
            <w:r w:rsidRPr="00C828FC">
              <w:rPr>
                <w:i/>
                <w:sz w:val="18"/>
                <w:szCs w:val="18"/>
              </w:rPr>
              <w:fldChar w:fldCharType="separate"/>
            </w:r>
            <w:r w:rsidR="005413B4" w:rsidRPr="005413B4">
              <w:rPr>
                <w:rFonts w:ascii="Calibri" w:hAnsi="Calibri" w:cs="Calibri"/>
                <w:sz w:val="18"/>
                <w:szCs w:val="24"/>
                <w:vertAlign w:val="superscript"/>
              </w:rPr>
              <w:t>280</w:t>
            </w:r>
            <w:r w:rsidRPr="00C828FC">
              <w:rPr>
                <w:i/>
                <w:sz w:val="18"/>
                <w:szCs w:val="18"/>
              </w:rPr>
              <w:fldChar w:fldCharType="end"/>
            </w:r>
            <w:r w:rsidRPr="00C828FC">
              <w:rPr>
                <w:i/>
                <w:sz w:val="18"/>
                <w:szCs w:val="18"/>
              </w:rPr>
              <w:t>. Lack of data so not defined as parameters.</w:t>
            </w:r>
          </w:p>
        </w:tc>
      </w:tr>
      <w:tr w:rsidR="00847C80" w:rsidRPr="00C828FC" w14:paraId="2EB22896"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1" w:type="dxa"/>
            <w:vMerge/>
          </w:tcPr>
          <w:p w14:paraId="71F4E83D" w14:textId="77777777" w:rsidR="00847C80" w:rsidRPr="00C828FC" w:rsidRDefault="00847C80" w:rsidP="00847C80">
            <w:pPr>
              <w:rPr>
                <w:sz w:val="18"/>
                <w:szCs w:val="18"/>
              </w:rPr>
            </w:pPr>
          </w:p>
        </w:tc>
        <w:tc>
          <w:tcPr>
            <w:tcW w:w="1271" w:type="dxa"/>
          </w:tcPr>
          <w:p w14:paraId="5B7E6F5C"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K</w:t>
            </w:r>
          </w:p>
        </w:tc>
        <w:tc>
          <w:tcPr>
            <w:tcW w:w="972" w:type="dxa"/>
          </w:tcPr>
          <w:p w14:paraId="1C82F85D"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21%</w:t>
            </w:r>
          </w:p>
        </w:tc>
        <w:tc>
          <w:tcPr>
            <w:tcW w:w="1946" w:type="dxa"/>
            <w:gridSpan w:val="2"/>
            <w:vMerge/>
          </w:tcPr>
          <w:p w14:paraId="677EB663"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4039" w:type="dxa"/>
            <w:vMerge/>
          </w:tcPr>
          <w:p w14:paraId="0327F36C" w14:textId="77777777" w:rsidR="00847C80" w:rsidRPr="00C828FC" w:rsidRDefault="00847C80" w:rsidP="00847C80">
            <w:pPr>
              <w:jc w:val="both"/>
              <w:cnfStyle w:val="000000100000" w:firstRow="0" w:lastRow="0" w:firstColumn="0" w:lastColumn="0" w:oddVBand="0" w:evenVBand="0" w:oddHBand="1" w:evenHBand="0" w:firstRowFirstColumn="0" w:firstRowLastColumn="0" w:lastRowFirstColumn="0" w:lastRowLastColumn="0"/>
              <w:rPr>
                <w:i/>
                <w:sz w:val="18"/>
                <w:szCs w:val="18"/>
              </w:rPr>
            </w:pPr>
          </w:p>
        </w:tc>
      </w:tr>
      <w:tr w:rsidR="00847C80" w:rsidRPr="00C828FC" w14:paraId="35287D27" w14:textId="77777777" w:rsidTr="00942782">
        <w:tc>
          <w:tcPr>
            <w:cnfStyle w:val="001000000000" w:firstRow="0" w:lastRow="0" w:firstColumn="1" w:lastColumn="0" w:oddVBand="0" w:evenVBand="0" w:oddHBand="0" w:evenHBand="0" w:firstRowFirstColumn="0" w:firstRowLastColumn="0" w:lastRowFirstColumn="0" w:lastRowLastColumn="0"/>
            <w:tcW w:w="981" w:type="dxa"/>
            <w:vMerge/>
          </w:tcPr>
          <w:p w14:paraId="03CBDEBC" w14:textId="77777777" w:rsidR="00847C80" w:rsidRPr="00C828FC" w:rsidRDefault="00847C80" w:rsidP="00847C80">
            <w:pPr>
              <w:rPr>
                <w:sz w:val="18"/>
                <w:szCs w:val="18"/>
              </w:rPr>
            </w:pPr>
          </w:p>
        </w:tc>
        <w:tc>
          <w:tcPr>
            <w:tcW w:w="1271" w:type="dxa"/>
          </w:tcPr>
          <w:p w14:paraId="3F2C8D6A"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S</w:t>
            </w:r>
          </w:p>
        </w:tc>
        <w:tc>
          <w:tcPr>
            <w:tcW w:w="2918" w:type="dxa"/>
            <w:gridSpan w:val="3"/>
          </w:tcPr>
          <w:p w14:paraId="2B3A016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Modeled as rest (linked)</w:t>
            </w:r>
          </w:p>
        </w:tc>
        <w:tc>
          <w:tcPr>
            <w:tcW w:w="4039" w:type="dxa"/>
          </w:tcPr>
          <w:p w14:paraId="6B54F42E" w14:textId="77777777" w:rsidR="00847C80" w:rsidRPr="00C828FC" w:rsidRDefault="00847C80" w:rsidP="00847C80">
            <w:pPr>
              <w:jc w:val="both"/>
              <w:cnfStyle w:val="000000000000" w:firstRow="0" w:lastRow="0" w:firstColumn="0" w:lastColumn="0" w:oddVBand="0" w:evenVBand="0" w:oddHBand="0" w:evenHBand="0" w:firstRowFirstColumn="0" w:firstRowLastColumn="0" w:lastRowFirstColumn="0" w:lastRowLastColumn="0"/>
              <w:rPr>
                <w:i/>
                <w:sz w:val="18"/>
                <w:szCs w:val="18"/>
              </w:rPr>
            </w:pPr>
            <w:r w:rsidRPr="00C828FC">
              <w:rPr>
                <w:i/>
                <w:sz w:val="18"/>
                <w:szCs w:val="18"/>
              </w:rPr>
              <w:t>No data.</w:t>
            </w:r>
          </w:p>
        </w:tc>
      </w:tr>
      <w:tr w:rsidR="00847C80" w:rsidRPr="00C828FC" w14:paraId="549207D8"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1" w:type="dxa"/>
            <w:vMerge/>
          </w:tcPr>
          <w:p w14:paraId="6D55FF22" w14:textId="77777777" w:rsidR="00847C80" w:rsidRPr="00C828FC" w:rsidRDefault="00847C80" w:rsidP="00847C80">
            <w:pPr>
              <w:rPr>
                <w:sz w:val="18"/>
                <w:szCs w:val="18"/>
              </w:rPr>
            </w:pPr>
          </w:p>
        </w:tc>
        <w:tc>
          <w:tcPr>
            <w:tcW w:w="1271" w:type="dxa"/>
          </w:tcPr>
          <w:p w14:paraId="17299D83"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C</w:t>
            </w:r>
          </w:p>
        </w:tc>
        <w:tc>
          <w:tcPr>
            <w:tcW w:w="2918" w:type="dxa"/>
            <w:gridSpan w:val="3"/>
            <w:vMerge w:val="restart"/>
          </w:tcPr>
          <w:p w14:paraId="328C5C45"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Proportionally adjusted to fit mass balance (so output)</w:t>
            </w:r>
          </w:p>
        </w:tc>
        <w:tc>
          <w:tcPr>
            <w:tcW w:w="4039" w:type="dxa"/>
            <w:vMerge w:val="restart"/>
          </w:tcPr>
          <w:p w14:paraId="4DBC86F3" w14:textId="77777777" w:rsidR="00847C80" w:rsidRPr="00C828FC" w:rsidRDefault="00847C80" w:rsidP="00847C80">
            <w:pPr>
              <w:jc w:val="both"/>
              <w:cnfStyle w:val="000000100000" w:firstRow="0" w:lastRow="0" w:firstColumn="0" w:lastColumn="0" w:oddVBand="0" w:evenVBand="0" w:oddHBand="1" w:evenHBand="0" w:firstRowFirstColumn="0" w:firstRowLastColumn="0" w:lastRowFirstColumn="0" w:lastRowLastColumn="0"/>
              <w:rPr>
                <w:i/>
                <w:sz w:val="18"/>
                <w:szCs w:val="18"/>
              </w:rPr>
            </w:pPr>
            <w:r w:rsidRPr="00C828FC">
              <w:rPr>
                <w:i/>
                <w:sz w:val="18"/>
                <w:szCs w:val="18"/>
              </w:rPr>
              <w:t>No data. Calculated by mass balance</w:t>
            </w:r>
          </w:p>
        </w:tc>
      </w:tr>
      <w:tr w:rsidR="00847C80" w:rsidRPr="00C828FC" w14:paraId="0A3C29CC" w14:textId="77777777" w:rsidTr="00942782">
        <w:tc>
          <w:tcPr>
            <w:cnfStyle w:val="001000000000" w:firstRow="0" w:lastRow="0" w:firstColumn="1" w:lastColumn="0" w:oddVBand="0" w:evenVBand="0" w:oddHBand="0" w:evenHBand="0" w:firstRowFirstColumn="0" w:firstRowLastColumn="0" w:lastRowFirstColumn="0" w:lastRowLastColumn="0"/>
            <w:tcW w:w="981" w:type="dxa"/>
            <w:vMerge/>
          </w:tcPr>
          <w:p w14:paraId="0143D512" w14:textId="77777777" w:rsidR="00847C80" w:rsidRPr="00C828FC" w:rsidRDefault="00847C80" w:rsidP="00847C80">
            <w:pPr>
              <w:rPr>
                <w:sz w:val="18"/>
                <w:szCs w:val="18"/>
              </w:rPr>
            </w:pPr>
          </w:p>
        </w:tc>
        <w:tc>
          <w:tcPr>
            <w:tcW w:w="1271" w:type="dxa"/>
          </w:tcPr>
          <w:p w14:paraId="2251C0B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O</w:t>
            </w:r>
          </w:p>
        </w:tc>
        <w:tc>
          <w:tcPr>
            <w:tcW w:w="2918" w:type="dxa"/>
            <w:gridSpan w:val="3"/>
            <w:vMerge/>
          </w:tcPr>
          <w:p w14:paraId="355B40FE"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4039" w:type="dxa"/>
            <w:vMerge/>
          </w:tcPr>
          <w:p w14:paraId="08D90FB4" w14:textId="77777777" w:rsidR="00847C80" w:rsidRPr="00C828FC" w:rsidRDefault="00847C80" w:rsidP="00847C80">
            <w:pPr>
              <w:jc w:val="both"/>
              <w:cnfStyle w:val="000000000000" w:firstRow="0" w:lastRow="0" w:firstColumn="0" w:lastColumn="0" w:oddVBand="0" w:evenVBand="0" w:oddHBand="0" w:evenHBand="0" w:firstRowFirstColumn="0" w:firstRowLastColumn="0" w:lastRowFirstColumn="0" w:lastRowLastColumn="0"/>
              <w:rPr>
                <w:i/>
                <w:sz w:val="18"/>
                <w:szCs w:val="18"/>
              </w:rPr>
            </w:pPr>
          </w:p>
        </w:tc>
      </w:tr>
      <w:tr w:rsidR="00847C80" w:rsidRPr="00C828FC" w14:paraId="4720A96D"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1" w:type="dxa"/>
            <w:vMerge/>
          </w:tcPr>
          <w:p w14:paraId="411C382F" w14:textId="77777777" w:rsidR="00847C80" w:rsidRPr="00C828FC" w:rsidRDefault="00847C80" w:rsidP="00847C80">
            <w:pPr>
              <w:rPr>
                <w:sz w:val="18"/>
                <w:szCs w:val="18"/>
              </w:rPr>
            </w:pPr>
          </w:p>
        </w:tc>
        <w:tc>
          <w:tcPr>
            <w:tcW w:w="1271" w:type="dxa"/>
          </w:tcPr>
          <w:p w14:paraId="72A446B0"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H</w:t>
            </w:r>
          </w:p>
        </w:tc>
        <w:tc>
          <w:tcPr>
            <w:tcW w:w="2918" w:type="dxa"/>
            <w:gridSpan w:val="3"/>
            <w:vMerge/>
          </w:tcPr>
          <w:p w14:paraId="2338CDC4"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4039" w:type="dxa"/>
            <w:vMerge/>
          </w:tcPr>
          <w:p w14:paraId="553AAD8C" w14:textId="77777777" w:rsidR="00847C80" w:rsidRPr="00C828FC" w:rsidRDefault="00847C80" w:rsidP="00847C80">
            <w:pPr>
              <w:jc w:val="both"/>
              <w:cnfStyle w:val="000000100000" w:firstRow="0" w:lastRow="0" w:firstColumn="0" w:lastColumn="0" w:oddVBand="0" w:evenVBand="0" w:oddHBand="1" w:evenHBand="0" w:firstRowFirstColumn="0" w:firstRowLastColumn="0" w:lastRowFirstColumn="0" w:lastRowLastColumn="0"/>
              <w:rPr>
                <w:i/>
                <w:sz w:val="18"/>
                <w:szCs w:val="18"/>
              </w:rPr>
            </w:pPr>
          </w:p>
        </w:tc>
      </w:tr>
      <w:tr w:rsidR="00847C80" w:rsidRPr="00C828FC" w14:paraId="133B297A" w14:textId="77777777" w:rsidTr="00942782">
        <w:tc>
          <w:tcPr>
            <w:cnfStyle w:val="001000000000" w:firstRow="0" w:lastRow="0" w:firstColumn="1" w:lastColumn="0" w:oddVBand="0" w:evenVBand="0" w:oddHBand="0" w:evenHBand="0" w:firstRowFirstColumn="0" w:firstRowLastColumn="0" w:lastRowFirstColumn="0" w:lastRowLastColumn="0"/>
            <w:tcW w:w="981" w:type="dxa"/>
          </w:tcPr>
          <w:p w14:paraId="4B10A512" w14:textId="77777777" w:rsidR="00847C80" w:rsidRPr="00C828FC" w:rsidRDefault="00847C80" w:rsidP="00847C80">
            <w:pPr>
              <w:rPr>
                <w:sz w:val="18"/>
                <w:szCs w:val="18"/>
              </w:rPr>
            </w:pPr>
            <w:r w:rsidRPr="00C828FC">
              <w:rPr>
                <w:sz w:val="18"/>
                <w:szCs w:val="18"/>
              </w:rPr>
              <w:t>kWh.t</w:t>
            </w:r>
            <w:r w:rsidRPr="00C828FC">
              <w:rPr>
                <w:sz w:val="18"/>
                <w:szCs w:val="18"/>
                <w:vertAlign w:val="subscript"/>
              </w:rPr>
              <w:t>ww</w:t>
            </w:r>
            <w:r w:rsidRPr="00C828FC">
              <w:rPr>
                <w:sz w:val="18"/>
                <w:szCs w:val="18"/>
                <w:vertAlign w:val="superscript"/>
              </w:rPr>
              <w:t>-1</w:t>
            </w:r>
          </w:p>
        </w:tc>
        <w:tc>
          <w:tcPr>
            <w:tcW w:w="1271" w:type="dxa"/>
          </w:tcPr>
          <w:p w14:paraId="589981A6"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Separation</w:t>
            </w:r>
          </w:p>
        </w:tc>
        <w:tc>
          <w:tcPr>
            <w:tcW w:w="972" w:type="dxa"/>
          </w:tcPr>
          <w:p w14:paraId="140F9C8B"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5</w:t>
            </w:r>
          </w:p>
        </w:tc>
        <w:tc>
          <w:tcPr>
            <w:tcW w:w="973" w:type="dxa"/>
          </w:tcPr>
          <w:p w14:paraId="35F52ECD"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1.4</w:t>
            </w:r>
          </w:p>
        </w:tc>
        <w:tc>
          <w:tcPr>
            <w:tcW w:w="973" w:type="dxa"/>
          </w:tcPr>
          <w:p w14:paraId="1A11520E"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11.1</w:t>
            </w:r>
          </w:p>
        </w:tc>
        <w:tc>
          <w:tcPr>
            <w:tcW w:w="4039" w:type="dxa"/>
          </w:tcPr>
          <w:p w14:paraId="2585A5ED" w14:textId="489DE6DC" w:rsidR="00847C80" w:rsidRPr="00C828FC" w:rsidRDefault="00847C80" w:rsidP="00847C80">
            <w:pPr>
              <w:jc w:val="both"/>
              <w:cnfStyle w:val="000000000000" w:firstRow="0" w:lastRow="0" w:firstColumn="0" w:lastColumn="0" w:oddVBand="0" w:evenVBand="0" w:oddHBand="0" w:evenHBand="0" w:firstRowFirstColumn="0" w:firstRowLastColumn="0" w:lastRowFirstColumn="0" w:lastRowLastColumn="0"/>
              <w:rPr>
                <w:i/>
                <w:sz w:val="18"/>
                <w:szCs w:val="18"/>
              </w:rPr>
            </w:pPr>
            <w:r w:rsidRPr="00C828FC">
              <w:rPr>
                <w:i/>
                <w:sz w:val="18"/>
                <w:szCs w:val="18"/>
              </w:rPr>
              <w:t>Reviewed range (</w:t>
            </w:r>
            <w:r w:rsidR="003B36AF" w:rsidRPr="00C828FC">
              <w:rPr>
                <w:b/>
                <w:i/>
                <w:sz w:val="18"/>
                <w:szCs w:val="18"/>
              </w:rPr>
              <w:fldChar w:fldCharType="begin"/>
            </w:r>
            <w:r w:rsidR="003B36AF" w:rsidRPr="00C828FC">
              <w:rPr>
                <w:b/>
                <w:i/>
                <w:sz w:val="18"/>
                <w:szCs w:val="18"/>
              </w:rPr>
              <w:instrText xml:space="preserve"> REF _Ref144910707 \h  \* MERGEFORMAT </w:instrText>
            </w:r>
            <w:r w:rsidR="003B36AF" w:rsidRPr="00C828FC">
              <w:rPr>
                <w:b/>
                <w:i/>
                <w:sz w:val="18"/>
                <w:szCs w:val="18"/>
              </w:rPr>
            </w:r>
            <w:r w:rsidR="003B36AF" w:rsidRPr="00C828FC">
              <w:rPr>
                <w:b/>
                <w:i/>
                <w:sz w:val="18"/>
                <w:szCs w:val="18"/>
              </w:rPr>
              <w:fldChar w:fldCharType="separate"/>
            </w:r>
            <w:r w:rsidR="00F25F8C" w:rsidRPr="00C828FC">
              <w:rPr>
                <w:b/>
                <w:i/>
                <w:sz w:val="18"/>
                <w:szCs w:val="18"/>
              </w:rPr>
              <w:t xml:space="preserve">Table SI. </w:t>
            </w:r>
            <w:r w:rsidR="00F25F8C" w:rsidRPr="00C828FC">
              <w:rPr>
                <w:b/>
                <w:i/>
                <w:noProof/>
                <w:sz w:val="18"/>
                <w:szCs w:val="18"/>
              </w:rPr>
              <w:t>87</w:t>
            </w:r>
            <w:r w:rsidR="003B36AF" w:rsidRPr="00C828FC">
              <w:rPr>
                <w:b/>
                <w:i/>
                <w:sz w:val="18"/>
                <w:szCs w:val="18"/>
              </w:rPr>
              <w:fldChar w:fldCharType="end"/>
            </w:r>
            <w:r w:rsidRPr="00C828FC">
              <w:rPr>
                <w:i/>
                <w:sz w:val="18"/>
                <w:szCs w:val="18"/>
              </w:rPr>
              <w:t>), base as pilot</w:t>
            </w:r>
            <w:r w:rsidRPr="00C828FC">
              <w:rPr>
                <w:i/>
                <w:sz w:val="18"/>
                <w:szCs w:val="18"/>
              </w:rPr>
              <w:fldChar w:fldCharType="begin"/>
            </w:r>
            <w:r w:rsidR="005413B4">
              <w:rPr>
                <w:i/>
                <w:sz w:val="18"/>
                <w:szCs w:val="18"/>
              </w:rPr>
              <w:instrText xml:space="preserve"> ADDIN ZOTERO_ITEM CSL_CITATION {"citationID":"8cdUnsCF","properties":{"formattedCitation":"\\super 290\\nosupersub{}","plainCitation":"290","noteIndex":0},"citationItems":[{"id":392,"uris":["http://zotero.org/users/6423791/items/P3739BFG"],"itemData":{"id":392,"type":"article-journal","abstract":"The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Zwicky"},{"family":"Birkved","given":"Morten"}],"issued":{"date-parts":[["2018",9]]}}}],"schema":"https://github.com/citation-style-language/schema/raw/master/csl-citation.json"} </w:instrText>
            </w:r>
            <w:r w:rsidRPr="00C828FC">
              <w:rPr>
                <w:i/>
                <w:sz w:val="18"/>
                <w:szCs w:val="18"/>
              </w:rPr>
              <w:fldChar w:fldCharType="separate"/>
            </w:r>
            <w:r w:rsidR="005413B4" w:rsidRPr="005413B4">
              <w:rPr>
                <w:rFonts w:ascii="Calibri" w:hAnsi="Calibri" w:cs="Calibri"/>
                <w:sz w:val="18"/>
                <w:szCs w:val="24"/>
                <w:vertAlign w:val="superscript"/>
              </w:rPr>
              <w:t>290</w:t>
            </w:r>
            <w:r w:rsidRPr="00C828FC">
              <w:rPr>
                <w:i/>
                <w:sz w:val="18"/>
                <w:szCs w:val="18"/>
              </w:rPr>
              <w:fldChar w:fldCharType="end"/>
            </w:r>
          </w:p>
        </w:tc>
      </w:tr>
      <w:tr w:rsidR="00847C80" w:rsidRPr="00C828FC" w14:paraId="76D2636E"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1" w:type="dxa"/>
          </w:tcPr>
          <w:p w14:paraId="5FB2DF85" w14:textId="77777777" w:rsidR="00847C80" w:rsidRPr="00C828FC" w:rsidRDefault="00847C80" w:rsidP="00847C80">
            <w:pPr>
              <w:rPr>
                <w:sz w:val="18"/>
                <w:szCs w:val="18"/>
              </w:rPr>
            </w:pPr>
            <w:r w:rsidRPr="00C828FC">
              <w:rPr>
                <w:sz w:val="18"/>
                <w:szCs w:val="18"/>
              </w:rPr>
              <w:t>MJ.t</w:t>
            </w:r>
            <w:r w:rsidRPr="00C828FC">
              <w:rPr>
                <w:sz w:val="18"/>
                <w:szCs w:val="18"/>
                <w:vertAlign w:val="subscript"/>
              </w:rPr>
              <w:t>ww</w:t>
            </w:r>
            <w:r w:rsidRPr="00C828FC">
              <w:rPr>
                <w:sz w:val="18"/>
                <w:szCs w:val="18"/>
                <w:vertAlign w:val="superscript"/>
              </w:rPr>
              <w:t>-1</w:t>
            </w:r>
          </w:p>
        </w:tc>
        <w:tc>
          <w:tcPr>
            <w:tcW w:w="1271" w:type="dxa"/>
          </w:tcPr>
          <w:p w14:paraId="6C35E5FA"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Heat</w:t>
            </w:r>
          </w:p>
        </w:tc>
        <w:tc>
          <w:tcPr>
            <w:tcW w:w="972" w:type="dxa"/>
          </w:tcPr>
          <w:p w14:paraId="6AC4A0E7"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270</w:t>
            </w:r>
          </w:p>
        </w:tc>
        <w:tc>
          <w:tcPr>
            <w:tcW w:w="973" w:type="dxa"/>
          </w:tcPr>
          <w:p w14:paraId="145DAC24"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252</w:t>
            </w:r>
          </w:p>
        </w:tc>
        <w:tc>
          <w:tcPr>
            <w:tcW w:w="973" w:type="dxa"/>
          </w:tcPr>
          <w:p w14:paraId="68A19C0B"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294</w:t>
            </w:r>
          </w:p>
        </w:tc>
        <w:tc>
          <w:tcPr>
            <w:tcW w:w="4039" w:type="dxa"/>
          </w:tcPr>
          <w:p w14:paraId="1AEC5054" w14:textId="568A4819" w:rsidR="00847C80" w:rsidRPr="00C828FC" w:rsidRDefault="00847C80" w:rsidP="00847C80">
            <w:pPr>
              <w:jc w:val="both"/>
              <w:cnfStyle w:val="000000100000" w:firstRow="0" w:lastRow="0" w:firstColumn="0" w:lastColumn="0" w:oddVBand="0" w:evenVBand="0" w:oddHBand="1" w:evenHBand="0" w:firstRowFirstColumn="0" w:firstRowLastColumn="0" w:lastRowFirstColumn="0" w:lastRowLastColumn="0"/>
              <w:rPr>
                <w:i/>
                <w:sz w:val="18"/>
                <w:szCs w:val="18"/>
              </w:rPr>
            </w:pPr>
            <w:r w:rsidRPr="00C828FC">
              <w:rPr>
                <w:i/>
                <w:sz w:val="18"/>
                <w:szCs w:val="18"/>
              </w:rPr>
              <w:t>Range between two pilot scales (80°C)</w:t>
            </w:r>
            <w:r w:rsidRPr="00C828FC">
              <w:rPr>
                <w:i/>
                <w:sz w:val="18"/>
                <w:szCs w:val="18"/>
              </w:rPr>
              <w:fldChar w:fldCharType="begin"/>
            </w:r>
            <w:r w:rsidR="005413B4">
              <w:rPr>
                <w:i/>
                <w:sz w:val="18"/>
                <w:szCs w:val="18"/>
              </w:rPr>
              <w:instrText xml:space="preserve"> ADDIN ZOTERO_ITEM CSL_CITATION {"citationID":"E1DU4j3a","properties":{"formattedCitation":"\\super 290,317\\nosupersub{}","plainCitation":"290,317","noteIndex":0},"citationItems":[{"id":392,"uris":["http://zotero.org/users/6423791/items/P3739BFG"],"itemData":{"id":392,"type":"article-journal","abstract":"The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Zwicky"},{"family":"Birkved","given":"Morten"}],"issued":{"date-parts":[["2018",9]]}}},{"id":1364,"uris":["http://zotero.org/users/6423791/items/TIWJETVE"],"itemData":{"id":1364,"type":"article-journal","container-title":"CLEAN - Soil, Air, Water","DOI":"10.1002/clen.200800122","ISSN":"18630650, 18630669","issue":"1","journalAbbreviation":"Clean Soil Air Water","language":"en","page":"27-30","source":"DOI.org (Crossref)","title":"Biorefining of Green Biomass - Technical and Energetic Considerations","volume":"37","author":[{"family":"Kamm","given":"Birgit"},{"family":"Schönicke","given":"Petra"},{"family":"Kamm","given":"Michael"}],"issued":{"date-parts":[["2009",1]]}}}],"schema":"https://github.com/citation-style-language/schema/raw/master/csl-citation.json"} </w:instrText>
            </w:r>
            <w:r w:rsidRPr="00C828FC">
              <w:rPr>
                <w:i/>
                <w:sz w:val="18"/>
                <w:szCs w:val="18"/>
              </w:rPr>
              <w:fldChar w:fldCharType="separate"/>
            </w:r>
            <w:r w:rsidR="005413B4" w:rsidRPr="005413B4">
              <w:rPr>
                <w:rFonts w:ascii="Calibri" w:hAnsi="Calibri" w:cs="Calibri"/>
                <w:sz w:val="18"/>
                <w:szCs w:val="24"/>
                <w:vertAlign w:val="superscript"/>
              </w:rPr>
              <w:t>290,317</w:t>
            </w:r>
            <w:r w:rsidRPr="00C828FC">
              <w:rPr>
                <w:i/>
                <w:sz w:val="18"/>
                <w:szCs w:val="18"/>
              </w:rPr>
              <w:fldChar w:fldCharType="end"/>
            </w:r>
            <w:r w:rsidRPr="00C828FC">
              <w:rPr>
                <w:i/>
                <w:sz w:val="18"/>
                <w:szCs w:val="18"/>
              </w:rPr>
              <w:t xml:space="preserve">. Baseline calculated with </w:t>
            </w:r>
            <w:r w:rsidR="003B36AF" w:rsidRPr="00C828FC">
              <w:rPr>
                <w:b/>
                <w:i/>
                <w:sz w:val="18"/>
                <w:szCs w:val="18"/>
              </w:rPr>
              <w:fldChar w:fldCharType="begin"/>
            </w:r>
            <w:r w:rsidR="003B36AF" w:rsidRPr="00C828FC">
              <w:rPr>
                <w:b/>
                <w:i/>
                <w:sz w:val="18"/>
                <w:szCs w:val="18"/>
              </w:rPr>
              <w:instrText xml:space="preserve"> REF _Ref144736245 \h  \* MERGEFORMAT </w:instrText>
            </w:r>
            <w:r w:rsidR="003B36AF" w:rsidRPr="00C828FC">
              <w:rPr>
                <w:b/>
                <w:i/>
                <w:sz w:val="18"/>
                <w:szCs w:val="18"/>
              </w:rPr>
            </w:r>
            <w:r w:rsidR="003B36AF" w:rsidRPr="00C828FC">
              <w:rPr>
                <w:b/>
                <w:i/>
                <w:sz w:val="18"/>
                <w:szCs w:val="18"/>
              </w:rPr>
              <w:fldChar w:fldCharType="separate"/>
            </w:r>
            <w:r w:rsidR="00F25F8C" w:rsidRPr="00C828FC">
              <w:rPr>
                <w:b/>
                <w:i/>
                <w:sz w:val="18"/>
                <w:szCs w:val="18"/>
              </w:rPr>
              <w:t xml:space="preserve">Equation </w:t>
            </w:r>
            <w:r w:rsidR="00F25F8C" w:rsidRPr="00C828FC">
              <w:rPr>
                <w:b/>
                <w:i/>
                <w:noProof/>
                <w:sz w:val="18"/>
                <w:szCs w:val="18"/>
              </w:rPr>
              <w:t>3</w:t>
            </w:r>
            <w:r w:rsidR="003B36AF" w:rsidRPr="00C828FC">
              <w:rPr>
                <w:b/>
                <w:i/>
                <w:sz w:val="18"/>
                <w:szCs w:val="18"/>
              </w:rPr>
              <w:fldChar w:fldCharType="end"/>
            </w:r>
            <w:r w:rsidRPr="00C828FC">
              <w:rPr>
                <w:i/>
                <w:sz w:val="18"/>
                <w:szCs w:val="18"/>
              </w:rPr>
              <w:t xml:space="preserve"> (input at 20°C)</w:t>
            </w:r>
            <w:r w:rsidRPr="00C828FC">
              <w:rPr>
                <w:i/>
                <w:sz w:val="18"/>
                <w:szCs w:val="18"/>
                <w:vertAlign w:val="superscript"/>
              </w:rPr>
              <w:t xml:space="preserve"> *</w:t>
            </w:r>
            <w:r w:rsidRPr="00C828FC">
              <w:rPr>
                <w:i/>
                <w:sz w:val="18"/>
                <w:szCs w:val="18"/>
              </w:rPr>
              <w:t>.</w:t>
            </w:r>
          </w:p>
        </w:tc>
      </w:tr>
    </w:tbl>
    <w:p w14:paraId="003D66A8" w14:textId="77777777" w:rsidR="00847C80" w:rsidRDefault="00847C80" w:rsidP="00942782">
      <w:pPr>
        <w:jc w:val="both"/>
        <w:rPr>
          <w:sz w:val="18"/>
        </w:rPr>
      </w:pPr>
      <w:r>
        <w:rPr>
          <w:sz w:val="18"/>
        </w:rPr>
        <w:t>*: input juice is assumed to be at higher temperature than average of France (13°C) because presence of heat exchanger for prewarming/cooling.</w:t>
      </w:r>
    </w:p>
    <w:p w14:paraId="3280E71D" w14:textId="77777777" w:rsidR="00847C80" w:rsidRPr="00847C80" w:rsidRDefault="00847C80" w:rsidP="003B36AF">
      <w:pPr>
        <w:pStyle w:val="Titre4"/>
      </w:pPr>
      <w:r w:rsidRPr="00847C80">
        <w:lastRenderedPageBreak/>
        <w:t>Post-treatments</w:t>
      </w:r>
    </w:p>
    <w:p w14:paraId="2550A289" w14:textId="585E4367" w:rsidR="00847C80" w:rsidRDefault="00847C80" w:rsidP="003B36AF">
      <w:pPr>
        <w:ind w:firstLine="360"/>
        <w:jc w:val="both"/>
      </w:pPr>
      <w:bookmarkStart w:id="383" w:name="_Hlk143522862"/>
      <w:r w:rsidRPr="003B36AF">
        <w:t>Resulting green pellet was assumed dried towards 9</w:t>
      </w:r>
      <w:r w:rsidR="003B36AF">
        <w:t>1</w:t>
      </w:r>
      <w:r w:rsidRPr="003B36AF">
        <w:t>%</w:t>
      </w:r>
      <w:r w:rsidRPr="003B36AF">
        <w:rPr>
          <w:vertAlign w:val="subscript"/>
        </w:rPr>
        <w:t>DM</w:t>
      </w:r>
      <w:r w:rsidRPr="003B36AF">
        <w:t xml:space="preserve"> to supply feed markets</w:t>
      </w:r>
      <w:r w:rsidRPr="003B36AF">
        <w:fldChar w:fldCharType="begin"/>
      </w:r>
      <w:r w:rsidR="005413B4">
        <w:instrText xml:space="preserve"> ADDIN ZOTERO_ITEM CSL_CITATION {"citationID":"DTWNM2IL","properties":{"formattedCitation":"\\super 266\\nosupersub{}","plainCitation":"266","noteIndex":0},"citationItems":[{"id":11340,"uris":["http://zotero.org/users/6423791/items/WY7NQ5DU"],"itemData":{"id":11340,"type":"report","abstract":"Industrial extraction of proteins and pigments from alfalfa makes it possible to obtain from leaves of this forage legume protein concentrates with a high content in pigments and omega-3 fatty acids. The high tech process is less energy consuming than the classical dehydration process, even when considering the large energy savings made for forage dehydration during the last two years. Today, the main commercial outlets for this concentrate are the market of protein concentrate for herbivores, the one of pigments for poultry production and also the market of omega-3 rich feeds for ruminants.","archive_location":"hal-02658324","collection-title":"Innovations Agronomiques","language":"fr","page":"147-156","publisher":"INRAE","source":"Zotero","title":"Extraction industrielle de protéines et de pigments chez la luzerne: état des lieux et perspectives","URL":"https://hal.inrae.fr/hal-02658324/document","author":[{"family":"Andurand","given":"J"},{"family":"Coulmier","given":"D"},{"family":"Despres","given":"J L"},{"family":"Rambourg","given":"J C"}],"issued":{"date-parts":[["2010"]]}}}],"schema":"https://github.com/citation-style-language/schema/raw/master/csl-citation.json"} </w:instrText>
      </w:r>
      <w:r w:rsidRPr="003B36AF">
        <w:fldChar w:fldCharType="separate"/>
      </w:r>
      <w:r w:rsidR="005413B4" w:rsidRPr="005413B4">
        <w:rPr>
          <w:rFonts w:ascii="Calibri" w:hAnsi="Calibri" w:cs="Calibri"/>
          <w:szCs w:val="24"/>
          <w:vertAlign w:val="superscript"/>
        </w:rPr>
        <w:t>266</w:t>
      </w:r>
      <w:r w:rsidRPr="003B36AF">
        <w:fldChar w:fldCharType="end"/>
      </w:r>
      <w:r w:rsidRPr="003B36AF">
        <w:t>.</w:t>
      </w:r>
      <w:bookmarkEnd w:id="383"/>
      <w:r w:rsidRPr="003B36AF">
        <w:t xml:space="preserve"> Albeit direct fresh feeding is also contemplated</w:t>
      </w:r>
      <w:r w:rsidRPr="003B36AF">
        <w:fldChar w:fldCharType="begin"/>
      </w:r>
      <w:r w:rsidR="005413B4">
        <w:instrText xml:space="preserve"> ADDIN ZOTERO_ITEM CSL_CITATION {"citationID":"EZVG6H6s","properties":{"formattedCitation":"\\super 325,326\\nosupersub{}","plainCitation":"325,326","noteIndex":0},"citationItems":[{"id":397,"uris":["http://zotero.org/users/6423791/items/CXVAGEM4"],"itemData":{"id":397,"type":"article-journal","abstract":"Nowadays, the organic farming sector is growing at a fast pace in Europe while needs to face the lack of organic protein sources and in particular, feeding monogastric animals is becoming more and more urgent. Green bioreﬁnery concepts might become the suitable solution for the production of organic protein-rich feeds from green crops. In this context, red clover, clover grass, alfalfa and oilseed radish were studied as possible feedstocks for the development of an organic bioreﬁnery system in Northern Europe. For this purpose, the green crops were processed into a nitrogen-rich protein concentrate, a ﬁber-rich press cake, and a residual stream of soluble nutrients (brown juice). The process, which involved a novel protein reﬁning technique using lactic acid fermentation, yielded between 6 and 13 kg of dry organic protein product per ton of fresh crop. The protein products of the different crops presented balanced amino acid composition compared to soybeans, which are commonly used in organic farming. Moreover, methionine contents between 7.8 and 9.1 g/kg DM were obtained in the protein products, which is more than the typical concentration found in animal feeds (5.2 g/kg DM in soybeans). This makes the organic protein product produced very promising as a feed ingredient for organic farming of monogastric animals in Europe.","container-title":"Journal of Cleaner Production","DOI":"10.1016/j.jclepro.2017.06.115","ISSN":"09596526","journalAbbreviation":"J Clean Prod","language":"en","page":"875-881","source":"DOI.org (Crossref)","title":"Lactic acid fermentation for refining proteins from green crops and obtaining a high quality feed product for monogastric animals","volume":"162","author":[{"family":"Santamaría-Fernández","given":"M."},{"family":"Molinuevo-Salces","given":"B."},{"family":"Kiel","given":"P."},{"family":"Steenfeldt","given":"S."},{"family":"Uellendahl","given":"H."},{"family":"Lübeck","given":"M."}],"issued":{"date-parts":[["2017",9]]}}},{"id":13676,"uris":["http://zotero.org/users/6423791/items/X6ZZGBUJ"],"itemData":{"id":13676,"type":"article-journal","abstract":"The objective of this study was to evaluate silage juice from green bio refineries in liquid diets to pigs and its’ effect on growth, cleanliness and health. Ninety-six (L × Y) × H organically raised pigs were fed either a control diet (C-diet) or a silage feed juice diet (SFJ-diet). The C-diet consisted of a commercial feed mixed with water prior to feeding. The SFJ-diet consisted of a lower ration of commercial feed mixed with silage feed juice (SFJ) instead of water, theoretically replacing 10% of the dietary crude protein content. All pigs consumed the juice and grew similarly, on average 0.48 kg/day. SFJ pigs were significantly dirtier on their back and head than C pigs (P &lt; 0.001 for all), but cleanliness in the rectum area and in the pen did not differ. Silage juice had only minor effects on hygienic measures and could be a potential local feed ingredient to pigs.","container-title":"Acta Agriculturae Scandinavica, Section A — Animal Science","DOI":"10.1080/09064702.2022.2118828","ISSN":"0906-4702","issue":"0","note":"publisher: Taylor &amp; Francis\n_eprint: https://doi.org/10.1080/09064702.2022.2118828","page":"1-7","source":"Taylor and Francis+NEJM","title":"Juice from silage in green bio refineries – a potential feed ingredient in liquid diets to weaned pigs","volume":"0","author":[{"family":"Presto Åkerfeldt","given":"Magdalena"},{"family":"Friman","given":"Johanna"},{"family":"Dahlström","given":"Frida"},{"family":"Larsen","given":"Anne"},{"family":"Wallenbeck","given":"Anna"}],"issued":{"date-parts":[["2022",9,18]]}}}],"schema":"https://github.com/citation-style-language/schema/raw/master/csl-citation.json"} </w:instrText>
      </w:r>
      <w:r w:rsidRPr="003B36AF">
        <w:fldChar w:fldCharType="separate"/>
      </w:r>
      <w:r w:rsidR="005413B4" w:rsidRPr="005413B4">
        <w:rPr>
          <w:rFonts w:ascii="Calibri" w:hAnsi="Calibri" w:cs="Calibri"/>
          <w:szCs w:val="24"/>
          <w:vertAlign w:val="superscript"/>
        </w:rPr>
        <w:t>325,326</w:t>
      </w:r>
      <w:r w:rsidRPr="003B36AF">
        <w:fldChar w:fldCharType="end"/>
      </w:r>
      <w:r w:rsidRPr="003B36AF">
        <w:t>, this assumption was taken for consistency between all modeled waste-to-nutrition pathways. Drying was modeled as spray drying and evaporated water was assumed lost to the air, as for BSF and MP. This is because the benchmark of green pellet’ spray</w:t>
      </w:r>
      <w:r>
        <w:t xml:space="preserve"> drying efficiency provided similar results (ranging 3-7 MJ.kg</w:t>
      </w:r>
      <w:r w:rsidRPr="00BC6568">
        <w:rPr>
          <w:vertAlign w:val="subscript"/>
        </w:rPr>
        <w:t>water</w:t>
      </w:r>
      <w:r w:rsidRPr="00BC6568">
        <w:rPr>
          <w:vertAlign w:val="superscript"/>
        </w:rPr>
        <w:t>-1</w:t>
      </w:r>
      <w:r>
        <w:t>)</w:t>
      </w:r>
      <w:r>
        <w:fldChar w:fldCharType="begin"/>
      </w:r>
      <w:r w:rsidR="005413B4">
        <w:instrText xml:space="preserve"> ADDIN ZOTERO_ITEM CSL_CITATION {"citationID":"u8Q6XJX7","properties":{"formattedCitation":"\\super 272,275,290\\nosupersub{}","plainCitation":"272,275,290","noteIndex":0},"citationItems":[{"id":12426,"uris":["http://zotero.org/users/6423791/items/GS4RZCAW"],"itemData":{"id":12426,"type":"article-journal","abstract":"This pre-feasibility study evaluates the use of residual leafy green biomass from broccoli (Brassica oleracea, var. Italica) and kale (Brassica oleracea, var. Sabellica) as feedstock for protein fractionation and potential application of the fractions in food and feed products. The protein concentration, protein recovery potential and the content of phenols and dietary ﬁbre in these biomass sources and fractions were investigated. Field produce and side-stream analysis showed that among broccoli and kale side-streams the potentially suitable leaves for protein fractionation constitute up to 16 and 1.9 t/ha (DM content), respectively. Fractionation demonstrated that between 34–42 and 25–34 kg total protein could be extracted per t DM of broccoli and kale residue leaves, respectively. The amount of protein was generally high in green protein fraction (GPF) and the white protein concentrate (WPC) of both crops, although signiﬁcantly higher in broccoli compared to kale. The recovery of bound and free phenolic compounds was up to 18% in the GPF of both crops, while only 0.4% ended up in the WPC. The economic assessment showed that the feedstock and processing costs of producing GPF and WPC, as well as of the combined protein fraction (CPF) 1.9–6.0 and 1.3–3.9 times higher than expected revenues for broccoli and kale, respectively, indicating that the production of protein fractions is not economically feasible with the current production scheme. However, potentially higher revenues may be obtained if value-added products such as fractionated phenols and dietary ﬁbre components are also included and investigated in future production schemes. The pathway investigated, that included a direct drying and milling of leaf biomass showed a low processing cost and thereby the most favourable economic alternative, with approx. 7–30% proﬁt for kale, while for broccoli revenues covered only 44–47% of the costs due to the extra harvest cost of the broccoli leaves.","container-title":"Food and Bioproducts Processing","DOI":"10.1016/j.fbp.2021.10.004","ISSN":"09603085","journalAbbreviation":"FBP","language":"en","page":"229-243","source":"DOI.org (Crossref)","title":"Protein fractionation of broccoli (Brassica oleracea, var. Italica) and kale (Brassica oleracea, var. Sabellica) residual leaves — A pre-feasibility assessment and evaluation of fraction phenol and fibre content","volume":"130","author":[{"family":"Prade","given":"Thomas"},{"family":"Muneer","given":"Faraz"},{"family":"Berndtsson","given":"Emilia"},{"family":"Nynäs","given":"Anna-Lovisa"},{"family":"Svensson","given":"Sven-Erik"},{"family":"Newson","given":"William R."},{"family":"Johansson","given":"Eva"}],"issued":{"date-parts":[["2021",11]]}}},{"id":392,"uris":["http://zotero.org/users/6423791/items/P3739BFG"],"itemData":{"id":392,"type":"article-journal","abstract":"The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Zwicky"},{"family":"Birkved","given":"Morten"}],"issued":{"date-parts":[["2018",9]]}}},{"id":9255,"uris":["http://zotero.org/users/6423791/items/9EZA9MQK"],"itemData":{"id":9255,"type":"article-journal","abstract":"Large-scale processing of leaves for food applications requires quick processing or stabilisation to avoid perishability, due to the high moisture content in this biomass. Leaf perishability is compounded by the seasonal availability of crops, like sugar beet plants, of which the leaves are regarded as a potential protein source. This study evaluates the resource efficiency of a hypothetical sugar beet leaf processing chain by comparing supply chain options. First, two options consider leaf processing with and without stabilising the leaves by freezing. Then, these two options are considered in a centralised and decentralised process configuration. The latter places leaf freezing and pressing at the farm and further processes occur at a central facility. Energy usage and exergy consumption were used to quantify the thermodynamic performance of the processing options. Freezing has negligible effect on the process-ability of the leaves in terms of protein content and protein yield. The overall resource efficiency of the process was dominated by the amount of leaf material effectively used, which stresses the importance of full use of all (side-)streams. This outcome also explains the limited additional energy requirements for freezing. Exergetic indicators were affected by variations on the dry matter content of the starting biomass, compared to a negligible effect of other parameters (equipment scale, efficiency or energy use). Transportation load and soil quality were also discussed for the centralised and decentralised configurations. On-farm processing of the leaves (decentralised chain) clearly reduces the transportation load due to the large difference in bulk densities of leaves (73 kg/m3) and leaf juice (1000 kg/m3). Additionally, decentralised scenarios enable direct returning of the leaf pulp to the soil and thereby improving soil quality (i.e. nutrient retention and fertility). Soil quality is required to fully assess the use of biomass that is currently regarded as waste, but that actually plays a role in soil fertility. Therefore, the preferred chain configuration would be a decentralised system where the leaves are directly pressed at the farm, the pulp is used to fertilise the soil, and the leaf juice is chilled transported to a centralised factory.","container-title":"Journal of Cleaner Production","DOI":"10.1016/j.jclepro.2017.06.248","ISSN":"0959-6526","journalAbbreviation":"J. Clean. Prod.","language":"en","page":"736-748","source":"ScienceDirect","title":"Processing concepts for the use of green leaves as raw materials for the food industry","volume":"164","author":[{"family":"Tamayo Tenorio","given":"A."},{"family":"Schreuders","given":"F. K. G."},{"family":"Zisopoulos","given":"F. K."},{"family":"Boom","given":"R. M."},{"family":"Goot","given":"A. J.","non-dropping-particle":"van der"}],"issued":{"date-parts":[["2017",10,15]]}}}],"schema":"https://github.com/citation-style-language/schema/raw/master/csl-citation.json"} </w:instrText>
      </w:r>
      <w:r>
        <w:fldChar w:fldCharType="separate"/>
      </w:r>
      <w:r w:rsidR="005413B4" w:rsidRPr="005413B4">
        <w:rPr>
          <w:rFonts w:ascii="Calibri" w:hAnsi="Calibri" w:cs="Calibri"/>
          <w:szCs w:val="24"/>
          <w:vertAlign w:val="superscript"/>
        </w:rPr>
        <w:t>272,275,290</w:t>
      </w:r>
      <w:r>
        <w:fldChar w:fldCharType="end"/>
      </w:r>
      <w:r>
        <w:t xml:space="preserve"> than spray drying efficiency for the other ingredients. The use of the dried pellet in compound feed was then modeled as for the other ingredients (using the CF mode</w:t>
      </w:r>
      <w:r w:rsidR="00655BBB">
        <w:t>l</w:t>
      </w:r>
      <w:r>
        <w:t xml:space="preserve"> after the drying stage). A notable difference with the other novel feed ingredients is that the final pellet composition is here an output of the model (not fixed, depend on the parameters). The dried pellet’s model outputs for the two case </w:t>
      </w:r>
      <w:r w:rsidRPr="003B36AF">
        <w:t>studies (</w:t>
      </w:r>
      <w:r w:rsidR="003B36AF" w:rsidRPr="003B36AF">
        <w:t>main manuscript</w:t>
      </w:r>
      <w:r w:rsidRPr="003B36AF">
        <w:t>),</w:t>
      </w:r>
      <w:r>
        <w:t xml:space="preserve"> calculated with baseline values, are compared against benchmarked values in</w:t>
      </w:r>
      <w:r w:rsidR="003B36AF">
        <w:t xml:space="preserve"> </w:t>
      </w:r>
      <w:r w:rsidR="003B36AF" w:rsidRPr="003B36AF">
        <w:rPr>
          <w:b/>
        </w:rPr>
        <w:fldChar w:fldCharType="begin"/>
      </w:r>
      <w:r w:rsidR="003B36AF" w:rsidRPr="003B36AF">
        <w:rPr>
          <w:b/>
        </w:rPr>
        <w:instrText xml:space="preserve"> REF _Ref144910967 \h </w:instrText>
      </w:r>
      <w:r w:rsidR="003B36AF">
        <w:rPr>
          <w:b/>
        </w:rPr>
        <w:instrText xml:space="preserve"> \* MERGEFORMAT </w:instrText>
      </w:r>
      <w:r w:rsidR="003B36AF" w:rsidRPr="003B36AF">
        <w:rPr>
          <w:b/>
        </w:rPr>
      </w:r>
      <w:r w:rsidR="003B36AF" w:rsidRPr="003B36AF">
        <w:rPr>
          <w:b/>
        </w:rPr>
        <w:fldChar w:fldCharType="separate"/>
      </w:r>
      <w:r w:rsidR="00F25F8C" w:rsidRPr="00F25F8C">
        <w:rPr>
          <w:b/>
        </w:rPr>
        <w:t xml:space="preserve">Table SI. </w:t>
      </w:r>
      <w:r w:rsidR="00F25F8C" w:rsidRPr="00F25F8C">
        <w:rPr>
          <w:b/>
          <w:noProof/>
        </w:rPr>
        <w:t>89</w:t>
      </w:r>
      <w:r w:rsidR="003B36AF" w:rsidRPr="003B36AF">
        <w:rPr>
          <w:b/>
        </w:rPr>
        <w:fldChar w:fldCharType="end"/>
      </w:r>
      <w:r>
        <w:t>. The crude fibers content was conservatively estimated to be the sum of lignin, hemicellulose and cellulose, and not a parameter itself (to only keep independent parameters). Many feeding experiments have been performed on monogastric animals both terrestrial and aquatic</w:t>
      </w:r>
      <w:r>
        <w:fldChar w:fldCharType="begin"/>
      </w:r>
      <w:r w:rsidR="005413B4">
        <w:instrText xml:space="preserve"> ADDIN ZOTERO_ITEM CSL_CITATION {"citationID":"tx8Uulxl","properties":{"formattedCitation":"\\super 274,327,328\\nosupersub{}","plainCitation":"274,327,328","noteIndex":0},"citationItems":[{"id":11634,"uris":["http://zotero.org/users/6423791/items/XEGA4EL9"],"itemData":{"id":11634,"type":"article-journal","abstract":"Leaf protein concentrates (LPC) were obtained from carrot tops, cucumber, mangold and tomato leaves, pea vines and potato haulm using a standard method. Yields of extractable protein per hectare ranged from 45 kg (carrot) to 600 kg (cucumber, potato, tomato). Protein contents of LPC ranged from 22·5% (carrot) to 50% (potato). The former LPC contained an extremely high amount of ash (46·7%). The amino acid compositions of extracted proteins did not differ significantly from those of similar preparations made from other plant species. In contrast to the similar amino acid composition, the nutritive value of the proteins, estimated on rats using the Thomas-Mitchell balance method, differed significantly. The biological value of protein from potato was the lowest (42) and that from cucumber was the highest (59). The leaf-protein digestibilities ranged from 72 to 95% except for protein extracted from carrot tops which was very low (50). Rats fed with tomato LPC died at the beginning of the experiment. Cucumber and pea leaf protein had almost as high net protein utilization as soya bean protein.","container-title":"Biological Wastes","DOI":"10.1016/0269-7483(89)90072-4","ISSN":"0269-7483","issue":"2","journalAbbreviation":"Biological Wastes","language":"en","page":"83-90","source":"ScienceDirect","title":"Waste green parts of plants as raw material for leaf protein concentrate production","volume":"28","author":[{"family":"Carlsson","given":"Rolf"},{"family":"Hanczakowski","given":"Piotr"}],"issued":{"date-parts":[["1989",1,1]]}}},{"id":10815,"uris":["http://zotero.org/users/6423791/items/S8ZS28UY"],"itemData":{"id":10815,"type":"article-journal","abstract":"A 12-­week feeding experiment was performed to examine the impacts of partial or complete substitution of soybean meal (SM) with leaf protein concentrate from carrot and sugar beet (CLPC and SLPC) on growth, blood constituents and body composition in Oreochromis niloticus. Five isocaloric (gross energy, 4300 kcal/kg) and isonitrogenous (crude protein, 320 g/kg) diets were formulated. The basal diet was formulated to contain SM at 350 g/kg diet. SM was replaced by 50% and 100% of SLPC and CLPC (SLPC-­50, CLPC-­50, SLPC-­100 and CLPC-­100 respectively). The results revealed that there were no significant changes in the growth indices between fish fed on basal diet and SLPC-­50 and CLPC-­100 diets. The condition factor was significantly increased in all dietary SLPC and CLPC substitution levels. Feed intake, feed conversion ratio and survival rate were not altered by various dietary SLPC and CLPC levels. The inclusion levels of SLPC and CLPC in fish feed did not significantly affect most blood biochemical and haematological parameters. Except for the SLPC-­50 group, all substituted groups displayed a significant depletion in the crude lipid content compared with the non-­substituted group. Fish fed on CLPC-­100 diet recorded the lowest feeding cost and best profit margin compared with other experimental groups. In summary, the findings demonstrated that SLPC and CLPC could replace 50% and 100% of SM, respectively in O. niloticus feeds without any negative effects on growth and blood constituents. Besides, the total replacement of SM with CLPC was more efficient in producing low cost and healthy aquafeed.","container-title":"Aquaculture Research","DOI":"10.1111/are.15171","ISSN":"1355-557X, 1365-2109","journalAbbreviation":"Aquaculture Research","language":"en","page":"are.15171","source":"DOI.org (Crossref)","title":"Evaluation of leaf protein concentrate from Beta vulgaris and Daucus carota as a substitute for soybean meal in Oreochromis niloticus fingerlings diets","author":[{"family":"Ayyat","given":"Mohamed Salah"},{"family":"Abdel‐Rahman","given":"Gamal"},{"family":"Ayyat","given":"Ahmed Mohamed Nabil"},{"family":"Abdel‐Rahman","given":"Mohamed S."},{"family":"Al‐Sagheer","given":"Adham A."}],"issued":{"date-parts":[["2021",2,24]]}}},{"id":796,"uris":["http://zotero.org/users/6423791/items/GVK2U7UF"],"itemData":{"id":796,"type":"article-journal","abstract":"Globally, there is an increased demand for sustainable protein sources for animal feed. Grass and forage legumes have the yield potential to become such alternatives, but the protein needs to be separated from the fibres. Red clover, white clover, lucerne and perennial ryegrass were fractionated into a green juice and a fibrous pulp in a screw-press and protein was subsequently precipitated. The nitrogen (N) and amino acid composition of the produced fractions was analysed and the digestibility of dry matter (DM) and N was evaluated using a rat digestibility trial. The aim was to determine the effect of fractionation on composition and digestibility in order to evaluate the four plants as potential protein sources for monogastrics. Protein concentrates with CP concentrations of 240 to 388 g/kg DM and fibrous pulps with CP concentrations of 111 to 216 g/kg DM were produced. The sum of all analysed amino acids was highest in the protein concentrates corresponding to a low concentration of non-protein nitrogen ranging from 4.9% to 10.4%. Only small variations were seen in the amino acid compositions of the different plants and fractions. The concentration of the essential lysine and methionine in the protein concentrate ranged from 6.27 to 6.67 g/16 g N and 1.54 to 2.09 g/16 g N for lysine and methionine, respectively. For all plants species, total tract digestibility of DM and standardised N digestibility was significantly higher in the protein concentrates (60.8% to 76.5% and 75.4% to 85.0% for DM and N, respectively) compared to pulp (21.2% to 43.4% and 52.1% to 72.5% for DM and N, respectively). Digestibility of lucerne protein concentrate (76.5% and 85.0% for DM and N, respectively) was higher than of the unprocessed plant (39.6% and 74.9% for DM and N, respectively), whereas for red and white clover no difference was found. The amino acids methionine and cysteine were limiting for pigs and broilers in all fractions regardless of plant origin, and low scores were also found for lysine. The study demonstrated great potential of using green plants as a protein source for monogastrics because of high protein content, balanced amino acid composition and high digestibility of DM and N. The effects of processing and protein precipitation were pronounced in lucerne where significantly improved digestibility was observed in the protein concentrate. The results from the study provide valuable and enhanced knowledge to the production of alternative and sustainable protein sources for monogastric feed.","container-title":"Animal","DOI":"10.1017/S1751731119000156","ISSN":"1751-7311, 1751-732X","issue":"9","language":"en","note":"publisher: Cambridge University Press","page":"1817-1825","source":"Cambridge Core","title":"Digestibility of fractionated green biomass as protein source for monogastric animals","volume":"13","author":[{"family":"Stødkilde","given":"L."},{"family":"Damborg","given":"V. K."},{"family":"Jørgensen","given":"H."},{"family":"Lærke","given":"H. N."},{"family":"Jensen","given":"S. K."}],"issued":{"date-parts":[["2019",9]]}}}],"schema":"https://github.com/citation-style-language/schema/raw/master/csl-citation.json"} </w:instrText>
      </w:r>
      <w:r>
        <w:fldChar w:fldCharType="separate"/>
      </w:r>
      <w:r w:rsidR="005413B4" w:rsidRPr="005413B4">
        <w:rPr>
          <w:rFonts w:ascii="Calibri" w:hAnsi="Calibri" w:cs="Calibri"/>
          <w:szCs w:val="24"/>
          <w:vertAlign w:val="superscript"/>
        </w:rPr>
        <w:t>274,327,328</w:t>
      </w:r>
      <w:r>
        <w:fldChar w:fldCharType="end"/>
      </w:r>
      <w:r>
        <w:t xml:space="preserve"> displaying a wide range of performances. Therefore, pellet’s digestibility was also kept as an independent parameter (</w:t>
      </w:r>
      <w:r w:rsidR="003B36AF" w:rsidRPr="003B36AF">
        <w:rPr>
          <w:b/>
        </w:rPr>
        <w:fldChar w:fldCharType="begin"/>
      </w:r>
      <w:r w:rsidR="003B36AF" w:rsidRPr="003B36AF">
        <w:rPr>
          <w:b/>
        </w:rPr>
        <w:instrText xml:space="preserve"> REF _Ref144910998 \h </w:instrText>
      </w:r>
      <w:r w:rsidR="003B36AF">
        <w:rPr>
          <w:b/>
        </w:rPr>
        <w:instrText xml:space="preserve"> \* MERGEFORMAT </w:instrText>
      </w:r>
      <w:r w:rsidR="003B36AF" w:rsidRPr="003B36AF">
        <w:rPr>
          <w:b/>
        </w:rPr>
      </w:r>
      <w:r w:rsidR="003B36AF" w:rsidRPr="003B36AF">
        <w:rPr>
          <w:b/>
        </w:rPr>
        <w:fldChar w:fldCharType="separate"/>
      </w:r>
      <w:r w:rsidR="00F25F8C" w:rsidRPr="00F25F8C">
        <w:rPr>
          <w:b/>
        </w:rPr>
        <w:t xml:space="preserve">Table SI. </w:t>
      </w:r>
      <w:r w:rsidR="00F25F8C" w:rsidRPr="00F25F8C">
        <w:rPr>
          <w:b/>
          <w:noProof/>
        </w:rPr>
        <w:t>92</w:t>
      </w:r>
      <w:r w:rsidR="003B36AF" w:rsidRPr="003B36AF">
        <w:rPr>
          <w:b/>
        </w:rPr>
        <w:fldChar w:fldCharType="end"/>
      </w:r>
      <w:r>
        <w:t>).</w:t>
      </w:r>
    </w:p>
    <w:p w14:paraId="21783085" w14:textId="7DB27D6F" w:rsidR="00847C80" w:rsidRPr="00F54FAB" w:rsidRDefault="00874128" w:rsidP="00942782">
      <w:pPr>
        <w:pStyle w:val="Lgende"/>
        <w:jc w:val="left"/>
        <w:rPr>
          <w:b w:val="0"/>
          <w:i/>
        </w:rPr>
      </w:pPr>
      <w:bookmarkStart w:id="384" w:name="_Ref144910967"/>
      <w:bookmarkStart w:id="385" w:name="_Toc134537686"/>
      <w:bookmarkStart w:id="386" w:name="_Toc151967973"/>
      <w:r>
        <w:t>Table SI.</w:t>
      </w:r>
      <w:r w:rsidR="00847C80">
        <w:t xml:space="preserve"> </w:t>
      </w:r>
      <w:r>
        <w:fldChar w:fldCharType="begin"/>
      </w:r>
      <w:r>
        <w:instrText xml:space="preserve"> SEQ Table_SI. \* ARABIC </w:instrText>
      </w:r>
      <w:r>
        <w:fldChar w:fldCharType="separate"/>
      </w:r>
      <w:r w:rsidR="00F25F8C">
        <w:rPr>
          <w:noProof/>
        </w:rPr>
        <w:t>89</w:t>
      </w:r>
      <w:r>
        <w:fldChar w:fldCharType="end"/>
      </w:r>
      <w:bookmarkEnd w:id="384"/>
      <w:r w:rsidR="00847C80" w:rsidRPr="00E105F3">
        <w:t xml:space="preserve"> – Calculated green pellet composition and GB efficiency against benchmark</w:t>
      </w:r>
      <w:bookmarkEnd w:id="385"/>
      <w:bookmarkEnd w:id="386"/>
    </w:p>
    <w:tbl>
      <w:tblPr>
        <w:tblStyle w:val="Tableausimple2"/>
        <w:tblW w:w="5000" w:type="pct"/>
        <w:tblLook w:val="04A0" w:firstRow="1" w:lastRow="0" w:firstColumn="1" w:lastColumn="0" w:noHBand="0" w:noVBand="1"/>
      </w:tblPr>
      <w:tblGrid>
        <w:gridCol w:w="612"/>
        <w:gridCol w:w="634"/>
        <w:gridCol w:w="1026"/>
        <w:gridCol w:w="530"/>
        <w:gridCol w:w="530"/>
        <w:gridCol w:w="646"/>
        <w:gridCol w:w="489"/>
        <w:gridCol w:w="489"/>
        <w:gridCol w:w="535"/>
        <w:gridCol w:w="612"/>
        <w:gridCol w:w="612"/>
        <w:gridCol w:w="530"/>
        <w:gridCol w:w="614"/>
        <w:gridCol w:w="448"/>
        <w:gridCol w:w="765"/>
      </w:tblGrid>
      <w:tr w:rsidR="00847C80" w:rsidRPr="00C828FC" w14:paraId="410F637E" w14:textId="77777777" w:rsidTr="009427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 w:type="pct"/>
            <w:vMerge w:val="restart"/>
            <w:textDirection w:val="btLr"/>
          </w:tcPr>
          <w:p w14:paraId="1AEA347D" w14:textId="77777777" w:rsidR="00847C80" w:rsidRPr="00C828FC" w:rsidRDefault="00847C80" w:rsidP="00847C80">
            <w:pPr>
              <w:ind w:left="113" w:right="113"/>
              <w:rPr>
                <w:sz w:val="18"/>
                <w:szCs w:val="18"/>
              </w:rPr>
            </w:pPr>
            <w:r w:rsidRPr="00C828FC">
              <w:rPr>
                <w:sz w:val="18"/>
                <w:szCs w:val="18"/>
              </w:rPr>
              <w:t>Reference</w:t>
            </w:r>
          </w:p>
        </w:tc>
        <w:tc>
          <w:tcPr>
            <w:tcW w:w="353" w:type="pct"/>
            <w:vMerge w:val="restart"/>
            <w:textDirection w:val="btLr"/>
          </w:tcPr>
          <w:p w14:paraId="25EC4E8B" w14:textId="77777777" w:rsidR="00847C80" w:rsidRPr="00C828FC" w:rsidRDefault="00847C80" w:rsidP="00847C80">
            <w:pPr>
              <w:ind w:left="113" w:right="113"/>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Data</w:t>
            </w:r>
          </w:p>
        </w:tc>
        <w:tc>
          <w:tcPr>
            <w:tcW w:w="570" w:type="pct"/>
            <w:vMerge w:val="restart"/>
            <w:textDirection w:val="btLr"/>
          </w:tcPr>
          <w:p w14:paraId="758DE7A2" w14:textId="77777777" w:rsidR="00847C80" w:rsidRPr="00C828FC" w:rsidRDefault="00847C80" w:rsidP="00847C80">
            <w:pPr>
              <w:ind w:left="113" w:right="113"/>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Input</w:t>
            </w:r>
          </w:p>
        </w:tc>
        <w:tc>
          <w:tcPr>
            <w:tcW w:w="3367" w:type="pct"/>
            <w:gridSpan w:val="11"/>
          </w:tcPr>
          <w:p w14:paraId="5FFC3A72" w14:textId="77777777" w:rsidR="00847C80" w:rsidRPr="00C828FC" w:rsidRDefault="00847C80" w:rsidP="00847C80">
            <w:pPr>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Green pellet composition (%</w:t>
            </w:r>
            <w:r w:rsidRPr="00C828FC">
              <w:rPr>
                <w:sz w:val="18"/>
                <w:szCs w:val="18"/>
                <w:vertAlign w:val="subscript"/>
              </w:rPr>
              <w:t>DM</w:t>
            </w:r>
            <w:r w:rsidRPr="00C828FC">
              <w:rPr>
                <w:sz w:val="18"/>
                <w:szCs w:val="18"/>
              </w:rPr>
              <w:t>)</w:t>
            </w:r>
          </w:p>
        </w:tc>
        <w:tc>
          <w:tcPr>
            <w:tcW w:w="430" w:type="pct"/>
          </w:tcPr>
          <w:p w14:paraId="6A5B0659" w14:textId="77777777" w:rsidR="00847C80" w:rsidRPr="00C828FC" w:rsidRDefault="00847C80" w:rsidP="00847C80">
            <w:pPr>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w:t>
            </w:r>
            <w:r w:rsidRPr="00C828FC">
              <w:rPr>
                <w:sz w:val="18"/>
                <w:szCs w:val="18"/>
                <w:vertAlign w:val="subscript"/>
              </w:rPr>
              <w:t>input</w:t>
            </w:r>
          </w:p>
        </w:tc>
      </w:tr>
      <w:tr w:rsidR="00847C80" w:rsidRPr="00C828FC" w14:paraId="105ACE4D" w14:textId="77777777" w:rsidTr="00942782">
        <w:trPr>
          <w:cnfStyle w:val="000000100000" w:firstRow="0" w:lastRow="0" w:firstColumn="0" w:lastColumn="0" w:oddVBand="0" w:evenVBand="0" w:oddHBand="1" w:evenHBand="0" w:firstRowFirstColumn="0" w:firstRowLastColumn="0" w:lastRowFirstColumn="0" w:lastRowLastColumn="0"/>
          <w:trHeight w:val="1297"/>
        </w:trPr>
        <w:tc>
          <w:tcPr>
            <w:cnfStyle w:val="001000000000" w:firstRow="0" w:lastRow="0" w:firstColumn="1" w:lastColumn="0" w:oddVBand="0" w:evenVBand="0" w:oddHBand="0" w:evenHBand="0" w:firstRowFirstColumn="0" w:firstRowLastColumn="0" w:lastRowFirstColumn="0" w:lastRowLastColumn="0"/>
            <w:tcW w:w="280" w:type="pct"/>
            <w:vMerge/>
          </w:tcPr>
          <w:p w14:paraId="0668A67A" w14:textId="77777777" w:rsidR="00847C80" w:rsidRPr="00C828FC" w:rsidRDefault="00847C80" w:rsidP="00847C80">
            <w:pPr>
              <w:rPr>
                <w:sz w:val="18"/>
                <w:szCs w:val="18"/>
              </w:rPr>
            </w:pPr>
          </w:p>
        </w:tc>
        <w:tc>
          <w:tcPr>
            <w:tcW w:w="353" w:type="pct"/>
            <w:vMerge/>
          </w:tcPr>
          <w:p w14:paraId="77C757A8"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p>
        </w:tc>
        <w:tc>
          <w:tcPr>
            <w:tcW w:w="570" w:type="pct"/>
            <w:vMerge/>
            <w:textDirection w:val="btLr"/>
          </w:tcPr>
          <w:p w14:paraId="357AB0DB" w14:textId="77777777" w:rsidR="00847C80" w:rsidRPr="00C828FC"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p>
        </w:tc>
        <w:tc>
          <w:tcPr>
            <w:tcW w:w="293" w:type="pct"/>
            <w:textDirection w:val="btLr"/>
          </w:tcPr>
          <w:p w14:paraId="3EDF9FE5" w14:textId="77777777" w:rsidR="00847C80" w:rsidRPr="00C828FC"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dry matter</w:t>
            </w:r>
          </w:p>
        </w:tc>
        <w:tc>
          <w:tcPr>
            <w:tcW w:w="298" w:type="pct"/>
            <w:textDirection w:val="btLr"/>
          </w:tcPr>
          <w:p w14:paraId="2405E1F8" w14:textId="77777777" w:rsidR="00847C80" w:rsidRPr="00C828FC"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proteins</w:t>
            </w:r>
          </w:p>
        </w:tc>
        <w:tc>
          <w:tcPr>
            <w:tcW w:w="362" w:type="pct"/>
            <w:textDirection w:val="btLr"/>
          </w:tcPr>
          <w:p w14:paraId="10BAAF67" w14:textId="77777777" w:rsidR="00847C80" w:rsidRPr="00C828FC"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fat</w:t>
            </w:r>
          </w:p>
        </w:tc>
        <w:tc>
          <w:tcPr>
            <w:tcW w:w="274" w:type="pct"/>
            <w:textDirection w:val="btLr"/>
          </w:tcPr>
          <w:p w14:paraId="64E7C0C2" w14:textId="77777777" w:rsidR="00847C80" w:rsidRPr="00C828FC"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lignin</w:t>
            </w:r>
          </w:p>
        </w:tc>
        <w:tc>
          <w:tcPr>
            <w:tcW w:w="274" w:type="pct"/>
            <w:textDirection w:val="btLr"/>
          </w:tcPr>
          <w:p w14:paraId="29DAB11D" w14:textId="77777777" w:rsidR="00847C80" w:rsidRPr="00C828FC"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cellulose</w:t>
            </w:r>
          </w:p>
        </w:tc>
        <w:tc>
          <w:tcPr>
            <w:tcW w:w="299" w:type="pct"/>
            <w:textDirection w:val="btLr"/>
          </w:tcPr>
          <w:p w14:paraId="45C968D2" w14:textId="77777777" w:rsidR="00847C80" w:rsidRPr="00C828FC"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hemicellulose</w:t>
            </w:r>
          </w:p>
        </w:tc>
        <w:tc>
          <w:tcPr>
            <w:tcW w:w="341" w:type="pct"/>
            <w:textDirection w:val="btLr"/>
          </w:tcPr>
          <w:p w14:paraId="5AC71E79" w14:textId="77777777" w:rsidR="00847C80" w:rsidRPr="00C828FC"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solubles</w:t>
            </w:r>
          </w:p>
        </w:tc>
        <w:tc>
          <w:tcPr>
            <w:tcW w:w="341" w:type="pct"/>
            <w:textDirection w:val="btLr"/>
          </w:tcPr>
          <w:p w14:paraId="23E8EE29" w14:textId="77777777" w:rsidR="00847C80" w:rsidRPr="00C828FC"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ashes</w:t>
            </w:r>
          </w:p>
        </w:tc>
        <w:tc>
          <w:tcPr>
            <w:tcW w:w="293" w:type="pct"/>
            <w:textDirection w:val="btLr"/>
          </w:tcPr>
          <w:p w14:paraId="3A056B71" w14:textId="77777777" w:rsidR="00847C80" w:rsidRPr="00C828FC"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rest</w:t>
            </w:r>
          </w:p>
        </w:tc>
        <w:tc>
          <w:tcPr>
            <w:tcW w:w="345" w:type="pct"/>
            <w:textDirection w:val="btLr"/>
          </w:tcPr>
          <w:p w14:paraId="7CF7B200" w14:textId="77777777" w:rsidR="00847C80" w:rsidRPr="00C828FC"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P</w:t>
            </w:r>
          </w:p>
        </w:tc>
        <w:tc>
          <w:tcPr>
            <w:tcW w:w="248" w:type="pct"/>
            <w:textDirection w:val="btLr"/>
          </w:tcPr>
          <w:p w14:paraId="4574B60A" w14:textId="77777777" w:rsidR="00847C80" w:rsidRPr="00C828FC"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K</w:t>
            </w:r>
          </w:p>
        </w:tc>
        <w:tc>
          <w:tcPr>
            <w:tcW w:w="430" w:type="pct"/>
            <w:textDirection w:val="btLr"/>
          </w:tcPr>
          <w:p w14:paraId="29788A35" w14:textId="77777777" w:rsidR="00847C80" w:rsidRPr="00C828FC" w:rsidRDefault="00847C80" w:rsidP="00847C80">
            <w:pPr>
              <w:ind w:left="113" w:right="113"/>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Protein recovery</w:t>
            </w:r>
          </w:p>
        </w:tc>
      </w:tr>
      <w:tr w:rsidR="00847C80" w:rsidRPr="00C828FC" w14:paraId="0BA3D846" w14:textId="77777777" w:rsidTr="00942782">
        <w:tc>
          <w:tcPr>
            <w:cnfStyle w:val="001000000000" w:firstRow="0" w:lastRow="0" w:firstColumn="1" w:lastColumn="0" w:oddVBand="0" w:evenVBand="0" w:oddHBand="0" w:evenHBand="0" w:firstRowFirstColumn="0" w:firstRowLastColumn="0" w:lastRowFirstColumn="0" w:lastRowLastColumn="0"/>
            <w:tcW w:w="634" w:type="pct"/>
            <w:gridSpan w:val="2"/>
            <w:vMerge w:val="restart"/>
          </w:tcPr>
          <w:p w14:paraId="06A9188C" w14:textId="77777777" w:rsidR="00847C80" w:rsidRPr="00C828FC" w:rsidRDefault="00847C80" w:rsidP="00847C80">
            <w:pPr>
              <w:ind w:left="113" w:right="113"/>
              <w:rPr>
                <w:sz w:val="18"/>
                <w:szCs w:val="18"/>
              </w:rPr>
            </w:pPr>
            <w:r w:rsidRPr="00C828FC">
              <w:rPr>
                <w:sz w:val="18"/>
                <w:szCs w:val="18"/>
              </w:rPr>
              <w:t>Calculated</w:t>
            </w:r>
          </w:p>
        </w:tc>
        <w:tc>
          <w:tcPr>
            <w:tcW w:w="570" w:type="pct"/>
          </w:tcPr>
          <w:p w14:paraId="201F6BA8" w14:textId="77777777" w:rsidR="00847C80" w:rsidRPr="00C828FC" w:rsidRDefault="00847C80" w:rsidP="003B36AF">
            <w:pPr>
              <w:jc w:val="right"/>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SBT</w:t>
            </w:r>
          </w:p>
        </w:tc>
        <w:tc>
          <w:tcPr>
            <w:tcW w:w="293" w:type="pct"/>
          </w:tcPr>
          <w:p w14:paraId="7071D9BB"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92%</w:t>
            </w:r>
          </w:p>
        </w:tc>
        <w:tc>
          <w:tcPr>
            <w:tcW w:w="298" w:type="pct"/>
          </w:tcPr>
          <w:p w14:paraId="5ABAC2A2"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38%</w:t>
            </w:r>
          </w:p>
        </w:tc>
        <w:tc>
          <w:tcPr>
            <w:tcW w:w="362" w:type="pct"/>
          </w:tcPr>
          <w:p w14:paraId="49C9A9AD"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4%</w:t>
            </w:r>
          </w:p>
        </w:tc>
        <w:tc>
          <w:tcPr>
            <w:tcW w:w="274" w:type="pct"/>
          </w:tcPr>
          <w:p w14:paraId="587F301B"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1%</w:t>
            </w:r>
          </w:p>
        </w:tc>
        <w:tc>
          <w:tcPr>
            <w:tcW w:w="274" w:type="pct"/>
          </w:tcPr>
          <w:p w14:paraId="226568FB"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1%</w:t>
            </w:r>
          </w:p>
        </w:tc>
        <w:tc>
          <w:tcPr>
            <w:tcW w:w="299" w:type="pct"/>
          </w:tcPr>
          <w:p w14:paraId="2779319D"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6%</w:t>
            </w:r>
          </w:p>
        </w:tc>
        <w:tc>
          <w:tcPr>
            <w:tcW w:w="341" w:type="pct"/>
          </w:tcPr>
          <w:p w14:paraId="6F71120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29%</w:t>
            </w:r>
          </w:p>
        </w:tc>
        <w:tc>
          <w:tcPr>
            <w:tcW w:w="341" w:type="pct"/>
          </w:tcPr>
          <w:p w14:paraId="5FCC6C28"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17%</w:t>
            </w:r>
          </w:p>
        </w:tc>
        <w:tc>
          <w:tcPr>
            <w:tcW w:w="293" w:type="pct"/>
          </w:tcPr>
          <w:p w14:paraId="405E1293"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4%</w:t>
            </w:r>
          </w:p>
        </w:tc>
        <w:tc>
          <w:tcPr>
            <w:tcW w:w="345" w:type="pct"/>
          </w:tcPr>
          <w:p w14:paraId="73FB554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0.6%</w:t>
            </w:r>
          </w:p>
        </w:tc>
        <w:tc>
          <w:tcPr>
            <w:tcW w:w="248" w:type="pct"/>
          </w:tcPr>
          <w:p w14:paraId="0C03C117"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9%</w:t>
            </w:r>
          </w:p>
        </w:tc>
        <w:tc>
          <w:tcPr>
            <w:tcW w:w="430" w:type="pct"/>
          </w:tcPr>
          <w:p w14:paraId="071354AB"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18%</w:t>
            </w:r>
          </w:p>
        </w:tc>
      </w:tr>
      <w:tr w:rsidR="00847C80" w:rsidRPr="00C828FC" w14:paraId="1CF63E7D"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 w:type="pct"/>
            <w:gridSpan w:val="2"/>
            <w:vMerge/>
          </w:tcPr>
          <w:p w14:paraId="27ACB917" w14:textId="77777777" w:rsidR="00847C80" w:rsidRPr="00C828FC" w:rsidRDefault="00847C80" w:rsidP="00847C80">
            <w:pPr>
              <w:rPr>
                <w:b w:val="0"/>
                <w:sz w:val="18"/>
                <w:szCs w:val="18"/>
              </w:rPr>
            </w:pPr>
          </w:p>
        </w:tc>
        <w:tc>
          <w:tcPr>
            <w:tcW w:w="570" w:type="pct"/>
          </w:tcPr>
          <w:p w14:paraId="28458205" w14:textId="77777777" w:rsidR="00847C80" w:rsidRPr="00C828FC" w:rsidRDefault="00847C80" w:rsidP="003B36AF">
            <w:pPr>
              <w:jc w:val="right"/>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CMG</w:t>
            </w:r>
          </w:p>
        </w:tc>
        <w:tc>
          <w:tcPr>
            <w:tcW w:w="293" w:type="pct"/>
          </w:tcPr>
          <w:p w14:paraId="0D99CB6B"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92%</w:t>
            </w:r>
          </w:p>
        </w:tc>
        <w:tc>
          <w:tcPr>
            <w:tcW w:w="298" w:type="pct"/>
          </w:tcPr>
          <w:p w14:paraId="601D73ED"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30%</w:t>
            </w:r>
          </w:p>
        </w:tc>
        <w:tc>
          <w:tcPr>
            <w:tcW w:w="362" w:type="pct"/>
          </w:tcPr>
          <w:p w14:paraId="64F543CE"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2%</w:t>
            </w:r>
          </w:p>
        </w:tc>
        <w:tc>
          <w:tcPr>
            <w:tcW w:w="274" w:type="pct"/>
          </w:tcPr>
          <w:p w14:paraId="30372794"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2%</w:t>
            </w:r>
          </w:p>
        </w:tc>
        <w:tc>
          <w:tcPr>
            <w:tcW w:w="274" w:type="pct"/>
          </w:tcPr>
          <w:p w14:paraId="4EF62844"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4%</w:t>
            </w:r>
          </w:p>
        </w:tc>
        <w:tc>
          <w:tcPr>
            <w:tcW w:w="299" w:type="pct"/>
          </w:tcPr>
          <w:p w14:paraId="547387D4"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13%</w:t>
            </w:r>
          </w:p>
        </w:tc>
        <w:tc>
          <w:tcPr>
            <w:tcW w:w="341" w:type="pct"/>
          </w:tcPr>
          <w:p w14:paraId="6F2EA2A9"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22%</w:t>
            </w:r>
          </w:p>
        </w:tc>
        <w:tc>
          <w:tcPr>
            <w:tcW w:w="341" w:type="pct"/>
          </w:tcPr>
          <w:p w14:paraId="6B2314A5"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16%</w:t>
            </w:r>
          </w:p>
        </w:tc>
        <w:tc>
          <w:tcPr>
            <w:tcW w:w="293" w:type="pct"/>
          </w:tcPr>
          <w:p w14:paraId="3BDBE378"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12%</w:t>
            </w:r>
          </w:p>
        </w:tc>
        <w:tc>
          <w:tcPr>
            <w:tcW w:w="345" w:type="pct"/>
          </w:tcPr>
          <w:p w14:paraId="7DB2513A"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1.5%</w:t>
            </w:r>
          </w:p>
        </w:tc>
        <w:tc>
          <w:tcPr>
            <w:tcW w:w="248" w:type="pct"/>
          </w:tcPr>
          <w:p w14:paraId="3CE307B8"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2%</w:t>
            </w:r>
          </w:p>
        </w:tc>
        <w:tc>
          <w:tcPr>
            <w:tcW w:w="430" w:type="pct"/>
          </w:tcPr>
          <w:p w14:paraId="6CABFC2D"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18%</w:t>
            </w:r>
          </w:p>
        </w:tc>
      </w:tr>
      <w:tr w:rsidR="00847C80" w:rsidRPr="00C828FC" w14:paraId="4AD048A7" w14:textId="77777777" w:rsidTr="00942782">
        <w:tc>
          <w:tcPr>
            <w:cnfStyle w:val="001000000000" w:firstRow="0" w:lastRow="0" w:firstColumn="1" w:lastColumn="0" w:oddVBand="0" w:evenVBand="0" w:oddHBand="0" w:evenHBand="0" w:firstRowFirstColumn="0" w:firstRowLastColumn="0" w:lastRowFirstColumn="0" w:lastRowLastColumn="0"/>
            <w:tcW w:w="280" w:type="pct"/>
          </w:tcPr>
          <w:p w14:paraId="2DC809DE" w14:textId="0312E559" w:rsidR="00847C80" w:rsidRPr="00C828FC" w:rsidRDefault="00847C80" w:rsidP="00847C80">
            <w:pPr>
              <w:rPr>
                <w:sz w:val="18"/>
                <w:szCs w:val="18"/>
              </w:rPr>
            </w:pPr>
            <w:r w:rsidRPr="00C828FC">
              <w:rPr>
                <w:sz w:val="18"/>
                <w:szCs w:val="18"/>
              </w:rPr>
              <w:fldChar w:fldCharType="begin"/>
            </w:r>
            <w:r w:rsidR="005413B4">
              <w:rPr>
                <w:sz w:val="18"/>
                <w:szCs w:val="18"/>
              </w:rPr>
              <w:instrText xml:space="preserve"> ADDIN ZOTERO_ITEM CSL_CITATION {"citationID":"sKqQPWex","properties":{"formattedCitation":"\\super 272,281\\nosupersub{}","plainCitation":"272,281","noteIndex":0},"citationItems":[{"id":9255,"uris":["http://zotero.org/users/6423791/items/9EZA9MQK"],"itemData":{"id":9255,"type":"article-journal","abstract":"Large-scale processing of leaves for food applications requires quick processing or stabilisation to avoid perishability, due to the high moisture content in this biomass. Leaf perishability is compounded by the seasonal availability of crops, like sugar beet plants, of which the leaves are regarded as a potential protein source. This study evaluates the resource efficiency of a hypothetical sugar beet leaf processing chain by comparing supply chain options. First, two options consider leaf processing with and without stabilising the leaves by freezing. Then, these two options are considered in a centralised and decentralised process configuration. The latter places leaf freezing and pressing at the farm and further processes occur at a central facility. Energy usage and exergy consumption were used to quantify the thermodynamic performance of the processing options. Freezing has negligible effect on the process-ability of the leaves in terms of protein content and protein yield. The overall resource efficiency of the process was dominated by the amount of leaf material effectively used, which stresses the importance of full use of all (side-)streams. This outcome also explains the limited additional energy requirements for freezing. Exergetic indicators were affected by variations on the dry matter content of the starting biomass, compared to a negligible effect of other parameters (equipment scale, efficiency or energy use). Transportation load and soil quality were also discussed for the centralised and decentralised configurations. On-farm processing of the leaves (decentralised chain) clearly reduces the transportation load due to the large difference in bulk densities of leaves (73 kg/m3) and leaf juice (1000 kg/m3). Additionally, decentralised scenarios enable direct returning of the leaf pulp to the soil and thereby improving soil quality (i.e. nutrient retention and fertility). Soil quality is required to fully assess the use of biomass that is currently regarded as waste, but that actually plays a role in soil fertility. Therefore, the preferred chain configuration would be a decentralised system where the leaves are directly pressed at the farm, the pulp is used to fertilise the soil, and the leaf juice is chilled transported to a centralised factory.","container-title":"Journal of Cleaner Production","DOI":"10.1016/j.jclepro.2017.06.248","ISSN":"0959-6526","journalAbbreviation":"J. Clean. Prod.","language":"en","page":"736-748","source":"ScienceDirect","title":"Processing concepts for the use of green leaves as raw materials for the food industry","volume":"164","author":[{"family":"Tamayo Tenorio","given":"A."},{"family":"Schreuders","given":"F. K. G."},{"family":"Zisopoulos","given":"F. K."},{"family":"Boom","given":"R. M."},{"family":"Goot","given":"A. J.","non-dropping-particle":"van der"}],"issued":{"date-parts":[["2017",10,15]]}}},{"id":1983,"uris":["http://zotero.org/users/6423791/items/28BXN4BJ"],"itemData":{"id":1983,"type":"article-journal","abstract":"Plant leaves are a major potential source of novel food proteins. Till now, leaf protein extraction methods mainly focus on the extraction of soluble proteins, like rubisco protein, leaving more than half of all protein unextracted. Here, we report on the total protein extraction from sugar beet leaves (Beta vulgaris L.) by a traditional thermal extraction method consisting of mechanical pressing, heating to 50°C and centrifugation. The resulting streams (i.e. supernatant, green-protein pellet and fibrous pulp) were characterised in terms of composition, physical structure and processing options. The protein distributed almost equally over the supernatant, pellet and pulp. This shows that thermal precipitation is an unselective process with respect to fractionation between soluble (rubisco) and insoluble (other) proteins. About 6% of the total protein could be extracted as pure rubisco (90% purity) from the supernatant. Surfactants commonly used for protein solubilisation could hardly re-dissolve the precipitated proteins in the pellet phase, which suggested that irreversible association was induced between the co-precipitated proteins and cell debris. Thus, the extraction of this protein will require prevention of their co-precipitation, and should take place in the original juice solution.","container-title":"Food Chemistry","DOI":"10.1016/j.foodchem.2016.02.092","ISSN":"0308-8146","journalAbbreviation":"Food Chemistry","language":"en","page":"402-408","source":"ScienceDirect","title":"Recovery of protein from green leaves: Overview of crucial steps for utilisation","title-short":"Recovery of protein from green leaves","volume":"203","author":[{"family":"Tamayo Tenorio","given":"Angelica"},{"family":"Gieteling","given":"Jarno"},{"family":"Jong","given":"Govardus A. H.","non-dropping-particle":"de"},{"family":"Boom","given":"Remko M."},{"family":"Goot","given":"Atze J.","non-dropping-particle":"van der"}],"issued":{"date-parts":[["2016",7,15]]}}}],"schema":"https://github.com/citation-style-language/schema/raw/master/csl-citation.json"}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272,281</w:t>
            </w:r>
            <w:r w:rsidRPr="00C828FC">
              <w:rPr>
                <w:sz w:val="18"/>
                <w:szCs w:val="18"/>
              </w:rPr>
              <w:fldChar w:fldCharType="end"/>
            </w:r>
          </w:p>
        </w:tc>
        <w:tc>
          <w:tcPr>
            <w:tcW w:w="353" w:type="pct"/>
          </w:tcPr>
          <w:p w14:paraId="6E2F55EC"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Lab</w:t>
            </w:r>
          </w:p>
        </w:tc>
        <w:tc>
          <w:tcPr>
            <w:tcW w:w="570" w:type="pct"/>
          </w:tcPr>
          <w:p w14:paraId="29003B7E" w14:textId="77777777" w:rsidR="00847C80" w:rsidRPr="00C828FC" w:rsidRDefault="00847C80" w:rsidP="003B36AF">
            <w:pPr>
              <w:jc w:val="right"/>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SBT</w:t>
            </w:r>
          </w:p>
        </w:tc>
        <w:tc>
          <w:tcPr>
            <w:tcW w:w="293" w:type="pct"/>
          </w:tcPr>
          <w:p w14:paraId="08F714E3"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298" w:type="pct"/>
          </w:tcPr>
          <w:p w14:paraId="09E90037"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29%</w:t>
            </w:r>
          </w:p>
        </w:tc>
        <w:tc>
          <w:tcPr>
            <w:tcW w:w="362" w:type="pct"/>
          </w:tcPr>
          <w:p w14:paraId="4AB9F6DA"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8-12%</w:t>
            </w:r>
          </w:p>
        </w:tc>
        <w:tc>
          <w:tcPr>
            <w:tcW w:w="847" w:type="pct"/>
            <w:gridSpan w:val="3"/>
          </w:tcPr>
          <w:p w14:paraId="5B3FDDDD"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23-29%</w:t>
            </w:r>
          </w:p>
        </w:tc>
        <w:tc>
          <w:tcPr>
            <w:tcW w:w="341" w:type="pct"/>
          </w:tcPr>
          <w:p w14:paraId="3C2F4ADE"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14-19%</w:t>
            </w:r>
          </w:p>
        </w:tc>
        <w:tc>
          <w:tcPr>
            <w:tcW w:w="341" w:type="pct"/>
          </w:tcPr>
          <w:p w14:paraId="7D57E97B"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17-20%</w:t>
            </w:r>
          </w:p>
        </w:tc>
        <w:tc>
          <w:tcPr>
            <w:tcW w:w="293" w:type="pct"/>
          </w:tcPr>
          <w:p w14:paraId="30A514C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345" w:type="pct"/>
          </w:tcPr>
          <w:p w14:paraId="481B3BA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248" w:type="pct"/>
          </w:tcPr>
          <w:p w14:paraId="57CC97A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430" w:type="pct"/>
          </w:tcPr>
          <w:p w14:paraId="5EE3235B"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31%</w:t>
            </w:r>
          </w:p>
        </w:tc>
      </w:tr>
      <w:tr w:rsidR="00847C80" w:rsidRPr="00C828FC" w14:paraId="558FDD5A"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 w:type="pct"/>
          </w:tcPr>
          <w:p w14:paraId="33800C68" w14:textId="20E3355E" w:rsidR="00847C80" w:rsidRPr="00C828FC" w:rsidRDefault="00847C80" w:rsidP="00847C80">
            <w:pPr>
              <w:rPr>
                <w:sz w:val="18"/>
                <w:szCs w:val="18"/>
              </w:rPr>
            </w:pPr>
            <w:r w:rsidRPr="00C828FC">
              <w:rPr>
                <w:sz w:val="18"/>
                <w:szCs w:val="18"/>
              </w:rPr>
              <w:fldChar w:fldCharType="begin"/>
            </w:r>
            <w:r w:rsidR="005413B4">
              <w:rPr>
                <w:sz w:val="18"/>
                <w:szCs w:val="18"/>
              </w:rPr>
              <w:instrText xml:space="preserve"> ADDIN ZOTERO_ITEM CSL_CITATION {"citationID":"kuZe96sa","properties":{"formattedCitation":"\\super 327\\nosupersub{}","plainCitation":"327","noteIndex":0},"citationItems":[{"id":10815,"uris":["http://zotero.org/users/6423791/items/S8ZS28UY"],"itemData":{"id":10815,"type":"article-journal","abstract":"A 12-­week feeding experiment was performed to examine the impacts of partial or complete substitution of soybean meal (SM) with leaf protein concentrate from carrot and sugar beet (CLPC and SLPC) on growth, blood constituents and body composition in Oreochromis niloticus. Five isocaloric (gross energy, 4300 kcal/kg) and isonitrogenous (crude protein, 320 g/kg) diets were formulated. The basal diet was formulated to contain SM at 350 g/kg diet. SM was replaced by 50% and 100% of SLPC and CLPC (SLPC-­50, CLPC-­50, SLPC-­100 and CLPC-­100 respectively). The results revealed that there were no significant changes in the growth indices between fish fed on basal diet and SLPC-­50 and CLPC-­100 diets. The condition factor was significantly increased in all dietary SLPC and CLPC substitution levels. Feed intake, feed conversion ratio and survival rate were not altered by various dietary SLPC and CLPC levels. The inclusion levels of SLPC and CLPC in fish feed did not significantly affect most blood biochemical and haematological parameters. Except for the SLPC-­50 group, all substituted groups displayed a significant depletion in the crude lipid content compared with the non-­substituted group. Fish fed on CLPC-­100 diet recorded the lowest feeding cost and best profit margin compared with other experimental groups. In summary, the findings demonstrated that SLPC and CLPC could replace 50% and 100% of SM, respectively in O. niloticus feeds without any negative effects on growth and blood constituents. Besides, the total replacement of SM with CLPC was more efficient in producing low cost and healthy aquafeed.","container-title":"Aquaculture Research","DOI":"10.1111/are.15171","ISSN":"1355-557X, 1365-2109","journalAbbreviation":"Aquaculture Research","language":"en","page":"are.15171","source":"DOI.org (Crossref)","title":"Evaluation of leaf protein concentrate from Beta vulgaris and Daucus carota as a substitute for soybean meal in Oreochromis niloticus fingerlings diets","author":[{"family":"Ayyat","given":"Mohamed Salah"},{"family":"Abdel‐Rahman","given":"Gamal"},{"family":"Ayyat","given":"Ahmed Mohamed Nabil"},{"family":"Abdel‐Rahman","given":"Mohamed S."},{"family":"Al‐Sagheer","given":"Adham A."}],"issued":{"date-parts":[["2021",2,24]]}}}],"schema":"https://github.com/citation-style-language/schema/raw/master/csl-citation.json"}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327</w:t>
            </w:r>
            <w:r w:rsidRPr="00C828FC">
              <w:rPr>
                <w:sz w:val="18"/>
                <w:szCs w:val="18"/>
              </w:rPr>
              <w:fldChar w:fldCharType="end"/>
            </w:r>
          </w:p>
        </w:tc>
        <w:tc>
          <w:tcPr>
            <w:tcW w:w="353" w:type="pct"/>
          </w:tcPr>
          <w:p w14:paraId="5268AE2C"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Lab</w:t>
            </w:r>
          </w:p>
        </w:tc>
        <w:tc>
          <w:tcPr>
            <w:tcW w:w="570" w:type="pct"/>
          </w:tcPr>
          <w:p w14:paraId="14EEB743" w14:textId="77777777" w:rsidR="00847C80" w:rsidRPr="00C828FC" w:rsidRDefault="00847C80" w:rsidP="003B36AF">
            <w:pPr>
              <w:jc w:val="right"/>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SBT</w:t>
            </w:r>
          </w:p>
        </w:tc>
        <w:tc>
          <w:tcPr>
            <w:tcW w:w="293" w:type="pct"/>
          </w:tcPr>
          <w:p w14:paraId="24F940AF"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298" w:type="pct"/>
          </w:tcPr>
          <w:p w14:paraId="09334E06"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44%</w:t>
            </w:r>
          </w:p>
        </w:tc>
        <w:tc>
          <w:tcPr>
            <w:tcW w:w="362" w:type="pct"/>
          </w:tcPr>
          <w:p w14:paraId="1044E47F"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5%</w:t>
            </w:r>
          </w:p>
        </w:tc>
        <w:tc>
          <w:tcPr>
            <w:tcW w:w="847" w:type="pct"/>
            <w:gridSpan w:val="3"/>
          </w:tcPr>
          <w:p w14:paraId="3DFE84F9"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44%</w:t>
            </w:r>
          </w:p>
        </w:tc>
        <w:tc>
          <w:tcPr>
            <w:tcW w:w="341" w:type="pct"/>
          </w:tcPr>
          <w:p w14:paraId="68401E12"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341" w:type="pct"/>
          </w:tcPr>
          <w:p w14:paraId="7ECE7BAA"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6%</w:t>
            </w:r>
          </w:p>
        </w:tc>
        <w:tc>
          <w:tcPr>
            <w:tcW w:w="293" w:type="pct"/>
          </w:tcPr>
          <w:p w14:paraId="526B34DF"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345" w:type="pct"/>
          </w:tcPr>
          <w:p w14:paraId="75D842A0"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248" w:type="pct"/>
          </w:tcPr>
          <w:p w14:paraId="0480D862"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430" w:type="pct"/>
          </w:tcPr>
          <w:p w14:paraId="5DF9DC93"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r>
      <w:tr w:rsidR="00847C80" w:rsidRPr="00C828FC" w14:paraId="5FDEC586" w14:textId="77777777" w:rsidTr="00942782">
        <w:tc>
          <w:tcPr>
            <w:cnfStyle w:val="001000000000" w:firstRow="0" w:lastRow="0" w:firstColumn="1" w:lastColumn="0" w:oddVBand="0" w:evenVBand="0" w:oddHBand="0" w:evenHBand="0" w:firstRowFirstColumn="0" w:firstRowLastColumn="0" w:lastRowFirstColumn="0" w:lastRowLastColumn="0"/>
            <w:tcW w:w="280" w:type="pct"/>
          </w:tcPr>
          <w:p w14:paraId="0B2B9965" w14:textId="096977AB" w:rsidR="00847C80" w:rsidRPr="00C828FC" w:rsidRDefault="00847C80" w:rsidP="00847C80">
            <w:pPr>
              <w:rPr>
                <w:sz w:val="18"/>
                <w:szCs w:val="18"/>
              </w:rPr>
            </w:pPr>
            <w:r w:rsidRPr="00C828FC">
              <w:rPr>
                <w:sz w:val="18"/>
                <w:szCs w:val="18"/>
              </w:rPr>
              <w:fldChar w:fldCharType="begin"/>
            </w:r>
            <w:r w:rsidR="005413B4">
              <w:rPr>
                <w:sz w:val="18"/>
                <w:szCs w:val="18"/>
              </w:rPr>
              <w:instrText xml:space="preserve"> ADDIN ZOTERO_ITEM CSL_CITATION {"citationID":"xAo9ylIj","properties":{"formattedCitation":"\\super 329\\nosupersub{}","plainCitation":"329","noteIndex":0},"citationItems":[{"id":11812,"uris":["http://zotero.org/users/6423791/items/GP6HZIRZ"],"itemData":{"id":11812,"type":"article-journal","abstract":"Biorefining is a promising method for sustainable feed production through conversion of biomass into a protein concentrate for monogastrics and fibrous pulp for ruminants. Nitrogen (N) content and recovery in pulp and protein concentrate from lucerne, red clover, white clover, perennial ryegrass and tall fescue harvested at different spring cut harvest times were analysed to assess the effect of plant species, developmental stage and number of screw press processing. Plant species and spring cut harvest time affected N content of pulps and protein concentrates (P &lt; 0.01). The N contents of the legume pulps and protein concentrates (22.0–43.2 g/kg dry matter (DM) and 52.1–68.9 g/kg DM, respectively) were higher than corresponding values of the grasses (16.4–31.2 and 38.1–58.9 g/kg DM, respectively) and lowest in late harvested pulps (16.4–29.2 g/kg DM). The proportion of N retained in pulp increased with spring cut harvest time (P &lt; 0.01) and was higher in grasses compared to legumes (544.5–715.1 and 334.0–565.2 g/kg plant N, respectively). Plant species and spring cut harvest time affected N recovery in protein concentrate (P &lt; 0.01) and correlated positively with the plant N content (P &lt; 0.01) and negatively with the plant DM (P &lt; 0.01). The legumes had a higher recovery than grasses (160.2–556.2 g/kg plant N and 160.2–335.6 g/kg plant N, respectively). Regardless of plant species, late spring cut harvests reduced the total N extractability, i.e. recovery after application of a two-step extraction procedure, to 342.8–490.9 g/kg plant N (P &lt; 0.01). The largest proportion of N was extracted from the three legumes (458.4–653.8 g/kg plant N), with the lowest extractability in the late spring cut harvest. The N content and recovery in fractions produced in the biorefining process were dynamic variables influenced by plant species, spring cut harvest time and number of screw press processings. More N was retained in the pulp from late cut grasses whereas the N recovery in protein concentrate was highest in early and intermediate cuts from legumes. The dynamics of N distribution between pulp and protein concentrate highlight the importance of considering input plant species, time of harvest and processing technique in order to enhance recovery and secure efficient utilisation of the biomass as feed for monogastrics and ruminants.","container-title":"Animal Feed Science and Technology","DOI":"10.1016/j.anifeedsci.2021.115016","ISSN":"0377-8401","journalAbbreviation":"Animal Feed Science and Technology","language":"en","page":"115016","source":"ScienceDirect","title":"Enhancing protein recovery in green biorefineries through selection of plant species and time of harvest","volume":"278","author":[{"family":"Stødkilde","given":"Lene"},{"family":"Lashkari","given":"Saman"},{"family":"Eriksen","given":"Jørgen"},{"family":"Jensen","given":"Søren Krogh"}],"issued":{"date-parts":[["2021",8,1]]}}}],"schema":"https://github.com/citation-style-language/schema/raw/master/csl-citation.json"}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329</w:t>
            </w:r>
            <w:r w:rsidRPr="00C828FC">
              <w:rPr>
                <w:sz w:val="18"/>
                <w:szCs w:val="18"/>
              </w:rPr>
              <w:fldChar w:fldCharType="end"/>
            </w:r>
          </w:p>
        </w:tc>
        <w:tc>
          <w:tcPr>
            <w:tcW w:w="353" w:type="pct"/>
          </w:tcPr>
          <w:p w14:paraId="22A8670C"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Lab</w:t>
            </w:r>
          </w:p>
        </w:tc>
        <w:tc>
          <w:tcPr>
            <w:tcW w:w="570" w:type="pct"/>
          </w:tcPr>
          <w:p w14:paraId="31860968" w14:textId="77777777" w:rsidR="00847C80" w:rsidRPr="00C828FC" w:rsidRDefault="00847C80" w:rsidP="003B36AF">
            <w:pPr>
              <w:jc w:val="right"/>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Diverse</w:t>
            </w:r>
          </w:p>
        </w:tc>
        <w:tc>
          <w:tcPr>
            <w:tcW w:w="293" w:type="pct"/>
          </w:tcPr>
          <w:p w14:paraId="7E23B0A5"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298" w:type="pct"/>
          </w:tcPr>
          <w:p w14:paraId="3A3CB04A"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362" w:type="pct"/>
          </w:tcPr>
          <w:p w14:paraId="4543D495"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847" w:type="pct"/>
            <w:gridSpan w:val="3"/>
          </w:tcPr>
          <w:p w14:paraId="563F3FD4"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341" w:type="pct"/>
          </w:tcPr>
          <w:p w14:paraId="538090D7"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341" w:type="pct"/>
          </w:tcPr>
          <w:p w14:paraId="0641665E"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293" w:type="pct"/>
          </w:tcPr>
          <w:p w14:paraId="1600EAF5"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345" w:type="pct"/>
          </w:tcPr>
          <w:p w14:paraId="3C42856E"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248" w:type="pct"/>
          </w:tcPr>
          <w:p w14:paraId="5F05B14A"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430" w:type="pct"/>
          </w:tcPr>
          <w:p w14:paraId="786F460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34-65%</w:t>
            </w:r>
          </w:p>
        </w:tc>
      </w:tr>
      <w:tr w:rsidR="00847C80" w:rsidRPr="00C828FC" w14:paraId="66DF441A"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 w:type="pct"/>
          </w:tcPr>
          <w:p w14:paraId="004C8212" w14:textId="1C5BBED7" w:rsidR="00847C80" w:rsidRPr="00C828FC" w:rsidRDefault="00847C80" w:rsidP="00847C80">
            <w:pPr>
              <w:rPr>
                <w:sz w:val="18"/>
                <w:szCs w:val="18"/>
              </w:rPr>
            </w:pPr>
            <w:r w:rsidRPr="00C828FC">
              <w:rPr>
                <w:sz w:val="18"/>
                <w:szCs w:val="18"/>
              </w:rPr>
              <w:fldChar w:fldCharType="begin"/>
            </w:r>
            <w:r w:rsidR="005413B4">
              <w:rPr>
                <w:sz w:val="18"/>
                <w:szCs w:val="18"/>
              </w:rPr>
              <w:instrText xml:space="preserve"> ADDIN ZOTERO_ITEM CSL_CITATION {"citationID":"6RfZMCpw","properties":{"formattedCitation":"\\super 275\\nosupersub{}","plainCitation":"275","noteIndex":0},"citationItems":[{"id":12426,"uris":["http://zotero.org/users/6423791/items/GS4RZCAW"],"itemData":{"id":12426,"type":"article-journal","abstract":"This pre-feasibility study evaluates the use of residual leafy green biomass from broccoli (Brassica oleracea, var. Italica) and kale (Brassica oleracea, var. Sabellica) as feedstock for protein fractionation and potential application of the fractions in food and feed products. The protein concentration, protein recovery potential and the content of phenols and dietary ﬁbre in these biomass sources and fractions were investigated. Field produce and side-stream analysis showed that among broccoli and kale side-streams the potentially suitable leaves for protein fractionation constitute up to 16 and 1.9 t/ha (DM content), respectively. Fractionation demonstrated that between 34–42 and 25–34 kg total protein could be extracted per t DM of broccoli and kale residue leaves, respectively. The amount of protein was generally high in green protein fraction (GPF) and the white protein concentrate (WPC) of both crops, although signiﬁcantly higher in broccoli compared to kale. The recovery of bound and free phenolic compounds was up to 18% in the GPF of both crops, while only 0.4% ended up in the WPC. The economic assessment showed that the feedstock and processing costs of producing GPF and WPC, as well as of the combined protein fraction (CPF) 1.9–6.0 and 1.3–3.9 times higher than expected revenues for broccoli and kale, respectively, indicating that the production of protein fractions is not economically feasible with the current production scheme. However, potentially higher revenues may be obtained if value-added products such as fractionated phenols and dietary ﬁbre components are also included and investigated in future production schemes. The pathway investigated, that included a direct drying and milling of leaf biomass showed a low processing cost and thereby the most favourable economic alternative, with approx. 7–30% proﬁt for kale, while for broccoli revenues covered only 44–47% of the costs due to the extra harvest cost of the broccoli leaves.","container-title":"Food and Bioproducts Processing","DOI":"10.1016/j.fbp.2021.10.004","ISSN":"09603085","journalAbbreviation":"FBP","language":"en","page":"229-243","source":"DOI.org (Crossref)","title":"Protein fractionation of broccoli (Brassica oleracea, var. Italica) and kale (Brassica oleracea, var. Sabellica) residual leaves — A pre-feasibility assessment and evaluation of fraction phenol and fibre content","volume":"130","author":[{"family":"Prade","given":"Thomas"},{"family":"Muneer","given":"Faraz"},{"family":"Berndtsson","given":"Emilia"},{"family":"Nynäs","given":"Anna-Lovisa"},{"family":"Svensson","given":"Sven-Erik"},{"family":"Newson","given":"William R."},{"family":"Johansson","given":"Eva"}],"issued":{"date-parts":[["2021",11]]}}}],"schema":"https://github.com/citation-style-language/schema/raw/master/csl-citation.json"}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275</w:t>
            </w:r>
            <w:r w:rsidRPr="00C828FC">
              <w:rPr>
                <w:sz w:val="18"/>
                <w:szCs w:val="18"/>
              </w:rPr>
              <w:fldChar w:fldCharType="end"/>
            </w:r>
          </w:p>
        </w:tc>
        <w:tc>
          <w:tcPr>
            <w:tcW w:w="353" w:type="pct"/>
          </w:tcPr>
          <w:p w14:paraId="12269E98"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Lab</w:t>
            </w:r>
          </w:p>
        </w:tc>
        <w:tc>
          <w:tcPr>
            <w:tcW w:w="570" w:type="pct"/>
          </w:tcPr>
          <w:p w14:paraId="6E9EED95" w14:textId="77777777" w:rsidR="00847C80" w:rsidRPr="00C828FC" w:rsidRDefault="00847C80" w:rsidP="003B36AF">
            <w:pPr>
              <w:jc w:val="right"/>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Broccoli leaves</w:t>
            </w:r>
          </w:p>
        </w:tc>
        <w:tc>
          <w:tcPr>
            <w:tcW w:w="293" w:type="pct"/>
          </w:tcPr>
          <w:p w14:paraId="620D5675"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298" w:type="pct"/>
          </w:tcPr>
          <w:p w14:paraId="34BAB71F"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362" w:type="pct"/>
          </w:tcPr>
          <w:p w14:paraId="7A0FFA53"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847" w:type="pct"/>
            <w:gridSpan w:val="3"/>
          </w:tcPr>
          <w:p w14:paraId="520328BA"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341" w:type="pct"/>
          </w:tcPr>
          <w:p w14:paraId="5E3E5B09"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341" w:type="pct"/>
          </w:tcPr>
          <w:p w14:paraId="19373E97"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293" w:type="pct"/>
          </w:tcPr>
          <w:p w14:paraId="7768E3EB"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345" w:type="pct"/>
          </w:tcPr>
          <w:p w14:paraId="0DFCB000"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248" w:type="pct"/>
          </w:tcPr>
          <w:p w14:paraId="31F8ACC5"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430" w:type="pct"/>
          </w:tcPr>
          <w:p w14:paraId="2C08C0F5"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32-35%</w:t>
            </w:r>
          </w:p>
        </w:tc>
      </w:tr>
      <w:tr w:rsidR="00847C80" w:rsidRPr="00C828FC" w14:paraId="4B865CA2" w14:textId="77777777" w:rsidTr="00942782">
        <w:tc>
          <w:tcPr>
            <w:cnfStyle w:val="001000000000" w:firstRow="0" w:lastRow="0" w:firstColumn="1" w:lastColumn="0" w:oddVBand="0" w:evenVBand="0" w:oddHBand="0" w:evenHBand="0" w:firstRowFirstColumn="0" w:firstRowLastColumn="0" w:lastRowFirstColumn="0" w:lastRowLastColumn="0"/>
            <w:tcW w:w="280" w:type="pct"/>
          </w:tcPr>
          <w:p w14:paraId="1E449621" w14:textId="619D80A1" w:rsidR="00847C80" w:rsidRPr="00C828FC" w:rsidRDefault="00847C80" w:rsidP="00847C80">
            <w:pPr>
              <w:rPr>
                <w:sz w:val="18"/>
                <w:szCs w:val="18"/>
              </w:rPr>
            </w:pPr>
            <w:r w:rsidRPr="00C828FC">
              <w:rPr>
                <w:sz w:val="18"/>
                <w:szCs w:val="18"/>
              </w:rPr>
              <w:fldChar w:fldCharType="begin"/>
            </w:r>
            <w:r w:rsidR="005413B4">
              <w:rPr>
                <w:sz w:val="18"/>
                <w:szCs w:val="18"/>
              </w:rPr>
              <w:instrText xml:space="preserve"> ADDIN ZOTERO_ITEM CSL_CITATION {"citationID":"dGeVS1qU","properties":{"formattedCitation":"\\super 275\\nosupersub{}","plainCitation":"275","noteIndex":0},"citationItems":[{"id":12426,"uris":["http://zotero.org/users/6423791/items/GS4RZCAW"],"itemData":{"id":12426,"type":"article-journal","abstract":"This pre-feasibility study evaluates the use of residual leafy green biomass from broccoli (Brassica oleracea, var. Italica) and kale (Brassica oleracea, var. Sabellica) as feedstock for protein fractionation and potential application of the fractions in food and feed products. The protein concentration, protein recovery potential and the content of phenols and dietary ﬁbre in these biomass sources and fractions were investigated. Field produce and side-stream analysis showed that among broccoli and kale side-streams the potentially suitable leaves for protein fractionation constitute up to 16 and 1.9 t/ha (DM content), respectively. Fractionation demonstrated that between 34–42 and 25–34 kg total protein could be extracted per t DM of broccoli and kale residue leaves, respectively. The amount of protein was generally high in green protein fraction (GPF) and the white protein concentrate (WPC) of both crops, although signiﬁcantly higher in broccoli compared to kale. The recovery of bound and free phenolic compounds was up to 18% in the GPF of both crops, while only 0.4% ended up in the WPC. The economic assessment showed that the feedstock and processing costs of producing GPF and WPC, as well as of the combined protein fraction (CPF) 1.9–6.0 and 1.3–3.9 times higher than expected revenues for broccoli and kale, respectively, indicating that the production of protein fractions is not economically feasible with the current production scheme. However, potentially higher revenues may be obtained if value-added products such as fractionated phenols and dietary ﬁbre components are also included and investigated in future production schemes. The pathway investigated, that included a direct drying and milling of leaf biomass showed a low processing cost and thereby the most favourable economic alternative, with approx. 7–30% proﬁt for kale, while for broccoli revenues covered only 44–47% of the costs due to the extra harvest cost of the broccoli leaves.","container-title":"Food and Bioproducts Processing","DOI":"10.1016/j.fbp.2021.10.004","ISSN":"09603085","journalAbbreviation":"FBP","language":"en","page":"229-243","source":"DOI.org (Crossref)","title":"Protein fractionation of broccoli (Brassica oleracea, var. Italica) and kale (Brassica oleracea, var. Sabellica) residual leaves — A pre-feasibility assessment and evaluation of fraction phenol and fibre content","volume":"130","author":[{"family":"Prade","given":"Thomas"},{"family":"Muneer","given":"Faraz"},{"family":"Berndtsson","given":"Emilia"},{"family":"Nynäs","given":"Anna-Lovisa"},{"family":"Svensson","given":"Sven-Erik"},{"family":"Newson","given":"William R."},{"family":"Johansson","given":"Eva"}],"issued":{"date-parts":[["2021",11]]}}}],"schema":"https://github.com/citation-style-language/schema/raw/master/csl-citation.json"}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275</w:t>
            </w:r>
            <w:r w:rsidRPr="00C828FC">
              <w:rPr>
                <w:sz w:val="18"/>
                <w:szCs w:val="18"/>
              </w:rPr>
              <w:fldChar w:fldCharType="end"/>
            </w:r>
          </w:p>
        </w:tc>
        <w:tc>
          <w:tcPr>
            <w:tcW w:w="353" w:type="pct"/>
          </w:tcPr>
          <w:p w14:paraId="48402D0E"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Lab</w:t>
            </w:r>
          </w:p>
        </w:tc>
        <w:tc>
          <w:tcPr>
            <w:tcW w:w="570" w:type="pct"/>
          </w:tcPr>
          <w:p w14:paraId="610D4D59" w14:textId="77777777" w:rsidR="00847C80" w:rsidRPr="00C828FC" w:rsidRDefault="00847C80" w:rsidP="003B36AF">
            <w:pPr>
              <w:jc w:val="right"/>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Kale leaves</w:t>
            </w:r>
          </w:p>
        </w:tc>
        <w:tc>
          <w:tcPr>
            <w:tcW w:w="293" w:type="pct"/>
          </w:tcPr>
          <w:p w14:paraId="565D325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298" w:type="pct"/>
          </w:tcPr>
          <w:p w14:paraId="505FFEE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362" w:type="pct"/>
          </w:tcPr>
          <w:p w14:paraId="0DC1D316"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847" w:type="pct"/>
            <w:gridSpan w:val="3"/>
          </w:tcPr>
          <w:p w14:paraId="5FCBA232"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341" w:type="pct"/>
          </w:tcPr>
          <w:p w14:paraId="221A42A4"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341" w:type="pct"/>
          </w:tcPr>
          <w:p w14:paraId="647B4553"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293" w:type="pct"/>
          </w:tcPr>
          <w:p w14:paraId="681F6062"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345" w:type="pct"/>
          </w:tcPr>
          <w:p w14:paraId="16C18AA3"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248" w:type="pct"/>
          </w:tcPr>
          <w:p w14:paraId="19F04C6F"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430" w:type="pct"/>
          </w:tcPr>
          <w:p w14:paraId="32B1012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19-23%</w:t>
            </w:r>
          </w:p>
        </w:tc>
      </w:tr>
      <w:tr w:rsidR="00847C80" w:rsidRPr="00C828FC" w14:paraId="59EE1A2D"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 w:type="pct"/>
          </w:tcPr>
          <w:p w14:paraId="7C9C8B6A" w14:textId="4769D260" w:rsidR="00847C80" w:rsidRPr="00C828FC" w:rsidRDefault="00847C80" w:rsidP="00847C80">
            <w:pPr>
              <w:rPr>
                <w:sz w:val="18"/>
                <w:szCs w:val="18"/>
              </w:rPr>
            </w:pPr>
            <w:r w:rsidRPr="00C828FC">
              <w:rPr>
                <w:sz w:val="18"/>
                <w:szCs w:val="18"/>
              </w:rPr>
              <w:fldChar w:fldCharType="begin"/>
            </w:r>
            <w:r w:rsidR="005413B4">
              <w:rPr>
                <w:sz w:val="18"/>
                <w:szCs w:val="18"/>
              </w:rPr>
              <w:instrText xml:space="preserve"> ADDIN ZOTERO_ITEM CSL_CITATION {"citationID":"Q0sr10yN","properties":{"formattedCitation":"\\super 279\\nosupersub{}","plainCitation":"279","noteIndex":0},"citationItems":[{"id":12919,"uris":["http://zotero.org/users/6423791/items/H9PL35VW"],"itemData":{"id":12919,"type":"article-journal","abstract":"Paludiculture, and in particular the cultivation of perennial grasses as biomass feedstock for green biorefineries, may be an economic and environmentally sustainable option for agricultural peatlands in temperate regions. However, the optimal biomass quality for protein extraction from flood-tolerant grasses is largely unknown. The aim of this study was to define the combined effect of harvest and fertilization frequency, with one to five annual cuts, on protein yield and extractability for the grasses tall fescue (TF) and reed canary grass (RCG), cultivated on an agricultural fen peatland in Denmark.The content of protein fractions was determined according to the Cornell Net Carbohydrate and Protein System (CNCPS). We assessed protein extractability by lab-scale biorefinery techniques using a screw-press followed by acid precipitation of true protein. The two methods were compared to correlate potential extractable protein yields with actual biorefinery outputs. We found the highest annual biomass and crude protein (CP) yields in the two cut treatments, with 13.4 and 15.6 t dry matter (DM) ha−1 year−1, containing 2.9–3.4 t CP ha−1 year−1 for TF and RCG, respectively. The highest neutral-extractable (fractions B1 and B2) true protein yields of 1.1 and 1.5 t ha−1 year−1 were found in the two cut treatments, representing 39% (TF) - 45% (RCG) of total CP. Using biorefining techniques, we were able to precipitate up to 2.2 t DM ha−1 year−1 of protein concentrate, containing up to 39% CP. Significant correlations between methods were found, with a distinct relationship between CNCPS fractions B1 + B2 and CP yield of the protein concentrate, indicating the suitability of the CNCPS as an indicator for extractable protein yields. Biomass and CP yields were not significantly improved beyond two annual cuts. However, timing and harvest frequencies significantly affected plant maturity and consequently extractable CP contents and protein concentrate yields. We conclude that TF and RCG are promising feedstocks for green biorefineries due to high biomass, extractable CP, and protein concentrate yields, and highlight the potential of flood-tolerant grasses, cultivated on wet agricultural peatlands, for an enhanced valorisation beyond the common utilisation for bioenergy.","container-title":"Frontiers in Environmental Science","ISSN":"2296-665X","journalAbbreviation":"Front. Environ. Sci.","source":"Frontiers","title":"Effects of Harvest and Fertilization Frequency on Protein Yield and Extractability From Flood-Tolerant Perennial Grasses Cultivated on a fen Peatland","URL":"https://www.frontiersin.org/article/10.3389/fenvs.2021.619258","volume":"9","author":[{"family":"Nielsen","given":"Claudia Kalla"},{"family":"Stødkilde","given":"Lene"},{"family":"Jørgensen","given":"Uffe"},{"family":"Lærke","given":"Poul Erik"}],"accessed":{"date-parts":[["2022",1,27]]},"issued":{"date-parts":[["2021"]]}}}],"schema":"https://github.com/citation-style-language/schema/raw/master/csl-citation.json"}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279</w:t>
            </w:r>
            <w:r w:rsidRPr="00C828FC">
              <w:rPr>
                <w:sz w:val="18"/>
                <w:szCs w:val="18"/>
              </w:rPr>
              <w:fldChar w:fldCharType="end"/>
            </w:r>
          </w:p>
        </w:tc>
        <w:tc>
          <w:tcPr>
            <w:tcW w:w="353" w:type="pct"/>
          </w:tcPr>
          <w:p w14:paraId="1C9D562C"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Lab</w:t>
            </w:r>
          </w:p>
        </w:tc>
        <w:tc>
          <w:tcPr>
            <w:tcW w:w="570" w:type="pct"/>
          </w:tcPr>
          <w:p w14:paraId="5AFFA8C7" w14:textId="77777777" w:rsidR="00847C80" w:rsidRPr="00C828FC" w:rsidRDefault="00847C80" w:rsidP="003B36AF">
            <w:pPr>
              <w:jc w:val="right"/>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Grass</w:t>
            </w:r>
          </w:p>
        </w:tc>
        <w:tc>
          <w:tcPr>
            <w:tcW w:w="293" w:type="pct"/>
          </w:tcPr>
          <w:p w14:paraId="1CFACF7C"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298" w:type="pct"/>
          </w:tcPr>
          <w:p w14:paraId="5CF67ED1"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362" w:type="pct"/>
          </w:tcPr>
          <w:p w14:paraId="776C0FA8"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847" w:type="pct"/>
            <w:gridSpan w:val="3"/>
          </w:tcPr>
          <w:p w14:paraId="07A1AA47"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341" w:type="pct"/>
          </w:tcPr>
          <w:p w14:paraId="600E1E36"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341" w:type="pct"/>
          </w:tcPr>
          <w:p w14:paraId="18A9F535"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293" w:type="pct"/>
          </w:tcPr>
          <w:p w14:paraId="4B30A1D5"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345" w:type="pct"/>
          </w:tcPr>
          <w:p w14:paraId="23BD4F55"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248" w:type="pct"/>
          </w:tcPr>
          <w:p w14:paraId="30993963"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430" w:type="pct"/>
          </w:tcPr>
          <w:p w14:paraId="013B45B6"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16-19%</w:t>
            </w:r>
          </w:p>
        </w:tc>
      </w:tr>
      <w:tr w:rsidR="00847C80" w:rsidRPr="00C828FC" w14:paraId="4D3B0D03" w14:textId="77777777" w:rsidTr="00942782">
        <w:tc>
          <w:tcPr>
            <w:cnfStyle w:val="001000000000" w:firstRow="0" w:lastRow="0" w:firstColumn="1" w:lastColumn="0" w:oddVBand="0" w:evenVBand="0" w:oddHBand="0" w:evenHBand="0" w:firstRowFirstColumn="0" w:firstRowLastColumn="0" w:lastRowFirstColumn="0" w:lastRowLastColumn="0"/>
            <w:tcW w:w="280" w:type="pct"/>
          </w:tcPr>
          <w:p w14:paraId="1E6F1FFF" w14:textId="126A465E" w:rsidR="00847C80" w:rsidRPr="00C828FC" w:rsidRDefault="00847C80" w:rsidP="00847C80">
            <w:pPr>
              <w:rPr>
                <w:sz w:val="18"/>
                <w:szCs w:val="18"/>
              </w:rPr>
            </w:pPr>
            <w:r w:rsidRPr="00C828FC">
              <w:rPr>
                <w:sz w:val="18"/>
                <w:szCs w:val="18"/>
              </w:rPr>
              <w:fldChar w:fldCharType="begin"/>
            </w:r>
            <w:r w:rsidR="005413B4">
              <w:rPr>
                <w:sz w:val="18"/>
                <w:szCs w:val="18"/>
              </w:rPr>
              <w:instrText xml:space="preserve"> ADDIN ZOTERO_ITEM CSL_CITATION {"citationID":"HQhM4UBX","properties":{"formattedCitation":"\\super 276\\nosupersub{}","plainCitation":"276","noteIndex":0},"citationItems":[{"id":13783,"uris":["http://zotero.org/users/6423791/items/PM47CACP"],"itemData":{"id":13783,"type":"article-journal","abstract":"Nowadays, cassava leaves are mostly treated as a byproduct of cassava root production, yet this readily available biomass is rich in protein with a balanced content of amino acids. Cassava leaves therefore represent a promising, underutilized biomass for extraction of proteins. The purpose of this study was to provide updated information on the feasibility of producing cassava leaf protein concentrate for use in feed and food. In this context, protein concentrates were refined from cassava leaves using different precipitation methods and the refining process evaluated with focus on protein, amino acids and selected antinutritional factors. Crude protein was mainly distributed to the press cake and protein concentrates during the two processing steps, i.e., pressing and precipitation, and between 21% and 26% (w/w) of leaf crude protein was recovered in the concentrates. After drying, these contained 40–45% crude protein with an amino acid profile comparable to soybean and tolerable levels of tannins (&gt;1% of TS) for feed purposes. However, the refining process did not significantly reduce the cyanogenic potential, i.e., the total amount of releasable HCN, which accumulated in the dried protein product to around 150–250 ppm. This lies significantly above the 10–50 ppm deemed safe for food and feedstuff by several food safety authorities. Based on these results, extraction of leaf protein from cassava appears promising, but additional research is required to evaluate its full potential, especially in relation to its use in food products.","container-title":"Journal of Cleaner Production","DOI":"10.1016/j.jclepro.2022.134730","ISSN":"0959-6526","journalAbbreviation":"Journal of Cleaner Production","language":"en","page":"134730","source":"ScienceDirect","title":"Production of leaf protein concentrates from cassava: Protein distribution and anti-nutritional factors in biorefining fractions","title-short":"Production of leaf protein concentrates from cassava","volume":"379","author":[{"family":"Gundersen","given":"E."},{"family":"Christiansen","given":"A. H. C."},{"family":"Jørgensen","given":"K."},{"family":"Lübeck","given":"M."}],"issued":{"date-parts":[["2022",12,15]]}}}],"schema":"https://github.com/citation-style-language/schema/raw/master/csl-citation.json"}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276</w:t>
            </w:r>
            <w:r w:rsidRPr="00C828FC">
              <w:rPr>
                <w:sz w:val="18"/>
                <w:szCs w:val="18"/>
              </w:rPr>
              <w:fldChar w:fldCharType="end"/>
            </w:r>
          </w:p>
        </w:tc>
        <w:tc>
          <w:tcPr>
            <w:tcW w:w="353" w:type="pct"/>
          </w:tcPr>
          <w:p w14:paraId="282B2AF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Lab</w:t>
            </w:r>
          </w:p>
        </w:tc>
        <w:tc>
          <w:tcPr>
            <w:tcW w:w="570" w:type="pct"/>
          </w:tcPr>
          <w:p w14:paraId="1B1B26F6" w14:textId="77777777" w:rsidR="00847C80" w:rsidRPr="00C828FC" w:rsidRDefault="00847C80" w:rsidP="003B36AF">
            <w:pPr>
              <w:jc w:val="right"/>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Cassava tops</w:t>
            </w:r>
          </w:p>
        </w:tc>
        <w:tc>
          <w:tcPr>
            <w:tcW w:w="293" w:type="pct"/>
          </w:tcPr>
          <w:p w14:paraId="7BB262D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94%</w:t>
            </w:r>
          </w:p>
        </w:tc>
        <w:tc>
          <w:tcPr>
            <w:tcW w:w="298" w:type="pct"/>
          </w:tcPr>
          <w:p w14:paraId="0585AF4A"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42%</w:t>
            </w:r>
          </w:p>
        </w:tc>
        <w:tc>
          <w:tcPr>
            <w:tcW w:w="362" w:type="pct"/>
          </w:tcPr>
          <w:p w14:paraId="74A268BF"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847" w:type="pct"/>
            <w:gridSpan w:val="3"/>
          </w:tcPr>
          <w:p w14:paraId="1599507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341" w:type="pct"/>
          </w:tcPr>
          <w:p w14:paraId="35AFA5A4"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341" w:type="pct"/>
          </w:tcPr>
          <w:p w14:paraId="2E724CF6"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293" w:type="pct"/>
          </w:tcPr>
          <w:p w14:paraId="71FF3EAC"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345" w:type="pct"/>
          </w:tcPr>
          <w:p w14:paraId="68144D5C"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248" w:type="pct"/>
          </w:tcPr>
          <w:p w14:paraId="6DE8AC7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430" w:type="pct"/>
          </w:tcPr>
          <w:p w14:paraId="122C6C15"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21-26%</w:t>
            </w:r>
          </w:p>
        </w:tc>
      </w:tr>
      <w:tr w:rsidR="00847C80" w:rsidRPr="00C828FC" w14:paraId="478F23C7"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 w:type="pct"/>
          </w:tcPr>
          <w:p w14:paraId="6D6F0C72" w14:textId="6B733EB7" w:rsidR="00847C80" w:rsidRPr="00C828FC" w:rsidRDefault="00847C80" w:rsidP="00847C80">
            <w:pPr>
              <w:rPr>
                <w:sz w:val="18"/>
                <w:szCs w:val="18"/>
              </w:rPr>
            </w:pPr>
            <w:r w:rsidRPr="00C828FC">
              <w:rPr>
                <w:sz w:val="18"/>
                <w:szCs w:val="18"/>
              </w:rPr>
              <w:fldChar w:fldCharType="begin"/>
            </w:r>
            <w:r w:rsidR="005413B4">
              <w:rPr>
                <w:sz w:val="18"/>
                <w:szCs w:val="18"/>
              </w:rPr>
              <w:instrText xml:space="preserve"> ADDIN ZOTERO_ITEM CSL_CITATION {"citationID":"qFR8XP2z","properties":{"formattedCitation":"\\super 330\\nosupersub{}","plainCitation":"330","noteIndex":0},"citationItems":[{"id":11144,"uris":["http://zotero.org/users/6423791/items/PBFRGBAY"],"itemData":{"id":11144,"type":"article-journal","abstract":"The purpose of the study was to extract protein from organic grass-clover in a green biorefining process and perform a dose-response feeding experiment with pigs on feed utilization, performance and slaughter quality. Forty-eight pigs were fed one of four experimental diets from 1 week post-weaning to slaughter. The diets consisted of a control diet and diets with 5, 10, or 15% freeze-dried extracted grass-clover protein included. The extracted protein had a crude protein content of 458 g/kg dry matter, a content of total sulphur-containing amino acids comparable to soybean press cake but a lower lysine content. Acid-insoluble residue constituted 215 g/kg dry matter, and the dominating fatty acid was α-linoleic acid. Addition of grass-clover protein extract to the diet did not affect feed intake or growth in starter, grower, or finisher pigs, and no difference was found in animal slaughter weight. The meat percentage measured at slaughter increased linearly with inclusion of grass-clover protein in the feed. Increased addition of grass-clover increased the content of n-3 fatty acids and lowered the n-6/n-3 ratio in adipose tissue, liver, and Longissimus dorsi muscle as well as the α-tocopherol content. In conclusion, this study shows that protein extracted from organic forages through green biorefining can be used as a protein source for organic slaughter pigs.","container-title":"Animal Feed Science and Technology","DOI":"10.1016/j.anifeedsci.2021.114943","ISSN":"0377-8401","journalAbbreviation":"Animal Feed Science and Technology","language":"en","page":"114943","source":"ScienceDirect","title":"Biorefined organic grass-clover protein concentrate for growing pigs: effect on growth performance and meat fatty acid profile","title-short":"Biorefined organic grass-clover protein concentrate for growing pigs","author":[{"family":"Stødkilde","given":"Lene"},{"family":"Ambye-Jensen","given":"Morten"},{"family":"Jensen","given":"Søren Krogh"}],"issued":{"date-parts":[["2021",4,20]]}}}],"schema":"https://github.com/citation-style-language/schema/raw/master/csl-citation.json"}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330</w:t>
            </w:r>
            <w:r w:rsidRPr="00C828FC">
              <w:rPr>
                <w:sz w:val="18"/>
                <w:szCs w:val="18"/>
              </w:rPr>
              <w:fldChar w:fldCharType="end"/>
            </w:r>
          </w:p>
        </w:tc>
        <w:tc>
          <w:tcPr>
            <w:tcW w:w="353" w:type="pct"/>
          </w:tcPr>
          <w:p w14:paraId="583D61E1"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Pilot</w:t>
            </w:r>
          </w:p>
        </w:tc>
        <w:tc>
          <w:tcPr>
            <w:tcW w:w="570" w:type="pct"/>
          </w:tcPr>
          <w:p w14:paraId="45E0E74E" w14:textId="77777777" w:rsidR="00847C80" w:rsidRPr="00C828FC" w:rsidRDefault="00847C80" w:rsidP="003B36AF">
            <w:pPr>
              <w:jc w:val="right"/>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Grass-clover</w:t>
            </w:r>
          </w:p>
        </w:tc>
        <w:tc>
          <w:tcPr>
            <w:tcW w:w="293" w:type="pct"/>
          </w:tcPr>
          <w:p w14:paraId="60166AC2"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97%</w:t>
            </w:r>
          </w:p>
        </w:tc>
        <w:tc>
          <w:tcPr>
            <w:tcW w:w="298" w:type="pct"/>
          </w:tcPr>
          <w:p w14:paraId="570A82FF"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46%</w:t>
            </w:r>
          </w:p>
        </w:tc>
        <w:tc>
          <w:tcPr>
            <w:tcW w:w="362" w:type="pct"/>
          </w:tcPr>
          <w:p w14:paraId="49504767"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10%</w:t>
            </w:r>
          </w:p>
        </w:tc>
        <w:tc>
          <w:tcPr>
            <w:tcW w:w="274" w:type="pct"/>
          </w:tcPr>
          <w:p w14:paraId="27D0214C"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274" w:type="pct"/>
          </w:tcPr>
          <w:p w14:paraId="769A2325"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3%</w:t>
            </w:r>
          </w:p>
        </w:tc>
        <w:tc>
          <w:tcPr>
            <w:tcW w:w="299" w:type="pct"/>
          </w:tcPr>
          <w:p w14:paraId="124327AC"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341" w:type="pct"/>
          </w:tcPr>
          <w:p w14:paraId="3555B43F"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w:t>
            </w:r>
          </w:p>
        </w:tc>
        <w:tc>
          <w:tcPr>
            <w:tcW w:w="341" w:type="pct"/>
          </w:tcPr>
          <w:p w14:paraId="33F0A8A8"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12%</w:t>
            </w:r>
          </w:p>
        </w:tc>
        <w:tc>
          <w:tcPr>
            <w:tcW w:w="293" w:type="pct"/>
          </w:tcPr>
          <w:p w14:paraId="328311B8"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345" w:type="pct"/>
          </w:tcPr>
          <w:p w14:paraId="694B8DC4"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248" w:type="pct"/>
          </w:tcPr>
          <w:p w14:paraId="128A94D0"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430" w:type="pct"/>
          </w:tcPr>
          <w:p w14:paraId="697BA5A9"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r>
      <w:tr w:rsidR="00847C80" w:rsidRPr="00C828FC" w14:paraId="035F0874" w14:textId="77777777" w:rsidTr="00942782">
        <w:tc>
          <w:tcPr>
            <w:cnfStyle w:val="001000000000" w:firstRow="0" w:lastRow="0" w:firstColumn="1" w:lastColumn="0" w:oddVBand="0" w:evenVBand="0" w:oddHBand="0" w:evenHBand="0" w:firstRowFirstColumn="0" w:firstRowLastColumn="0" w:lastRowFirstColumn="0" w:lastRowLastColumn="0"/>
            <w:tcW w:w="280" w:type="pct"/>
          </w:tcPr>
          <w:p w14:paraId="595C6BE6" w14:textId="442049AD" w:rsidR="00847C80" w:rsidRPr="00C828FC" w:rsidRDefault="00847C80" w:rsidP="00847C80">
            <w:pPr>
              <w:rPr>
                <w:sz w:val="18"/>
                <w:szCs w:val="18"/>
              </w:rPr>
            </w:pPr>
            <w:r w:rsidRPr="00C828FC">
              <w:rPr>
                <w:sz w:val="18"/>
                <w:szCs w:val="18"/>
              </w:rPr>
              <w:fldChar w:fldCharType="begin"/>
            </w:r>
            <w:r w:rsidR="005413B4">
              <w:rPr>
                <w:sz w:val="18"/>
                <w:szCs w:val="18"/>
              </w:rPr>
              <w:instrText xml:space="preserve"> ADDIN ZOTERO_ITEM CSL_CITATION {"citationID":"a3FPOIyl","properties":{"formattedCitation":"\\super 312\\nosupersub{}","plainCitation":"312","noteIndex":0},"citationItems":[{"id":13558,"uris":["http://zotero.org/users/6423791/items/3Z2JZEUP"],"itemData":{"id":13558,"type":"article-journal","abstract":"In this work we report the new technical feasibility of combining a large-scale screw pressing facility with an industrial-scale pulsed electric field (PEF) system for a great increase in the yields of plant juice and crude protein extracted from freshly harvested blends of perennial ryegrass (Lolium perenne) (70%) and white clover (30%). A disc separator has been successfully utilized for continuous separation of 400 L of raw juice and successive protein precipitated at pH 5.0 and 60°C. The yields of pressed juice and crude protein were increased by around 25% and 31%, respectively. The crude protein content reached 37.3 g/100g in dry matter. In addition to the crude protein, the precipitated sediment contained minerals like Ca, K, Na, Mg and P, which are essential for health and promisingly interesting for future applications such as food alternatives. Microbial status, chemical compositions, macromolecular sizes and fat-protein microstructures of the samples collected at different process steps were explored, which allows for a better understanding of pilot-scale extraction processes and optimization. This study indicated a great potential for protein extraction from green biomass and for future food applications.","container-title":"Future Foods","DOI":"10.1016/j.fufo.2022.100173","ISSN":"2666-8335","journalAbbreviation":"Future Foods","language":"en","page":"100173","source":"ScienceDirect","title":"Extraction of protein from juice blend of grass and clover pressed by a pilot pressing facility combined with a pulsed electric field treatment","author":[{"family":"Guo","given":"Xiaoai"},{"family":"Aganovic","given":"Kemal"},{"family":"Bindrich","given":"Ute"},{"family":"Juadjur","given":"Andreas"},{"family":"Hertel","given":"Christian"},{"family":"Ebert","given":"Edward"},{"family":"Macke","given":"Johannes","dropping-particle":"große"},{"family":"Geil","given":"Christoph"},{"family":"Heinz","given":"Volker"}],"issued":{"date-parts":[["2022",7,16]]}}}],"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312</w:t>
            </w:r>
            <w:r w:rsidRPr="00C828FC">
              <w:rPr>
                <w:sz w:val="18"/>
                <w:szCs w:val="18"/>
              </w:rPr>
              <w:fldChar w:fldCharType="end"/>
            </w:r>
          </w:p>
        </w:tc>
        <w:tc>
          <w:tcPr>
            <w:tcW w:w="353" w:type="pct"/>
          </w:tcPr>
          <w:p w14:paraId="49A431E4"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Pilot</w:t>
            </w:r>
          </w:p>
        </w:tc>
        <w:tc>
          <w:tcPr>
            <w:tcW w:w="570" w:type="pct"/>
          </w:tcPr>
          <w:p w14:paraId="3B1AE1C7" w14:textId="77777777" w:rsidR="00847C80" w:rsidRPr="00C828FC" w:rsidRDefault="00847C80" w:rsidP="003B36AF">
            <w:pPr>
              <w:jc w:val="right"/>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Grass-clover</w:t>
            </w:r>
          </w:p>
        </w:tc>
        <w:tc>
          <w:tcPr>
            <w:tcW w:w="293" w:type="pct"/>
          </w:tcPr>
          <w:p w14:paraId="115462FE"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298" w:type="pct"/>
          </w:tcPr>
          <w:p w14:paraId="6D6659A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37%</w:t>
            </w:r>
          </w:p>
        </w:tc>
        <w:tc>
          <w:tcPr>
            <w:tcW w:w="362" w:type="pct"/>
          </w:tcPr>
          <w:p w14:paraId="0A89478A"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5%</w:t>
            </w:r>
          </w:p>
        </w:tc>
        <w:tc>
          <w:tcPr>
            <w:tcW w:w="847" w:type="pct"/>
            <w:gridSpan w:val="3"/>
          </w:tcPr>
          <w:p w14:paraId="4F8A28B6"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10%</w:t>
            </w:r>
          </w:p>
        </w:tc>
        <w:tc>
          <w:tcPr>
            <w:tcW w:w="341" w:type="pct"/>
          </w:tcPr>
          <w:p w14:paraId="0248B513"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13%</w:t>
            </w:r>
          </w:p>
        </w:tc>
        <w:tc>
          <w:tcPr>
            <w:tcW w:w="341" w:type="pct"/>
          </w:tcPr>
          <w:p w14:paraId="3A573D0B"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29%</w:t>
            </w:r>
          </w:p>
        </w:tc>
        <w:tc>
          <w:tcPr>
            <w:tcW w:w="293" w:type="pct"/>
          </w:tcPr>
          <w:p w14:paraId="3FCDB01B"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345" w:type="pct"/>
          </w:tcPr>
          <w:p w14:paraId="50E9D5DF"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248" w:type="pct"/>
          </w:tcPr>
          <w:p w14:paraId="35BEB297"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430" w:type="pct"/>
          </w:tcPr>
          <w:p w14:paraId="6FD617E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r>
      <w:tr w:rsidR="00847C80" w:rsidRPr="00C828FC" w14:paraId="524FE6CE"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0" w:type="pct"/>
          </w:tcPr>
          <w:p w14:paraId="6FD40B67" w14:textId="58C5EF3E" w:rsidR="00847C80" w:rsidRPr="00C828FC" w:rsidRDefault="00847C80" w:rsidP="00847C80">
            <w:pPr>
              <w:rPr>
                <w:sz w:val="18"/>
                <w:szCs w:val="18"/>
              </w:rPr>
            </w:pPr>
            <w:r w:rsidRPr="00C828FC">
              <w:rPr>
                <w:sz w:val="18"/>
                <w:szCs w:val="18"/>
              </w:rPr>
              <w:fldChar w:fldCharType="begin"/>
            </w:r>
            <w:r w:rsidR="005413B4">
              <w:rPr>
                <w:sz w:val="18"/>
                <w:szCs w:val="18"/>
              </w:rPr>
              <w:instrText xml:space="preserve"> ADDIN ZOTERO_ITEM CSL_CITATION {"citationID":"aSldZfPp","properties":{"formattedCitation":"\\super 289,290\\nosupersub{}","plainCitation":"289,290","noteIndex":0},"citationItems":[{"id":392,"uris":["http://zotero.org/users/6423791/items/P3739BFG"],"itemData":{"id":392,"type":"article-journal","abstract":"The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Zwicky"},{"family":"Birkved","given":"Morten"}],"issued":{"date-parts":[["2018",9]]}}},{"id":382,"uris":["http://zotero.org/users/6423791/items/7YX86YM8"],"itemData":{"id":382,"type":"article-journal","abstract":"Green bioreﬁnery (GBR) is a new bioreﬁnery technology for the conversion of fresh biomass to value added products. In the present study, we combined a Process Flowsheet Simulation (PFS) and Life Cycle Assessment (LCA) of a small scale decentralized GBR to screen environmental impact proﬁles for potential biomass feedstocks for GBR conversion. Furthermore, we carried out hotspot and sensitivity analysis to identify where the largest impacts arise in the bioreﬁning stage in order to provide recommendations and focus points for GBR technology developers. The GBR considered in this study produces a protein-rich feed for monogastric animals and an energy-rich feed from the press pulp and biogas from the GBR residues. The included biomass feedstocks are: alfalfa, grass-clover, festulolium and ryegrass. These biomasses were selected to accommodate variations in central biomass characteristics like: crop yields, rate of fertilizer application, chemical biomass compositions and related potential environmental implications. Among the studied crops, alfalfa provides the best overall environmental performance due to its high yield and low agricultural input demands. Results of the hotspot analysis further identiﬁed the coagulation and the drying as the processes that induce most of the environmental impacts in the bioreﬁning stage. Conversion of green biomass for the production of feed and energy could provide environmental beneﬁts compared to the production of conventional feed. However, the GBR technology have still room for optimization in order to further reduce the environmental impacts, across all impact categories, by decreasing energy consumption and increasing conversion efﬁciency.","container-title":"Journal of Cleaner Production","DOI":"10.1016/j.jclepro.2018.03.316","ISSN":"09596526","journalAbbreviation":"J. Clean. Prod.","language":"en","page":"344-357","source":"DOI.org (Crossref)","title":"Environmental screening of potential biomass for green biorefinery conversion","volume":"189","author":[{"family":"Corona","given":"Andrea"},{"family":"Parajuli","given":"Ranjan"},{"family":"Ambye-Jensen","given":"Morten"},{"family":"Hauschild","given":"Michael Zwicky"},{"family":"Birkved","given":"Morten"}],"issued":{"date-parts":[["2018",7]]}}}],"schema":"https://github.com/citation-style-language/schema/raw/master/csl-citation.json"}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289,290</w:t>
            </w:r>
            <w:r w:rsidRPr="00C828FC">
              <w:rPr>
                <w:sz w:val="18"/>
                <w:szCs w:val="18"/>
              </w:rPr>
              <w:fldChar w:fldCharType="end"/>
            </w:r>
          </w:p>
        </w:tc>
        <w:tc>
          <w:tcPr>
            <w:tcW w:w="353" w:type="pct"/>
          </w:tcPr>
          <w:p w14:paraId="34C65046"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Pilot</w:t>
            </w:r>
          </w:p>
        </w:tc>
        <w:tc>
          <w:tcPr>
            <w:tcW w:w="570" w:type="pct"/>
          </w:tcPr>
          <w:p w14:paraId="37026FF6" w14:textId="77777777" w:rsidR="00847C80" w:rsidRPr="00C828FC" w:rsidRDefault="00847C80" w:rsidP="003B36AF">
            <w:pPr>
              <w:jc w:val="right"/>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Legumes</w:t>
            </w:r>
          </w:p>
        </w:tc>
        <w:tc>
          <w:tcPr>
            <w:tcW w:w="293" w:type="pct"/>
          </w:tcPr>
          <w:p w14:paraId="738E04BC"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298" w:type="pct"/>
          </w:tcPr>
          <w:p w14:paraId="2A588E5E"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46-55%</w:t>
            </w:r>
          </w:p>
        </w:tc>
        <w:tc>
          <w:tcPr>
            <w:tcW w:w="362" w:type="pct"/>
          </w:tcPr>
          <w:p w14:paraId="225A7F8C"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274" w:type="pct"/>
          </w:tcPr>
          <w:p w14:paraId="04DBD7B5"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0-1%</w:t>
            </w:r>
          </w:p>
        </w:tc>
        <w:tc>
          <w:tcPr>
            <w:tcW w:w="274" w:type="pct"/>
          </w:tcPr>
          <w:p w14:paraId="00EEF6ED"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3-4%</w:t>
            </w:r>
          </w:p>
        </w:tc>
        <w:tc>
          <w:tcPr>
            <w:tcW w:w="299" w:type="pct"/>
          </w:tcPr>
          <w:p w14:paraId="6A83901A"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7-9%</w:t>
            </w:r>
          </w:p>
        </w:tc>
        <w:tc>
          <w:tcPr>
            <w:tcW w:w="341" w:type="pct"/>
          </w:tcPr>
          <w:p w14:paraId="543C2384"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13-17%</w:t>
            </w:r>
          </w:p>
        </w:tc>
        <w:tc>
          <w:tcPr>
            <w:tcW w:w="341" w:type="pct"/>
          </w:tcPr>
          <w:p w14:paraId="222B5DBD"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12-16%</w:t>
            </w:r>
          </w:p>
        </w:tc>
        <w:tc>
          <w:tcPr>
            <w:tcW w:w="293" w:type="pct"/>
          </w:tcPr>
          <w:p w14:paraId="74B7ECE1"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c>
          <w:tcPr>
            <w:tcW w:w="345" w:type="pct"/>
          </w:tcPr>
          <w:p w14:paraId="4F07700B"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0-0.4%</w:t>
            </w:r>
          </w:p>
        </w:tc>
        <w:tc>
          <w:tcPr>
            <w:tcW w:w="248" w:type="pct"/>
          </w:tcPr>
          <w:p w14:paraId="6B623D05"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w:t>
            </w:r>
          </w:p>
        </w:tc>
        <w:tc>
          <w:tcPr>
            <w:tcW w:w="430" w:type="pct"/>
          </w:tcPr>
          <w:p w14:paraId="32CBDFA7"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r>
      <w:tr w:rsidR="00847C80" w:rsidRPr="00C828FC" w14:paraId="3B1E81E5" w14:textId="77777777" w:rsidTr="00942782">
        <w:tc>
          <w:tcPr>
            <w:cnfStyle w:val="001000000000" w:firstRow="0" w:lastRow="0" w:firstColumn="1" w:lastColumn="0" w:oddVBand="0" w:evenVBand="0" w:oddHBand="0" w:evenHBand="0" w:firstRowFirstColumn="0" w:firstRowLastColumn="0" w:lastRowFirstColumn="0" w:lastRowLastColumn="0"/>
            <w:tcW w:w="280" w:type="pct"/>
          </w:tcPr>
          <w:p w14:paraId="5E563E35" w14:textId="0DC44F92" w:rsidR="00847C80" w:rsidRPr="00C828FC" w:rsidRDefault="00847C80" w:rsidP="00847C80">
            <w:pPr>
              <w:rPr>
                <w:sz w:val="18"/>
                <w:szCs w:val="18"/>
              </w:rPr>
            </w:pPr>
            <w:r w:rsidRPr="00C828FC">
              <w:rPr>
                <w:sz w:val="18"/>
                <w:szCs w:val="18"/>
              </w:rPr>
              <w:fldChar w:fldCharType="begin"/>
            </w:r>
            <w:r w:rsidR="005413B4">
              <w:rPr>
                <w:sz w:val="18"/>
                <w:szCs w:val="18"/>
              </w:rPr>
              <w:instrText xml:space="preserve"> ADDIN ZOTERO_ITEM CSL_CITATION {"citationID":"o2BQj7Nm","properties":{"formattedCitation":"\\super 266\\nosupersub{}","plainCitation":"266","noteIndex":0},"citationItems":[{"id":11340,"uris":["http://zotero.org/users/6423791/items/WY7NQ5DU"],"itemData":{"id":11340,"type":"report","abstract":"Industrial extraction of proteins and pigments from alfalfa makes it possible to obtain from leaves of this forage legume protein concentrates with a high content in pigments and omega-3 fatty acids. The high tech process is less energy consuming than the classical dehydration process, even when considering the large energy savings made for forage dehydration during the last two years. Today, the main commercial outlets for this concentrate are the market of protein concentrate for herbivores, the one of pigments for poultry production and also the market of omega-3 rich feeds for ruminants.","archive_location":"hal-02658324","collection-title":"Innovations Agronomiques","language":"fr","page":"147-156","publisher":"INRAE","source":"Zotero","title":"Extraction industrielle de protéines et de pigments chez la luzerne: état des lieux et perspectives","URL":"https://hal.inrae.fr/hal-02658324/document","author":[{"family":"Andurand","given":"J"},{"family":"Coulmier","given":"D"},{"family":"Despres","given":"J L"},{"family":"Rambourg","given":"J C"}],"issued":{"date-parts":[["2010"]]}}}],"schema":"https://github.com/citation-style-language/schema/raw/master/csl-citation.json"}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266</w:t>
            </w:r>
            <w:r w:rsidRPr="00C828FC">
              <w:rPr>
                <w:sz w:val="18"/>
                <w:szCs w:val="18"/>
              </w:rPr>
              <w:fldChar w:fldCharType="end"/>
            </w:r>
          </w:p>
        </w:tc>
        <w:tc>
          <w:tcPr>
            <w:tcW w:w="353" w:type="pct"/>
          </w:tcPr>
          <w:p w14:paraId="2D9D5B23"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Indus</w:t>
            </w:r>
          </w:p>
        </w:tc>
        <w:tc>
          <w:tcPr>
            <w:tcW w:w="570" w:type="pct"/>
          </w:tcPr>
          <w:p w14:paraId="08BE0611" w14:textId="77777777" w:rsidR="00847C80" w:rsidRPr="00C828FC" w:rsidRDefault="00847C80" w:rsidP="003B36AF">
            <w:pPr>
              <w:jc w:val="right"/>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Alfalfa</w:t>
            </w:r>
          </w:p>
        </w:tc>
        <w:tc>
          <w:tcPr>
            <w:tcW w:w="293" w:type="pct"/>
          </w:tcPr>
          <w:p w14:paraId="7CFB5E1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92%</w:t>
            </w:r>
          </w:p>
        </w:tc>
        <w:tc>
          <w:tcPr>
            <w:tcW w:w="298" w:type="pct"/>
          </w:tcPr>
          <w:p w14:paraId="52548C3D"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50%</w:t>
            </w:r>
          </w:p>
        </w:tc>
        <w:tc>
          <w:tcPr>
            <w:tcW w:w="362" w:type="pct"/>
          </w:tcPr>
          <w:p w14:paraId="1094E6E4"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10%</w:t>
            </w:r>
          </w:p>
        </w:tc>
        <w:tc>
          <w:tcPr>
            <w:tcW w:w="274" w:type="pct"/>
          </w:tcPr>
          <w:p w14:paraId="3B6A6D6E"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w:t>
            </w:r>
          </w:p>
        </w:tc>
        <w:tc>
          <w:tcPr>
            <w:tcW w:w="274" w:type="pct"/>
          </w:tcPr>
          <w:p w14:paraId="7CF4DC1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2%</w:t>
            </w:r>
          </w:p>
        </w:tc>
        <w:tc>
          <w:tcPr>
            <w:tcW w:w="299" w:type="pct"/>
          </w:tcPr>
          <w:p w14:paraId="58AB607A"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11%</w:t>
            </w:r>
          </w:p>
        </w:tc>
        <w:tc>
          <w:tcPr>
            <w:tcW w:w="341" w:type="pct"/>
          </w:tcPr>
          <w:p w14:paraId="41A0FC2A"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341" w:type="pct"/>
          </w:tcPr>
          <w:p w14:paraId="57F6BAE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11%</w:t>
            </w:r>
          </w:p>
        </w:tc>
        <w:tc>
          <w:tcPr>
            <w:tcW w:w="293" w:type="pct"/>
          </w:tcPr>
          <w:p w14:paraId="2F6D6CD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345" w:type="pct"/>
          </w:tcPr>
          <w:p w14:paraId="13F43E2F"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248" w:type="pct"/>
          </w:tcPr>
          <w:p w14:paraId="1C0243A7"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c>
          <w:tcPr>
            <w:tcW w:w="430" w:type="pct"/>
          </w:tcPr>
          <w:p w14:paraId="1DEA2873"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p>
        </w:tc>
      </w:tr>
    </w:tbl>
    <w:p w14:paraId="1C69F7EC" w14:textId="77777777" w:rsidR="00847C80" w:rsidRPr="00367AC8" w:rsidRDefault="00847C80" w:rsidP="00942782">
      <w:pPr>
        <w:jc w:val="both"/>
        <w:rPr>
          <w:sz w:val="18"/>
        </w:rPr>
      </w:pPr>
      <w:r>
        <w:rPr>
          <w:sz w:val="18"/>
        </w:rPr>
        <w:t>Indicative only, as calculated with the baseline values of (relatively high ranging) technology parameters. SBT: Sugarbeet tops, CMG: countryside management grass</w:t>
      </w:r>
    </w:p>
    <w:p w14:paraId="2858E863" w14:textId="6F53552B" w:rsidR="00847C80" w:rsidRDefault="00847C80" w:rsidP="00847C80">
      <w:pPr>
        <w:jc w:val="both"/>
      </w:pPr>
      <w:r>
        <w:t>Albeit green pellet’s final composition is tightly linked with input’s composition, the model estimates an output in accordance with values reported in the literature (</w:t>
      </w:r>
      <w:r w:rsidR="003B36AF" w:rsidRPr="003B36AF">
        <w:rPr>
          <w:b/>
        </w:rPr>
        <w:fldChar w:fldCharType="begin"/>
      </w:r>
      <w:r w:rsidR="003B36AF" w:rsidRPr="003B36AF">
        <w:rPr>
          <w:b/>
        </w:rPr>
        <w:instrText xml:space="preserve"> REF _Ref144910967 \h </w:instrText>
      </w:r>
      <w:r w:rsidR="003B36AF">
        <w:rPr>
          <w:b/>
        </w:rPr>
        <w:instrText xml:space="preserve"> \* MERGEFORMAT </w:instrText>
      </w:r>
      <w:r w:rsidR="003B36AF" w:rsidRPr="003B36AF">
        <w:rPr>
          <w:b/>
        </w:rPr>
      </w:r>
      <w:r w:rsidR="003B36AF" w:rsidRPr="003B36AF">
        <w:rPr>
          <w:b/>
        </w:rPr>
        <w:fldChar w:fldCharType="separate"/>
      </w:r>
      <w:r w:rsidR="00F25F8C" w:rsidRPr="00F25F8C">
        <w:rPr>
          <w:b/>
        </w:rPr>
        <w:t xml:space="preserve">Table SI. </w:t>
      </w:r>
      <w:r w:rsidR="00F25F8C" w:rsidRPr="00F25F8C">
        <w:rPr>
          <w:b/>
          <w:noProof/>
        </w:rPr>
        <w:t>89</w:t>
      </w:r>
      <w:r w:rsidR="003B36AF" w:rsidRPr="003B36AF">
        <w:rPr>
          <w:b/>
        </w:rPr>
        <w:fldChar w:fldCharType="end"/>
      </w:r>
      <w:r>
        <w:t xml:space="preserve">). In the baseline configuration, the overall protein recovery (i.e. share of input proteins recovered in the green pellet) lies in the lower range of reported values. Rests are not necessarily lost, as co-products can also be used for nutritional purposes (see </w:t>
      </w:r>
      <w:r w:rsidRPr="003B36AF">
        <w:rPr>
          <w:b/>
        </w:rPr>
        <w:t>next section</w:t>
      </w:r>
      <w:r>
        <w:t>). The full range of achievable performances are assessed in the sensitivity analysis.</w:t>
      </w:r>
    </w:p>
    <w:p w14:paraId="75D7D4A9" w14:textId="77777777" w:rsidR="00847C80" w:rsidRPr="00847C80" w:rsidRDefault="00847C80" w:rsidP="003B36AF">
      <w:pPr>
        <w:pStyle w:val="Titre4"/>
      </w:pPr>
      <w:r w:rsidRPr="00847C80">
        <w:lastRenderedPageBreak/>
        <w:t>Co-products management</w:t>
      </w:r>
    </w:p>
    <w:p w14:paraId="300B34F9" w14:textId="26FE0B13" w:rsidR="00847C80" w:rsidRDefault="00847C80" w:rsidP="003B36AF">
      <w:pPr>
        <w:ind w:firstLine="360"/>
        <w:jc w:val="both"/>
      </w:pPr>
      <w:r w:rsidRPr="003B36AF">
        <w:t>The two main co-products of the modeled green biorefinery pathways are (i) the press pulp and (ii) the brown juice. Consisting of ca. 90-95% (mass basis) of the input feedstock (see</w:t>
      </w:r>
      <w:r w:rsidR="003B36AF">
        <w:t xml:space="preserve"> </w:t>
      </w:r>
      <w:r w:rsidR="003B36AF" w:rsidRPr="003B36AF">
        <w:rPr>
          <w:b/>
        </w:rPr>
        <w:fldChar w:fldCharType="begin"/>
      </w:r>
      <w:r w:rsidR="003B36AF" w:rsidRPr="003B36AF">
        <w:rPr>
          <w:b/>
        </w:rPr>
        <w:instrText xml:space="preserve"> REF _Ref144911074 \h </w:instrText>
      </w:r>
      <w:r w:rsidR="003B36AF">
        <w:rPr>
          <w:b/>
        </w:rPr>
        <w:instrText xml:space="preserve"> \* MERGEFORMAT </w:instrText>
      </w:r>
      <w:r w:rsidR="003B36AF" w:rsidRPr="003B36AF">
        <w:rPr>
          <w:b/>
        </w:rPr>
      </w:r>
      <w:r w:rsidR="003B36AF" w:rsidRPr="003B36AF">
        <w:rPr>
          <w:b/>
        </w:rPr>
        <w:fldChar w:fldCharType="separate"/>
      </w:r>
      <w:r w:rsidR="00F25F8C" w:rsidRPr="00F25F8C">
        <w:rPr>
          <w:b/>
        </w:rPr>
        <w:t xml:space="preserve">Table SI. </w:t>
      </w:r>
      <w:r w:rsidR="00F25F8C" w:rsidRPr="00F25F8C">
        <w:rPr>
          <w:b/>
          <w:noProof/>
        </w:rPr>
        <w:t>91</w:t>
      </w:r>
      <w:r w:rsidR="003B36AF" w:rsidRPr="003B36AF">
        <w:rPr>
          <w:b/>
        </w:rPr>
        <w:fldChar w:fldCharType="end"/>
      </w:r>
      <w:r w:rsidRPr="003B36AF">
        <w:t>), their further valorization is key to the economic</w:t>
      </w:r>
      <w:r>
        <w:t xml:space="preserve"> and environmental viability of the biorefinery</w:t>
      </w:r>
      <w:r>
        <w:fldChar w:fldCharType="begin"/>
      </w:r>
      <w:r w:rsidR="00991F7C">
        <w:instrText xml:space="preserve"> ADDIN ZOTERO_ITEM CSL_CITATION {"citationID":"nTcTvH8c","properties":{"formattedCitation":"\\super 272,290,296,300\\nosupersub{}","plainCitation":"272,290,296,300","noteIndex":0},"citationItems":[{"id":392,"uris":["http://zotero.org/users/6423791/items/P3739BFG"],"itemData":{"id":392,"type":"article-journal","abstract":"The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Zwicky"},{"family":"Birkved","given":"Morten"}],"issued":{"date-parts":[["2018",9]]}}},{"id":9255,"uris":["http://zotero.org/users/6423791/items/9EZA9MQK"],"itemData":{"id":9255,"type":"article-journal","abstract":"Large-scale processing of leaves for food applications requires quick processing or stabilisation to avoid perishability, due to the high moisture content in this biomass. Leaf perishability is compounded by the seasonal availability of crops, like sugar beet plants, of which the leaves are regarded as a potential protein source. This study evaluates the resource efficiency of a hypothetical sugar beet leaf processing chain by comparing supply chain options. First, two options consider leaf processing with and without stabilising the leaves by freezing. Then, these two options are considered in a centralised and decentralised process configuration. The latter places leaf freezing and pressing at the farm and further processes occur at a central facility. Energy usage and exergy consumption were used to quantify the thermodynamic performance of the processing options. Freezing has negligible effect on the process-ability of the leaves in terms of protein content and protein yield. The overall resource efficiency of the process was dominated by the amount of leaf material effectively used, which stresses the importance of full use of all (side-)streams. This outcome also explains the limited additional energy requirements for freezing. Exergetic indicators were affected by variations on the dry matter content of the starting biomass, compared to a negligible effect of other parameters (equipment scale, efficiency or energy use). Transportation load and soil quality were also discussed for the centralised and decentralised configurations. On-farm processing of the leaves (decentralised chain) clearly reduces the transportation load due to the large difference in bulk densities of leaves (73 kg/m3) and leaf juice (1000 kg/m3). Additionally, decentralised scenarios enable direct returning of the leaf pulp to the soil and thereby improving soil quality (i.e. nutrient retention and fertility). Soil quality is required to fully assess the use of biomass that is currently regarded as waste, but that actually plays a role in soil fertility. Therefore, the preferred chain configuration would be a decentralised system where the leaves are directly pressed at the farm, the pulp is used to fertilise the soil, and the leaf juice is chilled transported to a centralised factory.","container-title":"Journal of Cleaner Production","DOI":"10.1016/j.jclepro.2017.06.248","ISSN":"0959-6526","journalAbbreviation":"J. Clean. Prod.","language":"en","page":"736-748","source":"ScienceDirect","title":"Processing concepts for the use of green leaves as raw materials for the food industry","volume":"164","author":[{"family":"Tamayo Tenorio","given":"A."},{"family":"Schreuders","given":"F. K. G."},{"family":"Zisopoulos","given":"F. K."},{"family":"Boom","given":"R. M."},{"family":"Goot","given":"A. J.","non-dropping-particle":"van der"}],"issued":{"date-parts":[["2017",10,15]]}}},{"id":1583,"uris":["http://zotero.org/users/6423791/items/LMICSNI8"],"itemData":{"id":1583,"type":"article-journal","abstract":"Green biorefinery (GBR) is an alternative use of grassland biomass. GBR involves applying technology to chemically and physically fractionate (split) biomass such as grass and grass silage to produce marketable products. Three GBR system models were developed in a companion paper to determine, using scenario analysis, the most technically feasible scenario for the development of a blueprint Irish GBR system. The three GBR system models were a combination of feedstock system and biorefinery technology: Grass/silage – basic technology (GS), Silage – basic technology (S) and Silage – advanced technology (AT). The models were then assessed at different input volumes. The focus of this paper is on the development of the economic modelling component of the three GBR system models in order to identify which of the previously selected GBR scenarios is the most technically and economically viable to develop a blueprint for a first generation GBR. Six scenarios were assessed in this paper. The GS, S and AT GBR systems, at two input volume rates: medium volume and low volume. Additional scenario analyses were also carried out to investigate two possible production scenarios \"No Prot\" (fibre product only), and \"Prot\" (includes proteinaceous secondary product). Both the economic and technical scenario analyses of this paper and its companion paper suggest the most appropriate GBR systems for a first generation Irish blueprint are the combination of Silage feedstock – basic biorefinery technology (S), at the medium input volume and both \"Prot\" and \"No Prot\" systems.","container-title":"Biomass and Bioenergy","DOI":"10.1016/j.biombioe.2011.11.018","ISSN":"0961-9534","journalAbbreviation":"Biomass Bioenergy.","language":"en","page":"1-13","source":"ScienceDirect","title":"II. Economic assessment for first generation green biorefinery (GBR): Scenarios for an Irish GBR blueprint","title-short":"II. Economic assessment for first generation green biorefinery (GBR)","volume":"41","author":[{"family":"O’Keeffe","given":"S."},{"family":"Schulte","given":"R. P. O."},{"family":"Sanders","given":"J. P. M."},{"family":"Struik","given":"P. C."}],"issued":{"date-parts":[["2012",6,1]]}}},{"id":10765,"uris":["http://zotero.org/users/6423791/items/9ZF4ICXB"],"itemData":{"id":10765,"type":"article-journal","container-title":"Computers &amp; Chemical Engineering","DOI":"10.1016/j.compchemeng.2016.03.030","ISSN":"00981354","journalAbbreviation":"Comput Chem Eng .","language":"en","page":"257-268","source":"DOI.org (Crossref)","title":"Using product driven process synthesis in the biorefinery","volume":"91","author":[{"family":"Kiskini","given":"Alexandra"},{"family":"Zondervan","given":"Edwin"},{"family":"Wierenga","given":"Peter Alexander"},{"family":"Poiesz","given":"Edwin"},{"family":"Gruppen","given":"Harry"}],"issued":{"date-parts":[["2016",8]]}}}],"schema":"https://github.com/citation-style-language/schema/raw/master/csl-citation.json"} </w:instrText>
      </w:r>
      <w:r>
        <w:fldChar w:fldCharType="separate"/>
      </w:r>
      <w:r w:rsidR="00991F7C" w:rsidRPr="00991F7C">
        <w:rPr>
          <w:rFonts w:ascii="Calibri" w:hAnsi="Calibri" w:cs="Calibri"/>
          <w:szCs w:val="24"/>
          <w:vertAlign w:val="superscript"/>
        </w:rPr>
        <w:t>272,290,296,300</w:t>
      </w:r>
      <w:r>
        <w:fldChar w:fldCharType="end"/>
      </w:r>
      <w:r>
        <w:t>, and many options have been considered (</w:t>
      </w:r>
      <w:r w:rsidR="003B36AF" w:rsidRPr="003B36AF">
        <w:rPr>
          <w:b/>
        </w:rPr>
        <w:fldChar w:fldCharType="begin"/>
      </w:r>
      <w:r w:rsidR="003B36AF" w:rsidRPr="003B36AF">
        <w:rPr>
          <w:b/>
        </w:rPr>
        <w:instrText xml:space="preserve"> REF _Ref144911086 \h </w:instrText>
      </w:r>
      <w:r w:rsidR="003B36AF">
        <w:rPr>
          <w:b/>
        </w:rPr>
        <w:instrText xml:space="preserve"> \* MERGEFORMAT </w:instrText>
      </w:r>
      <w:r w:rsidR="003B36AF" w:rsidRPr="003B36AF">
        <w:rPr>
          <w:b/>
        </w:rPr>
      </w:r>
      <w:r w:rsidR="003B36AF" w:rsidRPr="003B36AF">
        <w:rPr>
          <w:b/>
        </w:rPr>
        <w:fldChar w:fldCharType="separate"/>
      </w:r>
      <w:r w:rsidR="00F25F8C" w:rsidRPr="00F25F8C">
        <w:rPr>
          <w:b/>
        </w:rPr>
        <w:t xml:space="preserve">Table SI. </w:t>
      </w:r>
      <w:r w:rsidR="00F25F8C" w:rsidRPr="00F25F8C">
        <w:rPr>
          <w:b/>
          <w:noProof/>
        </w:rPr>
        <w:t>90</w:t>
      </w:r>
      <w:r w:rsidR="003B36AF" w:rsidRPr="003B36AF">
        <w:rPr>
          <w:b/>
        </w:rPr>
        <w:fldChar w:fldCharType="end"/>
      </w:r>
      <w:r>
        <w:t>).</w:t>
      </w:r>
    </w:p>
    <w:p w14:paraId="38FBF379" w14:textId="251F7633" w:rsidR="00847C80" w:rsidRPr="00187338" w:rsidRDefault="00874128" w:rsidP="00942782">
      <w:pPr>
        <w:pStyle w:val="Lgende"/>
        <w:jc w:val="left"/>
        <w:rPr>
          <w:b w:val="0"/>
          <w:i/>
        </w:rPr>
      </w:pPr>
      <w:bookmarkStart w:id="387" w:name="_Ref144911086"/>
      <w:bookmarkStart w:id="388" w:name="_Toc134537687"/>
      <w:bookmarkStart w:id="389" w:name="_Toc151967974"/>
      <w:r>
        <w:t>Table SI.</w:t>
      </w:r>
      <w:r w:rsidR="00847C80">
        <w:t xml:space="preserve"> </w:t>
      </w:r>
      <w:r>
        <w:fldChar w:fldCharType="begin"/>
      </w:r>
      <w:r>
        <w:instrText xml:space="preserve"> SEQ Table_SI. \* ARABIC </w:instrText>
      </w:r>
      <w:r>
        <w:fldChar w:fldCharType="separate"/>
      </w:r>
      <w:r w:rsidR="00F25F8C">
        <w:rPr>
          <w:noProof/>
        </w:rPr>
        <w:t>90</w:t>
      </w:r>
      <w:r>
        <w:fldChar w:fldCharType="end"/>
      </w:r>
      <w:bookmarkEnd w:id="387"/>
      <w:r w:rsidR="00847C80">
        <w:t xml:space="preserve"> </w:t>
      </w:r>
      <w:r w:rsidR="00847C80" w:rsidRPr="00E105F3">
        <w:t xml:space="preserve">– </w:t>
      </w:r>
      <w:r w:rsidR="00847C80">
        <w:t>B</w:t>
      </w:r>
      <w:r w:rsidR="00847C80" w:rsidRPr="00E105F3">
        <w:t>enchmarked valorization options for green biorefinery co-products</w:t>
      </w:r>
      <w:r w:rsidR="00847C80" w:rsidRPr="00E105F3">
        <w:rPr>
          <w:vertAlign w:val="superscript"/>
        </w:rPr>
        <w:t>*</w:t>
      </w:r>
      <w:bookmarkEnd w:id="388"/>
      <w:bookmarkEnd w:id="389"/>
    </w:p>
    <w:tbl>
      <w:tblPr>
        <w:tblStyle w:val="Tableausimple2"/>
        <w:tblW w:w="0" w:type="auto"/>
        <w:tblLook w:val="04A0" w:firstRow="1" w:lastRow="0" w:firstColumn="1" w:lastColumn="0" w:noHBand="0" w:noVBand="1"/>
      </w:tblPr>
      <w:tblGrid>
        <w:gridCol w:w="2669"/>
        <w:gridCol w:w="5367"/>
        <w:gridCol w:w="1036"/>
      </w:tblGrid>
      <w:tr w:rsidR="00847C80" w:rsidRPr="00C828FC" w14:paraId="5A6F60A5" w14:textId="77777777" w:rsidTr="00C828F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9" w:type="dxa"/>
          </w:tcPr>
          <w:p w14:paraId="34B83995" w14:textId="77777777" w:rsidR="00847C80" w:rsidRPr="00C828FC" w:rsidRDefault="00847C80" w:rsidP="00847C80">
            <w:pPr>
              <w:rPr>
                <w:sz w:val="18"/>
                <w:szCs w:val="18"/>
              </w:rPr>
            </w:pPr>
            <w:r w:rsidRPr="00C828FC">
              <w:rPr>
                <w:sz w:val="18"/>
                <w:szCs w:val="18"/>
              </w:rPr>
              <w:t>Green biorefinery co-product</w:t>
            </w:r>
          </w:p>
        </w:tc>
        <w:tc>
          <w:tcPr>
            <w:tcW w:w="5388" w:type="dxa"/>
          </w:tcPr>
          <w:p w14:paraId="1A85CDB1" w14:textId="77777777" w:rsidR="00847C80" w:rsidRPr="00C828FC" w:rsidRDefault="00847C80" w:rsidP="00847C80">
            <w:pPr>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Valorization pathway</w:t>
            </w:r>
          </w:p>
        </w:tc>
        <w:tc>
          <w:tcPr>
            <w:tcW w:w="0" w:type="auto"/>
          </w:tcPr>
          <w:p w14:paraId="1A30BA7F" w14:textId="77777777" w:rsidR="00847C80" w:rsidRPr="00C828FC" w:rsidRDefault="00847C80" w:rsidP="00847C80">
            <w:pPr>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Reference</w:t>
            </w:r>
          </w:p>
        </w:tc>
      </w:tr>
      <w:tr w:rsidR="00847C80" w:rsidRPr="00C828FC" w14:paraId="0B256679"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9" w:type="dxa"/>
            <w:vMerge w:val="restart"/>
          </w:tcPr>
          <w:p w14:paraId="7DDB70DB" w14:textId="77777777" w:rsidR="00847C80" w:rsidRPr="00C828FC" w:rsidRDefault="00847C80" w:rsidP="00847C80">
            <w:pPr>
              <w:rPr>
                <w:sz w:val="18"/>
                <w:szCs w:val="18"/>
              </w:rPr>
            </w:pPr>
            <w:r w:rsidRPr="00C828FC">
              <w:rPr>
                <w:sz w:val="18"/>
                <w:szCs w:val="18"/>
              </w:rPr>
              <w:t>Press-pulp</w:t>
            </w:r>
          </w:p>
        </w:tc>
        <w:tc>
          <w:tcPr>
            <w:tcW w:w="5388" w:type="dxa"/>
          </w:tcPr>
          <w:p w14:paraId="6685765F" w14:textId="77777777" w:rsidR="00847C80" w:rsidRPr="00C828FC" w:rsidRDefault="00847C80" w:rsidP="00847C80">
            <w:pPr>
              <w:jc w:val="both"/>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Returned to field as fertilizer, mulch, etc.</w:t>
            </w:r>
          </w:p>
        </w:tc>
        <w:tc>
          <w:tcPr>
            <w:tcW w:w="0" w:type="auto"/>
          </w:tcPr>
          <w:p w14:paraId="291AFB3F" w14:textId="544EE1E9"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fldChar w:fldCharType="begin"/>
            </w:r>
            <w:r w:rsidR="005413B4">
              <w:rPr>
                <w:sz w:val="18"/>
                <w:szCs w:val="18"/>
              </w:rPr>
              <w:instrText xml:space="preserve"> ADDIN ZOTERO_ITEM CSL_CITATION {"citationID":"g2VJFRoy","properties":{"formattedCitation":"\\super 290\\nosupersub{}","plainCitation":"290","noteIndex":0},"citationItems":[{"id":392,"uris":["http://zotero.org/users/6423791/items/P3739BFG"],"itemData":{"id":392,"type":"article-journal","abstract":"The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290</w:t>
            </w:r>
            <w:r w:rsidRPr="00C828FC">
              <w:rPr>
                <w:sz w:val="18"/>
                <w:szCs w:val="18"/>
              </w:rPr>
              <w:fldChar w:fldCharType="end"/>
            </w:r>
          </w:p>
        </w:tc>
      </w:tr>
      <w:tr w:rsidR="00847C80" w:rsidRPr="00C828FC" w14:paraId="2AAE4FB8" w14:textId="77777777" w:rsidTr="00C828FC">
        <w:tc>
          <w:tcPr>
            <w:cnfStyle w:val="001000000000" w:firstRow="0" w:lastRow="0" w:firstColumn="1" w:lastColumn="0" w:oddVBand="0" w:evenVBand="0" w:oddHBand="0" w:evenHBand="0" w:firstRowFirstColumn="0" w:firstRowLastColumn="0" w:lastRowFirstColumn="0" w:lastRowLastColumn="0"/>
            <w:tcW w:w="2679" w:type="dxa"/>
            <w:vMerge/>
          </w:tcPr>
          <w:p w14:paraId="34D8E77B" w14:textId="77777777" w:rsidR="00847C80" w:rsidRPr="00C828FC" w:rsidRDefault="00847C80" w:rsidP="00847C80">
            <w:pPr>
              <w:rPr>
                <w:sz w:val="18"/>
                <w:szCs w:val="18"/>
              </w:rPr>
            </w:pPr>
          </w:p>
        </w:tc>
        <w:tc>
          <w:tcPr>
            <w:tcW w:w="5388" w:type="dxa"/>
          </w:tcPr>
          <w:p w14:paraId="00352404" w14:textId="77777777" w:rsidR="00847C80" w:rsidRPr="00C828FC" w:rsidRDefault="00847C80" w:rsidP="00847C80">
            <w:pPr>
              <w:jc w:val="both"/>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Use as biomaterial (e.g. insulation fibers)</w:t>
            </w:r>
          </w:p>
        </w:tc>
        <w:tc>
          <w:tcPr>
            <w:tcW w:w="0" w:type="auto"/>
          </w:tcPr>
          <w:p w14:paraId="11B36820" w14:textId="283A95D3"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fldChar w:fldCharType="begin"/>
            </w:r>
            <w:r w:rsidR="005413B4">
              <w:rPr>
                <w:sz w:val="18"/>
                <w:szCs w:val="18"/>
              </w:rPr>
              <w:instrText xml:space="preserve"> ADDIN ZOTERO_ITEM CSL_CITATION {"citationID":"bC185WMB","properties":{"formattedCitation":"\\super 290\\nosupersub{}","plainCitation":"290","noteIndex":0},"citationItems":[{"id":392,"uris":["http://zotero.org/users/6423791/items/P3739BFG"],"itemData":{"id":392,"type":"article-journal","abstract":"The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290</w:t>
            </w:r>
            <w:r w:rsidRPr="00C828FC">
              <w:rPr>
                <w:sz w:val="18"/>
                <w:szCs w:val="18"/>
              </w:rPr>
              <w:fldChar w:fldCharType="end"/>
            </w:r>
          </w:p>
        </w:tc>
      </w:tr>
      <w:tr w:rsidR="00847C80" w:rsidRPr="00C828FC" w14:paraId="65B61D95"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9" w:type="dxa"/>
            <w:vMerge/>
          </w:tcPr>
          <w:p w14:paraId="7C35219C" w14:textId="77777777" w:rsidR="00847C80" w:rsidRPr="00C828FC" w:rsidRDefault="00847C80" w:rsidP="00847C80">
            <w:pPr>
              <w:rPr>
                <w:sz w:val="18"/>
                <w:szCs w:val="18"/>
              </w:rPr>
            </w:pPr>
          </w:p>
        </w:tc>
        <w:tc>
          <w:tcPr>
            <w:tcW w:w="5388" w:type="dxa"/>
          </w:tcPr>
          <w:p w14:paraId="1D5752F0" w14:textId="77777777" w:rsidR="00847C80" w:rsidRPr="00C828FC" w:rsidRDefault="00847C80" w:rsidP="00847C80">
            <w:pPr>
              <w:jc w:val="both"/>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Anaerobic digestion for biogas and digestate production</w:t>
            </w:r>
          </w:p>
        </w:tc>
        <w:tc>
          <w:tcPr>
            <w:tcW w:w="0" w:type="auto"/>
          </w:tcPr>
          <w:p w14:paraId="3A157F01" w14:textId="374031D3"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fldChar w:fldCharType="begin"/>
            </w:r>
            <w:r w:rsidR="005413B4">
              <w:rPr>
                <w:sz w:val="18"/>
                <w:szCs w:val="18"/>
              </w:rPr>
              <w:instrText xml:space="preserve"> ADDIN ZOTERO_ITEM CSL_CITATION {"citationID":"wkYGvTed","properties":{"formattedCitation":"\\super 331\\nosupersub{}","plainCitation":"331","noteIndex":0},"citationItems":[{"id":12915,"uris":["http://zotero.org/users/6423791/items/TITUELUS"],"itemData":{"id":12915,"type":"article-journal","abstract":"Global warming and climate change are imminent threats to the future of humankind. A shift from the current reliance on fossil fuels to renewable energy is key to mitigating the impacts of climate change. Biological raw materials and residues can play a key role in this transition through technologies such as anaerobic digestion. However, biological raw materials must also meet other existing food, feed and material needs. Green bioreﬁnery is an innovative concept in which green biomass, such as grass, is processed to obtain a variety of protein products, value-added co-products and renewable energy, helping to meet many needs from a single source. In this study, an analysis has been conducted to understand the renewable energy potential of green bioreﬁnery by-products and residues, including grass whey, de-FOS whey and press cake. Using anaerobic digestion, the biogas and biomethane potential of these samples have been analyzed. An analysis of the fertiliser potential of the resulting digestate by-products has also been undertaken. All the feedstocks tested were found to be suitable for biogas production with grass whey, the most suitable candidate with a biogas and biomethane production yield of 895.8 and 544.6 L/kg VS, respectively, followed by de-FOS whey and press cake (597.4/520.3 L/kg VS and 510.7/300.3 L/kg VS, respectively). The results show considerable potential for utilizing bioreﬁnery by-products as a source for renewable energy production, even after several value-added products have been co-produced.","container-title":"Clean Technologies","DOI":"10.3390/cleantechnol4010003","ISSN":"2571-8797","issue":"1","journalAbbreviation":"Clean Technol.","language":"en","page":"35-50","source":"DOI.org (Crossref)","title":"Biogas, Biomethane and Digestate Potential of By-Products from Green Biorefinery Systems","volume":"4","author":[{"family":"Ravindran","given":"Rajeev"},{"family":"Donkor","given":"Kwame"},{"family":"Gottumukkala","given":"Lalitha"},{"family":"Menon","given":"Abhay"},{"family":"Guneratnam","given":"Amita Jacob"},{"family":"McMahon","given":"Helena"},{"family":"Koopmans","given":"Sybrandus"},{"family":"Sanders","given":"Johan P. M."},{"family":"Gaffey","given":"James"}],"issued":{"date-parts":[["2022",1,17]]}}}],"schema":"https://github.com/citation-style-language/schema/raw/master/csl-citation.json"}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331</w:t>
            </w:r>
            <w:r w:rsidRPr="00C828FC">
              <w:rPr>
                <w:sz w:val="18"/>
                <w:szCs w:val="18"/>
              </w:rPr>
              <w:fldChar w:fldCharType="end"/>
            </w:r>
          </w:p>
        </w:tc>
      </w:tr>
      <w:tr w:rsidR="00847C80" w:rsidRPr="00C828FC" w14:paraId="6191DF79" w14:textId="77777777" w:rsidTr="00C828FC">
        <w:tc>
          <w:tcPr>
            <w:cnfStyle w:val="001000000000" w:firstRow="0" w:lastRow="0" w:firstColumn="1" w:lastColumn="0" w:oddVBand="0" w:evenVBand="0" w:oddHBand="0" w:evenHBand="0" w:firstRowFirstColumn="0" w:firstRowLastColumn="0" w:lastRowFirstColumn="0" w:lastRowLastColumn="0"/>
            <w:tcW w:w="2679" w:type="dxa"/>
            <w:vMerge/>
          </w:tcPr>
          <w:p w14:paraId="1699BD44" w14:textId="77777777" w:rsidR="00847C80" w:rsidRPr="00C828FC" w:rsidRDefault="00847C80" w:rsidP="00847C80">
            <w:pPr>
              <w:rPr>
                <w:sz w:val="18"/>
                <w:szCs w:val="18"/>
              </w:rPr>
            </w:pPr>
          </w:p>
        </w:tc>
        <w:tc>
          <w:tcPr>
            <w:tcW w:w="5388" w:type="dxa"/>
          </w:tcPr>
          <w:p w14:paraId="22FE8EE8" w14:textId="77777777" w:rsidR="00847C80" w:rsidRPr="00C828FC" w:rsidRDefault="00847C80" w:rsidP="00847C80">
            <w:pPr>
              <w:jc w:val="both"/>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Formulation of energy pellets for combustion</w:t>
            </w:r>
          </w:p>
        </w:tc>
        <w:tc>
          <w:tcPr>
            <w:tcW w:w="0" w:type="auto"/>
          </w:tcPr>
          <w:p w14:paraId="1ABD0C69" w14:textId="30E32E8B"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fldChar w:fldCharType="begin"/>
            </w:r>
            <w:r w:rsidR="005413B4">
              <w:rPr>
                <w:sz w:val="18"/>
                <w:szCs w:val="18"/>
              </w:rPr>
              <w:instrText xml:space="preserve"> ADDIN ZOTERO_ITEM CSL_CITATION {"citationID":"KtuLgD7C","properties":{"formattedCitation":"\\super 288\\nosupersub{}","plainCitation":"288","noteIndex":0},"citationItems":[{"id":11295,"uris":["http://zotero.org/users/6423791/items/QG7F24CU"],"itemData":{"id":11295,"type":"article-journal","abstract":"The study compares energy production from semi-natural grasslands by the integrated generation of solid fuel and biogas from biomass (IFBB) through mechanical separation of the biomass with the dry fermentation (DF) and hay combustion system (HC). In addition, traditional use for beef cattle production and non-refining systems of landscape conservation, i.e. mulching and composting, are considered. Highest conversion efficiency (45–54% of the gross yield), net savings of fossil fuels (44–54GJha−1) and net savings of greenhouse gases (2.9–3.7tCO2-eqha−1) are obtained by HC and IFBB. Potentials of DF are limited due to low digestibility of the mature biomass.","container-title":"Bioresource Technology","DOI":"10.1016/j.biortech.2012.02.072","ISSN":"0960-8524","journalAbbreviation":"Bioresource Technology","language":"en","page":"230-239","source":"ScienceDirect","title":"Life cycle assessment of the integrated generation of solid fuel and biogas from biomass (IFBB) in comparison to different energy recovery, animal-based and non-refining management systems","volume":"111","author":[{"family":"Bühle","given":"Lutz"},{"family":"Hensgen","given":"Frank"},{"family":"Donnison","given":"Iain"},{"family":"Heinsoo","given":"Katrin"},{"family":"Wachendorf","given":"Michael"}],"issued":{"date-parts":[["2012",5,1]]}}}],"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288</w:t>
            </w:r>
            <w:r w:rsidRPr="00C828FC">
              <w:rPr>
                <w:sz w:val="18"/>
                <w:szCs w:val="18"/>
              </w:rPr>
              <w:fldChar w:fldCharType="end"/>
            </w:r>
          </w:p>
        </w:tc>
      </w:tr>
      <w:tr w:rsidR="00847C80" w:rsidRPr="00C828FC" w14:paraId="79277549"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9" w:type="dxa"/>
            <w:vMerge/>
          </w:tcPr>
          <w:p w14:paraId="3437222A" w14:textId="77777777" w:rsidR="00847C80" w:rsidRPr="00C828FC" w:rsidRDefault="00847C80" w:rsidP="00847C80">
            <w:pPr>
              <w:rPr>
                <w:sz w:val="18"/>
                <w:szCs w:val="18"/>
              </w:rPr>
            </w:pPr>
          </w:p>
        </w:tc>
        <w:tc>
          <w:tcPr>
            <w:tcW w:w="5388" w:type="dxa"/>
          </w:tcPr>
          <w:p w14:paraId="42266CBD" w14:textId="77777777" w:rsidR="00847C80" w:rsidRPr="00C828FC" w:rsidRDefault="00847C80" w:rsidP="00847C80">
            <w:pPr>
              <w:jc w:val="both"/>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Hydrolysis and fermentation for bioethanol production</w:t>
            </w:r>
          </w:p>
        </w:tc>
        <w:tc>
          <w:tcPr>
            <w:tcW w:w="0" w:type="auto"/>
          </w:tcPr>
          <w:p w14:paraId="57267370" w14:textId="425DAC89"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fldChar w:fldCharType="begin"/>
            </w:r>
            <w:r w:rsidR="005413B4">
              <w:rPr>
                <w:sz w:val="18"/>
                <w:szCs w:val="18"/>
              </w:rPr>
              <w:instrText xml:space="preserve"> ADDIN ZOTERO_ITEM CSL_CITATION {"citationID":"sapdem6U","properties":{"formattedCitation":"\\super 290\\nosupersub{}","plainCitation":"290","noteIndex":0},"citationItems":[{"id":392,"uris":["http://zotero.org/users/6423791/items/P3739BFG"],"itemData":{"id":392,"type":"article-journal","abstract":"The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290</w:t>
            </w:r>
            <w:r w:rsidRPr="00C828FC">
              <w:rPr>
                <w:sz w:val="18"/>
                <w:szCs w:val="18"/>
              </w:rPr>
              <w:fldChar w:fldCharType="end"/>
            </w:r>
          </w:p>
        </w:tc>
      </w:tr>
      <w:tr w:rsidR="00D150D0" w:rsidRPr="00C828FC" w14:paraId="373BE68E" w14:textId="77777777" w:rsidTr="00C828FC">
        <w:tc>
          <w:tcPr>
            <w:cnfStyle w:val="001000000000" w:firstRow="0" w:lastRow="0" w:firstColumn="1" w:lastColumn="0" w:oddVBand="0" w:evenVBand="0" w:oddHBand="0" w:evenHBand="0" w:firstRowFirstColumn="0" w:firstRowLastColumn="0" w:lastRowFirstColumn="0" w:lastRowLastColumn="0"/>
            <w:tcW w:w="2679" w:type="dxa"/>
            <w:vMerge/>
          </w:tcPr>
          <w:p w14:paraId="64EA3887" w14:textId="77777777" w:rsidR="00D150D0" w:rsidRPr="00C828FC" w:rsidRDefault="00D150D0" w:rsidP="00847C80">
            <w:pPr>
              <w:rPr>
                <w:sz w:val="18"/>
                <w:szCs w:val="18"/>
              </w:rPr>
            </w:pPr>
          </w:p>
        </w:tc>
        <w:tc>
          <w:tcPr>
            <w:tcW w:w="5388" w:type="dxa"/>
          </w:tcPr>
          <w:p w14:paraId="08878982" w14:textId="3AA9290A" w:rsidR="00D150D0" w:rsidRPr="00C828FC" w:rsidRDefault="00D150D0" w:rsidP="00847C80">
            <w:pPr>
              <w:jc w:val="both"/>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Biocrude production</w:t>
            </w:r>
          </w:p>
        </w:tc>
        <w:tc>
          <w:tcPr>
            <w:tcW w:w="0" w:type="auto"/>
          </w:tcPr>
          <w:p w14:paraId="52B2FA5F" w14:textId="4D81F0FE" w:rsidR="00D150D0" w:rsidRPr="00D150D0" w:rsidRDefault="00D150D0" w:rsidP="00847C80">
            <w:pPr>
              <w:cnfStyle w:val="000000000000" w:firstRow="0" w:lastRow="0" w:firstColumn="0" w:lastColumn="0" w:oddVBand="0" w:evenVBand="0" w:oddHBand="0" w:evenHBand="0" w:firstRowFirstColumn="0" w:firstRowLastColumn="0" w:lastRowFirstColumn="0" w:lastRowLastColumn="0"/>
              <w:rPr>
                <w:sz w:val="18"/>
                <w:szCs w:val="18"/>
              </w:rPr>
            </w:pPr>
            <w:r w:rsidRPr="00D150D0">
              <w:rPr>
                <w:sz w:val="18"/>
                <w:szCs w:val="18"/>
              </w:rPr>
              <w:fldChar w:fldCharType="begin"/>
            </w:r>
            <w:r w:rsidR="005413B4">
              <w:rPr>
                <w:sz w:val="18"/>
                <w:szCs w:val="18"/>
              </w:rPr>
              <w:instrText xml:space="preserve"> ADDIN ZOTERO_ITEM CSL_CITATION {"citationID":"a26d34b912m","properties":{"formattedCitation":"\\super 332\\nosupersub{}","plainCitation":"332","noteIndex":0},"citationItems":[{"id":14348,"uris":["http://zotero.org/users/6423791/items/TQ8ZNUIA"],"itemData":{"id":14348,"type":"article-journal","abstract":"Biorefineries are often proposed to reduce environmental impact, enhance energy independence, and minimize waste generation while generating multiple valuable products. In this work, an integrated biorefinery approach is proposed to improve the overall process performance of a system combining a green biorefinery (GB), hydrothermal liquefaction (HTL), and anaerobic digestion (AD) to produce a leaf protein concentrate, bio-crude, and biogas. Festulolium and ryegrass, two varieties of forage grasses, were employed as feedstock. Two different maceration technologies were evaluated for protein recovery, more severe maceration led to a 75 % increase in protein content in the leaf protein concentrate (LPC) when compared to a standard maceration. The fiber residues produced by the grass processing were converted to biocrude using HTL. This step was not affected by the maceration step and the use of brown juice as HTL media proved to be beneficial. The bio-crude yield of the grass fiber residues was similar for both biomasses and maceration steps, ranging from 25.7 to 32.1 %. Finally, the HTL process water and the brown juice were subjected to anaerobic digestion to produce biogas. The brown juice from ryegrass resulted in higher methane production compared to HTL water but adding brown juice to HTL water did not reduce the lag times observed for pure HTL water. The integration of GB, HTL, and AD is shown to be effective in increasing the overall carbon and nitrogen recovery of the starting biomass.","container-title":"Cleaner and Circular Bioeconomy","DOI":"10.1016/j.clcb.2023.100064","ISSN":"2772-8013","journalAbbreviation":"Cleaner and Circular Bioeconomy","page":"100064","source":"ScienceDirect","title":"Biorefinery integration of a green protein platform for maximum resource utilization","volume":"6","author":[{"family":"Zoppi","given":"Giulia"},{"family":"Andrade","given":"Thalles Allan"},{"family":"Ward","given":"Alastair James"},{"family":"Ambye-Jensen","given":"Morten"},{"family":"Biller","given":"Patrick"}],"issued":{"date-parts":[["2023",12,1]]}}}],"schema":"https://github.com/citation-style-language/schema/raw/master/csl-citation.json"} </w:instrText>
            </w:r>
            <w:r w:rsidRPr="00D150D0">
              <w:rPr>
                <w:sz w:val="18"/>
                <w:szCs w:val="18"/>
              </w:rPr>
              <w:fldChar w:fldCharType="separate"/>
            </w:r>
            <w:r w:rsidR="005413B4" w:rsidRPr="005413B4">
              <w:rPr>
                <w:rFonts w:ascii="Calibri" w:hAnsi="Calibri" w:cs="Calibri"/>
                <w:sz w:val="18"/>
                <w:szCs w:val="24"/>
                <w:vertAlign w:val="superscript"/>
              </w:rPr>
              <w:t>332</w:t>
            </w:r>
            <w:r w:rsidRPr="00D150D0">
              <w:rPr>
                <w:sz w:val="18"/>
                <w:szCs w:val="18"/>
              </w:rPr>
              <w:fldChar w:fldCharType="end"/>
            </w:r>
          </w:p>
        </w:tc>
      </w:tr>
      <w:tr w:rsidR="00847C80" w:rsidRPr="00C828FC" w14:paraId="0044259C"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9" w:type="dxa"/>
            <w:vMerge/>
          </w:tcPr>
          <w:p w14:paraId="79CB7D68" w14:textId="77777777" w:rsidR="00847C80" w:rsidRPr="00C828FC" w:rsidRDefault="00847C80" w:rsidP="00847C80">
            <w:pPr>
              <w:rPr>
                <w:sz w:val="18"/>
                <w:szCs w:val="18"/>
              </w:rPr>
            </w:pPr>
          </w:p>
        </w:tc>
        <w:tc>
          <w:tcPr>
            <w:tcW w:w="5388" w:type="dxa"/>
          </w:tcPr>
          <w:p w14:paraId="0E9703C8" w14:textId="77777777" w:rsidR="00847C80" w:rsidRPr="00C828FC" w:rsidRDefault="00847C80" w:rsidP="00847C80">
            <w:pPr>
              <w:jc w:val="both"/>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Hydrolysis and fermentation for protein production</w:t>
            </w:r>
          </w:p>
        </w:tc>
        <w:tc>
          <w:tcPr>
            <w:tcW w:w="0" w:type="auto"/>
          </w:tcPr>
          <w:p w14:paraId="5278D304" w14:textId="25572A26"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fldChar w:fldCharType="begin"/>
            </w:r>
            <w:r w:rsidR="005413B4">
              <w:rPr>
                <w:sz w:val="18"/>
                <w:szCs w:val="18"/>
              </w:rPr>
              <w:instrText xml:space="preserve"> ADDIN ZOTERO_ITEM CSL_CITATION {"citationID":"jJdk6PAp","properties":{"formattedCitation":"\\super 130\\nosupersub{}","plainCitation":"130","noteIndex":0},"citationItems":[{"id":1867,"uris":["http://zotero.org/users/6423791/items/XNDB54TE"],"itemData":{"id":1867,"type":"article-journal","abstract":"Grass silage is a promising biorefinery feedstock with surplus production potential, providing a source of readily soluble protein and lignocellulosic fibre. This study presents a concept combining protein extraction with production of single cell protein from enzymatically saccharified grass silage fibre by fermentation of the filamentous fungus Paecilomyces variotii. Steam explosion and ammonia soaking were compared as pretreatments, leading to 81.2% and 88.1% carbohydrate hydrolysability, respectively. Microbial biomass yields of 51% from hydrolysate sugars were reached with a protein content of 51% of cell dry weight. A single-reactor ammonia pretreatment and hydrolysis process was demonstrated, including ammonia recovery of up to 66%, while the residual ammonia was synergistically utilized as a nitrogen source for protein production. The effect of cellulase dosage, hydrolysis time and solids concentration was empirically modelled and the model was applied for cost optimization of enzymatic hydrolysis as a part of a techno-economic assessment of the process.","container-title":"Bioresource Technology Reports","DOI":"10.1016/j.biteb.2019.100357","ISSN":"2589-014X","journalAbbreviation":"Bioresour. Technol. Rep.","language":"en","page":"100357","source":"ScienceDirect","title":"Comparison of pretreatments and cost-optimization of enzymatic hydrolysis for production of single cell protein from grass silage fibre","volume":"9","author":[{"family":"Pihlajaniemi","given":"Ville"},{"family":"Ellilä","given":"Simo"},{"family":"Poikkimäki","given":"Sakari"},{"family":"Nappa","given":"Marja"},{"family":"Rinne","given":"Marketta"},{"family":"Lantto","given":"Raija"},{"family":"Siika-aho","given":"Matti"}],"issued":{"date-parts":[["2020",2,1]]}}}],"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130</w:t>
            </w:r>
            <w:r w:rsidRPr="00C828FC">
              <w:rPr>
                <w:sz w:val="18"/>
                <w:szCs w:val="18"/>
              </w:rPr>
              <w:fldChar w:fldCharType="end"/>
            </w:r>
          </w:p>
        </w:tc>
      </w:tr>
      <w:tr w:rsidR="00847C80" w:rsidRPr="00C828FC" w14:paraId="2068E2E5" w14:textId="77777777" w:rsidTr="00C828FC">
        <w:tc>
          <w:tcPr>
            <w:cnfStyle w:val="001000000000" w:firstRow="0" w:lastRow="0" w:firstColumn="1" w:lastColumn="0" w:oddVBand="0" w:evenVBand="0" w:oddHBand="0" w:evenHBand="0" w:firstRowFirstColumn="0" w:firstRowLastColumn="0" w:lastRowFirstColumn="0" w:lastRowLastColumn="0"/>
            <w:tcW w:w="2679" w:type="dxa"/>
            <w:vMerge/>
          </w:tcPr>
          <w:p w14:paraId="51638D64" w14:textId="77777777" w:rsidR="00847C80" w:rsidRPr="00C828FC" w:rsidRDefault="00847C80" w:rsidP="00847C80">
            <w:pPr>
              <w:rPr>
                <w:sz w:val="18"/>
                <w:szCs w:val="18"/>
              </w:rPr>
            </w:pPr>
          </w:p>
        </w:tc>
        <w:tc>
          <w:tcPr>
            <w:tcW w:w="5388" w:type="dxa"/>
          </w:tcPr>
          <w:p w14:paraId="73340640" w14:textId="77777777" w:rsidR="00847C80" w:rsidRPr="00C828FC" w:rsidRDefault="00847C80" w:rsidP="00847C80">
            <w:pPr>
              <w:jc w:val="both"/>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Formulation of ruminant feed dried pellets</w:t>
            </w:r>
          </w:p>
        </w:tc>
        <w:tc>
          <w:tcPr>
            <w:tcW w:w="0" w:type="auto"/>
          </w:tcPr>
          <w:p w14:paraId="2DE0B412" w14:textId="05D77CD5"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fldChar w:fldCharType="begin"/>
            </w:r>
            <w:r w:rsidR="005413B4">
              <w:rPr>
                <w:sz w:val="18"/>
                <w:szCs w:val="18"/>
              </w:rPr>
              <w:instrText xml:space="preserve"> ADDIN ZOTERO_ITEM CSL_CITATION {"citationID":"6NewMWYh","properties":{"formattedCitation":"\\super 290\\nosupersub{}","plainCitation":"290","noteIndex":0},"citationItems":[{"id":392,"uris":["http://zotero.org/users/6423791/items/P3739BFG"],"itemData":{"id":392,"type":"article-journal","abstract":"The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290</w:t>
            </w:r>
            <w:r w:rsidRPr="00C828FC">
              <w:rPr>
                <w:sz w:val="18"/>
                <w:szCs w:val="18"/>
              </w:rPr>
              <w:fldChar w:fldCharType="end"/>
            </w:r>
          </w:p>
        </w:tc>
      </w:tr>
      <w:tr w:rsidR="00847C80" w:rsidRPr="00C828FC" w14:paraId="7A43066A"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9" w:type="dxa"/>
            <w:vMerge/>
          </w:tcPr>
          <w:p w14:paraId="72D52230" w14:textId="77777777" w:rsidR="00847C80" w:rsidRPr="00C828FC" w:rsidRDefault="00847C80" w:rsidP="00847C80">
            <w:pPr>
              <w:rPr>
                <w:sz w:val="18"/>
                <w:szCs w:val="18"/>
              </w:rPr>
            </w:pPr>
          </w:p>
        </w:tc>
        <w:tc>
          <w:tcPr>
            <w:tcW w:w="5388" w:type="dxa"/>
          </w:tcPr>
          <w:p w14:paraId="758D71B6" w14:textId="77777777" w:rsidR="00847C80" w:rsidRPr="00C828FC" w:rsidRDefault="00847C80" w:rsidP="00847C80">
            <w:pPr>
              <w:jc w:val="both"/>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Direct use as ruminant roughage (after e.g. ensiling)</w:t>
            </w:r>
          </w:p>
        </w:tc>
        <w:tc>
          <w:tcPr>
            <w:tcW w:w="0" w:type="auto"/>
          </w:tcPr>
          <w:p w14:paraId="4E505112" w14:textId="2030FE51"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fldChar w:fldCharType="begin"/>
            </w:r>
            <w:r w:rsidR="005413B4">
              <w:rPr>
                <w:sz w:val="18"/>
                <w:szCs w:val="18"/>
              </w:rPr>
              <w:instrText xml:space="preserve"> ADDIN ZOTERO_ITEM CSL_CITATION {"citationID":"dlDeEZMw","properties":{"formattedCitation":"\\super 275,278,295,314\\nosupersub{}","plainCitation":"275,278,295,314","noteIndex":0},"citationItems":[{"id":12426,"uris":["http://zotero.org/users/6423791/items/GS4RZCAW"],"itemData":{"id":12426,"type":"article-journal","abstract":"This pre-feasibility study evaluates the use of residual leafy green biomass from broccoli (Brassica oleracea, var. Italica) and kale (Brassica oleracea, var. Sabellica) as feedstock for protein fractionation and potential application of the fractions in food and feed products. The protein concentration, protein recovery potential and the content of phenols and dietary ﬁbre in these biomass sources and fractions were investigated. Field produce and side-stream analysis showed that among broccoli and kale side-streams the potentially suitable leaves for protein fractionation constitute up to 16 and 1.9 t/ha (DM content), respectively. Fractionation demonstrated that between 34–42 and 25–34 kg total protein could be extracted per t DM of broccoli and kale residue leaves, respectively. The amount of protein was generally high in green protein fraction (GPF) and the white protein concentrate (WPC) of both crops, although signiﬁcantly higher in broccoli compared to kale. The recovery of bound and free phenolic compounds was up to 18% in the GPF of both crops, while only 0.4% ended up in the WPC. The economic assessment showed that the feedstock and processing costs of producing GPF and WPC, as well as of the combined protein fraction (CPF) 1.9–6.0 and 1.3–3.9 times higher than expected revenues for broccoli and kale, respectively, indicating that the production of protein fractions is not economically feasible with the current production scheme. However, potentially higher revenues may be obtained if value-added products such as fractionated phenols and dietary ﬁbre components are also included and investigated in future production schemes. The pathway investigated, that included a direct drying and milling of leaf biomass showed a low processing cost and thereby the most favourable economic alternative, with approx. 7–30% proﬁt for kale, while for broccoli revenues covered only 44–47% of the costs due to the extra harvest cost of the broccoli leaves.","container-title":"Food and Bioproducts Processing","DOI":"10.1016/j.fbp.2021.10.004","ISSN":"09603085","journalAbbreviation":"FBP","language":"en","page":"229-243","source":"DOI.org (Crossref)","title":"Protein fractionation of broccoli (Brassica oleracea, var. Italica) and kale (Brassica oleracea, var. Sabellica) residual leaves — A pre-feasibility assessment and evaluation of fraction phenol and fibre content","volume":"130","author":[{"family":"Prade","given":"Thomas"},{"family":"Muneer","given":"Faraz"},{"family":"Berndtsson","given":"Emilia"},{"family":"Nynäs","given":"Anna-Lovisa"},{"family":"Svensson","given":"Sven-Erik"},{"family":"Newson","given":"William R."},{"family":"Johansson","given":"Eva"}],"issued":{"date-parts":[["2021",11]]}}},{"id":13309,"uris":["http://zotero.org/users/6423791/items/QINA4TYD"],"itemData":{"id":13309,"type":"chapter","container-title":"Advisory memorandum from DCA - Danish Center for Food and Agriculture","page":"24","publisher":"Aarhus University","title":"Danish agricultural biomass production and utilization in 2030","author":[{"family":"Mortensen","given":"Esben","dropping-particle":"ø"},{"family":"Jørgensen","given":"Uffe"}],"issued":{"date-parts":[["2022",2,11]]}}},{"id":399,"uris":["http://zotero.org/users/6423791/items/VKZ573LE"],"itemData":{"id":399,"type":"article-journal","abstract":"Green bioreﬁnery” (GBR) could be an alternative option for using grassland biomass. GBR involves applying technology to chemically and physically fractionate (split) biomass such as grass and grass silage into marketable products. From the grass ﬁbre fraction insulation materials can be produced. From the grass juice fraction, proteinaceous products for animal feed and lactic acid (LA) for plastic production (polylactic acid e PLA) can be produced. This paper is the ﬁrst part in the analysis to develop a blueprint for a ﬁrst generation Irish GBR system. The focus of this paper is on the technical aspects of developing three GBR system models and subsequent scenario analyses. The three GBR system models were a combination of feedstock system and bioreﬁnery technology; Grass/silageebasic technology (GS), Silageebasic technology (S) and SilageeHigh Tech (AT). The models, which were integrated mass and energy balances, were then assessed at the three different input volumes, to generate nine scenarios. The scenarios which required further economic analysis in a companion paper to determine their overall feasibility (technical and economic) in the development of blueprint for a ﬁrst generation Irish GBR system were identiﬁed. From the technical analysis outlined in this paper six scenarios were identiﬁed which require further economic analysis. These were scenarios generated for the GS, S and AT GBR systems, at two input volume rates.","container-title":"Biomass and Bioenergy","DOI":"10.1016/j.biombioe.2011.06.017","ISSN":"09619534","issue":"11","journalAbbreviation":"Biomass Bioenergy.","language":"en","page":"4712-4723","source":"DOI.org (Crossref)","title":"I. Technical assessment for first generation green biorefinery (GBR) using mass and energy balances: Scenarios for an Irish GBR blueprint","title-short":"I. Technical assessment for first generation green biorefinery (GBR) using mass and energy balances","volume":"35","author":[{"family":"O’Keeffe","given":"S."},{"family":"Schulte","given":"R.P.O."},{"family":"Sanders","given":"J.P.M."},{"family":"Struik","given":"P.C."}],"issued":{"date-parts":[["2011",11]]}}},{"id":2888,"uris":["http://zotero.org/users/6423791/items/RG6KXF3Y"],"itemData":{"id":2888,"type":"article-journal","abstract":"In colder humid areas, green forages are recognised as high protein yielding crops and have the potential to be a locally grown sustainable protein source. However, without processing, the protein cannot be properly utilised by monogastrics. By screw pressing, a pulp fraction suitable for ruminants and a protein concentrate suitable for monogastrics can be produced. The aim of this study was to analyse the chemical composition of the produced fractions and the mass balance distribution of protein and dry matter (DM) between the fractions. Mass balances are important in order to determine the potential of biorefining of forages as a tool for sustainable feed production. White clover, red clover, lucerne, and perennial ryegrass were separated into a green juice and a fibrous pulp in a screw-press, and a protein concentrate was precipitated from the green juice by heat or acidic precipitation. The pulp and green juice had an average crude protein (CP) concentration of 203 g/kg DM and 249 g/kg DM, respectively. The majority of the DM and the CP from the plant was retained in the fibrous pulp. Protein concentrates from the green juice and pulp contained higher concentrations of the essential amino acids for monogastrics and ruminants compared with unprocessed forage. The results demonstrate that fractions with high protein concentration and balanced amino acid composition can be produced, which combined with a high recovery highlight the potential of both fractions as a protein source for livestock.","container-title":"Animal Feed Science and Technology","DOI":"10.1016/j.anifeedsci.2020.114401","ISSN":"0377-8401","journalAbbreviation":"Anim. Feed Sci. Technol.","language":"en","page":"114401","source":"ScienceDirect","title":"Screw-pressed fractions from green forages as animal feed: Chemical composition and mass balances","title-short":"Screw-pressed fractions from green forages as animal feed","volume":"261","author":[{"family":"Damborg","given":"Vinni Kragbæk"},{"family":"Jensen","given":"Søren Krogh"},{"family":"Weisbjerg","given":"Martin R."},{"family":"Adamsen","given":"Anders Peter"},{"family":"Stødkilde","given":"Lene"}],"issued":{"date-parts":[["2020",3,1]]}}}],"schema":"https://github.com/citation-style-language/schema/raw/master/csl-citation.json"}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275,278,295,314</w:t>
            </w:r>
            <w:r w:rsidRPr="00C828FC">
              <w:rPr>
                <w:sz w:val="18"/>
                <w:szCs w:val="18"/>
              </w:rPr>
              <w:fldChar w:fldCharType="end"/>
            </w:r>
          </w:p>
        </w:tc>
      </w:tr>
      <w:tr w:rsidR="00847C80" w:rsidRPr="00C828FC" w14:paraId="594D2FF7" w14:textId="77777777" w:rsidTr="00C828FC">
        <w:tc>
          <w:tcPr>
            <w:cnfStyle w:val="001000000000" w:firstRow="0" w:lastRow="0" w:firstColumn="1" w:lastColumn="0" w:oddVBand="0" w:evenVBand="0" w:oddHBand="0" w:evenHBand="0" w:firstRowFirstColumn="0" w:firstRowLastColumn="0" w:lastRowFirstColumn="0" w:lastRowLastColumn="0"/>
            <w:tcW w:w="2679" w:type="dxa"/>
            <w:vMerge w:val="restart"/>
          </w:tcPr>
          <w:p w14:paraId="7859F968" w14:textId="77777777" w:rsidR="00847C80" w:rsidRPr="00C828FC" w:rsidRDefault="00847C80" w:rsidP="00847C80">
            <w:pPr>
              <w:rPr>
                <w:sz w:val="18"/>
                <w:szCs w:val="18"/>
              </w:rPr>
            </w:pPr>
            <w:r w:rsidRPr="00C828FC">
              <w:rPr>
                <w:sz w:val="18"/>
                <w:szCs w:val="18"/>
              </w:rPr>
              <w:t>Brown juice</w:t>
            </w:r>
          </w:p>
        </w:tc>
        <w:tc>
          <w:tcPr>
            <w:tcW w:w="5388" w:type="dxa"/>
          </w:tcPr>
          <w:p w14:paraId="2EC1F003" w14:textId="77777777" w:rsidR="00847C80" w:rsidRPr="00C828FC" w:rsidRDefault="00847C80" w:rsidP="00847C80">
            <w:pPr>
              <w:jc w:val="both"/>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Anaerobic digestion for biogas and digestate production</w:t>
            </w:r>
          </w:p>
        </w:tc>
        <w:tc>
          <w:tcPr>
            <w:tcW w:w="0" w:type="auto"/>
          </w:tcPr>
          <w:p w14:paraId="612165D9" w14:textId="4F11987E"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fldChar w:fldCharType="begin"/>
            </w:r>
            <w:r w:rsidR="005413B4">
              <w:rPr>
                <w:sz w:val="18"/>
                <w:szCs w:val="18"/>
              </w:rPr>
              <w:instrText xml:space="preserve"> ADDIN ZOTERO_ITEM CSL_CITATION {"citationID":"nPPhkoBd","properties":{"formattedCitation":"\\super 290,295,331\\nosupersub{}","plainCitation":"290,295,331","noteIndex":0},"citationItems":[{"id":392,"uris":["http://zotero.org/users/6423791/items/P3739BFG"],"itemData":{"id":392,"type":"article-journal","abstract":"The Green bioreﬁnery (GBR) is a bioreﬁnery concept that converts fresh biomass into value-added products. The present study combines a Process Flowsheet Simulation (PFS) and Life Cycle Assessment (LCA) to evaluate the technical and environmental performance of different GBR conﬁgurations and the cascading utilization of the GBR output. The GBR conﬁgurations considered in this study, test alternatives in the three main steps of greenbioreﬁning: fractionation, precipitation, and protein separation. The different cascade utilization alternatives analyse different options for press-pulp utilization, and the LCA results show that the environmental proﬁle of the GBR is highly affected by the utilization of the press-pulp and thus by the choice of conventional product replaced by the press-pulp. Furthermore, scenario analysis of different GBR conﬁgurations shows that higher beneﬁts can be achieved by increasing product yields rather than lowering energy consumption. Green bioreﬁning is shown to be an interesting bioreﬁning concept, especially in a Danish context. Bioreﬁning of green biomass is technically feasible and can bring environmental savings, when compared to conventional production methods. However, the savings will be determined by the processing involved in each conversion stage and on the cascade utilization of the different platform products.","container-title":"Science of The Total Environment","DOI":"10.1016/j.scitotenv.2018.03.357","ISSN":"00489697","journalAbbreviation":"Sci. Total Environ.","language":"en","page":"100-111","source":"DOI.org (Crossref)","title":"Techno-environmental assessment of the green biorefinery concept: Combining process simulation and life cycle assessment at an early design stage","title-short":"Techno-environmental assessment of the green biorefinery concept","volume":"635","author":[{"family":"Corona","given":"Andrea"},{"family":"Ambye-Jensen","given":"Morten"},{"family":"Vega","given":"Giovanna Croxatto"},{"family":"Hauschild","given":"Michael Zwicky"},{"family":"Birkved","given":"Morten"}],"issued":{"date-parts":[["2018",9]]}}},{"id":399,"uris":["http://zotero.org/users/6423791/items/VKZ573LE"],"itemData":{"id":399,"type":"article-journal","abstract":"Green bioreﬁnery” (GBR) could be an alternative option for using grassland biomass. GBR involves applying technology to chemically and physically fractionate (split) biomass such as grass and grass silage into marketable products. From the grass ﬁbre fraction insulation materials can be produced. From the grass juice fraction, proteinaceous products for animal feed and lactic acid (LA) for plastic production (polylactic acid e PLA) can be produced. This paper is the ﬁrst part in the analysis to develop a blueprint for a ﬁrst generation Irish GBR system. The focus of this paper is on the technical aspects of developing three GBR system models and subsequent scenario analyses. The three GBR system models were a combination of feedstock system and bioreﬁnery technology; Grass/silageebasic technology (GS), Silageebasic technology (S) and SilageeHigh Tech (AT). The models, which were integrated mass and energy balances, were then assessed at the three different input volumes, to generate nine scenarios. The scenarios which required further economic analysis in a companion paper to determine their overall feasibility (technical and economic) in the development of blueprint for a ﬁrst generation Irish GBR system were identiﬁed. From the technical analysis outlined in this paper six scenarios were identiﬁed which require further economic analysis. These were scenarios generated for the GS, S and AT GBR systems, at two input volume rates.","container-title":"Biomass and Bioenergy","DOI":"10.1016/j.biombioe.2011.06.017","ISSN":"09619534","issue":"11","journalAbbreviation":"Biomass Bioenergy.","language":"en","page":"4712-4723","source":"DOI.org (Crossref)","title":"I. Technical assessment for first generation green biorefinery (GBR) using mass and energy balances: Scenarios for an Irish GBR blueprint","title-short":"I. Technical assessment for first generation green biorefinery (GBR) using mass and energy balances","volume":"35","author":[{"family":"O’Keeffe","given":"S."},{"family":"Schulte","given":"R.P.O."},{"family":"Sanders","given":"J.P.M."},{"family":"Struik","given":"P.C."}],"issued":{"date-parts":[["2011",11]]}}},{"id":12915,"uris":["http://zotero.org/users/6423791/items/TITUELUS"],"itemData":{"id":12915,"type":"article-journal","abstract":"Global warming and climate change are imminent threats to the future of humankind. A shift from the current reliance on fossil fuels to renewable energy is key to mitigating the impacts of climate change. Biological raw materials and residues can play a key role in this transition through technologies such as anaerobic digestion. However, biological raw materials must also meet other existing food, feed and material needs. Green bioreﬁnery is an innovative concept in which green biomass, such as grass, is processed to obtain a variety of protein products, value-added co-products and renewable energy, helping to meet many needs from a single source. In this study, an analysis has been conducted to understand the renewable energy potential of green bioreﬁnery by-products and residues, including grass whey, de-FOS whey and press cake. Using anaerobic digestion, the biogas and biomethane potential of these samples have been analyzed. An analysis of the fertiliser potential of the resulting digestate by-products has also been undertaken. All the feedstocks tested were found to be suitable for biogas production with grass whey, the most suitable candidate with a biogas and biomethane production yield of 895.8 and 544.6 L/kg VS, respectively, followed by de-FOS whey and press cake (597.4/520.3 L/kg VS and 510.7/300.3 L/kg VS, respectively). The results show considerable potential for utilizing bioreﬁnery by-products as a source for renewable energy production, even after several value-added products have been co-produced.","container-title":"Clean Technologies","DOI":"10.3390/cleantechnol4010003","ISSN":"2571-8797","issue":"1","journalAbbreviation":"Clean Technol.","language":"en","page":"35-50","source":"DOI.org (Crossref)","title":"Biogas, Biomethane and Digestate Potential of By-Products from Green Biorefinery Systems","volume":"4","author":[{"family":"Ravindran","given":"Rajeev"},{"family":"Donkor","given":"Kwame"},{"family":"Gottumukkala","given":"Lalitha"},{"family":"Menon","given":"Abhay"},{"family":"Guneratnam","given":"Amita Jacob"},{"family":"McMahon","given":"Helena"},{"family":"Koopmans","given":"Sybrandus"},{"family":"Sanders","given":"Johan P. M."},{"family":"Gaffey","given":"James"}],"issued":{"date-parts":[["2022",1,17]]}}}],"schema":"https://github.com/citation-style-language/schema/raw/master/csl-citation.json"}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290,295,331</w:t>
            </w:r>
            <w:r w:rsidRPr="00C828FC">
              <w:rPr>
                <w:sz w:val="18"/>
                <w:szCs w:val="18"/>
              </w:rPr>
              <w:fldChar w:fldCharType="end"/>
            </w:r>
          </w:p>
        </w:tc>
      </w:tr>
      <w:tr w:rsidR="00847C80" w:rsidRPr="00C828FC" w14:paraId="1DD6F1A9"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9" w:type="dxa"/>
            <w:vMerge/>
          </w:tcPr>
          <w:p w14:paraId="0135F36C" w14:textId="77777777" w:rsidR="00847C80" w:rsidRPr="00C828FC" w:rsidRDefault="00847C80" w:rsidP="00847C80">
            <w:pPr>
              <w:rPr>
                <w:sz w:val="18"/>
                <w:szCs w:val="18"/>
              </w:rPr>
            </w:pPr>
          </w:p>
        </w:tc>
        <w:tc>
          <w:tcPr>
            <w:tcW w:w="5388" w:type="dxa"/>
          </w:tcPr>
          <w:p w14:paraId="0DC81DCD" w14:textId="77777777" w:rsidR="00847C80" w:rsidRPr="00C828FC" w:rsidRDefault="00847C80" w:rsidP="00847C80">
            <w:pPr>
              <w:jc w:val="both"/>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Direct use as fertilizer (restricted to pedoclimatic conditions)</w:t>
            </w:r>
          </w:p>
        </w:tc>
        <w:tc>
          <w:tcPr>
            <w:tcW w:w="0" w:type="auto"/>
          </w:tcPr>
          <w:p w14:paraId="512BF15A"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p>
        </w:tc>
      </w:tr>
      <w:tr w:rsidR="00D150D0" w:rsidRPr="00C828FC" w14:paraId="09A10D59" w14:textId="77777777" w:rsidTr="00C828FC">
        <w:tc>
          <w:tcPr>
            <w:cnfStyle w:val="001000000000" w:firstRow="0" w:lastRow="0" w:firstColumn="1" w:lastColumn="0" w:oddVBand="0" w:evenVBand="0" w:oddHBand="0" w:evenHBand="0" w:firstRowFirstColumn="0" w:firstRowLastColumn="0" w:lastRowFirstColumn="0" w:lastRowLastColumn="0"/>
            <w:tcW w:w="2679" w:type="dxa"/>
            <w:vMerge/>
          </w:tcPr>
          <w:p w14:paraId="2EA1EA68" w14:textId="77777777" w:rsidR="00D150D0" w:rsidRPr="00C828FC" w:rsidRDefault="00D150D0" w:rsidP="00847C80">
            <w:pPr>
              <w:rPr>
                <w:sz w:val="18"/>
                <w:szCs w:val="18"/>
              </w:rPr>
            </w:pPr>
          </w:p>
        </w:tc>
        <w:tc>
          <w:tcPr>
            <w:tcW w:w="5388" w:type="dxa"/>
          </w:tcPr>
          <w:p w14:paraId="14AA5D51" w14:textId="17A6F932" w:rsidR="00D150D0" w:rsidRPr="00C828FC" w:rsidRDefault="00D150D0" w:rsidP="00847C80">
            <w:pPr>
              <w:jc w:val="both"/>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Hydrothermal liquefaction</w:t>
            </w:r>
          </w:p>
        </w:tc>
        <w:tc>
          <w:tcPr>
            <w:tcW w:w="0" w:type="auto"/>
          </w:tcPr>
          <w:p w14:paraId="66CAB57B" w14:textId="079C6A9C" w:rsidR="00D150D0" w:rsidRPr="00D150D0" w:rsidRDefault="00D150D0" w:rsidP="00847C80">
            <w:pPr>
              <w:cnfStyle w:val="000000000000" w:firstRow="0" w:lastRow="0" w:firstColumn="0" w:lastColumn="0" w:oddVBand="0" w:evenVBand="0" w:oddHBand="0" w:evenHBand="0" w:firstRowFirstColumn="0" w:firstRowLastColumn="0" w:lastRowFirstColumn="0" w:lastRowLastColumn="0"/>
              <w:rPr>
                <w:sz w:val="18"/>
                <w:szCs w:val="18"/>
              </w:rPr>
            </w:pPr>
            <w:r w:rsidRPr="00D150D0">
              <w:rPr>
                <w:sz w:val="18"/>
                <w:szCs w:val="18"/>
              </w:rPr>
              <w:fldChar w:fldCharType="begin"/>
            </w:r>
            <w:r w:rsidR="005413B4">
              <w:rPr>
                <w:sz w:val="18"/>
                <w:szCs w:val="18"/>
              </w:rPr>
              <w:instrText xml:space="preserve"> ADDIN ZOTERO_ITEM CSL_CITATION {"citationID":"aat81450c","properties":{"formattedCitation":"\\super 332\\nosupersub{}","plainCitation":"332","noteIndex":0},"citationItems":[{"id":14348,"uris":["http://zotero.org/users/6423791/items/TQ8ZNUIA"],"itemData":{"id":14348,"type":"article-journal","abstract":"Biorefineries are often proposed to reduce environmental impact, enhance energy independence, and minimize waste generation while generating multiple valuable products. In this work, an integrated biorefinery approach is proposed to improve the overall process performance of a system combining a green biorefinery (GB), hydrothermal liquefaction (HTL), and anaerobic digestion (AD) to produce a leaf protein concentrate, bio-crude, and biogas. Festulolium and ryegrass, two varieties of forage grasses, were employed as feedstock. Two different maceration technologies were evaluated for protein recovery, more severe maceration led to a 75 % increase in protein content in the leaf protein concentrate (LPC) when compared to a standard maceration. The fiber residues produced by the grass processing were converted to biocrude using HTL. This step was not affected by the maceration step and the use of brown juice as HTL media proved to be beneficial. The bio-crude yield of the grass fiber residues was similar for both biomasses and maceration steps, ranging from 25.7 to 32.1 %. Finally, the HTL process water and the brown juice were subjected to anaerobic digestion to produce biogas. The brown juice from ryegrass resulted in higher methane production compared to HTL water but adding brown juice to HTL water did not reduce the lag times observed for pure HTL water. The integration of GB, HTL, and AD is shown to be effective in increasing the overall carbon and nitrogen recovery of the starting biomass.","container-title":"Cleaner and Circular Bioeconomy","DOI":"10.1016/j.clcb.2023.100064","ISSN":"2772-8013","journalAbbreviation":"Cleaner and Circular Bioeconomy","page":"100064","source":"ScienceDirect","title":"Biorefinery integration of a green protein platform for maximum resource utilization","volume":"6","author":[{"family":"Zoppi","given":"Giulia"},{"family":"Andrade","given":"Thalles Allan"},{"family":"Ward","given":"Alastair James"},{"family":"Ambye-Jensen","given":"Morten"},{"family":"Biller","given":"Patrick"}],"issued":{"date-parts":[["2023",12,1]]}}}],"schema":"https://github.com/citation-style-language/schema/raw/master/csl-citation.json"} </w:instrText>
            </w:r>
            <w:r w:rsidRPr="00D150D0">
              <w:rPr>
                <w:sz w:val="18"/>
                <w:szCs w:val="18"/>
              </w:rPr>
              <w:fldChar w:fldCharType="separate"/>
            </w:r>
            <w:r w:rsidR="005413B4" w:rsidRPr="005413B4">
              <w:rPr>
                <w:rFonts w:ascii="Calibri" w:hAnsi="Calibri" w:cs="Calibri"/>
                <w:sz w:val="18"/>
                <w:szCs w:val="24"/>
                <w:vertAlign w:val="superscript"/>
              </w:rPr>
              <w:t>332</w:t>
            </w:r>
            <w:r w:rsidRPr="00D150D0">
              <w:rPr>
                <w:sz w:val="18"/>
                <w:szCs w:val="18"/>
              </w:rPr>
              <w:fldChar w:fldCharType="end"/>
            </w:r>
          </w:p>
        </w:tc>
      </w:tr>
      <w:tr w:rsidR="00847C80" w:rsidRPr="00C828FC" w14:paraId="1FB89D81"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9" w:type="dxa"/>
            <w:vMerge/>
          </w:tcPr>
          <w:p w14:paraId="5A01A806" w14:textId="77777777" w:rsidR="00847C80" w:rsidRPr="00C828FC" w:rsidRDefault="00847C80" w:rsidP="00847C80">
            <w:pPr>
              <w:rPr>
                <w:sz w:val="18"/>
                <w:szCs w:val="18"/>
              </w:rPr>
            </w:pPr>
          </w:p>
        </w:tc>
        <w:tc>
          <w:tcPr>
            <w:tcW w:w="5388" w:type="dxa"/>
          </w:tcPr>
          <w:p w14:paraId="0C97E0E6" w14:textId="77777777" w:rsidR="00847C80" w:rsidRPr="00C828FC" w:rsidRDefault="00847C80" w:rsidP="00847C80">
            <w:pPr>
              <w:jc w:val="both"/>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Use as fermentation medium for amino acids production</w:t>
            </w:r>
          </w:p>
        </w:tc>
        <w:tc>
          <w:tcPr>
            <w:tcW w:w="0" w:type="auto"/>
          </w:tcPr>
          <w:p w14:paraId="399B8E8E" w14:textId="1196EE6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fldChar w:fldCharType="begin"/>
            </w:r>
            <w:r w:rsidR="005413B4">
              <w:rPr>
                <w:sz w:val="18"/>
                <w:szCs w:val="18"/>
              </w:rPr>
              <w:instrText xml:space="preserve"> ADDIN ZOTERO_ITEM CSL_CITATION {"citationID":"HSPVmhLE","properties":{"formattedCitation":"\\super 333\\nosupersub{}","plainCitation":"333","noteIndex":0},"citationItems":[{"id":1204,"uris":["http://zotero.org/users/6423791/items/MZCCWALP"],"itemData":{"id":1204,"type":"article-journal","container-title":"Chem. Biochem. Eng. Q.","language":"en","page":"10","source":"Zotero","title":"Manufacturing of Stabilised Brown Juice for L-lysine production – from University Lab Scale over Pilot Scale to Industrial Production.","author":[{"family":"Thomsen","given":"M H"},{"family":"Bech","given":"D"},{"family":"Kiel","given":"P"}],"issued":{"date-parts":[["2004"]]}}}],"schema":"https://github.com/citation-style-language/schema/raw/master/csl-citation.json"}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333</w:t>
            </w:r>
            <w:r w:rsidRPr="00C828FC">
              <w:rPr>
                <w:sz w:val="18"/>
                <w:szCs w:val="18"/>
              </w:rPr>
              <w:fldChar w:fldCharType="end"/>
            </w:r>
          </w:p>
        </w:tc>
      </w:tr>
      <w:tr w:rsidR="00847C80" w:rsidRPr="00C828FC" w14:paraId="3EABD404" w14:textId="77777777" w:rsidTr="00C828FC">
        <w:tc>
          <w:tcPr>
            <w:cnfStyle w:val="001000000000" w:firstRow="0" w:lastRow="0" w:firstColumn="1" w:lastColumn="0" w:oddVBand="0" w:evenVBand="0" w:oddHBand="0" w:evenHBand="0" w:firstRowFirstColumn="0" w:firstRowLastColumn="0" w:lastRowFirstColumn="0" w:lastRowLastColumn="0"/>
            <w:tcW w:w="2679" w:type="dxa"/>
            <w:vMerge/>
          </w:tcPr>
          <w:p w14:paraId="087F0F05" w14:textId="77777777" w:rsidR="00847C80" w:rsidRPr="00C828FC" w:rsidRDefault="00847C80" w:rsidP="00847C80">
            <w:pPr>
              <w:rPr>
                <w:sz w:val="18"/>
                <w:szCs w:val="18"/>
              </w:rPr>
            </w:pPr>
          </w:p>
        </w:tc>
        <w:tc>
          <w:tcPr>
            <w:tcW w:w="5388" w:type="dxa"/>
          </w:tcPr>
          <w:p w14:paraId="0D6FEC4A" w14:textId="77777777" w:rsidR="00847C80" w:rsidRPr="00C828FC" w:rsidRDefault="00847C80" w:rsidP="00847C80">
            <w:pPr>
              <w:jc w:val="both"/>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Use as fermentation medium for microbial oil or proteins</w:t>
            </w:r>
          </w:p>
        </w:tc>
        <w:tc>
          <w:tcPr>
            <w:tcW w:w="0" w:type="auto"/>
          </w:tcPr>
          <w:p w14:paraId="19C89293" w14:textId="641EEF9D"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fldChar w:fldCharType="begin"/>
            </w:r>
            <w:r w:rsidR="005413B4">
              <w:rPr>
                <w:sz w:val="18"/>
                <w:szCs w:val="18"/>
              </w:rPr>
              <w:instrText xml:space="preserve"> ADDIN ZOTERO_ITEM CSL_CITATION {"citationID":"17mWrCar","properties":{"formattedCitation":"\\super 334\\nosupersub{}","plainCitation":"334","noteIndex":0},"citationItems":[{"id":13958,"uris":["http://zotero.org/users/6423791/items/U7YTMJGL"],"itemData":{"id":13958,"type":"article-journal","abstract":"Green biorefineries aim to sustainably produce chemicals, materials, proteins and energy by processing green biomass, such as grass, into a solid fraction (fibers) and a liquid fraction (green juice) for further refining. Here, we propose to incorporate microalgae cultivation in the green biorefinery concept to obtain a higher protein production from green juice obtained from grass. A mixed culture of Chlorella sorokiniana and Acutodesmus obliquus was cultivated on multiple dilutions and after different pre-treatments of green juice from agricultural grass. After 19 days, 1.01 ± 0.06 g/L of algal biomass was reached in a 10 % dilution pre-treated by sedimentation and pH adjustment to 8. Further treatments to reduce the microbial load in the grass juice did not increase algal productivity. The produced biomass had a 41 % protein content, and its heavy metal content and microbial load complied with safety norms for feed, except for yeast and Enterobacteriaceae. Overall, these findings offer new perspectives for protein production in a green biorefinery.","container-title":"Algal Research","DOI":"10.1016/j.algal.2022.102941","ISSN":"2211-9264","journalAbbreviation":"Algal Research","language":"en","page":"102941","source":"ScienceDirect","title":"Microalgal cultivation on grass juice as a novel process for a green biorefinery","volume":"69","author":[{"family":"Schoeters","given":"Floris"},{"family":"Thoré","given":"Eli S. J."},{"family":"De Cuyper","given":"Audrey"},{"family":"Noyens","given":"Isabelle"},{"family":"Goossens","given":"Sarah"},{"family":"Lybaert","given":"Sander"},{"family":"Meers","given":"Erik"},{"family":"Van Miert","given":"Sabine"},{"family":"Souza","given":"Marcella Fernandes","non-dropping-particle":"de"}],"issued":{"date-parts":[["2023",1,1]]}}}],"schema":"https://github.com/citation-style-language/schema/raw/master/csl-citation.json"}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334</w:t>
            </w:r>
            <w:r w:rsidRPr="00C828FC">
              <w:rPr>
                <w:sz w:val="18"/>
                <w:szCs w:val="18"/>
              </w:rPr>
              <w:fldChar w:fldCharType="end"/>
            </w:r>
          </w:p>
        </w:tc>
      </w:tr>
      <w:tr w:rsidR="00847C80" w:rsidRPr="00C828FC" w14:paraId="465081ED" w14:textId="77777777" w:rsidTr="00C828F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9" w:type="dxa"/>
            <w:vMerge/>
          </w:tcPr>
          <w:p w14:paraId="60F16349" w14:textId="77777777" w:rsidR="00847C80" w:rsidRPr="00C828FC" w:rsidRDefault="00847C80" w:rsidP="00847C80">
            <w:pPr>
              <w:rPr>
                <w:sz w:val="18"/>
                <w:szCs w:val="18"/>
              </w:rPr>
            </w:pPr>
          </w:p>
        </w:tc>
        <w:tc>
          <w:tcPr>
            <w:tcW w:w="5388" w:type="dxa"/>
          </w:tcPr>
          <w:p w14:paraId="277ACC73" w14:textId="77777777" w:rsidR="00847C80" w:rsidRPr="00C828FC" w:rsidRDefault="00847C80" w:rsidP="00847C80">
            <w:pPr>
              <w:jc w:val="both"/>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Extraction of fructioligosaccharides</w:t>
            </w:r>
          </w:p>
        </w:tc>
        <w:tc>
          <w:tcPr>
            <w:tcW w:w="0" w:type="auto"/>
          </w:tcPr>
          <w:p w14:paraId="2D0224F4" w14:textId="77F98C98"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fldChar w:fldCharType="begin"/>
            </w:r>
            <w:r w:rsidR="005413B4">
              <w:rPr>
                <w:sz w:val="18"/>
                <w:szCs w:val="18"/>
              </w:rPr>
              <w:instrText xml:space="preserve"> ADDIN ZOTERO_ITEM CSL_CITATION {"citationID":"0UktaUSI","properties":{"formattedCitation":"\\super 331\\nosupersub{}","plainCitation":"331","noteIndex":0},"citationItems":[{"id":12915,"uris":["http://zotero.org/users/6423791/items/TITUELUS"],"itemData":{"id":12915,"type":"article-journal","abstract":"Global warming and climate change are imminent threats to the future of humankind. A shift from the current reliance on fossil fuels to renewable energy is key to mitigating the impacts of climate change. Biological raw materials and residues can play a key role in this transition through technologies such as anaerobic digestion. However, biological raw materials must also meet other existing food, feed and material needs. Green bioreﬁnery is an innovative concept in which green biomass, such as grass, is processed to obtain a variety of protein products, value-added co-products and renewable energy, helping to meet many needs from a single source. In this study, an analysis has been conducted to understand the renewable energy potential of green bioreﬁnery by-products and residues, including grass whey, de-FOS whey and press cake. Using anaerobic digestion, the biogas and biomethane potential of these samples have been analyzed. An analysis of the fertiliser potential of the resulting digestate by-products has also been undertaken. All the feedstocks tested were found to be suitable for biogas production with grass whey, the most suitable candidate with a biogas and biomethane production yield of 895.8 and 544.6 L/kg VS, respectively, followed by de-FOS whey and press cake (597.4/520.3 L/kg VS and 510.7/300.3 L/kg VS, respectively). The results show considerable potential for utilizing bioreﬁnery by-products as a source for renewable energy production, even after several value-added products have been co-produced.","container-title":"Clean Technologies","DOI":"10.3390/cleantechnol4010003","ISSN":"2571-8797","issue":"1","journalAbbreviation":"Clean Technol.","language":"en","page":"35-50","source":"DOI.org (Crossref)","title":"Biogas, Biomethane and Digestate Potential of By-Products from Green Biorefinery Systems","volume":"4","author":[{"family":"Ravindran","given":"Rajeev"},{"family":"Donkor","given":"Kwame"},{"family":"Gottumukkala","given":"Lalitha"},{"family":"Menon","given":"Abhay"},{"family":"Guneratnam","given":"Amita Jacob"},{"family":"McMahon","given":"Helena"},{"family":"Koopmans","given":"Sybrandus"},{"family":"Sanders","given":"Johan P. M."},{"family":"Gaffey","given":"James"}],"issued":{"date-parts":[["2022",1,17]]}}}],"schema":"https://github.com/citation-style-language/schema/raw/master/csl-citation.json"}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331</w:t>
            </w:r>
            <w:r w:rsidRPr="00C828FC">
              <w:rPr>
                <w:sz w:val="18"/>
                <w:szCs w:val="18"/>
              </w:rPr>
              <w:fldChar w:fldCharType="end"/>
            </w:r>
          </w:p>
        </w:tc>
      </w:tr>
      <w:tr w:rsidR="00847C80" w:rsidRPr="00C828FC" w14:paraId="30B5C117" w14:textId="77777777" w:rsidTr="00C828FC">
        <w:tc>
          <w:tcPr>
            <w:cnfStyle w:val="001000000000" w:firstRow="0" w:lastRow="0" w:firstColumn="1" w:lastColumn="0" w:oddVBand="0" w:evenVBand="0" w:oddHBand="0" w:evenHBand="0" w:firstRowFirstColumn="0" w:firstRowLastColumn="0" w:lastRowFirstColumn="0" w:lastRowLastColumn="0"/>
            <w:tcW w:w="2679" w:type="dxa"/>
          </w:tcPr>
          <w:p w14:paraId="19954069" w14:textId="77777777" w:rsidR="00847C80" w:rsidRPr="00C828FC" w:rsidRDefault="00847C80" w:rsidP="00847C80">
            <w:pPr>
              <w:rPr>
                <w:sz w:val="18"/>
                <w:szCs w:val="18"/>
              </w:rPr>
            </w:pPr>
            <w:r w:rsidRPr="00C828FC">
              <w:rPr>
                <w:sz w:val="18"/>
                <w:szCs w:val="18"/>
              </w:rPr>
              <w:t>Both press-pulp &amp; brown juice</w:t>
            </w:r>
          </w:p>
        </w:tc>
        <w:tc>
          <w:tcPr>
            <w:tcW w:w="5388" w:type="dxa"/>
          </w:tcPr>
          <w:p w14:paraId="0DD4B16C" w14:textId="77777777" w:rsidR="00847C80" w:rsidRPr="00C828FC" w:rsidRDefault="00847C80" w:rsidP="00847C80">
            <w:pPr>
              <w:jc w:val="both"/>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Mixed substrate for anaerobic digestion (only brown juice too liquid and unbalanced)</w:t>
            </w:r>
          </w:p>
        </w:tc>
        <w:tc>
          <w:tcPr>
            <w:tcW w:w="0" w:type="auto"/>
          </w:tcPr>
          <w:p w14:paraId="33A73555" w14:textId="303E05BC"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fldChar w:fldCharType="begin"/>
            </w:r>
            <w:r w:rsidR="005413B4">
              <w:rPr>
                <w:sz w:val="18"/>
                <w:szCs w:val="18"/>
              </w:rPr>
              <w:instrText xml:space="preserve"> ADDIN ZOTERO_ITEM CSL_CITATION {"citationID":"aIhLYXRR","properties":{"formattedCitation":"\\super 285,315,331\\nosupersub{}","plainCitation":"285,315,331","noteIndex":0},"citationItems":[{"id":10774,"uris":["http://zotero.org/users/6423791/items/WQGCZFWD"],"itemData":{"id":10774,"type":"article-journal","abstract":"In this study, the biorefinery process for generating amino acids (AA) from grass silage is analyzed ecologically. Life-cycle assessment is conducted in accordance with ISO 14040 and ISO 14044. A kilogram of amino acid is selected as a functional unit. The system boundary is drawn around silage production and includes both agricultural and conversion processes. The technology setup is modeled based on data from a demonstration amino acid production plant that uses the silages of permanent grassland in Austria (GBR 1), and data from the experimental work conducted within the European-funded GRASSFinery project (GBR 2) located in the Czech Republic and Germany, using life-cycle assessment software (GaBi®). Different scenarios are developed with different system boundaries. The baseline scenario for GBR 1 and the primary and central processing units of GBR 2 includes the green biorefinery processes without the disposal of waste flows to the biogas plant. By enlarging the system boundaries, the waste flows to the biogas plant and the energy yield from anaerobic digestion are considered as well as the transportation of intermediate products. The global warming potential (GWP) of the whole AA production process ranges from 11.4 to 16.8 kg CO2eq/kg AA, depending on the scenario. The GWP excludes biogenic carbon so the bound carbon in the grass silage is not included. High quality grass silage is crucial to achieve high yields of amino acids. Closed loops are a sensible step to reduce the environmental impact. © 2019 Society of Chemical Industry and John Wiley &amp; Sons, Ltd","container-title":"Biofuels, Bioproducts and Biorefining","DOI":"https://doi.org/10.1002/bbb.2022","ISSN":"1932-1031","issue":"6","language":"en","license":"© 2019 Society of Chemical Industry and John Wiley &amp; Sons, Ltd","note":"_eprint: https://onlinelibrary.wiley.com/doi/pdf/10.1002/bbb.2022","page":"1391-1401","source":"Wiley Online Library","title":"Life-cycle assessment of green biorefinery process options","volume":"13","author":[{"family":"Prieler","given":"Manuela"},{"family":"Lindorfer","given":"Johannes"},{"family":"Steinmüller","given":"Horst"}],"issued":{"date-parts":[["2019"]]}}},{"id":7949,"uris":["http://zotero.org/users/6423791/items/45NGJEH9"],"itemData":{"id":7949,"type":"article-journal","abstract":"Nutrient recovery from organic green biomass after processing in a green biorefinery concept for the production of protein feed, biogas and fertilizer for organic farming was investigated. Mass balances in terms of wet weight, TS, VS, C, N, P, K and S were evaluated for processing red clover and clover grass into protein concentrate, press cake and brown juice according to the green biorefinery concept. Depending on the biomass, between 60 and 79% of C and between 52 and 63% of N, P and S in the fresh biomass were found in the press cake, while only 6–10% of C, 8–15% of N, but up to 27% of P and up to 26% of S were found in the brown juice. In contrast, less than 45% of K was transferred to the press cake and 19–31% of K ended up in the brown juice. Moreover, nutrient recovery in the digestate after anaerobic co-digestion of press cake and brown juice produced from clover grass in a pilot-scale trial was assessed in a bench-scale biogas reactor. The analysis of the digestate from the AD process revealed that 56% of the influent total-C was converted into biogas and that the share of ammonia-N of total-N was increased from 9.4 to 43% during the biogas process. Therefore, the proportion of plant available N was improved in the digestate. The digestate to be applied as organic fertilizer presented a C:N ratio of 7 and a nutrients N:P:K ratio of 4:1:12.","container-title":"Waste and Biomass Valorization","DOI":"10.1007/s12649-019-00842-3","ISSN":"1877-265X","issue":"11","journalAbbreviation":"Waste Biomass Valor.","language":"en","page":"5901-5911","source":"Springer Link","title":"Potential Nutrient Recovery in a Green Biorefinery for Production of Feed, Fuel and Fertilizer for Organic Farming","volume":"11","author":[{"family":"Santamaría-Fernández","given":"Maria"},{"family":"Ytting","given":"Nanna Karkov"},{"family":"Lübeck","given":"Mette"},{"family":"Uellendahl","given":"Hinrich"}],"issued":{"date-parts":[["2020",11,1]]}}},{"id":12915,"uris":["http://zotero.org/users/6423791/items/TITUELUS"],"itemData":{"id":12915,"type":"article-journal","abstract":"Global warming and climate change are imminent threats to the future of humankind. A shift from the current reliance on fossil fuels to renewable energy is key to mitigating the impacts of climate change. Biological raw materials and residues can play a key role in this transition through technologies such as anaerobic digestion. However, biological raw materials must also meet other existing food, feed and material needs. Green bioreﬁnery is an innovative concept in which green biomass, such as grass, is processed to obtain a variety of protein products, value-added co-products and renewable energy, helping to meet many needs from a single source. In this study, an analysis has been conducted to understand the renewable energy potential of green bioreﬁnery by-products and residues, including grass whey, de-FOS whey and press cake. Using anaerobic digestion, the biogas and biomethane potential of these samples have been analyzed. An analysis of the fertiliser potential of the resulting digestate by-products has also been undertaken. All the feedstocks tested were found to be suitable for biogas production with grass whey, the most suitable candidate with a biogas and biomethane production yield of 895.8 and 544.6 L/kg VS, respectively, followed by de-FOS whey and press cake (597.4/520.3 L/kg VS and 510.7/300.3 L/kg VS, respectively). The results show considerable potential for utilizing bioreﬁnery by-products as a source for renewable energy production, even after several value-added products have been co-produced.","container-title":"Clean Technologies","DOI":"10.3390/cleantechnol4010003","ISSN":"2571-8797","issue":"1","journalAbbreviation":"Clean Technol.","language":"en","page":"35-50","source":"DOI.org (Crossref)","title":"Biogas, Biomethane and Digestate Potential of By-Products from Green Biorefinery Systems","volume":"4","author":[{"family":"Ravindran","given":"Rajeev"},{"family":"Donkor","given":"Kwame"},{"family":"Gottumukkala","given":"Lalitha"},{"family":"Menon","given":"Abhay"},{"family":"Guneratnam","given":"Amita Jacob"},{"family":"McMahon","given":"Helena"},{"family":"Koopmans","given":"Sybrandus"},{"family":"Sanders","given":"Johan P. M."},{"family":"Gaffey","given":"James"}],"issued":{"date-parts":[["2022",1,17]]}}}],"schema":"https://github.com/citation-style-language/schema/raw/master/csl-citation.json"} </w:instrText>
            </w:r>
            <w:r w:rsidRPr="00C828FC">
              <w:rPr>
                <w:sz w:val="18"/>
                <w:szCs w:val="18"/>
              </w:rPr>
              <w:fldChar w:fldCharType="separate"/>
            </w:r>
            <w:r w:rsidR="005413B4" w:rsidRPr="005413B4">
              <w:rPr>
                <w:rFonts w:ascii="Calibri" w:hAnsi="Calibri" w:cs="Calibri"/>
                <w:sz w:val="18"/>
                <w:szCs w:val="24"/>
                <w:vertAlign w:val="superscript"/>
              </w:rPr>
              <w:t>285,315,331</w:t>
            </w:r>
            <w:r w:rsidRPr="00C828FC">
              <w:rPr>
                <w:sz w:val="18"/>
                <w:szCs w:val="18"/>
              </w:rPr>
              <w:fldChar w:fldCharType="end"/>
            </w:r>
          </w:p>
        </w:tc>
      </w:tr>
    </w:tbl>
    <w:p w14:paraId="47BD6692" w14:textId="77777777" w:rsidR="00847C80" w:rsidRPr="006B70AF" w:rsidRDefault="00847C80" w:rsidP="00942782">
      <w:pPr>
        <w:jc w:val="both"/>
        <w:rPr>
          <w:sz w:val="18"/>
        </w:rPr>
      </w:pPr>
      <w:r w:rsidRPr="006B70AF">
        <w:rPr>
          <w:sz w:val="18"/>
          <w:vertAlign w:val="superscript"/>
        </w:rPr>
        <w:t>*</w:t>
      </w:r>
      <w:r>
        <w:rPr>
          <w:sz w:val="18"/>
        </w:rPr>
        <w:t>: non-exhaustive benchmark</w:t>
      </w:r>
    </w:p>
    <w:p w14:paraId="1B7ECADE" w14:textId="2BCA013D" w:rsidR="003B36AF" w:rsidRDefault="00847C80" w:rsidP="003B36AF">
      <w:pPr>
        <w:jc w:val="both"/>
      </w:pPr>
      <w:r>
        <w:t xml:space="preserve">First, in front of the high variability of brown juice and lack of published data on value-added extraction or fermentation performed on this substrate, only its energy valorization was </w:t>
      </w:r>
      <w:r w:rsidRPr="005265BC">
        <w:t>considered (AD_grid</w:t>
      </w:r>
      <w:r>
        <w:t xml:space="preserve"> pathway). Therefore, selected GB pathways only differ on how press-pulp is used.</w:t>
      </w:r>
      <w:r w:rsidR="003B36AF">
        <w:t xml:space="preserve"> </w:t>
      </w:r>
      <w:r w:rsidR="003B36AF" w:rsidRPr="003B36AF">
        <w:t>Three pathways were selected considering the ones which (i) were already highlighted as potentially environmentally beneficial302 and (ii) whose parametric LCI mode</w:t>
      </w:r>
      <w:r w:rsidR="00655BBB">
        <w:t>l</w:t>
      </w:r>
      <w:r w:rsidR="003B36AF" w:rsidRPr="003B36AF">
        <w:t>s were already available.</w:t>
      </w:r>
      <w:r w:rsidR="003B36AF">
        <w:t xml:space="preserve"> </w:t>
      </w:r>
      <w:r w:rsidR="003B36AF" w:rsidRPr="003B36AF">
        <w:t xml:space="preserve">The first one consists in reusing the co-products (both press-pulp and brown juice) to supply an </w:t>
      </w:r>
      <w:r w:rsidR="003B36AF" w:rsidRPr="003B36AF">
        <w:rPr>
          <w:i/>
        </w:rPr>
        <w:t>in-situ</w:t>
      </w:r>
      <w:r w:rsidR="003B36AF" w:rsidRPr="003B36AF">
        <w:t xml:space="preserve"> AD platform (therefore feeding the AD_grid model described in </w:t>
      </w:r>
      <w:r w:rsidR="002D3BB7">
        <w:t xml:space="preserve">Javourez et </w:t>
      </w:r>
      <w:r w:rsidR="002D3BB7" w:rsidRPr="000C6C37">
        <w:t>al., 202</w:t>
      </w:r>
      <w:r w:rsidR="000C6C37" w:rsidRPr="000C6C37">
        <w:t>4</w:t>
      </w:r>
      <w:r w:rsidR="002D3BB7" w:rsidRPr="000C6C37">
        <w:fldChar w:fldCharType="begin"/>
      </w:r>
      <w:r w:rsidR="00827449">
        <w:instrText xml:space="preserve"> ADDIN ZOTERO_ITEM CSL_CITATION {"citationID":"IbSfFDKw","properties":{"formattedCitation":"\\super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2D3BB7" w:rsidRPr="000C6C37">
        <w:fldChar w:fldCharType="separate"/>
      </w:r>
      <w:r w:rsidR="008C451C" w:rsidRPr="000C6C37">
        <w:rPr>
          <w:rFonts w:ascii="Calibri" w:hAnsi="Calibri" w:cs="Calibri"/>
          <w:szCs w:val="24"/>
          <w:vertAlign w:val="superscript"/>
        </w:rPr>
        <w:t>1</w:t>
      </w:r>
      <w:r w:rsidR="002D3BB7" w:rsidRPr="000C6C37">
        <w:fldChar w:fldCharType="end"/>
      </w:r>
      <w:r w:rsidR="003B36AF" w:rsidRPr="000C6C37">
        <w:t>).</w:t>
      </w:r>
      <w:r w:rsidR="003B36AF" w:rsidRPr="003B36AF">
        <w:t xml:space="preserve"> The second one rather reuses the press-pulp as ruminant forage, following the compound feed (CF) pathway described in </w:t>
      </w:r>
      <w:r w:rsidR="003B36AF">
        <w:rPr>
          <w:b/>
        </w:rPr>
        <w:t>section</w:t>
      </w:r>
      <w:r w:rsidR="000C6C37">
        <w:rPr>
          <w:b/>
        </w:rPr>
        <w:t xml:space="preserve"> SI.</w:t>
      </w:r>
      <w:r w:rsidR="003B36AF">
        <w:rPr>
          <w:b/>
        </w:rPr>
        <w:t xml:space="preserve"> </w:t>
      </w:r>
      <w:r w:rsidR="003B36AF">
        <w:rPr>
          <w:b/>
        </w:rPr>
        <w:fldChar w:fldCharType="begin"/>
      </w:r>
      <w:r w:rsidR="003B36AF">
        <w:rPr>
          <w:b/>
        </w:rPr>
        <w:instrText xml:space="preserve"> REF _Ref144804882 \r \h </w:instrText>
      </w:r>
      <w:r w:rsidR="003B36AF">
        <w:rPr>
          <w:b/>
        </w:rPr>
      </w:r>
      <w:r w:rsidR="003B36AF">
        <w:rPr>
          <w:b/>
        </w:rPr>
        <w:fldChar w:fldCharType="separate"/>
      </w:r>
      <w:r w:rsidR="00F25F8C">
        <w:rPr>
          <w:b/>
        </w:rPr>
        <w:t>4.2</w:t>
      </w:r>
      <w:r w:rsidR="003B36AF">
        <w:rPr>
          <w:b/>
        </w:rPr>
        <w:fldChar w:fldCharType="end"/>
      </w:r>
      <w:r w:rsidR="003B36AF" w:rsidRPr="003B36AF">
        <w:t xml:space="preserve">. Finally, the last one contemplates food-grade mycoprotein productions from press-pulp through enzymatic hydrolysis (Mycofood) as modeled in </w:t>
      </w:r>
      <w:r w:rsidR="003B36AF">
        <w:rPr>
          <w:b/>
        </w:rPr>
        <w:t>section</w:t>
      </w:r>
      <w:r w:rsidR="000C6C37">
        <w:rPr>
          <w:b/>
        </w:rPr>
        <w:t xml:space="preserve"> SI.</w:t>
      </w:r>
      <w:r w:rsidR="003B36AF">
        <w:rPr>
          <w:b/>
        </w:rPr>
        <w:t xml:space="preserve"> </w:t>
      </w:r>
      <w:r w:rsidR="003B36AF">
        <w:rPr>
          <w:b/>
        </w:rPr>
        <w:fldChar w:fldCharType="begin"/>
      </w:r>
      <w:r w:rsidR="003B36AF">
        <w:rPr>
          <w:b/>
        </w:rPr>
        <w:instrText xml:space="preserve"> REF _Ref144911195 \r \h </w:instrText>
      </w:r>
      <w:r w:rsidR="003B36AF">
        <w:rPr>
          <w:b/>
        </w:rPr>
      </w:r>
      <w:r w:rsidR="003B36AF">
        <w:rPr>
          <w:b/>
        </w:rPr>
        <w:fldChar w:fldCharType="separate"/>
      </w:r>
      <w:r w:rsidR="00F25F8C">
        <w:rPr>
          <w:b/>
        </w:rPr>
        <w:t>4.5</w:t>
      </w:r>
      <w:r w:rsidR="003B36AF">
        <w:rPr>
          <w:b/>
        </w:rPr>
        <w:fldChar w:fldCharType="end"/>
      </w:r>
      <w:r w:rsidR="003B36AF" w:rsidRPr="003B36AF">
        <w:t>.</w:t>
      </w:r>
    </w:p>
    <w:p w14:paraId="42815B1F" w14:textId="77777777" w:rsidR="00847C80" w:rsidRPr="00847C80" w:rsidRDefault="00847C80" w:rsidP="003B36AF">
      <w:pPr>
        <w:pStyle w:val="Titre4"/>
      </w:pPr>
      <w:r w:rsidRPr="00847C80">
        <w:t>Green biorefinery mass balances summary</w:t>
      </w:r>
    </w:p>
    <w:p w14:paraId="25C05039" w14:textId="5DF4B10B" w:rsidR="00C828FC" w:rsidRDefault="00847C80" w:rsidP="003B36AF">
      <w:pPr>
        <w:ind w:firstLine="360"/>
        <w:jc w:val="both"/>
      </w:pPr>
      <w:r>
        <w:t>To facilitate the analysis of the LC</w:t>
      </w:r>
      <w:r w:rsidR="003B36AF">
        <w:t>I</w:t>
      </w:r>
      <w:r>
        <w:t xml:space="preserve"> results and future comparisons, the </w:t>
      </w:r>
      <w:r w:rsidR="003B36AF" w:rsidRPr="003B36AF">
        <w:rPr>
          <w:b/>
        </w:rPr>
        <w:fldChar w:fldCharType="begin"/>
      </w:r>
      <w:r w:rsidR="003B36AF" w:rsidRPr="003B36AF">
        <w:rPr>
          <w:b/>
        </w:rPr>
        <w:instrText xml:space="preserve"> REF _Ref144911074 \h </w:instrText>
      </w:r>
      <w:r w:rsidR="003B36AF">
        <w:rPr>
          <w:b/>
        </w:rPr>
        <w:instrText xml:space="preserve"> \* MERGEFORMAT </w:instrText>
      </w:r>
      <w:r w:rsidR="003B36AF" w:rsidRPr="003B36AF">
        <w:rPr>
          <w:b/>
        </w:rPr>
      </w:r>
      <w:r w:rsidR="003B36AF" w:rsidRPr="003B36AF">
        <w:rPr>
          <w:b/>
        </w:rPr>
        <w:fldChar w:fldCharType="separate"/>
      </w:r>
      <w:r w:rsidR="00F25F8C" w:rsidRPr="00F25F8C">
        <w:rPr>
          <w:b/>
        </w:rPr>
        <w:t xml:space="preserve">Table SI. </w:t>
      </w:r>
      <w:r w:rsidR="00F25F8C" w:rsidRPr="00F25F8C">
        <w:rPr>
          <w:b/>
          <w:noProof/>
        </w:rPr>
        <w:t>91</w:t>
      </w:r>
      <w:r w:rsidR="003B36AF" w:rsidRPr="003B36AF">
        <w:rPr>
          <w:b/>
        </w:rPr>
        <w:fldChar w:fldCharType="end"/>
      </w:r>
      <w:r w:rsidR="003B36AF">
        <w:t xml:space="preserve"> </w:t>
      </w:r>
      <w:r>
        <w:t>displays the mass balances of the main fractions when going through green biorefining as calculated with this model and under the baseline technology parameters values. In this model, the amount of proteins in final pellet is linearly linked with the protein content of the input streams through two transfer coefficients: fr</w:t>
      </w:r>
      <w:r w:rsidR="003B36AF">
        <w:t>o</w:t>
      </w:r>
      <w:r>
        <w:t>m the input to the green juice, and from the green juice to the green pellet. Most of the input dry matter ends up in the presspulp, while most of the water ends in brown juice.</w:t>
      </w:r>
      <w:r w:rsidR="003B36AF">
        <w:t xml:space="preserve"> Values in</w:t>
      </w:r>
      <w:r>
        <w:t xml:space="preserve"> </w:t>
      </w:r>
      <w:r w:rsidR="003B36AF" w:rsidRPr="003B36AF">
        <w:rPr>
          <w:b/>
        </w:rPr>
        <w:fldChar w:fldCharType="begin"/>
      </w:r>
      <w:r w:rsidR="003B36AF" w:rsidRPr="003B36AF">
        <w:rPr>
          <w:b/>
        </w:rPr>
        <w:instrText xml:space="preserve"> REF _Ref144911074 \h </w:instrText>
      </w:r>
      <w:r w:rsidR="003B36AF">
        <w:rPr>
          <w:b/>
        </w:rPr>
        <w:instrText xml:space="preserve"> \* MERGEFORMAT </w:instrText>
      </w:r>
      <w:r w:rsidR="003B36AF" w:rsidRPr="003B36AF">
        <w:rPr>
          <w:b/>
        </w:rPr>
      </w:r>
      <w:r w:rsidR="003B36AF" w:rsidRPr="003B36AF">
        <w:rPr>
          <w:b/>
        </w:rPr>
        <w:fldChar w:fldCharType="separate"/>
      </w:r>
      <w:r w:rsidR="00F25F8C" w:rsidRPr="00F25F8C">
        <w:rPr>
          <w:b/>
        </w:rPr>
        <w:t xml:space="preserve">Table SI. </w:t>
      </w:r>
      <w:r w:rsidR="00F25F8C" w:rsidRPr="00F25F8C">
        <w:rPr>
          <w:b/>
          <w:noProof/>
        </w:rPr>
        <w:t>91</w:t>
      </w:r>
      <w:r w:rsidR="003B36AF" w:rsidRPr="003B36AF">
        <w:rPr>
          <w:b/>
        </w:rPr>
        <w:fldChar w:fldCharType="end"/>
      </w:r>
      <w:r w:rsidR="003B36AF">
        <w:t xml:space="preserve"> are</w:t>
      </w:r>
      <w:r>
        <w:t xml:space="preserve"> indicative only, as </w:t>
      </w:r>
      <w:r w:rsidR="003B36AF">
        <w:t xml:space="preserve">these </w:t>
      </w:r>
      <w:r>
        <w:t>are direct outputs of the model, calculated with baseline values.</w:t>
      </w:r>
    </w:p>
    <w:p w14:paraId="0F38E0B2" w14:textId="77777777" w:rsidR="00C828FC" w:rsidRDefault="00C828FC">
      <w:r>
        <w:br w:type="page"/>
      </w:r>
    </w:p>
    <w:p w14:paraId="5DD2640F" w14:textId="6A4501B4" w:rsidR="00847C80" w:rsidRPr="00187338" w:rsidRDefault="00874128" w:rsidP="00942782">
      <w:pPr>
        <w:pStyle w:val="Lgende"/>
        <w:jc w:val="left"/>
        <w:rPr>
          <w:b w:val="0"/>
          <w:i/>
        </w:rPr>
      </w:pPr>
      <w:bookmarkStart w:id="390" w:name="_Ref144911074"/>
      <w:bookmarkStart w:id="391" w:name="_Toc134537688"/>
      <w:bookmarkStart w:id="392" w:name="_Toc151967975"/>
      <w:r>
        <w:lastRenderedPageBreak/>
        <w:t>Table SI.</w:t>
      </w:r>
      <w:r w:rsidR="00847C80">
        <w:t xml:space="preserve"> </w:t>
      </w:r>
      <w:r>
        <w:fldChar w:fldCharType="begin"/>
      </w:r>
      <w:r>
        <w:instrText xml:space="preserve"> SEQ Table_SI. \* ARABIC </w:instrText>
      </w:r>
      <w:r>
        <w:fldChar w:fldCharType="separate"/>
      </w:r>
      <w:r w:rsidR="00F25F8C">
        <w:rPr>
          <w:noProof/>
        </w:rPr>
        <w:t>91</w:t>
      </w:r>
      <w:r>
        <w:fldChar w:fldCharType="end"/>
      </w:r>
      <w:bookmarkEnd w:id="390"/>
      <w:r w:rsidR="00847C80">
        <w:t xml:space="preserve"> </w:t>
      </w:r>
      <w:r w:rsidR="00847C80" w:rsidRPr="00E105F3">
        <w:t>– GB mass balances and distribution in final co-products</w:t>
      </w:r>
      <w:bookmarkEnd w:id="391"/>
      <w:bookmarkEnd w:id="392"/>
    </w:p>
    <w:tbl>
      <w:tblPr>
        <w:tblStyle w:val="Tableausimple2"/>
        <w:tblW w:w="0" w:type="auto"/>
        <w:jc w:val="center"/>
        <w:tblLook w:val="04A0" w:firstRow="1" w:lastRow="0" w:firstColumn="1" w:lastColumn="0" w:noHBand="0" w:noVBand="1"/>
      </w:tblPr>
      <w:tblGrid>
        <w:gridCol w:w="1225"/>
        <w:gridCol w:w="606"/>
        <w:gridCol w:w="779"/>
        <w:gridCol w:w="801"/>
        <w:gridCol w:w="928"/>
        <w:gridCol w:w="809"/>
        <w:gridCol w:w="606"/>
        <w:gridCol w:w="780"/>
        <w:gridCol w:w="801"/>
        <w:gridCol w:w="928"/>
        <w:gridCol w:w="809"/>
      </w:tblGrid>
      <w:tr w:rsidR="00847C80" w:rsidRPr="00C828FC" w14:paraId="2B5393B0" w14:textId="77777777" w:rsidTr="00C828F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6B558CFB" w14:textId="77777777" w:rsidR="00847C80" w:rsidRPr="00C828FC" w:rsidRDefault="00847C80" w:rsidP="00847C80">
            <w:pPr>
              <w:jc w:val="right"/>
              <w:rPr>
                <w:sz w:val="18"/>
                <w:szCs w:val="18"/>
              </w:rPr>
            </w:pPr>
            <w:r w:rsidRPr="00C828FC">
              <w:rPr>
                <w:sz w:val="18"/>
                <w:szCs w:val="18"/>
              </w:rPr>
              <w:t>Case study</w:t>
            </w:r>
          </w:p>
        </w:tc>
        <w:tc>
          <w:tcPr>
            <w:tcW w:w="0" w:type="auto"/>
            <w:gridSpan w:val="5"/>
          </w:tcPr>
          <w:p w14:paraId="4C0E6AD9" w14:textId="77777777" w:rsidR="00847C80" w:rsidRPr="00C828FC" w:rsidRDefault="00847C80" w:rsidP="00847C80">
            <w:pPr>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Sugarbeet tops</w:t>
            </w:r>
          </w:p>
        </w:tc>
        <w:tc>
          <w:tcPr>
            <w:tcW w:w="0" w:type="auto"/>
            <w:gridSpan w:val="5"/>
          </w:tcPr>
          <w:p w14:paraId="6025F5CD" w14:textId="77777777" w:rsidR="00847C80" w:rsidRPr="00C828FC" w:rsidRDefault="00847C80" w:rsidP="00847C80">
            <w:pPr>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Countryside grass</w:t>
            </w:r>
          </w:p>
        </w:tc>
      </w:tr>
      <w:tr w:rsidR="00847C80" w:rsidRPr="00C828FC" w14:paraId="50B7AEFD"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40559517" w14:textId="77777777" w:rsidR="00847C80" w:rsidRPr="00C828FC" w:rsidRDefault="00847C80" w:rsidP="00847C80">
            <w:pPr>
              <w:jc w:val="right"/>
              <w:rPr>
                <w:b w:val="0"/>
                <w:sz w:val="18"/>
                <w:szCs w:val="18"/>
              </w:rPr>
            </w:pPr>
            <w:r w:rsidRPr="00C828FC">
              <w:rPr>
                <w:b w:val="0"/>
                <w:sz w:val="18"/>
                <w:szCs w:val="18"/>
              </w:rPr>
              <w:t>Stage</w:t>
            </w:r>
          </w:p>
        </w:tc>
        <w:tc>
          <w:tcPr>
            <w:tcW w:w="0" w:type="auto"/>
            <w:shd w:val="clear" w:color="auto" w:fill="E2EFD9" w:themeFill="accent6" w:themeFillTint="33"/>
          </w:tcPr>
          <w:p w14:paraId="2E455824"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Input</w:t>
            </w:r>
          </w:p>
        </w:tc>
        <w:tc>
          <w:tcPr>
            <w:tcW w:w="0" w:type="auto"/>
          </w:tcPr>
          <w:p w14:paraId="35532D2D"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Green juice</w:t>
            </w:r>
          </w:p>
        </w:tc>
        <w:tc>
          <w:tcPr>
            <w:tcW w:w="0" w:type="auto"/>
            <w:shd w:val="clear" w:color="auto" w:fill="EDEDED" w:themeFill="accent3" w:themeFillTint="33"/>
          </w:tcPr>
          <w:p w14:paraId="52F8F7DB"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Green pellet</w:t>
            </w:r>
          </w:p>
        </w:tc>
        <w:tc>
          <w:tcPr>
            <w:tcW w:w="0" w:type="auto"/>
            <w:shd w:val="clear" w:color="auto" w:fill="EDEDED" w:themeFill="accent3" w:themeFillTint="33"/>
          </w:tcPr>
          <w:p w14:paraId="3449649A"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Presspulp</w:t>
            </w:r>
          </w:p>
        </w:tc>
        <w:tc>
          <w:tcPr>
            <w:tcW w:w="0" w:type="auto"/>
            <w:shd w:val="clear" w:color="auto" w:fill="EDEDED" w:themeFill="accent3" w:themeFillTint="33"/>
          </w:tcPr>
          <w:p w14:paraId="7EA52BD4"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Brown juice</w:t>
            </w:r>
          </w:p>
        </w:tc>
        <w:tc>
          <w:tcPr>
            <w:tcW w:w="0" w:type="auto"/>
            <w:shd w:val="clear" w:color="auto" w:fill="E2EFD9" w:themeFill="accent6" w:themeFillTint="33"/>
          </w:tcPr>
          <w:p w14:paraId="218F5396"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Input</w:t>
            </w:r>
          </w:p>
        </w:tc>
        <w:tc>
          <w:tcPr>
            <w:tcW w:w="0" w:type="auto"/>
          </w:tcPr>
          <w:p w14:paraId="128666CE"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Green juice</w:t>
            </w:r>
          </w:p>
        </w:tc>
        <w:tc>
          <w:tcPr>
            <w:tcW w:w="0" w:type="auto"/>
            <w:shd w:val="clear" w:color="auto" w:fill="EDEDED" w:themeFill="accent3" w:themeFillTint="33"/>
          </w:tcPr>
          <w:p w14:paraId="4922A0FC"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Green pellet</w:t>
            </w:r>
          </w:p>
        </w:tc>
        <w:tc>
          <w:tcPr>
            <w:tcW w:w="0" w:type="auto"/>
            <w:shd w:val="clear" w:color="auto" w:fill="EDEDED" w:themeFill="accent3" w:themeFillTint="33"/>
          </w:tcPr>
          <w:p w14:paraId="5086CD92"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Presspulp</w:t>
            </w:r>
          </w:p>
        </w:tc>
        <w:tc>
          <w:tcPr>
            <w:tcW w:w="0" w:type="auto"/>
            <w:shd w:val="clear" w:color="auto" w:fill="EDEDED" w:themeFill="accent3" w:themeFillTint="33"/>
          </w:tcPr>
          <w:p w14:paraId="5E8934B3"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Brown juice</w:t>
            </w:r>
          </w:p>
        </w:tc>
      </w:tr>
      <w:tr w:rsidR="00847C80" w:rsidRPr="00C828FC" w14:paraId="001BDD15"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31C0F255" w14:textId="77777777" w:rsidR="00847C80" w:rsidRPr="00C828FC" w:rsidRDefault="00847C80" w:rsidP="00847C80">
            <w:pPr>
              <w:jc w:val="right"/>
              <w:rPr>
                <w:b w:val="0"/>
                <w:sz w:val="18"/>
                <w:szCs w:val="18"/>
              </w:rPr>
            </w:pPr>
            <w:r w:rsidRPr="00C828FC">
              <w:rPr>
                <w:b w:val="0"/>
                <w:sz w:val="18"/>
                <w:szCs w:val="18"/>
              </w:rPr>
              <w:t>fresh matter</w:t>
            </w:r>
          </w:p>
        </w:tc>
        <w:tc>
          <w:tcPr>
            <w:tcW w:w="0" w:type="auto"/>
            <w:shd w:val="clear" w:color="auto" w:fill="E2EFD9" w:themeFill="accent6" w:themeFillTint="33"/>
          </w:tcPr>
          <w:p w14:paraId="521D793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1000</w:t>
            </w:r>
          </w:p>
        </w:tc>
        <w:tc>
          <w:tcPr>
            <w:tcW w:w="0" w:type="auto"/>
          </w:tcPr>
          <w:p w14:paraId="4FC07173"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560</w:t>
            </w:r>
          </w:p>
        </w:tc>
        <w:tc>
          <w:tcPr>
            <w:tcW w:w="0" w:type="auto"/>
            <w:shd w:val="clear" w:color="auto" w:fill="EDEDED" w:themeFill="accent3" w:themeFillTint="33"/>
          </w:tcPr>
          <w:p w14:paraId="24CD1847"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56</w:t>
            </w:r>
          </w:p>
        </w:tc>
        <w:tc>
          <w:tcPr>
            <w:tcW w:w="0" w:type="auto"/>
            <w:shd w:val="clear" w:color="auto" w:fill="EDEDED" w:themeFill="accent3" w:themeFillTint="33"/>
          </w:tcPr>
          <w:p w14:paraId="6B292AEA"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440</w:t>
            </w:r>
          </w:p>
        </w:tc>
        <w:tc>
          <w:tcPr>
            <w:tcW w:w="0" w:type="auto"/>
            <w:shd w:val="clear" w:color="auto" w:fill="EDEDED" w:themeFill="accent3" w:themeFillTint="33"/>
          </w:tcPr>
          <w:p w14:paraId="25604C05"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504</w:t>
            </w:r>
          </w:p>
        </w:tc>
        <w:tc>
          <w:tcPr>
            <w:tcW w:w="0" w:type="auto"/>
            <w:shd w:val="clear" w:color="auto" w:fill="E2EFD9" w:themeFill="accent6" w:themeFillTint="33"/>
          </w:tcPr>
          <w:p w14:paraId="7A511CC7"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1000</w:t>
            </w:r>
          </w:p>
        </w:tc>
        <w:tc>
          <w:tcPr>
            <w:tcW w:w="0" w:type="auto"/>
          </w:tcPr>
          <w:p w14:paraId="14C9EAA4"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442</w:t>
            </w:r>
          </w:p>
        </w:tc>
        <w:tc>
          <w:tcPr>
            <w:tcW w:w="0" w:type="auto"/>
            <w:shd w:val="clear" w:color="auto" w:fill="EDEDED" w:themeFill="accent3" w:themeFillTint="33"/>
          </w:tcPr>
          <w:p w14:paraId="213B623B"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44</w:t>
            </w:r>
          </w:p>
        </w:tc>
        <w:tc>
          <w:tcPr>
            <w:tcW w:w="0" w:type="auto"/>
            <w:shd w:val="clear" w:color="auto" w:fill="EDEDED" w:themeFill="accent3" w:themeFillTint="33"/>
          </w:tcPr>
          <w:p w14:paraId="7E34444D"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558</w:t>
            </w:r>
          </w:p>
        </w:tc>
        <w:tc>
          <w:tcPr>
            <w:tcW w:w="0" w:type="auto"/>
            <w:shd w:val="clear" w:color="auto" w:fill="EDEDED" w:themeFill="accent3" w:themeFillTint="33"/>
          </w:tcPr>
          <w:p w14:paraId="362D3A2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398</w:t>
            </w:r>
          </w:p>
        </w:tc>
      </w:tr>
      <w:tr w:rsidR="00847C80" w:rsidRPr="00C828FC" w14:paraId="4B1AE9C6"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47FD20FB" w14:textId="77777777" w:rsidR="00847C80" w:rsidRPr="00C828FC" w:rsidRDefault="00847C80" w:rsidP="00847C80">
            <w:pPr>
              <w:jc w:val="right"/>
              <w:rPr>
                <w:b w:val="0"/>
                <w:sz w:val="18"/>
                <w:szCs w:val="18"/>
              </w:rPr>
            </w:pPr>
            <w:r w:rsidRPr="00C828FC">
              <w:rPr>
                <w:b w:val="0"/>
                <w:sz w:val="18"/>
                <w:szCs w:val="18"/>
              </w:rPr>
              <w:t>water</w:t>
            </w:r>
          </w:p>
        </w:tc>
        <w:tc>
          <w:tcPr>
            <w:tcW w:w="0" w:type="auto"/>
            <w:shd w:val="clear" w:color="auto" w:fill="E2EFD9" w:themeFill="accent6" w:themeFillTint="33"/>
          </w:tcPr>
          <w:p w14:paraId="54E7196C"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808</w:t>
            </w:r>
          </w:p>
        </w:tc>
        <w:tc>
          <w:tcPr>
            <w:tcW w:w="0" w:type="auto"/>
          </w:tcPr>
          <w:p w14:paraId="40C71D19"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505</w:t>
            </w:r>
          </w:p>
        </w:tc>
        <w:tc>
          <w:tcPr>
            <w:tcW w:w="0" w:type="auto"/>
            <w:shd w:val="clear" w:color="auto" w:fill="EDEDED" w:themeFill="accent3" w:themeFillTint="33"/>
          </w:tcPr>
          <w:p w14:paraId="31B43242"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42</w:t>
            </w:r>
          </w:p>
        </w:tc>
        <w:tc>
          <w:tcPr>
            <w:tcW w:w="0" w:type="auto"/>
            <w:shd w:val="clear" w:color="auto" w:fill="EDEDED" w:themeFill="accent3" w:themeFillTint="33"/>
          </w:tcPr>
          <w:p w14:paraId="68F8D036"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303</w:t>
            </w:r>
          </w:p>
        </w:tc>
        <w:tc>
          <w:tcPr>
            <w:tcW w:w="0" w:type="auto"/>
            <w:shd w:val="clear" w:color="auto" w:fill="EDEDED" w:themeFill="accent3" w:themeFillTint="33"/>
          </w:tcPr>
          <w:p w14:paraId="2C589756"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463</w:t>
            </w:r>
          </w:p>
        </w:tc>
        <w:tc>
          <w:tcPr>
            <w:tcW w:w="0" w:type="auto"/>
            <w:shd w:val="clear" w:color="auto" w:fill="E2EFD9" w:themeFill="accent6" w:themeFillTint="33"/>
          </w:tcPr>
          <w:p w14:paraId="5DB29169"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572</w:t>
            </w:r>
          </w:p>
        </w:tc>
        <w:tc>
          <w:tcPr>
            <w:tcW w:w="0" w:type="auto"/>
          </w:tcPr>
          <w:p w14:paraId="26815AD0"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354</w:t>
            </w:r>
          </w:p>
        </w:tc>
        <w:tc>
          <w:tcPr>
            <w:tcW w:w="0" w:type="auto"/>
            <w:shd w:val="clear" w:color="auto" w:fill="EDEDED" w:themeFill="accent3" w:themeFillTint="33"/>
          </w:tcPr>
          <w:p w14:paraId="4B85A618"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22.5</w:t>
            </w:r>
          </w:p>
        </w:tc>
        <w:tc>
          <w:tcPr>
            <w:tcW w:w="0" w:type="auto"/>
            <w:shd w:val="clear" w:color="auto" w:fill="EDEDED" w:themeFill="accent3" w:themeFillTint="33"/>
          </w:tcPr>
          <w:p w14:paraId="6141B9F6"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217</w:t>
            </w:r>
          </w:p>
        </w:tc>
        <w:tc>
          <w:tcPr>
            <w:tcW w:w="0" w:type="auto"/>
            <w:shd w:val="clear" w:color="auto" w:fill="EDEDED" w:themeFill="accent3" w:themeFillTint="33"/>
          </w:tcPr>
          <w:p w14:paraId="31880B01"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332.5</w:t>
            </w:r>
          </w:p>
        </w:tc>
      </w:tr>
      <w:tr w:rsidR="00847C80" w:rsidRPr="00C828FC" w14:paraId="7E3E31E5"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6287248C" w14:textId="77777777" w:rsidR="00847C80" w:rsidRPr="00C828FC" w:rsidRDefault="00847C80" w:rsidP="00847C80">
            <w:pPr>
              <w:jc w:val="right"/>
              <w:rPr>
                <w:b w:val="0"/>
                <w:sz w:val="18"/>
                <w:szCs w:val="18"/>
              </w:rPr>
            </w:pPr>
            <w:r w:rsidRPr="00C828FC">
              <w:rPr>
                <w:b w:val="0"/>
                <w:sz w:val="18"/>
                <w:szCs w:val="18"/>
              </w:rPr>
              <w:t>dry matter</w:t>
            </w:r>
          </w:p>
        </w:tc>
        <w:tc>
          <w:tcPr>
            <w:tcW w:w="0" w:type="auto"/>
            <w:shd w:val="clear" w:color="auto" w:fill="E2EFD9" w:themeFill="accent6" w:themeFillTint="33"/>
          </w:tcPr>
          <w:p w14:paraId="759203F8"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192</w:t>
            </w:r>
          </w:p>
        </w:tc>
        <w:tc>
          <w:tcPr>
            <w:tcW w:w="0" w:type="auto"/>
          </w:tcPr>
          <w:p w14:paraId="7DAF3D9F"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55</w:t>
            </w:r>
          </w:p>
        </w:tc>
        <w:tc>
          <w:tcPr>
            <w:tcW w:w="0" w:type="auto"/>
            <w:shd w:val="clear" w:color="auto" w:fill="EDEDED" w:themeFill="accent3" w:themeFillTint="33"/>
          </w:tcPr>
          <w:p w14:paraId="46DBF8C5"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14</w:t>
            </w:r>
          </w:p>
        </w:tc>
        <w:tc>
          <w:tcPr>
            <w:tcW w:w="0" w:type="auto"/>
            <w:shd w:val="clear" w:color="auto" w:fill="EDEDED" w:themeFill="accent3" w:themeFillTint="33"/>
          </w:tcPr>
          <w:p w14:paraId="7FE368B7"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137</w:t>
            </w:r>
          </w:p>
        </w:tc>
        <w:tc>
          <w:tcPr>
            <w:tcW w:w="0" w:type="auto"/>
            <w:shd w:val="clear" w:color="auto" w:fill="EDEDED" w:themeFill="accent3" w:themeFillTint="33"/>
          </w:tcPr>
          <w:p w14:paraId="52353BCD"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41</w:t>
            </w:r>
          </w:p>
        </w:tc>
        <w:tc>
          <w:tcPr>
            <w:tcW w:w="0" w:type="auto"/>
            <w:shd w:val="clear" w:color="auto" w:fill="E2EFD9" w:themeFill="accent6" w:themeFillTint="33"/>
          </w:tcPr>
          <w:p w14:paraId="5F44031C"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428</w:t>
            </w:r>
          </w:p>
        </w:tc>
        <w:tc>
          <w:tcPr>
            <w:tcW w:w="0" w:type="auto"/>
          </w:tcPr>
          <w:p w14:paraId="4F3828A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88</w:t>
            </w:r>
          </w:p>
        </w:tc>
        <w:tc>
          <w:tcPr>
            <w:tcW w:w="0" w:type="auto"/>
            <w:shd w:val="clear" w:color="auto" w:fill="EDEDED" w:themeFill="accent3" w:themeFillTint="33"/>
          </w:tcPr>
          <w:p w14:paraId="387B921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22</w:t>
            </w:r>
          </w:p>
        </w:tc>
        <w:tc>
          <w:tcPr>
            <w:tcW w:w="0" w:type="auto"/>
            <w:shd w:val="clear" w:color="auto" w:fill="EDEDED" w:themeFill="accent3" w:themeFillTint="33"/>
          </w:tcPr>
          <w:p w14:paraId="779F4707"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341</w:t>
            </w:r>
          </w:p>
        </w:tc>
        <w:tc>
          <w:tcPr>
            <w:tcW w:w="0" w:type="auto"/>
            <w:shd w:val="clear" w:color="auto" w:fill="EDEDED" w:themeFill="accent3" w:themeFillTint="33"/>
          </w:tcPr>
          <w:p w14:paraId="3474C1DE"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b/>
                <w:sz w:val="18"/>
                <w:szCs w:val="18"/>
              </w:rPr>
            </w:pPr>
            <w:r w:rsidRPr="00C828FC">
              <w:rPr>
                <w:b/>
                <w:sz w:val="18"/>
                <w:szCs w:val="18"/>
              </w:rPr>
              <w:t>65</w:t>
            </w:r>
          </w:p>
        </w:tc>
      </w:tr>
      <w:tr w:rsidR="00847C80" w:rsidRPr="00C828FC" w14:paraId="73E93D90"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330D0CA3" w14:textId="77777777" w:rsidR="00847C80" w:rsidRPr="00C828FC" w:rsidRDefault="00847C80" w:rsidP="00847C80">
            <w:pPr>
              <w:jc w:val="right"/>
              <w:rPr>
                <w:b w:val="0"/>
                <w:sz w:val="18"/>
                <w:szCs w:val="18"/>
              </w:rPr>
            </w:pPr>
            <w:r w:rsidRPr="00C828FC">
              <w:rPr>
                <w:b w:val="0"/>
                <w:sz w:val="18"/>
                <w:szCs w:val="18"/>
              </w:rPr>
              <w:t>proteins</w:t>
            </w:r>
          </w:p>
        </w:tc>
        <w:tc>
          <w:tcPr>
            <w:tcW w:w="0" w:type="auto"/>
            <w:shd w:val="clear" w:color="auto" w:fill="E2EFD9" w:themeFill="accent6" w:themeFillTint="33"/>
          </w:tcPr>
          <w:p w14:paraId="16AA992B"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30</w:t>
            </w:r>
          </w:p>
        </w:tc>
        <w:tc>
          <w:tcPr>
            <w:tcW w:w="0" w:type="auto"/>
          </w:tcPr>
          <w:p w14:paraId="29C2B2D5"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11</w:t>
            </w:r>
          </w:p>
        </w:tc>
        <w:tc>
          <w:tcPr>
            <w:tcW w:w="0" w:type="auto"/>
            <w:shd w:val="clear" w:color="auto" w:fill="EDEDED" w:themeFill="accent3" w:themeFillTint="33"/>
          </w:tcPr>
          <w:p w14:paraId="2D534F4D"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5.5</w:t>
            </w:r>
          </w:p>
        </w:tc>
        <w:tc>
          <w:tcPr>
            <w:tcW w:w="0" w:type="auto"/>
            <w:shd w:val="clear" w:color="auto" w:fill="EDEDED" w:themeFill="accent3" w:themeFillTint="33"/>
          </w:tcPr>
          <w:p w14:paraId="7016001B"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19</w:t>
            </w:r>
          </w:p>
        </w:tc>
        <w:tc>
          <w:tcPr>
            <w:tcW w:w="0" w:type="auto"/>
            <w:shd w:val="clear" w:color="auto" w:fill="EDEDED" w:themeFill="accent3" w:themeFillTint="33"/>
          </w:tcPr>
          <w:p w14:paraId="170F026C"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5.5</w:t>
            </w:r>
          </w:p>
        </w:tc>
        <w:tc>
          <w:tcPr>
            <w:tcW w:w="0" w:type="auto"/>
            <w:shd w:val="clear" w:color="auto" w:fill="E2EFD9" w:themeFill="accent6" w:themeFillTint="33"/>
          </w:tcPr>
          <w:p w14:paraId="35DCB164"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36</w:t>
            </w:r>
          </w:p>
        </w:tc>
        <w:tc>
          <w:tcPr>
            <w:tcW w:w="0" w:type="auto"/>
          </w:tcPr>
          <w:p w14:paraId="6E8E2018"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13</w:t>
            </w:r>
          </w:p>
        </w:tc>
        <w:tc>
          <w:tcPr>
            <w:tcW w:w="0" w:type="auto"/>
            <w:shd w:val="clear" w:color="auto" w:fill="EDEDED" w:themeFill="accent3" w:themeFillTint="33"/>
          </w:tcPr>
          <w:p w14:paraId="5D721F98"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6.5</w:t>
            </w:r>
          </w:p>
        </w:tc>
        <w:tc>
          <w:tcPr>
            <w:tcW w:w="0" w:type="auto"/>
            <w:shd w:val="clear" w:color="auto" w:fill="EDEDED" w:themeFill="accent3" w:themeFillTint="33"/>
          </w:tcPr>
          <w:p w14:paraId="7E32F331"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23</w:t>
            </w:r>
          </w:p>
        </w:tc>
        <w:tc>
          <w:tcPr>
            <w:tcW w:w="0" w:type="auto"/>
            <w:shd w:val="clear" w:color="auto" w:fill="EDEDED" w:themeFill="accent3" w:themeFillTint="33"/>
          </w:tcPr>
          <w:p w14:paraId="03A88B00"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b/>
                <w:sz w:val="18"/>
                <w:szCs w:val="18"/>
              </w:rPr>
            </w:pPr>
            <w:r w:rsidRPr="00C828FC">
              <w:rPr>
                <w:b/>
                <w:sz w:val="18"/>
                <w:szCs w:val="18"/>
              </w:rPr>
              <w:t>6.5</w:t>
            </w:r>
          </w:p>
        </w:tc>
      </w:tr>
      <w:tr w:rsidR="00847C80" w:rsidRPr="00C828FC" w14:paraId="0BAF86D4"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55EBB0DA" w14:textId="77777777" w:rsidR="00847C80" w:rsidRPr="00C828FC" w:rsidRDefault="00847C80" w:rsidP="00847C80">
            <w:pPr>
              <w:jc w:val="right"/>
              <w:rPr>
                <w:b w:val="0"/>
                <w:sz w:val="18"/>
                <w:szCs w:val="18"/>
              </w:rPr>
            </w:pPr>
            <w:r w:rsidRPr="00C828FC">
              <w:rPr>
                <w:b w:val="0"/>
                <w:sz w:val="18"/>
                <w:szCs w:val="18"/>
              </w:rPr>
              <w:t>fat</w:t>
            </w:r>
          </w:p>
        </w:tc>
        <w:tc>
          <w:tcPr>
            <w:tcW w:w="0" w:type="auto"/>
            <w:shd w:val="clear" w:color="auto" w:fill="E2EFD9" w:themeFill="accent6" w:themeFillTint="33"/>
          </w:tcPr>
          <w:p w14:paraId="4DEC78A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5</w:t>
            </w:r>
          </w:p>
        </w:tc>
        <w:tc>
          <w:tcPr>
            <w:tcW w:w="0" w:type="auto"/>
          </w:tcPr>
          <w:p w14:paraId="03DCA5BD"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w:t>
            </w:r>
          </w:p>
        </w:tc>
        <w:tc>
          <w:tcPr>
            <w:tcW w:w="0" w:type="auto"/>
            <w:shd w:val="clear" w:color="auto" w:fill="EDEDED" w:themeFill="accent3" w:themeFillTint="33"/>
          </w:tcPr>
          <w:p w14:paraId="42CEF0B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0.5</w:t>
            </w:r>
          </w:p>
        </w:tc>
        <w:tc>
          <w:tcPr>
            <w:tcW w:w="0" w:type="auto"/>
            <w:shd w:val="clear" w:color="auto" w:fill="EDEDED" w:themeFill="accent3" w:themeFillTint="33"/>
          </w:tcPr>
          <w:p w14:paraId="17F49683"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4</w:t>
            </w:r>
          </w:p>
        </w:tc>
        <w:tc>
          <w:tcPr>
            <w:tcW w:w="0" w:type="auto"/>
            <w:shd w:val="clear" w:color="auto" w:fill="EDEDED" w:themeFill="accent3" w:themeFillTint="33"/>
          </w:tcPr>
          <w:p w14:paraId="1D3EDBC2"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0.5</w:t>
            </w:r>
          </w:p>
        </w:tc>
        <w:tc>
          <w:tcPr>
            <w:tcW w:w="0" w:type="auto"/>
            <w:shd w:val="clear" w:color="auto" w:fill="E2EFD9" w:themeFill="accent6" w:themeFillTint="33"/>
          </w:tcPr>
          <w:p w14:paraId="0F8175D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4</w:t>
            </w:r>
          </w:p>
        </w:tc>
        <w:tc>
          <w:tcPr>
            <w:tcW w:w="0" w:type="auto"/>
          </w:tcPr>
          <w:p w14:paraId="7492CD8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w:t>
            </w:r>
          </w:p>
        </w:tc>
        <w:tc>
          <w:tcPr>
            <w:tcW w:w="0" w:type="auto"/>
            <w:shd w:val="clear" w:color="auto" w:fill="EDEDED" w:themeFill="accent3" w:themeFillTint="33"/>
          </w:tcPr>
          <w:p w14:paraId="3EE3FA74"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0.4</w:t>
            </w:r>
          </w:p>
        </w:tc>
        <w:tc>
          <w:tcPr>
            <w:tcW w:w="0" w:type="auto"/>
            <w:shd w:val="clear" w:color="auto" w:fill="EDEDED" w:themeFill="accent3" w:themeFillTint="33"/>
          </w:tcPr>
          <w:p w14:paraId="4B0C0D6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3</w:t>
            </w:r>
          </w:p>
        </w:tc>
        <w:tc>
          <w:tcPr>
            <w:tcW w:w="0" w:type="auto"/>
            <w:shd w:val="clear" w:color="auto" w:fill="EDEDED" w:themeFill="accent3" w:themeFillTint="33"/>
          </w:tcPr>
          <w:p w14:paraId="286A28E4"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0.4</w:t>
            </w:r>
          </w:p>
        </w:tc>
      </w:tr>
      <w:tr w:rsidR="00847C80" w:rsidRPr="00C828FC" w14:paraId="386E2CB2"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67D417E1" w14:textId="77777777" w:rsidR="00847C80" w:rsidRPr="00C828FC" w:rsidRDefault="00847C80" w:rsidP="00847C80">
            <w:pPr>
              <w:jc w:val="right"/>
              <w:rPr>
                <w:b w:val="0"/>
                <w:sz w:val="18"/>
                <w:szCs w:val="18"/>
              </w:rPr>
            </w:pPr>
            <w:r w:rsidRPr="00C828FC">
              <w:rPr>
                <w:b w:val="0"/>
                <w:sz w:val="18"/>
                <w:szCs w:val="18"/>
              </w:rPr>
              <w:t>soluble carbs</w:t>
            </w:r>
          </w:p>
        </w:tc>
        <w:tc>
          <w:tcPr>
            <w:tcW w:w="0" w:type="auto"/>
            <w:shd w:val="clear" w:color="auto" w:fill="E2EFD9" w:themeFill="accent6" w:themeFillTint="33"/>
          </w:tcPr>
          <w:p w14:paraId="4EA4FAAA"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49</w:t>
            </w:r>
          </w:p>
        </w:tc>
        <w:tc>
          <w:tcPr>
            <w:tcW w:w="0" w:type="auto"/>
          </w:tcPr>
          <w:p w14:paraId="2A312320"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20</w:t>
            </w:r>
          </w:p>
        </w:tc>
        <w:tc>
          <w:tcPr>
            <w:tcW w:w="0" w:type="auto"/>
            <w:shd w:val="clear" w:color="auto" w:fill="EDEDED" w:themeFill="accent3" w:themeFillTint="33"/>
          </w:tcPr>
          <w:p w14:paraId="3A1D5486"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4</w:t>
            </w:r>
          </w:p>
        </w:tc>
        <w:tc>
          <w:tcPr>
            <w:tcW w:w="0" w:type="auto"/>
            <w:shd w:val="clear" w:color="auto" w:fill="EDEDED" w:themeFill="accent3" w:themeFillTint="33"/>
          </w:tcPr>
          <w:p w14:paraId="1240609D"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30</w:t>
            </w:r>
          </w:p>
        </w:tc>
        <w:tc>
          <w:tcPr>
            <w:tcW w:w="0" w:type="auto"/>
            <w:shd w:val="clear" w:color="auto" w:fill="EDEDED" w:themeFill="accent3" w:themeFillTint="33"/>
          </w:tcPr>
          <w:p w14:paraId="4AC728E6"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15.6</w:t>
            </w:r>
          </w:p>
        </w:tc>
        <w:tc>
          <w:tcPr>
            <w:tcW w:w="0" w:type="auto"/>
            <w:shd w:val="clear" w:color="auto" w:fill="E2EFD9" w:themeFill="accent6" w:themeFillTint="33"/>
          </w:tcPr>
          <w:p w14:paraId="5578CC6E"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56</w:t>
            </w:r>
          </w:p>
        </w:tc>
        <w:tc>
          <w:tcPr>
            <w:tcW w:w="0" w:type="auto"/>
          </w:tcPr>
          <w:p w14:paraId="16477FBD"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22</w:t>
            </w:r>
          </w:p>
        </w:tc>
        <w:tc>
          <w:tcPr>
            <w:tcW w:w="0" w:type="auto"/>
            <w:shd w:val="clear" w:color="auto" w:fill="EDEDED" w:themeFill="accent3" w:themeFillTint="33"/>
          </w:tcPr>
          <w:p w14:paraId="4FFC3F17"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1.7</w:t>
            </w:r>
          </w:p>
        </w:tc>
        <w:tc>
          <w:tcPr>
            <w:tcW w:w="0" w:type="auto"/>
            <w:shd w:val="clear" w:color="auto" w:fill="EDEDED" w:themeFill="accent3" w:themeFillTint="33"/>
          </w:tcPr>
          <w:p w14:paraId="1B0D2F7F"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33</w:t>
            </w:r>
          </w:p>
        </w:tc>
        <w:tc>
          <w:tcPr>
            <w:tcW w:w="0" w:type="auto"/>
            <w:shd w:val="clear" w:color="auto" w:fill="EDEDED" w:themeFill="accent3" w:themeFillTint="33"/>
          </w:tcPr>
          <w:p w14:paraId="63E3E251"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17.6</w:t>
            </w:r>
          </w:p>
        </w:tc>
      </w:tr>
      <w:tr w:rsidR="00847C80" w:rsidRPr="00C828FC" w14:paraId="0EB48EDC"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75B57863" w14:textId="77777777" w:rsidR="00847C80" w:rsidRPr="00C828FC" w:rsidRDefault="00847C80" w:rsidP="00847C80">
            <w:pPr>
              <w:jc w:val="right"/>
              <w:rPr>
                <w:b w:val="0"/>
                <w:sz w:val="18"/>
                <w:szCs w:val="18"/>
              </w:rPr>
            </w:pPr>
            <w:r w:rsidRPr="00C828FC">
              <w:rPr>
                <w:b w:val="0"/>
                <w:sz w:val="18"/>
                <w:szCs w:val="18"/>
              </w:rPr>
              <w:t>hemicellulose</w:t>
            </w:r>
          </w:p>
        </w:tc>
        <w:tc>
          <w:tcPr>
            <w:tcW w:w="0" w:type="auto"/>
            <w:shd w:val="clear" w:color="auto" w:fill="E2EFD9" w:themeFill="accent6" w:themeFillTint="33"/>
          </w:tcPr>
          <w:p w14:paraId="4DD851FE"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28</w:t>
            </w:r>
          </w:p>
        </w:tc>
        <w:tc>
          <w:tcPr>
            <w:tcW w:w="0" w:type="auto"/>
          </w:tcPr>
          <w:p w14:paraId="7ECE69FE"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4</w:t>
            </w:r>
          </w:p>
        </w:tc>
        <w:tc>
          <w:tcPr>
            <w:tcW w:w="0" w:type="auto"/>
            <w:shd w:val="clear" w:color="auto" w:fill="EDEDED" w:themeFill="accent3" w:themeFillTint="33"/>
          </w:tcPr>
          <w:p w14:paraId="4FC5249E"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w:t>
            </w:r>
          </w:p>
        </w:tc>
        <w:tc>
          <w:tcPr>
            <w:tcW w:w="0" w:type="auto"/>
            <w:shd w:val="clear" w:color="auto" w:fill="EDEDED" w:themeFill="accent3" w:themeFillTint="33"/>
          </w:tcPr>
          <w:p w14:paraId="591A983D"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23</w:t>
            </w:r>
          </w:p>
        </w:tc>
        <w:tc>
          <w:tcPr>
            <w:tcW w:w="0" w:type="auto"/>
            <w:shd w:val="clear" w:color="auto" w:fill="EDEDED" w:themeFill="accent3" w:themeFillTint="33"/>
          </w:tcPr>
          <w:p w14:paraId="6C4F4A0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3.3</w:t>
            </w:r>
          </w:p>
        </w:tc>
        <w:tc>
          <w:tcPr>
            <w:tcW w:w="0" w:type="auto"/>
            <w:shd w:val="clear" w:color="auto" w:fill="E2EFD9" w:themeFill="accent6" w:themeFillTint="33"/>
          </w:tcPr>
          <w:p w14:paraId="38D6ED25"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87</w:t>
            </w:r>
          </w:p>
        </w:tc>
        <w:tc>
          <w:tcPr>
            <w:tcW w:w="0" w:type="auto"/>
          </w:tcPr>
          <w:p w14:paraId="285463C2"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13</w:t>
            </w:r>
          </w:p>
        </w:tc>
        <w:tc>
          <w:tcPr>
            <w:tcW w:w="0" w:type="auto"/>
            <w:shd w:val="clear" w:color="auto" w:fill="EDEDED" w:themeFill="accent3" w:themeFillTint="33"/>
          </w:tcPr>
          <w:p w14:paraId="4883CF9C"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2.7</w:t>
            </w:r>
          </w:p>
        </w:tc>
        <w:tc>
          <w:tcPr>
            <w:tcW w:w="0" w:type="auto"/>
            <w:shd w:val="clear" w:color="auto" w:fill="EDEDED" w:themeFill="accent3" w:themeFillTint="33"/>
          </w:tcPr>
          <w:p w14:paraId="03C06E1D"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74</w:t>
            </w:r>
          </w:p>
        </w:tc>
        <w:tc>
          <w:tcPr>
            <w:tcW w:w="0" w:type="auto"/>
            <w:shd w:val="clear" w:color="auto" w:fill="EDEDED" w:themeFill="accent3" w:themeFillTint="33"/>
          </w:tcPr>
          <w:p w14:paraId="084D0B3B"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10.3</w:t>
            </w:r>
          </w:p>
        </w:tc>
      </w:tr>
      <w:tr w:rsidR="00847C80" w:rsidRPr="00C828FC" w14:paraId="2B09319C"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3FD938C8" w14:textId="77777777" w:rsidR="00847C80" w:rsidRPr="00C828FC" w:rsidRDefault="00847C80" w:rsidP="00847C80">
            <w:pPr>
              <w:jc w:val="right"/>
              <w:rPr>
                <w:b w:val="0"/>
                <w:sz w:val="18"/>
                <w:szCs w:val="18"/>
              </w:rPr>
            </w:pPr>
            <w:r w:rsidRPr="00C828FC">
              <w:rPr>
                <w:b w:val="0"/>
                <w:sz w:val="18"/>
                <w:szCs w:val="18"/>
              </w:rPr>
              <w:t>cellulose</w:t>
            </w:r>
          </w:p>
        </w:tc>
        <w:tc>
          <w:tcPr>
            <w:tcW w:w="0" w:type="auto"/>
            <w:shd w:val="clear" w:color="auto" w:fill="E2EFD9" w:themeFill="accent6" w:themeFillTint="33"/>
          </w:tcPr>
          <w:p w14:paraId="0B64269A"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25</w:t>
            </w:r>
          </w:p>
        </w:tc>
        <w:tc>
          <w:tcPr>
            <w:tcW w:w="0" w:type="auto"/>
          </w:tcPr>
          <w:p w14:paraId="1C29A289"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w:t>
            </w:r>
          </w:p>
        </w:tc>
        <w:tc>
          <w:tcPr>
            <w:tcW w:w="0" w:type="auto"/>
            <w:shd w:val="clear" w:color="auto" w:fill="EDEDED" w:themeFill="accent3" w:themeFillTint="33"/>
          </w:tcPr>
          <w:p w14:paraId="044D2B47"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0.2</w:t>
            </w:r>
          </w:p>
        </w:tc>
        <w:tc>
          <w:tcPr>
            <w:tcW w:w="0" w:type="auto"/>
            <w:shd w:val="clear" w:color="auto" w:fill="EDEDED" w:themeFill="accent3" w:themeFillTint="33"/>
          </w:tcPr>
          <w:p w14:paraId="1F81FD8A"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24</w:t>
            </w:r>
          </w:p>
        </w:tc>
        <w:tc>
          <w:tcPr>
            <w:tcW w:w="0" w:type="auto"/>
            <w:shd w:val="clear" w:color="auto" w:fill="EDEDED" w:themeFill="accent3" w:themeFillTint="33"/>
          </w:tcPr>
          <w:p w14:paraId="58E85A31"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0.5</w:t>
            </w:r>
          </w:p>
        </w:tc>
        <w:tc>
          <w:tcPr>
            <w:tcW w:w="0" w:type="auto"/>
            <w:shd w:val="clear" w:color="auto" w:fill="E2EFD9" w:themeFill="accent6" w:themeFillTint="33"/>
          </w:tcPr>
          <w:p w14:paraId="64D8F971"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116</w:t>
            </w:r>
          </w:p>
        </w:tc>
        <w:tc>
          <w:tcPr>
            <w:tcW w:w="0" w:type="auto"/>
          </w:tcPr>
          <w:p w14:paraId="72E6569D"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3.5</w:t>
            </w:r>
          </w:p>
        </w:tc>
        <w:tc>
          <w:tcPr>
            <w:tcW w:w="0" w:type="auto"/>
            <w:shd w:val="clear" w:color="auto" w:fill="EDEDED" w:themeFill="accent3" w:themeFillTint="33"/>
          </w:tcPr>
          <w:p w14:paraId="0995BAD3"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1.0</w:t>
            </w:r>
          </w:p>
        </w:tc>
        <w:tc>
          <w:tcPr>
            <w:tcW w:w="0" w:type="auto"/>
            <w:shd w:val="clear" w:color="auto" w:fill="EDEDED" w:themeFill="accent3" w:themeFillTint="33"/>
          </w:tcPr>
          <w:p w14:paraId="502CF8CF"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112</w:t>
            </w:r>
          </w:p>
        </w:tc>
        <w:tc>
          <w:tcPr>
            <w:tcW w:w="0" w:type="auto"/>
            <w:shd w:val="clear" w:color="auto" w:fill="EDEDED" w:themeFill="accent3" w:themeFillTint="33"/>
          </w:tcPr>
          <w:p w14:paraId="6851F3F7"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2.5</w:t>
            </w:r>
          </w:p>
        </w:tc>
      </w:tr>
      <w:tr w:rsidR="00847C80" w:rsidRPr="00C828FC" w14:paraId="614534AB"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1AC0F036" w14:textId="77777777" w:rsidR="00847C80" w:rsidRPr="00C828FC" w:rsidRDefault="00847C80" w:rsidP="00847C80">
            <w:pPr>
              <w:jc w:val="right"/>
              <w:rPr>
                <w:b w:val="0"/>
                <w:sz w:val="18"/>
                <w:szCs w:val="18"/>
              </w:rPr>
            </w:pPr>
            <w:r w:rsidRPr="00C828FC">
              <w:rPr>
                <w:b w:val="0"/>
                <w:sz w:val="18"/>
                <w:szCs w:val="18"/>
              </w:rPr>
              <w:t>lignin</w:t>
            </w:r>
          </w:p>
        </w:tc>
        <w:tc>
          <w:tcPr>
            <w:tcW w:w="0" w:type="auto"/>
            <w:shd w:val="clear" w:color="auto" w:fill="E2EFD9" w:themeFill="accent6" w:themeFillTint="33"/>
          </w:tcPr>
          <w:p w14:paraId="76CC067B"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12</w:t>
            </w:r>
          </w:p>
        </w:tc>
        <w:tc>
          <w:tcPr>
            <w:tcW w:w="0" w:type="auto"/>
          </w:tcPr>
          <w:p w14:paraId="0C2185BD"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0.5</w:t>
            </w:r>
          </w:p>
        </w:tc>
        <w:tc>
          <w:tcPr>
            <w:tcW w:w="0" w:type="auto"/>
            <w:shd w:val="clear" w:color="auto" w:fill="EDEDED" w:themeFill="accent3" w:themeFillTint="33"/>
          </w:tcPr>
          <w:p w14:paraId="7D144A3F"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0.1</w:t>
            </w:r>
          </w:p>
        </w:tc>
        <w:tc>
          <w:tcPr>
            <w:tcW w:w="0" w:type="auto"/>
            <w:shd w:val="clear" w:color="auto" w:fill="EDEDED" w:themeFill="accent3" w:themeFillTint="33"/>
          </w:tcPr>
          <w:p w14:paraId="0E7141A2"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12</w:t>
            </w:r>
          </w:p>
        </w:tc>
        <w:tc>
          <w:tcPr>
            <w:tcW w:w="0" w:type="auto"/>
            <w:shd w:val="clear" w:color="auto" w:fill="EDEDED" w:themeFill="accent3" w:themeFillTint="33"/>
          </w:tcPr>
          <w:p w14:paraId="29EFA95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0.3</w:t>
            </w:r>
          </w:p>
        </w:tc>
        <w:tc>
          <w:tcPr>
            <w:tcW w:w="0" w:type="auto"/>
            <w:shd w:val="clear" w:color="auto" w:fill="E2EFD9" w:themeFill="accent6" w:themeFillTint="33"/>
          </w:tcPr>
          <w:p w14:paraId="6A3F2426"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40</w:t>
            </w:r>
          </w:p>
        </w:tc>
        <w:tc>
          <w:tcPr>
            <w:tcW w:w="0" w:type="auto"/>
          </w:tcPr>
          <w:p w14:paraId="135AA797"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1.2</w:t>
            </w:r>
          </w:p>
        </w:tc>
        <w:tc>
          <w:tcPr>
            <w:tcW w:w="0" w:type="auto"/>
            <w:shd w:val="clear" w:color="auto" w:fill="EDEDED" w:themeFill="accent3" w:themeFillTint="33"/>
          </w:tcPr>
          <w:p w14:paraId="17DC00E8"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0.3</w:t>
            </w:r>
          </w:p>
        </w:tc>
        <w:tc>
          <w:tcPr>
            <w:tcW w:w="0" w:type="auto"/>
            <w:shd w:val="clear" w:color="auto" w:fill="EDEDED" w:themeFill="accent3" w:themeFillTint="33"/>
          </w:tcPr>
          <w:p w14:paraId="6E1B8ED5"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39</w:t>
            </w:r>
          </w:p>
        </w:tc>
        <w:tc>
          <w:tcPr>
            <w:tcW w:w="0" w:type="auto"/>
            <w:shd w:val="clear" w:color="auto" w:fill="EDEDED" w:themeFill="accent3" w:themeFillTint="33"/>
          </w:tcPr>
          <w:p w14:paraId="3243775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0.9</w:t>
            </w:r>
          </w:p>
        </w:tc>
      </w:tr>
      <w:tr w:rsidR="00847C80" w:rsidRPr="00C828FC" w14:paraId="05432804"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37026095" w14:textId="77777777" w:rsidR="00847C80" w:rsidRPr="00C828FC" w:rsidRDefault="00847C80" w:rsidP="00847C80">
            <w:pPr>
              <w:jc w:val="right"/>
              <w:rPr>
                <w:b w:val="0"/>
                <w:sz w:val="18"/>
                <w:szCs w:val="18"/>
              </w:rPr>
            </w:pPr>
            <w:r w:rsidRPr="00C828FC">
              <w:rPr>
                <w:b w:val="0"/>
                <w:sz w:val="18"/>
                <w:szCs w:val="18"/>
              </w:rPr>
              <w:t>ashes</w:t>
            </w:r>
          </w:p>
        </w:tc>
        <w:tc>
          <w:tcPr>
            <w:tcW w:w="0" w:type="auto"/>
            <w:shd w:val="clear" w:color="auto" w:fill="E2EFD9" w:themeFill="accent6" w:themeFillTint="33"/>
          </w:tcPr>
          <w:p w14:paraId="71401383"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34</w:t>
            </w:r>
          </w:p>
        </w:tc>
        <w:tc>
          <w:tcPr>
            <w:tcW w:w="0" w:type="auto"/>
          </w:tcPr>
          <w:p w14:paraId="42396B32"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16</w:t>
            </w:r>
          </w:p>
        </w:tc>
        <w:tc>
          <w:tcPr>
            <w:tcW w:w="0" w:type="auto"/>
            <w:shd w:val="clear" w:color="auto" w:fill="EDEDED" w:themeFill="accent3" w:themeFillTint="33"/>
          </w:tcPr>
          <w:p w14:paraId="2FD23881"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2.4</w:t>
            </w:r>
          </w:p>
        </w:tc>
        <w:tc>
          <w:tcPr>
            <w:tcW w:w="0" w:type="auto"/>
            <w:shd w:val="clear" w:color="auto" w:fill="EDEDED" w:themeFill="accent3" w:themeFillTint="33"/>
          </w:tcPr>
          <w:p w14:paraId="2ECE7073"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18</w:t>
            </w:r>
          </w:p>
        </w:tc>
        <w:tc>
          <w:tcPr>
            <w:tcW w:w="0" w:type="auto"/>
            <w:shd w:val="clear" w:color="auto" w:fill="EDEDED" w:themeFill="accent3" w:themeFillTint="33"/>
          </w:tcPr>
          <w:p w14:paraId="40BCBF79"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13.3</w:t>
            </w:r>
          </w:p>
        </w:tc>
        <w:tc>
          <w:tcPr>
            <w:tcW w:w="0" w:type="auto"/>
            <w:shd w:val="clear" w:color="auto" w:fill="E2EFD9" w:themeFill="accent6" w:themeFillTint="33"/>
          </w:tcPr>
          <w:p w14:paraId="240A5AAD"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50</w:t>
            </w:r>
          </w:p>
        </w:tc>
        <w:tc>
          <w:tcPr>
            <w:tcW w:w="0" w:type="auto"/>
          </w:tcPr>
          <w:p w14:paraId="3C4570E5"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23</w:t>
            </w:r>
          </w:p>
        </w:tc>
        <w:tc>
          <w:tcPr>
            <w:tcW w:w="0" w:type="auto"/>
            <w:shd w:val="clear" w:color="auto" w:fill="EDEDED" w:themeFill="accent3" w:themeFillTint="33"/>
          </w:tcPr>
          <w:p w14:paraId="4F08D70F"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3.5</w:t>
            </w:r>
          </w:p>
        </w:tc>
        <w:tc>
          <w:tcPr>
            <w:tcW w:w="0" w:type="auto"/>
            <w:shd w:val="clear" w:color="auto" w:fill="EDEDED" w:themeFill="accent3" w:themeFillTint="33"/>
          </w:tcPr>
          <w:p w14:paraId="212F3A6F"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27</w:t>
            </w:r>
          </w:p>
        </w:tc>
        <w:tc>
          <w:tcPr>
            <w:tcW w:w="0" w:type="auto"/>
            <w:shd w:val="clear" w:color="auto" w:fill="EDEDED" w:themeFill="accent3" w:themeFillTint="33"/>
          </w:tcPr>
          <w:p w14:paraId="2BE181F4"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19.8</w:t>
            </w:r>
          </w:p>
        </w:tc>
      </w:tr>
      <w:tr w:rsidR="00847C80" w:rsidRPr="00C828FC" w14:paraId="0588337D"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7C62C1AB" w14:textId="77777777" w:rsidR="00847C80" w:rsidRPr="00C828FC" w:rsidRDefault="00847C80" w:rsidP="00847C80">
            <w:pPr>
              <w:jc w:val="right"/>
              <w:rPr>
                <w:b w:val="0"/>
                <w:sz w:val="18"/>
                <w:szCs w:val="18"/>
              </w:rPr>
            </w:pPr>
            <w:r w:rsidRPr="00C828FC">
              <w:rPr>
                <w:b w:val="0"/>
                <w:sz w:val="18"/>
                <w:szCs w:val="18"/>
              </w:rPr>
              <w:t>rest</w:t>
            </w:r>
          </w:p>
        </w:tc>
        <w:tc>
          <w:tcPr>
            <w:tcW w:w="0" w:type="auto"/>
            <w:shd w:val="clear" w:color="auto" w:fill="E2EFD9" w:themeFill="accent6" w:themeFillTint="33"/>
          </w:tcPr>
          <w:p w14:paraId="73ACC15E"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9</w:t>
            </w:r>
          </w:p>
        </w:tc>
        <w:tc>
          <w:tcPr>
            <w:tcW w:w="0" w:type="auto"/>
          </w:tcPr>
          <w:p w14:paraId="458323EA"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2.5</w:t>
            </w:r>
          </w:p>
        </w:tc>
        <w:tc>
          <w:tcPr>
            <w:tcW w:w="0" w:type="auto"/>
            <w:shd w:val="clear" w:color="auto" w:fill="EDEDED" w:themeFill="accent3" w:themeFillTint="33"/>
          </w:tcPr>
          <w:p w14:paraId="5305B015"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0.6</w:t>
            </w:r>
          </w:p>
        </w:tc>
        <w:tc>
          <w:tcPr>
            <w:tcW w:w="0" w:type="auto"/>
            <w:shd w:val="clear" w:color="auto" w:fill="EDEDED" w:themeFill="accent3" w:themeFillTint="33"/>
          </w:tcPr>
          <w:p w14:paraId="1C40FAEF"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7</w:t>
            </w:r>
          </w:p>
        </w:tc>
        <w:tc>
          <w:tcPr>
            <w:tcW w:w="0" w:type="auto"/>
            <w:shd w:val="clear" w:color="auto" w:fill="EDEDED" w:themeFill="accent3" w:themeFillTint="33"/>
          </w:tcPr>
          <w:p w14:paraId="03E76C7C"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1.9</w:t>
            </w:r>
          </w:p>
        </w:tc>
        <w:tc>
          <w:tcPr>
            <w:tcW w:w="0" w:type="auto"/>
            <w:shd w:val="clear" w:color="auto" w:fill="E2EFD9" w:themeFill="accent6" w:themeFillTint="33"/>
          </w:tcPr>
          <w:p w14:paraId="6039735D"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39</w:t>
            </w:r>
          </w:p>
        </w:tc>
        <w:tc>
          <w:tcPr>
            <w:tcW w:w="0" w:type="auto"/>
          </w:tcPr>
          <w:p w14:paraId="170B97F8"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10.5</w:t>
            </w:r>
          </w:p>
        </w:tc>
        <w:tc>
          <w:tcPr>
            <w:tcW w:w="0" w:type="auto"/>
            <w:shd w:val="clear" w:color="auto" w:fill="EDEDED" w:themeFill="accent3" w:themeFillTint="33"/>
          </w:tcPr>
          <w:p w14:paraId="32D1CF2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2.6</w:t>
            </w:r>
          </w:p>
        </w:tc>
        <w:tc>
          <w:tcPr>
            <w:tcW w:w="0" w:type="auto"/>
            <w:shd w:val="clear" w:color="auto" w:fill="EDEDED" w:themeFill="accent3" w:themeFillTint="33"/>
          </w:tcPr>
          <w:p w14:paraId="3603C3C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28</w:t>
            </w:r>
          </w:p>
        </w:tc>
        <w:tc>
          <w:tcPr>
            <w:tcW w:w="0" w:type="auto"/>
            <w:shd w:val="clear" w:color="auto" w:fill="EDEDED" w:themeFill="accent3" w:themeFillTint="33"/>
          </w:tcPr>
          <w:p w14:paraId="497AC29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7.9</w:t>
            </w:r>
          </w:p>
        </w:tc>
      </w:tr>
      <w:tr w:rsidR="00847C80" w:rsidRPr="00C828FC" w14:paraId="67ECBCB2"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552BF5F6" w14:textId="77777777" w:rsidR="00847C80" w:rsidRPr="00C828FC" w:rsidRDefault="00847C80" w:rsidP="00847C80">
            <w:pPr>
              <w:jc w:val="right"/>
              <w:rPr>
                <w:b w:val="0"/>
                <w:sz w:val="18"/>
                <w:szCs w:val="18"/>
              </w:rPr>
            </w:pPr>
            <w:r w:rsidRPr="00C828FC">
              <w:rPr>
                <w:b w:val="0"/>
                <w:sz w:val="18"/>
                <w:szCs w:val="18"/>
              </w:rPr>
              <w:t>N</w:t>
            </w:r>
          </w:p>
        </w:tc>
        <w:tc>
          <w:tcPr>
            <w:tcW w:w="0" w:type="auto"/>
            <w:shd w:val="clear" w:color="auto" w:fill="E2EFD9" w:themeFill="accent6" w:themeFillTint="33"/>
          </w:tcPr>
          <w:p w14:paraId="1287B703"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4.5</w:t>
            </w:r>
          </w:p>
        </w:tc>
        <w:tc>
          <w:tcPr>
            <w:tcW w:w="0" w:type="auto"/>
          </w:tcPr>
          <w:p w14:paraId="7B849CFE"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1.5</w:t>
            </w:r>
          </w:p>
        </w:tc>
        <w:tc>
          <w:tcPr>
            <w:tcW w:w="0" w:type="auto"/>
            <w:shd w:val="clear" w:color="auto" w:fill="EDEDED" w:themeFill="accent3" w:themeFillTint="33"/>
          </w:tcPr>
          <w:p w14:paraId="2987B13D"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0.8</w:t>
            </w:r>
          </w:p>
        </w:tc>
        <w:tc>
          <w:tcPr>
            <w:tcW w:w="0" w:type="auto"/>
            <w:shd w:val="clear" w:color="auto" w:fill="EDEDED" w:themeFill="accent3" w:themeFillTint="33"/>
          </w:tcPr>
          <w:p w14:paraId="55A73977"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2.9</w:t>
            </w:r>
          </w:p>
        </w:tc>
        <w:tc>
          <w:tcPr>
            <w:tcW w:w="0" w:type="auto"/>
            <w:shd w:val="clear" w:color="auto" w:fill="EDEDED" w:themeFill="accent3" w:themeFillTint="33"/>
          </w:tcPr>
          <w:p w14:paraId="0B546EF0"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0.8</w:t>
            </w:r>
          </w:p>
        </w:tc>
        <w:tc>
          <w:tcPr>
            <w:tcW w:w="0" w:type="auto"/>
            <w:shd w:val="clear" w:color="auto" w:fill="E2EFD9" w:themeFill="accent6" w:themeFillTint="33"/>
          </w:tcPr>
          <w:p w14:paraId="4130A575"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8.7</w:t>
            </w:r>
          </w:p>
        </w:tc>
        <w:tc>
          <w:tcPr>
            <w:tcW w:w="0" w:type="auto"/>
          </w:tcPr>
          <w:p w14:paraId="02486328"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3.1</w:t>
            </w:r>
          </w:p>
        </w:tc>
        <w:tc>
          <w:tcPr>
            <w:tcW w:w="0" w:type="auto"/>
            <w:shd w:val="clear" w:color="auto" w:fill="EDEDED" w:themeFill="accent3" w:themeFillTint="33"/>
          </w:tcPr>
          <w:p w14:paraId="2E10AD5B"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1.5</w:t>
            </w:r>
          </w:p>
        </w:tc>
        <w:tc>
          <w:tcPr>
            <w:tcW w:w="0" w:type="auto"/>
            <w:shd w:val="clear" w:color="auto" w:fill="EDEDED" w:themeFill="accent3" w:themeFillTint="33"/>
          </w:tcPr>
          <w:p w14:paraId="50D73BE6"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5.6</w:t>
            </w:r>
          </w:p>
        </w:tc>
        <w:tc>
          <w:tcPr>
            <w:tcW w:w="0" w:type="auto"/>
            <w:shd w:val="clear" w:color="auto" w:fill="EDEDED" w:themeFill="accent3" w:themeFillTint="33"/>
          </w:tcPr>
          <w:p w14:paraId="6C21CE1A"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1.5</w:t>
            </w:r>
          </w:p>
        </w:tc>
      </w:tr>
      <w:tr w:rsidR="00847C80" w:rsidRPr="00C828FC" w14:paraId="0A7887F0"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000FDF3F" w14:textId="77777777" w:rsidR="00847C80" w:rsidRPr="00C828FC" w:rsidRDefault="00847C80" w:rsidP="00847C80">
            <w:pPr>
              <w:jc w:val="right"/>
              <w:rPr>
                <w:b w:val="0"/>
                <w:sz w:val="18"/>
                <w:szCs w:val="18"/>
              </w:rPr>
            </w:pPr>
            <w:r w:rsidRPr="00C828FC">
              <w:rPr>
                <w:b w:val="0"/>
                <w:sz w:val="18"/>
                <w:szCs w:val="18"/>
              </w:rPr>
              <w:t>P</w:t>
            </w:r>
          </w:p>
        </w:tc>
        <w:tc>
          <w:tcPr>
            <w:tcW w:w="0" w:type="auto"/>
            <w:shd w:val="clear" w:color="auto" w:fill="E2EFD9" w:themeFill="accent6" w:themeFillTint="33"/>
          </w:tcPr>
          <w:p w14:paraId="7BF41A8C"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0.4</w:t>
            </w:r>
          </w:p>
        </w:tc>
        <w:tc>
          <w:tcPr>
            <w:tcW w:w="0" w:type="auto"/>
          </w:tcPr>
          <w:p w14:paraId="5EAB6292"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0.2</w:t>
            </w:r>
          </w:p>
        </w:tc>
        <w:tc>
          <w:tcPr>
            <w:tcW w:w="0" w:type="auto"/>
            <w:shd w:val="clear" w:color="auto" w:fill="EDEDED" w:themeFill="accent3" w:themeFillTint="33"/>
          </w:tcPr>
          <w:p w14:paraId="6FF1704D"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0.1</w:t>
            </w:r>
          </w:p>
        </w:tc>
        <w:tc>
          <w:tcPr>
            <w:tcW w:w="0" w:type="auto"/>
            <w:shd w:val="clear" w:color="auto" w:fill="EDEDED" w:themeFill="accent3" w:themeFillTint="33"/>
          </w:tcPr>
          <w:p w14:paraId="1C6E1E14"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0.1</w:t>
            </w:r>
          </w:p>
        </w:tc>
        <w:tc>
          <w:tcPr>
            <w:tcW w:w="0" w:type="auto"/>
            <w:shd w:val="clear" w:color="auto" w:fill="EDEDED" w:themeFill="accent3" w:themeFillTint="33"/>
          </w:tcPr>
          <w:p w14:paraId="4784B284"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0.1</w:t>
            </w:r>
          </w:p>
        </w:tc>
        <w:tc>
          <w:tcPr>
            <w:tcW w:w="0" w:type="auto"/>
            <w:shd w:val="clear" w:color="auto" w:fill="E2EFD9" w:themeFill="accent6" w:themeFillTint="33"/>
          </w:tcPr>
          <w:p w14:paraId="48C15635"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1.4</w:t>
            </w:r>
          </w:p>
        </w:tc>
        <w:tc>
          <w:tcPr>
            <w:tcW w:w="0" w:type="auto"/>
          </w:tcPr>
          <w:p w14:paraId="3C150A7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0.8</w:t>
            </w:r>
          </w:p>
        </w:tc>
        <w:tc>
          <w:tcPr>
            <w:tcW w:w="0" w:type="auto"/>
            <w:shd w:val="clear" w:color="auto" w:fill="EDEDED" w:themeFill="accent3" w:themeFillTint="33"/>
          </w:tcPr>
          <w:p w14:paraId="0E3E6D1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0.3</w:t>
            </w:r>
          </w:p>
        </w:tc>
        <w:tc>
          <w:tcPr>
            <w:tcW w:w="0" w:type="auto"/>
            <w:shd w:val="clear" w:color="auto" w:fill="EDEDED" w:themeFill="accent3" w:themeFillTint="33"/>
          </w:tcPr>
          <w:p w14:paraId="0BEADAC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0.5</w:t>
            </w:r>
          </w:p>
        </w:tc>
        <w:tc>
          <w:tcPr>
            <w:tcW w:w="0" w:type="auto"/>
            <w:shd w:val="clear" w:color="auto" w:fill="EDEDED" w:themeFill="accent3" w:themeFillTint="33"/>
          </w:tcPr>
          <w:p w14:paraId="4BD6CCB8"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0.5</w:t>
            </w:r>
          </w:p>
        </w:tc>
      </w:tr>
      <w:tr w:rsidR="00847C80" w:rsidRPr="00C828FC" w14:paraId="00B3A5FB"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4D03B48A" w14:textId="77777777" w:rsidR="00847C80" w:rsidRPr="00C828FC" w:rsidRDefault="00847C80" w:rsidP="00847C80">
            <w:pPr>
              <w:jc w:val="right"/>
              <w:rPr>
                <w:b w:val="0"/>
                <w:sz w:val="18"/>
                <w:szCs w:val="18"/>
              </w:rPr>
            </w:pPr>
            <w:r w:rsidRPr="00C828FC">
              <w:rPr>
                <w:b w:val="0"/>
                <w:sz w:val="18"/>
                <w:szCs w:val="18"/>
              </w:rPr>
              <w:t>K</w:t>
            </w:r>
          </w:p>
        </w:tc>
        <w:tc>
          <w:tcPr>
            <w:tcW w:w="0" w:type="auto"/>
            <w:shd w:val="clear" w:color="auto" w:fill="E2EFD9" w:themeFill="accent6" w:themeFillTint="33"/>
          </w:tcPr>
          <w:p w14:paraId="2231EE5F"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9</w:t>
            </w:r>
          </w:p>
        </w:tc>
        <w:tc>
          <w:tcPr>
            <w:tcW w:w="0" w:type="auto"/>
          </w:tcPr>
          <w:p w14:paraId="70927CFD"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6</w:t>
            </w:r>
          </w:p>
        </w:tc>
        <w:tc>
          <w:tcPr>
            <w:tcW w:w="0" w:type="auto"/>
            <w:shd w:val="clear" w:color="auto" w:fill="EDEDED" w:themeFill="accent3" w:themeFillTint="33"/>
          </w:tcPr>
          <w:p w14:paraId="3ED1E4E1"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1.2</w:t>
            </w:r>
          </w:p>
        </w:tc>
        <w:tc>
          <w:tcPr>
            <w:tcW w:w="0" w:type="auto"/>
            <w:shd w:val="clear" w:color="auto" w:fill="EDEDED" w:themeFill="accent3" w:themeFillTint="33"/>
          </w:tcPr>
          <w:p w14:paraId="15466608"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3.3</w:t>
            </w:r>
          </w:p>
        </w:tc>
        <w:tc>
          <w:tcPr>
            <w:tcW w:w="0" w:type="auto"/>
            <w:shd w:val="clear" w:color="auto" w:fill="EDEDED" w:themeFill="accent3" w:themeFillTint="33"/>
          </w:tcPr>
          <w:p w14:paraId="48C4EFA9"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4.6</w:t>
            </w:r>
          </w:p>
        </w:tc>
        <w:tc>
          <w:tcPr>
            <w:tcW w:w="0" w:type="auto"/>
            <w:shd w:val="clear" w:color="auto" w:fill="E2EFD9" w:themeFill="accent6" w:themeFillTint="33"/>
          </w:tcPr>
          <w:p w14:paraId="462B0D6C"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3</w:t>
            </w:r>
          </w:p>
        </w:tc>
        <w:tc>
          <w:tcPr>
            <w:tcW w:w="0" w:type="auto"/>
          </w:tcPr>
          <w:p w14:paraId="7CAEB8B4"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w:t>
            </w:r>
          </w:p>
        </w:tc>
        <w:tc>
          <w:tcPr>
            <w:tcW w:w="0" w:type="auto"/>
            <w:shd w:val="clear" w:color="auto" w:fill="EDEDED" w:themeFill="accent3" w:themeFillTint="33"/>
          </w:tcPr>
          <w:p w14:paraId="55F0D4BD"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0.4</w:t>
            </w:r>
          </w:p>
        </w:tc>
        <w:tc>
          <w:tcPr>
            <w:tcW w:w="0" w:type="auto"/>
            <w:shd w:val="clear" w:color="auto" w:fill="EDEDED" w:themeFill="accent3" w:themeFillTint="33"/>
          </w:tcPr>
          <w:p w14:paraId="131E4089"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1.1</w:t>
            </w:r>
          </w:p>
        </w:tc>
        <w:tc>
          <w:tcPr>
            <w:tcW w:w="0" w:type="auto"/>
            <w:shd w:val="clear" w:color="auto" w:fill="EDEDED" w:themeFill="accent3" w:themeFillTint="33"/>
          </w:tcPr>
          <w:p w14:paraId="0A9E9480"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1.5</w:t>
            </w:r>
          </w:p>
        </w:tc>
      </w:tr>
      <w:tr w:rsidR="00847C80" w:rsidRPr="00C828FC" w14:paraId="01B0145A"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06F3397F" w14:textId="77777777" w:rsidR="00847C80" w:rsidRPr="00C828FC" w:rsidRDefault="00847C80" w:rsidP="00847C80">
            <w:pPr>
              <w:jc w:val="right"/>
              <w:rPr>
                <w:b w:val="0"/>
                <w:sz w:val="18"/>
                <w:szCs w:val="18"/>
              </w:rPr>
            </w:pPr>
            <w:r w:rsidRPr="00C828FC">
              <w:rPr>
                <w:b w:val="0"/>
                <w:sz w:val="18"/>
                <w:szCs w:val="18"/>
              </w:rPr>
              <w:t>C</w:t>
            </w:r>
          </w:p>
        </w:tc>
        <w:tc>
          <w:tcPr>
            <w:tcW w:w="0" w:type="auto"/>
            <w:shd w:val="clear" w:color="auto" w:fill="E2EFD9" w:themeFill="accent6" w:themeFillTint="33"/>
          </w:tcPr>
          <w:p w14:paraId="3BF1702A"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78</w:t>
            </w:r>
          </w:p>
        </w:tc>
        <w:tc>
          <w:tcPr>
            <w:tcW w:w="0" w:type="auto"/>
          </w:tcPr>
          <w:p w14:paraId="3868D4FC"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21</w:t>
            </w:r>
          </w:p>
        </w:tc>
        <w:tc>
          <w:tcPr>
            <w:tcW w:w="0" w:type="auto"/>
            <w:shd w:val="clear" w:color="auto" w:fill="EDEDED" w:themeFill="accent3" w:themeFillTint="33"/>
          </w:tcPr>
          <w:p w14:paraId="28BFA1EA"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5.3</w:t>
            </w:r>
          </w:p>
        </w:tc>
        <w:tc>
          <w:tcPr>
            <w:tcW w:w="0" w:type="auto"/>
            <w:shd w:val="clear" w:color="auto" w:fill="EDEDED" w:themeFill="accent3" w:themeFillTint="33"/>
          </w:tcPr>
          <w:p w14:paraId="5AB343BB"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57.5</w:t>
            </w:r>
          </w:p>
        </w:tc>
        <w:tc>
          <w:tcPr>
            <w:tcW w:w="0" w:type="auto"/>
            <w:shd w:val="clear" w:color="auto" w:fill="EDEDED" w:themeFill="accent3" w:themeFillTint="33"/>
          </w:tcPr>
          <w:p w14:paraId="2A3A3FD7"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15.4</w:t>
            </w:r>
          </w:p>
        </w:tc>
        <w:tc>
          <w:tcPr>
            <w:tcW w:w="0" w:type="auto"/>
            <w:shd w:val="clear" w:color="auto" w:fill="E2EFD9" w:themeFill="accent6" w:themeFillTint="33"/>
          </w:tcPr>
          <w:p w14:paraId="17AFEBF5"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220</w:t>
            </w:r>
          </w:p>
        </w:tc>
        <w:tc>
          <w:tcPr>
            <w:tcW w:w="0" w:type="auto"/>
          </w:tcPr>
          <w:p w14:paraId="52FBC91B"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43</w:t>
            </w:r>
          </w:p>
        </w:tc>
        <w:tc>
          <w:tcPr>
            <w:tcW w:w="0" w:type="auto"/>
            <w:shd w:val="clear" w:color="auto" w:fill="EDEDED" w:themeFill="accent3" w:themeFillTint="33"/>
          </w:tcPr>
          <w:p w14:paraId="205EE60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10.2</w:t>
            </w:r>
          </w:p>
        </w:tc>
        <w:tc>
          <w:tcPr>
            <w:tcW w:w="0" w:type="auto"/>
            <w:shd w:val="clear" w:color="auto" w:fill="EDEDED" w:themeFill="accent3" w:themeFillTint="33"/>
          </w:tcPr>
          <w:p w14:paraId="73AA7BFE"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177</w:t>
            </w:r>
          </w:p>
        </w:tc>
        <w:tc>
          <w:tcPr>
            <w:tcW w:w="0" w:type="auto"/>
            <w:shd w:val="clear" w:color="auto" w:fill="EDEDED" w:themeFill="accent3" w:themeFillTint="33"/>
          </w:tcPr>
          <w:p w14:paraId="6E63B1FC"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32.8</w:t>
            </w:r>
          </w:p>
        </w:tc>
      </w:tr>
    </w:tbl>
    <w:p w14:paraId="5B09614A" w14:textId="77777777" w:rsidR="00847C80" w:rsidRPr="00CE6FC3" w:rsidRDefault="00847C80" w:rsidP="00942782">
      <w:pPr>
        <w:jc w:val="both"/>
        <w:rPr>
          <w:sz w:val="18"/>
        </w:rPr>
      </w:pPr>
      <w:r>
        <w:rPr>
          <w:sz w:val="18"/>
        </w:rPr>
        <w:t>Potential unmatching balances due to rounding. In grey, the composition of the three co-products. Green pellet is further dried, brown juice sent to AD, and presspulp valorization depend on selected GB pathway.</w:t>
      </w:r>
    </w:p>
    <w:p w14:paraId="11E62E40" w14:textId="77777777" w:rsidR="00847C80" w:rsidRPr="00847C80" w:rsidRDefault="00847C80" w:rsidP="003B36AF">
      <w:pPr>
        <w:pStyle w:val="Titre3"/>
      </w:pPr>
      <w:bookmarkStart w:id="393" w:name="_Toc145069133"/>
      <w:r w:rsidRPr="00847C80">
        <w:t>Technology parameters and background processes</w:t>
      </w:r>
      <w:bookmarkEnd w:id="393"/>
    </w:p>
    <w:p w14:paraId="468919FA" w14:textId="0992BA66" w:rsidR="00847C80" w:rsidRPr="003F5DA8" w:rsidRDefault="00847C80" w:rsidP="003B36AF">
      <w:pPr>
        <w:ind w:firstLine="360"/>
        <w:jc w:val="both"/>
      </w:pPr>
      <w:r w:rsidRPr="003F5DA8">
        <w:t xml:space="preserve">The technology parameters retained for </w:t>
      </w:r>
      <w:r>
        <w:t xml:space="preserve">green biorefinery </w:t>
      </w:r>
      <w:r w:rsidRPr="003F5DA8">
        <w:t>pathways modeling are displayed in the</w:t>
      </w:r>
      <w:r w:rsidR="00380FFD">
        <w:t xml:space="preserve"> </w:t>
      </w:r>
      <w:r w:rsidR="00380FFD" w:rsidRPr="00380FFD">
        <w:rPr>
          <w:b/>
        </w:rPr>
        <w:fldChar w:fldCharType="begin"/>
      </w:r>
      <w:r w:rsidR="00380FFD" w:rsidRPr="00380FFD">
        <w:rPr>
          <w:b/>
        </w:rPr>
        <w:instrText xml:space="preserve"> REF _Ref144910998 \h </w:instrText>
      </w:r>
      <w:r w:rsidR="00380FFD">
        <w:rPr>
          <w:b/>
        </w:rPr>
        <w:instrText xml:space="preserve"> \* MERGEFORMAT </w:instrText>
      </w:r>
      <w:r w:rsidR="00380FFD" w:rsidRPr="00380FFD">
        <w:rPr>
          <w:b/>
        </w:rPr>
      </w:r>
      <w:r w:rsidR="00380FFD" w:rsidRPr="00380FFD">
        <w:rPr>
          <w:b/>
        </w:rPr>
        <w:fldChar w:fldCharType="separate"/>
      </w:r>
      <w:r w:rsidR="00F25F8C" w:rsidRPr="00F25F8C">
        <w:rPr>
          <w:b/>
        </w:rPr>
        <w:t xml:space="preserve">Table SI. </w:t>
      </w:r>
      <w:r w:rsidR="00F25F8C" w:rsidRPr="00F25F8C">
        <w:rPr>
          <w:b/>
          <w:noProof/>
        </w:rPr>
        <w:t>92</w:t>
      </w:r>
      <w:r w:rsidR="00380FFD" w:rsidRPr="00380FFD">
        <w:rPr>
          <w:b/>
        </w:rPr>
        <w:fldChar w:fldCharType="end"/>
      </w:r>
      <w:r w:rsidRPr="003F5DA8">
        <w:t>.</w:t>
      </w:r>
      <w:r>
        <w:t xml:space="preserve"> The ones linked with presspulp</w:t>
      </w:r>
      <w:r w:rsidR="00380FFD">
        <w:t xml:space="preserve"> and brown-juice</w:t>
      </w:r>
      <w:r>
        <w:t xml:space="preserve"> valorization are displayed in respective mode</w:t>
      </w:r>
      <w:r w:rsidR="00655BBB">
        <w:t>l</w:t>
      </w:r>
      <w:r>
        <w:t>’s description.</w:t>
      </w:r>
    </w:p>
    <w:p w14:paraId="14B665AA" w14:textId="5D6BBB8F" w:rsidR="00847C80" w:rsidRPr="00187338" w:rsidRDefault="00874128" w:rsidP="00942782">
      <w:pPr>
        <w:pStyle w:val="Lgende"/>
        <w:jc w:val="left"/>
        <w:rPr>
          <w:b w:val="0"/>
          <w:i/>
        </w:rPr>
      </w:pPr>
      <w:bookmarkStart w:id="394" w:name="_Ref144910998"/>
      <w:bookmarkStart w:id="395" w:name="_Toc134537689"/>
      <w:bookmarkStart w:id="396" w:name="_Toc151967976"/>
      <w:r>
        <w:t>Table SI.</w:t>
      </w:r>
      <w:r w:rsidR="00847C80">
        <w:t xml:space="preserve"> </w:t>
      </w:r>
      <w:r>
        <w:fldChar w:fldCharType="begin"/>
      </w:r>
      <w:r>
        <w:instrText xml:space="preserve"> SEQ Table_SI. \* ARABIC </w:instrText>
      </w:r>
      <w:r>
        <w:fldChar w:fldCharType="separate"/>
      </w:r>
      <w:r w:rsidR="00F25F8C">
        <w:rPr>
          <w:noProof/>
        </w:rPr>
        <w:t>92</w:t>
      </w:r>
      <w:r>
        <w:fldChar w:fldCharType="end"/>
      </w:r>
      <w:bookmarkEnd w:id="394"/>
      <w:r w:rsidR="00847C80">
        <w:t xml:space="preserve"> </w:t>
      </w:r>
      <w:r w:rsidR="00847C80" w:rsidRPr="00E105F3">
        <w:t>– Parameters specific to green biorefinery pathways</w:t>
      </w:r>
      <w:bookmarkEnd w:id="395"/>
      <w:bookmarkEnd w:id="396"/>
    </w:p>
    <w:tbl>
      <w:tblPr>
        <w:tblStyle w:val="Tableausimple2"/>
        <w:tblW w:w="0" w:type="auto"/>
        <w:jc w:val="center"/>
        <w:tblLook w:val="04A0" w:firstRow="1" w:lastRow="0" w:firstColumn="1" w:lastColumn="0" w:noHBand="0" w:noVBand="1"/>
      </w:tblPr>
      <w:tblGrid>
        <w:gridCol w:w="490"/>
        <w:gridCol w:w="2973"/>
        <w:gridCol w:w="1058"/>
        <w:gridCol w:w="1392"/>
        <w:gridCol w:w="1363"/>
        <w:gridCol w:w="1766"/>
      </w:tblGrid>
      <w:tr w:rsidR="00847C80" w:rsidRPr="00C828FC" w14:paraId="2A0C1550" w14:textId="77777777" w:rsidTr="00C828F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3466D611" w14:textId="77777777" w:rsidR="00847C80" w:rsidRPr="00C828FC" w:rsidRDefault="00847C80" w:rsidP="00847C80">
            <w:pPr>
              <w:rPr>
                <w:sz w:val="18"/>
                <w:szCs w:val="18"/>
              </w:rPr>
            </w:pPr>
            <w:r w:rsidRPr="00C828FC">
              <w:rPr>
                <w:sz w:val="18"/>
                <w:szCs w:val="18"/>
              </w:rPr>
              <w:t>n°</w:t>
            </w:r>
          </w:p>
        </w:tc>
        <w:tc>
          <w:tcPr>
            <w:tcW w:w="2973" w:type="dxa"/>
          </w:tcPr>
          <w:p w14:paraId="682F2390" w14:textId="77777777" w:rsidR="00847C80" w:rsidRPr="00C828FC" w:rsidRDefault="00847C80" w:rsidP="00847C80">
            <w:pPr>
              <w:jc w:val="right"/>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Parameter</w:t>
            </w:r>
          </w:p>
        </w:tc>
        <w:tc>
          <w:tcPr>
            <w:tcW w:w="1058" w:type="dxa"/>
          </w:tcPr>
          <w:p w14:paraId="73743FE6" w14:textId="77777777" w:rsidR="00847C80" w:rsidRPr="00C828FC" w:rsidRDefault="00847C80" w:rsidP="00847C80">
            <w:pPr>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Unit</w:t>
            </w:r>
          </w:p>
        </w:tc>
        <w:tc>
          <w:tcPr>
            <w:tcW w:w="1392" w:type="dxa"/>
          </w:tcPr>
          <w:p w14:paraId="4DC44CAC" w14:textId="77777777" w:rsidR="00847C80" w:rsidRPr="00C828FC" w:rsidRDefault="00847C80" w:rsidP="00847C80">
            <w:pPr>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Baseline value</w:t>
            </w:r>
          </w:p>
        </w:tc>
        <w:tc>
          <w:tcPr>
            <w:tcW w:w="1363" w:type="dxa"/>
          </w:tcPr>
          <w:p w14:paraId="7EBE2E88" w14:textId="77777777" w:rsidR="00847C80" w:rsidRPr="00C828FC" w:rsidRDefault="00847C80" w:rsidP="00847C80">
            <w:pPr>
              <w:cnfStyle w:val="100000000000" w:firstRow="1" w:lastRow="0" w:firstColumn="0" w:lastColumn="0" w:oddVBand="0" w:evenVBand="0" w:oddHBand="0" w:evenHBand="0" w:firstRowFirstColumn="0" w:firstRowLastColumn="0" w:lastRowFirstColumn="0" w:lastRowLastColumn="0"/>
              <w:rPr>
                <w:sz w:val="18"/>
                <w:szCs w:val="18"/>
              </w:rPr>
            </w:pPr>
            <w:r w:rsidRPr="00C828FC">
              <w:rPr>
                <w:sz w:val="18"/>
                <w:szCs w:val="18"/>
              </w:rPr>
              <w:t>Variation range</w:t>
            </w:r>
          </w:p>
        </w:tc>
        <w:tc>
          <w:tcPr>
            <w:tcW w:w="1766" w:type="dxa"/>
          </w:tcPr>
          <w:p w14:paraId="610C259E" w14:textId="77777777" w:rsidR="00847C80" w:rsidRPr="00C828FC" w:rsidRDefault="00847C80" w:rsidP="00380FFD">
            <w:pPr>
              <w:cnfStyle w:val="100000000000" w:firstRow="1" w:lastRow="0" w:firstColumn="0" w:lastColumn="0" w:oddVBand="0" w:evenVBand="0" w:oddHBand="0" w:evenHBand="0" w:firstRowFirstColumn="0" w:firstRowLastColumn="0" w:lastRowFirstColumn="0" w:lastRowLastColumn="0"/>
              <w:rPr>
                <w:i/>
                <w:sz w:val="18"/>
                <w:szCs w:val="18"/>
              </w:rPr>
            </w:pPr>
            <w:r w:rsidRPr="00C828FC">
              <w:rPr>
                <w:i/>
                <w:sz w:val="18"/>
                <w:szCs w:val="18"/>
              </w:rPr>
              <w:t>Comment</w:t>
            </w:r>
          </w:p>
        </w:tc>
      </w:tr>
      <w:tr w:rsidR="00847C80" w:rsidRPr="00C828FC" w14:paraId="140EDD78"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2C9A5BA8" w14:textId="77777777" w:rsidR="00847C80" w:rsidRPr="00C828FC" w:rsidRDefault="00847C80" w:rsidP="00847C80">
            <w:pPr>
              <w:rPr>
                <w:sz w:val="18"/>
                <w:szCs w:val="18"/>
              </w:rPr>
            </w:pPr>
            <w:r w:rsidRPr="00C828FC">
              <w:rPr>
                <w:sz w:val="18"/>
                <w:szCs w:val="18"/>
              </w:rPr>
              <w:t>273</w:t>
            </w:r>
          </w:p>
        </w:tc>
        <w:tc>
          <w:tcPr>
            <w:tcW w:w="2973" w:type="dxa"/>
          </w:tcPr>
          <w:p w14:paraId="38BAFB59" w14:textId="77777777" w:rsidR="00847C80" w:rsidRPr="00C828FC" w:rsidRDefault="00847C8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Washing water</w:t>
            </w:r>
          </w:p>
        </w:tc>
        <w:tc>
          <w:tcPr>
            <w:tcW w:w="1058" w:type="dxa"/>
          </w:tcPr>
          <w:p w14:paraId="78494B76"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m</w:t>
            </w:r>
            <w:r w:rsidRPr="00C828FC">
              <w:rPr>
                <w:sz w:val="18"/>
                <w:szCs w:val="18"/>
                <w:vertAlign w:val="superscript"/>
              </w:rPr>
              <w:t>3</w:t>
            </w:r>
            <w:r w:rsidRPr="00C828FC">
              <w:rPr>
                <w:sz w:val="18"/>
                <w:szCs w:val="18"/>
              </w:rPr>
              <w:t>.t</w:t>
            </w:r>
            <w:r w:rsidRPr="00C828FC">
              <w:rPr>
                <w:sz w:val="18"/>
                <w:szCs w:val="18"/>
                <w:vertAlign w:val="subscript"/>
              </w:rPr>
              <w:t>ww</w:t>
            </w:r>
            <w:r w:rsidRPr="00C828FC">
              <w:rPr>
                <w:sz w:val="18"/>
                <w:szCs w:val="18"/>
                <w:vertAlign w:val="superscript"/>
              </w:rPr>
              <w:t>-1</w:t>
            </w:r>
          </w:p>
        </w:tc>
        <w:tc>
          <w:tcPr>
            <w:tcW w:w="1392" w:type="dxa"/>
          </w:tcPr>
          <w:p w14:paraId="2EE0EEAC"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33</w:t>
            </w:r>
          </w:p>
        </w:tc>
        <w:tc>
          <w:tcPr>
            <w:tcW w:w="1363" w:type="dxa"/>
          </w:tcPr>
          <w:p w14:paraId="0630F941"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12-87</w:t>
            </w:r>
          </w:p>
        </w:tc>
        <w:tc>
          <w:tcPr>
            <w:tcW w:w="1766" w:type="dxa"/>
            <w:vMerge w:val="restart"/>
          </w:tcPr>
          <w:p w14:paraId="1FD6F201" w14:textId="69955C13" w:rsidR="00847C80" w:rsidRPr="00C828FC" w:rsidRDefault="00847C80" w:rsidP="00380FFD">
            <w:pPr>
              <w:cnfStyle w:val="000000100000" w:firstRow="0" w:lastRow="0" w:firstColumn="0" w:lastColumn="0" w:oddVBand="0" w:evenVBand="0" w:oddHBand="1" w:evenHBand="0" w:firstRowFirstColumn="0" w:firstRowLastColumn="0" w:lastRowFirstColumn="0" w:lastRowLastColumn="0"/>
              <w:rPr>
                <w:i/>
                <w:sz w:val="18"/>
                <w:szCs w:val="18"/>
              </w:rPr>
            </w:pPr>
            <w:r w:rsidRPr="00C828FC">
              <w:rPr>
                <w:i/>
                <w:sz w:val="18"/>
                <w:szCs w:val="18"/>
              </w:rPr>
              <w:t xml:space="preserve">See </w:t>
            </w:r>
            <w:r w:rsidR="00380FFD" w:rsidRPr="00C828FC">
              <w:rPr>
                <w:b/>
                <w:i/>
                <w:sz w:val="18"/>
                <w:szCs w:val="18"/>
              </w:rPr>
              <w:fldChar w:fldCharType="begin"/>
            </w:r>
            <w:r w:rsidR="00380FFD" w:rsidRPr="00C828FC">
              <w:rPr>
                <w:b/>
                <w:i/>
                <w:sz w:val="18"/>
                <w:szCs w:val="18"/>
              </w:rPr>
              <w:instrText xml:space="preserve"> REF _Ref144910308 \h  \* MERGEFORMAT </w:instrText>
            </w:r>
            <w:r w:rsidR="00380FFD" w:rsidRPr="00C828FC">
              <w:rPr>
                <w:b/>
                <w:i/>
                <w:sz w:val="18"/>
                <w:szCs w:val="18"/>
              </w:rPr>
            </w:r>
            <w:r w:rsidR="00380FFD" w:rsidRPr="00C828FC">
              <w:rPr>
                <w:b/>
                <w:i/>
                <w:sz w:val="18"/>
                <w:szCs w:val="18"/>
              </w:rPr>
              <w:fldChar w:fldCharType="separate"/>
            </w:r>
            <w:r w:rsidR="00F25F8C" w:rsidRPr="00C828FC">
              <w:rPr>
                <w:b/>
                <w:i/>
                <w:sz w:val="18"/>
                <w:szCs w:val="18"/>
              </w:rPr>
              <w:t xml:space="preserve">Table SI. </w:t>
            </w:r>
            <w:r w:rsidR="00F25F8C" w:rsidRPr="00C828FC">
              <w:rPr>
                <w:b/>
                <w:i/>
                <w:noProof/>
                <w:sz w:val="18"/>
                <w:szCs w:val="18"/>
              </w:rPr>
              <w:t>84</w:t>
            </w:r>
            <w:r w:rsidR="00380FFD" w:rsidRPr="00C828FC">
              <w:rPr>
                <w:b/>
                <w:i/>
                <w:sz w:val="18"/>
                <w:szCs w:val="18"/>
              </w:rPr>
              <w:fldChar w:fldCharType="end"/>
            </w:r>
          </w:p>
        </w:tc>
      </w:tr>
      <w:tr w:rsidR="00847C80" w:rsidRPr="00C828FC" w14:paraId="2F069ABF"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1952F48D" w14:textId="77777777" w:rsidR="00847C80" w:rsidRPr="00C828FC" w:rsidRDefault="00847C80" w:rsidP="00847C80">
            <w:pPr>
              <w:rPr>
                <w:sz w:val="18"/>
                <w:szCs w:val="18"/>
              </w:rPr>
            </w:pPr>
            <w:r w:rsidRPr="00C828FC">
              <w:rPr>
                <w:sz w:val="18"/>
                <w:szCs w:val="18"/>
              </w:rPr>
              <w:t>274</w:t>
            </w:r>
          </w:p>
        </w:tc>
        <w:tc>
          <w:tcPr>
            <w:tcW w:w="2973" w:type="dxa"/>
          </w:tcPr>
          <w:p w14:paraId="1E7C824B" w14:textId="77777777" w:rsidR="00847C80" w:rsidRPr="00C828FC" w:rsidRDefault="00847C80" w:rsidP="00847C80">
            <w:pPr>
              <w:jc w:val="right"/>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Irrigation replacement</w:t>
            </w:r>
          </w:p>
        </w:tc>
        <w:tc>
          <w:tcPr>
            <w:tcW w:w="1058" w:type="dxa"/>
          </w:tcPr>
          <w:p w14:paraId="299F2C26"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w:t>
            </w:r>
          </w:p>
        </w:tc>
        <w:tc>
          <w:tcPr>
            <w:tcW w:w="1392" w:type="dxa"/>
          </w:tcPr>
          <w:p w14:paraId="5A6D6A6C"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50%</w:t>
            </w:r>
          </w:p>
        </w:tc>
        <w:tc>
          <w:tcPr>
            <w:tcW w:w="1363" w:type="dxa"/>
          </w:tcPr>
          <w:p w14:paraId="3298890D"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0-100%</w:t>
            </w:r>
          </w:p>
        </w:tc>
        <w:tc>
          <w:tcPr>
            <w:tcW w:w="1766" w:type="dxa"/>
            <w:vMerge/>
          </w:tcPr>
          <w:p w14:paraId="20CE8D11" w14:textId="77777777" w:rsidR="00847C80" w:rsidRPr="00C828FC" w:rsidRDefault="00847C80" w:rsidP="00380FFD">
            <w:pPr>
              <w:cnfStyle w:val="000000000000" w:firstRow="0" w:lastRow="0" w:firstColumn="0" w:lastColumn="0" w:oddVBand="0" w:evenVBand="0" w:oddHBand="0" w:evenHBand="0" w:firstRowFirstColumn="0" w:firstRowLastColumn="0" w:lastRowFirstColumn="0" w:lastRowLastColumn="0"/>
              <w:rPr>
                <w:i/>
                <w:sz w:val="18"/>
                <w:szCs w:val="18"/>
              </w:rPr>
            </w:pPr>
          </w:p>
        </w:tc>
      </w:tr>
      <w:tr w:rsidR="00847C80" w:rsidRPr="00C828FC" w14:paraId="0C9FA7C6"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2B6B5580" w14:textId="77777777" w:rsidR="00847C80" w:rsidRPr="00C828FC" w:rsidRDefault="00847C80" w:rsidP="00847C80">
            <w:pPr>
              <w:rPr>
                <w:sz w:val="18"/>
                <w:szCs w:val="18"/>
              </w:rPr>
            </w:pPr>
            <w:r w:rsidRPr="00C828FC">
              <w:rPr>
                <w:sz w:val="18"/>
                <w:szCs w:val="18"/>
              </w:rPr>
              <w:t>275</w:t>
            </w:r>
          </w:p>
        </w:tc>
        <w:tc>
          <w:tcPr>
            <w:tcW w:w="2973" w:type="dxa"/>
          </w:tcPr>
          <w:p w14:paraId="4FBBC73F" w14:textId="77777777" w:rsidR="00847C80" w:rsidRPr="00C828FC" w:rsidRDefault="00847C8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Maceration electricity</w:t>
            </w:r>
          </w:p>
        </w:tc>
        <w:tc>
          <w:tcPr>
            <w:tcW w:w="1058" w:type="dxa"/>
          </w:tcPr>
          <w:p w14:paraId="71D79B1E"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kWh.t</w:t>
            </w:r>
            <w:r w:rsidRPr="00C828FC">
              <w:rPr>
                <w:sz w:val="18"/>
                <w:szCs w:val="18"/>
                <w:vertAlign w:val="subscript"/>
              </w:rPr>
              <w:t>ww</w:t>
            </w:r>
            <w:r w:rsidRPr="00C828FC">
              <w:rPr>
                <w:sz w:val="18"/>
                <w:szCs w:val="18"/>
                <w:vertAlign w:val="superscript"/>
              </w:rPr>
              <w:t>-1</w:t>
            </w:r>
          </w:p>
        </w:tc>
        <w:tc>
          <w:tcPr>
            <w:tcW w:w="1392" w:type="dxa"/>
          </w:tcPr>
          <w:p w14:paraId="7766C8ED"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4.1</w:t>
            </w:r>
          </w:p>
        </w:tc>
        <w:tc>
          <w:tcPr>
            <w:tcW w:w="1363" w:type="dxa"/>
          </w:tcPr>
          <w:p w14:paraId="3D373631"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2.8-8.3</w:t>
            </w:r>
          </w:p>
        </w:tc>
        <w:tc>
          <w:tcPr>
            <w:tcW w:w="1766" w:type="dxa"/>
            <w:vMerge w:val="restart"/>
          </w:tcPr>
          <w:p w14:paraId="0A26C6A7" w14:textId="5292E02E" w:rsidR="00847C80" w:rsidRPr="00C828FC" w:rsidRDefault="00847C80" w:rsidP="00380FFD">
            <w:pPr>
              <w:cnfStyle w:val="000000100000" w:firstRow="0" w:lastRow="0" w:firstColumn="0" w:lastColumn="0" w:oddVBand="0" w:evenVBand="0" w:oddHBand="1" w:evenHBand="0" w:firstRowFirstColumn="0" w:firstRowLastColumn="0" w:lastRowFirstColumn="0" w:lastRowLastColumn="0"/>
              <w:rPr>
                <w:i/>
                <w:sz w:val="18"/>
                <w:szCs w:val="18"/>
              </w:rPr>
            </w:pPr>
            <w:r w:rsidRPr="00C828FC">
              <w:rPr>
                <w:i/>
                <w:sz w:val="18"/>
                <w:szCs w:val="18"/>
              </w:rPr>
              <w:t xml:space="preserve">See </w:t>
            </w:r>
            <w:r w:rsidR="00380FFD" w:rsidRPr="00C828FC">
              <w:rPr>
                <w:b/>
                <w:i/>
                <w:sz w:val="18"/>
                <w:szCs w:val="18"/>
              </w:rPr>
              <w:fldChar w:fldCharType="begin"/>
            </w:r>
            <w:r w:rsidR="00380FFD" w:rsidRPr="00C828FC">
              <w:rPr>
                <w:b/>
                <w:i/>
                <w:sz w:val="18"/>
                <w:szCs w:val="18"/>
              </w:rPr>
              <w:instrText xml:space="preserve"> REF _Ref144910510 \h  \* MERGEFORMAT </w:instrText>
            </w:r>
            <w:r w:rsidR="00380FFD" w:rsidRPr="00C828FC">
              <w:rPr>
                <w:b/>
                <w:i/>
                <w:sz w:val="18"/>
                <w:szCs w:val="18"/>
              </w:rPr>
            </w:r>
            <w:r w:rsidR="00380FFD" w:rsidRPr="00C828FC">
              <w:rPr>
                <w:b/>
                <w:i/>
                <w:sz w:val="18"/>
                <w:szCs w:val="18"/>
              </w:rPr>
              <w:fldChar w:fldCharType="separate"/>
            </w:r>
            <w:r w:rsidR="00F25F8C" w:rsidRPr="00C828FC">
              <w:rPr>
                <w:b/>
                <w:i/>
                <w:sz w:val="18"/>
                <w:szCs w:val="18"/>
              </w:rPr>
              <w:t xml:space="preserve">Table SI. </w:t>
            </w:r>
            <w:r w:rsidR="00F25F8C" w:rsidRPr="00C828FC">
              <w:rPr>
                <w:b/>
                <w:i/>
                <w:noProof/>
                <w:sz w:val="18"/>
                <w:szCs w:val="18"/>
              </w:rPr>
              <w:t>86</w:t>
            </w:r>
            <w:r w:rsidR="00380FFD" w:rsidRPr="00C828FC">
              <w:rPr>
                <w:b/>
                <w:i/>
                <w:sz w:val="18"/>
                <w:szCs w:val="18"/>
              </w:rPr>
              <w:fldChar w:fldCharType="end"/>
            </w:r>
          </w:p>
        </w:tc>
      </w:tr>
      <w:tr w:rsidR="00847C80" w:rsidRPr="00C828FC" w14:paraId="301E02D4"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63F405C2" w14:textId="77777777" w:rsidR="00847C80" w:rsidRPr="00C828FC" w:rsidRDefault="00847C80" w:rsidP="00847C80">
            <w:pPr>
              <w:rPr>
                <w:sz w:val="18"/>
                <w:szCs w:val="18"/>
              </w:rPr>
            </w:pPr>
            <w:r w:rsidRPr="00C828FC">
              <w:rPr>
                <w:sz w:val="18"/>
                <w:szCs w:val="18"/>
              </w:rPr>
              <w:t>276</w:t>
            </w:r>
          </w:p>
        </w:tc>
        <w:tc>
          <w:tcPr>
            <w:tcW w:w="2973" w:type="dxa"/>
          </w:tcPr>
          <w:p w14:paraId="238DD179" w14:textId="77777777" w:rsidR="00847C80" w:rsidRPr="00C828FC" w:rsidRDefault="00847C80" w:rsidP="00847C80">
            <w:pPr>
              <w:jc w:val="right"/>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Screw-press electricity</w:t>
            </w:r>
          </w:p>
        </w:tc>
        <w:tc>
          <w:tcPr>
            <w:tcW w:w="1058" w:type="dxa"/>
          </w:tcPr>
          <w:p w14:paraId="12A9DB5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kWh.t</w:t>
            </w:r>
            <w:r w:rsidRPr="00C828FC">
              <w:rPr>
                <w:sz w:val="18"/>
                <w:szCs w:val="18"/>
                <w:vertAlign w:val="subscript"/>
              </w:rPr>
              <w:t>ww</w:t>
            </w:r>
            <w:r w:rsidRPr="00C828FC">
              <w:rPr>
                <w:sz w:val="18"/>
                <w:szCs w:val="18"/>
                <w:vertAlign w:val="superscript"/>
              </w:rPr>
              <w:t>-1</w:t>
            </w:r>
          </w:p>
        </w:tc>
        <w:tc>
          <w:tcPr>
            <w:tcW w:w="1392" w:type="dxa"/>
          </w:tcPr>
          <w:p w14:paraId="194F431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3.4</w:t>
            </w:r>
          </w:p>
        </w:tc>
        <w:tc>
          <w:tcPr>
            <w:tcW w:w="1363" w:type="dxa"/>
          </w:tcPr>
          <w:p w14:paraId="10CC7CBB"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2.3-4.5</w:t>
            </w:r>
          </w:p>
        </w:tc>
        <w:tc>
          <w:tcPr>
            <w:tcW w:w="1766" w:type="dxa"/>
            <w:vMerge/>
          </w:tcPr>
          <w:p w14:paraId="0FD9C317" w14:textId="77777777" w:rsidR="00847C80" w:rsidRPr="00C828FC" w:rsidRDefault="00847C80" w:rsidP="00380FFD">
            <w:pPr>
              <w:cnfStyle w:val="000000000000" w:firstRow="0" w:lastRow="0" w:firstColumn="0" w:lastColumn="0" w:oddVBand="0" w:evenVBand="0" w:oddHBand="0" w:evenHBand="0" w:firstRowFirstColumn="0" w:firstRowLastColumn="0" w:lastRowFirstColumn="0" w:lastRowLastColumn="0"/>
              <w:rPr>
                <w:i/>
                <w:sz w:val="18"/>
                <w:szCs w:val="18"/>
              </w:rPr>
            </w:pPr>
          </w:p>
        </w:tc>
      </w:tr>
      <w:tr w:rsidR="00847C80" w:rsidRPr="00C828FC" w14:paraId="4842AC29"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0A5F3EB5" w14:textId="77777777" w:rsidR="00847C80" w:rsidRPr="00C828FC" w:rsidRDefault="00847C80" w:rsidP="00847C80">
            <w:pPr>
              <w:rPr>
                <w:sz w:val="18"/>
                <w:szCs w:val="18"/>
              </w:rPr>
            </w:pPr>
            <w:r w:rsidRPr="00C828FC">
              <w:rPr>
                <w:sz w:val="18"/>
                <w:szCs w:val="18"/>
              </w:rPr>
              <w:t>277</w:t>
            </w:r>
          </w:p>
        </w:tc>
        <w:tc>
          <w:tcPr>
            <w:tcW w:w="2973" w:type="dxa"/>
          </w:tcPr>
          <w:p w14:paraId="02F5685F" w14:textId="77777777" w:rsidR="00847C80" w:rsidRPr="00C828FC" w:rsidRDefault="00847C8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Protein recovery in green juice</w:t>
            </w:r>
          </w:p>
        </w:tc>
        <w:tc>
          <w:tcPr>
            <w:tcW w:w="1058" w:type="dxa"/>
          </w:tcPr>
          <w:p w14:paraId="1BB1A3FC"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w:t>
            </w:r>
            <w:r w:rsidRPr="00C828FC">
              <w:rPr>
                <w:sz w:val="18"/>
                <w:szCs w:val="18"/>
                <w:vertAlign w:val="subscript"/>
              </w:rPr>
              <w:t>proteins</w:t>
            </w:r>
          </w:p>
        </w:tc>
        <w:tc>
          <w:tcPr>
            <w:tcW w:w="1392" w:type="dxa"/>
          </w:tcPr>
          <w:p w14:paraId="08ECB91E"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36%</w:t>
            </w:r>
          </w:p>
        </w:tc>
        <w:tc>
          <w:tcPr>
            <w:tcW w:w="1363" w:type="dxa"/>
          </w:tcPr>
          <w:p w14:paraId="7C8671B6"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16-69%</w:t>
            </w:r>
          </w:p>
        </w:tc>
        <w:tc>
          <w:tcPr>
            <w:tcW w:w="1766" w:type="dxa"/>
            <w:vMerge/>
          </w:tcPr>
          <w:p w14:paraId="4CC54DB3" w14:textId="77777777" w:rsidR="00847C80" w:rsidRPr="00C828FC" w:rsidRDefault="00847C80" w:rsidP="00380FFD">
            <w:pPr>
              <w:cnfStyle w:val="000000100000" w:firstRow="0" w:lastRow="0" w:firstColumn="0" w:lastColumn="0" w:oddVBand="0" w:evenVBand="0" w:oddHBand="1" w:evenHBand="0" w:firstRowFirstColumn="0" w:firstRowLastColumn="0" w:lastRowFirstColumn="0" w:lastRowLastColumn="0"/>
              <w:rPr>
                <w:i/>
                <w:sz w:val="18"/>
                <w:szCs w:val="18"/>
              </w:rPr>
            </w:pPr>
          </w:p>
        </w:tc>
      </w:tr>
      <w:tr w:rsidR="00847C80" w:rsidRPr="00C828FC" w14:paraId="76BC0828"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40D37C75" w14:textId="77777777" w:rsidR="00847C80" w:rsidRPr="00C828FC" w:rsidRDefault="00847C80" w:rsidP="00847C80">
            <w:pPr>
              <w:rPr>
                <w:sz w:val="18"/>
                <w:szCs w:val="18"/>
              </w:rPr>
            </w:pPr>
            <w:r w:rsidRPr="00C828FC">
              <w:rPr>
                <w:sz w:val="18"/>
                <w:szCs w:val="18"/>
              </w:rPr>
              <w:t>278</w:t>
            </w:r>
          </w:p>
        </w:tc>
        <w:tc>
          <w:tcPr>
            <w:tcW w:w="2973" w:type="dxa"/>
          </w:tcPr>
          <w:p w14:paraId="0C5A6CFF" w14:textId="77777777" w:rsidR="00847C80" w:rsidRPr="00C828FC" w:rsidRDefault="00847C80" w:rsidP="00847C80">
            <w:pPr>
              <w:jc w:val="right"/>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Lipids recovery in green juice</w:t>
            </w:r>
          </w:p>
        </w:tc>
        <w:tc>
          <w:tcPr>
            <w:tcW w:w="1058" w:type="dxa"/>
          </w:tcPr>
          <w:p w14:paraId="041439F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w:t>
            </w:r>
            <w:r w:rsidRPr="00C828FC">
              <w:rPr>
                <w:sz w:val="18"/>
                <w:szCs w:val="18"/>
                <w:vertAlign w:val="subscript"/>
              </w:rPr>
              <w:t>lipids</w:t>
            </w:r>
          </w:p>
        </w:tc>
        <w:tc>
          <w:tcPr>
            <w:tcW w:w="1392" w:type="dxa"/>
          </w:tcPr>
          <w:p w14:paraId="1700B5F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22%</w:t>
            </w:r>
          </w:p>
        </w:tc>
        <w:tc>
          <w:tcPr>
            <w:tcW w:w="1363" w:type="dxa"/>
          </w:tcPr>
          <w:p w14:paraId="11507FAC"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18-59%</w:t>
            </w:r>
          </w:p>
        </w:tc>
        <w:tc>
          <w:tcPr>
            <w:tcW w:w="1766" w:type="dxa"/>
            <w:vMerge/>
          </w:tcPr>
          <w:p w14:paraId="583EA7E6" w14:textId="77777777" w:rsidR="00847C80" w:rsidRPr="00C828FC" w:rsidRDefault="00847C80" w:rsidP="00380FFD">
            <w:pPr>
              <w:cnfStyle w:val="000000000000" w:firstRow="0" w:lastRow="0" w:firstColumn="0" w:lastColumn="0" w:oddVBand="0" w:evenVBand="0" w:oddHBand="0" w:evenHBand="0" w:firstRowFirstColumn="0" w:firstRowLastColumn="0" w:lastRowFirstColumn="0" w:lastRowLastColumn="0"/>
              <w:rPr>
                <w:i/>
                <w:sz w:val="18"/>
                <w:szCs w:val="18"/>
              </w:rPr>
            </w:pPr>
          </w:p>
        </w:tc>
      </w:tr>
      <w:tr w:rsidR="00847C80" w:rsidRPr="00C828FC" w14:paraId="4AC25C99"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2691CC10" w14:textId="77777777" w:rsidR="00847C80" w:rsidRPr="00C828FC" w:rsidRDefault="00847C80" w:rsidP="00847C80">
            <w:pPr>
              <w:rPr>
                <w:sz w:val="18"/>
                <w:szCs w:val="18"/>
              </w:rPr>
            </w:pPr>
            <w:r w:rsidRPr="00C828FC">
              <w:rPr>
                <w:sz w:val="18"/>
                <w:szCs w:val="18"/>
              </w:rPr>
              <w:t>279</w:t>
            </w:r>
          </w:p>
        </w:tc>
        <w:tc>
          <w:tcPr>
            <w:tcW w:w="2973" w:type="dxa"/>
          </w:tcPr>
          <w:p w14:paraId="424E3A15" w14:textId="77777777" w:rsidR="00847C80" w:rsidRPr="00C828FC" w:rsidRDefault="00847C8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Soluble carbs recovery in green juice</w:t>
            </w:r>
          </w:p>
        </w:tc>
        <w:tc>
          <w:tcPr>
            <w:tcW w:w="1058" w:type="dxa"/>
          </w:tcPr>
          <w:p w14:paraId="4E172147"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w:t>
            </w:r>
            <w:r w:rsidRPr="00C828FC">
              <w:rPr>
                <w:sz w:val="18"/>
                <w:szCs w:val="18"/>
                <w:vertAlign w:val="subscript"/>
              </w:rPr>
              <w:t>solubles</w:t>
            </w:r>
          </w:p>
        </w:tc>
        <w:tc>
          <w:tcPr>
            <w:tcW w:w="1392" w:type="dxa"/>
          </w:tcPr>
          <w:p w14:paraId="68647EFA"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40%</w:t>
            </w:r>
          </w:p>
        </w:tc>
        <w:tc>
          <w:tcPr>
            <w:tcW w:w="1363" w:type="dxa"/>
          </w:tcPr>
          <w:p w14:paraId="72682305"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15-70%</w:t>
            </w:r>
          </w:p>
        </w:tc>
        <w:tc>
          <w:tcPr>
            <w:tcW w:w="1766" w:type="dxa"/>
            <w:vMerge/>
          </w:tcPr>
          <w:p w14:paraId="20146DBB" w14:textId="77777777" w:rsidR="00847C80" w:rsidRPr="00C828FC" w:rsidRDefault="00847C80" w:rsidP="00380FFD">
            <w:pPr>
              <w:cnfStyle w:val="000000100000" w:firstRow="0" w:lastRow="0" w:firstColumn="0" w:lastColumn="0" w:oddVBand="0" w:evenVBand="0" w:oddHBand="1" w:evenHBand="0" w:firstRowFirstColumn="0" w:firstRowLastColumn="0" w:lastRowFirstColumn="0" w:lastRowLastColumn="0"/>
              <w:rPr>
                <w:i/>
                <w:sz w:val="18"/>
                <w:szCs w:val="18"/>
              </w:rPr>
            </w:pPr>
          </w:p>
        </w:tc>
      </w:tr>
      <w:tr w:rsidR="00847C80" w:rsidRPr="00C828FC" w14:paraId="5923348F"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1D67463B" w14:textId="77777777" w:rsidR="00847C80" w:rsidRPr="00C828FC" w:rsidRDefault="00847C80" w:rsidP="00847C80">
            <w:pPr>
              <w:rPr>
                <w:sz w:val="18"/>
                <w:szCs w:val="18"/>
              </w:rPr>
            </w:pPr>
            <w:r w:rsidRPr="00C828FC">
              <w:rPr>
                <w:sz w:val="18"/>
                <w:szCs w:val="18"/>
              </w:rPr>
              <w:t>280</w:t>
            </w:r>
          </w:p>
        </w:tc>
        <w:tc>
          <w:tcPr>
            <w:tcW w:w="2973" w:type="dxa"/>
          </w:tcPr>
          <w:p w14:paraId="1DFE0773" w14:textId="77777777" w:rsidR="00847C80" w:rsidRPr="00C828FC" w:rsidRDefault="00847C80" w:rsidP="00847C80">
            <w:pPr>
              <w:jc w:val="right"/>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Hemicellulose recovery in green juice</w:t>
            </w:r>
          </w:p>
        </w:tc>
        <w:tc>
          <w:tcPr>
            <w:tcW w:w="1058" w:type="dxa"/>
          </w:tcPr>
          <w:p w14:paraId="35707B3A"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w:t>
            </w:r>
            <w:r w:rsidRPr="00C828FC">
              <w:rPr>
                <w:sz w:val="18"/>
                <w:szCs w:val="18"/>
                <w:vertAlign w:val="subscript"/>
              </w:rPr>
              <w:t>hemicel.</w:t>
            </w:r>
          </w:p>
        </w:tc>
        <w:tc>
          <w:tcPr>
            <w:tcW w:w="1392" w:type="dxa"/>
          </w:tcPr>
          <w:p w14:paraId="37343F9B"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15%</w:t>
            </w:r>
          </w:p>
        </w:tc>
        <w:tc>
          <w:tcPr>
            <w:tcW w:w="1363" w:type="dxa"/>
          </w:tcPr>
          <w:p w14:paraId="6A78E77C"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10-19%</w:t>
            </w:r>
          </w:p>
        </w:tc>
        <w:tc>
          <w:tcPr>
            <w:tcW w:w="1766" w:type="dxa"/>
            <w:vMerge/>
          </w:tcPr>
          <w:p w14:paraId="3B557982" w14:textId="77777777" w:rsidR="00847C80" w:rsidRPr="00C828FC" w:rsidRDefault="00847C80" w:rsidP="00380FFD">
            <w:pPr>
              <w:cnfStyle w:val="000000000000" w:firstRow="0" w:lastRow="0" w:firstColumn="0" w:lastColumn="0" w:oddVBand="0" w:evenVBand="0" w:oddHBand="0" w:evenHBand="0" w:firstRowFirstColumn="0" w:firstRowLastColumn="0" w:lastRowFirstColumn="0" w:lastRowLastColumn="0"/>
              <w:rPr>
                <w:i/>
                <w:sz w:val="18"/>
                <w:szCs w:val="18"/>
              </w:rPr>
            </w:pPr>
          </w:p>
        </w:tc>
      </w:tr>
      <w:tr w:rsidR="00847C80" w:rsidRPr="00C828FC" w14:paraId="289DA2DF"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36A444F7" w14:textId="77777777" w:rsidR="00847C80" w:rsidRPr="00C828FC" w:rsidRDefault="00847C80" w:rsidP="00847C80">
            <w:pPr>
              <w:rPr>
                <w:sz w:val="18"/>
                <w:szCs w:val="18"/>
              </w:rPr>
            </w:pPr>
            <w:r w:rsidRPr="00C828FC">
              <w:rPr>
                <w:sz w:val="18"/>
                <w:szCs w:val="18"/>
              </w:rPr>
              <w:t>281</w:t>
            </w:r>
          </w:p>
        </w:tc>
        <w:tc>
          <w:tcPr>
            <w:tcW w:w="2973" w:type="dxa"/>
          </w:tcPr>
          <w:p w14:paraId="56F68A9A" w14:textId="77777777" w:rsidR="00847C80" w:rsidRPr="00C828FC" w:rsidRDefault="00847C8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Ashes recovery in green juice</w:t>
            </w:r>
          </w:p>
        </w:tc>
        <w:tc>
          <w:tcPr>
            <w:tcW w:w="1058" w:type="dxa"/>
          </w:tcPr>
          <w:p w14:paraId="4B300BBD"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w:t>
            </w:r>
            <w:r w:rsidRPr="00C828FC">
              <w:rPr>
                <w:sz w:val="18"/>
                <w:szCs w:val="18"/>
                <w:vertAlign w:val="subscript"/>
              </w:rPr>
              <w:t>ashes</w:t>
            </w:r>
          </w:p>
        </w:tc>
        <w:tc>
          <w:tcPr>
            <w:tcW w:w="1392" w:type="dxa"/>
          </w:tcPr>
          <w:p w14:paraId="0D3F2AAE"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46%</w:t>
            </w:r>
          </w:p>
        </w:tc>
        <w:tc>
          <w:tcPr>
            <w:tcW w:w="1363" w:type="dxa"/>
          </w:tcPr>
          <w:p w14:paraId="4B550098"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22-59%</w:t>
            </w:r>
          </w:p>
        </w:tc>
        <w:tc>
          <w:tcPr>
            <w:tcW w:w="1766" w:type="dxa"/>
            <w:vMerge/>
          </w:tcPr>
          <w:p w14:paraId="1704A794" w14:textId="77777777" w:rsidR="00847C80" w:rsidRPr="00C828FC" w:rsidRDefault="00847C80" w:rsidP="00380FFD">
            <w:pPr>
              <w:cnfStyle w:val="000000100000" w:firstRow="0" w:lastRow="0" w:firstColumn="0" w:lastColumn="0" w:oddVBand="0" w:evenVBand="0" w:oddHBand="1" w:evenHBand="0" w:firstRowFirstColumn="0" w:firstRowLastColumn="0" w:lastRowFirstColumn="0" w:lastRowLastColumn="0"/>
              <w:rPr>
                <w:i/>
                <w:sz w:val="18"/>
                <w:szCs w:val="18"/>
              </w:rPr>
            </w:pPr>
          </w:p>
        </w:tc>
      </w:tr>
      <w:tr w:rsidR="00847C80" w:rsidRPr="00C828FC" w14:paraId="6D402F6A"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427E1124" w14:textId="77777777" w:rsidR="00847C80" w:rsidRPr="00C828FC" w:rsidRDefault="00847C80" w:rsidP="00847C80">
            <w:pPr>
              <w:rPr>
                <w:sz w:val="18"/>
                <w:szCs w:val="18"/>
              </w:rPr>
            </w:pPr>
            <w:r w:rsidRPr="00C828FC">
              <w:rPr>
                <w:sz w:val="18"/>
                <w:szCs w:val="18"/>
              </w:rPr>
              <w:t>282</w:t>
            </w:r>
          </w:p>
        </w:tc>
        <w:tc>
          <w:tcPr>
            <w:tcW w:w="2973" w:type="dxa"/>
          </w:tcPr>
          <w:p w14:paraId="79645A88" w14:textId="77777777" w:rsidR="00847C80" w:rsidRPr="00C828FC" w:rsidRDefault="00847C80" w:rsidP="00847C80">
            <w:pPr>
              <w:jc w:val="right"/>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Fibers recovery in green juice</w:t>
            </w:r>
          </w:p>
        </w:tc>
        <w:tc>
          <w:tcPr>
            <w:tcW w:w="1058" w:type="dxa"/>
          </w:tcPr>
          <w:p w14:paraId="19F2060D"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w:t>
            </w:r>
            <w:r w:rsidRPr="00C828FC">
              <w:rPr>
                <w:sz w:val="18"/>
                <w:szCs w:val="18"/>
                <w:vertAlign w:val="subscript"/>
              </w:rPr>
              <w:t>fibers</w:t>
            </w:r>
          </w:p>
        </w:tc>
        <w:tc>
          <w:tcPr>
            <w:tcW w:w="1392" w:type="dxa"/>
          </w:tcPr>
          <w:p w14:paraId="74DED0E6"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3%</w:t>
            </w:r>
          </w:p>
        </w:tc>
        <w:tc>
          <w:tcPr>
            <w:tcW w:w="1363" w:type="dxa"/>
          </w:tcPr>
          <w:p w14:paraId="2300FFE4"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1-19%</w:t>
            </w:r>
          </w:p>
        </w:tc>
        <w:tc>
          <w:tcPr>
            <w:tcW w:w="1766" w:type="dxa"/>
            <w:vMerge/>
          </w:tcPr>
          <w:p w14:paraId="78659CE0" w14:textId="77777777" w:rsidR="00847C80" w:rsidRPr="00C828FC" w:rsidRDefault="00847C80" w:rsidP="00380FFD">
            <w:pPr>
              <w:cnfStyle w:val="000000000000" w:firstRow="0" w:lastRow="0" w:firstColumn="0" w:lastColumn="0" w:oddVBand="0" w:evenVBand="0" w:oddHBand="0" w:evenHBand="0" w:firstRowFirstColumn="0" w:firstRowLastColumn="0" w:lastRowFirstColumn="0" w:lastRowLastColumn="0"/>
              <w:rPr>
                <w:i/>
                <w:sz w:val="18"/>
                <w:szCs w:val="18"/>
              </w:rPr>
            </w:pPr>
          </w:p>
        </w:tc>
      </w:tr>
      <w:tr w:rsidR="00847C80" w:rsidRPr="00C828FC" w14:paraId="7BCB9FB3"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5267E107" w14:textId="77777777" w:rsidR="00847C80" w:rsidRPr="00C828FC" w:rsidRDefault="00847C80" w:rsidP="00847C80">
            <w:pPr>
              <w:rPr>
                <w:sz w:val="18"/>
                <w:szCs w:val="18"/>
              </w:rPr>
            </w:pPr>
            <w:r w:rsidRPr="00C828FC">
              <w:rPr>
                <w:sz w:val="18"/>
                <w:szCs w:val="18"/>
              </w:rPr>
              <w:t>283</w:t>
            </w:r>
          </w:p>
        </w:tc>
        <w:tc>
          <w:tcPr>
            <w:tcW w:w="2973" w:type="dxa"/>
          </w:tcPr>
          <w:p w14:paraId="7630BC8E" w14:textId="77777777" w:rsidR="00847C80" w:rsidRPr="00C828FC" w:rsidRDefault="00847C8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P recovery in green juice</w:t>
            </w:r>
          </w:p>
        </w:tc>
        <w:tc>
          <w:tcPr>
            <w:tcW w:w="1058" w:type="dxa"/>
          </w:tcPr>
          <w:p w14:paraId="46BE8CD2"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w:t>
            </w:r>
            <w:r w:rsidRPr="00C828FC">
              <w:rPr>
                <w:sz w:val="18"/>
                <w:szCs w:val="18"/>
                <w:vertAlign w:val="subscript"/>
              </w:rPr>
              <w:t>P</w:t>
            </w:r>
          </w:p>
        </w:tc>
        <w:tc>
          <w:tcPr>
            <w:tcW w:w="1392" w:type="dxa"/>
          </w:tcPr>
          <w:p w14:paraId="172D2A3C"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61%</w:t>
            </w:r>
          </w:p>
        </w:tc>
        <w:tc>
          <w:tcPr>
            <w:tcW w:w="1363" w:type="dxa"/>
          </w:tcPr>
          <w:p w14:paraId="3ABA0063"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44-67%</w:t>
            </w:r>
          </w:p>
        </w:tc>
        <w:tc>
          <w:tcPr>
            <w:tcW w:w="1766" w:type="dxa"/>
            <w:vMerge/>
          </w:tcPr>
          <w:p w14:paraId="0CAD9F79" w14:textId="77777777" w:rsidR="00847C80" w:rsidRPr="00C828FC" w:rsidRDefault="00847C80" w:rsidP="00380FFD">
            <w:pPr>
              <w:cnfStyle w:val="000000100000" w:firstRow="0" w:lastRow="0" w:firstColumn="0" w:lastColumn="0" w:oddVBand="0" w:evenVBand="0" w:oddHBand="1" w:evenHBand="0" w:firstRowFirstColumn="0" w:firstRowLastColumn="0" w:lastRowFirstColumn="0" w:lastRowLastColumn="0"/>
              <w:rPr>
                <w:i/>
                <w:sz w:val="18"/>
                <w:szCs w:val="18"/>
              </w:rPr>
            </w:pPr>
          </w:p>
        </w:tc>
      </w:tr>
      <w:tr w:rsidR="00847C80" w:rsidRPr="00C828FC" w14:paraId="0D84B7F6"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4DBA7F73" w14:textId="77777777" w:rsidR="00847C80" w:rsidRPr="00C828FC" w:rsidRDefault="00847C80" w:rsidP="00847C80">
            <w:pPr>
              <w:rPr>
                <w:sz w:val="18"/>
                <w:szCs w:val="18"/>
              </w:rPr>
            </w:pPr>
            <w:r w:rsidRPr="00C828FC">
              <w:rPr>
                <w:sz w:val="18"/>
                <w:szCs w:val="18"/>
              </w:rPr>
              <w:t>284</w:t>
            </w:r>
          </w:p>
        </w:tc>
        <w:tc>
          <w:tcPr>
            <w:tcW w:w="2973" w:type="dxa"/>
          </w:tcPr>
          <w:p w14:paraId="06B84E80" w14:textId="77777777" w:rsidR="00847C80" w:rsidRPr="00C828FC" w:rsidRDefault="00847C80" w:rsidP="00847C80">
            <w:pPr>
              <w:jc w:val="right"/>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K recovery in green juice</w:t>
            </w:r>
          </w:p>
        </w:tc>
        <w:tc>
          <w:tcPr>
            <w:tcW w:w="1058" w:type="dxa"/>
          </w:tcPr>
          <w:p w14:paraId="67A8314E"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w:t>
            </w:r>
            <w:r w:rsidRPr="00C828FC">
              <w:rPr>
                <w:sz w:val="18"/>
                <w:szCs w:val="18"/>
                <w:vertAlign w:val="subscript"/>
              </w:rPr>
              <w:t>K</w:t>
            </w:r>
          </w:p>
        </w:tc>
        <w:tc>
          <w:tcPr>
            <w:tcW w:w="1392" w:type="dxa"/>
          </w:tcPr>
          <w:p w14:paraId="3A786F0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64%</w:t>
            </w:r>
          </w:p>
        </w:tc>
        <w:tc>
          <w:tcPr>
            <w:tcW w:w="1363" w:type="dxa"/>
          </w:tcPr>
          <w:p w14:paraId="394741E5"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57-78%</w:t>
            </w:r>
          </w:p>
        </w:tc>
        <w:tc>
          <w:tcPr>
            <w:tcW w:w="1766" w:type="dxa"/>
            <w:vMerge/>
          </w:tcPr>
          <w:p w14:paraId="7DB7C16F" w14:textId="77777777" w:rsidR="00847C80" w:rsidRPr="00C828FC" w:rsidRDefault="00847C80" w:rsidP="00380FFD">
            <w:pPr>
              <w:cnfStyle w:val="000000000000" w:firstRow="0" w:lastRow="0" w:firstColumn="0" w:lastColumn="0" w:oddVBand="0" w:evenVBand="0" w:oddHBand="0" w:evenHBand="0" w:firstRowFirstColumn="0" w:firstRowLastColumn="0" w:lastRowFirstColumn="0" w:lastRowLastColumn="0"/>
              <w:rPr>
                <w:i/>
                <w:sz w:val="18"/>
                <w:szCs w:val="18"/>
              </w:rPr>
            </w:pPr>
          </w:p>
        </w:tc>
      </w:tr>
      <w:tr w:rsidR="00847C80" w:rsidRPr="00C828FC" w14:paraId="2BB523C3"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37921CED" w14:textId="77777777" w:rsidR="00847C80" w:rsidRPr="00C828FC" w:rsidRDefault="00847C80" w:rsidP="00847C80">
            <w:pPr>
              <w:rPr>
                <w:sz w:val="18"/>
                <w:szCs w:val="18"/>
              </w:rPr>
            </w:pPr>
            <w:r w:rsidRPr="00C828FC">
              <w:rPr>
                <w:sz w:val="18"/>
                <w:szCs w:val="18"/>
              </w:rPr>
              <w:t>285</w:t>
            </w:r>
          </w:p>
        </w:tc>
        <w:tc>
          <w:tcPr>
            <w:tcW w:w="2973" w:type="dxa"/>
          </w:tcPr>
          <w:p w14:paraId="7B6C91A7" w14:textId="77777777" w:rsidR="00847C80" w:rsidRPr="00C828FC" w:rsidRDefault="00847C8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Heat for protein coaggulation</w:t>
            </w:r>
          </w:p>
        </w:tc>
        <w:tc>
          <w:tcPr>
            <w:tcW w:w="1058" w:type="dxa"/>
          </w:tcPr>
          <w:p w14:paraId="0F1CA08B"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rFonts w:cs="Times New Roman"/>
                <w:sz w:val="18"/>
                <w:szCs w:val="18"/>
              </w:rPr>
            </w:pPr>
            <w:r w:rsidRPr="00C828FC">
              <w:rPr>
                <w:rFonts w:cs="Times New Roman"/>
                <w:sz w:val="18"/>
                <w:szCs w:val="18"/>
              </w:rPr>
              <w:t>MJ.t</w:t>
            </w:r>
            <w:r w:rsidRPr="00C828FC">
              <w:rPr>
                <w:rFonts w:cs="Times New Roman"/>
                <w:sz w:val="18"/>
                <w:szCs w:val="18"/>
                <w:vertAlign w:val="subscript"/>
              </w:rPr>
              <w:t>ww</w:t>
            </w:r>
            <w:r w:rsidRPr="00C828FC">
              <w:rPr>
                <w:rFonts w:cs="Times New Roman"/>
                <w:sz w:val="18"/>
                <w:szCs w:val="18"/>
                <w:vertAlign w:val="superscript"/>
              </w:rPr>
              <w:t>-1</w:t>
            </w:r>
          </w:p>
        </w:tc>
        <w:tc>
          <w:tcPr>
            <w:tcW w:w="1392" w:type="dxa"/>
          </w:tcPr>
          <w:p w14:paraId="5847A520"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270</w:t>
            </w:r>
          </w:p>
        </w:tc>
        <w:tc>
          <w:tcPr>
            <w:tcW w:w="1363" w:type="dxa"/>
          </w:tcPr>
          <w:p w14:paraId="4F96920B"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252-294</w:t>
            </w:r>
          </w:p>
        </w:tc>
        <w:tc>
          <w:tcPr>
            <w:tcW w:w="1766" w:type="dxa"/>
            <w:vMerge w:val="restart"/>
          </w:tcPr>
          <w:p w14:paraId="5E6D8C88" w14:textId="50CED477" w:rsidR="00847C80" w:rsidRPr="00C828FC" w:rsidRDefault="00847C80" w:rsidP="00380FFD">
            <w:pPr>
              <w:cnfStyle w:val="000000100000" w:firstRow="0" w:lastRow="0" w:firstColumn="0" w:lastColumn="0" w:oddVBand="0" w:evenVBand="0" w:oddHBand="1" w:evenHBand="0" w:firstRowFirstColumn="0" w:firstRowLastColumn="0" w:lastRowFirstColumn="0" w:lastRowLastColumn="0"/>
              <w:rPr>
                <w:i/>
                <w:sz w:val="18"/>
                <w:szCs w:val="18"/>
              </w:rPr>
            </w:pPr>
            <w:r w:rsidRPr="00C828FC">
              <w:rPr>
                <w:i/>
                <w:sz w:val="18"/>
                <w:szCs w:val="18"/>
              </w:rPr>
              <w:t xml:space="preserve">See </w:t>
            </w:r>
            <w:r w:rsidR="00380FFD" w:rsidRPr="00C828FC">
              <w:rPr>
                <w:b/>
                <w:i/>
                <w:sz w:val="18"/>
                <w:szCs w:val="18"/>
              </w:rPr>
              <w:fldChar w:fldCharType="begin"/>
            </w:r>
            <w:r w:rsidR="00380FFD" w:rsidRPr="00C828FC">
              <w:rPr>
                <w:b/>
                <w:i/>
                <w:sz w:val="18"/>
                <w:szCs w:val="18"/>
              </w:rPr>
              <w:instrText xml:space="preserve"> REF _Ref144910773 \h  \* MERGEFORMAT </w:instrText>
            </w:r>
            <w:r w:rsidR="00380FFD" w:rsidRPr="00C828FC">
              <w:rPr>
                <w:b/>
                <w:i/>
                <w:sz w:val="18"/>
                <w:szCs w:val="18"/>
              </w:rPr>
            </w:r>
            <w:r w:rsidR="00380FFD" w:rsidRPr="00C828FC">
              <w:rPr>
                <w:b/>
                <w:i/>
                <w:sz w:val="18"/>
                <w:szCs w:val="18"/>
              </w:rPr>
              <w:fldChar w:fldCharType="separate"/>
            </w:r>
            <w:r w:rsidR="00F25F8C" w:rsidRPr="00C828FC">
              <w:rPr>
                <w:b/>
                <w:i/>
                <w:sz w:val="18"/>
                <w:szCs w:val="18"/>
              </w:rPr>
              <w:t xml:space="preserve">Table SI. </w:t>
            </w:r>
            <w:r w:rsidR="00F25F8C" w:rsidRPr="00C828FC">
              <w:rPr>
                <w:b/>
                <w:i/>
                <w:noProof/>
                <w:sz w:val="18"/>
                <w:szCs w:val="18"/>
              </w:rPr>
              <w:t>88</w:t>
            </w:r>
            <w:r w:rsidR="00380FFD" w:rsidRPr="00C828FC">
              <w:rPr>
                <w:b/>
                <w:i/>
                <w:sz w:val="18"/>
                <w:szCs w:val="18"/>
              </w:rPr>
              <w:fldChar w:fldCharType="end"/>
            </w:r>
          </w:p>
        </w:tc>
      </w:tr>
      <w:tr w:rsidR="00847C80" w:rsidRPr="00C828FC" w14:paraId="5C410862"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5F29A7F6" w14:textId="77777777" w:rsidR="00847C80" w:rsidRPr="00C828FC" w:rsidRDefault="00847C80" w:rsidP="00847C80">
            <w:pPr>
              <w:rPr>
                <w:sz w:val="18"/>
                <w:szCs w:val="18"/>
              </w:rPr>
            </w:pPr>
            <w:r w:rsidRPr="00C828FC">
              <w:rPr>
                <w:sz w:val="18"/>
                <w:szCs w:val="18"/>
              </w:rPr>
              <w:t>286</w:t>
            </w:r>
          </w:p>
        </w:tc>
        <w:tc>
          <w:tcPr>
            <w:tcW w:w="2973" w:type="dxa"/>
          </w:tcPr>
          <w:p w14:paraId="5C1D6414" w14:textId="77777777" w:rsidR="00847C80" w:rsidRPr="00C828FC" w:rsidRDefault="00847C80" w:rsidP="00847C80">
            <w:pPr>
              <w:jc w:val="right"/>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Protein separation electricity</w:t>
            </w:r>
          </w:p>
        </w:tc>
        <w:tc>
          <w:tcPr>
            <w:tcW w:w="1058" w:type="dxa"/>
          </w:tcPr>
          <w:p w14:paraId="6E9539B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kWh.t</w:t>
            </w:r>
            <w:r w:rsidRPr="00C828FC">
              <w:rPr>
                <w:sz w:val="18"/>
                <w:szCs w:val="18"/>
                <w:vertAlign w:val="subscript"/>
              </w:rPr>
              <w:t>ww</w:t>
            </w:r>
            <w:r w:rsidRPr="00C828FC">
              <w:rPr>
                <w:sz w:val="18"/>
                <w:szCs w:val="18"/>
                <w:vertAlign w:val="superscript"/>
              </w:rPr>
              <w:t>-1</w:t>
            </w:r>
          </w:p>
        </w:tc>
        <w:tc>
          <w:tcPr>
            <w:tcW w:w="1392" w:type="dxa"/>
          </w:tcPr>
          <w:p w14:paraId="6DD320C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5</w:t>
            </w:r>
          </w:p>
        </w:tc>
        <w:tc>
          <w:tcPr>
            <w:tcW w:w="1363" w:type="dxa"/>
          </w:tcPr>
          <w:p w14:paraId="579C63DA"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1.4-11.1</w:t>
            </w:r>
          </w:p>
        </w:tc>
        <w:tc>
          <w:tcPr>
            <w:tcW w:w="1766" w:type="dxa"/>
            <w:vMerge/>
          </w:tcPr>
          <w:p w14:paraId="25AF9703" w14:textId="77777777" w:rsidR="00847C80" w:rsidRPr="00C828FC" w:rsidRDefault="00847C80" w:rsidP="00380FFD">
            <w:pPr>
              <w:cnfStyle w:val="000000000000" w:firstRow="0" w:lastRow="0" w:firstColumn="0" w:lastColumn="0" w:oddVBand="0" w:evenVBand="0" w:oddHBand="0" w:evenHBand="0" w:firstRowFirstColumn="0" w:firstRowLastColumn="0" w:lastRowFirstColumn="0" w:lastRowLastColumn="0"/>
              <w:rPr>
                <w:i/>
                <w:sz w:val="18"/>
                <w:szCs w:val="18"/>
              </w:rPr>
            </w:pPr>
          </w:p>
        </w:tc>
      </w:tr>
      <w:tr w:rsidR="00847C80" w:rsidRPr="00C828FC" w14:paraId="2E1FD582"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45EB7D94" w14:textId="77777777" w:rsidR="00847C80" w:rsidRPr="00C828FC" w:rsidRDefault="00847C80" w:rsidP="00847C80">
            <w:pPr>
              <w:rPr>
                <w:sz w:val="18"/>
                <w:szCs w:val="18"/>
              </w:rPr>
            </w:pPr>
            <w:r w:rsidRPr="00C828FC">
              <w:rPr>
                <w:sz w:val="18"/>
                <w:szCs w:val="18"/>
              </w:rPr>
              <w:t>287</w:t>
            </w:r>
          </w:p>
        </w:tc>
        <w:tc>
          <w:tcPr>
            <w:tcW w:w="2973" w:type="dxa"/>
          </w:tcPr>
          <w:p w14:paraId="763D78C5" w14:textId="77777777" w:rsidR="00847C80" w:rsidRPr="00C828FC" w:rsidRDefault="00847C8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Protein recovery in green pellet</w:t>
            </w:r>
          </w:p>
        </w:tc>
        <w:tc>
          <w:tcPr>
            <w:tcW w:w="1058" w:type="dxa"/>
          </w:tcPr>
          <w:p w14:paraId="2F4F0DE3"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w:t>
            </w:r>
            <w:r w:rsidRPr="00C828FC">
              <w:rPr>
                <w:sz w:val="18"/>
                <w:szCs w:val="18"/>
                <w:vertAlign w:val="subscript"/>
              </w:rPr>
              <w:t>proteins</w:t>
            </w:r>
          </w:p>
        </w:tc>
        <w:tc>
          <w:tcPr>
            <w:tcW w:w="1392" w:type="dxa"/>
          </w:tcPr>
          <w:p w14:paraId="06D47BBC"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50%</w:t>
            </w:r>
          </w:p>
        </w:tc>
        <w:tc>
          <w:tcPr>
            <w:tcW w:w="1363" w:type="dxa"/>
          </w:tcPr>
          <w:p w14:paraId="209B8C9A"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30-90%</w:t>
            </w:r>
          </w:p>
        </w:tc>
        <w:tc>
          <w:tcPr>
            <w:tcW w:w="1766" w:type="dxa"/>
            <w:vMerge/>
          </w:tcPr>
          <w:p w14:paraId="0A6DB75B" w14:textId="77777777" w:rsidR="00847C80" w:rsidRPr="00C828FC" w:rsidRDefault="00847C80" w:rsidP="00380FFD">
            <w:pPr>
              <w:cnfStyle w:val="000000100000" w:firstRow="0" w:lastRow="0" w:firstColumn="0" w:lastColumn="0" w:oddVBand="0" w:evenVBand="0" w:oddHBand="1" w:evenHBand="0" w:firstRowFirstColumn="0" w:firstRowLastColumn="0" w:lastRowFirstColumn="0" w:lastRowLastColumn="0"/>
              <w:rPr>
                <w:i/>
                <w:sz w:val="18"/>
                <w:szCs w:val="18"/>
              </w:rPr>
            </w:pPr>
          </w:p>
        </w:tc>
      </w:tr>
      <w:tr w:rsidR="00847C80" w:rsidRPr="00C828FC" w14:paraId="33F47192"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164E9F97" w14:textId="77777777" w:rsidR="00847C80" w:rsidRPr="00C828FC" w:rsidRDefault="00847C80" w:rsidP="00847C80">
            <w:pPr>
              <w:rPr>
                <w:sz w:val="18"/>
                <w:szCs w:val="18"/>
              </w:rPr>
            </w:pPr>
            <w:r w:rsidRPr="00C828FC">
              <w:rPr>
                <w:sz w:val="18"/>
                <w:szCs w:val="18"/>
              </w:rPr>
              <w:t>288</w:t>
            </w:r>
          </w:p>
        </w:tc>
        <w:tc>
          <w:tcPr>
            <w:tcW w:w="2973" w:type="dxa"/>
          </w:tcPr>
          <w:p w14:paraId="614D22A5" w14:textId="77777777" w:rsidR="00847C80" w:rsidRPr="00C828FC" w:rsidRDefault="00847C80" w:rsidP="00847C80">
            <w:pPr>
              <w:jc w:val="right"/>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Ashes recovery in green pellet</w:t>
            </w:r>
          </w:p>
        </w:tc>
        <w:tc>
          <w:tcPr>
            <w:tcW w:w="1058" w:type="dxa"/>
          </w:tcPr>
          <w:p w14:paraId="6736F605"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w:t>
            </w:r>
            <w:r w:rsidRPr="00C828FC">
              <w:rPr>
                <w:sz w:val="18"/>
                <w:szCs w:val="18"/>
                <w:vertAlign w:val="subscript"/>
              </w:rPr>
              <w:t>ashes</w:t>
            </w:r>
          </w:p>
        </w:tc>
        <w:tc>
          <w:tcPr>
            <w:tcW w:w="1392" w:type="dxa"/>
          </w:tcPr>
          <w:p w14:paraId="4289151A"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15%</w:t>
            </w:r>
          </w:p>
        </w:tc>
        <w:tc>
          <w:tcPr>
            <w:tcW w:w="1363" w:type="dxa"/>
          </w:tcPr>
          <w:p w14:paraId="1FFB66E1"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13-50%</w:t>
            </w:r>
          </w:p>
        </w:tc>
        <w:tc>
          <w:tcPr>
            <w:tcW w:w="1766" w:type="dxa"/>
            <w:vMerge/>
          </w:tcPr>
          <w:p w14:paraId="0AA696D0" w14:textId="77777777" w:rsidR="00847C80" w:rsidRPr="00C828FC" w:rsidRDefault="00847C80" w:rsidP="00380FFD">
            <w:pPr>
              <w:cnfStyle w:val="000000000000" w:firstRow="0" w:lastRow="0" w:firstColumn="0" w:lastColumn="0" w:oddVBand="0" w:evenVBand="0" w:oddHBand="0" w:evenHBand="0" w:firstRowFirstColumn="0" w:firstRowLastColumn="0" w:lastRowFirstColumn="0" w:lastRowLastColumn="0"/>
              <w:rPr>
                <w:i/>
                <w:sz w:val="18"/>
                <w:szCs w:val="18"/>
              </w:rPr>
            </w:pPr>
          </w:p>
        </w:tc>
      </w:tr>
      <w:tr w:rsidR="00847C80" w:rsidRPr="00C828FC" w14:paraId="69BF640B"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43B5B6DF" w14:textId="77777777" w:rsidR="00847C80" w:rsidRPr="00C828FC" w:rsidRDefault="00847C80" w:rsidP="00847C80">
            <w:pPr>
              <w:rPr>
                <w:sz w:val="18"/>
                <w:szCs w:val="18"/>
              </w:rPr>
            </w:pPr>
            <w:r w:rsidRPr="00C828FC">
              <w:rPr>
                <w:sz w:val="18"/>
                <w:szCs w:val="18"/>
              </w:rPr>
              <w:t>289</w:t>
            </w:r>
          </w:p>
        </w:tc>
        <w:tc>
          <w:tcPr>
            <w:tcW w:w="2973" w:type="dxa"/>
          </w:tcPr>
          <w:p w14:paraId="2D3551C5" w14:textId="77777777" w:rsidR="00847C80" w:rsidRPr="00C828FC" w:rsidRDefault="00847C8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Soluble carbs recovery in green pellet</w:t>
            </w:r>
          </w:p>
        </w:tc>
        <w:tc>
          <w:tcPr>
            <w:tcW w:w="1058" w:type="dxa"/>
          </w:tcPr>
          <w:p w14:paraId="718EB45A"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w:t>
            </w:r>
            <w:r w:rsidRPr="00C828FC">
              <w:rPr>
                <w:sz w:val="18"/>
                <w:szCs w:val="18"/>
                <w:vertAlign w:val="subscript"/>
              </w:rPr>
              <w:t>solubles</w:t>
            </w:r>
          </w:p>
        </w:tc>
        <w:tc>
          <w:tcPr>
            <w:tcW w:w="1392" w:type="dxa"/>
          </w:tcPr>
          <w:p w14:paraId="0AA9CCF8"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21%</w:t>
            </w:r>
          </w:p>
        </w:tc>
        <w:tc>
          <w:tcPr>
            <w:tcW w:w="1363" w:type="dxa"/>
          </w:tcPr>
          <w:p w14:paraId="2F290BB4"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5-36%</w:t>
            </w:r>
          </w:p>
        </w:tc>
        <w:tc>
          <w:tcPr>
            <w:tcW w:w="1766" w:type="dxa"/>
            <w:vMerge/>
          </w:tcPr>
          <w:p w14:paraId="54B2C86A" w14:textId="77777777" w:rsidR="00847C80" w:rsidRPr="00C828FC" w:rsidRDefault="00847C80" w:rsidP="00380FFD">
            <w:pPr>
              <w:cnfStyle w:val="000000100000" w:firstRow="0" w:lastRow="0" w:firstColumn="0" w:lastColumn="0" w:oddVBand="0" w:evenVBand="0" w:oddHBand="1" w:evenHBand="0" w:firstRowFirstColumn="0" w:firstRowLastColumn="0" w:lastRowFirstColumn="0" w:lastRowLastColumn="0"/>
              <w:rPr>
                <w:i/>
                <w:sz w:val="18"/>
                <w:szCs w:val="18"/>
              </w:rPr>
            </w:pPr>
          </w:p>
        </w:tc>
      </w:tr>
      <w:tr w:rsidR="00847C80" w:rsidRPr="00C828FC" w14:paraId="5E7FE354"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6E6DFC85" w14:textId="77777777" w:rsidR="00847C80" w:rsidRPr="00C828FC" w:rsidRDefault="00847C80" w:rsidP="00847C80">
            <w:pPr>
              <w:rPr>
                <w:sz w:val="18"/>
                <w:szCs w:val="18"/>
              </w:rPr>
            </w:pPr>
            <w:r w:rsidRPr="00C828FC">
              <w:rPr>
                <w:sz w:val="18"/>
                <w:szCs w:val="18"/>
              </w:rPr>
              <w:t>290</w:t>
            </w:r>
          </w:p>
        </w:tc>
        <w:tc>
          <w:tcPr>
            <w:tcW w:w="2973" w:type="dxa"/>
          </w:tcPr>
          <w:p w14:paraId="0C7D6432" w14:textId="77777777" w:rsidR="00847C80" w:rsidRPr="00C828FC" w:rsidRDefault="00847C80" w:rsidP="00847C80">
            <w:pPr>
              <w:jc w:val="right"/>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Fibers recovery in green pellet</w:t>
            </w:r>
          </w:p>
        </w:tc>
        <w:tc>
          <w:tcPr>
            <w:tcW w:w="1058" w:type="dxa"/>
          </w:tcPr>
          <w:p w14:paraId="4179789A"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w:t>
            </w:r>
            <w:r w:rsidRPr="00C828FC">
              <w:rPr>
                <w:sz w:val="18"/>
                <w:szCs w:val="18"/>
                <w:vertAlign w:val="subscript"/>
              </w:rPr>
              <w:t>fibers</w:t>
            </w:r>
          </w:p>
        </w:tc>
        <w:tc>
          <w:tcPr>
            <w:tcW w:w="1392" w:type="dxa"/>
          </w:tcPr>
          <w:p w14:paraId="6C148CC0"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28%</w:t>
            </w:r>
          </w:p>
        </w:tc>
        <w:tc>
          <w:tcPr>
            <w:tcW w:w="1363" w:type="dxa"/>
          </w:tcPr>
          <w:p w14:paraId="6B6895A9"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5-90%</w:t>
            </w:r>
          </w:p>
        </w:tc>
        <w:tc>
          <w:tcPr>
            <w:tcW w:w="1766" w:type="dxa"/>
            <w:vMerge/>
          </w:tcPr>
          <w:p w14:paraId="26427499" w14:textId="77777777" w:rsidR="00847C80" w:rsidRPr="00C828FC" w:rsidRDefault="00847C80" w:rsidP="00380FFD">
            <w:pPr>
              <w:cnfStyle w:val="000000000000" w:firstRow="0" w:lastRow="0" w:firstColumn="0" w:lastColumn="0" w:oddVBand="0" w:evenVBand="0" w:oddHBand="0" w:evenHBand="0" w:firstRowFirstColumn="0" w:firstRowLastColumn="0" w:lastRowFirstColumn="0" w:lastRowLastColumn="0"/>
              <w:rPr>
                <w:i/>
                <w:sz w:val="18"/>
                <w:szCs w:val="18"/>
              </w:rPr>
            </w:pPr>
          </w:p>
        </w:tc>
      </w:tr>
      <w:tr w:rsidR="00847C80" w:rsidRPr="00C828FC" w14:paraId="7218B4F0"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6B40EDDF" w14:textId="77777777" w:rsidR="00847C80" w:rsidRPr="00C828FC" w:rsidRDefault="00847C80" w:rsidP="00847C80">
            <w:pPr>
              <w:rPr>
                <w:sz w:val="18"/>
                <w:szCs w:val="18"/>
              </w:rPr>
            </w:pPr>
            <w:r w:rsidRPr="00C828FC">
              <w:rPr>
                <w:sz w:val="18"/>
                <w:szCs w:val="18"/>
              </w:rPr>
              <w:t>291</w:t>
            </w:r>
          </w:p>
        </w:tc>
        <w:tc>
          <w:tcPr>
            <w:tcW w:w="2973" w:type="dxa"/>
          </w:tcPr>
          <w:p w14:paraId="34F2747B" w14:textId="77777777" w:rsidR="00847C80" w:rsidRPr="00C828FC" w:rsidRDefault="00847C8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Water recovery in green pellet</w:t>
            </w:r>
          </w:p>
        </w:tc>
        <w:tc>
          <w:tcPr>
            <w:tcW w:w="1058" w:type="dxa"/>
          </w:tcPr>
          <w:p w14:paraId="546B5EE2"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w:t>
            </w:r>
            <w:r w:rsidRPr="00C828FC">
              <w:rPr>
                <w:sz w:val="18"/>
                <w:szCs w:val="18"/>
                <w:vertAlign w:val="subscript"/>
              </w:rPr>
              <w:t>water</w:t>
            </w:r>
          </w:p>
        </w:tc>
        <w:tc>
          <w:tcPr>
            <w:tcW w:w="1392" w:type="dxa"/>
          </w:tcPr>
          <w:p w14:paraId="3623F9E4"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10%</w:t>
            </w:r>
          </w:p>
        </w:tc>
        <w:tc>
          <w:tcPr>
            <w:tcW w:w="1363" w:type="dxa"/>
          </w:tcPr>
          <w:p w14:paraId="1D3667FD"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5-15%</w:t>
            </w:r>
          </w:p>
        </w:tc>
        <w:tc>
          <w:tcPr>
            <w:tcW w:w="1766" w:type="dxa"/>
            <w:vMerge/>
          </w:tcPr>
          <w:p w14:paraId="4B400550" w14:textId="77777777" w:rsidR="00847C80" w:rsidRPr="00C828FC" w:rsidRDefault="00847C80" w:rsidP="00380FFD">
            <w:pPr>
              <w:cnfStyle w:val="000000100000" w:firstRow="0" w:lastRow="0" w:firstColumn="0" w:lastColumn="0" w:oddVBand="0" w:evenVBand="0" w:oddHBand="1" w:evenHBand="0" w:firstRowFirstColumn="0" w:firstRowLastColumn="0" w:lastRowFirstColumn="0" w:lastRowLastColumn="0"/>
              <w:rPr>
                <w:i/>
                <w:sz w:val="18"/>
                <w:szCs w:val="18"/>
              </w:rPr>
            </w:pPr>
          </w:p>
        </w:tc>
      </w:tr>
      <w:tr w:rsidR="00847C80" w:rsidRPr="00C828FC" w14:paraId="48EDC4FA"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38E24416" w14:textId="77777777" w:rsidR="00847C80" w:rsidRPr="00C828FC" w:rsidRDefault="00847C80" w:rsidP="00847C80">
            <w:pPr>
              <w:rPr>
                <w:sz w:val="18"/>
                <w:szCs w:val="18"/>
              </w:rPr>
            </w:pPr>
            <w:r w:rsidRPr="00C828FC">
              <w:rPr>
                <w:sz w:val="18"/>
                <w:szCs w:val="18"/>
              </w:rPr>
              <w:t>292</w:t>
            </w:r>
          </w:p>
        </w:tc>
        <w:tc>
          <w:tcPr>
            <w:tcW w:w="2973" w:type="dxa"/>
          </w:tcPr>
          <w:p w14:paraId="5B5AE538" w14:textId="77777777" w:rsidR="00847C80" w:rsidRPr="00C828FC" w:rsidRDefault="00847C80" w:rsidP="00847C80">
            <w:pPr>
              <w:jc w:val="right"/>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Green pellet digestibility</w:t>
            </w:r>
          </w:p>
        </w:tc>
        <w:tc>
          <w:tcPr>
            <w:tcW w:w="1058" w:type="dxa"/>
          </w:tcPr>
          <w:p w14:paraId="49187E65"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w:t>
            </w:r>
            <w:r w:rsidRPr="00C828FC">
              <w:rPr>
                <w:sz w:val="18"/>
                <w:szCs w:val="18"/>
                <w:vertAlign w:val="subscript"/>
              </w:rPr>
              <w:t>OM</w:t>
            </w:r>
          </w:p>
        </w:tc>
        <w:tc>
          <w:tcPr>
            <w:tcW w:w="1392" w:type="dxa"/>
          </w:tcPr>
          <w:p w14:paraId="4BB5B57E"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75%</w:t>
            </w:r>
          </w:p>
        </w:tc>
        <w:tc>
          <w:tcPr>
            <w:tcW w:w="1363" w:type="dxa"/>
          </w:tcPr>
          <w:p w14:paraId="15008395"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szCs w:val="18"/>
              </w:rPr>
            </w:pPr>
            <w:r w:rsidRPr="00C828FC">
              <w:rPr>
                <w:sz w:val="18"/>
                <w:szCs w:val="18"/>
              </w:rPr>
              <w:t>50-85%</w:t>
            </w:r>
          </w:p>
        </w:tc>
        <w:tc>
          <w:tcPr>
            <w:tcW w:w="1766" w:type="dxa"/>
          </w:tcPr>
          <w:p w14:paraId="4FC4B8AE" w14:textId="49B098E1" w:rsidR="00847C80" w:rsidRPr="00C828FC" w:rsidRDefault="00847C80" w:rsidP="00380FFD">
            <w:pPr>
              <w:cnfStyle w:val="000000000000" w:firstRow="0" w:lastRow="0" w:firstColumn="0" w:lastColumn="0" w:oddVBand="0" w:evenVBand="0" w:oddHBand="0" w:evenHBand="0" w:firstRowFirstColumn="0" w:firstRowLastColumn="0" w:lastRowFirstColumn="0" w:lastRowLastColumn="0"/>
              <w:rPr>
                <w:i/>
                <w:sz w:val="18"/>
                <w:szCs w:val="18"/>
              </w:rPr>
            </w:pPr>
            <w:r w:rsidRPr="00C828FC">
              <w:rPr>
                <w:i/>
                <w:sz w:val="18"/>
                <w:szCs w:val="18"/>
              </w:rPr>
              <w:t>Reviewed range</w:t>
            </w:r>
            <w:r w:rsidRPr="00C828FC">
              <w:rPr>
                <w:i/>
                <w:sz w:val="18"/>
                <w:szCs w:val="18"/>
              </w:rPr>
              <w:fldChar w:fldCharType="begin"/>
            </w:r>
            <w:r w:rsidR="005413B4">
              <w:rPr>
                <w:i/>
                <w:sz w:val="18"/>
                <w:szCs w:val="18"/>
              </w:rPr>
              <w:instrText xml:space="preserve"> ADDIN ZOTERO_ITEM CSL_CITATION {"citationID":"ks2ujGN2","properties":{"formattedCitation":"\\super 274\\nosupersub{}","plainCitation":"274","noteIndex":0},"citationItems":[{"id":11634,"uris":["http://zotero.org/users/6423791/items/XEGA4EL9"],"itemData":{"id":11634,"type":"article-journal","abstract":"Leaf protein concentrates (LPC) were obtained from carrot tops, cucumber, mangold and tomato leaves, pea vines and potato haulm using a standard method. Yields of extractable protein per hectare ranged from 45 kg (carrot) to 600 kg (cucumber, potato, tomato). Protein contents of LPC ranged from 22·5% (carrot) to 50% (potato). The former LPC contained an extremely high amount of ash (46·7%). The amino acid compositions of extracted proteins did not differ significantly from those of similar preparations made from other plant species. In contrast to the similar amino acid composition, the nutritive value of the proteins, estimated on rats using the Thomas-Mitchell balance method, differed significantly. The biological value of protein from potato was the lowest (42) and that from cucumber was the highest (59). The leaf-protein digestibilities ranged from 72 to 95% except for protein extracted from carrot tops which was very low (50). Rats fed with tomato LPC died at the beginning of the experiment. Cucumber and pea leaf protein had almost as high net protein utilization as soya bean protein.","container-title":"Biological Wastes","DOI":"10.1016/0269-7483(89)90072-4","ISSN":"0269-7483","issue":"2","journalAbbreviation":"Biological Wastes","language":"en","page":"83-90","source":"ScienceDirect","title":"Waste green parts of plants as raw material for leaf protein concentrate production","volume":"28","author":[{"family":"Carlsson","given":"Rolf"},{"family":"Hanczakowski","given":"Piotr"}],"issued":{"date-parts":[["1989",1,1]]}}}],"schema":"https://github.com/citation-style-language/schema/raw/master/csl-citation.json"} </w:instrText>
            </w:r>
            <w:r w:rsidRPr="00C828FC">
              <w:rPr>
                <w:i/>
                <w:sz w:val="18"/>
                <w:szCs w:val="18"/>
              </w:rPr>
              <w:fldChar w:fldCharType="separate"/>
            </w:r>
            <w:r w:rsidR="005413B4" w:rsidRPr="005413B4">
              <w:rPr>
                <w:rFonts w:ascii="Calibri" w:hAnsi="Calibri" w:cs="Calibri"/>
                <w:sz w:val="18"/>
                <w:szCs w:val="24"/>
                <w:vertAlign w:val="superscript"/>
              </w:rPr>
              <w:t>274</w:t>
            </w:r>
            <w:r w:rsidRPr="00C828FC">
              <w:rPr>
                <w:i/>
                <w:sz w:val="18"/>
                <w:szCs w:val="18"/>
              </w:rPr>
              <w:fldChar w:fldCharType="end"/>
            </w:r>
          </w:p>
        </w:tc>
      </w:tr>
      <w:tr w:rsidR="00847C80" w:rsidRPr="00C828FC" w14:paraId="08FCFDD5"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64AA7586" w14:textId="77777777" w:rsidR="00847C80" w:rsidRPr="00C828FC" w:rsidRDefault="00847C80" w:rsidP="00847C80">
            <w:pPr>
              <w:rPr>
                <w:sz w:val="18"/>
                <w:szCs w:val="18"/>
              </w:rPr>
            </w:pPr>
            <w:r w:rsidRPr="00C828FC">
              <w:rPr>
                <w:sz w:val="18"/>
                <w:szCs w:val="18"/>
              </w:rPr>
              <w:t>293</w:t>
            </w:r>
          </w:p>
        </w:tc>
        <w:tc>
          <w:tcPr>
            <w:tcW w:w="2973" w:type="dxa"/>
          </w:tcPr>
          <w:p w14:paraId="7A6B7330" w14:textId="77777777" w:rsidR="00847C80" w:rsidRPr="00C828FC" w:rsidRDefault="00847C80" w:rsidP="00847C80">
            <w:pPr>
              <w:jc w:val="right"/>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Presspulp digestibility</w:t>
            </w:r>
          </w:p>
        </w:tc>
        <w:tc>
          <w:tcPr>
            <w:tcW w:w="1058" w:type="dxa"/>
          </w:tcPr>
          <w:p w14:paraId="072EECA8"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w:t>
            </w:r>
            <w:r w:rsidRPr="00C828FC">
              <w:rPr>
                <w:sz w:val="18"/>
                <w:szCs w:val="18"/>
                <w:vertAlign w:val="subscript"/>
              </w:rPr>
              <w:t>OM</w:t>
            </w:r>
          </w:p>
        </w:tc>
        <w:tc>
          <w:tcPr>
            <w:tcW w:w="1392" w:type="dxa"/>
          </w:tcPr>
          <w:p w14:paraId="2E399205"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65%</w:t>
            </w:r>
          </w:p>
        </w:tc>
        <w:tc>
          <w:tcPr>
            <w:tcW w:w="1363" w:type="dxa"/>
          </w:tcPr>
          <w:p w14:paraId="71A38B00"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szCs w:val="18"/>
              </w:rPr>
            </w:pPr>
            <w:r w:rsidRPr="00C828FC">
              <w:rPr>
                <w:sz w:val="18"/>
                <w:szCs w:val="18"/>
              </w:rPr>
              <w:t>60-70%</w:t>
            </w:r>
          </w:p>
        </w:tc>
        <w:tc>
          <w:tcPr>
            <w:tcW w:w="1766" w:type="dxa"/>
          </w:tcPr>
          <w:p w14:paraId="2A188041" w14:textId="6FFA169C" w:rsidR="00847C80" w:rsidRPr="00C828FC" w:rsidRDefault="00847C80" w:rsidP="00380FFD">
            <w:pPr>
              <w:cnfStyle w:val="000000100000" w:firstRow="0" w:lastRow="0" w:firstColumn="0" w:lastColumn="0" w:oddVBand="0" w:evenVBand="0" w:oddHBand="1" w:evenHBand="0" w:firstRowFirstColumn="0" w:firstRowLastColumn="0" w:lastRowFirstColumn="0" w:lastRowLastColumn="0"/>
              <w:rPr>
                <w:i/>
                <w:sz w:val="18"/>
                <w:szCs w:val="18"/>
              </w:rPr>
            </w:pPr>
            <w:r w:rsidRPr="00C828FC">
              <w:rPr>
                <w:i/>
                <w:sz w:val="18"/>
                <w:szCs w:val="18"/>
              </w:rPr>
              <w:t>Average reported (ruminants)</w:t>
            </w:r>
            <w:r w:rsidRPr="00C828FC">
              <w:rPr>
                <w:i/>
                <w:sz w:val="18"/>
                <w:szCs w:val="18"/>
              </w:rPr>
              <w:fldChar w:fldCharType="begin"/>
            </w:r>
            <w:r w:rsidR="005413B4">
              <w:rPr>
                <w:i/>
                <w:sz w:val="18"/>
                <w:szCs w:val="18"/>
              </w:rPr>
              <w:instrText xml:space="preserve"> ADDIN ZOTERO_ITEM CSL_CITATION {"citationID":"Yl8JI18n","properties":{"formattedCitation":"\\super 269\\nosupersub{}","plainCitation":"269","noteIndex":0},"citationItems":[{"id":10773,"uris":["http://zotero.org/users/6423791/items/FEBHG4SW"],"itemData":{"id":10773,"type":"report","event-place":"Tjele","genre":"DCA Report","language":"en","number":"093","page":"72","publisher-place":"Tjele","source":"Zotero","title":"Green Biomass - Protein production through biorefining","URL":"https://dcapub.au.dk/djfpublikation/djfpdf/dcarapport093.pdf","author":[{"family":"Hermansen","given":"John E"},{"family":"Jørgensen","given":"Uffe"},{"family":"Weisbjerg","given":"Martin R"},{"family":"Dalsgaard","given":"Trine K"},{"family":"Danielsen","given":"Marianne"},{"family":"Asp","given":"Torben"},{"family":"Amby-Jensen","given":"Morten"},{"family":"Sørensen","given":"Aage Grøn"},{"family":"Jensen","given":"Mikkel Vestby"},{"family":"Gylling","given":"Morten"},{"family":"Lindedam","given":"Jane"},{"family":"Lübeck","given":"Mette"},{"family":"Fog","given":"Erik"}],"issued":{"date-parts":[["2017"]]}}}],"schema":"https://github.com/citation-style-language/schema/raw/master/csl-citation.json"} </w:instrText>
            </w:r>
            <w:r w:rsidRPr="00C828FC">
              <w:rPr>
                <w:i/>
                <w:sz w:val="18"/>
                <w:szCs w:val="18"/>
              </w:rPr>
              <w:fldChar w:fldCharType="separate"/>
            </w:r>
            <w:r w:rsidR="005413B4" w:rsidRPr="005413B4">
              <w:rPr>
                <w:rFonts w:ascii="Calibri" w:hAnsi="Calibri" w:cs="Calibri"/>
                <w:sz w:val="18"/>
                <w:szCs w:val="24"/>
                <w:vertAlign w:val="superscript"/>
              </w:rPr>
              <w:t>269</w:t>
            </w:r>
            <w:r w:rsidRPr="00C828FC">
              <w:rPr>
                <w:i/>
                <w:sz w:val="18"/>
                <w:szCs w:val="18"/>
              </w:rPr>
              <w:fldChar w:fldCharType="end"/>
            </w:r>
          </w:p>
        </w:tc>
      </w:tr>
      <w:tr w:rsidR="00847C80" w:rsidRPr="00C828FC" w14:paraId="30572459"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0" w:type="auto"/>
            <w:gridSpan w:val="6"/>
          </w:tcPr>
          <w:p w14:paraId="6CA27B0A" w14:textId="3DF08BA5" w:rsidR="00847C80" w:rsidRPr="00C828FC" w:rsidRDefault="00847C80" w:rsidP="00847C80">
            <w:pPr>
              <w:rPr>
                <w:b w:val="0"/>
                <w:i/>
                <w:sz w:val="18"/>
                <w:szCs w:val="18"/>
              </w:rPr>
            </w:pPr>
            <w:r w:rsidRPr="00C828FC">
              <w:rPr>
                <w:b w:val="0"/>
                <w:i/>
                <w:sz w:val="18"/>
                <w:szCs w:val="18"/>
              </w:rPr>
              <w:t>Spray drying as in</w:t>
            </w:r>
            <w:r w:rsidR="00380FFD" w:rsidRPr="00C828FC">
              <w:rPr>
                <w:b w:val="0"/>
                <w:i/>
                <w:sz w:val="18"/>
                <w:szCs w:val="18"/>
              </w:rPr>
              <w:t xml:space="preserve"> </w:t>
            </w:r>
            <w:r w:rsidR="00380FFD" w:rsidRPr="00C828FC">
              <w:rPr>
                <w:i/>
                <w:sz w:val="18"/>
                <w:szCs w:val="18"/>
              </w:rPr>
              <w:fldChar w:fldCharType="begin"/>
            </w:r>
            <w:r w:rsidR="00380FFD" w:rsidRPr="00C828FC">
              <w:rPr>
                <w:b w:val="0"/>
                <w:i/>
                <w:sz w:val="18"/>
                <w:szCs w:val="18"/>
              </w:rPr>
              <w:instrText xml:space="preserve"> REF _Ref144829267 \h  \* MERGEFORMAT </w:instrText>
            </w:r>
            <w:r w:rsidR="00380FFD" w:rsidRPr="00C828FC">
              <w:rPr>
                <w:i/>
                <w:sz w:val="18"/>
                <w:szCs w:val="18"/>
              </w:rPr>
            </w:r>
            <w:r w:rsidR="00380FFD" w:rsidRPr="00C828FC">
              <w:rPr>
                <w:i/>
                <w:sz w:val="18"/>
                <w:szCs w:val="18"/>
              </w:rPr>
              <w:fldChar w:fldCharType="separate"/>
            </w:r>
            <w:r w:rsidR="00F25F8C" w:rsidRPr="00C828FC">
              <w:rPr>
                <w:i/>
                <w:sz w:val="18"/>
                <w:szCs w:val="18"/>
              </w:rPr>
              <w:t xml:space="preserve">Table SI. </w:t>
            </w:r>
            <w:r w:rsidR="00F25F8C" w:rsidRPr="00C828FC">
              <w:rPr>
                <w:i/>
                <w:noProof/>
                <w:sz w:val="18"/>
                <w:szCs w:val="18"/>
              </w:rPr>
              <w:t>81</w:t>
            </w:r>
            <w:r w:rsidR="00380FFD" w:rsidRPr="00C828FC">
              <w:rPr>
                <w:i/>
                <w:sz w:val="18"/>
                <w:szCs w:val="18"/>
              </w:rPr>
              <w:fldChar w:fldCharType="end"/>
            </w:r>
            <w:r w:rsidRPr="00C828FC">
              <w:rPr>
                <w:b w:val="0"/>
                <w:i/>
                <w:sz w:val="18"/>
                <w:szCs w:val="18"/>
              </w:rPr>
              <w:t>.</w:t>
            </w:r>
          </w:p>
        </w:tc>
      </w:tr>
      <w:tr w:rsidR="00847C80" w:rsidRPr="00C828FC" w14:paraId="79074812"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gridSpan w:val="6"/>
          </w:tcPr>
          <w:p w14:paraId="1A1A2B99" w14:textId="7D980B16" w:rsidR="00847C80" w:rsidRPr="00C828FC" w:rsidRDefault="00847C80" w:rsidP="00847C80">
            <w:pPr>
              <w:rPr>
                <w:b w:val="0"/>
                <w:i/>
                <w:sz w:val="18"/>
                <w:szCs w:val="18"/>
              </w:rPr>
            </w:pPr>
            <w:r w:rsidRPr="00C828FC">
              <w:rPr>
                <w:b w:val="0"/>
                <w:i/>
                <w:sz w:val="18"/>
                <w:szCs w:val="18"/>
              </w:rPr>
              <w:t xml:space="preserve">Other common parameters </w:t>
            </w:r>
            <w:r w:rsidR="00380FFD" w:rsidRPr="00C828FC">
              <w:rPr>
                <w:b w:val="0"/>
                <w:i/>
                <w:sz w:val="18"/>
                <w:szCs w:val="18"/>
              </w:rPr>
              <w:t xml:space="preserve">in </w:t>
            </w:r>
            <w:r w:rsidR="00380FFD" w:rsidRPr="00C828FC">
              <w:rPr>
                <w:i/>
                <w:sz w:val="18"/>
                <w:szCs w:val="18"/>
              </w:rPr>
              <w:t>section</w:t>
            </w:r>
            <w:r w:rsidR="000C6C37">
              <w:rPr>
                <w:i/>
                <w:sz w:val="18"/>
                <w:szCs w:val="18"/>
              </w:rPr>
              <w:t xml:space="preserve"> SI.</w:t>
            </w:r>
            <w:r w:rsidR="00380FFD" w:rsidRPr="00C828FC">
              <w:rPr>
                <w:i/>
                <w:sz w:val="18"/>
                <w:szCs w:val="18"/>
              </w:rPr>
              <w:t xml:space="preserve"> </w:t>
            </w:r>
            <w:r w:rsidR="00380FFD" w:rsidRPr="00C828FC">
              <w:rPr>
                <w:i/>
                <w:sz w:val="18"/>
                <w:szCs w:val="18"/>
              </w:rPr>
              <w:fldChar w:fldCharType="begin"/>
            </w:r>
            <w:r w:rsidR="00380FFD" w:rsidRPr="00C828FC">
              <w:rPr>
                <w:i/>
                <w:sz w:val="18"/>
                <w:szCs w:val="18"/>
              </w:rPr>
              <w:instrText xml:space="preserve"> REF _Ref144802667 \r \h </w:instrText>
            </w:r>
            <w:r w:rsidR="00C828FC" w:rsidRPr="00C828FC">
              <w:rPr>
                <w:i/>
                <w:sz w:val="18"/>
                <w:szCs w:val="18"/>
              </w:rPr>
              <w:instrText xml:space="preserve"> \* MERGEFORMAT </w:instrText>
            </w:r>
            <w:r w:rsidR="00380FFD" w:rsidRPr="00C828FC">
              <w:rPr>
                <w:i/>
                <w:sz w:val="18"/>
                <w:szCs w:val="18"/>
              </w:rPr>
            </w:r>
            <w:r w:rsidR="00380FFD" w:rsidRPr="00C828FC">
              <w:rPr>
                <w:i/>
                <w:sz w:val="18"/>
                <w:szCs w:val="18"/>
              </w:rPr>
              <w:fldChar w:fldCharType="separate"/>
            </w:r>
            <w:r w:rsidR="00F25F8C" w:rsidRPr="00C828FC">
              <w:rPr>
                <w:i/>
                <w:sz w:val="18"/>
                <w:szCs w:val="18"/>
              </w:rPr>
              <w:t>4.1</w:t>
            </w:r>
            <w:r w:rsidR="00380FFD" w:rsidRPr="00C828FC">
              <w:rPr>
                <w:i/>
                <w:sz w:val="18"/>
                <w:szCs w:val="18"/>
              </w:rPr>
              <w:fldChar w:fldCharType="end"/>
            </w:r>
            <w:r w:rsidRPr="00C828FC">
              <w:rPr>
                <w:b w:val="0"/>
                <w:i/>
                <w:sz w:val="18"/>
                <w:szCs w:val="18"/>
              </w:rPr>
              <w:t>.</w:t>
            </w:r>
          </w:p>
        </w:tc>
      </w:tr>
    </w:tbl>
    <w:p w14:paraId="2764E349" w14:textId="758E6B51" w:rsidR="00847C80" w:rsidRPr="003F5DA8" w:rsidRDefault="00847C80" w:rsidP="00942782">
      <w:pPr>
        <w:jc w:val="both"/>
        <w:rPr>
          <w:sz w:val="18"/>
        </w:rPr>
      </w:pPr>
      <w:r w:rsidRPr="003F5DA8">
        <w:rPr>
          <w:sz w:val="18"/>
        </w:rPr>
        <w:t xml:space="preserve">Numbering of parameters corresponds to the one </w:t>
      </w:r>
      <w:r>
        <w:rPr>
          <w:sz w:val="18"/>
        </w:rPr>
        <w:t xml:space="preserve">of </w:t>
      </w:r>
      <w:r w:rsidR="00877BEE" w:rsidRPr="000C6C37">
        <w:rPr>
          <w:b/>
          <w:sz w:val="18"/>
          <w:szCs w:val="18"/>
        </w:rPr>
        <w:fldChar w:fldCharType="begin"/>
      </w:r>
      <w:r w:rsidR="00877BEE" w:rsidRPr="000C6C37">
        <w:rPr>
          <w:b/>
          <w:sz w:val="18"/>
          <w:szCs w:val="18"/>
        </w:rPr>
        <w:instrText xml:space="preserve"> REF _Ref144914839 \h  \* MERGEFORMAT </w:instrText>
      </w:r>
      <w:r w:rsidR="00877BEE" w:rsidRPr="000C6C37">
        <w:rPr>
          <w:b/>
          <w:sz w:val="18"/>
          <w:szCs w:val="18"/>
        </w:rPr>
      </w:r>
      <w:r w:rsidR="00877BEE" w:rsidRPr="000C6C37">
        <w:rPr>
          <w:b/>
          <w:sz w:val="18"/>
          <w:szCs w:val="18"/>
        </w:rPr>
        <w:fldChar w:fldCharType="separate"/>
      </w:r>
      <w:r w:rsidR="00877BEE" w:rsidRPr="000C6C37">
        <w:rPr>
          <w:b/>
          <w:sz w:val="18"/>
          <w:szCs w:val="18"/>
        </w:rPr>
        <w:t xml:space="preserve">Table SI. </w:t>
      </w:r>
      <w:r w:rsidR="00877BEE" w:rsidRPr="000C6C37">
        <w:rPr>
          <w:b/>
          <w:noProof/>
          <w:sz w:val="18"/>
          <w:szCs w:val="18"/>
        </w:rPr>
        <w:t>103</w:t>
      </w:r>
      <w:r w:rsidR="00877BEE" w:rsidRPr="000C6C37">
        <w:rPr>
          <w:b/>
          <w:sz w:val="18"/>
          <w:szCs w:val="18"/>
        </w:rPr>
        <w:fldChar w:fldCharType="end"/>
      </w:r>
      <w:r w:rsidRPr="000C6C37">
        <w:rPr>
          <w:sz w:val="18"/>
        </w:rPr>
        <w:t xml:space="preserve">. </w:t>
      </w:r>
      <w:r w:rsidRPr="003F5DA8">
        <w:rPr>
          <w:sz w:val="18"/>
        </w:rPr>
        <w:t xml:space="preserve">Parameters specific to </w:t>
      </w:r>
      <w:r>
        <w:rPr>
          <w:sz w:val="18"/>
        </w:rPr>
        <w:t>MP production stage</w:t>
      </w:r>
      <w:r w:rsidRPr="003F5DA8">
        <w:rPr>
          <w:sz w:val="18"/>
        </w:rPr>
        <w:t xml:space="preserve"> but not mentioned in this table were assumed as constants. Transportation requirements </w:t>
      </w:r>
      <w:r w:rsidR="00380FFD" w:rsidRPr="003F5DA8">
        <w:rPr>
          <w:sz w:val="18"/>
        </w:rPr>
        <w:t xml:space="preserve">in </w:t>
      </w:r>
      <w:r w:rsidR="00380FFD" w:rsidRPr="00042BF3">
        <w:rPr>
          <w:b/>
          <w:sz w:val="18"/>
          <w:szCs w:val="18"/>
        </w:rPr>
        <w:fldChar w:fldCharType="begin"/>
      </w:r>
      <w:r w:rsidR="00380FFD" w:rsidRPr="00042BF3">
        <w:rPr>
          <w:b/>
          <w:sz w:val="18"/>
          <w:szCs w:val="18"/>
        </w:rPr>
        <w:instrText xml:space="preserve"> REF _Ref144738047 \h  \* MERGEFORMAT </w:instrText>
      </w:r>
      <w:r w:rsidR="00380FFD" w:rsidRPr="00042BF3">
        <w:rPr>
          <w:b/>
          <w:sz w:val="18"/>
          <w:szCs w:val="18"/>
        </w:rPr>
      </w:r>
      <w:r w:rsidR="00380FFD" w:rsidRPr="00042BF3">
        <w:rPr>
          <w:b/>
          <w:sz w:val="18"/>
          <w:szCs w:val="18"/>
        </w:rPr>
        <w:fldChar w:fldCharType="separate"/>
      </w:r>
      <w:r w:rsidR="00F25F8C" w:rsidRPr="00F25F8C">
        <w:rPr>
          <w:b/>
          <w:sz w:val="18"/>
          <w:szCs w:val="18"/>
        </w:rPr>
        <w:t xml:space="preserve">Table SI. </w:t>
      </w:r>
      <w:r w:rsidR="00F25F8C" w:rsidRPr="00F25F8C">
        <w:rPr>
          <w:b/>
          <w:noProof/>
          <w:sz w:val="18"/>
          <w:szCs w:val="18"/>
        </w:rPr>
        <w:t>15</w:t>
      </w:r>
      <w:r w:rsidR="00380FFD" w:rsidRPr="00042BF3">
        <w:rPr>
          <w:b/>
          <w:sz w:val="18"/>
          <w:szCs w:val="18"/>
        </w:rPr>
        <w:fldChar w:fldCharType="end"/>
      </w:r>
      <w:r w:rsidRPr="003F5DA8">
        <w:rPr>
          <w:sz w:val="18"/>
        </w:rPr>
        <w:t>.</w:t>
      </w:r>
    </w:p>
    <w:p w14:paraId="64702E06" w14:textId="6E8484A7" w:rsidR="00847C80" w:rsidRPr="003F5DA8" w:rsidRDefault="00847C80" w:rsidP="00847C80">
      <w:pPr>
        <w:jc w:val="both"/>
      </w:pPr>
      <w:r w:rsidRPr="003F5DA8">
        <w:lastRenderedPageBreak/>
        <w:t>The background processes used specific</w:t>
      </w:r>
      <w:r w:rsidR="00C828FC">
        <w:t>ally</w:t>
      </w:r>
      <w:r w:rsidRPr="003F5DA8">
        <w:t xml:space="preserve"> </w:t>
      </w:r>
      <w:r w:rsidR="00C828FC">
        <w:t xml:space="preserve">for </w:t>
      </w:r>
      <w:r w:rsidRPr="003F5DA8">
        <w:t xml:space="preserve">this </w:t>
      </w:r>
      <w:r w:rsidR="00C828FC">
        <w:t xml:space="preserve">LCI </w:t>
      </w:r>
      <w:r w:rsidRPr="003F5DA8">
        <w:t xml:space="preserve">model are gathered in </w:t>
      </w:r>
      <w:r w:rsidR="00A03425" w:rsidRPr="00A03425">
        <w:rPr>
          <w:b/>
        </w:rPr>
        <w:fldChar w:fldCharType="begin"/>
      </w:r>
      <w:r w:rsidR="00A03425" w:rsidRPr="00A03425">
        <w:rPr>
          <w:b/>
        </w:rPr>
        <w:instrText xml:space="preserve"> REF _Ref144911530 \h </w:instrText>
      </w:r>
      <w:r w:rsidR="00A03425">
        <w:rPr>
          <w:b/>
        </w:rPr>
        <w:instrText xml:space="preserve"> \* MERGEFORMAT </w:instrText>
      </w:r>
      <w:r w:rsidR="00A03425" w:rsidRPr="00A03425">
        <w:rPr>
          <w:b/>
        </w:rPr>
      </w:r>
      <w:r w:rsidR="00A03425" w:rsidRPr="00A03425">
        <w:rPr>
          <w:b/>
        </w:rPr>
        <w:fldChar w:fldCharType="separate"/>
      </w:r>
      <w:r w:rsidR="00F25F8C" w:rsidRPr="00F25F8C">
        <w:rPr>
          <w:b/>
        </w:rPr>
        <w:t xml:space="preserve">Table SI. </w:t>
      </w:r>
      <w:r w:rsidR="00F25F8C" w:rsidRPr="00F25F8C">
        <w:rPr>
          <w:b/>
          <w:noProof/>
        </w:rPr>
        <w:t>93</w:t>
      </w:r>
      <w:r w:rsidR="00A03425" w:rsidRPr="00A03425">
        <w:rPr>
          <w:b/>
        </w:rPr>
        <w:fldChar w:fldCharType="end"/>
      </w:r>
      <w:r w:rsidR="00A03425">
        <w:rPr>
          <w:b/>
        </w:rPr>
        <w:t>.</w:t>
      </w:r>
    </w:p>
    <w:p w14:paraId="3EA29976" w14:textId="0DF3DDD5" w:rsidR="00847C80" w:rsidRPr="00187338" w:rsidRDefault="00874128" w:rsidP="00942782">
      <w:pPr>
        <w:pStyle w:val="Lgende"/>
        <w:jc w:val="left"/>
        <w:rPr>
          <w:b w:val="0"/>
          <w:i/>
        </w:rPr>
      </w:pPr>
      <w:bookmarkStart w:id="397" w:name="_Ref144911530"/>
      <w:bookmarkStart w:id="398" w:name="_Toc134537690"/>
      <w:bookmarkStart w:id="399" w:name="_Toc151967977"/>
      <w:r>
        <w:t>Table SI.</w:t>
      </w:r>
      <w:r w:rsidR="00847C80">
        <w:t xml:space="preserve"> </w:t>
      </w:r>
      <w:r>
        <w:fldChar w:fldCharType="begin"/>
      </w:r>
      <w:r>
        <w:instrText xml:space="preserve"> SEQ Table_SI. \* ARABIC </w:instrText>
      </w:r>
      <w:r>
        <w:fldChar w:fldCharType="separate"/>
      </w:r>
      <w:r w:rsidR="00F25F8C">
        <w:rPr>
          <w:noProof/>
        </w:rPr>
        <w:t>93</w:t>
      </w:r>
      <w:r>
        <w:fldChar w:fldCharType="end"/>
      </w:r>
      <w:bookmarkEnd w:id="397"/>
      <w:r w:rsidR="00847C80">
        <w:t xml:space="preserve"> </w:t>
      </w:r>
      <w:r w:rsidR="00847C80" w:rsidRPr="00E105F3">
        <w:t>– Background processes used specifically for GB pathways</w:t>
      </w:r>
      <w:bookmarkEnd w:id="398"/>
      <w:bookmarkEnd w:id="399"/>
    </w:p>
    <w:tbl>
      <w:tblPr>
        <w:tblStyle w:val="Tableausimple2"/>
        <w:tblW w:w="0" w:type="auto"/>
        <w:jc w:val="center"/>
        <w:tblLook w:val="04A0" w:firstRow="1" w:lastRow="0" w:firstColumn="1" w:lastColumn="0" w:noHBand="0" w:noVBand="1"/>
      </w:tblPr>
      <w:tblGrid>
        <w:gridCol w:w="3246"/>
        <w:gridCol w:w="1559"/>
        <w:gridCol w:w="4237"/>
      </w:tblGrid>
      <w:tr w:rsidR="00847C80" w:rsidRPr="00C828FC" w14:paraId="1AC6590F" w14:textId="77777777" w:rsidTr="00C828FC">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246" w:type="dxa"/>
          </w:tcPr>
          <w:p w14:paraId="7EE61250" w14:textId="77777777" w:rsidR="00847C80" w:rsidRPr="00C828FC" w:rsidRDefault="00847C80" w:rsidP="00847C80">
            <w:pPr>
              <w:jc w:val="right"/>
              <w:rPr>
                <w:sz w:val="18"/>
              </w:rPr>
            </w:pPr>
            <w:r w:rsidRPr="00C828FC">
              <w:rPr>
                <w:sz w:val="18"/>
              </w:rPr>
              <w:t>Background process</w:t>
            </w:r>
          </w:p>
        </w:tc>
        <w:tc>
          <w:tcPr>
            <w:tcW w:w="1559" w:type="dxa"/>
          </w:tcPr>
          <w:p w14:paraId="5B598E15" w14:textId="77777777" w:rsidR="00847C80" w:rsidRPr="00C828FC" w:rsidRDefault="00847C80" w:rsidP="00847C80">
            <w:pPr>
              <w:cnfStyle w:val="100000000000" w:firstRow="1" w:lastRow="0" w:firstColumn="0" w:lastColumn="0" w:oddVBand="0" w:evenVBand="0" w:oddHBand="0" w:evenHBand="0" w:firstRowFirstColumn="0" w:firstRowLastColumn="0" w:lastRowFirstColumn="0" w:lastRowLastColumn="0"/>
              <w:rPr>
                <w:sz w:val="18"/>
              </w:rPr>
            </w:pPr>
            <w:r w:rsidRPr="00C828FC">
              <w:rPr>
                <w:sz w:val="18"/>
              </w:rPr>
              <w:t>Unit operation</w:t>
            </w:r>
          </w:p>
        </w:tc>
        <w:tc>
          <w:tcPr>
            <w:tcW w:w="4237" w:type="dxa"/>
          </w:tcPr>
          <w:p w14:paraId="15ACA1C2" w14:textId="77777777" w:rsidR="00847C80" w:rsidRPr="00C828FC" w:rsidRDefault="00847C80" w:rsidP="00847C80">
            <w:pPr>
              <w:cnfStyle w:val="100000000000" w:firstRow="1" w:lastRow="0" w:firstColumn="0" w:lastColumn="0" w:oddVBand="0" w:evenVBand="0" w:oddHBand="0" w:evenHBand="0" w:firstRowFirstColumn="0" w:firstRowLastColumn="0" w:lastRowFirstColumn="0" w:lastRowLastColumn="0"/>
              <w:rPr>
                <w:i/>
                <w:sz w:val="18"/>
              </w:rPr>
            </w:pPr>
            <w:r w:rsidRPr="00C828FC">
              <w:rPr>
                <w:i/>
                <w:sz w:val="18"/>
              </w:rPr>
              <w:t>Comment</w:t>
            </w:r>
          </w:p>
        </w:tc>
      </w:tr>
      <w:tr w:rsidR="00847C80" w:rsidRPr="00C828FC" w14:paraId="1CF951C2"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246" w:type="dxa"/>
          </w:tcPr>
          <w:p w14:paraId="46535629" w14:textId="77777777" w:rsidR="00847C80" w:rsidRPr="00C828FC" w:rsidRDefault="00847C80" w:rsidP="00847C80">
            <w:pPr>
              <w:jc w:val="right"/>
              <w:rPr>
                <w:b w:val="0"/>
                <w:sz w:val="18"/>
              </w:rPr>
            </w:pPr>
            <w:r w:rsidRPr="00C828FC">
              <w:rPr>
                <w:b w:val="0"/>
                <w:sz w:val="18"/>
              </w:rPr>
              <w:t>Forwarding, forwarder, RER</w:t>
            </w:r>
          </w:p>
        </w:tc>
        <w:tc>
          <w:tcPr>
            <w:tcW w:w="1559" w:type="dxa"/>
            <w:vMerge w:val="restart"/>
          </w:tcPr>
          <w:p w14:paraId="061D4834"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rPr>
            </w:pPr>
            <w:r w:rsidRPr="00C828FC">
              <w:rPr>
                <w:sz w:val="18"/>
              </w:rPr>
              <w:t>Handling / Washing</w:t>
            </w:r>
          </w:p>
        </w:tc>
        <w:tc>
          <w:tcPr>
            <w:tcW w:w="4237" w:type="dxa"/>
          </w:tcPr>
          <w:p w14:paraId="2C67962F" w14:textId="77777777" w:rsidR="00847C80" w:rsidRPr="00C828FC" w:rsidRDefault="00847C80" w:rsidP="00847C80">
            <w:pPr>
              <w:jc w:val="both"/>
              <w:cnfStyle w:val="000000100000" w:firstRow="0" w:lastRow="0" w:firstColumn="0" w:lastColumn="0" w:oddVBand="0" w:evenVBand="0" w:oddHBand="1" w:evenHBand="0" w:firstRowFirstColumn="0" w:firstRowLastColumn="0" w:lastRowFirstColumn="0" w:lastRowLastColumn="0"/>
              <w:rPr>
                <w:i/>
                <w:sz w:val="18"/>
              </w:rPr>
            </w:pPr>
            <w:r w:rsidRPr="00C828FC">
              <w:rPr>
                <w:i/>
                <w:sz w:val="18"/>
              </w:rPr>
              <w:t>GB input feeding</w:t>
            </w:r>
          </w:p>
        </w:tc>
      </w:tr>
      <w:tr w:rsidR="00847C80" w:rsidRPr="00C828FC" w14:paraId="73198E4F"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3246" w:type="dxa"/>
          </w:tcPr>
          <w:p w14:paraId="23C23A4C" w14:textId="77777777" w:rsidR="00847C80" w:rsidRPr="00C828FC" w:rsidRDefault="00847C80" w:rsidP="00847C80">
            <w:pPr>
              <w:jc w:val="right"/>
              <w:rPr>
                <w:b w:val="0"/>
                <w:sz w:val="18"/>
              </w:rPr>
            </w:pPr>
            <w:r w:rsidRPr="00C828FC">
              <w:rPr>
                <w:b w:val="0"/>
                <w:sz w:val="18"/>
              </w:rPr>
              <w:t>Market for tap water, EU</w:t>
            </w:r>
          </w:p>
        </w:tc>
        <w:tc>
          <w:tcPr>
            <w:tcW w:w="1559" w:type="dxa"/>
            <w:vMerge/>
          </w:tcPr>
          <w:p w14:paraId="6D433FA3"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rPr>
            </w:pPr>
          </w:p>
        </w:tc>
        <w:tc>
          <w:tcPr>
            <w:tcW w:w="4237" w:type="dxa"/>
          </w:tcPr>
          <w:p w14:paraId="47ED3BBD" w14:textId="77777777" w:rsidR="00847C80" w:rsidRPr="00C828FC" w:rsidRDefault="00847C80" w:rsidP="00847C80">
            <w:pPr>
              <w:jc w:val="both"/>
              <w:cnfStyle w:val="000000000000" w:firstRow="0" w:lastRow="0" w:firstColumn="0" w:lastColumn="0" w:oddVBand="0" w:evenVBand="0" w:oddHBand="0" w:evenHBand="0" w:firstRowFirstColumn="0" w:firstRowLastColumn="0" w:lastRowFirstColumn="0" w:lastRowLastColumn="0"/>
              <w:rPr>
                <w:i/>
                <w:sz w:val="18"/>
              </w:rPr>
            </w:pPr>
            <w:r w:rsidRPr="00C828FC">
              <w:rPr>
                <w:i/>
                <w:sz w:val="18"/>
              </w:rPr>
              <w:t>Proxy of washing water, electricity harmonized</w:t>
            </w:r>
          </w:p>
        </w:tc>
      </w:tr>
      <w:tr w:rsidR="00847C80" w:rsidRPr="00C828FC" w14:paraId="63C58509"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246" w:type="dxa"/>
          </w:tcPr>
          <w:p w14:paraId="367565EF" w14:textId="77777777" w:rsidR="00847C80" w:rsidRPr="00C828FC" w:rsidRDefault="00847C80" w:rsidP="00847C80">
            <w:pPr>
              <w:jc w:val="right"/>
              <w:rPr>
                <w:b w:val="0"/>
                <w:sz w:val="18"/>
              </w:rPr>
            </w:pPr>
            <w:r w:rsidRPr="00C828FC">
              <w:rPr>
                <w:b w:val="0"/>
                <w:sz w:val="18"/>
              </w:rPr>
              <w:t>Market for irrigation, FR</w:t>
            </w:r>
          </w:p>
        </w:tc>
        <w:tc>
          <w:tcPr>
            <w:tcW w:w="1559" w:type="dxa"/>
            <w:vMerge/>
          </w:tcPr>
          <w:p w14:paraId="50D457C4" w14:textId="77777777" w:rsidR="00847C80" w:rsidRPr="00C828FC" w:rsidRDefault="00847C80" w:rsidP="00847C80">
            <w:pPr>
              <w:cnfStyle w:val="000000100000" w:firstRow="0" w:lastRow="0" w:firstColumn="0" w:lastColumn="0" w:oddVBand="0" w:evenVBand="0" w:oddHBand="1" w:evenHBand="0" w:firstRowFirstColumn="0" w:firstRowLastColumn="0" w:lastRowFirstColumn="0" w:lastRowLastColumn="0"/>
              <w:rPr>
                <w:sz w:val="18"/>
              </w:rPr>
            </w:pPr>
          </w:p>
        </w:tc>
        <w:tc>
          <w:tcPr>
            <w:tcW w:w="4237" w:type="dxa"/>
          </w:tcPr>
          <w:p w14:paraId="7D37E127" w14:textId="77777777" w:rsidR="00847C80" w:rsidRPr="00C828FC" w:rsidRDefault="00847C80" w:rsidP="00847C80">
            <w:pPr>
              <w:jc w:val="both"/>
              <w:cnfStyle w:val="000000100000" w:firstRow="0" w:lastRow="0" w:firstColumn="0" w:lastColumn="0" w:oddVBand="0" w:evenVBand="0" w:oddHBand="1" w:evenHBand="0" w:firstRowFirstColumn="0" w:firstRowLastColumn="0" w:lastRowFirstColumn="0" w:lastRowLastColumn="0"/>
              <w:rPr>
                <w:i/>
                <w:sz w:val="18"/>
              </w:rPr>
            </w:pPr>
            <w:r w:rsidRPr="00C828FC">
              <w:rPr>
                <w:i/>
                <w:sz w:val="18"/>
              </w:rPr>
              <w:t>Proxy of avoided process by reusing washing water</w:t>
            </w:r>
          </w:p>
        </w:tc>
      </w:tr>
      <w:tr w:rsidR="00847C80" w:rsidRPr="00C828FC" w14:paraId="35716418"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3246" w:type="dxa"/>
          </w:tcPr>
          <w:p w14:paraId="2B8D8B74" w14:textId="77777777" w:rsidR="00847C80" w:rsidRPr="00C828FC" w:rsidRDefault="00847C80" w:rsidP="00847C80">
            <w:pPr>
              <w:jc w:val="right"/>
              <w:rPr>
                <w:b w:val="0"/>
                <w:sz w:val="18"/>
              </w:rPr>
            </w:pPr>
            <w:r w:rsidRPr="00C828FC">
              <w:rPr>
                <w:b w:val="0"/>
                <w:sz w:val="18"/>
              </w:rPr>
              <w:t>Chemical factory construction, RER</w:t>
            </w:r>
          </w:p>
        </w:tc>
        <w:tc>
          <w:tcPr>
            <w:tcW w:w="1559" w:type="dxa"/>
          </w:tcPr>
          <w:p w14:paraId="702BAB2B" w14:textId="77777777" w:rsidR="00847C80" w:rsidRPr="00C828FC" w:rsidRDefault="00847C80" w:rsidP="00847C80">
            <w:pPr>
              <w:cnfStyle w:val="000000000000" w:firstRow="0" w:lastRow="0" w:firstColumn="0" w:lastColumn="0" w:oddVBand="0" w:evenVBand="0" w:oddHBand="0" w:evenHBand="0" w:firstRowFirstColumn="0" w:firstRowLastColumn="0" w:lastRowFirstColumn="0" w:lastRowLastColumn="0"/>
              <w:rPr>
                <w:sz w:val="18"/>
              </w:rPr>
            </w:pPr>
            <w:r w:rsidRPr="00C828FC">
              <w:rPr>
                <w:sz w:val="18"/>
              </w:rPr>
              <w:t>n.a.</w:t>
            </w:r>
          </w:p>
        </w:tc>
        <w:tc>
          <w:tcPr>
            <w:tcW w:w="4237" w:type="dxa"/>
          </w:tcPr>
          <w:p w14:paraId="56527C24" w14:textId="18BEE737" w:rsidR="00847C80" w:rsidRPr="00C828FC" w:rsidRDefault="00847C80" w:rsidP="00847C80">
            <w:pPr>
              <w:jc w:val="both"/>
              <w:cnfStyle w:val="000000000000" w:firstRow="0" w:lastRow="0" w:firstColumn="0" w:lastColumn="0" w:oddVBand="0" w:evenVBand="0" w:oddHBand="0" w:evenHBand="0" w:firstRowFirstColumn="0" w:firstRowLastColumn="0" w:lastRowFirstColumn="0" w:lastRowLastColumn="0"/>
              <w:rPr>
                <w:i/>
                <w:sz w:val="18"/>
              </w:rPr>
            </w:pPr>
            <w:r w:rsidRPr="00C828FC">
              <w:rPr>
                <w:i/>
                <w:sz w:val="18"/>
              </w:rPr>
              <w:t>Proxy of the GB facility, considering chemical output as the dried protein pellet (3.72 g.kg</w:t>
            </w:r>
            <w:r w:rsidRPr="00C828FC">
              <w:rPr>
                <w:i/>
                <w:sz w:val="18"/>
                <w:vertAlign w:val="subscript"/>
              </w:rPr>
              <w:t>pellet</w:t>
            </w:r>
            <w:r w:rsidRPr="00C828FC">
              <w:rPr>
                <w:i/>
                <w:sz w:val="18"/>
                <w:vertAlign w:val="superscript"/>
              </w:rPr>
              <w:t>-1</w:t>
            </w:r>
            <w:r w:rsidRPr="00C828FC">
              <w:rPr>
                <w:i/>
                <w:sz w:val="18"/>
              </w:rPr>
              <w:t>)</w:t>
            </w:r>
            <w:r w:rsidRPr="00C828FC">
              <w:rPr>
                <w:i/>
                <w:sz w:val="18"/>
              </w:rPr>
              <w:fldChar w:fldCharType="begin"/>
            </w:r>
            <w:r w:rsidR="008C451C">
              <w:rPr>
                <w:i/>
                <w:sz w:val="18"/>
              </w:rPr>
              <w:instrText xml:space="preserve"> ADDIN ZOTERO_ITEM CSL_CITATION {"citationID":"b6gWBoNS","properties":{"formattedCitation":"\\super 48\\nosupersub{}","plainCitation":"48","noteIndex":0},"citationItems":[{"id":13212,"uris":["http://zotero.org/users/6423791/items/ANAMP6NH"],"itemData":{"id":13212,"type":"webpage","language":"en-US","title":"ecoinvent databases","URL":"https://ecoinvent.org/","author":[{"literal":"ecoinvent"}],"accessed":{"date-parts":[["2022",5,1]]},"issued":{"date-parts":[["2022"]]}}}],"schema":"https://github.com/citation-style-language/schema/raw/master/csl-citation.json"} </w:instrText>
            </w:r>
            <w:r w:rsidRPr="00C828FC">
              <w:rPr>
                <w:i/>
                <w:sz w:val="18"/>
              </w:rPr>
              <w:fldChar w:fldCharType="separate"/>
            </w:r>
            <w:r w:rsidR="008C451C" w:rsidRPr="008C451C">
              <w:rPr>
                <w:rFonts w:ascii="Calibri" w:hAnsi="Calibri" w:cs="Calibri"/>
                <w:sz w:val="18"/>
                <w:szCs w:val="24"/>
                <w:vertAlign w:val="superscript"/>
              </w:rPr>
              <w:t>48</w:t>
            </w:r>
            <w:r w:rsidRPr="00C828FC">
              <w:rPr>
                <w:i/>
                <w:sz w:val="18"/>
              </w:rPr>
              <w:fldChar w:fldCharType="end"/>
            </w:r>
            <w:r w:rsidRPr="00C828FC">
              <w:rPr>
                <w:i/>
                <w:sz w:val="18"/>
              </w:rPr>
              <w:t>.</w:t>
            </w:r>
          </w:p>
        </w:tc>
      </w:tr>
      <w:tr w:rsidR="00847C80" w:rsidRPr="00C828FC" w14:paraId="28D7D9A6"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042" w:type="dxa"/>
            <w:gridSpan w:val="3"/>
          </w:tcPr>
          <w:p w14:paraId="5A19BF97" w14:textId="1D1E58E9" w:rsidR="00847C80" w:rsidRPr="00C828FC" w:rsidRDefault="00847C80" w:rsidP="00847C80">
            <w:pPr>
              <w:rPr>
                <w:b w:val="0"/>
                <w:i/>
                <w:sz w:val="18"/>
              </w:rPr>
            </w:pPr>
            <w:r w:rsidRPr="00C828FC">
              <w:rPr>
                <w:b w:val="0"/>
                <w:i/>
                <w:sz w:val="18"/>
              </w:rPr>
              <w:t xml:space="preserve">Background processes for brown juice handling (AD) in </w:t>
            </w:r>
            <w:r w:rsidR="002D3BB7" w:rsidRPr="000C6C37">
              <w:rPr>
                <w:i/>
                <w:sz w:val="18"/>
              </w:rPr>
              <w:t>Javourez et al., 202</w:t>
            </w:r>
            <w:r w:rsidR="000C6C37" w:rsidRPr="000C6C37">
              <w:rPr>
                <w:i/>
                <w:sz w:val="18"/>
              </w:rPr>
              <w:t>4</w:t>
            </w:r>
            <w:r w:rsidR="002D3BB7" w:rsidRPr="000C6C37">
              <w:rPr>
                <w:i/>
                <w:sz w:val="18"/>
              </w:rPr>
              <w:fldChar w:fldCharType="begin"/>
            </w:r>
            <w:r w:rsidR="00827449">
              <w:rPr>
                <w:i/>
                <w:sz w:val="18"/>
              </w:rPr>
              <w:instrText xml:space="preserve"> ADDIN ZOTERO_ITEM CSL_CITATION {"citationID":"S62gZaol","properties":{"formattedCitation":"\\super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2D3BB7" w:rsidRPr="000C6C37">
              <w:rPr>
                <w:i/>
                <w:sz w:val="18"/>
              </w:rPr>
              <w:fldChar w:fldCharType="separate"/>
            </w:r>
            <w:r w:rsidR="008C451C" w:rsidRPr="000C6C37">
              <w:rPr>
                <w:rFonts w:ascii="Calibri" w:hAnsi="Calibri" w:cs="Calibri"/>
                <w:sz w:val="18"/>
                <w:szCs w:val="24"/>
                <w:vertAlign w:val="superscript"/>
              </w:rPr>
              <w:t>1</w:t>
            </w:r>
            <w:r w:rsidR="002D3BB7" w:rsidRPr="000C6C37">
              <w:rPr>
                <w:i/>
                <w:sz w:val="18"/>
              </w:rPr>
              <w:fldChar w:fldCharType="end"/>
            </w:r>
            <w:r w:rsidR="002D3BB7" w:rsidRPr="00C828FC">
              <w:rPr>
                <w:sz w:val="18"/>
              </w:rPr>
              <w:t>.</w:t>
            </w:r>
          </w:p>
        </w:tc>
      </w:tr>
      <w:tr w:rsidR="00847C80" w:rsidRPr="00C828FC" w14:paraId="64F1B189" w14:textId="77777777" w:rsidTr="00C828FC">
        <w:trPr>
          <w:jc w:val="center"/>
        </w:trPr>
        <w:tc>
          <w:tcPr>
            <w:cnfStyle w:val="001000000000" w:firstRow="0" w:lastRow="0" w:firstColumn="1" w:lastColumn="0" w:oddVBand="0" w:evenVBand="0" w:oddHBand="0" w:evenHBand="0" w:firstRowFirstColumn="0" w:firstRowLastColumn="0" w:lastRowFirstColumn="0" w:lastRowLastColumn="0"/>
            <w:tcW w:w="9042" w:type="dxa"/>
            <w:gridSpan w:val="3"/>
          </w:tcPr>
          <w:p w14:paraId="7BC58E51" w14:textId="71231470" w:rsidR="00847C80" w:rsidRPr="00C828FC" w:rsidRDefault="00847C80" w:rsidP="00847C80">
            <w:pPr>
              <w:rPr>
                <w:b w:val="0"/>
                <w:i/>
                <w:sz w:val="18"/>
              </w:rPr>
            </w:pPr>
            <w:r w:rsidRPr="00C828FC">
              <w:rPr>
                <w:b w:val="0"/>
                <w:i/>
                <w:sz w:val="18"/>
              </w:rPr>
              <w:t xml:space="preserve">Background processes for presspulp handling (GB_rough) in </w:t>
            </w:r>
            <w:r w:rsidR="00A03425" w:rsidRPr="00C828FC">
              <w:rPr>
                <w:i/>
                <w:sz w:val="18"/>
              </w:rPr>
              <w:fldChar w:fldCharType="begin"/>
            </w:r>
            <w:r w:rsidR="00A03425" w:rsidRPr="00C828FC">
              <w:rPr>
                <w:b w:val="0"/>
                <w:i/>
                <w:sz w:val="18"/>
              </w:rPr>
              <w:instrText xml:space="preserve"> REF _Ref144744290 \h  \* MERGEFORMAT </w:instrText>
            </w:r>
            <w:r w:rsidR="00A03425" w:rsidRPr="00C828FC">
              <w:rPr>
                <w:i/>
                <w:sz w:val="18"/>
              </w:rPr>
            </w:r>
            <w:r w:rsidR="00A03425" w:rsidRPr="00C828FC">
              <w:rPr>
                <w:i/>
                <w:sz w:val="18"/>
              </w:rPr>
              <w:fldChar w:fldCharType="separate"/>
            </w:r>
            <w:r w:rsidR="00F25F8C" w:rsidRPr="00C828FC">
              <w:rPr>
                <w:i/>
                <w:sz w:val="18"/>
              </w:rPr>
              <w:t xml:space="preserve">Table SI. </w:t>
            </w:r>
            <w:r w:rsidR="00F25F8C" w:rsidRPr="00C828FC">
              <w:rPr>
                <w:i/>
                <w:noProof/>
                <w:sz w:val="18"/>
              </w:rPr>
              <w:t>25</w:t>
            </w:r>
            <w:r w:rsidR="00A03425" w:rsidRPr="00C828FC">
              <w:rPr>
                <w:i/>
                <w:sz w:val="18"/>
              </w:rPr>
              <w:fldChar w:fldCharType="end"/>
            </w:r>
          </w:p>
        </w:tc>
      </w:tr>
      <w:tr w:rsidR="00847C80" w:rsidRPr="00C828FC" w14:paraId="2C185CF7" w14:textId="77777777" w:rsidTr="00C828FC">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042" w:type="dxa"/>
            <w:gridSpan w:val="3"/>
          </w:tcPr>
          <w:p w14:paraId="2734B534" w14:textId="1A9EBC5C" w:rsidR="00847C80" w:rsidRPr="00C828FC" w:rsidRDefault="00847C80" w:rsidP="00847C80">
            <w:pPr>
              <w:rPr>
                <w:b w:val="0"/>
                <w:i/>
                <w:sz w:val="18"/>
              </w:rPr>
            </w:pPr>
            <w:r w:rsidRPr="00C828FC">
              <w:rPr>
                <w:b w:val="0"/>
                <w:i/>
                <w:sz w:val="18"/>
              </w:rPr>
              <w:t xml:space="preserve">Background processes for presspulp handling (GB_mycofood) in </w:t>
            </w:r>
            <w:r w:rsidR="00A03425" w:rsidRPr="00C828FC">
              <w:rPr>
                <w:i/>
                <w:sz w:val="18"/>
              </w:rPr>
              <w:fldChar w:fldCharType="begin"/>
            </w:r>
            <w:r w:rsidR="00A03425" w:rsidRPr="00C828FC">
              <w:rPr>
                <w:b w:val="0"/>
                <w:i/>
                <w:sz w:val="18"/>
              </w:rPr>
              <w:instrText xml:space="preserve"> REF _Ref144808412 \h </w:instrText>
            </w:r>
            <w:r w:rsidR="00A03425" w:rsidRPr="00C828FC">
              <w:rPr>
                <w:i/>
                <w:sz w:val="18"/>
              </w:rPr>
              <w:instrText xml:space="preserve"> \* MERGEFORMAT </w:instrText>
            </w:r>
            <w:r w:rsidR="00A03425" w:rsidRPr="00C828FC">
              <w:rPr>
                <w:i/>
                <w:sz w:val="18"/>
              </w:rPr>
            </w:r>
            <w:r w:rsidR="00A03425" w:rsidRPr="00C828FC">
              <w:rPr>
                <w:i/>
                <w:sz w:val="18"/>
              </w:rPr>
              <w:fldChar w:fldCharType="separate"/>
            </w:r>
            <w:r w:rsidR="00F25F8C" w:rsidRPr="00C828FC">
              <w:rPr>
                <w:i/>
                <w:sz w:val="18"/>
              </w:rPr>
              <w:t xml:space="preserve">Table SI. </w:t>
            </w:r>
            <w:r w:rsidR="00F25F8C" w:rsidRPr="00C828FC">
              <w:rPr>
                <w:i/>
                <w:noProof/>
                <w:sz w:val="18"/>
              </w:rPr>
              <w:t>47</w:t>
            </w:r>
            <w:r w:rsidR="00A03425" w:rsidRPr="00C828FC">
              <w:rPr>
                <w:i/>
                <w:sz w:val="18"/>
              </w:rPr>
              <w:fldChar w:fldCharType="end"/>
            </w:r>
            <w:r w:rsidR="00A03425" w:rsidRPr="00C828FC">
              <w:rPr>
                <w:i/>
                <w:sz w:val="18"/>
              </w:rPr>
              <w:t xml:space="preserve"> </w:t>
            </w:r>
            <w:r w:rsidR="00A03425" w:rsidRPr="00C828FC">
              <w:rPr>
                <w:b w:val="0"/>
                <w:i/>
                <w:sz w:val="18"/>
              </w:rPr>
              <w:t>and</w:t>
            </w:r>
            <w:r w:rsidR="00A03425" w:rsidRPr="00C828FC">
              <w:rPr>
                <w:i/>
                <w:sz w:val="18"/>
              </w:rPr>
              <w:t xml:space="preserve"> </w:t>
            </w:r>
            <w:r w:rsidR="00A03425" w:rsidRPr="00C828FC">
              <w:rPr>
                <w:i/>
                <w:sz w:val="18"/>
              </w:rPr>
              <w:fldChar w:fldCharType="begin"/>
            </w:r>
            <w:r w:rsidR="00A03425" w:rsidRPr="00C828FC">
              <w:rPr>
                <w:i/>
                <w:sz w:val="18"/>
              </w:rPr>
              <w:instrText xml:space="preserve"> REF _Ref144820217 \h  \* MERGEFORMAT </w:instrText>
            </w:r>
            <w:r w:rsidR="00A03425" w:rsidRPr="00C828FC">
              <w:rPr>
                <w:i/>
                <w:sz w:val="18"/>
              </w:rPr>
            </w:r>
            <w:r w:rsidR="00A03425" w:rsidRPr="00C828FC">
              <w:rPr>
                <w:i/>
                <w:sz w:val="18"/>
              </w:rPr>
              <w:fldChar w:fldCharType="separate"/>
            </w:r>
            <w:r w:rsidR="00F25F8C" w:rsidRPr="00C828FC">
              <w:rPr>
                <w:i/>
                <w:sz w:val="18"/>
              </w:rPr>
              <w:t xml:space="preserve">Table SI. </w:t>
            </w:r>
            <w:r w:rsidR="00F25F8C" w:rsidRPr="00C828FC">
              <w:rPr>
                <w:i/>
                <w:noProof/>
                <w:sz w:val="18"/>
              </w:rPr>
              <w:t>54</w:t>
            </w:r>
            <w:r w:rsidR="00A03425" w:rsidRPr="00C828FC">
              <w:rPr>
                <w:i/>
                <w:sz w:val="18"/>
              </w:rPr>
              <w:fldChar w:fldCharType="end"/>
            </w:r>
          </w:p>
        </w:tc>
      </w:tr>
    </w:tbl>
    <w:p w14:paraId="3DB337BD" w14:textId="3CACC016" w:rsidR="00847C80" w:rsidRPr="003F5DA8" w:rsidRDefault="00847C80" w:rsidP="00942782">
      <w:pPr>
        <w:jc w:val="both"/>
        <w:rPr>
          <w:sz w:val="18"/>
        </w:rPr>
      </w:pPr>
      <w:r w:rsidRPr="003F5DA8">
        <w:rPr>
          <w:sz w:val="18"/>
        </w:rPr>
        <w:t xml:space="preserve">All processes are from the ecoinvent 3.8 consequential database. </w:t>
      </w:r>
      <w:r>
        <w:rPr>
          <w:sz w:val="18"/>
        </w:rPr>
        <w:t xml:space="preserve">EU is used to refer to “Europe without Switzerland”. </w:t>
      </w:r>
      <w:r w:rsidRPr="003F5DA8">
        <w:rPr>
          <w:sz w:val="18"/>
        </w:rPr>
        <w:t xml:space="preserve">Direct flows to biosphere are displayed </w:t>
      </w:r>
      <w:r w:rsidRPr="00187338">
        <w:rPr>
          <w:sz w:val="18"/>
        </w:rPr>
        <w:t xml:space="preserve">in </w:t>
      </w:r>
      <w:r w:rsidR="00C828FC" w:rsidRPr="00C828FC">
        <w:rPr>
          <w:i/>
          <w:sz w:val="18"/>
        </w:rPr>
        <w:t>B.GB_module spreadsheet</w:t>
      </w:r>
      <w:r w:rsidRPr="00187338">
        <w:rPr>
          <w:sz w:val="18"/>
        </w:rPr>
        <w:t>.</w:t>
      </w:r>
    </w:p>
    <w:p w14:paraId="31BF93EE" w14:textId="188941C0" w:rsidR="00C828FC" w:rsidRDefault="00A03425" w:rsidP="00A03425">
      <w:pPr>
        <w:jc w:val="both"/>
      </w:pPr>
      <w:r w:rsidRPr="003F5DA8">
        <w:t>Background processes and technology parameters associated with transversal unit operations between many mode</w:t>
      </w:r>
      <w:r w:rsidR="00655BBB">
        <w:t>l</w:t>
      </w:r>
      <w:r w:rsidRPr="003F5DA8">
        <w:t xml:space="preserve">s (e.g. pretreatments, transportation, etc.) are displayed in the </w:t>
      </w:r>
      <w:r w:rsidRPr="00B825DA">
        <w:t>common</w:t>
      </w:r>
      <w:r>
        <w:rPr>
          <w:b/>
        </w:rPr>
        <w:t xml:space="preserve"> section </w:t>
      </w:r>
      <w:r w:rsidR="000C6C37">
        <w:rPr>
          <w:b/>
        </w:rPr>
        <w:t xml:space="preserve">SI. </w:t>
      </w:r>
      <w:r>
        <w:rPr>
          <w:b/>
        </w:rPr>
        <w:fldChar w:fldCharType="begin"/>
      </w:r>
      <w:r>
        <w:rPr>
          <w:b/>
        </w:rPr>
        <w:instrText xml:space="preserve"> REF _Ref144802667 \r \h </w:instrText>
      </w:r>
      <w:r>
        <w:rPr>
          <w:b/>
        </w:rPr>
      </w:r>
      <w:r>
        <w:rPr>
          <w:b/>
        </w:rPr>
        <w:fldChar w:fldCharType="separate"/>
      </w:r>
      <w:r w:rsidR="00F25F8C">
        <w:rPr>
          <w:b/>
        </w:rPr>
        <w:t>4.1</w:t>
      </w:r>
      <w:r>
        <w:rPr>
          <w:b/>
        </w:rPr>
        <w:fldChar w:fldCharType="end"/>
      </w:r>
      <w:r w:rsidRPr="00B825DA">
        <w:t>.</w:t>
      </w:r>
      <w:r w:rsidRPr="002002AA">
        <w:t xml:space="preserve"> </w:t>
      </w:r>
      <w:r w:rsidRPr="003F5DA8">
        <w:t>Rest of modeling details (e.g. all biosphere flows) are available directly within corresponding excel mod</w:t>
      </w:r>
      <w:r w:rsidR="000C6C37">
        <w:t>el</w:t>
      </w:r>
      <w:r>
        <w:t>.</w:t>
      </w:r>
    </w:p>
    <w:p w14:paraId="1BA63134" w14:textId="2FE322A0" w:rsidR="00E4561D" w:rsidRDefault="00E4561D" w:rsidP="00E4561D">
      <w:pPr>
        <w:jc w:val="both"/>
      </w:pPr>
      <w:r>
        <w:t>The</w:t>
      </w:r>
      <w:r w:rsidRPr="008F2922">
        <w:t xml:space="preserve"> refinement leverages</w:t>
      </w:r>
      <w:r>
        <w:t xml:space="preserve"> of the model</w:t>
      </w:r>
      <w:r w:rsidRPr="008F2922">
        <w:t xml:space="preserve"> </w:t>
      </w:r>
      <w:r>
        <w:t>include, but are not limited to: increasing the</w:t>
      </w:r>
      <w:r w:rsidRPr="008F2922">
        <w:t xml:space="preserve"> </w:t>
      </w:r>
      <w:r>
        <w:t xml:space="preserve">modeling </w:t>
      </w:r>
      <w:r w:rsidRPr="008F2922">
        <w:t>granularity of input</w:t>
      </w:r>
      <w:r>
        <w:t>s’</w:t>
      </w:r>
      <w:r w:rsidRPr="008F2922">
        <w:t xml:space="preserve"> composition (e.g. including amino acids, phenols, etc.), integrating the influence of </w:t>
      </w:r>
      <w:r>
        <w:t>modifying</w:t>
      </w:r>
      <w:r w:rsidRPr="008F2922">
        <w:t xml:space="preserve"> agricultural management practices (e.g. harvesting periods) as well as breeds (e.g. through genotype selection) on the composition of residual streams and </w:t>
      </w:r>
      <w:r>
        <w:t xml:space="preserve">their </w:t>
      </w:r>
      <w:r w:rsidRPr="008F2922">
        <w:t xml:space="preserve">subsequent proteins extractability and quality </w:t>
      </w:r>
      <w:r w:rsidRPr="008F2922">
        <w:fldChar w:fldCharType="begin"/>
      </w:r>
      <w:r w:rsidR="00991F7C">
        <w:instrText xml:space="preserve"> ADDIN ZOTERO_ITEM CSL_CITATION {"citationID":"BPaNr8jL","properties":{"formattedCitation":"\\super 278\\nosupersub{}","plainCitation":"278","noteIndex":0},"citationItems":[{"id":13309,"uris":["http://zotero.org/users/6423791/items/QINA4TYD"],"itemData":{"id":13309,"type":"chapter","container-title":"Advisory memorandum from DCA - Danish Center for Food and Agriculture","page":"24","publisher":"Aarhus University","title":"Danish agricultural biomass production and utilization in 2030","author":[{"family":"Mortensen","given":"Esben","dropping-particle":"ø"},{"family":"Jørgensen","given":"Uffe"}],"issued":{"date-parts":[["2022",2,11]]}}}],"schema":"https://github.com/citation-style-language/schema/raw/master/csl-citation.json"} </w:instrText>
      </w:r>
      <w:r w:rsidRPr="008F2922">
        <w:fldChar w:fldCharType="separate"/>
      </w:r>
      <w:r w:rsidR="00991F7C" w:rsidRPr="00991F7C">
        <w:rPr>
          <w:rFonts w:ascii="Calibri" w:hAnsi="Calibri" w:cs="Calibri"/>
          <w:szCs w:val="24"/>
          <w:vertAlign w:val="superscript"/>
        </w:rPr>
        <w:t>278</w:t>
      </w:r>
      <w:r w:rsidRPr="008F2922">
        <w:fldChar w:fldCharType="end"/>
      </w:r>
      <w:r w:rsidRPr="008F2922">
        <w:t xml:space="preserve">. </w:t>
      </w:r>
      <w:r>
        <w:t>Importantly</w:t>
      </w:r>
      <w:r w:rsidRPr="008F2922">
        <w:t xml:space="preserve">, only three out of the </w:t>
      </w:r>
      <w:r>
        <w:t>many</w:t>
      </w:r>
      <w:r w:rsidRPr="008F2922">
        <w:t xml:space="preserve"> </w:t>
      </w:r>
      <w:r>
        <w:t>options</w:t>
      </w:r>
      <w:r w:rsidRPr="008F2922">
        <w:t xml:space="preserve"> to valorize press-pulp were analyzed (and only one for the brown juice</w:t>
      </w:r>
      <w:r>
        <w:t xml:space="preserve"> fraction</w:t>
      </w:r>
      <w:r w:rsidRPr="008F2922">
        <w:t>)</w:t>
      </w:r>
      <w:r>
        <w:t>, meaning t</w:t>
      </w:r>
      <w:r w:rsidRPr="008F2922">
        <w:t xml:space="preserve">he whole range of achievable performances by GB set-ups was not </w:t>
      </w:r>
      <w:r>
        <w:t>captured herein</w:t>
      </w:r>
      <w:r w:rsidRPr="008F2922">
        <w:t xml:space="preserve">. </w:t>
      </w:r>
      <w:r>
        <w:t>Finally</w:t>
      </w:r>
      <w:r w:rsidRPr="008F2922">
        <w:t xml:space="preserve">, as </w:t>
      </w:r>
      <w:r>
        <w:t>designed</w:t>
      </w:r>
      <w:r w:rsidRPr="008F2922">
        <w:t xml:space="preserve">, the </w:t>
      </w:r>
      <w:r>
        <w:t xml:space="preserve">GB </w:t>
      </w:r>
      <w:r w:rsidRPr="008F2922">
        <w:t xml:space="preserve">LCI </w:t>
      </w:r>
      <w:r>
        <w:t xml:space="preserve">model </w:t>
      </w:r>
      <w:r w:rsidRPr="008F2922">
        <w:t>is only suitable to assess GB as an alternative management practice for green residues. Indeed, GB is also part of the basket of strategies aiming to repurpose available land in a context of developing</w:t>
      </w:r>
      <w:r>
        <w:t xml:space="preserve"> grasslands-based</w:t>
      </w:r>
      <w:r w:rsidRPr="008F2922">
        <w:t xml:space="preserve"> bioeconomies </w:t>
      </w:r>
      <w:r w:rsidRPr="008F2922">
        <w:fldChar w:fldCharType="begin"/>
      </w:r>
      <w:r w:rsidR="00991F7C">
        <w:instrText xml:space="preserve"> ADDIN ZOTERO_ITEM CSL_CITATION {"citationID":"UL7dDsgb","properties":{"formattedCitation":"\\super 335\\nosupersub{}","plainCitation":"335","noteIndex":0},"citationItems":[{"id":13952,"uris":["http://zotero.org/users/6423791/items/REKDTDXP"],"itemData":{"id":13952,"type":"article-journal","abstract":"Compared with annual grain and seed crops, perennial grassland has significantly lower losses of nutrients and low pesticide requirements, whilst also supporting soil carbon build-up. Until now grassland crops have almost exclusively been fed to ruminants and horses. Our experiments on biorefining forages have produced protein of a quality equal to soybean meal. Forage crops can deliver high yields of biomass as well as protein with a well-balanced amino acid profile. In grass crops from unfertilised permanent grassland, focus has to be on the fibre part of the grass due to a low protein yield. With current techniques we have recovered up to 40% of the forage protein into a protein concentrate with around 50% protein. In addition, a fibre fraction containing 15%–18% protein of dry matter can be produced and used as ruminant feed, bioenergy, or further biorefined into chemical building blocks or bio-materials. Our feeding experiments have shown that biorefined grassland protein can provide a substitute for soybean meal for poultry and pigs without negative effects on animal performance. The first industrial scale biorefineries on green biomass for feed and bioenergy are now established in Denmark, although more research is needed in order to evaluate protein quality for both feed and food applications. In addition, a full EFSA approval has to be obtained for the application for food. The green biorefinery concept opens new markets for grassland and opportunities for increasing the grassland area to obtain associated ecosystem services.","container-title":"Grass and Forage Science","DOI":"10.1111/gfs.12594","ISSN":"1365-2494","journalAbbreviation":"Grass Forage Sci.","language":"en","note":"_eprint: https://onlinelibrary.wiley.com/doi/pdf/10.1111/gfs.12594","page":"295-306","source":"Wiley Online Library","title":"Coupling the benefits of grassland crops and green biorefining to produce protein, materials and services for the green transition","volume":"77","author":[{"family":"Jørgensen","given":"Uffe"},{"family":"Jensen","given":"Søren Krogh"},{"family":"Ambye-Jensen","given":"Morten"}],"issued":{"date-parts":[["2022"]]}}}],"schema":"https://github.com/citation-style-language/schema/raw/master/csl-citation.json"} </w:instrText>
      </w:r>
      <w:r w:rsidRPr="008F2922">
        <w:fldChar w:fldCharType="separate"/>
      </w:r>
      <w:r w:rsidR="00991F7C" w:rsidRPr="00991F7C">
        <w:rPr>
          <w:rFonts w:ascii="Calibri" w:hAnsi="Calibri" w:cs="Calibri"/>
          <w:szCs w:val="24"/>
          <w:vertAlign w:val="superscript"/>
        </w:rPr>
        <w:t>335</w:t>
      </w:r>
      <w:r w:rsidRPr="008F2922">
        <w:fldChar w:fldCharType="end"/>
      </w:r>
      <w:r>
        <w:t>, and the</w:t>
      </w:r>
      <w:r w:rsidRPr="008F2922">
        <w:t xml:space="preserve"> present model needs to be complemented (e.g. refined technological parameter ranges, spatio-temporal feedstock availability, land use change and agronomic practices accounting, etc.) to address such land allocation problematic.</w:t>
      </w:r>
    </w:p>
    <w:p w14:paraId="2C97D08F" w14:textId="77777777" w:rsidR="00C828FC" w:rsidRDefault="00C828FC">
      <w:r>
        <w:br w:type="page"/>
      </w:r>
    </w:p>
    <w:p w14:paraId="1A357CCE" w14:textId="0B0D71D6" w:rsidR="00F669A1" w:rsidRPr="003F5DA8" w:rsidRDefault="00F669A1" w:rsidP="00A03425">
      <w:pPr>
        <w:pStyle w:val="Titre2"/>
      </w:pPr>
      <w:bookmarkStart w:id="400" w:name="_Ref145068359"/>
      <w:bookmarkStart w:id="401" w:name="_Toc145069134"/>
      <w:r w:rsidRPr="006E7B65">
        <w:lastRenderedPageBreak/>
        <w:t xml:space="preserve">Gasification </w:t>
      </w:r>
      <w:r w:rsidR="00A03425">
        <w:t xml:space="preserve">LCI </w:t>
      </w:r>
      <w:r w:rsidRPr="006E7B65">
        <w:t>mode</w:t>
      </w:r>
      <w:bookmarkEnd w:id="400"/>
      <w:bookmarkEnd w:id="401"/>
      <w:r w:rsidR="00655BBB">
        <w:t>l</w:t>
      </w:r>
    </w:p>
    <w:p w14:paraId="431A4422" w14:textId="290338ED" w:rsidR="00F669A1" w:rsidRPr="00A03425" w:rsidRDefault="00F669A1" w:rsidP="00A03425">
      <w:pPr>
        <w:ind w:firstLine="360"/>
        <w:jc w:val="both"/>
      </w:pPr>
      <w:r w:rsidRPr="003F5DA8">
        <w:t xml:space="preserve">This </w:t>
      </w:r>
      <w:r w:rsidR="00A03425">
        <w:t>section</w:t>
      </w:r>
      <w:r w:rsidRPr="003F5DA8">
        <w:t xml:space="preserve"> presents the details (including assumptions, choice rationales, calculations and data sources) of the gasification (GA) life cycle inventory (LCI) model, </w:t>
      </w:r>
      <w:r w:rsidR="00A03425">
        <w:t>with the objective to</w:t>
      </w:r>
      <w:r w:rsidR="00A03425" w:rsidRPr="003F5DA8">
        <w:t xml:space="preserve"> </w:t>
      </w:r>
      <w:r w:rsidR="00A03425">
        <w:t>perform</w:t>
      </w:r>
      <w:r w:rsidR="00A03425" w:rsidRPr="003F5DA8">
        <w:t xml:space="preserve"> the LCA of</w:t>
      </w:r>
      <w:r w:rsidR="00A03425">
        <w:t xml:space="preserve"> GA not only as part of a standalone bioresource management option, but also </w:t>
      </w:r>
      <w:r w:rsidRPr="006E7B65">
        <w:t>integrated in more complex supply chains as a pretreatment (</w:t>
      </w:r>
      <w:r w:rsidR="00A03425">
        <w:t>here</w:t>
      </w:r>
      <w:r w:rsidRPr="006E7B65">
        <w:t xml:space="preserve"> for MP production</w:t>
      </w:r>
      <w:r w:rsidR="00A03425">
        <w:t xml:space="preserve">; see </w:t>
      </w:r>
      <w:r w:rsidR="00A03425" w:rsidRPr="00A03425">
        <w:rPr>
          <w:b/>
        </w:rPr>
        <w:t>section</w:t>
      </w:r>
      <w:r w:rsidR="000C6C37">
        <w:rPr>
          <w:b/>
        </w:rPr>
        <w:t xml:space="preserve"> SI.</w:t>
      </w:r>
      <w:r w:rsidR="00A03425" w:rsidRPr="00A03425">
        <w:rPr>
          <w:b/>
        </w:rPr>
        <w:t xml:space="preserve"> </w:t>
      </w:r>
      <w:r w:rsidR="00A03425" w:rsidRPr="00A03425">
        <w:rPr>
          <w:b/>
        </w:rPr>
        <w:fldChar w:fldCharType="begin"/>
      </w:r>
      <w:r w:rsidR="00A03425" w:rsidRPr="00A03425">
        <w:rPr>
          <w:b/>
        </w:rPr>
        <w:instrText xml:space="preserve"> REF _Ref144911893 \r \h </w:instrText>
      </w:r>
      <w:r w:rsidR="00A03425">
        <w:rPr>
          <w:b/>
        </w:rPr>
        <w:instrText xml:space="preserve"> \* MERGEFORMAT </w:instrText>
      </w:r>
      <w:r w:rsidR="00A03425" w:rsidRPr="00A03425">
        <w:rPr>
          <w:b/>
        </w:rPr>
      </w:r>
      <w:r w:rsidR="00A03425" w:rsidRPr="00A03425">
        <w:rPr>
          <w:b/>
        </w:rPr>
        <w:fldChar w:fldCharType="separate"/>
      </w:r>
      <w:r w:rsidR="00F25F8C">
        <w:rPr>
          <w:b/>
        </w:rPr>
        <w:t>4.6</w:t>
      </w:r>
      <w:r w:rsidR="00A03425" w:rsidRPr="00A03425">
        <w:rPr>
          <w:b/>
        </w:rPr>
        <w:fldChar w:fldCharType="end"/>
      </w:r>
      <w:r w:rsidRPr="006E7B65">
        <w:t xml:space="preserve">). Corresponding model is available </w:t>
      </w:r>
      <w:r>
        <w:t xml:space="preserve">in </w:t>
      </w:r>
      <w:r w:rsidR="008C451C" w:rsidRPr="008C451C">
        <w:rPr>
          <w:i/>
        </w:rPr>
        <w:t>B.GA_module</w:t>
      </w:r>
      <w:r w:rsidRPr="006E7B65">
        <w:t>.</w:t>
      </w:r>
    </w:p>
    <w:p w14:paraId="61B4B46D" w14:textId="77777777" w:rsidR="00F669A1" w:rsidRPr="00BC102F" w:rsidRDefault="00F669A1" w:rsidP="00A03425">
      <w:pPr>
        <w:pStyle w:val="Titre3"/>
      </w:pPr>
      <w:bookmarkStart w:id="402" w:name="_Toc145069135"/>
      <w:r w:rsidRPr="00BC102F">
        <w:t>Set-up selection</w:t>
      </w:r>
      <w:bookmarkEnd w:id="402"/>
    </w:p>
    <w:p w14:paraId="1210DFC2" w14:textId="4E1E1E2A" w:rsidR="00A03425" w:rsidRDefault="00A03425" w:rsidP="00A03425">
      <w:pPr>
        <w:jc w:val="both"/>
      </w:pPr>
      <w:r w:rsidRPr="003F5DA8">
        <w:t>The objective of this mod</w:t>
      </w:r>
      <w:r w:rsidR="00655BBB">
        <w:t>el</w:t>
      </w:r>
      <w:r w:rsidRPr="003F5DA8">
        <w:t xml:space="preserve"> is to provide a feedstock- and process-dependent estimation of gasification’s life cycle inventory. Being of lower TRL than anaerobic digestion, scaled primary data are (i) scarce and (ii) not representative of continuous industrial production. Therefore, the model was rather based on lab- and pilot-based experiments which were used in previous assessment studies (mainly prospective LCAs and reviews; see</w:t>
      </w:r>
      <w:r>
        <w:t xml:space="preserve"> </w:t>
      </w:r>
      <w:r w:rsidRPr="00BC102F">
        <w:t xml:space="preserve">background data in </w:t>
      </w:r>
      <w:r w:rsidR="008C451C" w:rsidRPr="008C451C">
        <w:rPr>
          <w:i/>
        </w:rPr>
        <w:t>B.GA_module</w:t>
      </w:r>
      <w:r w:rsidRPr="00BC102F">
        <w:t xml:space="preserve"> for the full list of references).</w:t>
      </w:r>
    </w:p>
    <w:p w14:paraId="372ECD93" w14:textId="0036C0C2" w:rsidR="008C451C" w:rsidRDefault="00F669A1" w:rsidP="00A03425">
      <w:pPr>
        <w:jc w:val="both"/>
      </w:pPr>
      <w:r w:rsidRPr="003F5DA8">
        <w:t>Gasification is a scaling technology which displays many set-up variants (process, temperature, oxidizing agent, etc.). An exhaustive review of gasification techniques is out of the scope of this study. Yet, to provide realistic estimations of gasification performances, one of the most commonly studied set-ups was modeled: air as the oxidizing agent fed in a fluidized bed reactor. Albeit yielding higher hydrogen production, the use of steam or pure oxygen as oxidizing agents were not considered as associated with higher energy costs</w:t>
      </w:r>
      <w:r w:rsidRPr="003F5DA8">
        <w:fldChar w:fldCharType="begin"/>
      </w:r>
      <w:r w:rsidR="005413B4">
        <w:instrText xml:space="preserve"> ADDIN ZOTERO_ITEM CSL_CITATION {"citationID":"9l5ZrrPT","properties":{"formattedCitation":"\\super 223\\nosupersub{}","plainCitation":"223","noteIndex":0},"citationItems":[{"id":12940,"uris":["http://zotero.org/users/6423791/items/KBVGJC6I"],"itemData":{"id":12940,"type":"report","language":"fr","number":"RECORD 13-0239/1A","page":"228","publisher":"Réseau Coopératif de Recherche sur les Déchets et l’Environnement","source":"Zotero","title":"Production d'hydrogène à partir de déchets: Etat de l'art et potentiel d'émergence","URL":"https://hal.archives-ouvertes.fr/hal-01602165","author":[{"family":"Megret","given":"Olivier"},{"family":"Hubert","given":"Loreline"},{"family":"Calbry","given":"M"},{"family":"Trably","given":"Eric"},{"family":"Carrère","given":"Hélène"},{"family":"Garcia-Bernet","given":"Diana"},{"family":"Bernet","given":"Nicolas"}],"issued":{"date-parts":[["2015"]]}}}],"schema":"https://github.com/citation-style-language/schema/raw/master/csl-citation.json"} </w:instrText>
      </w:r>
      <w:r w:rsidRPr="003F5DA8">
        <w:fldChar w:fldCharType="separate"/>
      </w:r>
      <w:r w:rsidR="005413B4" w:rsidRPr="005413B4">
        <w:rPr>
          <w:rFonts w:ascii="Calibri" w:hAnsi="Calibri" w:cs="Calibri"/>
          <w:szCs w:val="24"/>
          <w:vertAlign w:val="superscript"/>
        </w:rPr>
        <w:t>223</w:t>
      </w:r>
      <w:r w:rsidRPr="003F5DA8">
        <w:fldChar w:fldCharType="end"/>
      </w:r>
      <w:r w:rsidRPr="003F5DA8">
        <w:t xml:space="preserve">, as well as lower data availability. Therefore, the following steps were considered: </w:t>
      </w:r>
      <w:r w:rsidRPr="003F5DA8">
        <w:rPr>
          <w:i/>
          <w:iCs/>
        </w:rPr>
        <w:t>in-situ</w:t>
      </w:r>
      <w:r w:rsidRPr="003F5DA8">
        <w:t xml:space="preserve"> collection and transport towards the gasification plant, storage and pretreatments, gasification, producer gas cleaning, gas post-treatment steps, and final energy valorization. GA platform was assumed as a centralized facility (regional-scale hub). The complexity and energetic intensity of the processes involved (e.g. thermochemical unit operations of syngas upgrading) likely require an economy of scale to be viable</w:t>
      </w:r>
      <w:r w:rsidRPr="003F5DA8">
        <w:fldChar w:fldCharType="begin"/>
      </w:r>
      <w:r w:rsidR="005413B4">
        <w:instrText xml:space="preserve"> ADDIN ZOTERO_ITEM CSL_CITATION {"citationID":"mWESuVTO","properties":{"formattedCitation":"\\super 240,247\\nosupersub{}","plainCitation":"240,247","noteIndex":0},"citationItems":[{"id":12938,"uris":["http://zotero.org/users/6423791/items/A38JDL8H"],"itemData":{"id":12938,"type":"report","number":"0005","page":"313","publisher":"Energinet","title":"Technology Data - Renewable fuels","URL":"http://www.ens.dk/teknologikatalog","author":[{"literal":"Danish Energy Agency"}],"issued":{"date-parts":[["2022"]]}}},{"id":12948,"uris":["http://zotero.org/users/6423791/items/K75N7HJR"],"itemData":{"id":12948,"type":"chapter","container-title":"Hydrogen Supply Chains","ISBN":"978-0-12-811197-0","language":"en","note":"DOI: 10.1016/B978-0-12-811197-0.00004-X","page":"111-166","publisher":"Elsevier","source":"DOI.org (Crossref)","title":"Hydrogen Production From Biogas Reforming: An Overview of Steam Reforming, Dry Reforming, Dual Reforming, and Tri-Reforming of Methane","title-short":"Hydrogen Production From Biogas Reforming","URL":"https://linkinghub.elsevier.com/retrieve/pii/B978012811197000004X","author":[{"family":"Pham Minh","given":"Doan"},{"family":"Siang","given":"Tan Ji"},{"family":"Vo","given":"Dai-Viet N."},{"family":"Phan","given":"Thanh Son"},{"family":"Ridart","given":"Cyrille"},{"family":"Nzihou","given":"Ange"},{"family":"Grouset","given":"Didier"}],"accessed":{"date-parts":[["2022",2,3]]},"issued":{"date-parts":[["2018"]]}}}],"schema":"https://github.com/citation-style-language/schema/raw/master/csl-citation.json"} </w:instrText>
      </w:r>
      <w:r w:rsidRPr="003F5DA8">
        <w:fldChar w:fldCharType="separate"/>
      </w:r>
      <w:r w:rsidR="005413B4" w:rsidRPr="005413B4">
        <w:rPr>
          <w:rFonts w:ascii="Calibri" w:hAnsi="Calibri" w:cs="Calibri"/>
          <w:szCs w:val="24"/>
          <w:vertAlign w:val="superscript"/>
        </w:rPr>
        <w:t>240,247</w:t>
      </w:r>
      <w:r w:rsidRPr="003F5DA8">
        <w:fldChar w:fldCharType="end"/>
      </w:r>
      <w:r w:rsidRPr="003F5DA8">
        <w:t>. A high plant availability was assumed (8000 h.y</w:t>
      </w:r>
      <w:r w:rsidRPr="003F5DA8">
        <w:rPr>
          <w:vertAlign w:val="superscript"/>
        </w:rPr>
        <w:t>-1</w:t>
      </w:r>
      <w:r w:rsidRPr="003F5DA8">
        <w:t>) neglecting start-up effects (ca. 60-80 h.y</w:t>
      </w:r>
      <w:r w:rsidRPr="003F5DA8">
        <w:rPr>
          <w:vertAlign w:val="superscript"/>
        </w:rPr>
        <w:t>-1</w:t>
      </w:r>
      <w:r w:rsidRPr="003F5DA8">
        <w:t xml:space="preserve"> </w:t>
      </w:r>
      <w:r w:rsidRPr="003F5DA8">
        <w:fldChar w:fldCharType="begin"/>
      </w:r>
      <w:r w:rsidR="00991F7C">
        <w:instrText xml:space="preserve"> ADDIN ZOTERO_ITEM CSL_CITATION {"citationID":"HLnkZXO8","properties":{"formattedCitation":"\\super 336\\nosupersub{}","plainCitation":"336","noteIndex":0},"citationItems":[{"id":13016,"uris":["http://zotero.org/users/6423791/items/N6EC882Z"],"itemData":{"id":13016,"type":"article-journal","abstract":"This paper presents the main experiences gained and conclusions drawn from the demonstration of a first-of-its-kind wood-based biomethane production plant (20-MW capacity, 150 dry tonnes of biomass/day) and 10 years of operation of the 2–4-MW (10–20 dry tonnes of biomass/day) research gasifier at Chalmers University of Technology in Sweden. Based on the experience gained, an elaborated outline for commercialization of the technology for a wide spectrum of applications and end products is defined. The main findings are related to the use of biomass ash constituents as a catalyst for the process and the application of coated heat exchangers, such that regular fluidized bed boilers can be retrofitted to become biomass gasifiers. Among the recirculation of the ash streams within the process, presence of the alkali salt in the system is identified as highly important for control of the tar species. Combined with new insights on fuel feeding and reactor design, these two major findings form the basis for a comprehensive process layout that can support a gradual transformation of existing boilers in district heating networks and in pulp, paper and saw mills, and it facilitates the exploitation of existing oil refineries and petrochemical plants for large-scale production of renewable fuels, chemicals, and materials from biomass and wastes. The potential for electrification of those process layouts are also discussed. The commercialization route represents an example of how biomass conversion develops and integrates with existing industrial and energy infrastructures to form highly effective systems that deliver a wide range of end products. Illustrating the potential, the existing fluidized bed boilers in Sweden alone represent a jet fuel production capacity that corresponds to 10% of current global consumption.","container-title":"Energy Science &amp; Engineering","DOI":"10.1002/ese3.188","ISSN":"2050-0505","issue":"1","journalAbbreviation":"Energy Sci. Eng.","language":"en","note":"_eprint: https://onlinelibrary.wiley.com/doi/pdf/10.1002/ese3.188","page":"6-34","source":"Wiley Online Library","title":"Advanced biofuel production via gasification – lessons learned from 200 man-years of research activity with Chalmers’ research gasifier and the GoBiGas demonstration plant","volume":"6","author":[{"family":"Thunman","given":"Henrik"},{"family":"Seemann","given":"Martin"},{"family":"Berdugo Vilches","given":"Teresa"},{"family":"Maric","given":"Jelena"},{"family":"Pallares","given":"David"},{"family":"Ström","given":"Henrik"},{"family":"Berndes","given":"Göran"},{"family":"Knutsson","given":"Pavleta"},{"family":"Larsson","given":"Anton"},{"family":"Breitholtz","given":"Claes"},{"family":"Santos","given":"Olga"}],"issued":{"date-parts":[["2018"]]}}}],"schema":"https://github.com/citation-style-language/schema/raw/master/csl-citation.json"} </w:instrText>
      </w:r>
      <w:r w:rsidRPr="003F5DA8">
        <w:fldChar w:fldCharType="separate"/>
      </w:r>
      <w:r w:rsidR="00991F7C" w:rsidRPr="00991F7C">
        <w:rPr>
          <w:rFonts w:ascii="Calibri" w:hAnsi="Calibri" w:cs="Calibri"/>
          <w:szCs w:val="24"/>
          <w:vertAlign w:val="superscript"/>
        </w:rPr>
        <w:t>336</w:t>
      </w:r>
      <w:r w:rsidRPr="003F5DA8">
        <w:fldChar w:fldCharType="end"/>
      </w:r>
      <w:r w:rsidRPr="003F5DA8">
        <w:t xml:space="preserve">). Lifetime of the plant was considered 30 years, with a </w:t>
      </w:r>
      <w:bookmarkStart w:id="403" w:name="_Hlk141436886"/>
      <w:r w:rsidRPr="003F5DA8">
        <w:t>20 t</w:t>
      </w:r>
      <w:r w:rsidRPr="003F5DA8">
        <w:rPr>
          <w:vertAlign w:val="subscript"/>
        </w:rPr>
        <w:t>ww</w:t>
      </w:r>
      <w:r w:rsidRPr="003F5DA8">
        <w:t>.h</w:t>
      </w:r>
      <w:r w:rsidRPr="003F5DA8">
        <w:rPr>
          <w:vertAlign w:val="superscript"/>
        </w:rPr>
        <w:t>-1</w:t>
      </w:r>
      <w:r w:rsidRPr="003F5DA8">
        <w:t xml:space="preserve"> treatment capacity</w:t>
      </w:r>
      <w:bookmarkEnd w:id="403"/>
      <w:r w:rsidRPr="003F5DA8">
        <w:t xml:space="preserve">. Process integration was proxied by estimating the potential heat synergies and </w:t>
      </w:r>
      <w:r>
        <w:t>sensible</w:t>
      </w:r>
      <w:r w:rsidRPr="003F5DA8">
        <w:t xml:space="preserve"> heat recoveries for each unit operation. </w:t>
      </w:r>
      <w:r w:rsidR="00A03425">
        <w:t xml:space="preserve">The </w:t>
      </w:r>
      <w:r w:rsidR="00583C1F" w:rsidRPr="00583C1F">
        <w:rPr>
          <w:b/>
        </w:rPr>
        <w:fldChar w:fldCharType="begin"/>
      </w:r>
      <w:r w:rsidR="00583C1F" w:rsidRPr="00583C1F">
        <w:rPr>
          <w:b/>
        </w:rPr>
        <w:instrText xml:space="preserve"> REF _Ref144912083 \h </w:instrText>
      </w:r>
      <w:r w:rsidR="00583C1F">
        <w:rPr>
          <w:b/>
        </w:rPr>
        <w:instrText xml:space="preserve"> \* MERGEFORMAT </w:instrText>
      </w:r>
      <w:r w:rsidR="00583C1F" w:rsidRPr="00583C1F">
        <w:rPr>
          <w:b/>
        </w:rPr>
      </w:r>
      <w:r w:rsidR="00583C1F" w:rsidRPr="00583C1F">
        <w:rPr>
          <w:b/>
        </w:rPr>
        <w:fldChar w:fldCharType="separate"/>
      </w:r>
      <w:r w:rsidR="00F25F8C" w:rsidRPr="00F25F8C">
        <w:rPr>
          <w:b/>
        </w:rPr>
        <w:t xml:space="preserve">Figure SI. </w:t>
      </w:r>
      <w:r w:rsidR="00F25F8C" w:rsidRPr="00F25F8C">
        <w:rPr>
          <w:b/>
          <w:noProof/>
        </w:rPr>
        <w:t>3</w:t>
      </w:r>
      <w:r w:rsidR="00583C1F" w:rsidRPr="00583C1F">
        <w:rPr>
          <w:b/>
        </w:rPr>
        <w:fldChar w:fldCharType="end"/>
      </w:r>
      <w:r w:rsidR="00583C1F">
        <w:t xml:space="preserve"> </w:t>
      </w:r>
      <w:r w:rsidRPr="00BC102F">
        <w:t>illustrates the</w:t>
      </w:r>
      <w:r w:rsidRPr="003F5DA8">
        <w:t xml:space="preserve"> system boundary as well as the main process flow and unit operations contemplated for the selected GA set-up</w:t>
      </w:r>
      <w:r w:rsidR="00583C1F">
        <w:t xml:space="preserve"> (harmonized with the figures of the main manuscript</w:t>
      </w:r>
      <w:r w:rsidR="008C451C">
        <w:t>)</w:t>
      </w:r>
      <w:r w:rsidR="00583C1F">
        <w:t>.</w:t>
      </w:r>
    </w:p>
    <w:p w14:paraId="2DA9F965" w14:textId="77777777" w:rsidR="008C451C" w:rsidRDefault="008C451C">
      <w:r>
        <w:br w:type="page"/>
      </w:r>
    </w:p>
    <w:p w14:paraId="19914929" w14:textId="6401C580" w:rsidR="00F669A1" w:rsidRDefault="00A03425" w:rsidP="00942782">
      <w:pPr>
        <w:pStyle w:val="Lgende"/>
        <w:jc w:val="left"/>
      </w:pPr>
      <w:bookmarkStart w:id="404" w:name="_Ref144912083"/>
      <w:bookmarkStart w:id="405" w:name="_Toc151967991"/>
      <w:r>
        <w:lastRenderedPageBreak/>
        <w:t xml:space="preserve">Figure SI. </w:t>
      </w:r>
      <w:r>
        <w:fldChar w:fldCharType="begin"/>
      </w:r>
      <w:r>
        <w:instrText xml:space="preserve"> SEQ Figure_SI. \* ARABIC </w:instrText>
      </w:r>
      <w:r>
        <w:fldChar w:fldCharType="separate"/>
      </w:r>
      <w:r w:rsidR="00F25F8C">
        <w:rPr>
          <w:noProof/>
        </w:rPr>
        <w:t>3</w:t>
      </w:r>
      <w:r>
        <w:fldChar w:fldCharType="end"/>
      </w:r>
      <w:bookmarkEnd w:id="404"/>
      <w:r>
        <w:t xml:space="preserve"> </w:t>
      </w:r>
      <w:r w:rsidRPr="002D5B5C">
        <w:t xml:space="preserve">– Scope, system boundaries and </w:t>
      </w:r>
      <w:r w:rsidR="003F35A5">
        <w:t>process flow diagram</w:t>
      </w:r>
      <w:r w:rsidRPr="002D5B5C">
        <w:t xml:space="preserve"> of </w:t>
      </w:r>
      <w:r w:rsidR="003F35A5">
        <w:t>GA</w:t>
      </w:r>
      <w:bookmarkEnd w:id="405"/>
    </w:p>
    <w:p w14:paraId="75B06BAE" w14:textId="57665835" w:rsidR="00F669A1" w:rsidRPr="002D5B5C" w:rsidRDefault="003F35A5" w:rsidP="00F669A1">
      <w:pPr>
        <w:rPr>
          <w:lang w:eastAsia="ko-KR"/>
        </w:rPr>
      </w:pPr>
      <w:r>
        <w:rPr>
          <w:noProof/>
        </w:rPr>
        <w:drawing>
          <wp:inline distT="0" distB="0" distL="0" distR="0" wp14:anchorId="57447031" wp14:editId="6F80CF24">
            <wp:extent cx="5760720" cy="4147345"/>
            <wp:effectExtent l="0" t="0" r="0" b="571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0720" cy="4147345"/>
                    </a:xfrm>
                    <a:prstGeom prst="rect">
                      <a:avLst/>
                    </a:prstGeom>
                    <a:noFill/>
                    <a:ln>
                      <a:noFill/>
                    </a:ln>
                  </pic:spPr>
                </pic:pic>
              </a:graphicData>
            </a:graphic>
          </wp:inline>
        </w:drawing>
      </w:r>
    </w:p>
    <w:p w14:paraId="0C1FDE7C" w14:textId="4757C4E7" w:rsidR="00F669A1" w:rsidRPr="00583C1F" w:rsidRDefault="00F669A1" w:rsidP="00583C1F">
      <w:pPr>
        <w:jc w:val="both"/>
        <w:rPr>
          <w:sz w:val="18"/>
          <w:szCs w:val="18"/>
        </w:rPr>
      </w:pPr>
      <w:r w:rsidRPr="00583C1F">
        <w:rPr>
          <w:sz w:val="18"/>
          <w:szCs w:val="18"/>
        </w:rPr>
        <w:t xml:space="preserve">“Suitable” feedstock categories </w:t>
      </w:r>
      <w:r w:rsidR="00583C1F" w:rsidRPr="00583C1F">
        <w:rPr>
          <w:sz w:val="18"/>
          <w:szCs w:val="18"/>
        </w:rPr>
        <w:t xml:space="preserve">and corresponding representative case studies </w:t>
      </w:r>
      <w:r w:rsidRPr="00583C1F">
        <w:rPr>
          <w:sz w:val="18"/>
          <w:szCs w:val="18"/>
        </w:rPr>
        <w:t>are based on the (pathways; feedstocks) compatibility</w:t>
      </w:r>
      <w:r w:rsidR="00583C1F" w:rsidRPr="00583C1F">
        <w:rPr>
          <w:sz w:val="18"/>
          <w:szCs w:val="18"/>
        </w:rPr>
        <w:t xml:space="preserve"> matrix</w:t>
      </w:r>
      <w:r w:rsidRPr="00583C1F">
        <w:rPr>
          <w:sz w:val="18"/>
          <w:szCs w:val="18"/>
        </w:rPr>
        <w:t xml:space="preserve"> (see </w:t>
      </w:r>
      <w:r w:rsidR="00583C1F" w:rsidRPr="003F35A5">
        <w:rPr>
          <w:b/>
          <w:sz w:val="18"/>
          <w:szCs w:val="18"/>
        </w:rPr>
        <w:t>main manuscript</w:t>
      </w:r>
      <w:r w:rsidRPr="00583C1F">
        <w:rPr>
          <w:sz w:val="18"/>
          <w:szCs w:val="18"/>
        </w:rPr>
        <w:t>)</w:t>
      </w:r>
      <w:r w:rsidR="00583C1F" w:rsidRPr="00583C1F">
        <w:rPr>
          <w:sz w:val="18"/>
          <w:szCs w:val="18"/>
        </w:rPr>
        <w:t>.</w:t>
      </w:r>
      <w:r w:rsidR="00583C1F">
        <w:rPr>
          <w:sz w:val="18"/>
          <w:szCs w:val="18"/>
        </w:rPr>
        <w:t xml:space="preserve"> Here</w:t>
      </w:r>
      <w:r w:rsidR="003F35A5">
        <w:rPr>
          <w:sz w:val="18"/>
          <w:szCs w:val="18"/>
        </w:rPr>
        <w:t>, gasification (GA) is modeled as a pretreatment of microbial proteins (MP) production</w:t>
      </w:r>
      <w:r w:rsidR="007C689E">
        <w:rPr>
          <w:sz w:val="18"/>
          <w:szCs w:val="18"/>
        </w:rPr>
        <w:t xml:space="preserve">, corresponding gas </w:t>
      </w:r>
      <w:r w:rsidR="003F35A5">
        <w:rPr>
          <w:sz w:val="18"/>
          <w:szCs w:val="18"/>
        </w:rPr>
        <w:t xml:space="preserve">post-treatments </w:t>
      </w:r>
      <w:r w:rsidR="007C689E">
        <w:rPr>
          <w:sz w:val="18"/>
          <w:szCs w:val="18"/>
        </w:rPr>
        <w:t xml:space="preserve">are </w:t>
      </w:r>
      <w:r w:rsidR="003F35A5">
        <w:rPr>
          <w:sz w:val="18"/>
          <w:szCs w:val="18"/>
        </w:rPr>
        <w:t xml:space="preserve">detailed in the </w:t>
      </w:r>
      <w:r w:rsidR="003F35A5" w:rsidRPr="007C689E">
        <w:rPr>
          <w:b/>
          <w:sz w:val="18"/>
          <w:szCs w:val="18"/>
        </w:rPr>
        <w:t>section</w:t>
      </w:r>
      <w:r w:rsidR="007C689E" w:rsidRPr="007C689E">
        <w:rPr>
          <w:b/>
          <w:sz w:val="18"/>
          <w:szCs w:val="18"/>
        </w:rPr>
        <w:t xml:space="preserve"> </w:t>
      </w:r>
      <w:r w:rsidR="000C6C37">
        <w:rPr>
          <w:b/>
          <w:sz w:val="18"/>
          <w:szCs w:val="18"/>
        </w:rPr>
        <w:t xml:space="preserve">SI. </w:t>
      </w:r>
      <w:r w:rsidR="007C689E" w:rsidRPr="007C689E">
        <w:rPr>
          <w:b/>
          <w:sz w:val="18"/>
          <w:szCs w:val="18"/>
        </w:rPr>
        <w:fldChar w:fldCharType="begin"/>
      </w:r>
      <w:r w:rsidR="007C689E" w:rsidRPr="007C689E">
        <w:rPr>
          <w:b/>
          <w:sz w:val="18"/>
          <w:szCs w:val="18"/>
        </w:rPr>
        <w:instrText xml:space="preserve"> REF _Ref145068060 \r \h </w:instrText>
      </w:r>
      <w:r w:rsidR="007C689E">
        <w:rPr>
          <w:b/>
          <w:sz w:val="18"/>
          <w:szCs w:val="18"/>
        </w:rPr>
        <w:instrText xml:space="preserve"> \* MERGEFORMAT </w:instrText>
      </w:r>
      <w:r w:rsidR="007C689E" w:rsidRPr="007C689E">
        <w:rPr>
          <w:b/>
          <w:sz w:val="18"/>
          <w:szCs w:val="18"/>
        </w:rPr>
      </w:r>
      <w:r w:rsidR="007C689E" w:rsidRPr="007C689E">
        <w:rPr>
          <w:b/>
          <w:sz w:val="18"/>
          <w:szCs w:val="18"/>
        </w:rPr>
        <w:fldChar w:fldCharType="separate"/>
      </w:r>
      <w:r w:rsidR="00F25F8C">
        <w:rPr>
          <w:b/>
          <w:sz w:val="18"/>
          <w:szCs w:val="18"/>
        </w:rPr>
        <w:t>4.6.2</w:t>
      </w:r>
      <w:r w:rsidR="007C689E" w:rsidRPr="007C689E">
        <w:rPr>
          <w:b/>
          <w:sz w:val="18"/>
          <w:szCs w:val="18"/>
        </w:rPr>
        <w:fldChar w:fldCharType="end"/>
      </w:r>
      <w:r w:rsidR="007C689E">
        <w:rPr>
          <w:sz w:val="18"/>
          <w:szCs w:val="18"/>
        </w:rPr>
        <w:t>.</w:t>
      </w:r>
    </w:p>
    <w:p w14:paraId="4AD0FD0E" w14:textId="77777777" w:rsidR="00F669A1" w:rsidRPr="00BC102F" w:rsidRDefault="00F669A1" w:rsidP="00583C1F">
      <w:pPr>
        <w:pStyle w:val="Titre3"/>
      </w:pPr>
      <w:bookmarkStart w:id="406" w:name="_Toc145069136"/>
      <w:r w:rsidRPr="00BC102F">
        <w:t>Unit operation design and assumptions</w:t>
      </w:r>
      <w:bookmarkEnd w:id="406"/>
    </w:p>
    <w:p w14:paraId="4E88DBA0" w14:textId="2E2D6993" w:rsidR="00F669A1" w:rsidRPr="00BC102F" w:rsidRDefault="00F669A1" w:rsidP="00F669A1">
      <w:pPr>
        <w:ind w:firstLine="360"/>
        <w:jc w:val="both"/>
      </w:pPr>
      <w:r w:rsidRPr="003F5DA8">
        <w:t xml:space="preserve">At gate, diffuse streams were considered managed and transported to a collection platform before their transportation to the centralized GA facility, while the other streams (already collected) are directly sent to the centralized GA </w:t>
      </w:r>
      <w:r w:rsidRPr="00BC102F">
        <w:t>facility (see</w:t>
      </w:r>
      <w:r w:rsidR="00583C1F">
        <w:t xml:space="preserve"> </w:t>
      </w:r>
      <w:r w:rsidR="00583C1F" w:rsidRPr="00583C1F">
        <w:rPr>
          <w:b/>
        </w:rPr>
        <w:fldChar w:fldCharType="begin"/>
      </w:r>
      <w:r w:rsidR="00583C1F" w:rsidRPr="00583C1F">
        <w:rPr>
          <w:b/>
        </w:rPr>
        <w:instrText xml:space="preserve"> REF _Ref144912407 \h </w:instrText>
      </w:r>
      <w:r w:rsidR="00583C1F">
        <w:rPr>
          <w:b/>
        </w:rPr>
        <w:instrText xml:space="preserve"> \* MERGEFORMAT </w:instrText>
      </w:r>
      <w:r w:rsidR="00583C1F" w:rsidRPr="00583C1F">
        <w:rPr>
          <w:b/>
        </w:rPr>
      </w:r>
      <w:r w:rsidR="00583C1F" w:rsidRPr="00583C1F">
        <w:rPr>
          <w:b/>
        </w:rPr>
        <w:fldChar w:fldCharType="separate"/>
      </w:r>
      <w:r w:rsidR="00F25F8C" w:rsidRPr="00F25F8C">
        <w:rPr>
          <w:b/>
        </w:rPr>
        <w:t xml:space="preserve">Table SI. </w:t>
      </w:r>
      <w:r w:rsidR="00F25F8C" w:rsidRPr="00F25F8C">
        <w:rPr>
          <w:b/>
          <w:noProof/>
        </w:rPr>
        <w:t>94</w:t>
      </w:r>
      <w:r w:rsidR="00583C1F" w:rsidRPr="00583C1F">
        <w:rPr>
          <w:b/>
        </w:rPr>
        <w:fldChar w:fldCharType="end"/>
      </w:r>
      <w:r w:rsidRPr="00BC102F">
        <w:t>).</w:t>
      </w:r>
    </w:p>
    <w:p w14:paraId="735E6549" w14:textId="2DCCB9BC" w:rsidR="00F669A1" w:rsidRPr="002D5B5C" w:rsidRDefault="00874128" w:rsidP="00942782">
      <w:pPr>
        <w:pStyle w:val="Lgende"/>
        <w:jc w:val="left"/>
      </w:pPr>
      <w:bookmarkStart w:id="407" w:name="_Ref144912407"/>
      <w:bookmarkStart w:id="408" w:name="_Toc134537611"/>
      <w:bookmarkStart w:id="409" w:name="_Toc151967978"/>
      <w:r>
        <w:t>Table SI.</w:t>
      </w:r>
      <w:r w:rsidR="00F669A1">
        <w:t xml:space="preserve"> </w:t>
      </w:r>
      <w:r>
        <w:fldChar w:fldCharType="begin"/>
      </w:r>
      <w:r>
        <w:instrText xml:space="preserve"> SEQ Table_SI. \* ARABIC </w:instrText>
      </w:r>
      <w:r>
        <w:fldChar w:fldCharType="separate"/>
      </w:r>
      <w:r w:rsidR="00F25F8C">
        <w:rPr>
          <w:noProof/>
        </w:rPr>
        <w:t>94</w:t>
      </w:r>
      <w:r>
        <w:fldChar w:fldCharType="end"/>
      </w:r>
      <w:bookmarkEnd w:id="407"/>
      <w:r w:rsidR="00F669A1">
        <w:t xml:space="preserve"> </w:t>
      </w:r>
      <w:r w:rsidR="00F669A1" w:rsidRPr="002D5B5C">
        <w:t>– GA pretreatment requirements per residual biomass category</w:t>
      </w:r>
      <w:bookmarkEnd w:id="408"/>
      <w:bookmarkEnd w:id="409"/>
    </w:p>
    <w:tbl>
      <w:tblPr>
        <w:tblStyle w:val="Tableausimple2"/>
        <w:tblW w:w="0" w:type="auto"/>
        <w:tblLook w:val="04A0" w:firstRow="1" w:lastRow="0" w:firstColumn="1" w:lastColumn="0" w:noHBand="0" w:noVBand="1"/>
      </w:tblPr>
      <w:tblGrid>
        <w:gridCol w:w="2320"/>
        <w:gridCol w:w="4192"/>
        <w:gridCol w:w="1062"/>
        <w:gridCol w:w="1425"/>
      </w:tblGrid>
      <w:tr w:rsidR="00F669A1" w:rsidRPr="008C451C" w14:paraId="3EFB61FA" w14:textId="77777777" w:rsidTr="00942782">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0" w:type="auto"/>
          </w:tcPr>
          <w:p w14:paraId="07608B66" w14:textId="77777777" w:rsidR="00F669A1" w:rsidRPr="008C451C" w:rsidRDefault="00F669A1" w:rsidP="000C3E59">
            <w:pPr>
              <w:jc w:val="right"/>
              <w:rPr>
                <w:sz w:val="18"/>
                <w:szCs w:val="18"/>
              </w:rPr>
            </w:pPr>
            <w:r w:rsidRPr="008C451C">
              <w:rPr>
                <w:sz w:val="18"/>
                <w:szCs w:val="18"/>
              </w:rPr>
              <w:t>Category</w:t>
            </w:r>
          </w:p>
        </w:tc>
        <w:tc>
          <w:tcPr>
            <w:tcW w:w="0" w:type="auto"/>
          </w:tcPr>
          <w:p w14:paraId="1DD06E7F"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szCs w:val="18"/>
              </w:rPr>
            </w:pPr>
            <w:r w:rsidRPr="008C451C">
              <w:rPr>
                <w:sz w:val="18"/>
                <w:szCs w:val="18"/>
              </w:rPr>
              <w:t>Handling from gate</w:t>
            </w:r>
          </w:p>
        </w:tc>
        <w:tc>
          <w:tcPr>
            <w:tcW w:w="0" w:type="auto"/>
          </w:tcPr>
          <w:p w14:paraId="602BB894"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szCs w:val="18"/>
              </w:rPr>
            </w:pPr>
            <w:r w:rsidRPr="008C451C">
              <w:rPr>
                <w:sz w:val="18"/>
                <w:szCs w:val="18"/>
              </w:rPr>
              <w:t>Storage</w:t>
            </w:r>
          </w:p>
        </w:tc>
        <w:tc>
          <w:tcPr>
            <w:tcW w:w="0" w:type="auto"/>
          </w:tcPr>
          <w:p w14:paraId="0854F9AF"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szCs w:val="18"/>
              </w:rPr>
            </w:pPr>
            <w:r w:rsidRPr="008C451C">
              <w:rPr>
                <w:sz w:val="18"/>
                <w:szCs w:val="18"/>
              </w:rPr>
              <w:t>Grinding/Drying</w:t>
            </w:r>
          </w:p>
        </w:tc>
      </w:tr>
      <w:tr w:rsidR="00F669A1" w:rsidRPr="008C451C" w14:paraId="71870421" w14:textId="77777777" w:rsidTr="00942782">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0" w:type="auto"/>
          </w:tcPr>
          <w:p w14:paraId="4CEA7E86" w14:textId="77777777" w:rsidR="00F669A1" w:rsidRPr="008C451C" w:rsidRDefault="00F669A1" w:rsidP="000C3E59">
            <w:pPr>
              <w:jc w:val="right"/>
              <w:rPr>
                <w:sz w:val="18"/>
                <w:szCs w:val="18"/>
              </w:rPr>
            </w:pPr>
            <w:r w:rsidRPr="008C451C">
              <w:rPr>
                <w:sz w:val="18"/>
                <w:szCs w:val="18"/>
              </w:rPr>
              <w:t>Primary forestry residues</w:t>
            </w:r>
          </w:p>
        </w:tc>
        <w:tc>
          <w:tcPr>
            <w:tcW w:w="0" w:type="auto"/>
          </w:tcPr>
          <w:p w14:paraId="5B04B830"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Pre-chipped and collected towards collection platform</w:t>
            </w:r>
          </w:p>
        </w:tc>
        <w:tc>
          <w:tcPr>
            <w:tcW w:w="0" w:type="auto"/>
            <w:vMerge w:val="restart"/>
          </w:tcPr>
          <w:p w14:paraId="5F1AFDA6"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Piling up</w:t>
            </w:r>
          </w:p>
        </w:tc>
        <w:tc>
          <w:tcPr>
            <w:tcW w:w="0" w:type="auto"/>
            <w:vMerge w:val="restart"/>
          </w:tcPr>
          <w:p w14:paraId="2981BEF2"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All</w:t>
            </w:r>
          </w:p>
        </w:tc>
      </w:tr>
      <w:tr w:rsidR="00F669A1" w:rsidRPr="008C451C" w14:paraId="2B55802A"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63B66B5C" w14:textId="77777777" w:rsidR="00F669A1" w:rsidRPr="008C451C" w:rsidRDefault="00F669A1" w:rsidP="000C3E59">
            <w:pPr>
              <w:jc w:val="right"/>
              <w:rPr>
                <w:sz w:val="18"/>
                <w:szCs w:val="18"/>
              </w:rPr>
            </w:pPr>
            <w:r w:rsidRPr="008C451C">
              <w:rPr>
                <w:sz w:val="18"/>
                <w:szCs w:val="18"/>
              </w:rPr>
              <w:t>Pruning residues</w:t>
            </w:r>
          </w:p>
        </w:tc>
        <w:tc>
          <w:tcPr>
            <w:tcW w:w="0" w:type="auto"/>
          </w:tcPr>
          <w:p w14:paraId="68418E8C"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None if already collected</w:t>
            </w:r>
          </w:p>
        </w:tc>
        <w:tc>
          <w:tcPr>
            <w:tcW w:w="0" w:type="auto"/>
            <w:vMerge/>
          </w:tcPr>
          <w:p w14:paraId="360680CE"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3288208D"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p>
        </w:tc>
      </w:tr>
      <w:tr w:rsidR="00F669A1" w:rsidRPr="008C451C" w14:paraId="46F74F5A"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A2294EA" w14:textId="77777777" w:rsidR="00F669A1" w:rsidRPr="008C451C" w:rsidRDefault="00F669A1" w:rsidP="000C3E59">
            <w:pPr>
              <w:jc w:val="right"/>
              <w:rPr>
                <w:sz w:val="18"/>
                <w:szCs w:val="18"/>
              </w:rPr>
            </w:pPr>
            <w:r w:rsidRPr="008C451C">
              <w:rPr>
                <w:sz w:val="18"/>
                <w:szCs w:val="18"/>
              </w:rPr>
              <w:t>Wood-processing waste</w:t>
            </w:r>
          </w:p>
        </w:tc>
        <w:tc>
          <w:tcPr>
            <w:tcW w:w="0" w:type="auto"/>
          </w:tcPr>
          <w:p w14:paraId="6BB79DB0"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None</w:t>
            </w:r>
          </w:p>
        </w:tc>
        <w:tc>
          <w:tcPr>
            <w:tcW w:w="0" w:type="auto"/>
            <w:vMerge/>
          </w:tcPr>
          <w:p w14:paraId="7E294A1E"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tcPr>
          <w:p w14:paraId="110D515E"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p>
        </w:tc>
      </w:tr>
      <w:tr w:rsidR="00F669A1" w:rsidRPr="008C451C" w14:paraId="30E94642"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18ABFF1F" w14:textId="77777777" w:rsidR="00F669A1" w:rsidRPr="008C451C" w:rsidRDefault="00F669A1" w:rsidP="000C3E59">
            <w:pPr>
              <w:jc w:val="right"/>
              <w:rPr>
                <w:sz w:val="18"/>
                <w:szCs w:val="18"/>
              </w:rPr>
            </w:pPr>
            <w:r w:rsidRPr="008C451C">
              <w:rPr>
                <w:sz w:val="18"/>
                <w:szCs w:val="18"/>
              </w:rPr>
              <w:t>Primary crop residues</w:t>
            </w:r>
          </w:p>
        </w:tc>
        <w:tc>
          <w:tcPr>
            <w:tcW w:w="0" w:type="auto"/>
          </w:tcPr>
          <w:p w14:paraId="1967106C"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Collected towards collection platform</w:t>
            </w:r>
          </w:p>
        </w:tc>
        <w:tc>
          <w:tcPr>
            <w:tcW w:w="0" w:type="auto"/>
            <w:vMerge w:val="restart"/>
          </w:tcPr>
          <w:p w14:paraId="21EDAFA4"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Ensiling</w:t>
            </w:r>
          </w:p>
        </w:tc>
        <w:tc>
          <w:tcPr>
            <w:tcW w:w="0" w:type="auto"/>
            <w:vMerge/>
          </w:tcPr>
          <w:p w14:paraId="3677E718"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p>
        </w:tc>
      </w:tr>
      <w:tr w:rsidR="00F669A1" w:rsidRPr="008C451C" w14:paraId="7A3B35A8" w14:textId="77777777" w:rsidTr="00942782">
        <w:trPr>
          <w:cnfStyle w:val="000000100000" w:firstRow="0" w:lastRow="0" w:firstColumn="0" w:lastColumn="0" w:oddVBand="0" w:evenVBand="0" w:oddHBand="1" w:evenHBand="0" w:firstRowFirstColumn="0" w:firstRowLastColumn="0" w:lastRowFirstColumn="0" w:lastRowLastColumn="0"/>
          <w:trHeight w:val="44"/>
        </w:trPr>
        <w:tc>
          <w:tcPr>
            <w:cnfStyle w:val="001000000000" w:firstRow="0" w:lastRow="0" w:firstColumn="1" w:lastColumn="0" w:oddVBand="0" w:evenVBand="0" w:oddHBand="0" w:evenHBand="0" w:firstRowFirstColumn="0" w:firstRowLastColumn="0" w:lastRowFirstColumn="0" w:lastRowLastColumn="0"/>
            <w:tcW w:w="0" w:type="auto"/>
          </w:tcPr>
          <w:p w14:paraId="003910D8" w14:textId="77777777" w:rsidR="00F669A1" w:rsidRPr="008C451C" w:rsidRDefault="00F669A1" w:rsidP="000C3E59">
            <w:pPr>
              <w:jc w:val="right"/>
              <w:rPr>
                <w:sz w:val="18"/>
                <w:szCs w:val="18"/>
              </w:rPr>
            </w:pPr>
            <w:r w:rsidRPr="008C451C">
              <w:rPr>
                <w:sz w:val="18"/>
                <w:szCs w:val="18"/>
              </w:rPr>
              <w:t>Garden &amp; park waste</w:t>
            </w:r>
          </w:p>
        </w:tc>
        <w:tc>
          <w:tcPr>
            <w:tcW w:w="0" w:type="auto"/>
          </w:tcPr>
          <w:p w14:paraId="2847F128"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None if already collected</w:t>
            </w:r>
          </w:p>
        </w:tc>
        <w:tc>
          <w:tcPr>
            <w:tcW w:w="0" w:type="auto"/>
            <w:vMerge/>
          </w:tcPr>
          <w:p w14:paraId="6AFB5855"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Merge/>
          </w:tcPr>
          <w:p w14:paraId="4778A413"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p>
        </w:tc>
      </w:tr>
      <w:tr w:rsidR="00F669A1" w:rsidRPr="008C451C" w14:paraId="6CD904A3" w14:textId="77777777" w:rsidTr="00942782">
        <w:trPr>
          <w:trHeight w:val="44"/>
        </w:trPr>
        <w:tc>
          <w:tcPr>
            <w:cnfStyle w:val="001000000000" w:firstRow="0" w:lastRow="0" w:firstColumn="1" w:lastColumn="0" w:oddVBand="0" w:evenVBand="0" w:oddHBand="0" w:evenHBand="0" w:firstRowFirstColumn="0" w:firstRowLastColumn="0" w:lastRowFirstColumn="0" w:lastRowLastColumn="0"/>
            <w:tcW w:w="0" w:type="auto"/>
          </w:tcPr>
          <w:p w14:paraId="4C86562E" w14:textId="77777777" w:rsidR="00F669A1" w:rsidRPr="008C451C" w:rsidRDefault="00F669A1" w:rsidP="000C3E59">
            <w:pPr>
              <w:jc w:val="right"/>
              <w:rPr>
                <w:sz w:val="18"/>
                <w:szCs w:val="18"/>
              </w:rPr>
            </w:pPr>
            <w:r w:rsidRPr="008C451C">
              <w:rPr>
                <w:sz w:val="18"/>
                <w:szCs w:val="18"/>
              </w:rPr>
              <w:t>Vegetable tops</w:t>
            </w:r>
          </w:p>
        </w:tc>
        <w:tc>
          <w:tcPr>
            <w:tcW w:w="0" w:type="auto"/>
          </w:tcPr>
          <w:p w14:paraId="58A50F22"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Collected towards collection platform</w:t>
            </w:r>
          </w:p>
        </w:tc>
        <w:tc>
          <w:tcPr>
            <w:tcW w:w="0" w:type="auto"/>
            <w:vMerge/>
          </w:tcPr>
          <w:p w14:paraId="4F425ED2"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403C8577"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p>
        </w:tc>
      </w:tr>
      <w:tr w:rsidR="00F669A1" w:rsidRPr="008C451C" w14:paraId="60347F2A"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C93DC52" w14:textId="77777777" w:rsidR="00F669A1" w:rsidRPr="008C451C" w:rsidRDefault="00F669A1" w:rsidP="000C3E59">
            <w:pPr>
              <w:jc w:val="right"/>
              <w:rPr>
                <w:sz w:val="18"/>
                <w:szCs w:val="18"/>
              </w:rPr>
            </w:pPr>
            <w:r w:rsidRPr="008C451C">
              <w:rPr>
                <w:sz w:val="18"/>
                <w:szCs w:val="18"/>
              </w:rPr>
              <w:t>Food waste</w:t>
            </w:r>
          </w:p>
        </w:tc>
        <w:tc>
          <w:tcPr>
            <w:tcW w:w="0" w:type="auto"/>
          </w:tcPr>
          <w:p w14:paraId="2F78206A"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None</w:t>
            </w:r>
          </w:p>
        </w:tc>
        <w:tc>
          <w:tcPr>
            <w:tcW w:w="0" w:type="auto"/>
            <w:vMerge w:val="restart"/>
          </w:tcPr>
          <w:p w14:paraId="2E804831"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Covered pit</w:t>
            </w:r>
          </w:p>
        </w:tc>
        <w:tc>
          <w:tcPr>
            <w:tcW w:w="0" w:type="auto"/>
            <w:vMerge/>
          </w:tcPr>
          <w:p w14:paraId="0A5E56CC"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p>
        </w:tc>
      </w:tr>
      <w:tr w:rsidR="00F669A1" w:rsidRPr="008C451C" w14:paraId="54FE8364" w14:textId="77777777" w:rsidTr="00942782">
        <w:trPr>
          <w:trHeight w:val="44"/>
        </w:trPr>
        <w:tc>
          <w:tcPr>
            <w:cnfStyle w:val="001000000000" w:firstRow="0" w:lastRow="0" w:firstColumn="1" w:lastColumn="0" w:oddVBand="0" w:evenVBand="0" w:oddHBand="0" w:evenHBand="0" w:firstRowFirstColumn="0" w:firstRowLastColumn="0" w:lastRowFirstColumn="0" w:lastRowLastColumn="0"/>
            <w:tcW w:w="0" w:type="auto"/>
          </w:tcPr>
          <w:p w14:paraId="58FF4ACB" w14:textId="77777777" w:rsidR="00F669A1" w:rsidRPr="008C451C" w:rsidRDefault="00F669A1" w:rsidP="000C3E59">
            <w:pPr>
              <w:jc w:val="right"/>
              <w:rPr>
                <w:sz w:val="18"/>
                <w:szCs w:val="18"/>
              </w:rPr>
            </w:pPr>
            <w:r w:rsidRPr="008C451C">
              <w:rPr>
                <w:sz w:val="18"/>
                <w:szCs w:val="18"/>
              </w:rPr>
              <w:t>Slaughterhouse by-products</w:t>
            </w:r>
          </w:p>
        </w:tc>
        <w:tc>
          <w:tcPr>
            <w:tcW w:w="0" w:type="auto"/>
          </w:tcPr>
          <w:p w14:paraId="54E53419"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None</w:t>
            </w:r>
          </w:p>
        </w:tc>
        <w:tc>
          <w:tcPr>
            <w:tcW w:w="0" w:type="auto"/>
            <w:vMerge/>
          </w:tcPr>
          <w:p w14:paraId="780C8190"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Merge/>
          </w:tcPr>
          <w:p w14:paraId="12D37364"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p>
        </w:tc>
      </w:tr>
      <w:tr w:rsidR="00F669A1" w:rsidRPr="008C451C" w14:paraId="09D51FB1"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30378C8" w14:textId="77777777" w:rsidR="00F669A1" w:rsidRPr="008C451C" w:rsidRDefault="00F669A1" w:rsidP="000C3E59">
            <w:pPr>
              <w:jc w:val="right"/>
              <w:rPr>
                <w:i/>
                <w:sz w:val="18"/>
                <w:szCs w:val="18"/>
              </w:rPr>
            </w:pPr>
            <w:r w:rsidRPr="008C451C">
              <w:rPr>
                <w:i/>
                <w:sz w:val="18"/>
                <w:szCs w:val="18"/>
              </w:rPr>
              <w:t>Comments</w:t>
            </w:r>
          </w:p>
        </w:tc>
        <w:tc>
          <w:tcPr>
            <w:tcW w:w="0" w:type="auto"/>
            <w:gridSpan w:val="3"/>
          </w:tcPr>
          <w:p w14:paraId="773D683F" w14:textId="0F0C4B7F"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i/>
                <w:sz w:val="18"/>
                <w:szCs w:val="18"/>
              </w:rPr>
            </w:pPr>
            <w:r w:rsidRPr="008C451C">
              <w:rPr>
                <w:i/>
                <w:sz w:val="18"/>
                <w:szCs w:val="18"/>
              </w:rPr>
              <w:t xml:space="preserve">See </w:t>
            </w:r>
            <w:r w:rsidR="002D3BB7" w:rsidRPr="008C451C">
              <w:rPr>
                <w:i/>
                <w:sz w:val="18"/>
                <w:szCs w:val="18"/>
              </w:rPr>
              <w:t xml:space="preserve">Javourez </w:t>
            </w:r>
            <w:r w:rsidR="002D3BB7" w:rsidRPr="000C6C37">
              <w:rPr>
                <w:i/>
                <w:sz w:val="18"/>
                <w:szCs w:val="18"/>
              </w:rPr>
              <w:t>et al., 202</w:t>
            </w:r>
            <w:r w:rsidR="000C6C37" w:rsidRPr="000C6C37">
              <w:rPr>
                <w:i/>
                <w:sz w:val="18"/>
                <w:szCs w:val="18"/>
              </w:rPr>
              <w:t>4</w:t>
            </w:r>
            <w:r w:rsidR="002D3BB7" w:rsidRPr="000C6C37">
              <w:rPr>
                <w:i/>
                <w:sz w:val="18"/>
                <w:szCs w:val="18"/>
              </w:rPr>
              <w:fldChar w:fldCharType="begin"/>
            </w:r>
            <w:r w:rsidR="00827449">
              <w:rPr>
                <w:i/>
                <w:sz w:val="18"/>
                <w:szCs w:val="18"/>
              </w:rPr>
              <w:instrText xml:space="preserve"> ADDIN ZOTERO_ITEM CSL_CITATION {"citationID":"OEpGESCP","properties":{"formattedCitation":"\\super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2D3BB7" w:rsidRPr="000C6C37">
              <w:rPr>
                <w:i/>
                <w:sz w:val="18"/>
                <w:szCs w:val="18"/>
              </w:rPr>
              <w:fldChar w:fldCharType="separate"/>
            </w:r>
            <w:r w:rsidR="008C451C" w:rsidRPr="000C6C37">
              <w:rPr>
                <w:rFonts w:ascii="Calibri" w:hAnsi="Calibri" w:cs="Calibri"/>
                <w:sz w:val="18"/>
                <w:szCs w:val="24"/>
                <w:vertAlign w:val="superscript"/>
              </w:rPr>
              <w:t>1</w:t>
            </w:r>
            <w:r w:rsidR="002D3BB7" w:rsidRPr="000C6C37">
              <w:rPr>
                <w:i/>
                <w:sz w:val="18"/>
                <w:szCs w:val="18"/>
              </w:rPr>
              <w:fldChar w:fldCharType="end"/>
            </w:r>
            <w:r w:rsidRPr="000C6C37">
              <w:rPr>
                <w:b/>
                <w:i/>
                <w:sz w:val="18"/>
                <w:szCs w:val="18"/>
              </w:rPr>
              <w:t xml:space="preserve"> </w:t>
            </w:r>
            <w:r w:rsidRPr="000C6C37">
              <w:rPr>
                <w:i/>
                <w:sz w:val="18"/>
                <w:szCs w:val="18"/>
              </w:rPr>
              <w:t>and</w:t>
            </w:r>
            <w:r w:rsidRPr="000C6C37">
              <w:rPr>
                <w:b/>
                <w:i/>
                <w:sz w:val="18"/>
                <w:szCs w:val="18"/>
              </w:rPr>
              <w:t xml:space="preserve"> </w:t>
            </w:r>
            <w:r w:rsidR="00583C1F" w:rsidRPr="000C6C37">
              <w:rPr>
                <w:b/>
                <w:i/>
                <w:sz w:val="18"/>
                <w:szCs w:val="18"/>
              </w:rPr>
              <w:fldChar w:fldCharType="begin"/>
            </w:r>
            <w:r w:rsidR="00583C1F" w:rsidRPr="000C6C37">
              <w:rPr>
                <w:b/>
                <w:i/>
                <w:sz w:val="18"/>
                <w:szCs w:val="18"/>
              </w:rPr>
              <w:instrText xml:space="preserve"> REF _Ref144912470 \h  \* MERGEFORMAT </w:instrText>
            </w:r>
            <w:r w:rsidR="00583C1F" w:rsidRPr="000C6C37">
              <w:rPr>
                <w:b/>
                <w:i/>
                <w:sz w:val="18"/>
                <w:szCs w:val="18"/>
              </w:rPr>
            </w:r>
            <w:r w:rsidR="00583C1F" w:rsidRPr="000C6C37">
              <w:rPr>
                <w:b/>
                <w:i/>
                <w:sz w:val="18"/>
                <w:szCs w:val="18"/>
              </w:rPr>
              <w:fldChar w:fldCharType="separate"/>
            </w:r>
            <w:r w:rsidR="00F25F8C" w:rsidRPr="000C6C37">
              <w:rPr>
                <w:b/>
                <w:i/>
                <w:sz w:val="18"/>
                <w:szCs w:val="18"/>
              </w:rPr>
              <w:t xml:space="preserve">Table SI. </w:t>
            </w:r>
            <w:r w:rsidR="00F25F8C" w:rsidRPr="000C6C37">
              <w:rPr>
                <w:b/>
                <w:i/>
                <w:noProof/>
                <w:sz w:val="18"/>
                <w:szCs w:val="18"/>
              </w:rPr>
              <w:t>102</w:t>
            </w:r>
            <w:r w:rsidR="00583C1F" w:rsidRPr="000C6C37">
              <w:rPr>
                <w:b/>
                <w:i/>
                <w:sz w:val="18"/>
                <w:szCs w:val="18"/>
              </w:rPr>
              <w:fldChar w:fldCharType="end"/>
            </w:r>
            <w:r w:rsidR="00583C1F" w:rsidRPr="008C451C">
              <w:rPr>
                <w:b/>
                <w:i/>
                <w:sz w:val="18"/>
                <w:szCs w:val="18"/>
              </w:rPr>
              <w:t xml:space="preserve"> </w:t>
            </w:r>
            <w:r w:rsidRPr="008C451C">
              <w:rPr>
                <w:i/>
                <w:sz w:val="18"/>
                <w:szCs w:val="18"/>
              </w:rPr>
              <w:t>for modeling details.</w:t>
            </w:r>
          </w:p>
        </w:tc>
      </w:tr>
      <w:tr w:rsidR="00583C1F" w:rsidRPr="008C451C" w14:paraId="4AAF707B"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10856D61" w14:textId="77777777" w:rsidR="00583C1F" w:rsidRPr="008C451C" w:rsidRDefault="00583C1F" w:rsidP="00583C1F">
            <w:pPr>
              <w:rPr>
                <w:i/>
                <w:sz w:val="18"/>
                <w:szCs w:val="18"/>
              </w:rPr>
            </w:pPr>
          </w:p>
        </w:tc>
        <w:tc>
          <w:tcPr>
            <w:tcW w:w="0" w:type="auto"/>
            <w:gridSpan w:val="3"/>
          </w:tcPr>
          <w:p w14:paraId="69C1CBAC" w14:textId="77777777" w:rsidR="00583C1F" w:rsidRPr="008C451C" w:rsidRDefault="00583C1F" w:rsidP="000C3E59">
            <w:pPr>
              <w:cnfStyle w:val="000000000000" w:firstRow="0" w:lastRow="0" w:firstColumn="0" w:lastColumn="0" w:oddVBand="0" w:evenVBand="0" w:oddHBand="0" w:evenHBand="0" w:firstRowFirstColumn="0" w:firstRowLastColumn="0" w:lastRowFirstColumn="0" w:lastRowLastColumn="0"/>
              <w:rPr>
                <w:i/>
                <w:sz w:val="18"/>
                <w:szCs w:val="18"/>
              </w:rPr>
            </w:pPr>
          </w:p>
        </w:tc>
      </w:tr>
    </w:tbl>
    <w:p w14:paraId="07110BC7" w14:textId="77777777" w:rsidR="008C451C" w:rsidRDefault="008C451C">
      <w:r>
        <w:br w:type="page"/>
      </w:r>
    </w:p>
    <w:p w14:paraId="502D84DE" w14:textId="13AF9D07" w:rsidR="00F669A1" w:rsidRPr="00BC102F" w:rsidRDefault="00F669A1" w:rsidP="00583C1F">
      <w:pPr>
        <w:pStyle w:val="Titre4"/>
      </w:pPr>
      <w:r w:rsidRPr="00BC102F">
        <w:lastRenderedPageBreak/>
        <w:t>Storage</w:t>
      </w:r>
    </w:p>
    <w:p w14:paraId="7D4F21FF" w14:textId="5FDDB0BF" w:rsidR="00F669A1" w:rsidRPr="003F5DA8" w:rsidRDefault="00F669A1" w:rsidP="00583C1F">
      <w:pPr>
        <w:ind w:firstLine="360"/>
        <w:jc w:val="both"/>
      </w:pPr>
      <w:r w:rsidRPr="003F5DA8">
        <w:t>Three storage strategies were considered depending on the input’s composition-structure (</w:t>
      </w:r>
      <w:r w:rsidR="00583C1F" w:rsidRPr="00583C1F">
        <w:rPr>
          <w:b/>
        </w:rPr>
        <w:fldChar w:fldCharType="begin"/>
      </w:r>
      <w:r w:rsidR="00583C1F" w:rsidRPr="00583C1F">
        <w:rPr>
          <w:b/>
        </w:rPr>
        <w:instrText xml:space="preserve"> REF _Ref144912407 \h </w:instrText>
      </w:r>
      <w:r w:rsidR="00583C1F">
        <w:rPr>
          <w:b/>
        </w:rPr>
        <w:instrText xml:space="preserve"> \* MERGEFORMAT </w:instrText>
      </w:r>
      <w:r w:rsidR="00583C1F" w:rsidRPr="00583C1F">
        <w:rPr>
          <w:b/>
        </w:rPr>
      </w:r>
      <w:r w:rsidR="00583C1F" w:rsidRPr="00583C1F">
        <w:rPr>
          <w:b/>
        </w:rPr>
        <w:fldChar w:fldCharType="separate"/>
      </w:r>
      <w:r w:rsidR="00F25F8C" w:rsidRPr="00F25F8C">
        <w:rPr>
          <w:b/>
        </w:rPr>
        <w:t xml:space="preserve">Table SI. </w:t>
      </w:r>
      <w:r w:rsidR="00F25F8C" w:rsidRPr="00F25F8C">
        <w:rPr>
          <w:b/>
          <w:noProof/>
        </w:rPr>
        <w:t>94</w:t>
      </w:r>
      <w:r w:rsidR="00583C1F" w:rsidRPr="00583C1F">
        <w:rPr>
          <w:b/>
        </w:rPr>
        <w:fldChar w:fldCharType="end"/>
      </w:r>
      <w:r w:rsidRPr="003F5DA8">
        <w:t>). All were designed to handle 1 month of operations. First, wood-related residual biomasses were assumed piled up, and modeled as proposed by Brassard et al., 2020</w:t>
      </w:r>
      <w:r w:rsidRPr="003F5DA8">
        <w:fldChar w:fldCharType="begin"/>
      </w:r>
      <w:r w:rsidR="005413B4">
        <w:instrText xml:space="preserve"> ADDIN ZOTERO_ITEM CSL_CITATION {"citationID":"GzFesxai","properties":{"formattedCitation":"\\super 167\\nosupersub{}","plainCitation":"167","noteIndex":0},"citationItems":[{"id":2754,"uris":["http://zotero.org/users/6423791/items/4VJD5FYF"],"itemData":{"id":2754,"type":"article-journal","abstract":"In an endeavor towards GHG neutrality, alternatives to fossil carbon resources are explored, such as the use of biomass carbon. Pyrolysis, a thermochemical process that can convert residual biomasses into liquid (bio-oil), solid (biochar) and gaseous (non-condensable gases) products is gaining increased attention, as it both supplies alternatives to fossil carbon while potentially inducing so-called negative emissions through the biochar. Yet, the pyrolysis technical and environmental performance is heavily dependent upon process operational parameters and biomass types. In the perspective of national strategic bioeconomy planning, this study presents an easily replicable consequential life cycle assessment (LCA) framework to quantify the environmental performance of a pyrolysis biorefinery where process conditions are documented, and boundaries expanded to consider the current use of the residual biomass. Results obtained from this method are intended to provide insights for evidence-based decision making towards investments in the low fossil carbon future. The proposed LCA framework was applied to a national case study for the use of primary forestry residues (PFR). Results showed that as compared to the reference scenario in which PFR are left on soil to decay, pyrolysing PFR to biocrude oil, wood vinegar, biochar and gas presents trade-offs in six out of the 16 impact categories studied. These results highlighted that the biomass feedstock supply, the pyrolysis technology, the co-products yields, properties and uses, as well as the choice of marginal technologies have an influence on the environmental performance of pyrolysis biorefineries.","container-title":"Renewable and Sustainable Energy Reviews","DOI":"10.1016/j.rser.2020.110549","ISSN":"1364-0321","journalAbbreviation":"Renewable and Sustainable Energy Reviews","language":"en","page":"110549","source":"ScienceDirect","title":"Framework for consequential life cycle assessment of pyrolysis biorefineries: A case study for the conversion of primary forestry residues","title-short":"Framework for consequential life cycle assessment of pyrolysis biorefineries","author":[{"family":"Brassard","given":"P."},{"family":"Godbout","given":"S."},{"family":"Hamelin","given":"L."}],"issued":{"date-parts":[["2020",11,9]]}}}],"schema":"https://github.com/citation-style-language/schema/raw/master/csl-citation.json"} </w:instrText>
      </w:r>
      <w:r w:rsidRPr="003F5DA8">
        <w:fldChar w:fldCharType="separate"/>
      </w:r>
      <w:r w:rsidR="005413B4" w:rsidRPr="005413B4">
        <w:rPr>
          <w:rFonts w:ascii="Calibri" w:hAnsi="Calibri" w:cs="Calibri"/>
          <w:szCs w:val="24"/>
          <w:vertAlign w:val="superscript"/>
        </w:rPr>
        <w:t>167</w:t>
      </w:r>
      <w:r w:rsidRPr="003F5DA8">
        <w:fldChar w:fldCharType="end"/>
      </w:r>
      <w:r w:rsidRPr="003F5DA8">
        <w:t>. Emissions were calculated by mass balance, but neglecting water and N emissions because these are low for this residual biomass category. The parameters used are displayed in</w:t>
      </w:r>
      <w:r w:rsidR="00583C1F">
        <w:t xml:space="preserve"> </w:t>
      </w:r>
      <w:r w:rsidR="00583C1F" w:rsidRPr="00583C1F">
        <w:rPr>
          <w:b/>
        </w:rPr>
        <w:fldChar w:fldCharType="begin"/>
      </w:r>
      <w:r w:rsidR="00583C1F" w:rsidRPr="00583C1F">
        <w:rPr>
          <w:b/>
        </w:rPr>
        <w:instrText xml:space="preserve"> REF _Ref144912560 \h </w:instrText>
      </w:r>
      <w:r w:rsidR="00583C1F">
        <w:rPr>
          <w:b/>
        </w:rPr>
        <w:instrText xml:space="preserve"> \* MERGEFORMAT </w:instrText>
      </w:r>
      <w:r w:rsidR="00583C1F" w:rsidRPr="00583C1F">
        <w:rPr>
          <w:b/>
        </w:rPr>
      </w:r>
      <w:r w:rsidR="00583C1F" w:rsidRPr="00583C1F">
        <w:rPr>
          <w:b/>
        </w:rPr>
        <w:fldChar w:fldCharType="separate"/>
      </w:r>
      <w:r w:rsidR="00F25F8C" w:rsidRPr="00F25F8C">
        <w:rPr>
          <w:b/>
        </w:rPr>
        <w:t xml:space="preserve">Table SI. </w:t>
      </w:r>
      <w:r w:rsidR="00F25F8C" w:rsidRPr="00F25F8C">
        <w:rPr>
          <w:b/>
          <w:noProof/>
        </w:rPr>
        <w:t>95</w:t>
      </w:r>
      <w:r w:rsidR="00583C1F" w:rsidRPr="00583C1F">
        <w:rPr>
          <w:b/>
        </w:rPr>
        <w:fldChar w:fldCharType="end"/>
      </w:r>
      <w:r w:rsidRPr="003F5DA8">
        <w:t>. Second, primary crop residues and green residual biomasses were assumed ensiled. LCI modeling was calculated based on Kreuger et al., 2011</w:t>
      </w:r>
      <w:r w:rsidRPr="003F5DA8">
        <w:fldChar w:fldCharType="begin"/>
      </w:r>
      <w:r w:rsidR="00991F7C">
        <w:instrText xml:space="preserve"> ADDIN ZOTERO_ITEM CSL_CITATION {"citationID":"K5zWwOT6","properties":{"formattedCitation":"\\super 337\\nosupersub{}","plainCitation":"337","noteIndex":0},"citationItems":[{"id":11648,"uris":["http://zotero.org/users/6423791/items/GEBHE6A4"],"itemData":{"id":11648,"type":"article-journal","abstract":"Ensiling is a common method of preserving energy crops for anaerobic digestion, and many scientific studies report that ensiling increases the methane yield. In this study, the ensiling process and the methane yields before and after ensiling were studied for four crop materials.","container-title":"Biotechnology for Biofuels","DOI":"10.1186/1754-6834-4-44","ISSN":"1754-6834","issue":"1","journalAbbreviation":"Biotechnology for Biofuels","page":"44","source":"BioMed Central","title":"Ensiling of crops for biogas production: effects on methane yield and total solids determination","title-short":"Ensiling of crops for biogas production","volume":"4","author":[{"family":"Kreuger","given":"Emma"},{"family":"Nges","given":"Ivo Achu"},{"family":"Björnsson","given":"Lovisa"}],"issued":{"date-parts":[["2011",10,27]]}}}],"schema":"https://github.com/citation-style-language/schema/raw/master/csl-citation.json"} </w:instrText>
      </w:r>
      <w:r w:rsidRPr="003F5DA8">
        <w:fldChar w:fldCharType="separate"/>
      </w:r>
      <w:r w:rsidR="00991F7C" w:rsidRPr="00991F7C">
        <w:rPr>
          <w:rFonts w:ascii="Calibri" w:hAnsi="Calibri" w:cs="Calibri"/>
          <w:szCs w:val="24"/>
          <w:vertAlign w:val="superscript"/>
        </w:rPr>
        <w:t>337</w:t>
      </w:r>
      <w:r w:rsidRPr="003F5DA8">
        <w:fldChar w:fldCharType="end"/>
      </w:r>
      <w:r w:rsidRPr="003F5DA8">
        <w:t xml:space="preserve"> as already detailed for AD </w:t>
      </w:r>
      <w:r w:rsidRPr="00BC102F">
        <w:t xml:space="preserve">storage in </w:t>
      </w:r>
      <w:r w:rsidR="002D3BB7" w:rsidRPr="000C6C37">
        <w:t>Javourez et al., 202</w:t>
      </w:r>
      <w:r w:rsidR="000C6C37" w:rsidRPr="000C6C37">
        <w:t>4</w:t>
      </w:r>
      <w:r w:rsidR="002D3BB7" w:rsidRPr="000C6C37">
        <w:fldChar w:fldCharType="begin"/>
      </w:r>
      <w:r w:rsidR="00827449">
        <w:instrText xml:space="preserve"> ADDIN ZOTERO_ITEM CSL_CITATION {"citationID":"LxUou7xF","properties":{"formattedCitation":"\\super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2D3BB7" w:rsidRPr="000C6C37">
        <w:fldChar w:fldCharType="separate"/>
      </w:r>
      <w:r w:rsidR="008C451C" w:rsidRPr="000C6C37">
        <w:rPr>
          <w:rFonts w:ascii="Calibri" w:hAnsi="Calibri" w:cs="Calibri"/>
          <w:szCs w:val="24"/>
          <w:vertAlign w:val="superscript"/>
        </w:rPr>
        <w:t>1</w:t>
      </w:r>
      <w:r w:rsidR="002D3BB7" w:rsidRPr="000C6C37">
        <w:fldChar w:fldCharType="end"/>
      </w:r>
      <w:r w:rsidRPr="000C6C37">
        <w:t>.</w:t>
      </w:r>
      <w:r w:rsidRPr="00BC102F">
        <w:t xml:space="preserve"> The other</w:t>
      </w:r>
      <w:r w:rsidRPr="003F5DA8">
        <w:t xml:space="preserve"> streams were directed towards a covered pit, which was modeled as digestate storage with adapted emissions factors (see </w:t>
      </w:r>
      <w:r w:rsidR="00583C1F" w:rsidRPr="00583C1F">
        <w:rPr>
          <w:b/>
        </w:rPr>
        <w:fldChar w:fldCharType="begin"/>
      </w:r>
      <w:r w:rsidR="00583C1F" w:rsidRPr="00583C1F">
        <w:rPr>
          <w:b/>
        </w:rPr>
        <w:instrText xml:space="preserve"> REF _Ref144912560 \h </w:instrText>
      </w:r>
      <w:r w:rsidR="00583C1F">
        <w:rPr>
          <w:b/>
        </w:rPr>
        <w:instrText xml:space="preserve"> \* MERGEFORMAT </w:instrText>
      </w:r>
      <w:r w:rsidR="00583C1F" w:rsidRPr="00583C1F">
        <w:rPr>
          <w:b/>
        </w:rPr>
      </w:r>
      <w:r w:rsidR="00583C1F" w:rsidRPr="00583C1F">
        <w:rPr>
          <w:b/>
        </w:rPr>
        <w:fldChar w:fldCharType="separate"/>
      </w:r>
      <w:r w:rsidR="00F25F8C" w:rsidRPr="00F25F8C">
        <w:rPr>
          <w:b/>
        </w:rPr>
        <w:t xml:space="preserve">Table SI. </w:t>
      </w:r>
      <w:r w:rsidR="00F25F8C" w:rsidRPr="00F25F8C">
        <w:rPr>
          <w:b/>
          <w:noProof/>
        </w:rPr>
        <w:t>95</w:t>
      </w:r>
      <w:r w:rsidR="00583C1F" w:rsidRPr="00583C1F">
        <w:rPr>
          <w:b/>
        </w:rPr>
        <w:fldChar w:fldCharType="end"/>
      </w:r>
      <w:r w:rsidRPr="003F5DA8">
        <w:t xml:space="preserve">). </w:t>
      </w:r>
    </w:p>
    <w:p w14:paraId="5FD81C4F" w14:textId="46552807" w:rsidR="00F669A1" w:rsidRPr="00BC102F" w:rsidRDefault="00874128" w:rsidP="00942782">
      <w:pPr>
        <w:pStyle w:val="Lgende"/>
        <w:jc w:val="left"/>
        <w:rPr>
          <w:b w:val="0"/>
          <w:i/>
        </w:rPr>
      </w:pPr>
      <w:bookmarkStart w:id="410" w:name="_Ref144912560"/>
      <w:bookmarkStart w:id="411" w:name="_Toc134537612"/>
      <w:bookmarkStart w:id="412" w:name="_Toc151967979"/>
      <w:r>
        <w:t>Table SI.</w:t>
      </w:r>
      <w:r w:rsidR="00F669A1">
        <w:t xml:space="preserve"> </w:t>
      </w:r>
      <w:r>
        <w:fldChar w:fldCharType="begin"/>
      </w:r>
      <w:r>
        <w:instrText xml:space="preserve"> SEQ Table_SI. \* ARABIC </w:instrText>
      </w:r>
      <w:r>
        <w:fldChar w:fldCharType="separate"/>
      </w:r>
      <w:r w:rsidR="00F25F8C">
        <w:rPr>
          <w:noProof/>
        </w:rPr>
        <w:t>95</w:t>
      </w:r>
      <w:r>
        <w:fldChar w:fldCharType="end"/>
      </w:r>
      <w:bookmarkEnd w:id="410"/>
      <w:r w:rsidR="00F669A1">
        <w:t xml:space="preserve"> </w:t>
      </w:r>
      <w:r w:rsidR="00F669A1" w:rsidRPr="002D5B5C">
        <w:t>– GA storage modeling</w:t>
      </w:r>
      <w:bookmarkEnd w:id="411"/>
      <w:bookmarkEnd w:id="412"/>
    </w:p>
    <w:tbl>
      <w:tblPr>
        <w:tblStyle w:val="Tableausimple2"/>
        <w:tblW w:w="0" w:type="auto"/>
        <w:tblLook w:val="04A0" w:firstRow="1" w:lastRow="0" w:firstColumn="1" w:lastColumn="0" w:noHBand="0" w:noVBand="1"/>
      </w:tblPr>
      <w:tblGrid>
        <w:gridCol w:w="2112"/>
        <w:gridCol w:w="1134"/>
        <w:gridCol w:w="708"/>
        <w:gridCol w:w="851"/>
        <w:gridCol w:w="4237"/>
      </w:tblGrid>
      <w:tr w:rsidR="00F669A1" w:rsidRPr="008C451C" w14:paraId="2DC9A3EC" w14:textId="77777777" w:rsidTr="009427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00C2F977" w14:textId="77777777" w:rsidR="00F669A1" w:rsidRPr="008C451C" w:rsidRDefault="00F669A1" w:rsidP="000C3E59">
            <w:pPr>
              <w:jc w:val="right"/>
              <w:rPr>
                <w:sz w:val="18"/>
                <w:szCs w:val="18"/>
              </w:rPr>
            </w:pPr>
            <w:r w:rsidRPr="008C451C">
              <w:rPr>
                <w:sz w:val="18"/>
                <w:szCs w:val="18"/>
              </w:rPr>
              <w:t>Parameter</w:t>
            </w:r>
          </w:p>
        </w:tc>
        <w:tc>
          <w:tcPr>
            <w:tcW w:w="1134" w:type="dxa"/>
          </w:tcPr>
          <w:p w14:paraId="52E8F9E2"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szCs w:val="18"/>
              </w:rPr>
            </w:pPr>
            <w:r w:rsidRPr="008C451C">
              <w:rPr>
                <w:sz w:val="18"/>
                <w:szCs w:val="18"/>
              </w:rPr>
              <w:t>Unit</w:t>
            </w:r>
          </w:p>
        </w:tc>
        <w:tc>
          <w:tcPr>
            <w:tcW w:w="708" w:type="dxa"/>
          </w:tcPr>
          <w:p w14:paraId="4EC74106"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szCs w:val="18"/>
              </w:rPr>
            </w:pPr>
            <w:r w:rsidRPr="008C451C">
              <w:rPr>
                <w:sz w:val="18"/>
                <w:szCs w:val="18"/>
              </w:rPr>
              <w:t>Value</w:t>
            </w:r>
          </w:p>
        </w:tc>
        <w:tc>
          <w:tcPr>
            <w:tcW w:w="851" w:type="dxa"/>
          </w:tcPr>
          <w:p w14:paraId="4D165407"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szCs w:val="18"/>
              </w:rPr>
            </w:pPr>
            <w:r w:rsidRPr="008C451C">
              <w:rPr>
                <w:sz w:val="18"/>
                <w:szCs w:val="18"/>
              </w:rPr>
              <w:t>Storage</w:t>
            </w:r>
          </w:p>
        </w:tc>
        <w:tc>
          <w:tcPr>
            <w:tcW w:w="4237" w:type="dxa"/>
          </w:tcPr>
          <w:p w14:paraId="6CA26A01" w14:textId="77777777" w:rsidR="00F669A1" w:rsidRPr="008C451C" w:rsidRDefault="00F669A1" w:rsidP="00583C1F">
            <w:pPr>
              <w:cnfStyle w:val="100000000000" w:firstRow="1" w:lastRow="0" w:firstColumn="0" w:lastColumn="0" w:oddVBand="0" w:evenVBand="0" w:oddHBand="0" w:evenHBand="0" w:firstRowFirstColumn="0" w:firstRowLastColumn="0" w:lastRowFirstColumn="0" w:lastRowLastColumn="0"/>
              <w:rPr>
                <w:sz w:val="18"/>
                <w:szCs w:val="18"/>
              </w:rPr>
            </w:pPr>
            <w:r w:rsidRPr="008C451C">
              <w:rPr>
                <w:sz w:val="18"/>
                <w:szCs w:val="18"/>
              </w:rPr>
              <w:t>Comment</w:t>
            </w:r>
          </w:p>
        </w:tc>
      </w:tr>
      <w:tr w:rsidR="00F669A1" w:rsidRPr="008C451C" w14:paraId="162F07D0"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2BA25C71" w14:textId="77777777" w:rsidR="00F669A1" w:rsidRPr="008C451C" w:rsidRDefault="00F669A1" w:rsidP="000C3E59">
            <w:pPr>
              <w:jc w:val="right"/>
              <w:rPr>
                <w:b w:val="0"/>
                <w:sz w:val="18"/>
                <w:szCs w:val="18"/>
              </w:rPr>
            </w:pPr>
            <w:r w:rsidRPr="008C451C">
              <w:rPr>
                <w:b w:val="0"/>
                <w:sz w:val="18"/>
                <w:szCs w:val="18"/>
              </w:rPr>
              <w:t>Biomass density</w:t>
            </w:r>
          </w:p>
        </w:tc>
        <w:tc>
          <w:tcPr>
            <w:tcW w:w="1134" w:type="dxa"/>
          </w:tcPr>
          <w:p w14:paraId="0EC12E60"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kg.m</w:t>
            </w:r>
            <w:r w:rsidRPr="008C451C">
              <w:rPr>
                <w:sz w:val="18"/>
                <w:szCs w:val="18"/>
                <w:vertAlign w:val="superscript"/>
              </w:rPr>
              <w:t>-3</w:t>
            </w:r>
          </w:p>
        </w:tc>
        <w:tc>
          <w:tcPr>
            <w:tcW w:w="708" w:type="dxa"/>
          </w:tcPr>
          <w:p w14:paraId="241CCBC1"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222</w:t>
            </w:r>
          </w:p>
        </w:tc>
        <w:tc>
          <w:tcPr>
            <w:tcW w:w="851" w:type="dxa"/>
            <w:vMerge w:val="restart"/>
          </w:tcPr>
          <w:p w14:paraId="7FC16B66"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Piling up</w:t>
            </w:r>
          </w:p>
        </w:tc>
        <w:tc>
          <w:tcPr>
            <w:tcW w:w="4237" w:type="dxa"/>
          </w:tcPr>
          <w:p w14:paraId="3A42226A" w14:textId="77777777" w:rsidR="00F669A1" w:rsidRPr="008C451C" w:rsidRDefault="00F669A1" w:rsidP="00583C1F">
            <w:pPr>
              <w:cnfStyle w:val="000000100000" w:firstRow="0" w:lastRow="0" w:firstColumn="0" w:lastColumn="0" w:oddVBand="0" w:evenVBand="0" w:oddHBand="1" w:evenHBand="0" w:firstRowFirstColumn="0" w:firstRowLastColumn="0" w:lastRowFirstColumn="0" w:lastRowLastColumn="0"/>
              <w:rPr>
                <w:i/>
                <w:sz w:val="18"/>
                <w:szCs w:val="18"/>
              </w:rPr>
            </w:pPr>
            <w:r w:rsidRPr="008C451C">
              <w:rPr>
                <w:i/>
                <w:sz w:val="18"/>
                <w:szCs w:val="18"/>
              </w:rPr>
              <w:t>Assumed as wood chips for all wood-related streams.</w:t>
            </w:r>
          </w:p>
        </w:tc>
      </w:tr>
      <w:tr w:rsidR="00F669A1" w:rsidRPr="008C451C" w14:paraId="5B17E8F9" w14:textId="77777777" w:rsidTr="00942782">
        <w:tc>
          <w:tcPr>
            <w:cnfStyle w:val="001000000000" w:firstRow="0" w:lastRow="0" w:firstColumn="1" w:lastColumn="0" w:oddVBand="0" w:evenVBand="0" w:oddHBand="0" w:evenHBand="0" w:firstRowFirstColumn="0" w:firstRowLastColumn="0" w:lastRowFirstColumn="0" w:lastRowLastColumn="0"/>
            <w:tcW w:w="2112" w:type="dxa"/>
          </w:tcPr>
          <w:p w14:paraId="254B7F18" w14:textId="77777777" w:rsidR="00F669A1" w:rsidRPr="008C451C" w:rsidRDefault="00F669A1" w:rsidP="000C3E59">
            <w:pPr>
              <w:jc w:val="right"/>
              <w:rPr>
                <w:b w:val="0"/>
                <w:sz w:val="18"/>
                <w:szCs w:val="18"/>
              </w:rPr>
            </w:pPr>
            <w:r w:rsidRPr="008C451C">
              <w:rPr>
                <w:b w:val="0"/>
                <w:sz w:val="18"/>
                <w:szCs w:val="18"/>
              </w:rPr>
              <w:t>Surface required</w:t>
            </w:r>
          </w:p>
        </w:tc>
        <w:tc>
          <w:tcPr>
            <w:tcW w:w="1134" w:type="dxa"/>
          </w:tcPr>
          <w:p w14:paraId="5C578EF6"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m</w:t>
            </w:r>
            <w:r w:rsidRPr="008C451C">
              <w:rPr>
                <w:sz w:val="18"/>
                <w:szCs w:val="18"/>
                <w:vertAlign w:val="superscript"/>
              </w:rPr>
              <w:t>3</w:t>
            </w:r>
            <w:r w:rsidRPr="008C451C">
              <w:rPr>
                <w:sz w:val="18"/>
                <w:szCs w:val="18"/>
              </w:rPr>
              <w:t>.m</w:t>
            </w:r>
            <w:r w:rsidRPr="008C451C">
              <w:rPr>
                <w:sz w:val="18"/>
                <w:szCs w:val="18"/>
                <w:vertAlign w:val="superscript"/>
              </w:rPr>
              <w:t>-2</w:t>
            </w:r>
          </w:p>
        </w:tc>
        <w:tc>
          <w:tcPr>
            <w:tcW w:w="708" w:type="dxa"/>
          </w:tcPr>
          <w:p w14:paraId="26146C01"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3</w:t>
            </w:r>
          </w:p>
        </w:tc>
        <w:tc>
          <w:tcPr>
            <w:tcW w:w="851" w:type="dxa"/>
            <w:vMerge/>
          </w:tcPr>
          <w:p w14:paraId="788026C5"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p>
        </w:tc>
        <w:tc>
          <w:tcPr>
            <w:tcW w:w="4237" w:type="dxa"/>
          </w:tcPr>
          <w:p w14:paraId="675C4D8C" w14:textId="5AE436B4" w:rsidR="00F669A1" w:rsidRPr="008C451C" w:rsidRDefault="00F669A1" w:rsidP="00583C1F">
            <w:pPr>
              <w:cnfStyle w:val="000000000000" w:firstRow="0" w:lastRow="0" w:firstColumn="0" w:lastColumn="0" w:oddVBand="0" w:evenVBand="0" w:oddHBand="0" w:evenHBand="0" w:firstRowFirstColumn="0" w:firstRowLastColumn="0" w:lastRowFirstColumn="0" w:lastRowLastColumn="0"/>
              <w:rPr>
                <w:i/>
                <w:sz w:val="18"/>
                <w:szCs w:val="18"/>
              </w:rPr>
            </w:pPr>
            <w:r w:rsidRPr="008C451C">
              <w:rPr>
                <w:i/>
                <w:sz w:val="18"/>
                <w:szCs w:val="18"/>
              </w:rPr>
              <w:t>45°C angle piles</w:t>
            </w:r>
            <w:r w:rsidRPr="008C451C">
              <w:rPr>
                <w:i/>
                <w:sz w:val="18"/>
                <w:szCs w:val="18"/>
              </w:rPr>
              <w:fldChar w:fldCharType="begin"/>
            </w:r>
            <w:r w:rsidR="005413B4">
              <w:rPr>
                <w:i/>
                <w:sz w:val="18"/>
                <w:szCs w:val="18"/>
              </w:rPr>
              <w:instrText xml:space="preserve"> ADDIN ZOTERO_ITEM CSL_CITATION {"citationID":"KxUmkppp","properties":{"formattedCitation":"\\super 167\\nosupersub{}","plainCitation":"167","noteIndex":0},"citationItems":[{"id":2754,"uris":["http://zotero.org/users/6423791/items/4VJD5FYF"],"itemData":{"id":2754,"type":"article-journal","abstract":"In an endeavor towards GHG neutrality, alternatives to fossil carbon resources are explored, such as the use of biomass carbon. Pyrolysis, a thermochemical process that can convert residual biomasses into liquid (bio-oil), solid (biochar) and gaseous (non-condensable gases) products is gaining increased attention, as it both supplies alternatives to fossil carbon while potentially inducing so-called negative emissions through the biochar. Yet, the pyrolysis technical and environmental performance is heavily dependent upon process operational parameters and biomass types. In the perspective of national strategic bioeconomy planning, this study presents an easily replicable consequential life cycle assessment (LCA) framework to quantify the environmental performance of a pyrolysis biorefinery where process conditions are documented, and boundaries expanded to consider the current use of the residual biomass. Results obtained from this method are intended to provide insights for evidence-based decision making towards investments in the low fossil carbon future. The proposed LCA framework was applied to a national case study for the use of primary forestry residues (PFR). Results showed that as compared to the reference scenario in which PFR are left on soil to decay, pyrolysing PFR to biocrude oil, wood vinegar, biochar and gas presents trade-offs in six out of the 16 impact categories studied. These results highlighted that the biomass feedstock supply, the pyrolysis technology, the co-products yields, properties and uses, as well as the choice of marginal technologies have an influence on the environmental performance of pyrolysis biorefineries.","container-title":"Renewable and Sustainable Energy Reviews","DOI":"10.1016/j.rser.2020.110549","ISSN":"1364-0321","journalAbbreviation":"Renewable and Sustainable Energy Reviews","language":"en","page":"110549","source":"ScienceDirect","title":"Framework for consequential life cycle assessment of pyrolysis biorefineries: A case study for the conversion of primary forestry residues","title-short":"Framework for consequential life cycle assessment of pyrolysis biorefineries","author":[{"family":"Brassard","given":"P."},{"family":"Godbout","given":"S."},{"family":"Hamelin","given":"L."}],"issued":{"date-parts":[["2020",11,9]]}}}],"schema":"https://github.com/citation-style-language/schema/raw/master/csl-citation.json"} </w:instrText>
            </w:r>
            <w:r w:rsidRPr="008C451C">
              <w:rPr>
                <w:i/>
                <w:sz w:val="18"/>
                <w:szCs w:val="18"/>
              </w:rPr>
              <w:fldChar w:fldCharType="separate"/>
            </w:r>
            <w:r w:rsidR="005413B4" w:rsidRPr="005413B4">
              <w:rPr>
                <w:rFonts w:ascii="Calibri" w:hAnsi="Calibri" w:cs="Calibri"/>
                <w:sz w:val="18"/>
                <w:szCs w:val="24"/>
                <w:vertAlign w:val="superscript"/>
              </w:rPr>
              <w:t>167</w:t>
            </w:r>
            <w:r w:rsidRPr="008C451C">
              <w:rPr>
                <w:i/>
                <w:sz w:val="18"/>
                <w:szCs w:val="18"/>
              </w:rPr>
              <w:fldChar w:fldCharType="end"/>
            </w:r>
          </w:p>
        </w:tc>
      </w:tr>
      <w:tr w:rsidR="00F669A1" w:rsidRPr="008C451C" w14:paraId="6BC7C6F2"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3F516EA0" w14:textId="77777777" w:rsidR="00F669A1" w:rsidRPr="008C451C" w:rsidRDefault="00F669A1" w:rsidP="000C3E59">
            <w:pPr>
              <w:jc w:val="right"/>
              <w:rPr>
                <w:b w:val="0"/>
                <w:sz w:val="18"/>
                <w:szCs w:val="18"/>
              </w:rPr>
            </w:pPr>
            <w:r w:rsidRPr="008C451C">
              <w:rPr>
                <w:b w:val="0"/>
                <w:sz w:val="18"/>
                <w:szCs w:val="18"/>
              </w:rPr>
              <w:t>Mass loss</w:t>
            </w:r>
          </w:p>
        </w:tc>
        <w:tc>
          <w:tcPr>
            <w:tcW w:w="1134" w:type="dxa"/>
          </w:tcPr>
          <w:p w14:paraId="320DC59F"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w:t>
            </w:r>
            <w:r w:rsidRPr="008C451C">
              <w:rPr>
                <w:sz w:val="18"/>
                <w:szCs w:val="18"/>
                <w:vertAlign w:val="subscript"/>
              </w:rPr>
              <w:t>OM</w:t>
            </w:r>
          </w:p>
        </w:tc>
        <w:tc>
          <w:tcPr>
            <w:tcW w:w="708" w:type="dxa"/>
          </w:tcPr>
          <w:p w14:paraId="556321E7"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2%</w:t>
            </w:r>
          </w:p>
        </w:tc>
        <w:tc>
          <w:tcPr>
            <w:tcW w:w="851" w:type="dxa"/>
            <w:vMerge/>
          </w:tcPr>
          <w:p w14:paraId="57187D26"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p>
        </w:tc>
        <w:tc>
          <w:tcPr>
            <w:tcW w:w="4237" w:type="dxa"/>
            <w:vMerge w:val="restart"/>
          </w:tcPr>
          <w:p w14:paraId="6185F9AA" w14:textId="7BD8D744" w:rsidR="00F669A1" w:rsidRPr="008C451C" w:rsidRDefault="00F669A1" w:rsidP="00583C1F">
            <w:pPr>
              <w:cnfStyle w:val="000000100000" w:firstRow="0" w:lastRow="0" w:firstColumn="0" w:lastColumn="0" w:oddVBand="0" w:evenVBand="0" w:oddHBand="1" w:evenHBand="0" w:firstRowFirstColumn="0" w:firstRowLastColumn="0" w:lastRowFirstColumn="0" w:lastRowLastColumn="0"/>
              <w:rPr>
                <w:i/>
                <w:sz w:val="18"/>
                <w:szCs w:val="18"/>
              </w:rPr>
            </w:pPr>
            <w:r w:rsidRPr="008C451C">
              <w:rPr>
                <w:i/>
                <w:sz w:val="18"/>
                <w:szCs w:val="18"/>
              </w:rPr>
              <w:t>As in Brassard et al., 2020</w:t>
            </w:r>
            <w:r w:rsidRPr="008C451C">
              <w:rPr>
                <w:i/>
                <w:sz w:val="18"/>
                <w:szCs w:val="18"/>
              </w:rPr>
              <w:fldChar w:fldCharType="begin"/>
            </w:r>
            <w:r w:rsidR="005413B4">
              <w:rPr>
                <w:i/>
                <w:sz w:val="18"/>
                <w:szCs w:val="18"/>
              </w:rPr>
              <w:instrText xml:space="preserve"> ADDIN ZOTERO_ITEM CSL_CITATION {"citationID":"hXXoCC5b","properties":{"formattedCitation":"\\super 167\\nosupersub{}","plainCitation":"167","noteIndex":0},"citationItems":[{"id":2754,"uris":["http://zotero.org/users/6423791/items/4VJD5FYF"],"itemData":{"id":2754,"type":"article-journal","abstract":"In an endeavor towards GHG neutrality, alternatives to fossil carbon resources are explored, such as the use of biomass carbon. Pyrolysis, a thermochemical process that can convert residual biomasses into liquid (bio-oil), solid (biochar) and gaseous (non-condensable gases) products is gaining increased attention, as it both supplies alternatives to fossil carbon while potentially inducing so-called negative emissions through the biochar. Yet, the pyrolysis technical and environmental performance is heavily dependent upon process operational parameters and biomass types. In the perspective of national strategic bioeconomy planning, this study presents an easily replicable consequential life cycle assessment (LCA) framework to quantify the environmental performance of a pyrolysis biorefinery where process conditions are documented, and boundaries expanded to consider the current use of the residual biomass. Results obtained from this method are intended to provide insights for evidence-based decision making towards investments in the low fossil carbon future. The proposed LCA framework was applied to a national case study for the use of primary forestry residues (PFR). Results showed that as compared to the reference scenario in which PFR are left on soil to decay, pyrolysing PFR to biocrude oil, wood vinegar, biochar and gas presents trade-offs in six out of the 16 impact categories studied. These results highlighted that the biomass feedstock supply, the pyrolysis technology, the co-products yields, properties and uses, as well as the choice of marginal technologies have an influence on the environmental performance of pyrolysis biorefineries.","container-title":"Renewable and Sustainable Energy Reviews","DOI":"10.1016/j.rser.2020.110549","ISSN":"1364-0321","journalAbbreviation":"Renewable and Sustainable Energy Reviews","language":"en","page":"110549","source":"ScienceDirect","title":"Framework for consequential life cycle assessment of pyrolysis biorefineries: A case study for the conversion of primary forestry residues","title-short":"Framework for consequential life cycle assessment of pyrolysis biorefineries","author":[{"family":"Brassard","given":"P."},{"family":"Godbout","given":"S."},{"family":"Hamelin","given":"L."}],"issued":{"date-parts":[["2020",11,9]]}}}],"schema":"https://github.com/citation-style-language/schema/raw/master/csl-citation.json"} </w:instrText>
            </w:r>
            <w:r w:rsidRPr="008C451C">
              <w:rPr>
                <w:i/>
                <w:sz w:val="18"/>
                <w:szCs w:val="18"/>
              </w:rPr>
              <w:fldChar w:fldCharType="separate"/>
            </w:r>
            <w:r w:rsidR="005413B4" w:rsidRPr="005413B4">
              <w:rPr>
                <w:rFonts w:ascii="Calibri" w:hAnsi="Calibri" w:cs="Calibri"/>
                <w:sz w:val="18"/>
                <w:szCs w:val="24"/>
                <w:vertAlign w:val="superscript"/>
              </w:rPr>
              <w:t>167</w:t>
            </w:r>
            <w:r w:rsidRPr="008C451C">
              <w:rPr>
                <w:i/>
                <w:sz w:val="18"/>
                <w:szCs w:val="18"/>
              </w:rPr>
              <w:fldChar w:fldCharType="end"/>
            </w:r>
            <w:r w:rsidRPr="008C451C">
              <w:rPr>
                <w:i/>
                <w:sz w:val="18"/>
                <w:szCs w:val="18"/>
              </w:rPr>
              <w:t xml:space="preserve"> (CO</w:t>
            </w:r>
            <w:r w:rsidRPr="008C451C">
              <w:rPr>
                <w:i/>
                <w:sz w:val="18"/>
                <w:szCs w:val="18"/>
                <w:vertAlign w:val="subscript"/>
              </w:rPr>
              <w:t>2</w:t>
            </w:r>
            <w:r w:rsidRPr="008C451C">
              <w:rPr>
                <w:i/>
                <w:sz w:val="18"/>
                <w:szCs w:val="18"/>
              </w:rPr>
              <w:t xml:space="preserve"> emissions calculated by difference)</w:t>
            </w:r>
          </w:p>
        </w:tc>
      </w:tr>
      <w:tr w:rsidR="00F669A1" w:rsidRPr="008C451C" w14:paraId="15066BCB" w14:textId="77777777" w:rsidTr="00942782">
        <w:tc>
          <w:tcPr>
            <w:cnfStyle w:val="001000000000" w:firstRow="0" w:lastRow="0" w:firstColumn="1" w:lastColumn="0" w:oddVBand="0" w:evenVBand="0" w:oddHBand="0" w:evenHBand="0" w:firstRowFirstColumn="0" w:firstRowLastColumn="0" w:lastRowFirstColumn="0" w:lastRowLastColumn="0"/>
            <w:tcW w:w="2112" w:type="dxa"/>
          </w:tcPr>
          <w:p w14:paraId="6A282A19" w14:textId="77777777" w:rsidR="00F669A1" w:rsidRPr="008C451C" w:rsidRDefault="00F669A1" w:rsidP="000C3E59">
            <w:pPr>
              <w:jc w:val="right"/>
              <w:rPr>
                <w:b w:val="0"/>
                <w:sz w:val="18"/>
                <w:szCs w:val="18"/>
              </w:rPr>
            </w:pPr>
            <w:r w:rsidRPr="008C451C">
              <w:rPr>
                <w:b w:val="0"/>
                <w:sz w:val="18"/>
                <w:szCs w:val="18"/>
              </w:rPr>
              <w:t>CH</w:t>
            </w:r>
            <w:r w:rsidRPr="008C451C">
              <w:rPr>
                <w:b w:val="0"/>
                <w:sz w:val="18"/>
                <w:szCs w:val="18"/>
                <w:vertAlign w:val="subscript"/>
              </w:rPr>
              <w:t>4</w:t>
            </w:r>
            <w:r w:rsidRPr="008C451C">
              <w:rPr>
                <w:b w:val="0"/>
                <w:sz w:val="18"/>
                <w:szCs w:val="18"/>
              </w:rPr>
              <w:t xml:space="preserve"> production capacity</w:t>
            </w:r>
          </w:p>
        </w:tc>
        <w:tc>
          <w:tcPr>
            <w:tcW w:w="1134" w:type="dxa"/>
          </w:tcPr>
          <w:p w14:paraId="21E3E869"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Nm</w:t>
            </w:r>
            <w:r w:rsidRPr="008C451C">
              <w:rPr>
                <w:sz w:val="18"/>
                <w:szCs w:val="18"/>
                <w:vertAlign w:val="superscript"/>
              </w:rPr>
              <w:t>3</w:t>
            </w:r>
            <w:r w:rsidRPr="008C451C">
              <w:rPr>
                <w:sz w:val="18"/>
                <w:szCs w:val="18"/>
                <w:vertAlign w:val="subscript"/>
              </w:rPr>
              <w:t>CH4</w:t>
            </w:r>
            <w:r w:rsidRPr="008C451C">
              <w:rPr>
                <w:sz w:val="18"/>
                <w:szCs w:val="18"/>
              </w:rPr>
              <w:t>.t</w:t>
            </w:r>
            <w:r w:rsidRPr="008C451C">
              <w:rPr>
                <w:sz w:val="18"/>
                <w:szCs w:val="18"/>
                <w:vertAlign w:val="subscript"/>
              </w:rPr>
              <w:t>VS</w:t>
            </w:r>
            <w:r w:rsidRPr="008C451C">
              <w:rPr>
                <w:sz w:val="18"/>
                <w:szCs w:val="18"/>
                <w:vertAlign w:val="superscript"/>
              </w:rPr>
              <w:t>-1</w:t>
            </w:r>
          </w:p>
        </w:tc>
        <w:tc>
          <w:tcPr>
            <w:tcW w:w="708" w:type="dxa"/>
          </w:tcPr>
          <w:p w14:paraId="3F57CA21"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350</w:t>
            </w:r>
          </w:p>
        </w:tc>
        <w:tc>
          <w:tcPr>
            <w:tcW w:w="851" w:type="dxa"/>
            <w:vMerge/>
          </w:tcPr>
          <w:p w14:paraId="25F2207E"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p>
        </w:tc>
        <w:tc>
          <w:tcPr>
            <w:tcW w:w="4237" w:type="dxa"/>
            <w:vMerge/>
          </w:tcPr>
          <w:p w14:paraId="54D546B5" w14:textId="77777777" w:rsidR="00F669A1" w:rsidRPr="008C451C" w:rsidRDefault="00F669A1" w:rsidP="00583C1F">
            <w:pPr>
              <w:cnfStyle w:val="000000000000" w:firstRow="0" w:lastRow="0" w:firstColumn="0" w:lastColumn="0" w:oddVBand="0" w:evenVBand="0" w:oddHBand="0" w:evenHBand="0" w:firstRowFirstColumn="0" w:firstRowLastColumn="0" w:lastRowFirstColumn="0" w:lastRowLastColumn="0"/>
              <w:rPr>
                <w:i/>
                <w:sz w:val="18"/>
                <w:szCs w:val="18"/>
              </w:rPr>
            </w:pPr>
          </w:p>
        </w:tc>
      </w:tr>
      <w:tr w:rsidR="00F669A1" w:rsidRPr="008C451C" w14:paraId="4C238E9C"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3261FCA6" w14:textId="77777777" w:rsidR="00F669A1" w:rsidRPr="008C451C" w:rsidRDefault="00F669A1" w:rsidP="000C3E59">
            <w:pPr>
              <w:jc w:val="right"/>
              <w:rPr>
                <w:b w:val="0"/>
                <w:sz w:val="18"/>
                <w:szCs w:val="18"/>
              </w:rPr>
            </w:pPr>
            <w:r w:rsidRPr="008C451C">
              <w:rPr>
                <w:b w:val="0"/>
                <w:sz w:val="18"/>
                <w:szCs w:val="18"/>
              </w:rPr>
              <w:t>CH</w:t>
            </w:r>
            <w:r w:rsidRPr="008C451C">
              <w:rPr>
                <w:b w:val="0"/>
                <w:sz w:val="18"/>
                <w:szCs w:val="18"/>
                <w:vertAlign w:val="subscript"/>
              </w:rPr>
              <w:t>4</w:t>
            </w:r>
            <w:r w:rsidRPr="008C451C">
              <w:rPr>
                <w:b w:val="0"/>
                <w:sz w:val="18"/>
                <w:szCs w:val="18"/>
              </w:rPr>
              <w:t xml:space="preserve"> conversion factor</w:t>
            </w:r>
          </w:p>
        </w:tc>
        <w:tc>
          <w:tcPr>
            <w:tcW w:w="1134" w:type="dxa"/>
          </w:tcPr>
          <w:p w14:paraId="74264518"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w:t>
            </w:r>
            <w:r w:rsidRPr="008C451C">
              <w:rPr>
                <w:sz w:val="18"/>
                <w:szCs w:val="18"/>
                <w:vertAlign w:val="subscript"/>
              </w:rPr>
              <w:t>capacity</w:t>
            </w:r>
          </w:p>
        </w:tc>
        <w:tc>
          <w:tcPr>
            <w:tcW w:w="708" w:type="dxa"/>
          </w:tcPr>
          <w:p w14:paraId="7B358CEC"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2%</w:t>
            </w:r>
          </w:p>
        </w:tc>
        <w:tc>
          <w:tcPr>
            <w:tcW w:w="851" w:type="dxa"/>
            <w:vMerge/>
          </w:tcPr>
          <w:p w14:paraId="506C2674"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p>
        </w:tc>
        <w:tc>
          <w:tcPr>
            <w:tcW w:w="4237" w:type="dxa"/>
            <w:vMerge/>
          </w:tcPr>
          <w:p w14:paraId="600C1F8F" w14:textId="77777777" w:rsidR="00F669A1" w:rsidRPr="008C451C" w:rsidRDefault="00F669A1" w:rsidP="00583C1F">
            <w:pPr>
              <w:cnfStyle w:val="000000100000" w:firstRow="0" w:lastRow="0" w:firstColumn="0" w:lastColumn="0" w:oddVBand="0" w:evenVBand="0" w:oddHBand="1" w:evenHBand="0" w:firstRowFirstColumn="0" w:firstRowLastColumn="0" w:lastRowFirstColumn="0" w:lastRowLastColumn="0"/>
              <w:rPr>
                <w:i/>
                <w:sz w:val="18"/>
                <w:szCs w:val="18"/>
              </w:rPr>
            </w:pPr>
          </w:p>
        </w:tc>
      </w:tr>
      <w:tr w:rsidR="00F669A1" w:rsidRPr="008C451C" w14:paraId="1423FDDA" w14:textId="77777777" w:rsidTr="00942782">
        <w:tc>
          <w:tcPr>
            <w:cnfStyle w:val="001000000000" w:firstRow="0" w:lastRow="0" w:firstColumn="1" w:lastColumn="0" w:oddVBand="0" w:evenVBand="0" w:oddHBand="0" w:evenHBand="0" w:firstRowFirstColumn="0" w:firstRowLastColumn="0" w:lastRowFirstColumn="0" w:lastRowLastColumn="0"/>
            <w:tcW w:w="2112" w:type="dxa"/>
          </w:tcPr>
          <w:p w14:paraId="0B22D276" w14:textId="77777777" w:rsidR="00F669A1" w:rsidRPr="008C451C" w:rsidRDefault="00F669A1" w:rsidP="000C3E59">
            <w:pPr>
              <w:jc w:val="right"/>
              <w:rPr>
                <w:b w:val="0"/>
                <w:sz w:val="18"/>
                <w:szCs w:val="18"/>
              </w:rPr>
            </w:pPr>
            <w:r w:rsidRPr="008C451C">
              <w:rPr>
                <w:b w:val="0"/>
                <w:sz w:val="18"/>
                <w:szCs w:val="18"/>
              </w:rPr>
              <w:t>CH</w:t>
            </w:r>
            <w:r w:rsidRPr="008C451C">
              <w:rPr>
                <w:b w:val="0"/>
                <w:sz w:val="18"/>
                <w:szCs w:val="18"/>
                <w:vertAlign w:val="subscript"/>
              </w:rPr>
              <w:t>4</w:t>
            </w:r>
            <w:r w:rsidRPr="008C451C">
              <w:rPr>
                <w:b w:val="0"/>
                <w:sz w:val="18"/>
                <w:szCs w:val="18"/>
              </w:rPr>
              <w:t xml:space="preserve"> production capacity</w:t>
            </w:r>
          </w:p>
        </w:tc>
        <w:tc>
          <w:tcPr>
            <w:tcW w:w="1134" w:type="dxa"/>
          </w:tcPr>
          <w:p w14:paraId="51F0BFE6"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Nm</w:t>
            </w:r>
            <w:r w:rsidRPr="008C451C">
              <w:rPr>
                <w:sz w:val="18"/>
                <w:szCs w:val="18"/>
                <w:vertAlign w:val="superscript"/>
              </w:rPr>
              <w:t>3</w:t>
            </w:r>
            <w:r w:rsidRPr="008C451C">
              <w:rPr>
                <w:sz w:val="18"/>
                <w:szCs w:val="18"/>
                <w:vertAlign w:val="subscript"/>
              </w:rPr>
              <w:t>CH4</w:t>
            </w:r>
            <w:r w:rsidRPr="008C451C">
              <w:rPr>
                <w:sz w:val="18"/>
                <w:szCs w:val="18"/>
              </w:rPr>
              <w:t>.t</w:t>
            </w:r>
            <w:r w:rsidRPr="008C451C">
              <w:rPr>
                <w:sz w:val="18"/>
                <w:szCs w:val="18"/>
                <w:vertAlign w:val="subscript"/>
              </w:rPr>
              <w:t>VS</w:t>
            </w:r>
            <w:r w:rsidRPr="008C451C">
              <w:rPr>
                <w:sz w:val="18"/>
                <w:szCs w:val="18"/>
                <w:vertAlign w:val="superscript"/>
              </w:rPr>
              <w:t>-1</w:t>
            </w:r>
          </w:p>
        </w:tc>
        <w:tc>
          <w:tcPr>
            <w:tcW w:w="708" w:type="dxa"/>
          </w:tcPr>
          <w:p w14:paraId="1BFEBBE4"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320</w:t>
            </w:r>
          </w:p>
        </w:tc>
        <w:tc>
          <w:tcPr>
            <w:tcW w:w="851" w:type="dxa"/>
            <w:vMerge w:val="restart"/>
          </w:tcPr>
          <w:p w14:paraId="167ACB6F"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Covered pit</w:t>
            </w:r>
          </w:p>
        </w:tc>
        <w:tc>
          <w:tcPr>
            <w:tcW w:w="4237" w:type="dxa"/>
          </w:tcPr>
          <w:p w14:paraId="7FDB1E3D" w14:textId="68E32FF1" w:rsidR="00F669A1" w:rsidRPr="008C451C" w:rsidRDefault="00F669A1" w:rsidP="00583C1F">
            <w:pPr>
              <w:cnfStyle w:val="000000000000" w:firstRow="0" w:lastRow="0" w:firstColumn="0" w:lastColumn="0" w:oddVBand="0" w:evenVBand="0" w:oddHBand="0" w:evenHBand="0" w:firstRowFirstColumn="0" w:firstRowLastColumn="0" w:lastRowFirstColumn="0" w:lastRowLastColumn="0"/>
              <w:rPr>
                <w:i/>
                <w:sz w:val="18"/>
                <w:szCs w:val="18"/>
              </w:rPr>
            </w:pPr>
            <w:r w:rsidRPr="008C451C">
              <w:rPr>
                <w:i/>
                <w:sz w:val="18"/>
                <w:szCs w:val="18"/>
              </w:rPr>
              <w:t xml:space="preserve">From </w:t>
            </w:r>
            <w:r w:rsidR="002D3BB7" w:rsidRPr="000C6C37">
              <w:rPr>
                <w:i/>
                <w:sz w:val="18"/>
                <w:szCs w:val="18"/>
              </w:rPr>
              <w:t>Javourez et al., 202</w:t>
            </w:r>
            <w:r w:rsidR="000C6C37" w:rsidRPr="000C6C37">
              <w:rPr>
                <w:i/>
                <w:sz w:val="18"/>
                <w:szCs w:val="18"/>
              </w:rPr>
              <w:t>4</w:t>
            </w:r>
            <w:r w:rsidR="002D3BB7" w:rsidRPr="000C6C37">
              <w:rPr>
                <w:i/>
                <w:sz w:val="18"/>
                <w:szCs w:val="18"/>
              </w:rPr>
              <w:fldChar w:fldCharType="begin"/>
            </w:r>
            <w:r w:rsidR="00827449">
              <w:rPr>
                <w:i/>
                <w:sz w:val="18"/>
                <w:szCs w:val="18"/>
              </w:rPr>
              <w:instrText xml:space="preserve"> ADDIN ZOTERO_ITEM CSL_CITATION {"citationID":"shCUR9u2","properties":{"formattedCitation":"\\super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2D3BB7" w:rsidRPr="000C6C37">
              <w:rPr>
                <w:i/>
                <w:sz w:val="18"/>
                <w:szCs w:val="18"/>
              </w:rPr>
              <w:fldChar w:fldCharType="separate"/>
            </w:r>
            <w:r w:rsidR="008C451C" w:rsidRPr="000C6C37">
              <w:rPr>
                <w:rFonts w:ascii="Calibri" w:hAnsi="Calibri" w:cs="Calibri"/>
                <w:sz w:val="18"/>
                <w:szCs w:val="24"/>
                <w:vertAlign w:val="superscript"/>
              </w:rPr>
              <w:t>1</w:t>
            </w:r>
            <w:r w:rsidR="002D3BB7" w:rsidRPr="000C6C37">
              <w:rPr>
                <w:i/>
                <w:sz w:val="18"/>
                <w:szCs w:val="18"/>
              </w:rPr>
              <w:fldChar w:fldCharType="end"/>
            </w:r>
            <w:r w:rsidRPr="000C6C37">
              <w:rPr>
                <w:i/>
                <w:sz w:val="18"/>
                <w:szCs w:val="18"/>
              </w:rPr>
              <w:t>, proxy</w:t>
            </w:r>
            <w:r w:rsidRPr="008C451C">
              <w:rPr>
                <w:i/>
                <w:sz w:val="18"/>
                <w:szCs w:val="18"/>
              </w:rPr>
              <w:t xml:space="preserve"> for food-waste-like streams</w:t>
            </w:r>
          </w:p>
        </w:tc>
      </w:tr>
      <w:tr w:rsidR="00F669A1" w:rsidRPr="008C451C" w14:paraId="1F8B419C"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43CE590E" w14:textId="77777777" w:rsidR="00F669A1" w:rsidRPr="008C451C" w:rsidRDefault="00F669A1" w:rsidP="000C3E59">
            <w:pPr>
              <w:jc w:val="right"/>
              <w:rPr>
                <w:b w:val="0"/>
                <w:sz w:val="18"/>
                <w:szCs w:val="18"/>
              </w:rPr>
            </w:pPr>
            <w:r w:rsidRPr="008C451C">
              <w:rPr>
                <w:b w:val="0"/>
                <w:sz w:val="18"/>
                <w:szCs w:val="18"/>
              </w:rPr>
              <w:t>NO</w:t>
            </w:r>
            <w:r w:rsidRPr="008C451C">
              <w:rPr>
                <w:b w:val="0"/>
                <w:sz w:val="18"/>
                <w:szCs w:val="18"/>
                <w:vertAlign w:val="subscript"/>
              </w:rPr>
              <w:t>x</w:t>
            </w:r>
            <w:r w:rsidRPr="008C451C">
              <w:rPr>
                <w:b w:val="0"/>
                <w:sz w:val="18"/>
                <w:szCs w:val="18"/>
              </w:rPr>
              <w:t xml:space="preserve"> EF</w:t>
            </w:r>
          </w:p>
        </w:tc>
        <w:tc>
          <w:tcPr>
            <w:tcW w:w="1134" w:type="dxa"/>
          </w:tcPr>
          <w:p w14:paraId="5E3B4527"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w:t>
            </w:r>
            <w:r w:rsidRPr="008C451C">
              <w:rPr>
                <w:sz w:val="18"/>
                <w:szCs w:val="18"/>
                <w:vertAlign w:val="subscript"/>
              </w:rPr>
              <w:t>TAN</w:t>
            </w:r>
          </w:p>
        </w:tc>
        <w:tc>
          <w:tcPr>
            <w:tcW w:w="708" w:type="dxa"/>
          </w:tcPr>
          <w:p w14:paraId="22D8C58F"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1%</w:t>
            </w:r>
          </w:p>
        </w:tc>
        <w:tc>
          <w:tcPr>
            <w:tcW w:w="851" w:type="dxa"/>
            <w:vMerge/>
          </w:tcPr>
          <w:p w14:paraId="711FB100"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p>
        </w:tc>
        <w:tc>
          <w:tcPr>
            <w:tcW w:w="4237" w:type="dxa"/>
          </w:tcPr>
          <w:p w14:paraId="67D633B9" w14:textId="0BF2EB0C" w:rsidR="00F669A1" w:rsidRPr="008C451C" w:rsidRDefault="00F669A1" w:rsidP="00583C1F">
            <w:pPr>
              <w:cnfStyle w:val="000000100000" w:firstRow="0" w:lastRow="0" w:firstColumn="0" w:lastColumn="0" w:oddVBand="0" w:evenVBand="0" w:oddHBand="1" w:evenHBand="0" w:firstRowFirstColumn="0" w:firstRowLastColumn="0" w:lastRowFirstColumn="0" w:lastRowLastColumn="0"/>
              <w:rPr>
                <w:i/>
                <w:sz w:val="18"/>
                <w:szCs w:val="18"/>
              </w:rPr>
            </w:pPr>
            <w:r w:rsidRPr="008C451C">
              <w:rPr>
                <w:i/>
                <w:sz w:val="18"/>
                <w:szCs w:val="18"/>
              </w:rPr>
              <w:t>Value for solid manure</w:t>
            </w:r>
            <w:r w:rsidRPr="008C451C">
              <w:rPr>
                <w:i/>
                <w:sz w:val="18"/>
                <w:szCs w:val="18"/>
              </w:rPr>
              <w:fldChar w:fldCharType="begin"/>
            </w:r>
            <w:r w:rsidR="00682E10" w:rsidRPr="008C451C">
              <w:rPr>
                <w:i/>
                <w:sz w:val="18"/>
                <w:szCs w:val="18"/>
              </w:rPr>
              <w:instrText xml:space="preserve"> ADDIN ZOTERO_ITEM CSL_CITATION {"citationID":"8aZ79m75","properties":{"formattedCitation":"\\super 10\\nosupersub{}","plainCitation":"10","noteIndex":0},"citationItems":[{"id":11593,"uris":["http://zotero.org/users/6423791/items/LLHNGSED"],"itemData":{"id":11593,"type":"article-journal","abstract":"Manure-biogas is a renewable energy resource rather untapped in Europe in comparison to its full potential. Given the current and emerging renewable energy targets, considerable increases in its production can be expected. This consequential life cycle assessment (LCA) study investigated the environmental consequences of different co-substrate strategies for reaching drastic increases in manure-biogas production in Denmark. Six co-substrates not already fully used for biogas were considered: energy crops, straw, household food waste, commercial food waste, garden waste and the solid fraction deriving from source-segregation of animal urine and feces. Soil carbon changes as well as direct and indirect land use changes were included in the LCA. Source-segregated manure stood out as the environmentally best co-substrate, followed by garden waste. Co-substrates already in use for energy recovery (straw, household and commercial food wastes) displayed a more modest environmental performance while energy crops, here represented by maize silage, was the only option giving rise to net greenhouse gas emissions. This was essentially due to the indirect land use change emissions related to this scenario, which were quantified to 357tCO2eq.ha−1 displaced.","container-title":"Applied Energy","DOI":"10.1016/j.apenergy.2013.09.033","ISSN":"0306-2619","journalAbbreviation":"Appl. Energy","language":"en","page":"774-782","source":"ScienceDirect","title":"Environmental consequences of different carbon alternatives for increased manure-based biogas","volume":"114","author":[{"family":"Hamelin","given":"Lorie"},{"family":"Naroznova","given":"Irina"},{"family":"Wenzel","given":"Henrik"}],"issued":{"date-parts":[["2014",2,1]]}}}],"schema":"https://github.com/citation-style-language/schema/raw/master/csl-citation.json"} </w:instrText>
            </w:r>
            <w:r w:rsidRPr="008C451C">
              <w:rPr>
                <w:i/>
                <w:sz w:val="18"/>
                <w:szCs w:val="18"/>
              </w:rPr>
              <w:fldChar w:fldCharType="separate"/>
            </w:r>
            <w:r w:rsidR="00682E10" w:rsidRPr="008C451C">
              <w:rPr>
                <w:rFonts w:ascii="Calibri" w:hAnsi="Calibri" w:cs="Calibri"/>
                <w:sz w:val="18"/>
                <w:szCs w:val="18"/>
                <w:vertAlign w:val="superscript"/>
              </w:rPr>
              <w:t>10</w:t>
            </w:r>
            <w:r w:rsidRPr="008C451C">
              <w:rPr>
                <w:i/>
                <w:sz w:val="18"/>
                <w:szCs w:val="18"/>
              </w:rPr>
              <w:fldChar w:fldCharType="end"/>
            </w:r>
          </w:p>
        </w:tc>
      </w:tr>
      <w:tr w:rsidR="00F669A1" w:rsidRPr="008C451C" w14:paraId="389D84EB" w14:textId="77777777" w:rsidTr="00942782">
        <w:tc>
          <w:tcPr>
            <w:cnfStyle w:val="001000000000" w:firstRow="0" w:lastRow="0" w:firstColumn="1" w:lastColumn="0" w:oddVBand="0" w:evenVBand="0" w:oddHBand="0" w:evenHBand="0" w:firstRowFirstColumn="0" w:firstRowLastColumn="0" w:lastRowFirstColumn="0" w:lastRowLastColumn="0"/>
            <w:tcW w:w="2112" w:type="dxa"/>
          </w:tcPr>
          <w:p w14:paraId="3C60CBBF" w14:textId="77777777" w:rsidR="00F669A1" w:rsidRPr="008C451C" w:rsidRDefault="00F669A1" w:rsidP="000C3E59">
            <w:pPr>
              <w:jc w:val="right"/>
              <w:rPr>
                <w:b w:val="0"/>
                <w:sz w:val="18"/>
                <w:szCs w:val="18"/>
              </w:rPr>
            </w:pPr>
            <w:r w:rsidRPr="008C451C">
              <w:rPr>
                <w:b w:val="0"/>
                <w:sz w:val="18"/>
                <w:szCs w:val="18"/>
              </w:rPr>
              <w:t>Volatilized (Frac</w:t>
            </w:r>
            <w:r w:rsidRPr="008C451C">
              <w:rPr>
                <w:b w:val="0"/>
                <w:sz w:val="18"/>
                <w:szCs w:val="18"/>
                <w:vertAlign w:val="subscript"/>
              </w:rPr>
              <w:t>GASM</w:t>
            </w:r>
            <w:r w:rsidRPr="008C451C">
              <w:rPr>
                <w:b w:val="0"/>
                <w:sz w:val="18"/>
                <w:szCs w:val="18"/>
              </w:rPr>
              <w:t>)</w:t>
            </w:r>
          </w:p>
        </w:tc>
        <w:tc>
          <w:tcPr>
            <w:tcW w:w="1134" w:type="dxa"/>
          </w:tcPr>
          <w:p w14:paraId="68754290"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kg (NH</w:t>
            </w:r>
            <w:r w:rsidRPr="008C451C">
              <w:rPr>
                <w:sz w:val="18"/>
                <w:szCs w:val="18"/>
                <w:vertAlign w:val="subscript"/>
              </w:rPr>
              <w:t>3-N</w:t>
            </w:r>
            <w:r w:rsidRPr="008C451C">
              <w:rPr>
                <w:sz w:val="18"/>
                <w:szCs w:val="18"/>
              </w:rPr>
              <w:t>+NO</w:t>
            </w:r>
            <w:r w:rsidRPr="008C451C">
              <w:rPr>
                <w:sz w:val="18"/>
                <w:szCs w:val="18"/>
                <w:vertAlign w:val="subscript"/>
              </w:rPr>
              <w:t>x-N</w:t>
            </w:r>
            <w:proofErr w:type="gramStart"/>
            <w:r w:rsidRPr="008C451C">
              <w:rPr>
                <w:sz w:val="18"/>
                <w:szCs w:val="18"/>
              </w:rPr>
              <w:t>) .</w:t>
            </w:r>
            <w:proofErr w:type="gramEnd"/>
            <w:r w:rsidRPr="008C451C">
              <w:rPr>
                <w:sz w:val="18"/>
                <w:szCs w:val="18"/>
              </w:rPr>
              <w:t xml:space="preserve"> kg</w:t>
            </w:r>
            <w:r w:rsidRPr="008C451C">
              <w:rPr>
                <w:sz w:val="18"/>
                <w:szCs w:val="18"/>
                <w:vertAlign w:val="subscript"/>
              </w:rPr>
              <w:t>N</w:t>
            </w:r>
            <w:r w:rsidRPr="008C451C">
              <w:rPr>
                <w:sz w:val="18"/>
                <w:szCs w:val="18"/>
                <w:vertAlign w:val="superscript"/>
              </w:rPr>
              <w:t>-1</w:t>
            </w:r>
          </w:p>
        </w:tc>
        <w:tc>
          <w:tcPr>
            <w:tcW w:w="708" w:type="dxa"/>
          </w:tcPr>
          <w:p w14:paraId="758788E4"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22%</w:t>
            </w:r>
          </w:p>
        </w:tc>
        <w:tc>
          <w:tcPr>
            <w:tcW w:w="851" w:type="dxa"/>
            <w:vMerge/>
          </w:tcPr>
          <w:p w14:paraId="6B9B9952"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p>
        </w:tc>
        <w:tc>
          <w:tcPr>
            <w:tcW w:w="4237" w:type="dxa"/>
          </w:tcPr>
          <w:p w14:paraId="4B55E0CA" w14:textId="350A1634" w:rsidR="00F669A1" w:rsidRPr="008C451C" w:rsidRDefault="00F669A1" w:rsidP="00583C1F">
            <w:pPr>
              <w:cnfStyle w:val="000000000000" w:firstRow="0" w:lastRow="0" w:firstColumn="0" w:lastColumn="0" w:oddVBand="0" w:evenVBand="0" w:oddHBand="0" w:evenHBand="0" w:firstRowFirstColumn="0" w:firstRowLastColumn="0" w:lastRowFirstColumn="0" w:lastRowLastColumn="0"/>
              <w:rPr>
                <w:i/>
                <w:sz w:val="18"/>
                <w:szCs w:val="18"/>
              </w:rPr>
            </w:pPr>
            <w:r w:rsidRPr="008C451C">
              <w:rPr>
                <w:i/>
                <w:sz w:val="18"/>
                <w:szCs w:val="18"/>
              </w:rPr>
              <w:t>Value for solid manure</w:t>
            </w:r>
            <w:r w:rsidRPr="008C451C">
              <w:rPr>
                <w:i/>
                <w:sz w:val="18"/>
                <w:szCs w:val="18"/>
              </w:rPr>
              <w:fldChar w:fldCharType="begin"/>
            </w:r>
            <w:r w:rsidR="00991F7C">
              <w:rPr>
                <w:i/>
                <w:sz w:val="18"/>
                <w:szCs w:val="18"/>
              </w:rPr>
              <w:instrText xml:space="preserve"> ADDIN ZOTERO_ITEM CSL_CITATION {"citationID":"huZDESqe","properties":{"formattedCitation":"\\super 338\\nosupersub{}","plainCitation":"338","noteIndex":0},"citationItems":[{"id":12341,"uris":["http://zotero.org/users/6423791/items/ZGELL797"],"itemData":{"id":12341,"type":"chapter","collection-title":"2019 Refinement to the 2006 IPCC Guidelines for National Greenhouse Gas Inventories","container-title":"Agriculture, Forestry and Other Land Use","number-of-volumes":"5","page":"209","publisher":"IPCC","title":"Chapter 10 - Emissions from livestock and manure management","URL":"https://www.ipcc-nggip.iges.or.jp/public/2019rf/pdf/4_Volume4/19R_V4_Ch11_Soils_N2O_CO2.pdf","volume":"4","author":[{"family":"Gavrilova","given":"Olga"},{"family":"Leip","given":"Adrian"},{"family":"Dong","given":"Hongmin"},{"family":"Douglas MacDonald","given":"James"},{"family":"Gomez Bravo","given":"Carlos Alfredo"},{"family":"Amon","given":"Barbara"},{"family":"Barahona Rosales","given":"Rolando"},{"family":"Prado","given":"Agustin","non-dropping-particle":"del"},{"family":"Aparecida de Lima","given":"Magda"},{"family":"Oyhantçabal","given":"Walter"},{"family":"Weerden","given":"Tony","non-dropping-particle":"van der"},{"family":"Widiawati","given":"Yeni"}],"accessed":{"date-parts":[["2021",11,8]]},"issued":{"date-parts":[["2019"]]}}}],"schema":"https://github.com/citation-style-language/schema/raw/master/csl-citation.json"} </w:instrText>
            </w:r>
            <w:r w:rsidRPr="008C451C">
              <w:rPr>
                <w:i/>
                <w:sz w:val="18"/>
                <w:szCs w:val="18"/>
              </w:rPr>
              <w:fldChar w:fldCharType="separate"/>
            </w:r>
            <w:r w:rsidR="00991F7C" w:rsidRPr="00991F7C">
              <w:rPr>
                <w:rFonts w:ascii="Calibri" w:hAnsi="Calibri" w:cs="Calibri"/>
                <w:sz w:val="18"/>
                <w:szCs w:val="24"/>
                <w:vertAlign w:val="superscript"/>
              </w:rPr>
              <w:t>338</w:t>
            </w:r>
            <w:r w:rsidRPr="008C451C">
              <w:rPr>
                <w:i/>
                <w:sz w:val="18"/>
                <w:szCs w:val="18"/>
              </w:rPr>
              <w:fldChar w:fldCharType="end"/>
            </w:r>
          </w:p>
        </w:tc>
      </w:tr>
      <w:tr w:rsidR="00F669A1" w:rsidRPr="008C451C" w14:paraId="0A790B48"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4" w:type="dxa"/>
            <w:gridSpan w:val="3"/>
          </w:tcPr>
          <w:p w14:paraId="0E00F58E" w14:textId="77777777" w:rsidR="00F669A1" w:rsidRPr="008C451C" w:rsidRDefault="00F669A1" w:rsidP="000C3E59">
            <w:pPr>
              <w:rPr>
                <w:b w:val="0"/>
                <w:sz w:val="18"/>
                <w:szCs w:val="18"/>
              </w:rPr>
            </w:pPr>
            <w:r w:rsidRPr="008C451C">
              <w:rPr>
                <w:b w:val="0"/>
                <w:sz w:val="18"/>
                <w:szCs w:val="18"/>
              </w:rPr>
              <w:t>Rest of parameters</w:t>
            </w:r>
          </w:p>
        </w:tc>
        <w:tc>
          <w:tcPr>
            <w:tcW w:w="851" w:type="dxa"/>
            <w:vMerge/>
          </w:tcPr>
          <w:p w14:paraId="55D8F551"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p>
        </w:tc>
        <w:tc>
          <w:tcPr>
            <w:tcW w:w="4237" w:type="dxa"/>
          </w:tcPr>
          <w:p w14:paraId="7F480F1F" w14:textId="15F5FE87" w:rsidR="00F669A1" w:rsidRPr="008C451C" w:rsidRDefault="00F669A1" w:rsidP="00583C1F">
            <w:pPr>
              <w:cnfStyle w:val="000000100000" w:firstRow="0" w:lastRow="0" w:firstColumn="0" w:lastColumn="0" w:oddVBand="0" w:evenVBand="0" w:oddHBand="1" w:evenHBand="0" w:firstRowFirstColumn="0" w:firstRowLastColumn="0" w:lastRowFirstColumn="0" w:lastRowLastColumn="0"/>
              <w:rPr>
                <w:i/>
                <w:sz w:val="18"/>
                <w:szCs w:val="18"/>
              </w:rPr>
            </w:pPr>
            <w:r w:rsidRPr="008C451C">
              <w:rPr>
                <w:i/>
                <w:sz w:val="18"/>
                <w:szCs w:val="18"/>
              </w:rPr>
              <w:t xml:space="preserve">All corresponding to digestate storage in </w:t>
            </w:r>
            <w:r w:rsidR="002D3BB7" w:rsidRPr="008C451C">
              <w:rPr>
                <w:i/>
                <w:sz w:val="18"/>
                <w:szCs w:val="18"/>
              </w:rPr>
              <w:t>Javourez et al</w:t>
            </w:r>
            <w:r w:rsidR="002D3BB7" w:rsidRPr="000C6C37">
              <w:rPr>
                <w:i/>
                <w:sz w:val="18"/>
                <w:szCs w:val="18"/>
              </w:rPr>
              <w:t>., 202</w:t>
            </w:r>
            <w:r w:rsidR="000C6C37" w:rsidRPr="000C6C37">
              <w:rPr>
                <w:i/>
                <w:sz w:val="18"/>
                <w:szCs w:val="18"/>
              </w:rPr>
              <w:t>4</w:t>
            </w:r>
            <w:r w:rsidR="002D3BB7" w:rsidRPr="000C6C37">
              <w:rPr>
                <w:i/>
                <w:sz w:val="18"/>
                <w:szCs w:val="18"/>
              </w:rPr>
              <w:fldChar w:fldCharType="begin"/>
            </w:r>
            <w:r w:rsidR="00827449">
              <w:rPr>
                <w:i/>
                <w:sz w:val="18"/>
                <w:szCs w:val="18"/>
              </w:rPr>
              <w:instrText xml:space="preserve"> ADDIN ZOTERO_ITEM CSL_CITATION {"citationID":"JOA4uVwT","properties":{"formattedCitation":"\\super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2D3BB7" w:rsidRPr="000C6C37">
              <w:rPr>
                <w:i/>
                <w:sz w:val="18"/>
                <w:szCs w:val="18"/>
              </w:rPr>
              <w:fldChar w:fldCharType="separate"/>
            </w:r>
            <w:r w:rsidR="008C451C" w:rsidRPr="000C6C37">
              <w:rPr>
                <w:rFonts w:ascii="Calibri" w:hAnsi="Calibri" w:cs="Calibri"/>
                <w:sz w:val="18"/>
                <w:szCs w:val="24"/>
                <w:vertAlign w:val="superscript"/>
              </w:rPr>
              <w:t>1</w:t>
            </w:r>
            <w:r w:rsidR="002D3BB7" w:rsidRPr="000C6C37">
              <w:rPr>
                <w:i/>
                <w:sz w:val="18"/>
                <w:szCs w:val="18"/>
              </w:rPr>
              <w:fldChar w:fldCharType="end"/>
            </w:r>
          </w:p>
        </w:tc>
      </w:tr>
    </w:tbl>
    <w:p w14:paraId="60B275BD" w14:textId="31BD549C" w:rsidR="00F669A1" w:rsidRDefault="00F669A1" w:rsidP="00942782">
      <w:pPr>
        <w:rPr>
          <w:sz w:val="18"/>
        </w:rPr>
      </w:pPr>
      <w:r w:rsidRPr="003F5DA8">
        <w:rPr>
          <w:sz w:val="18"/>
        </w:rPr>
        <w:t>The parameters present in this table were not retained in the sensitivity analysis, these were considered as constants.</w:t>
      </w:r>
    </w:p>
    <w:p w14:paraId="4763BE70" w14:textId="77777777" w:rsidR="008C451C" w:rsidRPr="008C451C" w:rsidRDefault="008C451C" w:rsidP="008C451C"/>
    <w:p w14:paraId="0D8BF422" w14:textId="77777777" w:rsidR="00F669A1" w:rsidRPr="00CF16A7" w:rsidRDefault="00F669A1" w:rsidP="00583C1F">
      <w:pPr>
        <w:pStyle w:val="Titre4"/>
      </w:pPr>
      <w:r w:rsidRPr="00CF16A7">
        <w:t>Standardization</w:t>
      </w:r>
    </w:p>
    <w:p w14:paraId="4D21681C" w14:textId="3BB1CFCB" w:rsidR="00F669A1" w:rsidRPr="003F5DA8" w:rsidRDefault="00F669A1" w:rsidP="00583C1F">
      <w:pPr>
        <w:ind w:firstLine="360"/>
        <w:jc w:val="both"/>
      </w:pPr>
      <w:r w:rsidRPr="003F5DA8">
        <w:t>All feedstocks were considered standardized in size (ca. 30mm</w:t>
      </w:r>
      <w:r w:rsidRPr="003F5DA8">
        <w:fldChar w:fldCharType="begin"/>
      </w:r>
      <w:r w:rsidR="005413B4">
        <w:instrText xml:space="preserve"> ADDIN ZOTERO_ITEM CSL_CITATION {"citationID":"QydbdFUy","properties":{"formattedCitation":"\\super 223\\nosupersub{}","plainCitation":"223","noteIndex":0},"citationItems":[{"id":12940,"uris":["http://zotero.org/users/6423791/items/KBVGJC6I"],"itemData":{"id":12940,"type":"report","language":"fr","number":"RECORD 13-0239/1A","page":"228","publisher":"Réseau Coopératif de Recherche sur les Déchets et l’Environnement","source":"Zotero","title":"Production d'hydrogène à partir de déchets: Etat de l'art et potentiel d'émergence","URL":"https://hal.archives-ouvertes.fr/hal-01602165","author":[{"family":"Megret","given":"Olivier"},{"family":"Hubert","given":"Loreline"},{"family":"Calbry","given":"M"},{"family":"Trably","given":"Eric"},{"family":"Carrère","given":"Hélène"},{"family":"Garcia-Bernet","given":"Diana"},{"family":"Bernet","given":"Nicolas"}],"issued":{"date-parts":[["2015"]]}}}],"schema":"https://github.com/citation-style-language/schema/raw/master/csl-citation.json"} </w:instrText>
      </w:r>
      <w:r w:rsidRPr="003F5DA8">
        <w:fldChar w:fldCharType="separate"/>
      </w:r>
      <w:r w:rsidR="005413B4" w:rsidRPr="005413B4">
        <w:rPr>
          <w:rFonts w:ascii="Calibri" w:hAnsi="Calibri" w:cs="Calibri"/>
          <w:szCs w:val="24"/>
          <w:vertAlign w:val="superscript"/>
        </w:rPr>
        <w:t>223</w:t>
      </w:r>
      <w:r w:rsidRPr="003F5DA8">
        <w:fldChar w:fldCharType="end"/>
      </w:r>
      <w:r w:rsidRPr="003F5DA8">
        <w:t>) and moisture (at least 90%</w:t>
      </w:r>
      <w:r w:rsidRPr="003F5DA8">
        <w:rPr>
          <w:vertAlign w:val="subscript"/>
        </w:rPr>
        <w:t>DM</w:t>
      </w:r>
      <w:r w:rsidRPr="003F5DA8">
        <w:fldChar w:fldCharType="begin"/>
      </w:r>
      <w:r w:rsidR="00991F7C">
        <w:instrText xml:space="preserve"> ADDIN ZOTERO_ITEM CSL_CITATION {"citationID":"fFOKp7Cr","properties":{"formattedCitation":"\\super 339\\nosupersub{}","plainCitation":"339","noteIndex":0},"citationItems":[{"id":12976,"uris":["http://zotero.org/users/6423791/items/RZUM6KPP"],"itemData":{"id":12976,"type":"article-journal","abstract":"Biomethane produced from waste-derived biomass (biowaste) is a clean and renewable fuel, which offers substantial reductions of greenhouse gas emissions and resource consumption. Biomethane is currently produced via the “biogas road”, which includes the anaerobic digestion of wet biowaste and a successive upgrading of obtained biogas, with good environmental performance. An alternative production strategy is the “syngas road”, which includes the gasification of dry or semi-dry biowaste followed by cleaning, conditioning, methanation, and final upgrading of obtained syngas. It is still at a demonstration level but appears of great interest for the highest values of energy efficiency and carbon utilisation. The study acquired technical data from existing plants of both these strategies, and developed a quantitative environmental assessment by means of holistic tools of sustainable engineering: material and substance flow analyses and an attributional life cycle assessment. The technical and environmental performance of the two biomethane roads have been then compared, in terms of energy and process efficiency as well as potential impacts in the main midpoint categories (global warming, respiratory inorganics, and non-renewable energy). The syngas road appears to have higher levels of carbon utilisation and better environmental performance, even though an extended sensitivity analysis shows different results if alternative plant configurations and energy mix are considered. This suggests that R&amp;D studies and policies of economic incentives have to be further implemented for both the analysed strategies, even because they deal with different kind of biowaste, having different availability in different countries.","container-title":"Waste Management","DOI":"10.1016/j.wasman.2019.02.030","ISSN":"0956-053X","journalAbbreviation":"Waste Management","language":"en","page":"441-453","source":"ScienceDirect","title":"Biowaste-to-Biomethane: An LCA study on biogas and syngas roads","title-short":"Biowaste-to-Biomethane","volume":"87","author":[{"family":"Ardolino","given":"Filomena"},{"family":"Arena","given":"Umberto"}],"issued":{"date-parts":[["2019",3,15]]}}}],"schema":"https://github.com/citation-style-language/schema/raw/master/csl-citation.json"} </w:instrText>
      </w:r>
      <w:r w:rsidRPr="003F5DA8">
        <w:fldChar w:fldCharType="separate"/>
      </w:r>
      <w:r w:rsidR="00991F7C" w:rsidRPr="00991F7C">
        <w:rPr>
          <w:rFonts w:ascii="Calibri" w:hAnsi="Calibri" w:cs="Calibri"/>
          <w:szCs w:val="24"/>
          <w:vertAlign w:val="superscript"/>
        </w:rPr>
        <w:t>339</w:t>
      </w:r>
      <w:r w:rsidRPr="003F5DA8">
        <w:fldChar w:fldCharType="end"/>
      </w:r>
      <w:r w:rsidRPr="003F5DA8">
        <w:t xml:space="preserve">) as usually required for fluidized bed reactors. Grinding generates losses (dust) which were assumed recovered </w:t>
      </w:r>
      <w:r w:rsidRPr="003F5DA8">
        <w:rPr>
          <w:i/>
          <w:iCs/>
        </w:rPr>
        <w:t>in-situ</w:t>
      </w:r>
      <w:r w:rsidRPr="003F5DA8">
        <w:t xml:space="preserve"> in an industrial furnace (</w:t>
      </w:r>
      <w:r>
        <w:t>as Heat_ind</w:t>
      </w:r>
      <w:r w:rsidR="00583C1F">
        <w:t xml:space="preserve"> pathway in </w:t>
      </w:r>
      <w:r w:rsidR="002D3BB7">
        <w:t xml:space="preserve">Javourez </w:t>
      </w:r>
      <w:r w:rsidR="002D3BB7" w:rsidRPr="000C6C37">
        <w:t>et al., 202</w:t>
      </w:r>
      <w:r w:rsidR="000C6C37" w:rsidRPr="000C6C37">
        <w:t>4</w:t>
      </w:r>
      <w:r w:rsidR="002D3BB7" w:rsidRPr="000C6C37">
        <w:fldChar w:fldCharType="begin"/>
      </w:r>
      <w:r w:rsidR="00827449">
        <w:instrText xml:space="preserve"> ADDIN ZOTERO_ITEM CSL_CITATION {"citationID":"uRvYlA5r","properties":{"formattedCitation":"\\super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2D3BB7" w:rsidRPr="000C6C37">
        <w:fldChar w:fldCharType="separate"/>
      </w:r>
      <w:r w:rsidR="008C451C" w:rsidRPr="000C6C37">
        <w:rPr>
          <w:rFonts w:ascii="Calibri" w:hAnsi="Calibri" w:cs="Calibri"/>
          <w:szCs w:val="24"/>
          <w:vertAlign w:val="superscript"/>
        </w:rPr>
        <w:t>1</w:t>
      </w:r>
      <w:r w:rsidR="002D3BB7" w:rsidRPr="000C6C37">
        <w:fldChar w:fldCharType="end"/>
      </w:r>
      <w:r w:rsidRPr="000C6C37">
        <w:t>).</w:t>
      </w:r>
      <w:r w:rsidRPr="003F5DA8">
        <w:t xml:space="preserve"> Moisture standardization was developed through a large rotary dryer</w:t>
      </w:r>
      <w:r w:rsidRPr="003F5DA8">
        <w:fldChar w:fldCharType="begin"/>
      </w:r>
      <w:r w:rsidR="00991F7C">
        <w:instrText xml:space="preserve"> ADDIN ZOTERO_ITEM CSL_CITATION {"citationID":"qXwGj5W5","properties":{"formattedCitation":"\\super 340\\nosupersub{}","plainCitation":"340","noteIndex":0},"citationItems":[{"id":12932,"uris":["http://zotero.org/users/6423791/items/TP9L2Y5K"],"itemData":{"id":12932,"type":"article-journal","abstract":"Municipal solid waste (MSW) pyrolysis and gasification are in development, stimulated by a more sustainable waste-to-energy (WtE) option. Since comprehensive comparisons of the existing WtE technologies are fairly rare, this study aims to conduct a life cycle assessment (LCA) using two sets of data: theoretical analysis, and case studies of large-scale commercial plants. Seven systems involving thermal conversion (pyrolysis, gasification, incineration) and energy utilization (steam cycle, gas turbine/combined cycle, internal combustion engine) are modelled. Theoretical analysis results show that pyrolysis and gasification, in particular coupled with a gas turbine/combined cycle, have the potential to lessen environmental loadings. The benefits derive from an improved energy efficiency leading to less fossil-based energy consumption, and reduced process emissions by syngas combustion. Comparison among the four operating plants (incineration, pyrolysis, gasification, gasification-melting) confirms a preferable performance of the gasification plant attributed to syngas cleaning. The modern incineration is superior over pyrolysis and gasification-melting at present, due to the effectiveness of modern flue gas cleaning, use of combined heat and power (CHP) cycle, and ash recycling. Sensitivity analysis highlights a crucial role of the plant efficiency and pyrolysis char land utilization. The study indicates that the heterogeneity of MSW and syngas purification technologies are the most relevant impediments for the current pyrolysis/gasification-based WtE. Potential development should incorporate into all process aspects to boost the energy efficiency, improve incoming waste quality, and achieve efficient residues management.","container-title":"Science of The Total Environment","DOI":"10.1016/j.scitotenv.2018.01.151","ISSN":"00489697","journalAbbreviation":"Science of The Total Environment","language":"en","page":"744-753","source":"DOI.org (Crossref)","title":"Life cycle assessment of pyrolysis, gasification and incineration waste-to-energy technologies: Theoretical analysis and case study of commercial plants","title-short":"Life cycle assessment of pyrolysis, gasification and incineration waste-to-energy technologies","volume":"626","author":[{"family":"Dong","given":"Jun"},{"family":"Tang","given":"Yuanjun"},{"family":"Nzihou","given":"Ange"},{"family":"Chi","given":"Yong"},{"family":"Weiss-Hortala","given":"Elsa"},{"family":"Ni","given":"Mingjiang"}],"issued":{"date-parts":[["2018",6]]}}}],"schema":"https://github.com/citation-style-language/schema/raw/master/csl-citation.json"} </w:instrText>
      </w:r>
      <w:r w:rsidRPr="003F5DA8">
        <w:fldChar w:fldCharType="separate"/>
      </w:r>
      <w:r w:rsidR="00991F7C" w:rsidRPr="00991F7C">
        <w:rPr>
          <w:rFonts w:ascii="Calibri" w:hAnsi="Calibri" w:cs="Calibri"/>
          <w:szCs w:val="24"/>
          <w:vertAlign w:val="superscript"/>
        </w:rPr>
        <w:t>340</w:t>
      </w:r>
      <w:r w:rsidRPr="003F5DA8">
        <w:fldChar w:fldCharType="end"/>
      </w:r>
      <w:r w:rsidRPr="003F5DA8">
        <w:t>, the feedstock was further fed to gasification’s lock hopper system. Parameters used are displayed in</w:t>
      </w:r>
      <w:r w:rsidR="00583C1F">
        <w:t xml:space="preserve"> </w:t>
      </w:r>
      <w:r w:rsidR="00583C1F" w:rsidRPr="00583C1F">
        <w:rPr>
          <w:b/>
        </w:rPr>
        <w:fldChar w:fldCharType="begin"/>
      </w:r>
      <w:r w:rsidR="00583C1F" w:rsidRPr="00583C1F">
        <w:rPr>
          <w:b/>
        </w:rPr>
        <w:instrText xml:space="preserve"> REF _Ref144912710 \h </w:instrText>
      </w:r>
      <w:r w:rsidR="00583C1F">
        <w:rPr>
          <w:b/>
        </w:rPr>
        <w:instrText xml:space="preserve"> \* MERGEFORMAT </w:instrText>
      </w:r>
      <w:r w:rsidR="00583C1F" w:rsidRPr="00583C1F">
        <w:rPr>
          <w:b/>
        </w:rPr>
      </w:r>
      <w:r w:rsidR="00583C1F" w:rsidRPr="00583C1F">
        <w:rPr>
          <w:b/>
        </w:rPr>
        <w:fldChar w:fldCharType="separate"/>
      </w:r>
      <w:r w:rsidR="00F25F8C" w:rsidRPr="00F25F8C">
        <w:rPr>
          <w:b/>
        </w:rPr>
        <w:t xml:space="preserve">Table SI. </w:t>
      </w:r>
      <w:r w:rsidR="00F25F8C" w:rsidRPr="00F25F8C">
        <w:rPr>
          <w:b/>
          <w:noProof/>
        </w:rPr>
        <w:t>96</w:t>
      </w:r>
      <w:r w:rsidR="00583C1F" w:rsidRPr="00583C1F">
        <w:rPr>
          <w:b/>
        </w:rPr>
        <w:fldChar w:fldCharType="end"/>
      </w:r>
      <w:r w:rsidRPr="003F5DA8">
        <w:t>.</w:t>
      </w:r>
    </w:p>
    <w:p w14:paraId="497C4397" w14:textId="34B91740" w:rsidR="00F669A1" w:rsidRPr="00CF16A7" w:rsidRDefault="00874128" w:rsidP="00942782">
      <w:pPr>
        <w:pStyle w:val="Lgende"/>
        <w:jc w:val="left"/>
        <w:rPr>
          <w:b w:val="0"/>
          <w:i/>
        </w:rPr>
      </w:pPr>
      <w:bookmarkStart w:id="413" w:name="_Ref144912710"/>
      <w:bookmarkStart w:id="414" w:name="_Toc134537613"/>
      <w:bookmarkStart w:id="415" w:name="_Toc151967980"/>
      <w:r>
        <w:t>Table SI.</w:t>
      </w:r>
      <w:r w:rsidR="00F669A1">
        <w:t xml:space="preserve"> </w:t>
      </w:r>
      <w:r>
        <w:fldChar w:fldCharType="begin"/>
      </w:r>
      <w:r>
        <w:instrText xml:space="preserve"> SEQ Table_SI. \* ARABIC </w:instrText>
      </w:r>
      <w:r>
        <w:fldChar w:fldCharType="separate"/>
      </w:r>
      <w:r w:rsidR="00F25F8C">
        <w:rPr>
          <w:noProof/>
        </w:rPr>
        <w:t>96</w:t>
      </w:r>
      <w:r>
        <w:fldChar w:fldCharType="end"/>
      </w:r>
      <w:bookmarkEnd w:id="413"/>
      <w:r w:rsidR="00F669A1">
        <w:t xml:space="preserve"> </w:t>
      </w:r>
      <w:r w:rsidR="00F669A1" w:rsidRPr="002D5B5C">
        <w:t>– GA standardization modeling</w:t>
      </w:r>
      <w:bookmarkEnd w:id="414"/>
      <w:bookmarkEnd w:id="415"/>
    </w:p>
    <w:tbl>
      <w:tblPr>
        <w:tblStyle w:val="Tableausimple2"/>
        <w:tblW w:w="0" w:type="auto"/>
        <w:tblLook w:val="04A0" w:firstRow="1" w:lastRow="0" w:firstColumn="1" w:lastColumn="0" w:noHBand="0" w:noVBand="1"/>
      </w:tblPr>
      <w:tblGrid>
        <w:gridCol w:w="2112"/>
        <w:gridCol w:w="1134"/>
        <w:gridCol w:w="708"/>
        <w:gridCol w:w="4237"/>
      </w:tblGrid>
      <w:tr w:rsidR="00F669A1" w:rsidRPr="008C451C" w14:paraId="29E232B8" w14:textId="77777777" w:rsidTr="009427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3F39C5DB" w14:textId="77777777" w:rsidR="00F669A1" w:rsidRPr="008C451C" w:rsidRDefault="00F669A1" w:rsidP="000C3E59">
            <w:pPr>
              <w:jc w:val="right"/>
              <w:rPr>
                <w:sz w:val="18"/>
              </w:rPr>
            </w:pPr>
            <w:r w:rsidRPr="008C451C">
              <w:rPr>
                <w:sz w:val="18"/>
              </w:rPr>
              <w:t>Parameter</w:t>
            </w:r>
          </w:p>
        </w:tc>
        <w:tc>
          <w:tcPr>
            <w:tcW w:w="1134" w:type="dxa"/>
          </w:tcPr>
          <w:p w14:paraId="26683FC5"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rPr>
            </w:pPr>
            <w:r w:rsidRPr="008C451C">
              <w:rPr>
                <w:sz w:val="18"/>
              </w:rPr>
              <w:t>Unit</w:t>
            </w:r>
          </w:p>
        </w:tc>
        <w:tc>
          <w:tcPr>
            <w:tcW w:w="708" w:type="dxa"/>
          </w:tcPr>
          <w:p w14:paraId="086340E9"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rPr>
            </w:pPr>
            <w:r w:rsidRPr="008C451C">
              <w:rPr>
                <w:sz w:val="18"/>
              </w:rPr>
              <w:t>Value</w:t>
            </w:r>
          </w:p>
        </w:tc>
        <w:tc>
          <w:tcPr>
            <w:tcW w:w="4237" w:type="dxa"/>
          </w:tcPr>
          <w:p w14:paraId="62BDE40A" w14:textId="77777777" w:rsidR="00F669A1" w:rsidRPr="008C451C" w:rsidRDefault="00F669A1" w:rsidP="00583C1F">
            <w:pPr>
              <w:cnfStyle w:val="100000000000" w:firstRow="1" w:lastRow="0" w:firstColumn="0" w:lastColumn="0" w:oddVBand="0" w:evenVBand="0" w:oddHBand="0" w:evenHBand="0" w:firstRowFirstColumn="0" w:firstRowLastColumn="0" w:lastRowFirstColumn="0" w:lastRowLastColumn="0"/>
              <w:rPr>
                <w:sz w:val="18"/>
              </w:rPr>
            </w:pPr>
            <w:r w:rsidRPr="008C451C">
              <w:rPr>
                <w:sz w:val="18"/>
              </w:rPr>
              <w:t>Comment</w:t>
            </w:r>
          </w:p>
        </w:tc>
      </w:tr>
      <w:tr w:rsidR="00F669A1" w:rsidRPr="008C451C" w14:paraId="2A59357A"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65C08393" w14:textId="77777777" w:rsidR="00F669A1" w:rsidRPr="008C451C" w:rsidRDefault="00F669A1" w:rsidP="000C3E59">
            <w:pPr>
              <w:jc w:val="right"/>
              <w:rPr>
                <w:b w:val="0"/>
                <w:sz w:val="18"/>
              </w:rPr>
            </w:pPr>
            <w:r w:rsidRPr="008C451C">
              <w:rPr>
                <w:b w:val="0"/>
                <w:sz w:val="18"/>
              </w:rPr>
              <w:t>Grinding losses</w:t>
            </w:r>
          </w:p>
        </w:tc>
        <w:tc>
          <w:tcPr>
            <w:tcW w:w="1134" w:type="dxa"/>
          </w:tcPr>
          <w:p w14:paraId="25848A3A"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rPr>
            </w:pPr>
            <w:r w:rsidRPr="008C451C">
              <w:rPr>
                <w:sz w:val="18"/>
              </w:rPr>
              <w:t>%</w:t>
            </w:r>
            <w:r w:rsidRPr="008C451C">
              <w:rPr>
                <w:sz w:val="18"/>
                <w:vertAlign w:val="subscript"/>
              </w:rPr>
              <w:t>ww</w:t>
            </w:r>
          </w:p>
        </w:tc>
        <w:tc>
          <w:tcPr>
            <w:tcW w:w="708" w:type="dxa"/>
          </w:tcPr>
          <w:p w14:paraId="68B79528"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rPr>
            </w:pPr>
            <w:r w:rsidRPr="008C451C">
              <w:rPr>
                <w:sz w:val="18"/>
              </w:rPr>
              <w:t>1%</w:t>
            </w:r>
          </w:p>
        </w:tc>
        <w:tc>
          <w:tcPr>
            <w:tcW w:w="4237" w:type="dxa"/>
          </w:tcPr>
          <w:p w14:paraId="65E20150" w14:textId="1881F300" w:rsidR="00F669A1" w:rsidRPr="008C451C" w:rsidRDefault="00F669A1" w:rsidP="00583C1F">
            <w:pPr>
              <w:cnfStyle w:val="000000100000" w:firstRow="0" w:lastRow="0" w:firstColumn="0" w:lastColumn="0" w:oddVBand="0" w:evenVBand="0" w:oddHBand="1" w:evenHBand="0" w:firstRowFirstColumn="0" w:firstRowLastColumn="0" w:lastRowFirstColumn="0" w:lastRowLastColumn="0"/>
              <w:rPr>
                <w:i/>
                <w:sz w:val="18"/>
              </w:rPr>
            </w:pPr>
            <w:r w:rsidRPr="008C451C">
              <w:rPr>
                <w:i/>
                <w:sz w:val="18"/>
              </w:rPr>
              <w:t>Assumed as proxy of dust generation</w:t>
            </w:r>
            <w:r w:rsidRPr="008C451C">
              <w:rPr>
                <w:i/>
                <w:sz w:val="18"/>
              </w:rPr>
              <w:fldChar w:fldCharType="begin"/>
            </w:r>
            <w:r w:rsidR="005413B4">
              <w:rPr>
                <w:i/>
                <w:sz w:val="18"/>
              </w:rPr>
              <w:instrText xml:space="preserve"> ADDIN ZOTERO_ITEM CSL_CITATION {"citationID":"Ca0XEYgP","properties":{"formattedCitation":"\\super 167\\nosupersub{}","plainCitation":"167","noteIndex":0},"citationItems":[{"id":2754,"uris":["http://zotero.org/users/6423791/items/4VJD5FYF"],"itemData":{"id":2754,"type":"article-journal","abstract":"In an endeavor towards GHG neutrality, alternatives to fossil carbon resources are explored, such as the use of biomass carbon. Pyrolysis, a thermochemical process that can convert residual biomasses into liquid (bio-oil), solid (biochar) and gaseous (non-condensable gases) products is gaining increased attention, as it both supplies alternatives to fossil carbon while potentially inducing so-called negative emissions through the biochar. Yet, the pyrolysis technical and environmental performance is heavily dependent upon process operational parameters and biomass types. In the perspective of national strategic bioeconomy planning, this study presents an easily replicable consequential life cycle assessment (LCA) framework to quantify the environmental performance of a pyrolysis biorefinery where process conditions are documented, and boundaries expanded to consider the current use of the residual biomass. Results obtained from this method are intended to provide insights for evidence-based decision making towards investments in the low fossil carbon future. The proposed LCA framework was applied to a national case study for the use of primary forestry residues (PFR). Results showed that as compared to the reference scenario in which PFR are left on soil to decay, pyrolysing PFR to biocrude oil, wood vinegar, biochar and gas presents trade-offs in six out of the 16 impact categories studied. These results highlighted that the biomass feedstock supply, the pyrolysis technology, the co-products yields, properties and uses, as well as the choice of marginal technologies have an influence on the environmental performance of pyrolysis biorefineries.","container-title":"Renewable and Sustainable Energy Reviews","DOI":"10.1016/j.rser.2020.110549","ISSN":"1364-0321","journalAbbreviation":"Renewable and Sustainable Energy Reviews","language":"en","page":"110549","source":"ScienceDirect","title":"Framework for consequential life cycle assessment of pyrolysis biorefineries: A case study for the conversion of primary forestry residues","title-short":"Framework for consequential life cycle assessment of pyrolysis biorefineries","author":[{"family":"Brassard","given":"P."},{"family":"Godbout","given":"S."},{"family":"Hamelin","given":"L."}],"issued":{"date-parts":[["2020",11,9]]}}}],"schema":"https://github.com/citation-style-language/schema/raw/master/csl-citation.json"} </w:instrText>
            </w:r>
            <w:r w:rsidRPr="008C451C">
              <w:rPr>
                <w:i/>
                <w:sz w:val="18"/>
              </w:rPr>
              <w:fldChar w:fldCharType="separate"/>
            </w:r>
            <w:r w:rsidR="005413B4" w:rsidRPr="005413B4">
              <w:rPr>
                <w:rFonts w:ascii="Calibri" w:hAnsi="Calibri" w:cs="Calibri"/>
                <w:sz w:val="18"/>
                <w:szCs w:val="24"/>
                <w:vertAlign w:val="superscript"/>
              </w:rPr>
              <w:t>167</w:t>
            </w:r>
            <w:r w:rsidRPr="008C451C">
              <w:rPr>
                <w:i/>
                <w:sz w:val="18"/>
              </w:rPr>
              <w:fldChar w:fldCharType="end"/>
            </w:r>
          </w:p>
        </w:tc>
      </w:tr>
      <w:tr w:rsidR="00F669A1" w:rsidRPr="008C451C" w14:paraId="727422E5" w14:textId="77777777" w:rsidTr="00942782">
        <w:tc>
          <w:tcPr>
            <w:cnfStyle w:val="001000000000" w:firstRow="0" w:lastRow="0" w:firstColumn="1" w:lastColumn="0" w:oddVBand="0" w:evenVBand="0" w:oddHBand="0" w:evenHBand="0" w:firstRowFirstColumn="0" w:firstRowLastColumn="0" w:lastRowFirstColumn="0" w:lastRowLastColumn="0"/>
            <w:tcW w:w="2112" w:type="dxa"/>
          </w:tcPr>
          <w:p w14:paraId="3B6553E0" w14:textId="77777777" w:rsidR="00F669A1" w:rsidRPr="008C451C" w:rsidRDefault="00F669A1" w:rsidP="000C3E59">
            <w:pPr>
              <w:jc w:val="right"/>
              <w:rPr>
                <w:b w:val="0"/>
                <w:sz w:val="18"/>
              </w:rPr>
            </w:pPr>
            <w:r w:rsidRPr="008C451C">
              <w:rPr>
                <w:b w:val="0"/>
                <w:sz w:val="18"/>
              </w:rPr>
              <w:t>Target moisture</w:t>
            </w:r>
          </w:p>
        </w:tc>
        <w:tc>
          <w:tcPr>
            <w:tcW w:w="1134" w:type="dxa"/>
          </w:tcPr>
          <w:p w14:paraId="394F87F3"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rPr>
            </w:pPr>
            <w:r w:rsidRPr="008C451C">
              <w:rPr>
                <w:sz w:val="18"/>
              </w:rPr>
              <w:t>%</w:t>
            </w:r>
            <w:r w:rsidRPr="008C451C">
              <w:rPr>
                <w:sz w:val="18"/>
                <w:vertAlign w:val="subscript"/>
              </w:rPr>
              <w:t>ww</w:t>
            </w:r>
          </w:p>
        </w:tc>
        <w:tc>
          <w:tcPr>
            <w:tcW w:w="708" w:type="dxa"/>
          </w:tcPr>
          <w:p w14:paraId="3B1F4B5F"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rPr>
            </w:pPr>
            <w:r w:rsidRPr="008C451C">
              <w:rPr>
                <w:sz w:val="18"/>
              </w:rPr>
              <w:t>10%</w:t>
            </w:r>
          </w:p>
        </w:tc>
        <w:tc>
          <w:tcPr>
            <w:tcW w:w="4237" w:type="dxa"/>
          </w:tcPr>
          <w:p w14:paraId="3A9B4A0A" w14:textId="77777777" w:rsidR="00F669A1" w:rsidRPr="008C451C" w:rsidRDefault="00F669A1" w:rsidP="00583C1F">
            <w:pPr>
              <w:cnfStyle w:val="000000000000" w:firstRow="0" w:lastRow="0" w:firstColumn="0" w:lastColumn="0" w:oddVBand="0" w:evenVBand="0" w:oddHBand="0" w:evenHBand="0" w:firstRowFirstColumn="0" w:firstRowLastColumn="0" w:lastRowFirstColumn="0" w:lastRowLastColumn="0"/>
              <w:rPr>
                <w:i/>
                <w:sz w:val="18"/>
              </w:rPr>
            </w:pPr>
            <w:r w:rsidRPr="008C451C">
              <w:rPr>
                <w:i/>
                <w:sz w:val="18"/>
              </w:rPr>
              <w:t>To calculate amount of water to remove</w:t>
            </w:r>
          </w:p>
        </w:tc>
      </w:tr>
      <w:tr w:rsidR="00F669A1" w:rsidRPr="008C451C" w14:paraId="05BE10E2"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6C6B8D0C" w14:textId="77777777" w:rsidR="00F669A1" w:rsidRPr="008C451C" w:rsidRDefault="00F669A1" w:rsidP="000C3E59">
            <w:pPr>
              <w:jc w:val="right"/>
              <w:rPr>
                <w:b w:val="0"/>
                <w:sz w:val="18"/>
              </w:rPr>
            </w:pPr>
            <w:r w:rsidRPr="008C451C">
              <w:rPr>
                <w:b w:val="0"/>
                <w:sz w:val="18"/>
              </w:rPr>
              <w:t>Rotary dryer electricity</w:t>
            </w:r>
          </w:p>
        </w:tc>
        <w:tc>
          <w:tcPr>
            <w:tcW w:w="1134" w:type="dxa"/>
          </w:tcPr>
          <w:p w14:paraId="750EE7E3"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rPr>
            </w:pPr>
            <w:r w:rsidRPr="008C451C">
              <w:rPr>
                <w:sz w:val="18"/>
              </w:rPr>
              <w:t>kWh.t</w:t>
            </w:r>
            <w:r w:rsidRPr="008C451C">
              <w:rPr>
                <w:sz w:val="18"/>
                <w:vertAlign w:val="subscript"/>
              </w:rPr>
              <w:t>DM</w:t>
            </w:r>
            <w:r w:rsidRPr="008C451C">
              <w:rPr>
                <w:sz w:val="18"/>
                <w:vertAlign w:val="superscript"/>
              </w:rPr>
              <w:t>-1</w:t>
            </w:r>
          </w:p>
        </w:tc>
        <w:tc>
          <w:tcPr>
            <w:tcW w:w="708" w:type="dxa"/>
          </w:tcPr>
          <w:p w14:paraId="57E2EA45"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rPr>
            </w:pPr>
            <w:r w:rsidRPr="008C451C">
              <w:rPr>
                <w:sz w:val="18"/>
              </w:rPr>
              <w:t>50</w:t>
            </w:r>
          </w:p>
        </w:tc>
        <w:tc>
          <w:tcPr>
            <w:tcW w:w="4237" w:type="dxa"/>
            <w:vMerge w:val="restart"/>
          </w:tcPr>
          <w:p w14:paraId="37424E2E" w14:textId="76610191" w:rsidR="00F669A1" w:rsidRPr="008C451C" w:rsidRDefault="00F669A1" w:rsidP="00583C1F">
            <w:pPr>
              <w:cnfStyle w:val="000000100000" w:firstRow="0" w:lastRow="0" w:firstColumn="0" w:lastColumn="0" w:oddVBand="0" w:evenVBand="0" w:oddHBand="1" w:evenHBand="0" w:firstRowFirstColumn="0" w:firstRowLastColumn="0" w:lastRowFirstColumn="0" w:lastRowLastColumn="0"/>
              <w:rPr>
                <w:i/>
                <w:sz w:val="18"/>
              </w:rPr>
            </w:pPr>
            <w:r w:rsidRPr="008C451C">
              <w:rPr>
                <w:i/>
                <w:sz w:val="18"/>
              </w:rPr>
              <w:t>Calculated considering 105°C target</w:t>
            </w:r>
            <w:r w:rsidRPr="008C451C">
              <w:rPr>
                <w:i/>
                <w:sz w:val="18"/>
              </w:rPr>
              <w:fldChar w:fldCharType="begin"/>
            </w:r>
            <w:r w:rsidR="00991F7C">
              <w:rPr>
                <w:i/>
                <w:sz w:val="18"/>
              </w:rPr>
              <w:instrText xml:space="preserve"> ADDIN ZOTERO_ITEM CSL_CITATION {"citationID":"ukJHnlxK","properties":{"formattedCitation":"\\super 340\\nosupersub{}","plainCitation":"340","noteIndex":0},"citationItems":[{"id":12932,"uris":["http://zotero.org/users/6423791/items/TP9L2Y5K"],"itemData":{"id":12932,"type":"article-journal","abstract":"Municipal solid waste (MSW) pyrolysis and gasification are in development, stimulated by a more sustainable waste-to-energy (WtE) option. Since comprehensive comparisons of the existing WtE technologies are fairly rare, this study aims to conduct a life cycle assessment (LCA) using two sets of data: theoretical analysis, and case studies of large-scale commercial plants. Seven systems involving thermal conversion (pyrolysis, gasification, incineration) and energy utilization (steam cycle, gas turbine/combined cycle, internal combustion engine) are modelled. Theoretical analysis results show that pyrolysis and gasification, in particular coupled with a gas turbine/combined cycle, have the potential to lessen environmental loadings. The benefits derive from an improved energy efficiency leading to less fossil-based energy consumption, and reduced process emissions by syngas combustion. Comparison among the four operating plants (incineration, pyrolysis, gasification, gasification-melting) confirms a preferable performance of the gasification plant attributed to syngas cleaning. The modern incineration is superior over pyrolysis and gasification-melting at present, due to the effectiveness of modern flue gas cleaning, use of combined heat and power (CHP) cycle, and ash recycling. Sensitivity analysis highlights a crucial role of the plant efficiency and pyrolysis char land utilization. The study indicates that the heterogeneity of MSW and syngas purification technologies are the most relevant impediments for the current pyrolysis/gasification-based WtE. Potential development should incorporate into all process aspects to boost the energy efficiency, improve incoming waste quality, and achieve efficient residues management.","container-title":"Science of The Total Environment","DOI":"10.1016/j.scitotenv.2018.01.151","ISSN":"00489697","journalAbbreviation":"Science of The Total Environment","language":"en","page":"744-753","source":"DOI.org (Crossref)","title":"Life cycle assessment of pyrolysis, gasification and incineration waste-to-energy technologies: Theoretical analysis and case study of commercial plants","title-short":"Life cycle assessment of pyrolysis, gasification and incineration waste-to-energy technologies","volume":"626","author":[{"family":"Dong","given":"Jun"},{"family":"Tang","given":"Yuanjun"},{"family":"Nzihou","given":"Ange"},{"family":"Chi","given":"Yong"},{"family":"Weiss-Hortala","given":"Elsa"},{"family":"Ni","given":"Mingjiang"}],"issued":{"date-parts":[["2018",6]]}}}],"schema":"https://github.com/citation-style-language/schema/raw/master/csl-citation.json"} </w:instrText>
            </w:r>
            <w:r w:rsidRPr="008C451C">
              <w:rPr>
                <w:i/>
                <w:sz w:val="18"/>
              </w:rPr>
              <w:fldChar w:fldCharType="separate"/>
            </w:r>
            <w:r w:rsidR="00991F7C" w:rsidRPr="00991F7C">
              <w:rPr>
                <w:rFonts w:ascii="Calibri" w:hAnsi="Calibri" w:cs="Calibri"/>
                <w:sz w:val="18"/>
                <w:szCs w:val="24"/>
                <w:vertAlign w:val="superscript"/>
              </w:rPr>
              <w:t>340</w:t>
            </w:r>
            <w:r w:rsidRPr="008C451C">
              <w:rPr>
                <w:i/>
                <w:sz w:val="18"/>
              </w:rPr>
              <w:fldChar w:fldCharType="end"/>
            </w:r>
          </w:p>
        </w:tc>
      </w:tr>
      <w:tr w:rsidR="00F669A1" w:rsidRPr="008C451C" w14:paraId="2EAFB920" w14:textId="77777777" w:rsidTr="00942782">
        <w:tc>
          <w:tcPr>
            <w:cnfStyle w:val="001000000000" w:firstRow="0" w:lastRow="0" w:firstColumn="1" w:lastColumn="0" w:oddVBand="0" w:evenVBand="0" w:oddHBand="0" w:evenHBand="0" w:firstRowFirstColumn="0" w:firstRowLastColumn="0" w:lastRowFirstColumn="0" w:lastRowLastColumn="0"/>
            <w:tcW w:w="2112" w:type="dxa"/>
          </w:tcPr>
          <w:p w14:paraId="679A5D3B" w14:textId="77777777" w:rsidR="00F669A1" w:rsidRPr="008C451C" w:rsidRDefault="00F669A1" w:rsidP="000C3E59">
            <w:pPr>
              <w:jc w:val="right"/>
              <w:rPr>
                <w:b w:val="0"/>
                <w:sz w:val="18"/>
              </w:rPr>
            </w:pPr>
            <w:r w:rsidRPr="008C451C">
              <w:rPr>
                <w:b w:val="0"/>
                <w:sz w:val="18"/>
              </w:rPr>
              <w:t>Rotary dryer heat</w:t>
            </w:r>
          </w:p>
        </w:tc>
        <w:tc>
          <w:tcPr>
            <w:tcW w:w="1134" w:type="dxa"/>
          </w:tcPr>
          <w:p w14:paraId="27F783F1"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rPr>
            </w:pPr>
            <w:proofErr w:type="gramStart"/>
            <w:r w:rsidRPr="008C451C">
              <w:rPr>
                <w:sz w:val="18"/>
                <w:szCs w:val="18"/>
              </w:rPr>
              <w:t>MJ.kg</w:t>
            </w:r>
            <w:r w:rsidRPr="008C451C">
              <w:rPr>
                <w:sz w:val="18"/>
                <w:szCs w:val="18"/>
                <w:vertAlign w:val="subscript"/>
              </w:rPr>
              <w:t>water</w:t>
            </w:r>
            <w:proofErr w:type="gramEnd"/>
            <w:r w:rsidRPr="008C451C">
              <w:rPr>
                <w:sz w:val="18"/>
                <w:szCs w:val="18"/>
                <w:vertAlign w:val="superscript"/>
              </w:rPr>
              <w:t>-1</w:t>
            </w:r>
          </w:p>
        </w:tc>
        <w:tc>
          <w:tcPr>
            <w:tcW w:w="708" w:type="dxa"/>
          </w:tcPr>
          <w:p w14:paraId="5D8D706B"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rPr>
            </w:pPr>
            <w:r w:rsidRPr="008C451C">
              <w:rPr>
                <w:sz w:val="18"/>
              </w:rPr>
              <w:t>2.9</w:t>
            </w:r>
          </w:p>
        </w:tc>
        <w:tc>
          <w:tcPr>
            <w:tcW w:w="4237" w:type="dxa"/>
            <w:vMerge/>
          </w:tcPr>
          <w:p w14:paraId="161E97BC" w14:textId="77777777" w:rsidR="00F669A1" w:rsidRPr="008C451C" w:rsidRDefault="00F669A1" w:rsidP="00583C1F">
            <w:pPr>
              <w:cnfStyle w:val="000000000000" w:firstRow="0" w:lastRow="0" w:firstColumn="0" w:lastColumn="0" w:oddVBand="0" w:evenVBand="0" w:oddHBand="0" w:evenHBand="0" w:firstRowFirstColumn="0" w:firstRowLastColumn="0" w:lastRowFirstColumn="0" w:lastRowLastColumn="0"/>
              <w:rPr>
                <w:i/>
                <w:sz w:val="18"/>
              </w:rPr>
            </w:pPr>
          </w:p>
        </w:tc>
      </w:tr>
      <w:tr w:rsidR="00F669A1" w:rsidRPr="008C451C" w14:paraId="23054630"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265DD273" w14:textId="77777777" w:rsidR="00F669A1" w:rsidRPr="008C451C" w:rsidRDefault="00F669A1" w:rsidP="000C3E59">
            <w:pPr>
              <w:jc w:val="right"/>
              <w:rPr>
                <w:b w:val="0"/>
                <w:sz w:val="18"/>
              </w:rPr>
            </w:pPr>
            <w:r w:rsidRPr="008C451C">
              <w:rPr>
                <w:b w:val="0"/>
                <w:sz w:val="18"/>
              </w:rPr>
              <w:t>GA feeding</w:t>
            </w:r>
          </w:p>
        </w:tc>
        <w:tc>
          <w:tcPr>
            <w:tcW w:w="1134" w:type="dxa"/>
          </w:tcPr>
          <w:p w14:paraId="785F46BD"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rPr>
            </w:pPr>
            <w:r w:rsidRPr="008C451C">
              <w:rPr>
                <w:sz w:val="18"/>
              </w:rPr>
              <w:t>kWh.t</w:t>
            </w:r>
            <w:r w:rsidRPr="008C451C">
              <w:rPr>
                <w:sz w:val="18"/>
                <w:vertAlign w:val="subscript"/>
              </w:rPr>
              <w:t>DM</w:t>
            </w:r>
            <w:r w:rsidRPr="008C451C">
              <w:rPr>
                <w:sz w:val="18"/>
                <w:vertAlign w:val="superscript"/>
              </w:rPr>
              <w:t>-1</w:t>
            </w:r>
          </w:p>
        </w:tc>
        <w:tc>
          <w:tcPr>
            <w:tcW w:w="708" w:type="dxa"/>
          </w:tcPr>
          <w:p w14:paraId="7A29AD01"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rPr>
            </w:pPr>
            <w:r w:rsidRPr="008C451C">
              <w:rPr>
                <w:sz w:val="18"/>
              </w:rPr>
              <w:t>5.9</w:t>
            </w:r>
          </w:p>
        </w:tc>
        <w:tc>
          <w:tcPr>
            <w:tcW w:w="4237" w:type="dxa"/>
            <w:vMerge w:val="restart"/>
          </w:tcPr>
          <w:p w14:paraId="2BDEF261" w14:textId="668272FD" w:rsidR="00F669A1" w:rsidRPr="008C451C" w:rsidRDefault="00F669A1" w:rsidP="00583C1F">
            <w:pPr>
              <w:cnfStyle w:val="000000100000" w:firstRow="0" w:lastRow="0" w:firstColumn="0" w:lastColumn="0" w:oddVBand="0" w:evenVBand="0" w:oddHBand="1" w:evenHBand="0" w:firstRowFirstColumn="0" w:firstRowLastColumn="0" w:lastRowFirstColumn="0" w:lastRowLastColumn="0"/>
              <w:rPr>
                <w:i/>
                <w:sz w:val="18"/>
              </w:rPr>
            </w:pPr>
            <w:r w:rsidRPr="008C451C">
              <w:rPr>
                <w:i/>
                <w:sz w:val="18"/>
              </w:rPr>
              <w:t>Review of lock hopper systems</w:t>
            </w:r>
            <w:r w:rsidRPr="008C451C">
              <w:rPr>
                <w:i/>
                <w:sz w:val="18"/>
              </w:rPr>
              <w:fldChar w:fldCharType="begin"/>
            </w:r>
            <w:r w:rsidR="005413B4">
              <w:rPr>
                <w:i/>
                <w:sz w:val="18"/>
              </w:rPr>
              <w:instrText xml:space="preserve"> ADDIN ZOTERO_ITEM CSL_CITATION {"citationID":"UvxQ4zrq","properties":{"formattedCitation":"\\super 160\\nosupersub{}","plainCitation":"160","noteIndex":0},"citationItems":[{"id":14068,"uris":["http://zotero.org/users/6423791/items/TS3JFBRR"],"itemData":{"id":14068,"type":"article-journal","abstract":"Climate neutrality is becoming a core long-term competitiveness asset within the aviation industry, as demonstrated by the several innovations and targets set within that sector, prior to and especially after the COVID-19 crisis. Ambitious timelines are set, involving important investment decisions to be taken in a 5-years horizon time. Here, we provide an in-depth review of alternative technologies for sustainable aviation revealed to date, which we classified into four main categories, namely i) biofuels, ii) electrofuels, iii) electric (battery-based), and iv) hydrogen aviation. Nine biofuel and nine electrofuel pathways were reviewed, for which we supply the detailed process flow picturing all input, output, and co-products generated. The market uptake and use of these co-products was also investigated, along with the overall international regulations and targets for future aviation. As most of the inventoried pathways require hydrogen, we further reviewed six existing and emerging carbon-free hydrogen production technologies. Our review also details the five key battery technologies available (lithium-ion, advanced lithium-ion, solid-state battery, lithium-sulfur, lithium-air) for aviation. A semi-quantitative ranking covering environmental-, economic-, and technological performance indicators has been established to guide the selection of promising routes. The possible configuration schemes for electric propulsion systems are documented and classified as: i) battery-based, ii) fuel cell-based and iii) turboelectric configurations. Our review studied these four categories of sustainable aviation systems as modular technologies, yet these still have to be used in a hybridized fashion with conventional fossil-based kerosene. This is among others due to an aromatics content below the standardized requirements for biofuels and electrofuels, to a too low energy storage capacity in the case of batteries, or a sub-optimal gas turbine engine in the case of cryogenic hydrogen. Yet, we found that the latter was the only available option, based on the current and emerging technologies reviewed, for long-range aviation completely decoupled of fossil-based hydrocarbon fuels. The various challenges and opportunities associated with all these technologies are summarized in this study.","container-title":"Progress in Energy and Combustion Science","DOI":"10.1016/j.pecs.2023.101073","ISSN":"0360-1285","journalAbbreviation":"Prog. Energy Combust. Sci.","language":"en","page":"101073","source":"ScienceDirect","title":"Biofuels, electrofuels, electric or hydrogen?: A review of current and emerging sustainable aviation systems","title-short":"Biofuels, electrofuels, electric or hydrogen?","volume":"96","author":[{"family":"Su-ungkavatin","given":"Pimchanok"},{"family":"Tiruta-Barna","given":"Ligia"},{"family":"Hamelin","given":"Lorie"}],"issued":{"date-parts":[["2023",5,1]]}}}],"schema":"https://github.com/citation-style-language/schema/raw/master/csl-citation.json"} </w:instrText>
            </w:r>
            <w:r w:rsidRPr="008C451C">
              <w:rPr>
                <w:i/>
                <w:sz w:val="18"/>
              </w:rPr>
              <w:fldChar w:fldCharType="separate"/>
            </w:r>
            <w:r w:rsidR="005413B4" w:rsidRPr="005413B4">
              <w:rPr>
                <w:rFonts w:ascii="Calibri" w:hAnsi="Calibri" w:cs="Calibri"/>
                <w:sz w:val="18"/>
                <w:szCs w:val="24"/>
                <w:vertAlign w:val="superscript"/>
              </w:rPr>
              <w:t>160</w:t>
            </w:r>
            <w:r w:rsidRPr="008C451C">
              <w:rPr>
                <w:i/>
                <w:sz w:val="18"/>
              </w:rPr>
              <w:fldChar w:fldCharType="end"/>
            </w:r>
          </w:p>
        </w:tc>
      </w:tr>
      <w:tr w:rsidR="00F669A1" w:rsidRPr="008C451C" w14:paraId="20B6F534" w14:textId="77777777" w:rsidTr="00942782">
        <w:tc>
          <w:tcPr>
            <w:cnfStyle w:val="001000000000" w:firstRow="0" w:lastRow="0" w:firstColumn="1" w:lastColumn="0" w:oddVBand="0" w:evenVBand="0" w:oddHBand="0" w:evenHBand="0" w:firstRowFirstColumn="0" w:firstRowLastColumn="0" w:lastRowFirstColumn="0" w:lastRowLastColumn="0"/>
            <w:tcW w:w="2112" w:type="dxa"/>
          </w:tcPr>
          <w:p w14:paraId="1C6255D7" w14:textId="77777777" w:rsidR="00F669A1" w:rsidRPr="008C451C" w:rsidRDefault="00F669A1" w:rsidP="000C3E59">
            <w:pPr>
              <w:jc w:val="right"/>
              <w:rPr>
                <w:b w:val="0"/>
                <w:sz w:val="18"/>
              </w:rPr>
            </w:pPr>
            <w:r w:rsidRPr="008C451C">
              <w:rPr>
                <w:b w:val="0"/>
                <w:sz w:val="18"/>
              </w:rPr>
              <w:t>Nitrogen requirements</w:t>
            </w:r>
          </w:p>
        </w:tc>
        <w:tc>
          <w:tcPr>
            <w:tcW w:w="1134" w:type="dxa"/>
          </w:tcPr>
          <w:p w14:paraId="0383C7A4"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rPr>
            </w:pPr>
            <w:r w:rsidRPr="008C451C">
              <w:rPr>
                <w:sz w:val="18"/>
              </w:rPr>
              <w:t>Nm</w:t>
            </w:r>
            <w:r w:rsidRPr="008C451C">
              <w:rPr>
                <w:sz w:val="18"/>
                <w:vertAlign w:val="superscript"/>
              </w:rPr>
              <w:t>3</w:t>
            </w:r>
            <w:r w:rsidRPr="008C451C">
              <w:rPr>
                <w:sz w:val="18"/>
              </w:rPr>
              <w:t>.t</w:t>
            </w:r>
            <w:r w:rsidRPr="008C451C">
              <w:rPr>
                <w:sz w:val="18"/>
                <w:vertAlign w:val="subscript"/>
              </w:rPr>
              <w:t>DM</w:t>
            </w:r>
            <w:r w:rsidRPr="008C451C">
              <w:rPr>
                <w:sz w:val="18"/>
                <w:vertAlign w:val="superscript"/>
              </w:rPr>
              <w:t>-1</w:t>
            </w:r>
          </w:p>
        </w:tc>
        <w:tc>
          <w:tcPr>
            <w:tcW w:w="708" w:type="dxa"/>
          </w:tcPr>
          <w:p w14:paraId="718E8A55"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rPr>
            </w:pPr>
            <w:r w:rsidRPr="008C451C">
              <w:rPr>
                <w:sz w:val="18"/>
              </w:rPr>
              <w:t>76</w:t>
            </w:r>
          </w:p>
        </w:tc>
        <w:tc>
          <w:tcPr>
            <w:tcW w:w="4237" w:type="dxa"/>
            <w:vMerge/>
          </w:tcPr>
          <w:p w14:paraId="045DE215"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i/>
                <w:sz w:val="18"/>
              </w:rPr>
            </w:pPr>
          </w:p>
        </w:tc>
      </w:tr>
    </w:tbl>
    <w:p w14:paraId="25E9A0DC" w14:textId="4EA2FBF5" w:rsidR="008C451C" w:rsidRDefault="00F669A1" w:rsidP="00942782">
      <w:pPr>
        <w:jc w:val="both"/>
        <w:rPr>
          <w:sz w:val="18"/>
        </w:rPr>
      </w:pPr>
      <w:r w:rsidRPr="003F5DA8">
        <w:rPr>
          <w:sz w:val="18"/>
        </w:rPr>
        <w:t>The parameters present in this table were not retained in the sensitivity analysis, these were considered as constants. Drying is only applied in ex-storage feedstock displays a moisture content higher than the target.</w:t>
      </w:r>
    </w:p>
    <w:p w14:paraId="5DA8B547" w14:textId="77777777" w:rsidR="008C451C" w:rsidRDefault="008C451C">
      <w:pPr>
        <w:rPr>
          <w:sz w:val="18"/>
        </w:rPr>
      </w:pPr>
      <w:r>
        <w:rPr>
          <w:sz w:val="18"/>
        </w:rPr>
        <w:br w:type="page"/>
      </w:r>
    </w:p>
    <w:p w14:paraId="6746D8CE" w14:textId="77777777" w:rsidR="00F669A1" w:rsidRPr="00CF16A7" w:rsidRDefault="00F669A1" w:rsidP="00583C1F">
      <w:pPr>
        <w:pStyle w:val="Titre4"/>
      </w:pPr>
      <w:r w:rsidRPr="00CF16A7">
        <w:lastRenderedPageBreak/>
        <w:t>Gasification stage</w:t>
      </w:r>
    </w:p>
    <w:p w14:paraId="23F83313" w14:textId="4B0C6D8A" w:rsidR="00F669A1" w:rsidRPr="003F5DA8" w:rsidRDefault="00F669A1" w:rsidP="00583C1F">
      <w:pPr>
        <w:ind w:firstLine="360"/>
        <w:jc w:val="both"/>
      </w:pPr>
      <w:r w:rsidRPr="003F5DA8">
        <w:t>This study focuses on thermochemical processes targeting electricity and heat energy services as well as hydrogen production for microbial proteins production. Accordingly, the gasification stage was modeled to allow as much hydrogen production as possible, favored with high reactions temperatures (&gt;800°C) and reduced air excess</w:t>
      </w:r>
      <w:r w:rsidRPr="003F5DA8">
        <w:fldChar w:fldCharType="begin"/>
      </w:r>
      <w:r w:rsidR="005413B4">
        <w:instrText xml:space="preserve"> ADDIN ZOTERO_ITEM CSL_CITATION {"citationID":"0l2FEemu","properties":{"formattedCitation":"\\super 223\\nosupersub{}","plainCitation":"223","noteIndex":0},"citationItems":[{"id":12940,"uris":["http://zotero.org/users/6423791/items/KBVGJC6I"],"itemData":{"id":12940,"type":"report","language":"fr","number":"RECORD 13-0239/1A","page":"228","publisher":"Réseau Coopératif de Recherche sur les Déchets et l’Environnement","source":"Zotero","title":"Production d'hydrogène à partir de déchets: Etat de l'art et potentiel d'émergence","URL":"https://hal.archives-ouvertes.fr/hal-01602165","author":[{"family":"Megret","given":"Olivier"},{"family":"Hubert","given":"Loreline"},{"family":"Calbry","given":"M"},{"family":"Trably","given":"Eric"},{"family":"Carrère","given":"Hélène"},{"family":"Garcia-Bernet","given":"Diana"},{"family":"Bernet","given":"Nicolas"}],"issued":{"date-parts":[["2015"]]}}}],"schema":"https://github.com/citation-style-language/schema/raw/master/csl-citation.json"} </w:instrText>
      </w:r>
      <w:r w:rsidRPr="003F5DA8">
        <w:fldChar w:fldCharType="separate"/>
      </w:r>
      <w:r w:rsidR="005413B4" w:rsidRPr="005413B4">
        <w:rPr>
          <w:rFonts w:ascii="Calibri" w:hAnsi="Calibri" w:cs="Calibri"/>
          <w:szCs w:val="24"/>
          <w:vertAlign w:val="superscript"/>
        </w:rPr>
        <w:t>223</w:t>
      </w:r>
      <w:r w:rsidRPr="003F5DA8">
        <w:fldChar w:fldCharType="end"/>
      </w:r>
      <w:r w:rsidRPr="003F5DA8">
        <w:t>.</w:t>
      </w:r>
    </w:p>
    <w:p w14:paraId="03CC2A63" w14:textId="4F24620A" w:rsidR="00F669A1" w:rsidRPr="003F5DA8" w:rsidRDefault="00F669A1" w:rsidP="00F669A1">
      <w:pPr>
        <w:jc w:val="both"/>
      </w:pPr>
      <w:r w:rsidRPr="003F5DA8">
        <w:t>Initiatives involving kinetic and thermochemical modeling to estimate syngas composition from a given input feedstock are available in the literature (e.g. Gagliano et al., 2016</w:t>
      </w:r>
      <w:r w:rsidRPr="003F5DA8">
        <w:fldChar w:fldCharType="begin"/>
      </w:r>
      <w:r w:rsidR="00991F7C">
        <w:instrText xml:space="preserve"> ADDIN ZOTERO_ITEM CSL_CITATION {"citationID":"YCghMyRt","properties":{"formattedCitation":"\\super 341\\nosupersub{}","plainCitation":"341","noteIndex":0},"citationItems":[{"id":12942,"uris":["http://zotero.org/users/6423791/items/MT6I9NCV"],"itemData":{"id":12942,"type":"article-journal","abstract":"This study proposes a numerical model developed to characterize the chemical composition, heating value and temperature of the syngas produced by a downdraft gasiﬁer fueled with residual biomasses. The process of gasiﬁcation is essentially described through a global reaction that includes all the gaseous species and the yields of char and tar.","container-title":"Comptes Rendus Chimie","DOI":"10.1016/j.crci.2015.09.019","ISSN":"16310748","issue":"4","journalAbbreviation":"Comptes Rendus Chimie","language":"en","page":"441-449","source":"DOI.org (Crossref)","title":"A robust numerical model for characterizing the syngas composition in a downdraft gasification process","volume":"19","author":[{"family":"Gagliano","given":"Antonio"},{"family":"Nocera","given":"Francesco"},{"family":"Patania","given":"Francesco"},{"family":"Bruno","given":"Maria"},{"family":"Castaldo","given":"Davide Giovanni"}],"issued":{"date-parts":[["2016",4]]}}}],"schema":"https://github.com/citation-style-language/schema/raw/master/csl-citation.json"} </w:instrText>
      </w:r>
      <w:r w:rsidRPr="003F5DA8">
        <w:fldChar w:fldCharType="separate"/>
      </w:r>
      <w:r w:rsidR="00991F7C" w:rsidRPr="00991F7C">
        <w:rPr>
          <w:rFonts w:ascii="Calibri" w:hAnsi="Calibri" w:cs="Calibri"/>
          <w:szCs w:val="24"/>
          <w:vertAlign w:val="superscript"/>
        </w:rPr>
        <w:t>341</w:t>
      </w:r>
      <w:r w:rsidRPr="003F5DA8">
        <w:fldChar w:fldCharType="end"/>
      </w:r>
      <w:r w:rsidRPr="003F5DA8">
        <w:t>; Lodato et al., 2022</w:t>
      </w:r>
      <w:r w:rsidRPr="003F5DA8">
        <w:fldChar w:fldCharType="begin"/>
      </w:r>
      <w:r w:rsidR="00827449">
        <w:instrText xml:space="preserve"> ADDIN ZOTERO_ITEM CSL_CITATION {"citationID":"HId7FWCJ","properties":{"formattedCitation":"\\super 6\\nosupersub{}","plainCitation":"6","noteIndex":0},"citationItems":[{"id":13623,"uris":["http://zotero.org/users/6423791/items/NEF2RYU2"],"itemData":{"id":13623,"type":"article-journal","abstract":"Methane is a versatile and storable energy carrier, which is likely to play an important role in the European transition towards a low fossil carbon energy sector. We investigate the potentials for meeting regional methane demands through conversion of local residual bioresources for supply of bio-based CH4. We have developed a tiered assessment framework involving i) allocation of residual and constrained bioresources to conversion pathways based on physical and biochemical properties, ii) life cycle assessment (LCA) of technology conversion pathways through process-oriented parameterisation of the LCA model, and iii) LCA modelling of system-level technology implementation scenarios for quantification of regional potentials for bio-based CH4 supply and environmental savings, in view of current uses of the same bioresources. Two main technology conversion pathways are included: gasification and anaerobic digestion, both with hydrogen enhancement. The latter was also considered with water scrubbing upgrading. The framework is implemented for the French region, Occitania, with a residual bioresource potential of 48 TWh·y−1 (distributed on 41 different bioresources), and an annual methane demand of 17.5 TWh·y−1, currently supplied by natural gas. The assessment results clearly demonstrate that utilisation of available residual bioresources has tremendous potential both for covering current gas demands in the region (up to about seven times in some scenarios) but also for a reduction in climate change impacts from the region (up to about 37%).","container-title":"Applied Energy","DOI":"10.1016/j.apenergy.2022.119568","ISSN":"0306-2619","journalAbbreviation":"Appl. Energy","language":"en","page":"119568","source":"ScienceDirect","title":"Towards sustainable methane supply from local bioresources: Anaerobic digestion, gasification, and gas upgrading","title-short":"Towards sustainable methane supply from local bioresources","volume":"323","author":[{"family":"Lodato","given":"Concetta"},{"family":"Hamelin","given":"Lorie"},{"family":"Tonini","given":"Davide"},{"family":"Astrup","given":"Thomas Fruergaard"}],"issued":{"date-parts":[["2022",10,1]]}}}],"schema":"https://github.com/citation-style-language/schema/raw/master/csl-citation.json"} </w:instrText>
      </w:r>
      <w:r w:rsidRPr="003F5DA8">
        <w:fldChar w:fldCharType="separate"/>
      </w:r>
      <w:r w:rsidR="00682E10" w:rsidRPr="00682E10">
        <w:rPr>
          <w:rFonts w:ascii="Calibri" w:hAnsi="Calibri" w:cs="Calibri"/>
          <w:szCs w:val="24"/>
          <w:vertAlign w:val="superscript"/>
        </w:rPr>
        <w:t>6</w:t>
      </w:r>
      <w:r w:rsidRPr="003F5DA8">
        <w:fldChar w:fldCharType="end"/>
      </w:r>
      <w:r w:rsidRPr="003F5DA8">
        <w:t xml:space="preserve">). Yet, forecasted GA performances are reported as highly sensitive to processing parameters (particularly the equivalence ratio; ER) and does not necessarily always fit experimental data. In an endeavor to apply the same modeling granularity to all the models, the GA performance estimation approach developed in this study mimicked the one applied to AD. GA performances were derived by selecting, for each feedstock, an ER enabling to fit mass and energy balances as well as GA performance indicators reported in the </w:t>
      </w:r>
      <w:r w:rsidRPr="00CF16A7">
        <w:t>literature (</w:t>
      </w:r>
      <w:r w:rsidR="00583C1F" w:rsidRPr="00583C1F">
        <w:rPr>
          <w:b/>
        </w:rPr>
        <w:fldChar w:fldCharType="begin"/>
      </w:r>
      <w:r w:rsidR="00583C1F" w:rsidRPr="00583C1F">
        <w:rPr>
          <w:b/>
        </w:rPr>
        <w:instrText xml:space="preserve"> REF _Ref144912806 \h </w:instrText>
      </w:r>
      <w:r w:rsidR="00583C1F">
        <w:rPr>
          <w:b/>
        </w:rPr>
        <w:instrText xml:space="preserve"> \* MERGEFORMAT </w:instrText>
      </w:r>
      <w:r w:rsidR="00583C1F" w:rsidRPr="00583C1F">
        <w:rPr>
          <w:b/>
        </w:rPr>
      </w:r>
      <w:r w:rsidR="00583C1F" w:rsidRPr="00583C1F">
        <w:rPr>
          <w:b/>
        </w:rPr>
        <w:fldChar w:fldCharType="separate"/>
      </w:r>
      <w:r w:rsidR="00F25F8C" w:rsidRPr="00F25F8C">
        <w:rPr>
          <w:b/>
        </w:rPr>
        <w:t xml:space="preserve">Table SI. </w:t>
      </w:r>
      <w:r w:rsidR="00F25F8C" w:rsidRPr="00F25F8C">
        <w:rPr>
          <w:b/>
          <w:noProof/>
        </w:rPr>
        <w:t>98</w:t>
      </w:r>
      <w:r w:rsidR="00583C1F" w:rsidRPr="00583C1F">
        <w:rPr>
          <w:b/>
        </w:rPr>
        <w:fldChar w:fldCharType="end"/>
      </w:r>
      <w:r w:rsidRPr="00CF16A7">
        <w:t>). This was done by fixing the composition of producer gas to the average reviewed value for air-based gasifiers</w:t>
      </w:r>
      <w:r>
        <w:t xml:space="preserve"> (</w:t>
      </w:r>
      <w:r w:rsidR="00583C1F" w:rsidRPr="00583C1F">
        <w:rPr>
          <w:b/>
        </w:rPr>
        <w:fldChar w:fldCharType="begin"/>
      </w:r>
      <w:r w:rsidR="00583C1F" w:rsidRPr="00583C1F">
        <w:rPr>
          <w:b/>
        </w:rPr>
        <w:instrText xml:space="preserve"> REF _Ref144912829 \h </w:instrText>
      </w:r>
      <w:r w:rsidR="00583C1F">
        <w:rPr>
          <w:b/>
        </w:rPr>
        <w:instrText xml:space="preserve"> \* MERGEFORMAT </w:instrText>
      </w:r>
      <w:r w:rsidR="00583C1F" w:rsidRPr="00583C1F">
        <w:rPr>
          <w:b/>
        </w:rPr>
      </w:r>
      <w:r w:rsidR="00583C1F" w:rsidRPr="00583C1F">
        <w:rPr>
          <w:b/>
        </w:rPr>
        <w:fldChar w:fldCharType="separate"/>
      </w:r>
      <w:r w:rsidR="00F25F8C" w:rsidRPr="00F25F8C">
        <w:rPr>
          <w:b/>
        </w:rPr>
        <w:t xml:space="preserve">Table SI. </w:t>
      </w:r>
      <w:r w:rsidR="00F25F8C" w:rsidRPr="00F25F8C">
        <w:rPr>
          <w:b/>
          <w:noProof/>
        </w:rPr>
        <w:t>97</w:t>
      </w:r>
      <w:r w:rsidR="00583C1F" w:rsidRPr="00583C1F">
        <w:rPr>
          <w:b/>
        </w:rPr>
        <w:fldChar w:fldCharType="end"/>
      </w:r>
      <w:r>
        <w:rPr>
          <w:b/>
        </w:rPr>
        <w:t>)</w:t>
      </w:r>
      <w:r w:rsidRPr="00CF16A7">
        <w:t>.</w:t>
      </w:r>
      <w:r w:rsidRPr="003F5DA8">
        <w:t xml:space="preserve"> </w:t>
      </w:r>
    </w:p>
    <w:p w14:paraId="4A82BA35" w14:textId="73B255C1" w:rsidR="00F669A1" w:rsidRPr="003F5DA8" w:rsidRDefault="00F669A1" w:rsidP="00F669A1">
      <w:pPr>
        <w:jc w:val="both"/>
      </w:pPr>
      <w:r w:rsidRPr="003F5DA8">
        <w:t>The following simplifications were adopted: (i) biomass-bounded nitrogen only yields N</w:t>
      </w:r>
      <w:r w:rsidRPr="003F5DA8">
        <w:rPr>
          <w:vertAlign w:val="subscript"/>
        </w:rPr>
        <w:t>2</w:t>
      </w:r>
      <w:r w:rsidRPr="003F5DA8">
        <w:t>, (ii) air supplied is dry and only includes O</w:t>
      </w:r>
      <w:r w:rsidRPr="003F5DA8">
        <w:rPr>
          <w:vertAlign w:val="subscript"/>
        </w:rPr>
        <w:t>2</w:t>
      </w:r>
      <w:r w:rsidRPr="003F5DA8">
        <w:t xml:space="preserve"> and N</w:t>
      </w:r>
      <w:r w:rsidRPr="003F5DA8">
        <w:rPr>
          <w:vertAlign w:val="subscript"/>
        </w:rPr>
        <w:t>2</w:t>
      </w:r>
      <w:r w:rsidRPr="003F5DA8">
        <w:t>, (iii) O</w:t>
      </w:r>
      <w:r w:rsidRPr="003F5DA8">
        <w:rPr>
          <w:vertAlign w:val="subscript"/>
        </w:rPr>
        <w:t>2</w:t>
      </w:r>
      <w:r w:rsidRPr="003F5DA8">
        <w:t xml:space="preserve"> is fully consumed, (iv) trace gases, contaminants and other volatile compounds are considered within the gaschar fraction or fully removed during gas cleaning operation (but not accounted in balances), (v) gaschar hosts 100% of ashes and unconverted organic compounds, (vi) 900°C gasification is considered autothermal (i.e. no external heat added to the system</w:t>
      </w:r>
      <w:r w:rsidRPr="003F5DA8">
        <w:fldChar w:fldCharType="begin"/>
      </w:r>
      <w:r w:rsidR="005413B4">
        <w:instrText xml:space="preserve"> ADDIN ZOTERO_ITEM CSL_CITATION {"citationID":"4MQLvBG2","properties":{"formattedCitation":"\\super 223\\nosupersub{}","plainCitation":"223","noteIndex":0},"citationItems":[{"id":12940,"uris":["http://zotero.org/users/6423791/items/KBVGJC6I"],"itemData":{"id":12940,"type":"report","language":"fr","number":"RECORD 13-0239/1A","page":"228","publisher":"Réseau Coopératif de Recherche sur les Déchets et l’Environnement","source":"Zotero","title":"Production d'hydrogène à partir de déchets: Etat de l'art et potentiel d'émergence","URL":"https://hal.archives-ouvertes.fr/hal-01602165","author":[{"family":"Megret","given":"Olivier"},{"family":"Hubert","given":"Loreline"},{"family":"Calbry","given":"M"},{"family":"Trably","given":"Eric"},{"family":"Carrère","given":"Hélène"},{"family":"Garcia-Bernet","given":"Diana"},{"family":"Bernet","given":"Nicolas"}],"issued":{"date-parts":[["2015"]]}}}],"schema":"https://github.com/citation-style-language/schema/raw/master/csl-citation.json"} </w:instrText>
      </w:r>
      <w:r w:rsidRPr="003F5DA8">
        <w:fldChar w:fldCharType="separate"/>
      </w:r>
      <w:r w:rsidR="005413B4" w:rsidRPr="005413B4">
        <w:rPr>
          <w:rFonts w:ascii="Calibri" w:hAnsi="Calibri" w:cs="Calibri"/>
          <w:szCs w:val="24"/>
          <w:vertAlign w:val="superscript"/>
        </w:rPr>
        <w:t>223</w:t>
      </w:r>
      <w:r w:rsidRPr="003F5DA8">
        <w:fldChar w:fldCharType="end"/>
      </w:r>
      <w:r w:rsidRPr="003F5DA8">
        <w:t>). The assumption regarding nitrogen (N) conversion differs significantly from Matassa et al., 2020</w:t>
      </w:r>
      <w:r w:rsidRPr="003F5DA8">
        <w:fldChar w:fldCharType="begin"/>
      </w:r>
      <w:r w:rsidR="005413B4">
        <w:instrText xml:space="preserve"> ADDIN ZOTERO_ITEM CSL_CITATION {"citationID":"dBGDfelM","properties":{"formattedCitation":"\\super 194\\nosupersub{}","plainCitation":"194","noteIndex":0},"citationItems":[{"id":2354,"uris":["http://zotero.org/users/6423791/items/E7ZZWGWS"],"itemData":{"id":2354,"type":"article-journal","container-title":"Green Chem.","DOI":"10.1039/D0GC01382J","issue":"15","journalAbbreviation":"Green Chem.","language":"en","note":"publisher: Royal Society of Chemistry","page":"4912-4929","source":"pubs-rsc-org.gorgone.univ-toulouse.fr","title":"Upcycling of biowaste carbon and nutrients in line with consumer confidence: the “full gas” route to single cell protein","title-short":"Upcycling of biowaste carbon and nutrients in line with consumer confidence","volume":"22","author":[{"family":"Matassa","given":"Silvio"},{"family":"Papirio","given":"Stefano"},{"family":"Pikaar","given":"Ilje"},{"family":"Hülsen","given":"Tim"},{"family":"Leijenhorst","given":"Evert"},{"family":"Esposito","given":"Giovanni"},{"family":"Pirozzi","given":"Francesco"},{"family":"Verstraete","given":"Willy"}],"issued":{"date-parts":[["2020"]]}}}],"schema":"https://github.com/citation-style-language/schema/raw/master/csl-citation.json"} </w:instrText>
      </w:r>
      <w:r w:rsidRPr="003F5DA8">
        <w:fldChar w:fldCharType="separate"/>
      </w:r>
      <w:r w:rsidR="005413B4" w:rsidRPr="005413B4">
        <w:rPr>
          <w:rFonts w:ascii="Calibri" w:hAnsi="Calibri" w:cs="Calibri"/>
          <w:szCs w:val="24"/>
          <w:vertAlign w:val="superscript"/>
        </w:rPr>
        <w:t>194</w:t>
      </w:r>
      <w:r w:rsidRPr="003F5DA8">
        <w:fldChar w:fldCharType="end"/>
      </w:r>
      <w:r w:rsidRPr="003F5DA8">
        <w:t>. In their study, they considered that 60-90% of N was converted into NH</w:t>
      </w:r>
      <w:r w:rsidRPr="003F5DA8">
        <w:rPr>
          <w:vertAlign w:val="subscript"/>
        </w:rPr>
        <w:t>3</w:t>
      </w:r>
      <w:r w:rsidRPr="003F5DA8">
        <w:t>, providing a direct bio-based N resource for MP production. Yet, as reported by Hongrapipat et al., 2012</w:t>
      </w:r>
      <w:r w:rsidRPr="003F5DA8">
        <w:fldChar w:fldCharType="begin"/>
      </w:r>
      <w:r w:rsidR="00991F7C">
        <w:instrText xml:space="preserve"> ADDIN ZOTERO_ITEM CSL_CITATION {"citationID":"q2ej0wpX","properties":{"formattedCitation":"\\super 342\\nosupersub{}","plainCitation":"342","noteIndex":0},"citationItems":[{"id":13180,"uris":["http://zotero.org/users/6423791/items/H2L32Z9Z"],"itemData":{"id":13180,"type":"article-journal","abstract":"Ammonia (NH3) is one of the main contaminants in the biomass gasification producer gas, which is undesirable in downstream applications, and thus must be removed. When the producer gas is used in integrated gasification combined cycle (IGCC) technology, NH3 is the main precursor of nitrogen oxides (NOx) formed in gas turbine, whereas in Fischer–Tropsch synthesis and in integrated gasification fuel cell (IGFC) technology, the NH3 gas poisons the catalysts employed. This paper presents a critical review on the recent development in the understanding of the NH3 formation in biomass gasification process and in the NH3 gas cleaning technologies. The NH3 gas concentration in the producer gas can firstly be reduced by the primary measures taken in the gasification process by operation optimisation and using in-bed catalytic materials. Further removal of the NH3 gas can be implemented by the secondary measures introduced in the post-gasification gascleaning process. Focus is given on the catalytic gas cleaning in the secondary measures and its advantages are analysed including energy efficiency, impacts on environment and recyclability of the catalyst. Based on the review, the most effective cleaning process is proposed with integration of both the primary and the secondary measures for application in a biomass gasification process.","container-title":"Biomass Conversion and Biorefinery","DOI":"10.1007/s13399-012-0047-1","ISSN":"2190-6815, 2190-6823","issue":"4","journalAbbreviation":"Biomass Conv. Bioref.","language":"en","page":"327-348","source":"DOI.org (Crossref)","title":"Removal of ammonia from producer gas in biomass gasification: integration of gasification optimisation and hot catalytic gas cleaning","title-short":"Removal of ammonia from producer gas in biomass gasification","volume":"2","author":[{"family":"Hongrapipat","given":"Janjira"},{"family":"Saw","given":"Woei-Lean"},{"family":"Pang","given":"Shusheng"}],"issued":{"date-parts":[["2012",12]]}}}],"schema":"https://github.com/citation-style-language/schema/raw/master/csl-citation.json"} </w:instrText>
      </w:r>
      <w:r w:rsidRPr="003F5DA8">
        <w:fldChar w:fldCharType="separate"/>
      </w:r>
      <w:r w:rsidR="00991F7C" w:rsidRPr="00991F7C">
        <w:rPr>
          <w:rFonts w:ascii="Calibri" w:hAnsi="Calibri" w:cs="Calibri"/>
          <w:szCs w:val="24"/>
          <w:vertAlign w:val="superscript"/>
        </w:rPr>
        <w:t>342</w:t>
      </w:r>
      <w:r w:rsidRPr="003F5DA8">
        <w:fldChar w:fldCharType="end"/>
      </w:r>
      <w:r w:rsidRPr="003F5DA8">
        <w:t>, NH</w:t>
      </w:r>
      <w:r w:rsidRPr="003F5DA8">
        <w:rPr>
          <w:vertAlign w:val="subscript"/>
        </w:rPr>
        <w:t>3</w:t>
      </w:r>
      <w:r w:rsidRPr="003F5DA8">
        <w:t xml:space="preserve"> production during gasification is (i) undesirable for its effects on catalysts and post-treatment operations, (ii) low compared to N</w:t>
      </w:r>
      <w:r w:rsidRPr="003F5DA8">
        <w:rPr>
          <w:vertAlign w:val="subscript"/>
        </w:rPr>
        <w:t>2</w:t>
      </w:r>
      <w:r w:rsidRPr="003F5DA8">
        <w:t xml:space="preserve"> production at high temperature (900°C here), (iii) bounding hydrogen to ammonia, therefore lowering overall H</w:t>
      </w:r>
      <w:r w:rsidRPr="003F5DA8">
        <w:rPr>
          <w:vertAlign w:val="subscript"/>
        </w:rPr>
        <w:t>2</w:t>
      </w:r>
      <w:r w:rsidRPr="003F5DA8">
        <w:t xml:space="preserve"> yield. As feedstocks usually considered for gasification display low N content (e.g. wood-related biomass, crop residues), NH</w:t>
      </w:r>
      <w:r w:rsidRPr="003F5DA8">
        <w:rPr>
          <w:vertAlign w:val="subscript"/>
        </w:rPr>
        <w:t>3</w:t>
      </w:r>
      <w:r w:rsidRPr="003F5DA8">
        <w:t xml:space="preserve"> remains at trace concentrations (ca. mg/L) and is almost not reported in the literature </w:t>
      </w:r>
      <w:r w:rsidRPr="00CF16A7">
        <w:t>benchmark (</w:t>
      </w:r>
      <w:r w:rsidR="008C451C" w:rsidRPr="008C451C">
        <w:rPr>
          <w:i/>
        </w:rPr>
        <w:t>B.GA_module spreadsheet</w:t>
      </w:r>
      <w:r w:rsidRPr="00CF16A7">
        <w:t>), being removed at the cleaning stage. For those reasons, and to ensure feed-grade (risk-free) nutrients supply to the MP bioreactor (</w:t>
      </w:r>
      <w:r w:rsidR="00583C1F" w:rsidRPr="00583C1F">
        <w:rPr>
          <w:b/>
        </w:rPr>
        <w:t xml:space="preserve">section </w:t>
      </w:r>
      <w:r w:rsidR="00C913E1">
        <w:rPr>
          <w:b/>
        </w:rPr>
        <w:t xml:space="preserve">SI. </w:t>
      </w:r>
      <w:r w:rsidR="00583C1F" w:rsidRPr="00583C1F">
        <w:rPr>
          <w:b/>
        </w:rPr>
        <w:fldChar w:fldCharType="begin"/>
      </w:r>
      <w:r w:rsidR="00583C1F" w:rsidRPr="00583C1F">
        <w:rPr>
          <w:b/>
        </w:rPr>
        <w:instrText xml:space="preserve"> REF _Ref144911893 \r \h </w:instrText>
      </w:r>
      <w:r w:rsidR="00583C1F">
        <w:rPr>
          <w:b/>
        </w:rPr>
        <w:instrText xml:space="preserve"> \* MERGEFORMAT </w:instrText>
      </w:r>
      <w:r w:rsidR="00583C1F" w:rsidRPr="00583C1F">
        <w:rPr>
          <w:b/>
        </w:rPr>
      </w:r>
      <w:r w:rsidR="00583C1F" w:rsidRPr="00583C1F">
        <w:rPr>
          <w:b/>
        </w:rPr>
        <w:fldChar w:fldCharType="separate"/>
      </w:r>
      <w:r w:rsidR="00F25F8C">
        <w:rPr>
          <w:b/>
        </w:rPr>
        <w:t>4.6</w:t>
      </w:r>
      <w:r w:rsidR="00583C1F" w:rsidRPr="00583C1F">
        <w:rPr>
          <w:b/>
        </w:rPr>
        <w:fldChar w:fldCharType="end"/>
      </w:r>
      <w:r w:rsidRPr="00CF16A7">
        <w:t>), a set-up minimizing and removing NH</w:t>
      </w:r>
      <w:r w:rsidRPr="00CF16A7">
        <w:rPr>
          <w:vertAlign w:val="subscript"/>
        </w:rPr>
        <w:t>3</w:t>
      </w:r>
      <w:r w:rsidRPr="00CF16A7">
        <w:t xml:space="preserve"> from syngas was assumed.</w:t>
      </w:r>
    </w:p>
    <w:p w14:paraId="142E5D78" w14:textId="3A7596FF" w:rsidR="00F669A1" w:rsidRPr="002D5B5C" w:rsidRDefault="00874128" w:rsidP="00942782">
      <w:pPr>
        <w:pStyle w:val="Lgende"/>
        <w:jc w:val="left"/>
      </w:pPr>
      <w:bookmarkStart w:id="416" w:name="_Ref144912829"/>
      <w:bookmarkStart w:id="417" w:name="_Toc134537614"/>
      <w:bookmarkStart w:id="418" w:name="_Toc151967981"/>
      <w:r>
        <w:t>Table SI.</w:t>
      </w:r>
      <w:r w:rsidR="00F669A1">
        <w:t xml:space="preserve"> </w:t>
      </w:r>
      <w:r>
        <w:fldChar w:fldCharType="begin"/>
      </w:r>
      <w:r>
        <w:instrText xml:space="preserve"> SEQ Table_SI. \* ARABIC </w:instrText>
      </w:r>
      <w:r>
        <w:fldChar w:fldCharType="separate"/>
      </w:r>
      <w:r w:rsidR="00F25F8C">
        <w:rPr>
          <w:noProof/>
        </w:rPr>
        <w:t>97</w:t>
      </w:r>
      <w:r>
        <w:fldChar w:fldCharType="end"/>
      </w:r>
      <w:bookmarkEnd w:id="416"/>
      <w:r w:rsidR="00F669A1">
        <w:t xml:space="preserve"> </w:t>
      </w:r>
      <w:r w:rsidR="00F669A1" w:rsidRPr="002D5B5C">
        <w:t>– Reviewed performances of air-based GA performances</w:t>
      </w:r>
      <w:bookmarkEnd w:id="417"/>
      <w:bookmarkEnd w:id="418"/>
    </w:p>
    <w:tbl>
      <w:tblPr>
        <w:tblStyle w:val="Tableausimple2"/>
        <w:tblW w:w="0" w:type="auto"/>
        <w:tblLook w:val="04A0" w:firstRow="1" w:lastRow="0" w:firstColumn="1" w:lastColumn="0" w:noHBand="0" w:noVBand="1"/>
      </w:tblPr>
      <w:tblGrid>
        <w:gridCol w:w="2056"/>
        <w:gridCol w:w="1821"/>
        <w:gridCol w:w="2013"/>
        <w:gridCol w:w="1280"/>
        <w:gridCol w:w="1416"/>
      </w:tblGrid>
      <w:tr w:rsidR="00F669A1" w:rsidRPr="008C451C" w14:paraId="2F12E932" w14:textId="77777777" w:rsidTr="009427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1C492BE" w14:textId="77777777" w:rsidR="00F669A1" w:rsidRPr="008C451C" w:rsidRDefault="00F669A1" w:rsidP="000C3E59">
            <w:pPr>
              <w:jc w:val="right"/>
              <w:rPr>
                <w:sz w:val="18"/>
              </w:rPr>
            </w:pPr>
            <w:r w:rsidRPr="008C451C">
              <w:rPr>
                <w:sz w:val="18"/>
              </w:rPr>
              <w:t>Fractions in syngas (%</w:t>
            </w:r>
            <w:r w:rsidRPr="008C451C">
              <w:rPr>
                <w:sz w:val="18"/>
                <w:vertAlign w:val="subscript"/>
              </w:rPr>
              <w:t>vol</w:t>
            </w:r>
            <w:r w:rsidRPr="008C451C">
              <w:rPr>
                <w:sz w:val="18"/>
              </w:rPr>
              <w:t>)</w:t>
            </w:r>
          </w:p>
        </w:tc>
        <w:tc>
          <w:tcPr>
            <w:tcW w:w="0" w:type="auto"/>
          </w:tcPr>
          <w:p w14:paraId="7D3E6E2B"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rPr>
            </w:pPr>
            <w:r w:rsidRPr="008C451C">
              <w:rPr>
                <w:sz w:val="18"/>
              </w:rPr>
              <w:t xml:space="preserve">Selected composition </w:t>
            </w:r>
          </w:p>
          <w:p w14:paraId="5F155E15"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rPr>
            </w:pPr>
            <w:r w:rsidRPr="008C451C">
              <w:rPr>
                <w:sz w:val="18"/>
              </w:rPr>
              <w:t>(average reviewed)</w:t>
            </w:r>
          </w:p>
        </w:tc>
        <w:tc>
          <w:tcPr>
            <w:tcW w:w="0" w:type="auto"/>
          </w:tcPr>
          <w:p w14:paraId="51C72C36" w14:textId="77777777" w:rsidR="00F669A1" w:rsidRPr="008C451C" w:rsidRDefault="00F669A1" w:rsidP="000C3E59">
            <w:pPr>
              <w:jc w:val="right"/>
              <w:cnfStyle w:val="100000000000" w:firstRow="1" w:lastRow="0" w:firstColumn="0" w:lastColumn="0" w:oddVBand="0" w:evenVBand="0" w:oddHBand="0" w:evenHBand="0" w:firstRowFirstColumn="0" w:firstRowLastColumn="0" w:lastRowFirstColumn="0" w:lastRowLastColumn="0"/>
              <w:rPr>
                <w:sz w:val="18"/>
              </w:rPr>
            </w:pPr>
            <w:r w:rsidRPr="008C451C">
              <w:rPr>
                <w:sz w:val="18"/>
              </w:rPr>
              <w:t>Performance indicator</w:t>
            </w:r>
          </w:p>
        </w:tc>
        <w:tc>
          <w:tcPr>
            <w:tcW w:w="0" w:type="auto"/>
          </w:tcPr>
          <w:p w14:paraId="60F7F2A0"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rPr>
            </w:pPr>
            <w:r w:rsidRPr="008C451C">
              <w:rPr>
                <w:sz w:val="18"/>
              </w:rPr>
              <w:t>Unit</w:t>
            </w:r>
          </w:p>
        </w:tc>
        <w:tc>
          <w:tcPr>
            <w:tcW w:w="0" w:type="auto"/>
          </w:tcPr>
          <w:p w14:paraId="2323CA41"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rPr>
            </w:pPr>
            <w:r w:rsidRPr="008C451C">
              <w:rPr>
                <w:sz w:val="18"/>
              </w:rPr>
              <w:t>Reviewed range</w:t>
            </w:r>
          </w:p>
        </w:tc>
      </w:tr>
      <w:tr w:rsidR="00F669A1" w:rsidRPr="008C451C" w14:paraId="6408C30E"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388E4E1" w14:textId="77777777" w:rsidR="00F669A1" w:rsidRPr="008C451C" w:rsidRDefault="00F669A1" w:rsidP="000C3E59">
            <w:pPr>
              <w:jc w:val="right"/>
              <w:rPr>
                <w:b w:val="0"/>
                <w:sz w:val="18"/>
              </w:rPr>
            </w:pPr>
            <w:r w:rsidRPr="008C451C">
              <w:rPr>
                <w:b w:val="0"/>
                <w:sz w:val="18"/>
              </w:rPr>
              <w:t>H</w:t>
            </w:r>
            <w:r w:rsidRPr="008C451C">
              <w:rPr>
                <w:b w:val="0"/>
                <w:sz w:val="18"/>
                <w:vertAlign w:val="subscript"/>
              </w:rPr>
              <w:t>2</w:t>
            </w:r>
          </w:p>
        </w:tc>
        <w:tc>
          <w:tcPr>
            <w:tcW w:w="0" w:type="auto"/>
          </w:tcPr>
          <w:p w14:paraId="35C14AAE"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b/>
                <w:sz w:val="18"/>
              </w:rPr>
            </w:pPr>
            <w:r w:rsidRPr="008C451C">
              <w:rPr>
                <w:b/>
                <w:sz w:val="18"/>
              </w:rPr>
              <w:t>12%</w:t>
            </w:r>
          </w:p>
        </w:tc>
        <w:tc>
          <w:tcPr>
            <w:tcW w:w="0" w:type="auto"/>
          </w:tcPr>
          <w:p w14:paraId="535ABEDD" w14:textId="77777777" w:rsidR="00F669A1" w:rsidRPr="008C451C" w:rsidRDefault="00F669A1" w:rsidP="000C3E59">
            <w:pPr>
              <w:jc w:val="right"/>
              <w:cnfStyle w:val="000000100000" w:firstRow="0" w:lastRow="0" w:firstColumn="0" w:lastColumn="0" w:oddVBand="0" w:evenVBand="0" w:oddHBand="1" w:evenHBand="0" w:firstRowFirstColumn="0" w:firstRowLastColumn="0" w:lastRowFirstColumn="0" w:lastRowLastColumn="0"/>
              <w:rPr>
                <w:sz w:val="18"/>
              </w:rPr>
            </w:pPr>
            <w:r w:rsidRPr="008C451C">
              <w:rPr>
                <w:sz w:val="18"/>
              </w:rPr>
              <w:t>Equivalence ratio (ER)</w:t>
            </w:r>
          </w:p>
        </w:tc>
        <w:tc>
          <w:tcPr>
            <w:tcW w:w="0" w:type="auto"/>
          </w:tcPr>
          <w:p w14:paraId="5B591354"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rPr>
            </w:pPr>
            <w:r w:rsidRPr="008C451C">
              <w:rPr>
                <w:color w:val="000000"/>
                <w:sz w:val="18"/>
              </w:rPr>
              <w:t>molO</w:t>
            </w:r>
            <w:r w:rsidRPr="008C451C">
              <w:rPr>
                <w:color w:val="000000"/>
                <w:sz w:val="18"/>
                <w:vertAlign w:val="subscript"/>
              </w:rPr>
              <w:t>2</w:t>
            </w:r>
            <w:r w:rsidRPr="008C451C">
              <w:rPr>
                <w:color w:val="000000"/>
                <w:sz w:val="18"/>
              </w:rPr>
              <w:t>.molO</w:t>
            </w:r>
            <w:r w:rsidRPr="008C451C">
              <w:rPr>
                <w:color w:val="000000"/>
                <w:sz w:val="18"/>
                <w:vertAlign w:val="subscript"/>
              </w:rPr>
              <w:t>2</w:t>
            </w:r>
            <w:r w:rsidRPr="008C451C">
              <w:rPr>
                <w:color w:val="000000"/>
                <w:sz w:val="18"/>
                <w:vertAlign w:val="superscript"/>
              </w:rPr>
              <w:t>-1</w:t>
            </w:r>
          </w:p>
        </w:tc>
        <w:tc>
          <w:tcPr>
            <w:tcW w:w="0" w:type="auto"/>
          </w:tcPr>
          <w:p w14:paraId="03475EB4"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rPr>
            </w:pPr>
            <w:r w:rsidRPr="008C451C">
              <w:rPr>
                <w:sz w:val="18"/>
              </w:rPr>
              <w:t>0.25-0.4</w:t>
            </w:r>
          </w:p>
        </w:tc>
      </w:tr>
      <w:tr w:rsidR="00F669A1" w:rsidRPr="008C451C" w14:paraId="1221E59F"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3F2FDB9C" w14:textId="77777777" w:rsidR="00F669A1" w:rsidRPr="008C451C" w:rsidRDefault="00F669A1" w:rsidP="000C3E59">
            <w:pPr>
              <w:jc w:val="right"/>
              <w:rPr>
                <w:b w:val="0"/>
                <w:sz w:val="18"/>
              </w:rPr>
            </w:pPr>
            <w:r w:rsidRPr="008C451C">
              <w:rPr>
                <w:b w:val="0"/>
                <w:sz w:val="18"/>
              </w:rPr>
              <w:t>CO</w:t>
            </w:r>
          </w:p>
        </w:tc>
        <w:tc>
          <w:tcPr>
            <w:tcW w:w="0" w:type="auto"/>
          </w:tcPr>
          <w:p w14:paraId="2A08D341"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b/>
                <w:sz w:val="18"/>
              </w:rPr>
            </w:pPr>
            <w:r w:rsidRPr="008C451C">
              <w:rPr>
                <w:b/>
                <w:sz w:val="18"/>
              </w:rPr>
              <w:t>19%</w:t>
            </w:r>
          </w:p>
        </w:tc>
        <w:tc>
          <w:tcPr>
            <w:tcW w:w="0" w:type="auto"/>
          </w:tcPr>
          <w:p w14:paraId="2F9D2773" w14:textId="77777777" w:rsidR="00F669A1" w:rsidRPr="008C451C" w:rsidRDefault="00F669A1" w:rsidP="000C3E59">
            <w:pPr>
              <w:jc w:val="right"/>
              <w:cnfStyle w:val="000000000000" w:firstRow="0" w:lastRow="0" w:firstColumn="0" w:lastColumn="0" w:oddVBand="0" w:evenVBand="0" w:oddHBand="0" w:evenHBand="0" w:firstRowFirstColumn="0" w:firstRowLastColumn="0" w:lastRowFirstColumn="0" w:lastRowLastColumn="0"/>
              <w:rPr>
                <w:sz w:val="18"/>
              </w:rPr>
            </w:pPr>
            <w:r w:rsidRPr="008C451C">
              <w:rPr>
                <w:sz w:val="18"/>
              </w:rPr>
              <w:t>Producer gas yield</w:t>
            </w:r>
          </w:p>
        </w:tc>
        <w:tc>
          <w:tcPr>
            <w:tcW w:w="0" w:type="auto"/>
          </w:tcPr>
          <w:p w14:paraId="3AFF4184"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rPr>
            </w:pPr>
            <w:r w:rsidRPr="008C451C">
              <w:rPr>
                <w:color w:val="000000"/>
                <w:sz w:val="18"/>
              </w:rPr>
              <w:t>Nm</w:t>
            </w:r>
            <w:r w:rsidRPr="008C451C">
              <w:rPr>
                <w:color w:val="000000"/>
                <w:sz w:val="18"/>
                <w:vertAlign w:val="superscript"/>
              </w:rPr>
              <w:t>3</w:t>
            </w:r>
            <w:r w:rsidRPr="008C451C">
              <w:rPr>
                <w:color w:val="000000"/>
                <w:sz w:val="18"/>
              </w:rPr>
              <w:t>.kg</w:t>
            </w:r>
            <w:r w:rsidRPr="008C451C">
              <w:rPr>
                <w:color w:val="000000"/>
                <w:sz w:val="18"/>
                <w:vertAlign w:val="subscript"/>
              </w:rPr>
              <w:t>ww</w:t>
            </w:r>
            <w:r w:rsidRPr="008C451C">
              <w:rPr>
                <w:color w:val="000000"/>
                <w:sz w:val="18"/>
                <w:vertAlign w:val="superscript"/>
              </w:rPr>
              <w:t>-1</w:t>
            </w:r>
          </w:p>
        </w:tc>
        <w:tc>
          <w:tcPr>
            <w:tcW w:w="0" w:type="auto"/>
          </w:tcPr>
          <w:p w14:paraId="6D813D84"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rPr>
            </w:pPr>
            <w:r w:rsidRPr="008C451C">
              <w:rPr>
                <w:sz w:val="18"/>
              </w:rPr>
              <w:t>1.7-2.7</w:t>
            </w:r>
          </w:p>
        </w:tc>
      </w:tr>
      <w:tr w:rsidR="00F669A1" w:rsidRPr="008C451C" w14:paraId="6EDA8858"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972B132" w14:textId="77777777" w:rsidR="00F669A1" w:rsidRPr="008C451C" w:rsidRDefault="00F669A1" w:rsidP="000C3E59">
            <w:pPr>
              <w:jc w:val="right"/>
              <w:rPr>
                <w:b w:val="0"/>
                <w:sz w:val="18"/>
              </w:rPr>
            </w:pPr>
            <w:r w:rsidRPr="008C451C">
              <w:rPr>
                <w:b w:val="0"/>
                <w:sz w:val="18"/>
              </w:rPr>
              <w:t>CO</w:t>
            </w:r>
            <w:r w:rsidRPr="008C451C">
              <w:rPr>
                <w:b w:val="0"/>
                <w:sz w:val="18"/>
                <w:vertAlign w:val="subscript"/>
              </w:rPr>
              <w:t>2</w:t>
            </w:r>
          </w:p>
        </w:tc>
        <w:tc>
          <w:tcPr>
            <w:tcW w:w="0" w:type="auto"/>
          </w:tcPr>
          <w:p w14:paraId="000499FE"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b/>
                <w:sz w:val="18"/>
              </w:rPr>
            </w:pPr>
            <w:r w:rsidRPr="008C451C">
              <w:rPr>
                <w:b/>
                <w:sz w:val="18"/>
              </w:rPr>
              <w:t>13%</w:t>
            </w:r>
          </w:p>
        </w:tc>
        <w:tc>
          <w:tcPr>
            <w:tcW w:w="0" w:type="auto"/>
          </w:tcPr>
          <w:p w14:paraId="4B945C0C" w14:textId="77777777" w:rsidR="00F669A1" w:rsidRPr="008C451C" w:rsidRDefault="00F669A1" w:rsidP="000C3E59">
            <w:pPr>
              <w:jc w:val="right"/>
              <w:cnfStyle w:val="000000100000" w:firstRow="0" w:lastRow="0" w:firstColumn="0" w:lastColumn="0" w:oddVBand="0" w:evenVBand="0" w:oddHBand="1" w:evenHBand="0" w:firstRowFirstColumn="0" w:firstRowLastColumn="0" w:lastRowFirstColumn="0" w:lastRowLastColumn="0"/>
              <w:rPr>
                <w:sz w:val="18"/>
              </w:rPr>
            </w:pPr>
            <w:r w:rsidRPr="008C451C">
              <w:rPr>
                <w:sz w:val="18"/>
              </w:rPr>
              <w:t>Converted carbon</w:t>
            </w:r>
          </w:p>
        </w:tc>
        <w:tc>
          <w:tcPr>
            <w:tcW w:w="0" w:type="auto"/>
          </w:tcPr>
          <w:p w14:paraId="159C09BC"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rPr>
            </w:pPr>
            <w:r w:rsidRPr="008C451C">
              <w:rPr>
                <w:sz w:val="18"/>
              </w:rPr>
              <w:t>%</w:t>
            </w:r>
            <w:r w:rsidRPr="008C451C">
              <w:rPr>
                <w:sz w:val="18"/>
                <w:vertAlign w:val="subscript"/>
              </w:rPr>
              <w:t>C</w:t>
            </w:r>
          </w:p>
        </w:tc>
        <w:tc>
          <w:tcPr>
            <w:tcW w:w="0" w:type="auto"/>
          </w:tcPr>
          <w:p w14:paraId="1E2E3CAD"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rPr>
            </w:pPr>
            <w:r w:rsidRPr="008C451C">
              <w:rPr>
                <w:sz w:val="18"/>
              </w:rPr>
              <w:t>80-98%</w:t>
            </w:r>
          </w:p>
        </w:tc>
      </w:tr>
      <w:tr w:rsidR="00F669A1" w:rsidRPr="008C451C" w14:paraId="329AC61E"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50AD8D75" w14:textId="77777777" w:rsidR="00F669A1" w:rsidRPr="008C451C" w:rsidRDefault="00F669A1" w:rsidP="000C3E59">
            <w:pPr>
              <w:jc w:val="right"/>
              <w:rPr>
                <w:b w:val="0"/>
                <w:sz w:val="18"/>
              </w:rPr>
            </w:pPr>
            <w:r w:rsidRPr="008C451C">
              <w:rPr>
                <w:b w:val="0"/>
                <w:sz w:val="18"/>
              </w:rPr>
              <w:t>CH</w:t>
            </w:r>
            <w:r w:rsidRPr="008C451C">
              <w:rPr>
                <w:b w:val="0"/>
                <w:sz w:val="18"/>
                <w:vertAlign w:val="subscript"/>
              </w:rPr>
              <w:t>4</w:t>
            </w:r>
          </w:p>
        </w:tc>
        <w:tc>
          <w:tcPr>
            <w:tcW w:w="0" w:type="auto"/>
          </w:tcPr>
          <w:p w14:paraId="2D189427"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b/>
                <w:sz w:val="18"/>
              </w:rPr>
            </w:pPr>
            <w:r w:rsidRPr="008C451C">
              <w:rPr>
                <w:b/>
                <w:sz w:val="18"/>
              </w:rPr>
              <w:t>3%</w:t>
            </w:r>
          </w:p>
        </w:tc>
        <w:tc>
          <w:tcPr>
            <w:tcW w:w="0" w:type="auto"/>
          </w:tcPr>
          <w:p w14:paraId="22F85D0F" w14:textId="77777777" w:rsidR="00F669A1" w:rsidRPr="008C451C" w:rsidRDefault="00F669A1" w:rsidP="000C3E59">
            <w:pPr>
              <w:jc w:val="right"/>
              <w:cnfStyle w:val="000000000000" w:firstRow="0" w:lastRow="0" w:firstColumn="0" w:lastColumn="0" w:oddVBand="0" w:evenVBand="0" w:oddHBand="0" w:evenHBand="0" w:firstRowFirstColumn="0" w:firstRowLastColumn="0" w:lastRowFirstColumn="0" w:lastRowLastColumn="0"/>
              <w:rPr>
                <w:sz w:val="18"/>
              </w:rPr>
            </w:pPr>
            <w:r w:rsidRPr="008C451C">
              <w:rPr>
                <w:sz w:val="18"/>
              </w:rPr>
              <w:t>Cold gas efficiency (CGE)</w:t>
            </w:r>
          </w:p>
        </w:tc>
        <w:tc>
          <w:tcPr>
            <w:tcW w:w="0" w:type="auto"/>
          </w:tcPr>
          <w:p w14:paraId="2D16C777"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rPr>
            </w:pPr>
            <w:r w:rsidRPr="008C451C">
              <w:rPr>
                <w:sz w:val="18"/>
              </w:rPr>
              <w:t>%</w:t>
            </w:r>
            <w:r w:rsidRPr="008C451C">
              <w:rPr>
                <w:sz w:val="18"/>
                <w:vertAlign w:val="subscript"/>
              </w:rPr>
              <w:t>HHV</w:t>
            </w:r>
          </w:p>
        </w:tc>
        <w:tc>
          <w:tcPr>
            <w:tcW w:w="0" w:type="auto"/>
          </w:tcPr>
          <w:p w14:paraId="5DEEF0DA"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rPr>
            </w:pPr>
            <w:r w:rsidRPr="008C451C">
              <w:rPr>
                <w:sz w:val="18"/>
              </w:rPr>
              <w:t>60-85%</w:t>
            </w:r>
          </w:p>
        </w:tc>
      </w:tr>
      <w:tr w:rsidR="00F669A1" w:rsidRPr="008C451C" w14:paraId="2B7A798C"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6AF4E74" w14:textId="77777777" w:rsidR="00F669A1" w:rsidRPr="008C451C" w:rsidRDefault="00F669A1" w:rsidP="000C3E59">
            <w:pPr>
              <w:jc w:val="right"/>
              <w:rPr>
                <w:b w:val="0"/>
                <w:sz w:val="18"/>
              </w:rPr>
            </w:pPr>
            <w:r w:rsidRPr="008C451C">
              <w:rPr>
                <w:b w:val="0"/>
                <w:sz w:val="18"/>
              </w:rPr>
              <w:t>H</w:t>
            </w:r>
            <w:r w:rsidRPr="008C451C">
              <w:rPr>
                <w:b w:val="0"/>
                <w:sz w:val="18"/>
                <w:vertAlign w:val="subscript"/>
              </w:rPr>
              <w:t>2</w:t>
            </w:r>
            <w:r w:rsidRPr="008C451C">
              <w:rPr>
                <w:b w:val="0"/>
                <w:sz w:val="18"/>
              </w:rPr>
              <w:t>O</w:t>
            </w:r>
          </w:p>
        </w:tc>
        <w:tc>
          <w:tcPr>
            <w:tcW w:w="0" w:type="auto"/>
          </w:tcPr>
          <w:p w14:paraId="3E61A503"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b/>
                <w:sz w:val="18"/>
                <w:szCs w:val="18"/>
              </w:rPr>
            </w:pPr>
            <w:r w:rsidRPr="008C451C">
              <w:rPr>
                <w:b/>
                <w:sz w:val="18"/>
                <w:szCs w:val="18"/>
              </w:rPr>
              <w:t>5%</w:t>
            </w:r>
            <w:r w:rsidRPr="008C451C">
              <w:rPr>
                <w:b/>
                <w:sz w:val="18"/>
                <w:szCs w:val="18"/>
                <w:vertAlign w:val="superscript"/>
              </w:rPr>
              <w:t>*</w:t>
            </w:r>
          </w:p>
        </w:tc>
        <w:tc>
          <w:tcPr>
            <w:tcW w:w="0" w:type="auto"/>
          </w:tcPr>
          <w:p w14:paraId="43043B15" w14:textId="77777777" w:rsidR="00F669A1" w:rsidRPr="008C451C" w:rsidRDefault="00F669A1" w:rsidP="000C3E59">
            <w:pPr>
              <w:jc w:val="right"/>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Hot gas efficiency (HGE)</w:t>
            </w:r>
          </w:p>
        </w:tc>
        <w:tc>
          <w:tcPr>
            <w:tcW w:w="0" w:type="auto"/>
          </w:tcPr>
          <w:p w14:paraId="145B6A0D"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rPr>
            </w:pPr>
            <w:r w:rsidRPr="008C451C">
              <w:rPr>
                <w:sz w:val="18"/>
              </w:rPr>
              <w:t>%</w:t>
            </w:r>
            <w:r w:rsidRPr="008C451C">
              <w:rPr>
                <w:sz w:val="18"/>
                <w:vertAlign w:val="subscript"/>
              </w:rPr>
              <w:t>HHV</w:t>
            </w:r>
          </w:p>
        </w:tc>
        <w:tc>
          <w:tcPr>
            <w:tcW w:w="0" w:type="auto"/>
          </w:tcPr>
          <w:p w14:paraId="12002AE6"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rPr>
            </w:pPr>
            <w:r w:rsidRPr="008C451C">
              <w:rPr>
                <w:sz w:val="18"/>
              </w:rPr>
              <w:t>83-95%</w:t>
            </w:r>
          </w:p>
        </w:tc>
      </w:tr>
      <w:tr w:rsidR="00F669A1" w:rsidRPr="008C451C" w14:paraId="330F87D2"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1495A7FC" w14:textId="77777777" w:rsidR="00F669A1" w:rsidRPr="008C451C" w:rsidRDefault="00F669A1" w:rsidP="000C3E59">
            <w:pPr>
              <w:jc w:val="right"/>
              <w:rPr>
                <w:b w:val="0"/>
                <w:sz w:val="18"/>
              </w:rPr>
            </w:pPr>
            <w:r w:rsidRPr="008C451C">
              <w:rPr>
                <w:b w:val="0"/>
                <w:sz w:val="18"/>
              </w:rPr>
              <w:t>N</w:t>
            </w:r>
            <w:r w:rsidRPr="008C451C">
              <w:rPr>
                <w:b w:val="0"/>
                <w:sz w:val="18"/>
                <w:vertAlign w:val="subscript"/>
              </w:rPr>
              <w:t>2</w:t>
            </w:r>
          </w:p>
        </w:tc>
        <w:tc>
          <w:tcPr>
            <w:tcW w:w="0" w:type="auto"/>
          </w:tcPr>
          <w:p w14:paraId="4C5A23E5"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b/>
                <w:sz w:val="18"/>
              </w:rPr>
            </w:pPr>
            <w:r w:rsidRPr="008C451C">
              <w:rPr>
                <w:b/>
                <w:sz w:val="18"/>
              </w:rPr>
              <w:t>48%</w:t>
            </w:r>
          </w:p>
        </w:tc>
        <w:tc>
          <w:tcPr>
            <w:tcW w:w="0" w:type="auto"/>
          </w:tcPr>
          <w:p w14:paraId="391FEE9E" w14:textId="77777777" w:rsidR="00F669A1" w:rsidRPr="008C451C" w:rsidRDefault="00F669A1" w:rsidP="000C3E59">
            <w:pPr>
              <w:jc w:val="right"/>
              <w:cnfStyle w:val="000000000000" w:firstRow="0" w:lastRow="0" w:firstColumn="0" w:lastColumn="0" w:oddVBand="0" w:evenVBand="0" w:oddHBand="0" w:evenHBand="0" w:firstRowFirstColumn="0" w:firstRowLastColumn="0" w:lastRowFirstColumn="0" w:lastRowLastColumn="0"/>
              <w:rPr>
                <w:sz w:val="18"/>
              </w:rPr>
            </w:pPr>
            <w:r w:rsidRPr="008C451C">
              <w:rPr>
                <w:sz w:val="18"/>
              </w:rPr>
              <w:t>Gaschar yield</w:t>
            </w:r>
          </w:p>
        </w:tc>
        <w:tc>
          <w:tcPr>
            <w:tcW w:w="0" w:type="auto"/>
          </w:tcPr>
          <w:p w14:paraId="191208DB"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rPr>
            </w:pPr>
            <w:proofErr w:type="gramStart"/>
            <w:r w:rsidRPr="008C451C">
              <w:rPr>
                <w:color w:val="000000"/>
                <w:sz w:val="18"/>
              </w:rPr>
              <w:t>kg.kg</w:t>
            </w:r>
            <w:r w:rsidRPr="008C451C">
              <w:rPr>
                <w:color w:val="000000"/>
                <w:sz w:val="18"/>
                <w:vertAlign w:val="subscript"/>
              </w:rPr>
              <w:t>DM</w:t>
            </w:r>
            <w:proofErr w:type="gramEnd"/>
            <w:r w:rsidRPr="008C451C">
              <w:rPr>
                <w:color w:val="000000"/>
                <w:sz w:val="18"/>
                <w:vertAlign w:val="superscript"/>
              </w:rPr>
              <w:t>-1</w:t>
            </w:r>
          </w:p>
        </w:tc>
        <w:tc>
          <w:tcPr>
            <w:tcW w:w="0" w:type="auto"/>
          </w:tcPr>
          <w:p w14:paraId="63EA6AC9"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rPr>
            </w:pPr>
            <w:r w:rsidRPr="008C451C">
              <w:rPr>
                <w:sz w:val="18"/>
              </w:rPr>
              <w:t>0.05-0.2</w:t>
            </w:r>
          </w:p>
        </w:tc>
      </w:tr>
      <w:tr w:rsidR="00F669A1" w:rsidRPr="008C451C" w14:paraId="6E9D6AE2"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5DA6538" w14:textId="77777777" w:rsidR="00F669A1" w:rsidRPr="008C451C" w:rsidRDefault="00F669A1" w:rsidP="000C3E59">
            <w:pPr>
              <w:jc w:val="right"/>
              <w:rPr>
                <w:b w:val="0"/>
                <w:sz w:val="18"/>
              </w:rPr>
            </w:pPr>
            <w:r w:rsidRPr="008C451C">
              <w:rPr>
                <w:b w:val="0"/>
                <w:sz w:val="18"/>
              </w:rPr>
              <w:t>C</w:t>
            </w:r>
            <w:r w:rsidRPr="008C451C">
              <w:rPr>
                <w:b w:val="0"/>
                <w:sz w:val="18"/>
                <w:vertAlign w:val="subscript"/>
              </w:rPr>
              <w:t>n</w:t>
            </w:r>
            <w:r w:rsidRPr="008C451C">
              <w:rPr>
                <w:b w:val="0"/>
                <w:sz w:val="18"/>
              </w:rPr>
              <w:t>H</w:t>
            </w:r>
            <w:r w:rsidRPr="008C451C">
              <w:rPr>
                <w:b w:val="0"/>
                <w:sz w:val="18"/>
                <w:vertAlign w:val="subscript"/>
              </w:rPr>
              <w:t>m</w:t>
            </w:r>
            <w:r w:rsidRPr="008C451C">
              <w:rPr>
                <w:b w:val="0"/>
                <w:sz w:val="18"/>
              </w:rPr>
              <w:t>, others</w:t>
            </w:r>
          </w:p>
        </w:tc>
        <w:tc>
          <w:tcPr>
            <w:tcW w:w="0" w:type="auto"/>
          </w:tcPr>
          <w:p w14:paraId="5669FEB1"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b/>
                <w:sz w:val="18"/>
              </w:rPr>
            </w:pPr>
            <w:r w:rsidRPr="008C451C">
              <w:rPr>
                <w:b/>
                <w:sz w:val="18"/>
              </w:rPr>
              <w:t>Neglected</w:t>
            </w:r>
            <w:r w:rsidRPr="008C451C">
              <w:rPr>
                <w:b/>
                <w:sz w:val="18"/>
                <w:vertAlign w:val="superscript"/>
              </w:rPr>
              <w:t>**</w:t>
            </w:r>
          </w:p>
        </w:tc>
        <w:tc>
          <w:tcPr>
            <w:tcW w:w="0" w:type="auto"/>
            <w:gridSpan w:val="3"/>
          </w:tcPr>
          <w:p w14:paraId="3B5CB520" w14:textId="19BE2A24"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i/>
                <w:sz w:val="18"/>
              </w:rPr>
            </w:pPr>
            <w:r w:rsidRPr="008C451C">
              <w:rPr>
                <w:i/>
                <w:sz w:val="18"/>
              </w:rPr>
              <w:t xml:space="preserve">Background data in </w:t>
            </w:r>
            <w:r w:rsidR="008C451C" w:rsidRPr="008C451C">
              <w:rPr>
                <w:i/>
                <w:sz w:val="18"/>
              </w:rPr>
              <w:t>B.GA_module spreadsheet</w:t>
            </w:r>
          </w:p>
        </w:tc>
      </w:tr>
    </w:tbl>
    <w:p w14:paraId="281A4D46" w14:textId="772D94BC" w:rsidR="008C451C" w:rsidRDefault="00F669A1" w:rsidP="00F669A1">
      <w:pPr>
        <w:rPr>
          <w:sz w:val="18"/>
        </w:rPr>
      </w:pPr>
      <w:r w:rsidRPr="003F5DA8">
        <w:rPr>
          <w:sz w:val="18"/>
          <w:vertAlign w:val="superscript"/>
        </w:rPr>
        <w:t>*</w:t>
      </w:r>
      <w:r w:rsidRPr="003F5DA8">
        <w:rPr>
          <w:sz w:val="18"/>
        </w:rPr>
        <w:t>: deduced by different to yield 100%</w:t>
      </w:r>
      <w:r w:rsidRPr="003F5DA8">
        <w:rPr>
          <w:sz w:val="18"/>
        </w:rPr>
        <w:br/>
      </w:r>
      <w:r w:rsidRPr="003F5DA8">
        <w:rPr>
          <w:sz w:val="18"/>
          <w:vertAlign w:val="superscript"/>
        </w:rPr>
        <w:t>**</w:t>
      </w:r>
      <w:r w:rsidRPr="003F5DA8">
        <w:rPr>
          <w:sz w:val="18"/>
        </w:rPr>
        <w:t>: producer gas contains trace gases (e.g. H</w:t>
      </w:r>
      <w:r w:rsidRPr="003F5DA8">
        <w:rPr>
          <w:sz w:val="18"/>
          <w:vertAlign w:val="subscript"/>
        </w:rPr>
        <w:t>2</w:t>
      </w:r>
      <w:r w:rsidRPr="003F5DA8">
        <w:rPr>
          <w:sz w:val="18"/>
        </w:rPr>
        <w:t>S, HCl, light hydrocarbons, etc.), tar and dust. Set-up and catalyst were assumed selected to minimize tar and C</w:t>
      </w:r>
      <w:r w:rsidRPr="003F5DA8">
        <w:rPr>
          <w:sz w:val="18"/>
          <w:vertAlign w:val="subscript"/>
        </w:rPr>
        <w:t>n</w:t>
      </w:r>
      <w:r w:rsidRPr="003F5DA8">
        <w:rPr>
          <w:sz w:val="18"/>
        </w:rPr>
        <w:t>H</w:t>
      </w:r>
      <w:r w:rsidRPr="003F5DA8">
        <w:rPr>
          <w:sz w:val="18"/>
          <w:vertAlign w:val="subscript"/>
        </w:rPr>
        <w:t>m</w:t>
      </w:r>
      <w:r w:rsidRPr="003F5DA8">
        <w:rPr>
          <w:sz w:val="18"/>
        </w:rPr>
        <w:t xml:space="preserve"> generation, usually corresponding to 1-5%</w:t>
      </w:r>
      <w:r w:rsidRPr="003F5DA8">
        <w:rPr>
          <w:sz w:val="18"/>
          <w:vertAlign w:val="subscript"/>
        </w:rPr>
        <w:t xml:space="preserve">vol </w:t>
      </w:r>
      <w:r w:rsidRPr="003F5DA8">
        <w:rPr>
          <w:sz w:val="18"/>
        </w:rPr>
        <w:t>of wet gas. Other contaminants were assumed removed during the producer gas cleaning stage, hence not displayed here.</w:t>
      </w:r>
    </w:p>
    <w:p w14:paraId="2AAFD753" w14:textId="77777777" w:rsidR="008C451C" w:rsidRDefault="008C451C">
      <w:pPr>
        <w:rPr>
          <w:sz w:val="18"/>
        </w:rPr>
      </w:pPr>
      <w:r>
        <w:rPr>
          <w:sz w:val="18"/>
        </w:rPr>
        <w:br w:type="page"/>
      </w:r>
    </w:p>
    <w:p w14:paraId="141342EF" w14:textId="4AA47790" w:rsidR="00F669A1" w:rsidRPr="003F5DA8" w:rsidRDefault="00583C1F" w:rsidP="00F669A1">
      <w:pPr>
        <w:jc w:val="both"/>
      </w:pPr>
      <w:r w:rsidRPr="00583C1F">
        <w:rPr>
          <w:b/>
        </w:rPr>
        <w:lastRenderedPageBreak/>
        <w:fldChar w:fldCharType="begin"/>
      </w:r>
      <w:r w:rsidRPr="00583C1F">
        <w:rPr>
          <w:b/>
        </w:rPr>
        <w:instrText xml:space="preserve"> REF _Ref144912806 \h </w:instrText>
      </w:r>
      <w:r>
        <w:rPr>
          <w:b/>
        </w:rPr>
        <w:instrText xml:space="preserve"> \* MERGEFORMAT </w:instrText>
      </w:r>
      <w:r w:rsidRPr="00583C1F">
        <w:rPr>
          <w:b/>
        </w:rPr>
      </w:r>
      <w:r w:rsidRPr="00583C1F">
        <w:rPr>
          <w:b/>
        </w:rPr>
        <w:fldChar w:fldCharType="separate"/>
      </w:r>
      <w:r w:rsidR="00F25F8C" w:rsidRPr="00F25F8C">
        <w:rPr>
          <w:b/>
        </w:rPr>
        <w:t xml:space="preserve">Table SI. </w:t>
      </w:r>
      <w:r w:rsidR="00F25F8C" w:rsidRPr="00F25F8C">
        <w:rPr>
          <w:b/>
          <w:noProof/>
        </w:rPr>
        <w:t>98</w:t>
      </w:r>
      <w:r w:rsidRPr="00583C1F">
        <w:rPr>
          <w:b/>
        </w:rPr>
        <w:fldChar w:fldCharType="end"/>
      </w:r>
      <w:r>
        <w:rPr>
          <w:b/>
        </w:rPr>
        <w:t xml:space="preserve"> </w:t>
      </w:r>
      <w:r w:rsidR="00F669A1" w:rsidRPr="003F5DA8">
        <w:t xml:space="preserve">shows that GA performances were modeled to represent higher range of reviewed experimental performances, yet in the limit achievable by the initial elemental composition of input streams. For example, unfavorable composition of countryside management grass and PAT (C:O ratio of ca. 2) would normally yield a producer gas of a lower hydrogen content. As this model considers a fixed syngas composition, this lower hydrogen content is achieved by an overall lower GA performance, respecting mass and energy balances.  In practice, input feedstocks would be monitored and mixed to provide homogeneous and suitable characteristics for GA, the present model only estimates the effect of a target feedstock of the whole substrate on GA outputs. Moreover, a direct consequence of choosing air as oxidizing agent is the dilution of producer gas with inert nitrogen (hence lowering the volumetric energy value and hydrogen share of producer gas). </w:t>
      </w:r>
    </w:p>
    <w:p w14:paraId="41FB8FC2" w14:textId="1F6BC188" w:rsidR="00F669A1" w:rsidRPr="00CF16A7" w:rsidRDefault="00874128" w:rsidP="00942782">
      <w:pPr>
        <w:pStyle w:val="Lgende"/>
        <w:jc w:val="left"/>
        <w:rPr>
          <w:b w:val="0"/>
          <w:i/>
        </w:rPr>
      </w:pPr>
      <w:bookmarkStart w:id="419" w:name="_Ref144912806"/>
      <w:bookmarkStart w:id="420" w:name="_Toc134537615"/>
      <w:bookmarkStart w:id="421" w:name="_Toc151967982"/>
      <w:r>
        <w:t>Table SI.</w:t>
      </w:r>
      <w:r w:rsidR="00F669A1">
        <w:t xml:space="preserve"> </w:t>
      </w:r>
      <w:r>
        <w:fldChar w:fldCharType="begin"/>
      </w:r>
      <w:r>
        <w:instrText xml:space="preserve"> SEQ Table_SI. \* ARABIC </w:instrText>
      </w:r>
      <w:r>
        <w:fldChar w:fldCharType="separate"/>
      </w:r>
      <w:r w:rsidR="00F25F8C">
        <w:rPr>
          <w:noProof/>
        </w:rPr>
        <w:t>98</w:t>
      </w:r>
      <w:r>
        <w:fldChar w:fldCharType="end"/>
      </w:r>
      <w:bookmarkEnd w:id="419"/>
      <w:r w:rsidR="00F669A1">
        <w:t xml:space="preserve"> </w:t>
      </w:r>
      <w:r w:rsidR="00F669A1" w:rsidRPr="002D5B5C">
        <w:t>– GA performances calculated on selected case studies</w:t>
      </w:r>
      <w:bookmarkEnd w:id="420"/>
      <w:bookmarkEnd w:id="421"/>
    </w:p>
    <w:tbl>
      <w:tblPr>
        <w:tblStyle w:val="Tableausimple2"/>
        <w:tblW w:w="0" w:type="auto"/>
        <w:tblLook w:val="04A0" w:firstRow="1" w:lastRow="0" w:firstColumn="1" w:lastColumn="0" w:noHBand="0" w:noVBand="1"/>
      </w:tblPr>
      <w:tblGrid>
        <w:gridCol w:w="2679"/>
        <w:gridCol w:w="1417"/>
        <w:gridCol w:w="1142"/>
        <w:gridCol w:w="1126"/>
        <w:gridCol w:w="709"/>
        <w:gridCol w:w="709"/>
        <w:gridCol w:w="1260"/>
      </w:tblGrid>
      <w:tr w:rsidR="00F669A1" w:rsidRPr="008C451C" w14:paraId="1F85AEEE" w14:textId="77777777" w:rsidTr="00942782">
        <w:trPr>
          <w:cnfStyle w:val="100000000000" w:firstRow="1" w:lastRow="0" w:firstColumn="0" w:lastColumn="0" w:oddVBand="0" w:evenVBand="0" w:oddHBand="0"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2679" w:type="dxa"/>
            <w:vMerge w:val="restart"/>
          </w:tcPr>
          <w:p w14:paraId="6AC6E382" w14:textId="77777777" w:rsidR="00F669A1" w:rsidRPr="008C451C" w:rsidRDefault="00F669A1" w:rsidP="000C3E59">
            <w:pPr>
              <w:jc w:val="right"/>
              <w:rPr>
                <w:sz w:val="18"/>
                <w:szCs w:val="18"/>
              </w:rPr>
            </w:pPr>
            <w:r w:rsidRPr="008C451C">
              <w:rPr>
                <w:sz w:val="18"/>
                <w:szCs w:val="18"/>
              </w:rPr>
              <w:t>Case studies</w:t>
            </w:r>
          </w:p>
        </w:tc>
        <w:tc>
          <w:tcPr>
            <w:tcW w:w="1417" w:type="dxa"/>
          </w:tcPr>
          <w:p w14:paraId="6B12F0DA"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szCs w:val="18"/>
              </w:rPr>
            </w:pPr>
            <w:r w:rsidRPr="008C451C">
              <w:rPr>
                <w:sz w:val="18"/>
                <w:szCs w:val="18"/>
              </w:rPr>
              <w:t>Fixed ER</w:t>
            </w:r>
          </w:p>
        </w:tc>
        <w:tc>
          <w:tcPr>
            <w:tcW w:w="1142" w:type="dxa"/>
          </w:tcPr>
          <w:p w14:paraId="50AEDA7F"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szCs w:val="18"/>
              </w:rPr>
            </w:pPr>
            <w:r w:rsidRPr="008C451C">
              <w:rPr>
                <w:sz w:val="18"/>
                <w:szCs w:val="18"/>
              </w:rPr>
              <w:t>Producer gas yield</w:t>
            </w:r>
          </w:p>
        </w:tc>
        <w:tc>
          <w:tcPr>
            <w:tcW w:w="1126" w:type="dxa"/>
          </w:tcPr>
          <w:p w14:paraId="5F012B5A"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szCs w:val="18"/>
              </w:rPr>
            </w:pPr>
            <w:r w:rsidRPr="008C451C">
              <w:rPr>
                <w:sz w:val="18"/>
                <w:szCs w:val="18"/>
              </w:rPr>
              <w:t>Converted carbon</w:t>
            </w:r>
          </w:p>
        </w:tc>
        <w:tc>
          <w:tcPr>
            <w:tcW w:w="709" w:type="dxa"/>
          </w:tcPr>
          <w:p w14:paraId="4AE90724"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szCs w:val="18"/>
              </w:rPr>
            </w:pPr>
            <w:r w:rsidRPr="008C451C">
              <w:rPr>
                <w:sz w:val="18"/>
                <w:szCs w:val="18"/>
              </w:rPr>
              <w:t>CGE</w:t>
            </w:r>
          </w:p>
        </w:tc>
        <w:tc>
          <w:tcPr>
            <w:tcW w:w="709" w:type="dxa"/>
          </w:tcPr>
          <w:p w14:paraId="68C3DC0C"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szCs w:val="18"/>
              </w:rPr>
            </w:pPr>
            <w:r w:rsidRPr="008C451C">
              <w:rPr>
                <w:sz w:val="18"/>
                <w:szCs w:val="18"/>
              </w:rPr>
              <w:t>HGE</w:t>
            </w:r>
          </w:p>
        </w:tc>
        <w:tc>
          <w:tcPr>
            <w:tcW w:w="1260" w:type="dxa"/>
          </w:tcPr>
          <w:p w14:paraId="3CDDAEBF"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szCs w:val="18"/>
              </w:rPr>
            </w:pPr>
            <w:r w:rsidRPr="008C451C">
              <w:rPr>
                <w:sz w:val="18"/>
                <w:szCs w:val="18"/>
              </w:rPr>
              <w:t>Gaschar yield</w:t>
            </w:r>
          </w:p>
        </w:tc>
      </w:tr>
      <w:tr w:rsidR="00F669A1" w:rsidRPr="008C451C" w14:paraId="0E400ACE" w14:textId="77777777" w:rsidTr="00942782">
        <w:trPr>
          <w:cnfStyle w:val="000000100000" w:firstRow="0" w:lastRow="0" w:firstColumn="0" w:lastColumn="0" w:oddVBand="0" w:evenVBand="0" w:oddHBand="1" w:evenHBand="0" w:firstRowFirstColumn="0" w:firstRowLastColumn="0" w:lastRowFirstColumn="0" w:lastRowLastColumn="0"/>
          <w:trHeight w:val="263"/>
        </w:trPr>
        <w:tc>
          <w:tcPr>
            <w:cnfStyle w:val="001000000000" w:firstRow="0" w:lastRow="0" w:firstColumn="1" w:lastColumn="0" w:oddVBand="0" w:evenVBand="0" w:oddHBand="0" w:evenHBand="0" w:firstRowFirstColumn="0" w:firstRowLastColumn="0" w:lastRowFirstColumn="0" w:lastRowLastColumn="0"/>
            <w:tcW w:w="2679" w:type="dxa"/>
            <w:vMerge/>
          </w:tcPr>
          <w:p w14:paraId="66949642" w14:textId="77777777" w:rsidR="00F669A1" w:rsidRPr="008C451C" w:rsidRDefault="00F669A1" w:rsidP="000C3E59">
            <w:pPr>
              <w:jc w:val="right"/>
              <w:rPr>
                <w:sz w:val="18"/>
                <w:szCs w:val="18"/>
              </w:rPr>
            </w:pPr>
          </w:p>
        </w:tc>
        <w:tc>
          <w:tcPr>
            <w:tcW w:w="1417" w:type="dxa"/>
          </w:tcPr>
          <w:p w14:paraId="6D554BD9"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b/>
                <w:sz w:val="18"/>
                <w:szCs w:val="18"/>
              </w:rPr>
            </w:pPr>
            <w:r w:rsidRPr="008C451C">
              <w:rPr>
                <w:b/>
                <w:color w:val="000000"/>
                <w:sz w:val="18"/>
                <w:szCs w:val="18"/>
              </w:rPr>
              <w:t>molO</w:t>
            </w:r>
            <w:r w:rsidRPr="008C451C">
              <w:rPr>
                <w:b/>
                <w:color w:val="000000"/>
                <w:sz w:val="18"/>
                <w:szCs w:val="18"/>
                <w:vertAlign w:val="subscript"/>
              </w:rPr>
              <w:t>2</w:t>
            </w:r>
            <w:r w:rsidRPr="008C451C">
              <w:rPr>
                <w:b/>
                <w:color w:val="000000"/>
                <w:sz w:val="18"/>
                <w:szCs w:val="18"/>
              </w:rPr>
              <w:t>.molO</w:t>
            </w:r>
            <w:r w:rsidRPr="008C451C">
              <w:rPr>
                <w:b/>
                <w:color w:val="000000"/>
                <w:sz w:val="18"/>
                <w:szCs w:val="18"/>
                <w:vertAlign w:val="subscript"/>
              </w:rPr>
              <w:t>2</w:t>
            </w:r>
            <w:r w:rsidRPr="008C451C">
              <w:rPr>
                <w:b/>
                <w:color w:val="000000"/>
                <w:sz w:val="18"/>
                <w:szCs w:val="18"/>
                <w:vertAlign w:val="superscript"/>
              </w:rPr>
              <w:t>-1</w:t>
            </w:r>
          </w:p>
        </w:tc>
        <w:tc>
          <w:tcPr>
            <w:tcW w:w="1142" w:type="dxa"/>
          </w:tcPr>
          <w:p w14:paraId="7C4BB6EB"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b/>
                <w:sz w:val="18"/>
                <w:szCs w:val="18"/>
              </w:rPr>
            </w:pPr>
            <w:bookmarkStart w:id="422" w:name="_Hlk141437223"/>
            <w:r w:rsidRPr="008C451C">
              <w:rPr>
                <w:b/>
                <w:color w:val="000000"/>
                <w:sz w:val="18"/>
                <w:szCs w:val="18"/>
              </w:rPr>
              <w:t>Nm</w:t>
            </w:r>
            <w:r w:rsidRPr="008C451C">
              <w:rPr>
                <w:b/>
                <w:color w:val="000000"/>
                <w:sz w:val="18"/>
                <w:szCs w:val="18"/>
                <w:vertAlign w:val="superscript"/>
              </w:rPr>
              <w:t>3</w:t>
            </w:r>
            <w:r w:rsidRPr="008C451C">
              <w:rPr>
                <w:b/>
                <w:color w:val="000000"/>
                <w:sz w:val="18"/>
                <w:szCs w:val="18"/>
              </w:rPr>
              <w:t>.kg</w:t>
            </w:r>
            <w:r w:rsidRPr="008C451C">
              <w:rPr>
                <w:b/>
                <w:color w:val="000000"/>
                <w:sz w:val="18"/>
                <w:szCs w:val="18"/>
                <w:vertAlign w:val="subscript"/>
              </w:rPr>
              <w:t>ww</w:t>
            </w:r>
            <w:r w:rsidRPr="008C451C">
              <w:rPr>
                <w:b/>
                <w:color w:val="000000"/>
                <w:sz w:val="18"/>
                <w:szCs w:val="18"/>
                <w:vertAlign w:val="superscript"/>
              </w:rPr>
              <w:t>-1</w:t>
            </w:r>
            <w:bookmarkEnd w:id="422"/>
          </w:p>
        </w:tc>
        <w:tc>
          <w:tcPr>
            <w:tcW w:w="1126" w:type="dxa"/>
          </w:tcPr>
          <w:p w14:paraId="7FB55592"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b/>
                <w:sz w:val="18"/>
                <w:szCs w:val="18"/>
              </w:rPr>
            </w:pPr>
            <w:r w:rsidRPr="008C451C">
              <w:rPr>
                <w:b/>
                <w:sz w:val="18"/>
                <w:szCs w:val="18"/>
              </w:rPr>
              <w:t>%</w:t>
            </w:r>
            <w:r w:rsidRPr="008C451C">
              <w:rPr>
                <w:b/>
                <w:sz w:val="18"/>
                <w:szCs w:val="18"/>
                <w:vertAlign w:val="subscript"/>
              </w:rPr>
              <w:t>C</w:t>
            </w:r>
          </w:p>
        </w:tc>
        <w:tc>
          <w:tcPr>
            <w:tcW w:w="709" w:type="dxa"/>
          </w:tcPr>
          <w:p w14:paraId="6AA0BA26"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b/>
                <w:sz w:val="18"/>
                <w:szCs w:val="18"/>
              </w:rPr>
            </w:pPr>
            <w:r w:rsidRPr="008C451C">
              <w:rPr>
                <w:b/>
                <w:sz w:val="18"/>
                <w:szCs w:val="18"/>
              </w:rPr>
              <w:t>%</w:t>
            </w:r>
            <w:r w:rsidRPr="008C451C">
              <w:rPr>
                <w:b/>
                <w:sz w:val="18"/>
                <w:szCs w:val="18"/>
                <w:vertAlign w:val="subscript"/>
              </w:rPr>
              <w:t>HHV</w:t>
            </w:r>
          </w:p>
        </w:tc>
        <w:tc>
          <w:tcPr>
            <w:tcW w:w="709" w:type="dxa"/>
          </w:tcPr>
          <w:p w14:paraId="3312243D"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b/>
                <w:sz w:val="18"/>
                <w:szCs w:val="18"/>
              </w:rPr>
            </w:pPr>
            <w:r w:rsidRPr="008C451C">
              <w:rPr>
                <w:b/>
                <w:sz w:val="18"/>
                <w:szCs w:val="18"/>
              </w:rPr>
              <w:t>%</w:t>
            </w:r>
            <w:r w:rsidRPr="008C451C">
              <w:rPr>
                <w:b/>
                <w:sz w:val="18"/>
                <w:szCs w:val="18"/>
                <w:vertAlign w:val="subscript"/>
              </w:rPr>
              <w:t>HHV</w:t>
            </w:r>
          </w:p>
        </w:tc>
        <w:tc>
          <w:tcPr>
            <w:tcW w:w="1260" w:type="dxa"/>
          </w:tcPr>
          <w:p w14:paraId="5A05093B"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b/>
                <w:sz w:val="18"/>
                <w:szCs w:val="18"/>
              </w:rPr>
            </w:pPr>
            <w:proofErr w:type="gramStart"/>
            <w:r w:rsidRPr="008C451C">
              <w:rPr>
                <w:b/>
                <w:color w:val="000000"/>
                <w:sz w:val="18"/>
                <w:szCs w:val="18"/>
              </w:rPr>
              <w:t>kg.kg</w:t>
            </w:r>
            <w:r w:rsidRPr="008C451C">
              <w:rPr>
                <w:b/>
                <w:color w:val="000000"/>
                <w:sz w:val="18"/>
                <w:szCs w:val="18"/>
                <w:vertAlign w:val="subscript"/>
              </w:rPr>
              <w:t>DM</w:t>
            </w:r>
            <w:proofErr w:type="gramEnd"/>
            <w:r w:rsidRPr="008C451C">
              <w:rPr>
                <w:b/>
                <w:color w:val="000000"/>
                <w:sz w:val="18"/>
                <w:szCs w:val="18"/>
                <w:vertAlign w:val="superscript"/>
              </w:rPr>
              <w:t>-1</w:t>
            </w:r>
          </w:p>
        </w:tc>
      </w:tr>
      <w:tr w:rsidR="00F669A1" w:rsidRPr="008C451C" w14:paraId="07D3AB35" w14:textId="77777777" w:rsidTr="00942782">
        <w:tc>
          <w:tcPr>
            <w:cnfStyle w:val="001000000000" w:firstRow="0" w:lastRow="0" w:firstColumn="1" w:lastColumn="0" w:oddVBand="0" w:evenVBand="0" w:oddHBand="0" w:evenHBand="0" w:firstRowFirstColumn="0" w:firstRowLastColumn="0" w:lastRowFirstColumn="0" w:lastRowLastColumn="0"/>
            <w:tcW w:w="2679" w:type="dxa"/>
          </w:tcPr>
          <w:p w14:paraId="49EB49AA" w14:textId="77777777" w:rsidR="00F669A1" w:rsidRPr="008C451C" w:rsidRDefault="00F669A1" w:rsidP="000C3E59">
            <w:pPr>
              <w:jc w:val="right"/>
              <w:rPr>
                <w:sz w:val="18"/>
                <w:szCs w:val="18"/>
              </w:rPr>
            </w:pPr>
            <w:r w:rsidRPr="008C451C">
              <w:rPr>
                <w:sz w:val="18"/>
                <w:szCs w:val="18"/>
              </w:rPr>
              <w:t>Hardwood residues</w:t>
            </w:r>
          </w:p>
        </w:tc>
        <w:tc>
          <w:tcPr>
            <w:tcW w:w="1417" w:type="dxa"/>
          </w:tcPr>
          <w:p w14:paraId="6275EDE0"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b/>
                <w:sz w:val="18"/>
                <w:szCs w:val="18"/>
              </w:rPr>
            </w:pPr>
            <w:r w:rsidRPr="008C451C">
              <w:rPr>
                <w:b/>
                <w:sz w:val="18"/>
                <w:szCs w:val="18"/>
              </w:rPr>
              <w:t>0.32</w:t>
            </w:r>
          </w:p>
        </w:tc>
        <w:tc>
          <w:tcPr>
            <w:tcW w:w="1142" w:type="dxa"/>
          </w:tcPr>
          <w:p w14:paraId="61339286"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2.39</w:t>
            </w:r>
          </w:p>
        </w:tc>
        <w:tc>
          <w:tcPr>
            <w:tcW w:w="1126" w:type="dxa"/>
          </w:tcPr>
          <w:p w14:paraId="12890AF4"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93%</w:t>
            </w:r>
          </w:p>
        </w:tc>
        <w:tc>
          <w:tcPr>
            <w:tcW w:w="709" w:type="dxa"/>
          </w:tcPr>
          <w:p w14:paraId="2E75F82D"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70%</w:t>
            </w:r>
          </w:p>
        </w:tc>
        <w:tc>
          <w:tcPr>
            <w:tcW w:w="709" w:type="dxa"/>
          </w:tcPr>
          <w:p w14:paraId="7EBE9F66"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81%</w:t>
            </w:r>
          </w:p>
        </w:tc>
        <w:tc>
          <w:tcPr>
            <w:tcW w:w="1260" w:type="dxa"/>
          </w:tcPr>
          <w:p w14:paraId="71F61013"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0.16</w:t>
            </w:r>
          </w:p>
        </w:tc>
      </w:tr>
      <w:tr w:rsidR="00F669A1" w:rsidRPr="008C451C" w14:paraId="6E0EA4B0"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9" w:type="dxa"/>
          </w:tcPr>
          <w:p w14:paraId="5E5BBEEF" w14:textId="77777777" w:rsidR="00F669A1" w:rsidRPr="008C451C" w:rsidRDefault="00F669A1" w:rsidP="000C3E59">
            <w:pPr>
              <w:jc w:val="right"/>
              <w:rPr>
                <w:sz w:val="18"/>
                <w:szCs w:val="18"/>
              </w:rPr>
            </w:pPr>
            <w:r w:rsidRPr="008C451C">
              <w:rPr>
                <w:sz w:val="18"/>
                <w:szCs w:val="18"/>
              </w:rPr>
              <w:t>Sawmill waste</w:t>
            </w:r>
          </w:p>
        </w:tc>
        <w:tc>
          <w:tcPr>
            <w:tcW w:w="1417" w:type="dxa"/>
          </w:tcPr>
          <w:p w14:paraId="00B8B6E3"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b/>
                <w:sz w:val="18"/>
                <w:szCs w:val="18"/>
              </w:rPr>
            </w:pPr>
            <w:r w:rsidRPr="008C451C">
              <w:rPr>
                <w:b/>
                <w:sz w:val="18"/>
                <w:szCs w:val="18"/>
              </w:rPr>
              <w:t>0.32</w:t>
            </w:r>
          </w:p>
        </w:tc>
        <w:tc>
          <w:tcPr>
            <w:tcW w:w="1142" w:type="dxa"/>
          </w:tcPr>
          <w:p w14:paraId="494CD0B2"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2.28</w:t>
            </w:r>
          </w:p>
        </w:tc>
        <w:tc>
          <w:tcPr>
            <w:tcW w:w="1126" w:type="dxa"/>
          </w:tcPr>
          <w:p w14:paraId="22EF1947"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93%</w:t>
            </w:r>
          </w:p>
        </w:tc>
        <w:tc>
          <w:tcPr>
            <w:tcW w:w="709" w:type="dxa"/>
          </w:tcPr>
          <w:p w14:paraId="49A98B37"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69%</w:t>
            </w:r>
          </w:p>
        </w:tc>
        <w:tc>
          <w:tcPr>
            <w:tcW w:w="709" w:type="dxa"/>
          </w:tcPr>
          <w:p w14:paraId="084E8F55"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81%</w:t>
            </w:r>
          </w:p>
        </w:tc>
        <w:tc>
          <w:tcPr>
            <w:tcW w:w="1260" w:type="dxa"/>
          </w:tcPr>
          <w:p w14:paraId="48DD54E5"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0.21</w:t>
            </w:r>
          </w:p>
        </w:tc>
      </w:tr>
      <w:tr w:rsidR="00F669A1" w:rsidRPr="008C451C" w14:paraId="38A9CF5C" w14:textId="77777777" w:rsidTr="00942782">
        <w:tc>
          <w:tcPr>
            <w:cnfStyle w:val="001000000000" w:firstRow="0" w:lastRow="0" w:firstColumn="1" w:lastColumn="0" w:oddVBand="0" w:evenVBand="0" w:oddHBand="0" w:evenHBand="0" w:firstRowFirstColumn="0" w:firstRowLastColumn="0" w:lastRowFirstColumn="0" w:lastRowLastColumn="0"/>
            <w:tcW w:w="2679" w:type="dxa"/>
          </w:tcPr>
          <w:p w14:paraId="42D0E96D" w14:textId="77777777" w:rsidR="00F669A1" w:rsidRPr="008C451C" w:rsidRDefault="00F669A1" w:rsidP="000C3E59">
            <w:pPr>
              <w:jc w:val="right"/>
              <w:rPr>
                <w:sz w:val="18"/>
                <w:szCs w:val="18"/>
              </w:rPr>
            </w:pPr>
            <w:r w:rsidRPr="008C451C">
              <w:rPr>
                <w:sz w:val="18"/>
                <w:szCs w:val="18"/>
              </w:rPr>
              <w:t>Wheat straw</w:t>
            </w:r>
          </w:p>
        </w:tc>
        <w:tc>
          <w:tcPr>
            <w:tcW w:w="1417" w:type="dxa"/>
          </w:tcPr>
          <w:p w14:paraId="6397CD3E"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b/>
                <w:sz w:val="18"/>
                <w:szCs w:val="18"/>
              </w:rPr>
            </w:pPr>
            <w:r w:rsidRPr="008C451C">
              <w:rPr>
                <w:b/>
                <w:sz w:val="18"/>
                <w:szCs w:val="18"/>
              </w:rPr>
              <w:t>0.32</w:t>
            </w:r>
          </w:p>
        </w:tc>
        <w:tc>
          <w:tcPr>
            <w:tcW w:w="1142" w:type="dxa"/>
          </w:tcPr>
          <w:p w14:paraId="51A9AAC6"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2.36</w:t>
            </w:r>
          </w:p>
        </w:tc>
        <w:tc>
          <w:tcPr>
            <w:tcW w:w="1126" w:type="dxa"/>
          </w:tcPr>
          <w:p w14:paraId="7509534E"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95%</w:t>
            </w:r>
          </w:p>
        </w:tc>
        <w:tc>
          <w:tcPr>
            <w:tcW w:w="709" w:type="dxa"/>
          </w:tcPr>
          <w:p w14:paraId="01CDCE54"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73%</w:t>
            </w:r>
          </w:p>
        </w:tc>
        <w:tc>
          <w:tcPr>
            <w:tcW w:w="709" w:type="dxa"/>
          </w:tcPr>
          <w:p w14:paraId="4F710AB6"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86%</w:t>
            </w:r>
          </w:p>
        </w:tc>
        <w:tc>
          <w:tcPr>
            <w:tcW w:w="1260" w:type="dxa"/>
          </w:tcPr>
          <w:p w14:paraId="3EB4C9AD"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0.17</w:t>
            </w:r>
          </w:p>
        </w:tc>
      </w:tr>
      <w:tr w:rsidR="00F669A1" w:rsidRPr="008C451C" w14:paraId="1EA865AC" w14:textId="77777777" w:rsidTr="00942782">
        <w:trPr>
          <w:cnfStyle w:val="000000100000" w:firstRow="0" w:lastRow="0" w:firstColumn="0" w:lastColumn="0" w:oddVBand="0" w:evenVBand="0" w:oddHBand="1" w:evenHBand="0" w:firstRowFirstColumn="0" w:firstRowLastColumn="0" w:lastRowFirstColumn="0" w:lastRowLastColumn="0"/>
          <w:trHeight w:val="143"/>
        </w:trPr>
        <w:tc>
          <w:tcPr>
            <w:cnfStyle w:val="001000000000" w:firstRow="0" w:lastRow="0" w:firstColumn="1" w:lastColumn="0" w:oddVBand="0" w:evenVBand="0" w:oddHBand="0" w:evenHBand="0" w:firstRowFirstColumn="0" w:firstRowLastColumn="0" w:lastRowFirstColumn="0" w:lastRowLastColumn="0"/>
            <w:tcW w:w="2679" w:type="dxa"/>
          </w:tcPr>
          <w:p w14:paraId="6584CA45" w14:textId="77777777" w:rsidR="00F669A1" w:rsidRPr="008C451C" w:rsidRDefault="00F669A1" w:rsidP="000C3E59">
            <w:pPr>
              <w:jc w:val="right"/>
              <w:rPr>
                <w:sz w:val="18"/>
                <w:szCs w:val="18"/>
              </w:rPr>
            </w:pPr>
            <w:r w:rsidRPr="008C451C">
              <w:rPr>
                <w:sz w:val="18"/>
                <w:szCs w:val="18"/>
              </w:rPr>
              <w:t>Countryside management grass</w:t>
            </w:r>
          </w:p>
        </w:tc>
        <w:tc>
          <w:tcPr>
            <w:tcW w:w="1417" w:type="dxa"/>
          </w:tcPr>
          <w:p w14:paraId="3250AEB4"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b/>
                <w:sz w:val="18"/>
                <w:szCs w:val="18"/>
              </w:rPr>
            </w:pPr>
            <w:r w:rsidRPr="008C451C">
              <w:rPr>
                <w:b/>
                <w:sz w:val="18"/>
                <w:szCs w:val="18"/>
              </w:rPr>
              <w:t>0.26</w:t>
            </w:r>
          </w:p>
        </w:tc>
        <w:tc>
          <w:tcPr>
            <w:tcW w:w="1142" w:type="dxa"/>
          </w:tcPr>
          <w:p w14:paraId="5C4B0FF9"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2.37</w:t>
            </w:r>
          </w:p>
        </w:tc>
        <w:tc>
          <w:tcPr>
            <w:tcW w:w="1126" w:type="dxa"/>
          </w:tcPr>
          <w:p w14:paraId="46B0A277"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88%</w:t>
            </w:r>
          </w:p>
        </w:tc>
        <w:tc>
          <w:tcPr>
            <w:tcW w:w="709" w:type="dxa"/>
          </w:tcPr>
          <w:p w14:paraId="0155955D"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80%</w:t>
            </w:r>
          </w:p>
        </w:tc>
        <w:tc>
          <w:tcPr>
            <w:tcW w:w="709" w:type="dxa"/>
          </w:tcPr>
          <w:p w14:paraId="4B4FB400"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94%</w:t>
            </w:r>
          </w:p>
        </w:tc>
        <w:tc>
          <w:tcPr>
            <w:tcW w:w="1260" w:type="dxa"/>
          </w:tcPr>
          <w:p w14:paraId="4BB94C14"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0.15</w:t>
            </w:r>
          </w:p>
        </w:tc>
      </w:tr>
      <w:tr w:rsidR="00F669A1" w:rsidRPr="008C451C" w14:paraId="46AEF6CA" w14:textId="77777777" w:rsidTr="00942782">
        <w:tc>
          <w:tcPr>
            <w:cnfStyle w:val="001000000000" w:firstRow="0" w:lastRow="0" w:firstColumn="1" w:lastColumn="0" w:oddVBand="0" w:evenVBand="0" w:oddHBand="0" w:evenHBand="0" w:firstRowFirstColumn="0" w:firstRowLastColumn="0" w:lastRowFirstColumn="0" w:lastRowLastColumn="0"/>
            <w:tcW w:w="2679" w:type="dxa"/>
          </w:tcPr>
          <w:p w14:paraId="3D51391F" w14:textId="77777777" w:rsidR="00F669A1" w:rsidRPr="008C451C" w:rsidRDefault="00F669A1" w:rsidP="000C3E59">
            <w:pPr>
              <w:jc w:val="right"/>
              <w:rPr>
                <w:sz w:val="18"/>
                <w:szCs w:val="18"/>
              </w:rPr>
            </w:pPr>
            <w:r w:rsidRPr="008C451C">
              <w:rPr>
                <w:sz w:val="18"/>
                <w:szCs w:val="18"/>
              </w:rPr>
              <w:t>Sugarbeet tops</w:t>
            </w:r>
          </w:p>
        </w:tc>
        <w:tc>
          <w:tcPr>
            <w:tcW w:w="1417" w:type="dxa"/>
          </w:tcPr>
          <w:p w14:paraId="70093898"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b/>
                <w:sz w:val="18"/>
                <w:szCs w:val="18"/>
              </w:rPr>
            </w:pPr>
            <w:r w:rsidRPr="008C451C">
              <w:rPr>
                <w:b/>
                <w:sz w:val="18"/>
                <w:szCs w:val="18"/>
              </w:rPr>
              <w:t>0.31</w:t>
            </w:r>
          </w:p>
        </w:tc>
        <w:tc>
          <w:tcPr>
            <w:tcW w:w="1142" w:type="dxa"/>
          </w:tcPr>
          <w:p w14:paraId="2CCD135C"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2.12</w:t>
            </w:r>
          </w:p>
        </w:tc>
        <w:tc>
          <w:tcPr>
            <w:tcW w:w="1126" w:type="dxa"/>
          </w:tcPr>
          <w:p w14:paraId="526C78E0"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98%</w:t>
            </w:r>
          </w:p>
        </w:tc>
        <w:tc>
          <w:tcPr>
            <w:tcW w:w="709" w:type="dxa"/>
          </w:tcPr>
          <w:p w14:paraId="26661C04"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74%</w:t>
            </w:r>
          </w:p>
        </w:tc>
        <w:tc>
          <w:tcPr>
            <w:tcW w:w="709" w:type="dxa"/>
          </w:tcPr>
          <w:p w14:paraId="364D9BD9"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87%</w:t>
            </w:r>
          </w:p>
        </w:tc>
        <w:tc>
          <w:tcPr>
            <w:tcW w:w="1260" w:type="dxa"/>
          </w:tcPr>
          <w:p w14:paraId="5A6097DE"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0.24</w:t>
            </w:r>
          </w:p>
        </w:tc>
      </w:tr>
      <w:tr w:rsidR="00F669A1" w:rsidRPr="008C451C" w14:paraId="68916D47" w14:textId="77777777" w:rsidTr="00942782">
        <w:trPr>
          <w:cnfStyle w:val="000000100000" w:firstRow="0" w:lastRow="0" w:firstColumn="0" w:lastColumn="0" w:oddVBand="0" w:evenVBand="0" w:oddHBand="1" w:evenHBand="0" w:firstRowFirstColumn="0" w:firstRowLastColumn="0" w:lastRowFirstColumn="0" w:lastRowLastColumn="0"/>
          <w:trHeight w:val="44"/>
        </w:trPr>
        <w:tc>
          <w:tcPr>
            <w:cnfStyle w:val="001000000000" w:firstRow="0" w:lastRow="0" w:firstColumn="1" w:lastColumn="0" w:oddVBand="0" w:evenVBand="0" w:oddHBand="0" w:evenHBand="0" w:firstRowFirstColumn="0" w:firstRowLastColumn="0" w:lastRowFirstColumn="0" w:lastRowLastColumn="0"/>
            <w:tcW w:w="2679" w:type="dxa"/>
          </w:tcPr>
          <w:p w14:paraId="413E86BD" w14:textId="77777777" w:rsidR="00F669A1" w:rsidRPr="008C451C" w:rsidRDefault="00F669A1" w:rsidP="000C3E59">
            <w:pPr>
              <w:jc w:val="right"/>
              <w:rPr>
                <w:sz w:val="18"/>
                <w:szCs w:val="18"/>
              </w:rPr>
            </w:pPr>
            <w:r w:rsidRPr="008C451C">
              <w:rPr>
                <w:sz w:val="18"/>
                <w:szCs w:val="18"/>
              </w:rPr>
              <w:t>Household food waste</w:t>
            </w:r>
          </w:p>
        </w:tc>
        <w:tc>
          <w:tcPr>
            <w:tcW w:w="1417" w:type="dxa"/>
          </w:tcPr>
          <w:p w14:paraId="16C3D4F5"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b/>
                <w:sz w:val="18"/>
                <w:szCs w:val="18"/>
              </w:rPr>
            </w:pPr>
            <w:r w:rsidRPr="008C451C">
              <w:rPr>
                <w:b/>
                <w:sz w:val="18"/>
                <w:szCs w:val="18"/>
              </w:rPr>
              <w:t>0.29</w:t>
            </w:r>
          </w:p>
        </w:tc>
        <w:tc>
          <w:tcPr>
            <w:tcW w:w="1142" w:type="dxa"/>
          </w:tcPr>
          <w:p w14:paraId="71CD7BBD"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2.48</w:t>
            </w:r>
          </w:p>
        </w:tc>
        <w:tc>
          <w:tcPr>
            <w:tcW w:w="1126" w:type="dxa"/>
          </w:tcPr>
          <w:p w14:paraId="7310FF76"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93%</w:t>
            </w:r>
          </w:p>
        </w:tc>
        <w:tc>
          <w:tcPr>
            <w:tcW w:w="709" w:type="dxa"/>
          </w:tcPr>
          <w:p w14:paraId="6E25512B"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75%</w:t>
            </w:r>
          </w:p>
        </w:tc>
        <w:tc>
          <w:tcPr>
            <w:tcW w:w="709" w:type="dxa"/>
          </w:tcPr>
          <w:p w14:paraId="28A7CFD7"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87%</w:t>
            </w:r>
          </w:p>
        </w:tc>
        <w:tc>
          <w:tcPr>
            <w:tcW w:w="1260" w:type="dxa"/>
          </w:tcPr>
          <w:p w14:paraId="48DD3044"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0.09</w:t>
            </w:r>
          </w:p>
        </w:tc>
      </w:tr>
      <w:tr w:rsidR="00F669A1" w:rsidRPr="008C451C" w14:paraId="08063BA1" w14:textId="77777777" w:rsidTr="00942782">
        <w:tc>
          <w:tcPr>
            <w:cnfStyle w:val="001000000000" w:firstRow="0" w:lastRow="0" w:firstColumn="1" w:lastColumn="0" w:oddVBand="0" w:evenVBand="0" w:oddHBand="0" w:evenHBand="0" w:firstRowFirstColumn="0" w:firstRowLastColumn="0" w:lastRowFirstColumn="0" w:lastRowLastColumn="0"/>
            <w:tcW w:w="2679" w:type="dxa"/>
          </w:tcPr>
          <w:p w14:paraId="2E1A2F0F" w14:textId="77777777" w:rsidR="00F669A1" w:rsidRPr="008C451C" w:rsidRDefault="00F669A1" w:rsidP="000C3E59">
            <w:pPr>
              <w:jc w:val="right"/>
              <w:rPr>
                <w:sz w:val="18"/>
                <w:szCs w:val="18"/>
              </w:rPr>
            </w:pPr>
            <w:r w:rsidRPr="008C451C">
              <w:rPr>
                <w:sz w:val="18"/>
                <w:szCs w:val="18"/>
              </w:rPr>
              <w:t>PAT</w:t>
            </w:r>
          </w:p>
        </w:tc>
        <w:tc>
          <w:tcPr>
            <w:tcW w:w="1417" w:type="dxa"/>
          </w:tcPr>
          <w:p w14:paraId="3D8C2C5D"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b/>
                <w:sz w:val="18"/>
                <w:szCs w:val="18"/>
              </w:rPr>
            </w:pPr>
            <w:r w:rsidRPr="008C451C">
              <w:rPr>
                <w:b/>
                <w:sz w:val="18"/>
                <w:szCs w:val="18"/>
              </w:rPr>
              <w:t>0.22</w:t>
            </w:r>
          </w:p>
        </w:tc>
        <w:tc>
          <w:tcPr>
            <w:tcW w:w="1142" w:type="dxa"/>
          </w:tcPr>
          <w:p w14:paraId="458EC46D"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2.35</w:t>
            </w:r>
          </w:p>
        </w:tc>
        <w:tc>
          <w:tcPr>
            <w:tcW w:w="1126" w:type="dxa"/>
          </w:tcPr>
          <w:p w14:paraId="11125EDF"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80%</w:t>
            </w:r>
          </w:p>
        </w:tc>
        <w:tc>
          <w:tcPr>
            <w:tcW w:w="709" w:type="dxa"/>
          </w:tcPr>
          <w:p w14:paraId="08CE3940"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68%</w:t>
            </w:r>
          </w:p>
        </w:tc>
        <w:tc>
          <w:tcPr>
            <w:tcW w:w="709" w:type="dxa"/>
          </w:tcPr>
          <w:p w14:paraId="6A77147B"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80%</w:t>
            </w:r>
          </w:p>
        </w:tc>
        <w:tc>
          <w:tcPr>
            <w:tcW w:w="1260" w:type="dxa"/>
          </w:tcPr>
          <w:p w14:paraId="7559906A"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0.07</w:t>
            </w:r>
          </w:p>
        </w:tc>
      </w:tr>
      <w:tr w:rsidR="00F669A1" w:rsidRPr="008C451C" w14:paraId="0EF28538"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79" w:type="dxa"/>
          </w:tcPr>
          <w:p w14:paraId="722A528C" w14:textId="77777777" w:rsidR="00F669A1" w:rsidRPr="008C451C" w:rsidRDefault="00F669A1" w:rsidP="000C3E59">
            <w:pPr>
              <w:jc w:val="right"/>
              <w:rPr>
                <w:i/>
                <w:sz w:val="18"/>
                <w:szCs w:val="18"/>
              </w:rPr>
            </w:pPr>
            <w:r w:rsidRPr="008C451C">
              <w:rPr>
                <w:i/>
                <w:sz w:val="18"/>
                <w:szCs w:val="18"/>
              </w:rPr>
              <w:t>Comments</w:t>
            </w:r>
          </w:p>
        </w:tc>
        <w:tc>
          <w:tcPr>
            <w:tcW w:w="6363" w:type="dxa"/>
            <w:gridSpan w:val="6"/>
          </w:tcPr>
          <w:p w14:paraId="5CADB480" w14:textId="40A1A2D2"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i/>
                <w:sz w:val="18"/>
                <w:szCs w:val="18"/>
                <w:highlight w:val="yellow"/>
              </w:rPr>
            </w:pPr>
            <w:r w:rsidRPr="008C451C">
              <w:rPr>
                <w:i/>
                <w:sz w:val="18"/>
                <w:szCs w:val="18"/>
              </w:rPr>
              <w:t>ER was fixed in order to achieve GA performances within the higher range of reviewed performances (</w:t>
            </w:r>
            <w:r w:rsidR="00583C1F" w:rsidRPr="008C451C">
              <w:rPr>
                <w:b/>
                <w:i/>
                <w:sz w:val="18"/>
                <w:szCs w:val="18"/>
              </w:rPr>
              <w:fldChar w:fldCharType="begin"/>
            </w:r>
            <w:r w:rsidR="00583C1F" w:rsidRPr="008C451C">
              <w:rPr>
                <w:b/>
                <w:i/>
                <w:sz w:val="18"/>
                <w:szCs w:val="18"/>
              </w:rPr>
              <w:instrText xml:space="preserve"> REF _Ref144912829 \h  \* MERGEFORMAT </w:instrText>
            </w:r>
            <w:r w:rsidR="00583C1F" w:rsidRPr="008C451C">
              <w:rPr>
                <w:b/>
                <w:i/>
                <w:sz w:val="18"/>
                <w:szCs w:val="18"/>
              </w:rPr>
            </w:r>
            <w:r w:rsidR="00583C1F" w:rsidRPr="008C451C">
              <w:rPr>
                <w:b/>
                <w:i/>
                <w:sz w:val="18"/>
                <w:szCs w:val="18"/>
              </w:rPr>
              <w:fldChar w:fldCharType="separate"/>
            </w:r>
            <w:r w:rsidR="00F25F8C" w:rsidRPr="008C451C">
              <w:rPr>
                <w:b/>
                <w:i/>
                <w:sz w:val="18"/>
                <w:szCs w:val="18"/>
              </w:rPr>
              <w:t xml:space="preserve">Table SI. </w:t>
            </w:r>
            <w:r w:rsidR="00F25F8C" w:rsidRPr="008C451C">
              <w:rPr>
                <w:b/>
                <w:i/>
                <w:noProof/>
                <w:sz w:val="18"/>
                <w:szCs w:val="18"/>
              </w:rPr>
              <w:t>97</w:t>
            </w:r>
            <w:r w:rsidR="00583C1F" w:rsidRPr="008C451C">
              <w:rPr>
                <w:b/>
                <w:i/>
                <w:sz w:val="18"/>
                <w:szCs w:val="18"/>
              </w:rPr>
              <w:fldChar w:fldCharType="end"/>
            </w:r>
            <w:r w:rsidRPr="008C451C">
              <w:rPr>
                <w:i/>
                <w:sz w:val="18"/>
                <w:szCs w:val="18"/>
              </w:rPr>
              <w:t>).</w:t>
            </w:r>
          </w:p>
        </w:tc>
      </w:tr>
    </w:tbl>
    <w:p w14:paraId="08ED6C58" w14:textId="77777777" w:rsidR="00F669A1" w:rsidRPr="003F5DA8" w:rsidRDefault="00F669A1" w:rsidP="00F669A1">
      <w:pPr>
        <w:jc w:val="both"/>
        <w:rPr>
          <w:sz w:val="18"/>
        </w:rPr>
      </w:pPr>
      <w:r w:rsidRPr="003F5DA8">
        <w:rPr>
          <w:sz w:val="18"/>
        </w:rPr>
        <w:t xml:space="preserve">To ensure mass and energy balance of GA through simulations, ER was not considered as a technology parameter for the sensitivity analysis. Hot gas efficiency (HGE) represents the overall energy conversion efficiency of the GA process. Distance to 100% represents the energy lost due to autothermal conditions and gaschar </w:t>
      </w:r>
      <w:r>
        <w:rPr>
          <w:sz w:val="18"/>
        </w:rPr>
        <w:t>enthalpy</w:t>
      </w:r>
      <w:r w:rsidRPr="003F5DA8">
        <w:rPr>
          <w:sz w:val="18"/>
        </w:rPr>
        <w:t xml:space="preserve">. Cold gas efficiency (CGE) represents the energy conversion efficiency not considering the </w:t>
      </w:r>
      <w:r>
        <w:rPr>
          <w:sz w:val="18"/>
        </w:rPr>
        <w:t>sensible</w:t>
      </w:r>
      <w:r w:rsidRPr="003F5DA8">
        <w:rPr>
          <w:sz w:val="18"/>
        </w:rPr>
        <w:t xml:space="preserve"> heat present in the 900°C producer gas at reactor’s gate.</w:t>
      </w:r>
    </w:p>
    <w:p w14:paraId="17622BE3" w14:textId="7E2DD464" w:rsidR="00F669A1" w:rsidRPr="003F5DA8" w:rsidRDefault="00F669A1" w:rsidP="00F669A1">
      <w:pPr>
        <w:jc w:val="both"/>
      </w:pPr>
      <w:r w:rsidRPr="003F5DA8">
        <w:t xml:space="preserve">Utilities, facilities and emissions were mostly estimated by adapting existing ecoinvent background processes and studies by </w:t>
      </w:r>
      <w:bookmarkStart w:id="423" w:name="_Hlk141437469"/>
      <w:r w:rsidRPr="003F5DA8">
        <w:t>Ardolino and Arena, 2019</w:t>
      </w:r>
      <w:r w:rsidRPr="003F5DA8">
        <w:fldChar w:fldCharType="begin"/>
      </w:r>
      <w:r w:rsidR="00991F7C">
        <w:instrText xml:space="preserve"> ADDIN ZOTERO_ITEM CSL_CITATION {"citationID":"YzXJAEVw","properties":{"formattedCitation":"\\super 339\\nosupersub{}","plainCitation":"339","noteIndex":0},"citationItems":[{"id":12976,"uris":["http://zotero.org/users/6423791/items/RZUM6KPP"],"itemData":{"id":12976,"type":"article-journal","abstract":"Biomethane produced from waste-derived biomass (biowaste) is a clean and renewable fuel, which offers substantial reductions of greenhouse gas emissions and resource consumption. Biomethane is currently produced via the “biogas road”, which includes the anaerobic digestion of wet biowaste and a successive upgrading of obtained biogas, with good environmental performance. An alternative production strategy is the “syngas road”, which includes the gasification of dry or semi-dry biowaste followed by cleaning, conditioning, methanation, and final upgrading of obtained syngas. It is still at a demonstration level but appears of great interest for the highest values of energy efficiency and carbon utilisation. The study acquired technical data from existing plants of both these strategies, and developed a quantitative environmental assessment by means of holistic tools of sustainable engineering: material and substance flow analyses and an attributional life cycle assessment. The technical and environmental performance of the two biomethane roads have been then compared, in terms of energy and process efficiency as well as potential impacts in the main midpoint categories (global warming, respiratory inorganics, and non-renewable energy). The syngas road appears to have higher levels of carbon utilisation and better environmental performance, even though an extended sensitivity analysis shows different results if alternative plant configurations and energy mix are considered. This suggests that R&amp;D studies and policies of economic incentives have to be further implemented for both the analysed strategies, even because they deal with different kind of biowaste, having different availability in different countries.","container-title":"Waste Management","DOI":"10.1016/j.wasman.2019.02.030","ISSN":"0956-053X","journalAbbreviation":"Waste Management","language":"en","page":"441-453","source":"ScienceDirect","title":"Biowaste-to-Biomethane: An LCA study on biogas and syngas roads","title-short":"Biowaste-to-Biomethane","volume":"87","author":[{"family":"Ardolino","given":"Filomena"},{"family":"Arena","given":"Umberto"}],"issued":{"date-parts":[["2019",3,15]]}}}],"schema":"https://github.com/citation-style-language/schema/raw/master/csl-citation.json"} </w:instrText>
      </w:r>
      <w:r w:rsidRPr="003F5DA8">
        <w:fldChar w:fldCharType="separate"/>
      </w:r>
      <w:r w:rsidR="00991F7C" w:rsidRPr="00991F7C">
        <w:rPr>
          <w:rFonts w:ascii="Calibri" w:hAnsi="Calibri" w:cs="Calibri"/>
          <w:szCs w:val="24"/>
          <w:vertAlign w:val="superscript"/>
        </w:rPr>
        <w:t>339</w:t>
      </w:r>
      <w:r w:rsidRPr="003F5DA8">
        <w:fldChar w:fldCharType="end"/>
      </w:r>
      <w:r w:rsidRPr="003F5DA8">
        <w:t xml:space="preserve"> and Thunman et al., 2018</w:t>
      </w:r>
      <w:r w:rsidRPr="003F5DA8">
        <w:fldChar w:fldCharType="begin"/>
      </w:r>
      <w:r w:rsidR="00991F7C">
        <w:instrText xml:space="preserve"> ADDIN ZOTERO_ITEM CSL_CITATION {"citationID":"wrImWQ9A","properties":{"formattedCitation":"\\super 336\\nosupersub{}","plainCitation":"336","noteIndex":0},"citationItems":[{"id":13016,"uris":["http://zotero.org/users/6423791/items/N6EC882Z"],"itemData":{"id":13016,"type":"article-journal","abstract":"This paper presents the main experiences gained and conclusions drawn from the demonstration of a first-of-its-kind wood-based biomethane production plant (20-MW capacity, 150 dry tonnes of biomass/day) and 10 years of operation of the 2–4-MW (10–20 dry tonnes of biomass/day) research gasifier at Chalmers University of Technology in Sweden. Based on the experience gained, an elaborated outline for commercialization of the technology for a wide spectrum of applications and end products is defined. The main findings are related to the use of biomass ash constituents as a catalyst for the process and the application of coated heat exchangers, such that regular fluidized bed boilers can be retrofitted to become biomass gasifiers. Among the recirculation of the ash streams within the process, presence of the alkali salt in the system is identified as highly important for control of the tar species. Combined with new insights on fuel feeding and reactor design, these two major findings form the basis for a comprehensive process layout that can support a gradual transformation of existing boilers in district heating networks and in pulp, paper and saw mills, and it facilitates the exploitation of existing oil refineries and petrochemical plants for large-scale production of renewable fuels, chemicals, and materials from biomass and wastes. The potential for electrification of those process layouts are also discussed. The commercialization route represents an example of how biomass conversion develops and integrates with existing industrial and energy infrastructures to form highly effective systems that deliver a wide range of end products. Illustrating the potential, the existing fluidized bed boilers in Sweden alone represent a jet fuel production capacity that corresponds to 10% of current global consumption.","container-title":"Energy Science &amp; Engineering","DOI":"10.1002/ese3.188","ISSN":"2050-0505","issue":"1","journalAbbreviation":"Energy Sci. Eng.","language":"en","note":"_eprint: https://onlinelibrary.wiley.com/doi/pdf/10.1002/ese3.188","page":"6-34","source":"Wiley Online Library","title":"Advanced biofuel production via gasification – lessons learned from 200 man-years of research activity with Chalmers’ research gasifier and the GoBiGas demonstration plant","volume":"6","author":[{"family":"Thunman","given":"Henrik"},{"family":"Seemann","given":"Martin"},{"family":"Berdugo Vilches","given":"Teresa"},{"family":"Maric","given":"Jelena"},{"family":"Pallares","given":"David"},{"family":"Ström","given":"Henrik"},{"family":"Berndes","given":"Göran"},{"family":"Knutsson","given":"Pavleta"},{"family":"Larsson","given":"Anton"},{"family":"Breitholtz","given":"Claes"},{"family":"Santos","given":"Olga"}],"issued":{"date-parts":[["2018"]]}}}],"schema":"https://github.com/citation-style-language/schema/raw/master/csl-citation.json"} </w:instrText>
      </w:r>
      <w:r w:rsidRPr="003F5DA8">
        <w:fldChar w:fldCharType="separate"/>
      </w:r>
      <w:r w:rsidR="00991F7C" w:rsidRPr="00991F7C">
        <w:rPr>
          <w:rFonts w:ascii="Calibri" w:hAnsi="Calibri" w:cs="Calibri"/>
          <w:szCs w:val="24"/>
          <w:vertAlign w:val="superscript"/>
        </w:rPr>
        <w:t>336</w:t>
      </w:r>
      <w:r w:rsidRPr="003F5DA8">
        <w:fldChar w:fldCharType="end"/>
      </w:r>
      <w:r w:rsidRPr="003F5DA8">
        <w:t xml:space="preserve"> </w:t>
      </w:r>
      <w:bookmarkEnd w:id="423"/>
      <w:r w:rsidRPr="003F5DA8">
        <w:t>(see</w:t>
      </w:r>
      <w:r w:rsidR="00583C1F">
        <w:t xml:space="preserve"> </w:t>
      </w:r>
      <w:r w:rsidR="00583C1F" w:rsidRPr="00583C1F">
        <w:rPr>
          <w:b/>
        </w:rPr>
        <w:fldChar w:fldCharType="begin"/>
      </w:r>
      <w:r w:rsidR="00583C1F" w:rsidRPr="00583C1F">
        <w:rPr>
          <w:b/>
        </w:rPr>
        <w:instrText xml:space="preserve"> REF _Ref144912470 \h </w:instrText>
      </w:r>
      <w:r w:rsidR="00583C1F">
        <w:rPr>
          <w:b/>
        </w:rPr>
        <w:instrText xml:space="preserve"> \* MERGEFORMAT </w:instrText>
      </w:r>
      <w:r w:rsidR="00583C1F" w:rsidRPr="00583C1F">
        <w:rPr>
          <w:b/>
        </w:rPr>
      </w:r>
      <w:r w:rsidR="00583C1F" w:rsidRPr="00583C1F">
        <w:rPr>
          <w:b/>
        </w:rPr>
        <w:fldChar w:fldCharType="separate"/>
      </w:r>
      <w:r w:rsidR="00F25F8C" w:rsidRPr="00F25F8C">
        <w:rPr>
          <w:b/>
        </w:rPr>
        <w:t xml:space="preserve">Table SI. </w:t>
      </w:r>
      <w:r w:rsidR="00F25F8C" w:rsidRPr="00F25F8C">
        <w:rPr>
          <w:b/>
          <w:noProof/>
        </w:rPr>
        <w:t>102</w:t>
      </w:r>
      <w:r w:rsidR="00583C1F" w:rsidRPr="00583C1F">
        <w:rPr>
          <w:b/>
        </w:rPr>
        <w:fldChar w:fldCharType="end"/>
      </w:r>
      <w:r w:rsidRPr="003F5DA8">
        <w:t xml:space="preserve">). Only an extra electricity need linked to air pumping to the reactor was added, calculated </w:t>
      </w:r>
      <w:r w:rsidRPr="00CF16A7">
        <w:t xml:space="preserve">with </w:t>
      </w:r>
      <w:r w:rsidR="00583C1F" w:rsidRPr="00874128">
        <w:rPr>
          <w:b/>
        </w:rPr>
        <w:fldChar w:fldCharType="begin"/>
      </w:r>
      <w:r w:rsidR="00583C1F" w:rsidRPr="00874128">
        <w:rPr>
          <w:b/>
        </w:rPr>
        <w:instrText xml:space="preserve"> REF _Ref144736057 \h </w:instrText>
      </w:r>
      <w:r w:rsidR="00583C1F">
        <w:rPr>
          <w:b/>
        </w:rPr>
        <w:instrText xml:space="preserve"> \* MERGEFORMAT </w:instrText>
      </w:r>
      <w:r w:rsidR="00583C1F" w:rsidRPr="00874128">
        <w:rPr>
          <w:b/>
        </w:rPr>
      </w:r>
      <w:r w:rsidR="00583C1F" w:rsidRPr="00874128">
        <w:rPr>
          <w:b/>
        </w:rPr>
        <w:fldChar w:fldCharType="separate"/>
      </w:r>
      <w:r w:rsidR="00F25F8C" w:rsidRPr="00F25F8C">
        <w:rPr>
          <w:b/>
        </w:rPr>
        <w:t xml:space="preserve">Equation </w:t>
      </w:r>
      <w:r w:rsidR="00F25F8C" w:rsidRPr="00F25F8C">
        <w:rPr>
          <w:b/>
          <w:noProof/>
        </w:rPr>
        <w:t>1</w:t>
      </w:r>
      <w:r w:rsidR="00583C1F" w:rsidRPr="00874128">
        <w:rPr>
          <w:b/>
        </w:rPr>
        <w:fldChar w:fldCharType="end"/>
      </w:r>
      <w:r w:rsidRPr="00CF16A7">
        <w:t xml:space="preserve"> by</w:t>
      </w:r>
      <w:r w:rsidRPr="003F5DA8">
        <w:t xml:space="preserve"> considering 1.5 bar overpressure.</w:t>
      </w:r>
    </w:p>
    <w:p w14:paraId="2C3A549F" w14:textId="77777777" w:rsidR="00F669A1" w:rsidRPr="00CF16A7" w:rsidRDefault="00F669A1" w:rsidP="00583C1F">
      <w:pPr>
        <w:pStyle w:val="Titre4"/>
      </w:pPr>
      <w:r w:rsidRPr="00CF16A7">
        <w:t>Gaschar management</w:t>
      </w:r>
    </w:p>
    <w:p w14:paraId="5A1AEA7C" w14:textId="4E04D650" w:rsidR="008C451C" w:rsidRDefault="00F669A1" w:rsidP="00583C1F">
      <w:pPr>
        <w:ind w:firstLine="360"/>
        <w:jc w:val="both"/>
      </w:pPr>
      <w:r w:rsidRPr="003F5DA8">
        <w:t>The literature reports many gaschar valorization pathways, including (i) return to agricultural soils, (ii) return to forest soils, (iii) reuse in the construction sector and (iv) reuse in industrial processes</w:t>
      </w:r>
      <w:r w:rsidRPr="003F5DA8">
        <w:fldChar w:fldCharType="begin"/>
      </w:r>
      <w:r w:rsidR="00991F7C">
        <w:instrText xml:space="preserve"> ADDIN ZOTERO_ITEM CSL_CITATION {"citationID":"rGA6nyKi","properties":{"formattedCitation":"\\super 343\\nosupersub{}","plainCitation":"343","noteIndex":0},"citationItems":[{"id":13088,"uris":["http://zotero.org/users/6423791/items/HRJXHXIT"],"itemData":{"id":13088,"type":"article-journal","abstract":"Biochar has been recognised as a carbon dioxide removal (CDR) technology. Unlike other CDR technologies, biochar is expected to deliver various valuable effects in e.g. agriculture, animal husbandry, industrial processes, remediation activities and waste management. The diversity of biochar side effects to CDR makes the systematic environmental assessment of biochar projects challenging, and to date, there is no common framework for evaluating them. Our aim is to bridge the methodology gap for evaluating biochar systems from a life-cycle perspective. Using life cycle theory, actual biochar projects, and reviews of biochar research, we propose a general description of biochar systems, an overview of biochar effects, and an evaluation framework for biochar effects. The evaluation framework was applied to a case study, the Stockholm Biochar Project. In the framework, biochar effects are classified according to life cycle stage and life cycle effect type; and the biochar's end-of-life and the reference situations are made explicit. Three types of effects are easily included in life cycle theory: changes in biosphere exchanges, technosphere inputs, and technosphere outputs. For other effects, analysing the cause-effect chain may be helpful. Several biochar effects in agroecosystems can be modelled as future productivity increases against a reference situation. In practice, the complexity of agroecosystems can be bypassed by using empirical models. Existing biochar life cycle studies are often limited to carbon footprint calculations and quantify a limited amount of biochar effects, mainly carbon sequestration, energy displacements and fertiliser-related emissions. The methodological development in this study can be of benefit to the biochar and CDR research communities, as well as decision-makers in biochar practice and policy.","container-title":"Journal of Environmental Management","DOI":"10.1016/j.jenvman.2021.112154","ISSN":"0301-4797","journalAbbreviation":"Journal of Environmental Management","language":"en","page":"112154","source":"ScienceDirect","title":"Assessing the diverse environmental effects of biochar systems: An evaluation framework","title-short":"Assessing the diverse environmental effects of biochar systems","volume":"286","author":[{"family":"Azzi","given":"Elias S."},{"family":"Karltun","given":"Erik"},{"family":"Sundberg","given":"Cecilia"}],"issued":{"date-parts":[["2021",5,15]]}}}],"schema":"https://github.com/citation-style-language/schema/raw/master/csl-citation.json"} </w:instrText>
      </w:r>
      <w:r w:rsidRPr="003F5DA8">
        <w:fldChar w:fldCharType="separate"/>
      </w:r>
      <w:r w:rsidR="00991F7C" w:rsidRPr="00991F7C">
        <w:rPr>
          <w:rFonts w:ascii="Calibri" w:hAnsi="Calibri" w:cs="Calibri"/>
          <w:szCs w:val="24"/>
          <w:vertAlign w:val="superscript"/>
        </w:rPr>
        <w:t>343</w:t>
      </w:r>
      <w:r w:rsidRPr="003F5DA8">
        <w:fldChar w:fldCharType="end"/>
      </w:r>
      <w:r w:rsidRPr="003F5DA8">
        <w:t>. Moreover, for input streams labelled as waste, gaschar might also be disposed in hazardous landfill</w:t>
      </w:r>
      <w:r w:rsidRPr="003F5DA8">
        <w:fldChar w:fldCharType="begin"/>
      </w:r>
      <w:r w:rsidR="00991F7C">
        <w:instrText xml:space="preserve"> ADDIN ZOTERO_ITEM CSL_CITATION {"citationID":"68EdETNM","properties":{"formattedCitation":"\\super 340\\nosupersub{}","plainCitation":"340","noteIndex":0},"citationItems":[{"id":12932,"uris":["http://zotero.org/users/6423791/items/TP9L2Y5K"],"itemData":{"id":12932,"type":"article-journal","abstract":"Municipal solid waste (MSW) pyrolysis and gasification are in development, stimulated by a more sustainable waste-to-energy (WtE) option. Since comprehensive comparisons of the existing WtE technologies are fairly rare, this study aims to conduct a life cycle assessment (LCA) using two sets of data: theoretical analysis, and case studies of large-scale commercial plants. Seven systems involving thermal conversion (pyrolysis, gasification, incineration) and energy utilization (steam cycle, gas turbine/combined cycle, internal combustion engine) are modelled. Theoretical analysis results show that pyrolysis and gasification, in particular coupled with a gas turbine/combined cycle, have the potential to lessen environmental loadings. The benefits derive from an improved energy efficiency leading to less fossil-based energy consumption, and reduced process emissions by syngas combustion. Comparison among the four operating plants (incineration, pyrolysis, gasification, gasification-melting) confirms a preferable performance of the gasification plant attributed to syngas cleaning. The modern incineration is superior over pyrolysis and gasification-melting at present, due to the effectiveness of modern flue gas cleaning, use of combined heat and power (CHP) cycle, and ash recycling. Sensitivity analysis highlights a crucial role of the plant efficiency and pyrolysis char land utilization. The study indicates that the heterogeneity of MSW and syngas purification technologies are the most relevant impediments for the current pyrolysis/gasification-based WtE. Potential development should incorporate into all process aspects to boost the energy efficiency, improve incoming waste quality, and achieve efficient residues management.","container-title":"Science of The Total Environment","DOI":"10.1016/j.scitotenv.2018.01.151","ISSN":"00489697","journalAbbreviation":"Science of The Total Environment","language":"en","page":"744-753","source":"DOI.org (Crossref)","title":"Life cycle assessment of pyrolysis, gasification and incineration waste-to-energy technologies: Theoretical analysis and case study of commercial plants","title-short":"Life cycle assessment of pyrolysis, gasification and incineration waste-to-energy technologies","volume":"626","author":[{"family":"Dong","given":"Jun"},{"family":"Tang","given":"Yuanjun"},{"family":"Nzihou","given":"Ange"},{"family":"Chi","given":"Yong"},{"family":"Weiss-Hortala","given":"Elsa"},{"family":"Ni","given":"Mingjiang"}],"issued":{"date-parts":[["2018",6]]}}}],"schema":"https://github.com/citation-style-language/schema/raw/master/csl-citation.json"} </w:instrText>
      </w:r>
      <w:r w:rsidRPr="003F5DA8">
        <w:fldChar w:fldCharType="separate"/>
      </w:r>
      <w:r w:rsidR="00991F7C" w:rsidRPr="00991F7C">
        <w:rPr>
          <w:rFonts w:ascii="Calibri" w:hAnsi="Calibri" w:cs="Calibri"/>
          <w:szCs w:val="24"/>
          <w:vertAlign w:val="superscript"/>
        </w:rPr>
        <w:t>340</w:t>
      </w:r>
      <w:r w:rsidRPr="003F5DA8">
        <w:fldChar w:fldCharType="end"/>
      </w:r>
      <w:r w:rsidRPr="003F5DA8">
        <w:t>. Energetic valorization of gaschar is also mentioned</w:t>
      </w:r>
      <w:r w:rsidRPr="003F5DA8">
        <w:fldChar w:fldCharType="begin"/>
      </w:r>
      <w:r w:rsidR="00682E10">
        <w:instrText xml:space="preserve"> ADDIN ZOTERO_ITEM CSL_CITATION {"citationID":"w9PEtkm8","properties":{"formattedCitation":"\\super 10\\nosupersub{}","plainCitation":"10","noteIndex":0},"citationItems":[{"id":11593,"uris":["http://zotero.org/users/6423791/items/LLHNGSED"],"itemData":{"id":11593,"type":"article-journal","abstract":"Manure-biogas is a renewable energy resource rather untapped in Europe in comparison to its full potential. Given the current and emerging renewable energy targets, considerable increases in its production can be expected. This consequential life cycle assessment (LCA) study investigated the environmental consequences of different co-substrate strategies for reaching drastic increases in manure-biogas production in Denmark. Six co-substrates not already fully used for biogas were considered: energy crops, straw, household food waste, commercial food waste, garden waste and the solid fraction deriving from source-segregation of animal urine and feces. Soil carbon changes as well as direct and indirect land use changes were included in the LCA. Source-segregated manure stood out as the environmentally best co-substrate, followed by garden waste. Co-substrates already in use for energy recovery (straw, household and commercial food wastes) displayed a more modest environmental performance while energy crops, here represented by maize silage, was the only option giving rise to net greenhouse gas emissions. This was essentially due to the indirect land use change emissions related to this scenario, which were quantified to 357tCO2eq.ha−1 displaced.","container-title":"Applied Energy","DOI":"10.1016/j.apenergy.2013.09.033","ISSN":"0306-2619","journalAbbreviation":"Appl. Energy","language":"en","page":"774-782","source":"ScienceDirect","title":"Environmental consequences of different carbon alternatives for increased manure-based biogas","volume":"114","author":[{"family":"Hamelin","given":"Lorie"},{"family":"Naroznova","given":"Irina"},{"family":"Wenzel","given":"Henrik"}],"issued":{"date-parts":[["2014",2,1]]}}}],"schema":"https://github.com/citation-style-language/schema/raw/master/csl-citation.json"} </w:instrText>
      </w:r>
      <w:r w:rsidRPr="003F5DA8">
        <w:fldChar w:fldCharType="separate"/>
      </w:r>
      <w:r w:rsidR="00682E10" w:rsidRPr="00682E10">
        <w:rPr>
          <w:rFonts w:ascii="Calibri" w:hAnsi="Calibri" w:cs="Calibri"/>
          <w:szCs w:val="24"/>
          <w:vertAlign w:val="superscript"/>
        </w:rPr>
        <w:t>10</w:t>
      </w:r>
      <w:r w:rsidRPr="003F5DA8">
        <w:fldChar w:fldCharType="end"/>
      </w:r>
      <w:r w:rsidRPr="003F5DA8">
        <w:t>, but was discarded as the present study already considers high gasification performances (</w:t>
      </w:r>
      <w:r w:rsidR="00583C1F" w:rsidRPr="00583C1F">
        <w:rPr>
          <w:b/>
        </w:rPr>
        <w:fldChar w:fldCharType="begin"/>
      </w:r>
      <w:r w:rsidR="00583C1F" w:rsidRPr="00583C1F">
        <w:rPr>
          <w:b/>
        </w:rPr>
        <w:instrText xml:space="preserve"> REF _Ref144912806 \h </w:instrText>
      </w:r>
      <w:r w:rsidR="00583C1F">
        <w:rPr>
          <w:b/>
        </w:rPr>
        <w:instrText xml:space="preserve"> \* MERGEFORMAT </w:instrText>
      </w:r>
      <w:r w:rsidR="00583C1F" w:rsidRPr="00583C1F">
        <w:rPr>
          <w:b/>
        </w:rPr>
      </w:r>
      <w:r w:rsidR="00583C1F" w:rsidRPr="00583C1F">
        <w:rPr>
          <w:b/>
        </w:rPr>
        <w:fldChar w:fldCharType="separate"/>
      </w:r>
      <w:r w:rsidR="00F25F8C" w:rsidRPr="00F25F8C">
        <w:rPr>
          <w:b/>
        </w:rPr>
        <w:t xml:space="preserve">Table SI. </w:t>
      </w:r>
      <w:r w:rsidR="00F25F8C" w:rsidRPr="00F25F8C">
        <w:rPr>
          <w:b/>
          <w:noProof/>
        </w:rPr>
        <w:t>98</w:t>
      </w:r>
      <w:r w:rsidR="00583C1F" w:rsidRPr="00583C1F">
        <w:rPr>
          <w:b/>
        </w:rPr>
        <w:fldChar w:fldCharType="end"/>
      </w:r>
      <w:r w:rsidRPr="003F5DA8">
        <w:t>). are considered, providing a gaschar with neglectable energy value. To simplify and model a “best case” management practice, only two gaschar management practices were retained (</w:t>
      </w:r>
      <w:r w:rsidR="00583C1F" w:rsidRPr="00583C1F">
        <w:rPr>
          <w:b/>
        </w:rPr>
        <w:fldChar w:fldCharType="begin"/>
      </w:r>
      <w:r w:rsidR="00583C1F" w:rsidRPr="00583C1F">
        <w:rPr>
          <w:b/>
        </w:rPr>
        <w:instrText xml:space="preserve"> REF _Ref144913067 \h </w:instrText>
      </w:r>
      <w:r w:rsidR="00583C1F">
        <w:rPr>
          <w:b/>
        </w:rPr>
        <w:instrText xml:space="preserve"> \* MERGEFORMAT </w:instrText>
      </w:r>
      <w:r w:rsidR="00583C1F" w:rsidRPr="00583C1F">
        <w:rPr>
          <w:b/>
        </w:rPr>
      </w:r>
      <w:r w:rsidR="00583C1F" w:rsidRPr="00583C1F">
        <w:rPr>
          <w:b/>
        </w:rPr>
        <w:fldChar w:fldCharType="separate"/>
      </w:r>
      <w:r w:rsidR="00F25F8C" w:rsidRPr="00F25F8C">
        <w:rPr>
          <w:b/>
        </w:rPr>
        <w:t xml:space="preserve">Table SI. </w:t>
      </w:r>
      <w:r w:rsidR="00F25F8C" w:rsidRPr="00F25F8C">
        <w:rPr>
          <w:b/>
          <w:noProof/>
        </w:rPr>
        <w:t>99</w:t>
      </w:r>
      <w:r w:rsidR="00583C1F" w:rsidRPr="00583C1F">
        <w:rPr>
          <w:b/>
        </w:rPr>
        <w:fldChar w:fldCharType="end"/>
      </w:r>
      <w:r w:rsidRPr="003F5DA8">
        <w:t xml:space="preserve">). For inputs under the EU Waste regulation, gaschar was assumed reused as a construction material (e.g. road aggregate). Else, gaschar was assumed to comply with standards to be returned to agricultural soils. Gaschar storage was not accounted (high stability, assumed no losses). Transportation towards selected management was </w:t>
      </w:r>
      <w:r>
        <w:t>modeled as in</w:t>
      </w:r>
      <w:r w:rsidR="00583C1F">
        <w:rPr>
          <w:b/>
        </w:rPr>
        <w:t xml:space="preserve"> </w:t>
      </w:r>
      <w:r w:rsidR="00583C1F" w:rsidRPr="00583C1F">
        <w:rPr>
          <w:b/>
        </w:rPr>
        <w:fldChar w:fldCharType="begin"/>
      </w:r>
      <w:r w:rsidR="00583C1F" w:rsidRPr="00583C1F">
        <w:rPr>
          <w:b/>
        </w:rPr>
        <w:instrText xml:space="preserve"> REF _Ref144738047 \h  \* MERGEFORMAT </w:instrText>
      </w:r>
      <w:r w:rsidR="00583C1F" w:rsidRPr="00583C1F">
        <w:rPr>
          <w:b/>
        </w:rPr>
      </w:r>
      <w:r w:rsidR="00583C1F" w:rsidRPr="00583C1F">
        <w:rPr>
          <w:b/>
        </w:rPr>
        <w:fldChar w:fldCharType="separate"/>
      </w:r>
      <w:r w:rsidR="00F25F8C" w:rsidRPr="00F25F8C">
        <w:rPr>
          <w:b/>
        </w:rPr>
        <w:t xml:space="preserve">Table SI. </w:t>
      </w:r>
      <w:r w:rsidR="00F25F8C" w:rsidRPr="00F25F8C">
        <w:rPr>
          <w:b/>
          <w:noProof/>
        </w:rPr>
        <w:t>15</w:t>
      </w:r>
      <w:r w:rsidR="00583C1F" w:rsidRPr="00583C1F">
        <w:rPr>
          <w:b/>
        </w:rPr>
        <w:fldChar w:fldCharType="end"/>
      </w:r>
      <w:r w:rsidRPr="003F5DA8">
        <w:t>.</w:t>
      </w:r>
    </w:p>
    <w:p w14:paraId="63ECCB7E" w14:textId="77777777" w:rsidR="008C451C" w:rsidRDefault="008C451C">
      <w:r>
        <w:br w:type="page"/>
      </w:r>
    </w:p>
    <w:p w14:paraId="55A28005" w14:textId="41FE813C" w:rsidR="00F669A1" w:rsidRPr="009F12CB" w:rsidRDefault="00874128" w:rsidP="00942782">
      <w:pPr>
        <w:pStyle w:val="Lgende"/>
        <w:jc w:val="left"/>
        <w:rPr>
          <w:b w:val="0"/>
          <w:i/>
        </w:rPr>
      </w:pPr>
      <w:bookmarkStart w:id="424" w:name="_Ref144913067"/>
      <w:bookmarkStart w:id="425" w:name="_Toc134537616"/>
      <w:bookmarkStart w:id="426" w:name="_Toc151967983"/>
      <w:r>
        <w:lastRenderedPageBreak/>
        <w:t>Table SI.</w:t>
      </w:r>
      <w:r w:rsidR="00F669A1">
        <w:t xml:space="preserve"> </w:t>
      </w:r>
      <w:r>
        <w:fldChar w:fldCharType="begin"/>
      </w:r>
      <w:r>
        <w:instrText xml:space="preserve"> SEQ Table_SI. \* ARABIC </w:instrText>
      </w:r>
      <w:r>
        <w:fldChar w:fldCharType="separate"/>
      </w:r>
      <w:r w:rsidR="00F25F8C">
        <w:rPr>
          <w:noProof/>
        </w:rPr>
        <w:t>99</w:t>
      </w:r>
      <w:r>
        <w:fldChar w:fldCharType="end"/>
      </w:r>
      <w:bookmarkEnd w:id="424"/>
      <w:r w:rsidR="00F669A1">
        <w:t xml:space="preserve"> </w:t>
      </w:r>
      <w:r w:rsidR="00F669A1" w:rsidRPr="002D5B5C">
        <w:t>– Gaschar management modeling</w:t>
      </w:r>
      <w:bookmarkEnd w:id="425"/>
      <w:bookmarkEnd w:id="426"/>
    </w:p>
    <w:tbl>
      <w:tblPr>
        <w:tblStyle w:val="Tableausimple2"/>
        <w:tblW w:w="0" w:type="auto"/>
        <w:tblLook w:val="04A0" w:firstRow="1" w:lastRow="0" w:firstColumn="1" w:lastColumn="0" w:noHBand="0" w:noVBand="1"/>
      </w:tblPr>
      <w:tblGrid>
        <w:gridCol w:w="2502"/>
        <w:gridCol w:w="1595"/>
        <w:gridCol w:w="1730"/>
        <w:gridCol w:w="1134"/>
        <w:gridCol w:w="650"/>
        <w:gridCol w:w="1461"/>
      </w:tblGrid>
      <w:tr w:rsidR="00F669A1" w:rsidRPr="008C451C" w14:paraId="33DB10FE" w14:textId="77777777" w:rsidTr="00942782">
        <w:trPr>
          <w:cnfStyle w:val="100000000000" w:firstRow="1" w:lastRow="0" w:firstColumn="0" w:lastColumn="0" w:oddVBand="0" w:evenVBand="0" w:oddHBand="0" w:evenHBand="0" w:firstRowFirstColumn="0" w:firstRowLastColumn="0" w:lastRowFirstColumn="0" w:lastRowLastColumn="0"/>
          <w:trHeight w:val="556"/>
        </w:trPr>
        <w:tc>
          <w:tcPr>
            <w:cnfStyle w:val="001000000000" w:firstRow="0" w:lastRow="0" w:firstColumn="1" w:lastColumn="0" w:oddVBand="0" w:evenVBand="0" w:oddHBand="0" w:evenHBand="0" w:firstRowFirstColumn="0" w:firstRowLastColumn="0" w:lastRowFirstColumn="0" w:lastRowLastColumn="0"/>
            <w:tcW w:w="0" w:type="auto"/>
            <w:gridSpan w:val="2"/>
          </w:tcPr>
          <w:p w14:paraId="56162C03" w14:textId="77777777" w:rsidR="00F669A1" w:rsidRPr="008C451C" w:rsidRDefault="00F669A1" w:rsidP="000C3E59">
            <w:pPr>
              <w:rPr>
                <w:sz w:val="18"/>
                <w:szCs w:val="18"/>
              </w:rPr>
            </w:pPr>
            <w:r w:rsidRPr="008C451C">
              <w:rPr>
                <w:sz w:val="18"/>
                <w:szCs w:val="18"/>
              </w:rPr>
              <w:t>Management per stream category</w:t>
            </w:r>
          </w:p>
        </w:tc>
        <w:tc>
          <w:tcPr>
            <w:tcW w:w="0" w:type="auto"/>
            <w:gridSpan w:val="4"/>
          </w:tcPr>
          <w:p w14:paraId="2BA35405"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szCs w:val="18"/>
              </w:rPr>
            </w:pPr>
            <w:r w:rsidRPr="008C451C">
              <w:rPr>
                <w:sz w:val="18"/>
                <w:szCs w:val="18"/>
              </w:rPr>
              <w:t>Modeling parameters for “return to land” gaschar management</w:t>
            </w:r>
          </w:p>
        </w:tc>
      </w:tr>
      <w:tr w:rsidR="00F669A1" w:rsidRPr="008C451C" w14:paraId="6B039C62" w14:textId="77777777" w:rsidTr="00942782">
        <w:trPr>
          <w:cnfStyle w:val="000000100000" w:firstRow="0" w:lastRow="0" w:firstColumn="0" w:lastColumn="0" w:oddVBand="0" w:evenVBand="0" w:oddHBand="1" w:evenHBand="0" w:firstRowFirstColumn="0" w:firstRowLastColumn="0" w:lastRowFirstColumn="0" w:lastRowLastColumn="0"/>
          <w:trHeight w:val="556"/>
        </w:trPr>
        <w:tc>
          <w:tcPr>
            <w:cnfStyle w:val="001000000000" w:firstRow="0" w:lastRow="0" w:firstColumn="1" w:lastColumn="0" w:oddVBand="0" w:evenVBand="0" w:oddHBand="0" w:evenHBand="0" w:firstRowFirstColumn="0" w:firstRowLastColumn="0" w:lastRowFirstColumn="0" w:lastRowLastColumn="0"/>
            <w:tcW w:w="0" w:type="auto"/>
          </w:tcPr>
          <w:p w14:paraId="7627BD8E" w14:textId="77777777" w:rsidR="00F669A1" w:rsidRPr="008C451C" w:rsidRDefault="00F669A1" w:rsidP="000C3E59">
            <w:pPr>
              <w:jc w:val="right"/>
              <w:rPr>
                <w:sz w:val="18"/>
                <w:szCs w:val="18"/>
              </w:rPr>
            </w:pPr>
            <w:r w:rsidRPr="008C451C">
              <w:rPr>
                <w:sz w:val="18"/>
                <w:szCs w:val="18"/>
              </w:rPr>
              <w:t>Residual biomass sub-categories</w:t>
            </w:r>
          </w:p>
        </w:tc>
        <w:tc>
          <w:tcPr>
            <w:tcW w:w="0" w:type="auto"/>
          </w:tcPr>
          <w:p w14:paraId="6D9FF641"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b/>
                <w:sz w:val="18"/>
                <w:szCs w:val="18"/>
              </w:rPr>
            </w:pPr>
            <w:r w:rsidRPr="008C451C">
              <w:rPr>
                <w:b/>
                <w:sz w:val="18"/>
                <w:szCs w:val="18"/>
              </w:rPr>
              <w:t>Management</w:t>
            </w:r>
          </w:p>
        </w:tc>
        <w:tc>
          <w:tcPr>
            <w:tcW w:w="1730" w:type="dxa"/>
          </w:tcPr>
          <w:p w14:paraId="2CB71D9E"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b/>
                <w:sz w:val="18"/>
                <w:szCs w:val="18"/>
              </w:rPr>
            </w:pPr>
            <w:r w:rsidRPr="008C451C">
              <w:rPr>
                <w:b/>
                <w:sz w:val="18"/>
                <w:szCs w:val="18"/>
              </w:rPr>
              <w:t>Parameter</w:t>
            </w:r>
          </w:p>
        </w:tc>
        <w:tc>
          <w:tcPr>
            <w:tcW w:w="1134" w:type="dxa"/>
          </w:tcPr>
          <w:p w14:paraId="07F7EF93"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b/>
                <w:sz w:val="18"/>
                <w:szCs w:val="18"/>
              </w:rPr>
            </w:pPr>
            <w:r w:rsidRPr="008C451C">
              <w:rPr>
                <w:b/>
                <w:sz w:val="18"/>
                <w:szCs w:val="18"/>
              </w:rPr>
              <w:t>Unit</w:t>
            </w:r>
          </w:p>
        </w:tc>
        <w:tc>
          <w:tcPr>
            <w:tcW w:w="650" w:type="dxa"/>
          </w:tcPr>
          <w:p w14:paraId="4DAE7E38"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b/>
                <w:sz w:val="18"/>
                <w:szCs w:val="18"/>
              </w:rPr>
            </w:pPr>
            <w:r w:rsidRPr="008C451C">
              <w:rPr>
                <w:b/>
                <w:sz w:val="18"/>
                <w:szCs w:val="18"/>
              </w:rPr>
              <w:t>Value</w:t>
            </w:r>
          </w:p>
        </w:tc>
        <w:tc>
          <w:tcPr>
            <w:tcW w:w="1461" w:type="dxa"/>
          </w:tcPr>
          <w:p w14:paraId="3A2CFD71" w14:textId="77777777" w:rsidR="00F669A1" w:rsidRPr="008C451C" w:rsidRDefault="00F669A1" w:rsidP="00583C1F">
            <w:pPr>
              <w:cnfStyle w:val="000000100000" w:firstRow="0" w:lastRow="0" w:firstColumn="0" w:lastColumn="0" w:oddVBand="0" w:evenVBand="0" w:oddHBand="1" w:evenHBand="0" w:firstRowFirstColumn="0" w:firstRowLastColumn="0" w:lastRowFirstColumn="0" w:lastRowLastColumn="0"/>
              <w:rPr>
                <w:b/>
                <w:i/>
                <w:sz w:val="18"/>
                <w:szCs w:val="18"/>
              </w:rPr>
            </w:pPr>
            <w:r w:rsidRPr="008C451C">
              <w:rPr>
                <w:b/>
                <w:i/>
                <w:sz w:val="18"/>
                <w:szCs w:val="18"/>
              </w:rPr>
              <w:t>Comment</w:t>
            </w:r>
          </w:p>
        </w:tc>
      </w:tr>
      <w:tr w:rsidR="00F669A1" w:rsidRPr="008C451C" w14:paraId="7BF57531"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04934E9F" w14:textId="77777777" w:rsidR="00F669A1" w:rsidRPr="008C451C" w:rsidRDefault="00F669A1" w:rsidP="000C3E59">
            <w:pPr>
              <w:jc w:val="right"/>
              <w:rPr>
                <w:sz w:val="18"/>
                <w:szCs w:val="18"/>
              </w:rPr>
            </w:pPr>
            <w:r w:rsidRPr="008C451C">
              <w:rPr>
                <w:sz w:val="18"/>
                <w:szCs w:val="18"/>
              </w:rPr>
              <w:t>Primary forestry residues</w:t>
            </w:r>
          </w:p>
        </w:tc>
        <w:tc>
          <w:tcPr>
            <w:tcW w:w="0" w:type="auto"/>
          </w:tcPr>
          <w:p w14:paraId="223BD659" w14:textId="77777777" w:rsidR="00F669A1" w:rsidRPr="008C451C" w:rsidRDefault="00F669A1" w:rsidP="00583C1F">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Return to land</w:t>
            </w:r>
          </w:p>
        </w:tc>
        <w:tc>
          <w:tcPr>
            <w:tcW w:w="1730" w:type="dxa"/>
          </w:tcPr>
          <w:p w14:paraId="6C9ACABA" w14:textId="77777777" w:rsidR="00F669A1" w:rsidRPr="008C451C" w:rsidRDefault="00F669A1" w:rsidP="000C3E59">
            <w:pPr>
              <w:jc w:val="right"/>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Water addition</w:t>
            </w:r>
          </w:p>
        </w:tc>
        <w:tc>
          <w:tcPr>
            <w:tcW w:w="1134" w:type="dxa"/>
          </w:tcPr>
          <w:p w14:paraId="09603CD5"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kg.</w:t>
            </w:r>
          </w:p>
          <w:p w14:paraId="4C0A6336"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kg</w:t>
            </w:r>
            <w:r w:rsidRPr="008C451C">
              <w:rPr>
                <w:sz w:val="18"/>
                <w:szCs w:val="18"/>
                <w:vertAlign w:val="subscript"/>
              </w:rPr>
              <w:t>gaschar</w:t>
            </w:r>
            <w:r w:rsidRPr="008C451C">
              <w:rPr>
                <w:sz w:val="18"/>
                <w:szCs w:val="18"/>
                <w:vertAlign w:val="superscript"/>
              </w:rPr>
              <w:t>-1</w:t>
            </w:r>
          </w:p>
        </w:tc>
        <w:tc>
          <w:tcPr>
            <w:tcW w:w="650" w:type="dxa"/>
          </w:tcPr>
          <w:p w14:paraId="458CF26C"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1.82</w:t>
            </w:r>
          </w:p>
        </w:tc>
        <w:tc>
          <w:tcPr>
            <w:tcW w:w="1461" w:type="dxa"/>
          </w:tcPr>
          <w:p w14:paraId="4B3CF0FA" w14:textId="3A2E370D" w:rsidR="00F669A1" w:rsidRPr="008C451C" w:rsidRDefault="00F669A1" w:rsidP="00583C1F">
            <w:pPr>
              <w:cnfStyle w:val="000000000000" w:firstRow="0" w:lastRow="0" w:firstColumn="0" w:lastColumn="0" w:oddVBand="0" w:evenVBand="0" w:oddHBand="0" w:evenHBand="0" w:firstRowFirstColumn="0" w:firstRowLastColumn="0" w:lastRowFirstColumn="0" w:lastRowLastColumn="0"/>
              <w:rPr>
                <w:i/>
                <w:sz w:val="18"/>
                <w:szCs w:val="18"/>
              </w:rPr>
            </w:pPr>
            <w:r w:rsidRPr="008C451C">
              <w:rPr>
                <w:i/>
                <w:sz w:val="18"/>
                <w:szCs w:val="18"/>
              </w:rPr>
              <w:t>Easier handling and land application</w:t>
            </w:r>
            <w:r w:rsidRPr="008C451C">
              <w:rPr>
                <w:i/>
                <w:sz w:val="18"/>
                <w:szCs w:val="18"/>
              </w:rPr>
              <w:fldChar w:fldCharType="begin"/>
            </w:r>
            <w:r w:rsidR="00991F7C">
              <w:rPr>
                <w:i/>
                <w:sz w:val="18"/>
                <w:szCs w:val="18"/>
              </w:rPr>
              <w:instrText xml:space="preserve"> ADDIN ZOTERO_ITEM CSL_CITATION {"citationID":"DfcKeUrL","properties":{"formattedCitation":"\\super 344\\nosupersub{}","plainCitation":"344","noteIndex":0},"citationItems":[{"id":12930,"uris":["http://zotero.org/users/6423791/items/UNFXTD3C"],"itemData":{"id":12930,"type":"article-journal","abstract":"The application of biochar as a soil amendment is a potential strategy for carbon sequestration. In this paper, a slow pyrolysis system for generating heat and biochar from lignocellulosic energy crops is simulated and its life-cycle performance compared with that of direct biomass combustion. The use of the char as biochar is also contrasted with alternative use options: cofiring in coal power plants, use as charcoal, and use as a fuel for heat generation. Additionally, the influence on the results of the long-term stability of the biochar in the soil, as well as of biochar effects on biomass yield, is evaluated. Negative greenhouse gas emissions are obtained for the biochar system, indicating a significant carbon abatement potential. However, this is achieved at the expense of lower energy efficiency and higher impacts in the other assessed categories when compared to direct biomass combustion. When comparing the different use options of the pyrolysis char, the most favorable result is obtained for char cofiring substituting fossil coal, even assuming high long-term stability of the char. Nevertheless, a high sensitivity to biomass yield increase is found for biochar systems. In this sense, biochar application to low-quality soils where high yield increases are expected would show a more favorable performance in terms of global warming.","container-title":"Environmental Science &amp; Technology","DOI":"10.1021/es5060786","ISSN":"0013-936X","issue":"8","journalAbbreviation":"Environ. Sci. Technol.","note":"publisher: American Chemical Society","page":"5195-5202","source":"ACS Publications","title":"Biomass Pyrolysis for Biochar or Energy Applications? A Life Cycle Assessment","title-short":"Biomass Pyrolysis for Biochar or Energy Applications?","volume":"49","author":[{"family":"Peters","given":"Jens F."},{"family":"Iribarren","given":"Diego"},{"family":"Dufour","given":"Javier"}],"issued":{"date-parts":[["2015",4,21]]}}}],"schema":"https://github.com/citation-style-language/schema/raw/master/csl-citation.json"} </w:instrText>
            </w:r>
            <w:r w:rsidRPr="008C451C">
              <w:rPr>
                <w:i/>
                <w:sz w:val="18"/>
                <w:szCs w:val="18"/>
              </w:rPr>
              <w:fldChar w:fldCharType="separate"/>
            </w:r>
            <w:r w:rsidR="00991F7C" w:rsidRPr="00991F7C">
              <w:rPr>
                <w:rFonts w:ascii="Calibri" w:hAnsi="Calibri" w:cs="Calibri"/>
                <w:sz w:val="18"/>
                <w:szCs w:val="24"/>
                <w:vertAlign w:val="superscript"/>
              </w:rPr>
              <w:t>344</w:t>
            </w:r>
            <w:r w:rsidRPr="008C451C">
              <w:rPr>
                <w:i/>
                <w:sz w:val="18"/>
                <w:szCs w:val="18"/>
              </w:rPr>
              <w:fldChar w:fldCharType="end"/>
            </w:r>
          </w:p>
        </w:tc>
      </w:tr>
      <w:tr w:rsidR="00F669A1" w:rsidRPr="008C451C" w14:paraId="042C80FC"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29DD8DB" w14:textId="77777777" w:rsidR="00F669A1" w:rsidRPr="008C451C" w:rsidRDefault="00F669A1" w:rsidP="000C3E59">
            <w:pPr>
              <w:jc w:val="right"/>
              <w:rPr>
                <w:sz w:val="18"/>
                <w:szCs w:val="18"/>
              </w:rPr>
            </w:pPr>
            <w:r w:rsidRPr="008C451C">
              <w:rPr>
                <w:sz w:val="18"/>
                <w:szCs w:val="18"/>
              </w:rPr>
              <w:t>Pruning residues</w:t>
            </w:r>
          </w:p>
        </w:tc>
        <w:tc>
          <w:tcPr>
            <w:tcW w:w="0" w:type="auto"/>
          </w:tcPr>
          <w:p w14:paraId="4C950D5E" w14:textId="77777777" w:rsidR="00F669A1" w:rsidRPr="008C451C" w:rsidRDefault="00F669A1" w:rsidP="00583C1F">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Return to land</w:t>
            </w:r>
          </w:p>
        </w:tc>
        <w:tc>
          <w:tcPr>
            <w:tcW w:w="1730" w:type="dxa"/>
          </w:tcPr>
          <w:p w14:paraId="0D2EB7C0" w14:textId="77777777" w:rsidR="00F669A1" w:rsidRPr="008C451C" w:rsidRDefault="00F669A1" w:rsidP="000C3E59">
            <w:pPr>
              <w:jc w:val="right"/>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Gaschar application</w:t>
            </w:r>
          </w:p>
        </w:tc>
        <w:tc>
          <w:tcPr>
            <w:tcW w:w="3245" w:type="dxa"/>
            <w:gridSpan w:val="3"/>
          </w:tcPr>
          <w:p w14:paraId="544C0A1B" w14:textId="66540F61"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i/>
                <w:sz w:val="18"/>
                <w:szCs w:val="18"/>
              </w:rPr>
            </w:pPr>
            <w:r w:rsidRPr="008C451C">
              <w:rPr>
                <w:i/>
                <w:sz w:val="18"/>
                <w:szCs w:val="18"/>
              </w:rPr>
              <w:t xml:space="preserve">Technology parameter, see </w:t>
            </w:r>
            <w:r w:rsidR="00583C1F" w:rsidRPr="008C451C">
              <w:rPr>
                <w:b/>
                <w:i/>
                <w:sz w:val="18"/>
                <w:szCs w:val="18"/>
              </w:rPr>
              <w:fldChar w:fldCharType="begin"/>
            </w:r>
            <w:r w:rsidR="00583C1F" w:rsidRPr="008C451C">
              <w:rPr>
                <w:b/>
                <w:i/>
                <w:sz w:val="18"/>
                <w:szCs w:val="18"/>
              </w:rPr>
              <w:instrText xml:space="preserve"> REF _Ref144913305 \h  \* MERGEFORMAT </w:instrText>
            </w:r>
            <w:r w:rsidR="00583C1F" w:rsidRPr="008C451C">
              <w:rPr>
                <w:b/>
                <w:i/>
                <w:sz w:val="18"/>
                <w:szCs w:val="18"/>
              </w:rPr>
            </w:r>
            <w:r w:rsidR="00583C1F" w:rsidRPr="008C451C">
              <w:rPr>
                <w:b/>
                <w:i/>
                <w:sz w:val="18"/>
                <w:szCs w:val="18"/>
              </w:rPr>
              <w:fldChar w:fldCharType="separate"/>
            </w:r>
            <w:r w:rsidR="00F25F8C" w:rsidRPr="008C451C">
              <w:rPr>
                <w:b/>
                <w:i/>
                <w:sz w:val="18"/>
                <w:szCs w:val="18"/>
              </w:rPr>
              <w:t xml:space="preserve">Table SI. </w:t>
            </w:r>
            <w:r w:rsidR="00F25F8C" w:rsidRPr="008C451C">
              <w:rPr>
                <w:b/>
                <w:i/>
                <w:noProof/>
                <w:sz w:val="18"/>
                <w:szCs w:val="18"/>
              </w:rPr>
              <w:t>101</w:t>
            </w:r>
            <w:r w:rsidR="00583C1F" w:rsidRPr="008C451C">
              <w:rPr>
                <w:b/>
                <w:i/>
                <w:sz w:val="18"/>
                <w:szCs w:val="18"/>
              </w:rPr>
              <w:fldChar w:fldCharType="end"/>
            </w:r>
            <w:r w:rsidR="00C86BF0" w:rsidRPr="008C451C">
              <w:rPr>
                <w:b/>
                <w:i/>
                <w:sz w:val="18"/>
                <w:szCs w:val="18"/>
              </w:rPr>
              <w:t xml:space="preserve"> </w:t>
            </w:r>
            <w:r w:rsidR="00C86BF0" w:rsidRPr="008C451C">
              <w:rPr>
                <w:i/>
                <w:sz w:val="18"/>
                <w:szCs w:val="18"/>
              </w:rPr>
              <w:t xml:space="preserve">and </w:t>
            </w:r>
            <w:r w:rsidR="00583C1F" w:rsidRPr="008C451C">
              <w:rPr>
                <w:b/>
                <w:i/>
                <w:sz w:val="18"/>
                <w:szCs w:val="18"/>
              </w:rPr>
              <w:fldChar w:fldCharType="begin"/>
            </w:r>
            <w:r w:rsidR="00583C1F" w:rsidRPr="008C451C">
              <w:rPr>
                <w:b/>
                <w:i/>
                <w:sz w:val="18"/>
                <w:szCs w:val="18"/>
              </w:rPr>
              <w:instrText xml:space="preserve"> REF _Ref144912470 \h  \* MERGEFORMAT </w:instrText>
            </w:r>
            <w:r w:rsidR="00583C1F" w:rsidRPr="008C451C">
              <w:rPr>
                <w:b/>
                <w:i/>
                <w:sz w:val="18"/>
                <w:szCs w:val="18"/>
              </w:rPr>
            </w:r>
            <w:r w:rsidR="00583C1F" w:rsidRPr="008C451C">
              <w:rPr>
                <w:b/>
                <w:i/>
                <w:sz w:val="18"/>
                <w:szCs w:val="18"/>
              </w:rPr>
              <w:fldChar w:fldCharType="separate"/>
            </w:r>
            <w:r w:rsidR="00F25F8C" w:rsidRPr="008C451C">
              <w:rPr>
                <w:b/>
                <w:i/>
                <w:sz w:val="18"/>
                <w:szCs w:val="18"/>
              </w:rPr>
              <w:t xml:space="preserve">Table SI. </w:t>
            </w:r>
            <w:r w:rsidR="00F25F8C" w:rsidRPr="008C451C">
              <w:rPr>
                <w:b/>
                <w:i/>
                <w:noProof/>
                <w:sz w:val="18"/>
                <w:szCs w:val="18"/>
              </w:rPr>
              <w:t>102</w:t>
            </w:r>
            <w:r w:rsidR="00583C1F" w:rsidRPr="008C451C">
              <w:rPr>
                <w:b/>
                <w:i/>
                <w:sz w:val="18"/>
                <w:szCs w:val="18"/>
              </w:rPr>
              <w:fldChar w:fldCharType="end"/>
            </w:r>
          </w:p>
        </w:tc>
      </w:tr>
      <w:tr w:rsidR="00F669A1" w:rsidRPr="008C451C" w14:paraId="400349BD"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3A5CE87D" w14:textId="77777777" w:rsidR="00F669A1" w:rsidRPr="008C451C" w:rsidRDefault="00F669A1" w:rsidP="000C3E59">
            <w:pPr>
              <w:jc w:val="right"/>
              <w:rPr>
                <w:sz w:val="18"/>
                <w:szCs w:val="18"/>
              </w:rPr>
            </w:pPr>
            <w:r w:rsidRPr="008C451C">
              <w:rPr>
                <w:sz w:val="18"/>
                <w:szCs w:val="18"/>
              </w:rPr>
              <w:t>Wood-processing waste</w:t>
            </w:r>
          </w:p>
        </w:tc>
        <w:tc>
          <w:tcPr>
            <w:tcW w:w="0" w:type="auto"/>
          </w:tcPr>
          <w:p w14:paraId="194FCBF2" w14:textId="77777777" w:rsidR="00F669A1" w:rsidRPr="008C451C" w:rsidRDefault="00F669A1" w:rsidP="00583C1F">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As aggregate</w:t>
            </w:r>
            <w:r w:rsidRPr="008C451C">
              <w:rPr>
                <w:sz w:val="18"/>
                <w:szCs w:val="18"/>
                <w:vertAlign w:val="superscript"/>
              </w:rPr>
              <w:t>*</w:t>
            </w:r>
          </w:p>
        </w:tc>
        <w:tc>
          <w:tcPr>
            <w:tcW w:w="1730" w:type="dxa"/>
          </w:tcPr>
          <w:p w14:paraId="254FAFCC" w14:textId="77777777" w:rsidR="00F669A1" w:rsidRPr="008C451C" w:rsidRDefault="00F669A1" w:rsidP="000C3E59">
            <w:pPr>
              <w:jc w:val="right"/>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French maize yield</w:t>
            </w:r>
          </w:p>
        </w:tc>
        <w:tc>
          <w:tcPr>
            <w:tcW w:w="1134" w:type="dxa"/>
          </w:tcPr>
          <w:p w14:paraId="7D17F761"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8C451C">
              <w:rPr>
                <w:sz w:val="18"/>
                <w:szCs w:val="18"/>
              </w:rPr>
              <w:t>t</w:t>
            </w:r>
            <w:r w:rsidRPr="008C451C">
              <w:rPr>
                <w:sz w:val="18"/>
                <w:szCs w:val="18"/>
                <w:vertAlign w:val="subscript"/>
              </w:rPr>
              <w:t>ww</w:t>
            </w:r>
            <w:r w:rsidRPr="008C451C">
              <w:rPr>
                <w:sz w:val="18"/>
                <w:szCs w:val="18"/>
              </w:rPr>
              <w:t>.ha</w:t>
            </w:r>
            <w:proofErr w:type="gramEnd"/>
            <w:r w:rsidRPr="008C451C">
              <w:rPr>
                <w:sz w:val="18"/>
                <w:szCs w:val="18"/>
                <w:vertAlign w:val="superscript"/>
              </w:rPr>
              <w:t>-1</w:t>
            </w:r>
          </w:p>
        </w:tc>
        <w:tc>
          <w:tcPr>
            <w:tcW w:w="650" w:type="dxa"/>
          </w:tcPr>
          <w:p w14:paraId="1B7A2F03"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8.92</w:t>
            </w:r>
          </w:p>
        </w:tc>
        <w:tc>
          <w:tcPr>
            <w:tcW w:w="1461" w:type="dxa"/>
            <w:vMerge w:val="restart"/>
          </w:tcPr>
          <w:p w14:paraId="396A59C9" w14:textId="7777C4A0" w:rsidR="00F669A1" w:rsidRPr="008C451C" w:rsidRDefault="00F669A1" w:rsidP="00583C1F">
            <w:pPr>
              <w:cnfStyle w:val="000000000000" w:firstRow="0" w:lastRow="0" w:firstColumn="0" w:lastColumn="0" w:oddVBand="0" w:evenVBand="0" w:oddHBand="0" w:evenHBand="0" w:firstRowFirstColumn="0" w:firstRowLastColumn="0" w:lastRowFirstColumn="0" w:lastRowLastColumn="0"/>
              <w:rPr>
                <w:i/>
                <w:sz w:val="18"/>
                <w:szCs w:val="18"/>
              </w:rPr>
            </w:pPr>
            <w:r w:rsidRPr="008C451C">
              <w:rPr>
                <w:i/>
                <w:sz w:val="18"/>
                <w:szCs w:val="18"/>
              </w:rPr>
              <w:t>Average</w:t>
            </w:r>
            <w:r w:rsidRPr="008C451C">
              <w:rPr>
                <w:i/>
                <w:sz w:val="18"/>
                <w:szCs w:val="18"/>
              </w:rPr>
              <w:fldChar w:fldCharType="begin"/>
            </w:r>
            <w:r w:rsidR="008C451C">
              <w:rPr>
                <w:i/>
                <w:sz w:val="18"/>
                <w:szCs w:val="18"/>
              </w:rPr>
              <w:instrText xml:space="preserve"> ADDIN ZOTERO_ITEM CSL_CITATION {"citationID":"Tx6EM8Sx","properties":{"formattedCitation":"\\super 54\\nosupersub{}","plainCitation":"54","noteIndex":0},"citationItems":[{"id":2213,"uris":["http://zotero.org/users/6423791/items/CDP7ZBVY"],"itemData":{"id":2213,"type":"webpage","title":"FAOSTAT","URL":"http://www.fao.org/faostat/en/","author":[{"literal":"FAO"}],"accessed":{"date-parts":[["2021",10,28]]},"issued":{"date-parts":[["2019"]]}}}],"schema":"https://github.com/citation-style-language/schema/raw/master/csl-citation.json"} </w:instrText>
            </w:r>
            <w:r w:rsidRPr="008C451C">
              <w:rPr>
                <w:i/>
                <w:sz w:val="18"/>
                <w:szCs w:val="18"/>
              </w:rPr>
              <w:fldChar w:fldCharType="separate"/>
            </w:r>
            <w:r w:rsidR="008C451C" w:rsidRPr="008C451C">
              <w:rPr>
                <w:rFonts w:ascii="Calibri" w:hAnsi="Calibri" w:cs="Calibri"/>
                <w:sz w:val="18"/>
                <w:szCs w:val="24"/>
                <w:vertAlign w:val="superscript"/>
              </w:rPr>
              <w:t>54</w:t>
            </w:r>
            <w:r w:rsidRPr="008C451C">
              <w:rPr>
                <w:i/>
                <w:sz w:val="18"/>
                <w:szCs w:val="18"/>
              </w:rPr>
              <w:fldChar w:fldCharType="end"/>
            </w:r>
          </w:p>
        </w:tc>
      </w:tr>
      <w:tr w:rsidR="00F669A1" w:rsidRPr="008C451C" w14:paraId="28DE4DAF" w14:textId="77777777" w:rsidTr="00942782">
        <w:trPr>
          <w:cnfStyle w:val="000000100000" w:firstRow="0" w:lastRow="0" w:firstColumn="0" w:lastColumn="0" w:oddVBand="0" w:evenVBand="0" w:oddHBand="1" w:evenHBand="0" w:firstRowFirstColumn="0" w:firstRowLastColumn="0" w:lastRowFirstColumn="0" w:lastRowLastColumn="0"/>
          <w:trHeight w:val="143"/>
        </w:trPr>
        <w:tc>
          <w:tcPr>
            <w:cnfStyle w:val="001000000000" w:firstRow="0" w:lastRow="0" w:firstColumn="1" w:lastColumn="0" w:oddVBand="0" w:evenVBand="0" w:oddHBand="0" w:evenHBand="0" w:firstRowFirstColumn="0" w:firstRowLastColumn="0" w:lastRowFirstColumn="0" w:lastRowLastColumn="0"/>
            <w:tcW w:w="0" w:type="auto"/>
          </w:tcPr>
          <w:p w14:paraId="5930A9B5" w14:textId="77777777" w:rsidR="00F669A1" w:rsidRPr="008C451C" w:rsidRDefault="00F669A1" w:rsidP="000C3E59">
            <w:pPr>
              <w:jc w:val="right"/>
              <w:rPr>
                <w:sz w:val="18"/>
                <w:szCs w:val="18"/>
              </w:rPr>
            </w:pPr>
            <w:r w:rsidRPr="008C451C">
              <w:rPr>
                <w:sz w:val="18"/>
                <w:szCs w:val="18"/>
              </w:rPr>
              <w:t>Primary crop residues</w:t>
            </w:r>
          </w:p>
        </w:tc>
        <w:tc>
          <w:tcPr>
            <w:tcW w:w="0" w:type="auto"/>
          </w:tcPr>
          <w:p w14:paraId="3AEB5A9F" w14:textId="77777777" w:rsidR="00F669A1" w:rsidRPr="008C451C" w:rsidRDefault="00F669A1" w:rsidP="00583C1F">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Return to land</w:t>
            </w:r>
          </w:p>
        </w:tc>
        <w:tc>
          <w:tcPr>
            <w:tcW w:w="1730" w:type="dxa"/>
          </w:tcPr>
          <w:p w14:paraId="720065BE" w14:textId="77777777" w:rsidR="00F669A1" w:rsidRPr="008C451C" w:rsidRDefault="00F669A1" w:rsidP="000C3E59">
            <w:pPr>
              <w:jc w:val="right"/>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French wheat yield</w:t>
            </w:r>
          </w:p>
        </w:tc>
        <w:tc>
          <w:tcPr>
            <w:tcW w:w="1134" w:type="dxa"/>
          </w:tcPr>
          <w:p w14:paraId="144C1E04"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8C451C">
              <w:rPr>
                <w:sz w:val="18"/>
                <w:szCs w:val="18"/>
              </w:rPr>
              <w:t>t</w:t>
            </w:r>
            <w:r w:rsidRPr="008C451C">
              <w:rPr>
                <w:sz w:val="18"/>
                <w:szCs w:val="18"/>
                <w:vertAlign w:val="subscript"/>
              </w:rPr>
              <w:t>ww</w:t>
            </w:r>
            <w:r w:rsidRPr="008C451C">
              <w:rPr>
                <w:sz w:val="18"/>
                <w:szCs w:val="18"/>
              </w:rPr>
              <w:t>.ha</w:t>
            </w:r>
            <w:proofErr w:type="gramEnd"/>
            <w:r w:rsidRPr="008C451C">
              <w:rPr>
                <w:sz w:val="18"/>
                <w:szCs w:val="18"/>
                <w:vertAlign w:val="superscript"/>
              </w:rPr>
              <w:t>-1</w:t>
            </w:r>
          </w:p>
        </w:tc>
        <w:tc>
          <w:tcPr>
            <w:tcW w:w="650" w:type="dxa"/>
          </w:tcPr>
          <w:p w14:paraId="472839D2"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7.00</w:t>
            </w:r>
          </w:p>
        </w:tc>
        <w:tc>
          <w:tcPr>
            <w:tcW w:w="1461" w:type="dxa"/>
            <w:vMerge/>
          </w:tcPr>
          <w:p w14:paraId="6D3F1A3B"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i/>
                <w:sz w:val="18"/>
                <w:szCs w:val="18"/>
              </w:rPr>
            </w:pPr>
          </w:p>
        </w:tc>
      </w:tr>
      <w:tr w:rsidR="00F669A1" w:rsidRPr="008C451C" w14:paraId="0D150EFC"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7356FCFA" w14:textId="77777777" w:rsidR="00F669A1" w:rsidRPr="008C451C" w:rsidRDefault="00F669A1" w:rsidP="000C3E59">
            <w:pPr>
              <w:jc w:val="right"/>
              <w:rPr>
                <w:sz w:val="18"/>
                <w:szCs w:val="18"/>
              </w:rPr>
            </w:pPr>
            <w:r w:rsidRPr="008C451C">
              <w:rPr>
                <w:sz w:val="18"/>
                <w:szCs w:val="18"/>
              </w:rPr>
              <w:t>Garden &amp; park waste</w:t>
            </w:r>
          </w:p>
        </w:tc>
        <w:tc>
          <w:tcPr>
            <w:tcW w:w="0" w:type="auto"/>
          </w:tcPr>
          <w:p w14:paraId="6B33EAD2" w14:textId="77777777" w:rsidR="00F669A1" w:rsidRPr="008C451C" w:rsidRDefault="00F669A1" w:rsidP="00583C1F">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As aggregate</w:t>
            </w:r>
          </w:p>
        </w:tc>
        <w:tc>
          <w:tcPr>
            <w:tcW w:w="1730" w:type="dxa"/>
          </w:tcPr>
          <w:p w14:paraId="41C458A0" w14:textId="77777777" w:rsidR="00F669A1" w:rsidRPr="008C451C" w:rsidRDefault="00F669A1" w:rsidP="000C3E59">
            <w:pPr>
              <w:jc w:val="right"/>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French N-fertilizer application</w:t>
            </w:r>
          </w:p>
        </w:tc>
        <w:tc>
          <w:tcPr>
            <w:tcW w:w="1134" w:type="dxa"/>
          </w:tcPr>
          <w:p w14:paraId="2488BFFA"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proofErr w:type="gramStart"/>
            <w:r w:rsidRPr="008C451C">
              <w:rPr>
                <w:sz w:val="18"/>
                <w:szCs w:val="18"/>
              </w:rPr>
              <w:t>kg.ha</w:t>
            </w:r>
            <w:proofErr w:type="gramEnd"/>
            <w:r w:rsidRPr="008C451C">
              <w:rPr>
                <w:sz w:val="18"/>
                <w:szCs w:val="18"/>
                <w:vertAlign w:val="superscript"/>
              </w:rPr>
              <w:t>-1</w:t>
            </w:r>
          </w:p>
        </w:tc>
        <w:tc>
          <w:tcPr>
            <w:tcW w:w="650" w:type="dxa"/>
          </w:tcPr>
          <w:p w14:paraId="2D39A919"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120</w:t>
            </w:r>
          </w:p>
        </w:tc>
        <w:tc>
          <w:tcPr>
            <w:tcW w:w="1461" w:type="dxa"/>
            <w:vMerge/>
          </w:tcPr>
          <w:p w14:paraId="1818DE4E"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i/>
                <w:sz w:val="18"/>
                <w:szCs w:val="18"/>
              </w:rPr>
            </w:pPr>
          </w:p>
        </w:tc>
      </w:tr>
      <w:tr w:rsidR="00F669A1" w:rsidRPr="008C451C" w14:paraId="4887A6E5" w14:textId="77777777" w:rsidTr="00942782">
        <w:trPr>
          <w:cnfStyle w:val="000000100000" w:firstRow="0" w:lastRow="0" w:firstColumn="0" w:lastColumn="0" w:oddVBand="0" w:evenVBand="0" w:oddHBand="1" w:evenHBand="0" w:firstRowFirstColumn="0" w:firstRowLastColumn="0" w:lastRowFirstColumn="0" w:lastRowLastColumn="0"/>
          <w:trHeight w:val="44"/>
        </w:trPr>
        <w:tc>
          <w:tcPr>
            <w:cnfStyle w:val="001000000000" w:firstRow="0" w:lastRow="0" w:firstColumn="1" w:lastColumn="0" w:oddVBand="0" w:evenVBand="0" w:oddHBand="0" w:evenHBand="0" w:firstRowFirstColumn="0" w:firstRowLastColumn="0" w:lastRowFirstColumn="0" w:lastRowLastColumn="0"/>
            <w:tcW w:w="0" w:type="auto"/>
          </w:tcPr>
          <w:p w14:paraId="7BEC994F" w14:textId="77777777" w:rsidR="00F669A1" w:rsidRPr="008C451C" w:rsidRDefault="00F669A1" w:rsidP="000C3E59">
            <w:pPr>
              <w:jc w:val="right"/>
              <w:rPr>
                <w:sz w:val="18"/>
                <w:szCs w:val="18"/>
              </w:rPr>
            </w:pPr>
            <w:r w:rsidRPr="008C451C">
              <w:rPr>
                <w:sz w:val="18"/>
                <w:szCs w:val="18"/>
              </w:rPr>
              <w:t>Vegetable tops</w:t>
            </w:r>
          </w:p>
        </w:tc>
        <w:tc>
          <w:tcPr>
            <w:tcW w:w="0" w:type="auto"/>
          </w:tcPr>
          <w:p w14:paraId="3EC25BA4" w14:textId="77777777" w:rsidR="00F669A1" w:rsidRPr="008C451C" w:rsidRDefault="00F669A1" w:rsidP="00583C1F">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Return to land</w:t>
            </w:r>
          </w:p>
        </w:tc>
        <w:tc>
          <w:tcPr>
            <w:tcW w:w="1730" w:type="dxa"/>
          </w:tcPr>
          <w:p w14:paraId="41428ACE" w14:textId="77777777" w:rsidR="00F669A1" w:rsidRPr="008C451C" w:rsidRDefault="00F669A1" w:rsidP="000C3E59">
            <w:pPr>
              <w:jc w:val="right"/>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Gaschar decrease in N2O emissions</w:t>
            </w:r>
          </w:p>
        </w:tc>
        <w:tc>
          <w:tcPr>
            <w:tcW w:w="3245" w:type="dxa"/>
            <w:gridSpan w:val="3"/>
            <w:vMerge w:val="restart"/>
          </w:tcPr>
          <w:p w14:paraId="30D3CDB7" w14:textId="2EAC1393" w:rsidR="00F669A1" w:rsidRPr="008C451C" w:rsidRDefault="00F669A1" w:rsidP="00583C1F">
            <w:pPr>
              <w:cnfStyle w:val="000000100000" w:firstRow="0" w:lastRow="0" w:firstColumn="0" w:lastColumn="0" w:oddVBand="0" w:evenVBand="0" w:oddHBand="1" w:evenHBand="0" w:firstRowFirstColumn="0" w:firstRowLastColumn="0" w:lastRowFirstColumn="0" w:lastRowLastColumn="0"/>
              <w:rPr>
                <w:i/>
                <w:sz w:val="18"/>
                <w:szCs w:val="18"/>
              </w:rPr>
            </w:pPr>
            <w:r w:rsidRPr="008C451C">
              <w:rPr>
                <w:i/>
                <w:sz w:val="18"/>
                <w:szCs w:val="18"/>
              </w:rPr>
              <w:t xml:space="preserve">Technology parameters, see </w:t>
            </w:r>
            <w:r w:rsidR="00583C1F" w:rsidRPr="008C451C">
              <w:rPr>
                <w:b/>
                <w:i/>
                <w:sz w:val="18"/>
                <w:szCs w:val="18"/>
              </w:rPr>
              <w:fldChar w:fldCharType="begin"/>
            </w:r>
            <w:r w:rsidR="00583C1F" w:rsidRPr="008C451C">
              <w:rPr>
                <w:b/>
                <w:i/>
                <w:sz w:val="18"/>
                <w:szCs w:val="18"/>
              </w:rPr>
              <w:instrText xml:space="preserve"> REF _Ref144913305 \h  \* MERGEFORMAT </w:instrText>
            </w:r>
            <w:r w:rsidR="00583C1F" w:rsidRPr="008C451C">
              <w:rPr>
                <w:b/>
                <w:i/>
                <w:sz w:val="18"/>
                <w:szCs w:val="18"/>
              </w:rPr>
            </w:r>
            <w:r w:rsidR="00583C1F" w:rsidRPr="008C451C">
              <w:rPr>
                <w:b/>
                <w:i/>
                <w:sz w:val="18"/>
                <w:szCs w:val="18"/>
              </w:rPr>
              <w:fldChar w:fldCharType="separate"/>
            </w:r>
            <w:r w:rsidR="00F25F8C" w:rsidRPr="008C451C">
              <w:rPr>
                <w:b/>
                <w:i/>
                <w:sz w:val="18"/>
                <w:szCs w:val="18"/>
              </w:rPr>
              <w:t xml:space="preserve">Table SI. </w:t>
            </w:r>
            <w:r w:rsidR="00F25F8C" w:rsidRPr="008C451C">
              <w:rPr>
                <w:b/>
                <w:i/>
                <w:noProof/>
                <w:sz w:val="18"/>
                <w:szCs w:val="18"/>
              </w:rPr>
              <w:t>101</w:t>
            </w:r>
            <w:r w:rsidR="00583C1F" w:rsidRPr="008C451C">
              <w:rPr>
                <w:b/>
                <w:i/>
                <w:sz w:val="18"/>
                <w:szCs w:val="18"/>
              </w:rPr>
              <w:fldChar w:fldCharType="end"/>
            </w:r>
          </w:p>
        </w:tc>
      </w:tr>
      <w:tr w:rsidR="00F669A1" w:rsidRPr="008C451C" w14:paraId="5D10D829"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171A68A0" w14:textId="77777777" w:rsidR="00F669A1" w:rsidRPr="008C451C" w:rsidRDefault="00F669A1" w:rsidP="000C3E59">
            <w:pPr>
              <w:jc w:val="right"/>
              <w:rPr>
                <w:sz w:val="18"/>
                <w:szCs w:val="18"/>
              </w:rPr>
            </w:pPr>
            <w:r w:rsidRPr="008C451C">
              <w:rPr>
                <w:sz w:val="18"/>
                <w:szCs w:val="18"/>
              </w:rPr>
              <w:t>Food waste</w:t>
            </w:r>
          </w:p>
        </w:tc>
        <w:tc>
          <w:tcPr>
            <w:tcW w:w="0" w:type="auto"/>
          </w:tcPr>
          <w:p w14:paraId="6B2C75E6" w14:textId="77777777" w:rsidR="00F669A1" w:rsidRPr="008C451C" w:rsidRDefault="00F669A1" w:rsidP="00583C1F">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As aggregate</w:t>
            </w:r>
          </w:p>
        </w:tc>
        <w:tc>
          <w:tcPr>
            <w:tcW w:w="1730" w:type="dxa"/>
          </w:tcPr>
          <w:p w14:paraId="23B3E61A" w14:textId="77777777" w:rsidR="00F669A1" w:rsidRPr="008C451C" w:rsidRDefault="00F669A1" w:rsidP="000C3E59">
            <w:pPr>
              <w:jc w:val="right"/>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Gaschar increase in maize yield</w:t>
            </w:r>
          </w:p>
        </w:tc>
        <w:tc>
          <w:tcPr>
            <w:tcW w:w="3245" w:type="dxa"/>
            <w:gridSpan w:val="3"/>
            <w:vMerge/>
          </w:tcPr>
          <w:p w14:paraId="478F3C80"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i/>
                <w:sz w:val="18"/>
                <w:szCs w:val="18"/>
              </w:rPr>
            </w:pPr>
          </w:p>
        </w:tc>
      </w:tr>
      <w:tr w:rsidR="00F669A1" w:rsidRPr="008C451C" w14:paraId="3864A1A6"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A4178AE" w14:textId="77777777" w:rsidR="00F669A1" w:rsidRPr="008C451C" w:rsidRDefault="00F669A1" w:rsidP="000C3E59">
            <w:pPr>
              <w:jc w:val="right"/>
              <w:rPr>
                <w:sz w:val="18"/>
                <w:szCs w:val="18"/>
              </w:rPr>
            </w:pPr>
            <w:r w:rsidRPr="008C451C">
              <w:rPr>
                <w:sz w:val="18"/>
                <w:szCs w:val="18"/>
              </w:rPr>
              <w:t>Slaughterhouse by-products</w:t>
            </w:r>
          </w:p>
        </w:tc>
        <w:tc>
          <w:tcPr>
            <w:tcW w:w="0" w:type="auto"/>
          </w:tcPr>
          <w:p w14:paraId="6CBF989B" w14:textId="77777777" w:rsidR="00F669A1" w:rsidRPr="008C451C" w:rsidRDefault="00F669A1" w:rsidP="00583C1F">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As aggregate</w:t>
            </w:r>
          </w:p>
        </w:tc>
        <w:tc>
          <w:tcPr>
            <w:tcW w:w="1730" w:type="dxa"/>
          </w:tcPr>
          <w:p w14:paraId="0D4E53A5" w14:textId="77777777" w:rsidR="00F669A1" w:rsidRPr="008C451C" w:rsidRDefault="00F669A1" w:rsidP="000C3E59">
            <w:pPr>
              <w:jc w:val="right"/>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Gaschar increase in wheat yield</w:t>
            </w:r>
          </w:p>
        </w:tc>
        <w:tc>
          <w:tcPr>
            <w:tcW w:w="3245" w:type="dxa"/>
            <w:gridSpan w:val="3"/>
            <w:vMerge/>
          </w:tcPr>
          <w:p w14:paraId="10EB929F"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i/>
                <w:sz w:val="18"/>
                <w:szCs w:val="18"/>
              </w:rPr>
            </w:pPr>
          </w:p>
        </w:tc>
      </w:tr>
      <w:tr w:rsidR="00F669A1" w:rsidRPr="008C451C" w14:paraId="4A96AA4F" w14:textId="77777777" w:rsidTr="00942782">
        <w:trPr>
          <w:trHeight w:val="757"/>
        </w:trPr>
        <w:tc>
          <w:tcPr>
            <w:cnfStyle w:val="001000000000" w:firstRow="0" w:lastRow="0" w:firstColumn="1" w:lastColumn="0" w:oddVBand="0" w:evenVBand="0" w:oddHBand="0" w:evenHBand="0" w:firstRowFirstColumn="0" w:firstRowLastColumn="0" w:lastRowFirstColumn="0" w:lastRowLastColumn="0"/>
            <w:tcW w:w="0" w:type="auto"/>
            <w:gridSpan w:val="2"/>
          </w:tcPr>
          <w:p w14:paraId="079A2683" w14:textId="6805A51B" w:rsidR="00F669A1" w:rsidRPr="008C451C" w:rsidRDefault="00F669A1" w:rsidP="00583C1F">
            <w:pPr>
              <w:rPr>
                <w:b w:val="0"/>
                <w:i/>
                <w:sz w:val="18"/>
                <w:szCs w:val="18"/>
                <w:highlight w:val="yellow"/>
              </w:rPr>
            </w:pPr>
            <w:r w:rsidRPr="008C451C">
              <w:rPr>
                <w:b w:val="0"/>
                <w:i/>
                <w:sz w:val="18"/>
                <w:szCs w:val="18"/>
              </w:rPr>
              <w:t>Here only indicative for the sub-category, management is defined by the status of each specific stream.</w:t>
            </w:r>
          </w:p>
        </w:tc>
        <w:tc>
          <w:tcPr>
            <w:tcW w:w="1730" w:type="dxa"/>
          </w:tcPr>
          <w:p w14:paraId="3FC434D3" w14:textId="77777777" w:rsidR="00F669A1" w:rsidRPr="008C451C" w:rsidRDefault="00F669A1" w:rsidP="000C3E59">
            <w:pPr>
              <w:jc w:val="right"/>
              <w:cnfStyle w:val="000000000000" w:firstRow="0" w:lastRow="0" w:firstColumn="0" w:lastColumn="0" w:oddVBand="0" w:evenVBand="0" w:oddHBand="0" w:evenHBand="0" w:firstRowFirstColumn="0" w:firstRowLastColumn="0" w:lastRowFirstColumn="0" w:lastRowLastColumn="0"/>
              <w:rPr>
                <w:i/>
                <w:sz w:val="18"/>
                <w:szCs w:val="18"/>
                <w:highlight w:val="yellow"/>
              </w:rPr>
            </w:pPr>
            <w:r w:rsidRPr="008C451C">
              <w:rPr>
                <w:sz w:val="18"/>
                <w:szCs w:val="18"/>
              </w:rPr>
              <w:t>Gaschar C loss, 100 years</w:t>
            </w:r>
          </w:p>
        </w:tc>
        <w:tc>
          <w:tcPr>
            <w:tcW w:w="3245" w:type="dxa"/>
            <w:gridSpan w:val="3"/>
            <w:vMerge/>
          </w:tcPr>
          <w:p w14:paraId="652B5632"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i/>
                <w:sz w:val="18"/>
                <w:szCs w:val="18"/>
                <w:highlight w:val="yellow"/>
              </w:rPr>
            </w:pPr>
          </w:p>
        </w:tc>
      </w:tr>
    </w:tbl>
    <w:p w14:paraId="111072FE" w14:textId="7F0533FE" w:rsidR="00F669A1" w:rsidRPr="003F5DA8" w:rsidRDefault="00F669A1" w:rsidP="00942782">
      <w:pPr>
        <w:jc w:val="both"/>
      </w:pPr>
      <w:r w:rsidRPr="003F5DA8">
        <w:rPr>
          <w:sz w:val="18"/>
        </w:rPr>
        <w:t xml:space="preserve">The parameters present in this table were not retained in the sensitivity analysis, these were considered as constants (else, mentioned). Calculation </w:t>
      </w:r>
      <w:r w:rsidRPr="009F12CB">
        <w:rPr>
          <w:sz w:val="18"/>
        </w:rPr>
        <w:t xml:space="preserve">details in </w:t>
      </w:r>
      <w:r w:rsidR="008C451C" w:rsidRPr="008C451C">
        <w:rPr>
          <w:i/>
          <w:sz w:val="18"/>
        </w:rPr>
        <w:t>B.GA_module spreadsheet</w:t>
      </w:r>
      <w:r w:rsidRPr="009F12CB">
        <w:rPr>
          <w:sz w:val="18"/>
        </w:rPr>
        <w:t xml:space="preserve">. </w:t>
      </w:r>
      <w:r w:rsidRPr="009F12CB">
        <w:rPr>
          <w:sz w:val="18"/>
          <w:vertAlign w:val="superscript"/>
        </w:rPr>
        <w:t>*</w:t>
      </w:r>
      <w:r w:rsidRPr="009F12CB">
        <w:rPr>
          <w:sz w:val="18"/>
        </w:rPr>
        <w:t>: here</w:t>
      </w:r>
      <w:r w:rsidRPr="003F5DA8">
        <w:rPr>
          <w:sz w:val="18"/>
        </w:rPr>
        <w:t xml:space="preserve"> sawmill waste was considered returned to land.</w:t>
      </w:r>
    </w:p>
    <w:p w14:paraId="3F182907" w14:textId="2C0492F8" w:rsidR="00F669A1" w:rsidRPr="003F5DA8" w:rsidRDefault="00F669A1" w:rsidP="00F669A1">
      <w:pPr>
        <w:jc w:val="both"/>
      </w:pPr>
      <w:r w:rsidRPr="003F5DA8">
        <w:t>Literature reports cumulative effects of gaschar when applied on agricultural lands. It includes, but is not limited to: (i) carbon sequestration, (ii) fertilizer use reduction</w:t>
      </w:r>
      <w:r w:rsidRPr="003F5DA8">
        <w:fldChar w:fldCharType="begin"/>
      </w:r>
      <w:r w:rsidR="00991F7C">
        <w:instrText xml:space="preserve"> ADDIN ZOTERO_ITEM CSL_CITATION {"citationID":"QdfRirrD","properties":{"formattedCitation":"\\super 344\\nosupersub{}","plainCitation":"344","noteIndex":0},"citationItems":[{"id":12930,"uris":["http://zotero.org/users/6423791/items/UNFXTD3C"],"itemData":{"id":12930,"type":"article-journal","abstract":"The application of biochar as a soil amendment is a potential strategy for carbon sequestration. In this paper, a slow pyrolysis system for generating heat and biochar from lignocellulosic energy crops is simulated and its life-cycle performance compared with that of direct biomass combustion. The use of the char as biochar is also contrasted with alternative use options: cofiring in coal power plants, use as charcoal, and use as a fuel for heat generation. Additionally, the influence on the results of the long-term stability of the biochar in the soil, as well as of biochar effects on biomass yield, is evaluated. Negative greenhouse gas emissions are obtained for the biochar system, indicating a significant carbon abatement potential. However, this is achieved at the expense of lower energy efficiency and higher impacts in the other assessed categories when compared to direct biomass combustion. When comparing the different use options of the pyrolysis char, the most favorable result is obtained for char cofiring substituting fossil coal, even assuming high long-term stability of the char. Nevertheless, a high sensitivity to biomass yield increase is found for biochar systems. In this sense, biochar application to low-quality soils where high yield increases are expected would show a more favorable performance in terms of global warming.","container-title":"Environmental Science &amp; Technology","DOI":"10.1021/es5060786","ISSN":"0013-936X","issue":"8","journalAbbreviation":"Environ. Sci. Technol.","note":"publisher: American Chemical Society","page":"5195-5202","source":"ACS Publications","title":"Biomass Pyrolysis for Biochar or Energy Applications? A Life Cycle Assessment","title-short":"Biomass Pyrolysis for Biochar or Energy Applications?","volume":"49","author":[{"family":"Peters","given":"Jens F."},{"family":"Iribarren","given":"Diego"},{"family":"Dufour","given":"Javier"}],"issued":{"date-parts":[["2015",4,21]]}}}],"schema":"https://github.com/citation-style-language/schema/raw/master/csl-citation.json"} </w:instrText>
      </w:r>
      <w:r w:rsidRPr="003F5DA8">
        <w:fldChar w:fldCharType="separate"/>
      </w:r>
      <w:r w:rsidR="00991F7C" w:rsidRPr="00991F7C">
        <w:rPr>
          <w:rFonts w:ascii="Calibri" w:hAnsi="Calibri" w:cs="Calibri"/>
          <w:szCs w:val="24"/>
          <w:vertAlign w:val="superscript"/>
        </w:rPr>
        <w:t>344</w:t>
      </w:r>
      <w:r w:rsidRPr="003F5DA8">
        <w:fldChar w:fldCharType="end"/>
      </w:r>
      <w:r w:rsidRPr="003F5DA8">
        <w:t>, (iii) soil N</w:t>
      </w:r>
      <w:r w:rsidRPr="003F5DA8">
        <w:rPr>
          <w:vertAlign w:val="subscript"/>
        </w:rPr>
        <w:t>2</w:t>
      </w:r>
      <w:r w:rsidRPr="003F5DA8">
        <w:t>O emissions reduction, (iv) increased crop yields, (v) soil organic carbon (SOC) change, (vi) soil CH</w:t>
      </w:r>
      <w:r w:rsidRPr="003F5DA8">
        <w:rPr>
          <w:vertAlign w:val="subscript"/>
        </w:rPr>
        <w:t>4</w:t>
      </w:r>
      <w:r w:rsidRPr="003F5DA8">
        <w:t xml:space="preserve"> emissions change, (vii) increased water retention, (viii) reduced limestone use, (ix) increased phosphorous availability, (x) modification of soil texture and pH (i-viii in review by Azzi et al., 2021</w:t>
      </w:r>
      <w:r w:rsidRPr="003F5DA8">
        <w:fldChar w:fldCharType="begin"/>
      </w:r>
      <w:r w:rsidR="00991F7C">
        <w:instrText xml:space="preserve"> ADDIN ZOTERO_ITEM CSL_CITATION {"citationID":"Zdig2d7Y","properties":{"formattedCitation":"\\super 343\\nosupersub{}","plainCitation":"343","noteIndex":0},"citationItems":[{"id":13088,"uris":["http://zotero.org/users/6423791/items/HRJXHXIT"],"itemData":{"id":13088,"type":"article-journal","abstract":"Biochar has been recognised as a carbon dioxide removal (CDR) technology. Unlike other CDR technologies, biochar is expected to deliver various valuable effects in e.g. agriculture, animal husbandry, industrial processes, remediation activities and waste management. The diversity of biochar side effects to CDR makes the systematic environmental assessment of biochar projects challenging, and to date, there is no common framework for evaluating them. Our aim is to bridge the methodology gap for evaluating biochar systems from a life-cycle perspective. Using life cycle theory, actual biochar projects, and reviews of biochar research, we propose a general description of biochar systems, an overview of biochar effects, and an evaluation framework for biochar effects. The evaluation framework was applied to a case study, the Stockholm Biochar Project. In the framework, biochar effects are classified according to life cycle stage and life cycle effect type; and the biochar's end-of-life and the reference situations are made explicit. Three types of effects are easily included in life cycle theory: changes in biosphere exchanges, technosphere inputs, and technosphere outputs. For other effects, analysing the cause-effect chain may be helpful. Several biochar effects in agroecosystems can be modelled as future productivity increases against a reference situation. In practice, the complexity of agroecosystems can be bypassed by using empirical models. Existing biochar life cycle studies are often limited to carbon footprint calculations and quantify a limited amount of biochar effects, mainly carbon sequestration, energy displacements and fertiliser-related emissions. The methodological development in this study can be of benefit to the biochar and CDR research communities, as well as decision-makers in biochar practice and policy.","container-title":"Journal of Environmental Management","DOI":"10.1016/j.jenvman.2021.112154","ISSN":"0301-4797","journalAbbreviation":"Journal of Environmental Management","language":"en","page":"112154","source":"ScienceDirect","title":"Assessing the diverse environmental effects of biochar systems: An evaluation framework","title-short":"Assessing the diverse environmental effects of biochar systems","volume":"286","author":[{"family":"Azzi","given":"Elias S."},{"family":"Karltun","given":"Erik"},{"family":"Sundberg","given":"Cecilia"}],"issued":{"date-parts":[["2021",5,15]]}}}],"schema":"https://github.com/citation-style-language/schema/raw/master/csl-citation.json"} </w:instrText>
      </w:r>
      <w:r w:rsidRPr="003F5DA8">
        <w:fldChar w:fldCharType="separate"/>
      </w:r>
      <w:r w:rsidR="00991F7C" w:rsidRPr="00991F7C">
        <w:rPr>
          <w:rFonts w:ascii="Calibri" w:hAnsi="Calibri" w:cs="Calibri"/>
          <w:szCs w:val="24"/>
          <w:vertAlign w:val="superscript"/>
        </w:rPr>
        <w:t>343</w:t>
      </w:r>
      <w:r w:rsidRPr="003F5DA8">
        <w:fldChar w:fldCharType="end"/>
      </w:r>
      <w:r w:rsidRPr="003F5DA8">
        <w:t>; i,v,vii,ix,x in meta-analysis by Joseph et al., 2021</w:t>
      </w:r>
      <w:r w:rsidRPr="003F5DA8">
        <w:fldChar w:fldCharType="begin"/>
      </w:r>
      <w:r w:rsidR="00991F7C">
        <w:instrText xml:space="preserve"> ADDIN ZOTERO_ITEM CSL_CITATION {"citationID":"fdJdXEMj","properties":{"formattedCitation":"\\super 345\\nosupersub{}","plainCitation":"345","noteIndex":0},"citationItems":[{"id":13098,"uris":["http://zotero.org/users/6423791/items/XTMJG96G"],"itemData":{"id":13098,"type":"article-journal","abstract":"We synthesized 20 years of research to explain the interrelated processes that determine soil and plant responses to biochar. The properties of biochar and its effects within agricultural ecosystems largely depend on feedstock and pyrolysis conditions. We describe three stages of reactions of biochar in soil: dissolution (1–­3 weeks); reactive surface development (1–­6 months); and aging (beyond 6 months). As biochar ages, it is incorporated into soil aggregates, protecting the biochar carbon and promoting the stabilization of rhizodeposits and microbial products. Biochar carbon persists in soil for hundreds to thousands of years. By increasing pH, porosity, and water availability, biochars can create favorable conditions for root development and microbial functions. Biochars can catalyze biotic and abiotic reactions, particularly in the rhizosphere, that increase nutrient supply and uptake by plants, reduce phytotoxins, stimulate plant development, and increase resilience to disease and environmental stressors. Meta-­analyses found that, on average, biochars increase P availability by a factor of 4.6; decrease plant tissue concentration of heavy metals by 17%–­39%; build soil organic carbon through negative priming by 3.8% (range −21% to +20%); and reduce non-­CO2 greenhouse gas emissions from soil by 12%–5­ 0%. Meta-­analyses show average crop yield increases of 10%–4­ 2% with biochar addition, with greatest increases in low-n­ utrient P-­sorbing acidic soils (common in the tropics), and in sandy soils in drylands due to increase in nutrient retention and water holding capacity. Studies report a wide range of plant responses to biochars due to the diversity of biochars and contexts in which biochars have been applied. Crop yields increase strongly if site-s­pecific soil constraints and nutrient and water limitations are mitigated by appropriate biochar formulations. Biochars can be tailored to address site constraints through feedstock selection, by modifying pyrolysis conditions, through pre-­or post-­ production treatments, or co-­application with organic or mineral fertilizers. We demonstrate how, when used wisely, biochar mitigates climate change and supports food security and the circular economy.","container-title":"GCB Bioenergy","DOI":"10.1111/gcbb.12885","ISSN":"1757-1693, 1757-1707","issue":"11","journalAbbreviation":"GCB Bioenergy","language":"en","page":"1731-1764","source":"DOI.org (Crossref)","title":"How biochar works, and when it doesn't: A review of mechanisms controlling soil and plant responses to biochar","title-short":"How biochar works, and when it doesn't","volume":"13","author":[{"family":"Joseph","given":"Stephen"},{"family":"Cowie","given":"Annette L."},{"family":"Van Zwieten","given":"Lukas"},{"family":"Bolan","given":"Nanthi"},{"family":"Budai","given":"Alice"},{"family":"Buss","given":"Wolfram"},{"family":"Cayuela","given":"Maria Luz"},{"family":"Graber","given":"Ellen R."},{"family":"Ippolito","given":"James A."},{"family":"Kuzyakov","given":"Yakov"},{"family":"Luo","given":"Yu"},{"family":"Ok","given":"Yong Sik"},{"family":"Palansooriya","given":"Kumuduni N."},{"family":"Shepherd","given":"Jessica"},{"family":"Stephens","given":"Scott"},{"family":"Weng","given":"Zhe (Han)"},{"family":"Lehmann","given":"Johannes"}],"issued":{"date-parts":[["2021",11]]}}}],"schema":"https://github.com/citation-style-language/schema/raw/master/csl-citation.json"} </w:instrText>
      </w:r>
      <w:r w:rsidRPr="003F5DA8">
        <w:fldChar w:fldCharType="separate"/>
      </w:r>
      <w:r w:rsidR="00991F7C" w:rsidRPr="00991F7C">
        <w:rPr>
          <w:rFonts w:ascii="Calibri" w:hAnsi="Calibri" w:cs="Calibri"/>
          <w:szCs w:val="24"/>
          <w:vertAlign w:val="superscript"/>
        </w:rPr>
        <w:t>345</w:t>
      </w:r>
      <w:r w:rsidRPr="003F5DA8">
        <w:fldChar w:fldCharType="end"/>
      </w:r>
      <w:r w:rsidRPr="003F5DA8">
        <w:t xml:space="preserve">). Yet, some effects are highly uncertain (e.g. SOC change ranging </w:t>
      </w:r>
      <w:r w:rsidRPr="003F5DA8">
        <w:rPr>
          <w:rFonts w:cstheme="minorHAnsi"/>
        </w:rPr>
        <w:t>± 20%</w:t>
      </w:r>
      <w:r w:rsidRPr="003F5DA8">
        <w:fldChar w:fldCharType="begin"/>
      </w:r>
      <w:r w:rsidR="00991F7C">
        <w:instrText xml:space="preserve"> ADDIN ZOTERO_ITEM CSL_CITATION {"citationID":"FVKbhulo","properties":{"formattedCitation":"\\super 345\\nosupersub{}","plainCitation":"345","noteIndex":0},"citationItems":[{"id":13098,"uris":["http://zotero.org/users/6423791/items/XTMJG96G"],"itemData":{"id":13098,"type":"article-journal","abstract":"We synthesized 20 years of research to explain the interrelated processes that determine soil and plant responses to biochar. The properties of biochar and its effects within agricultural ecosystems largely depend on feedstock and pyrolysis conditions. We describe three stages of reactions of biochar in soil: dissolution (1–­3 weeks); reactive surface development (1–­6 months); and aging (beyond 6 months). As biochar ages, it is incorporated into soil aggregates, protecting the biochar carbon and promoting the stabilization of rhizodeposits and microbial products. Biochar carbon persists in soil for hundreds to thousands of years. By increasing pH, porosity, and water availability, biochars can create favorable conditions for root development and microbial functions. Biochars can catalyze biotic and abiotic reactions, particularly in the rhizosphere, that increase nutrient supply and uptake by plants, reduce phytotoxins, stimulate plant development, and increase resilience to disease and environmental stressors. Meta-­analyses found that, on average, biochars increase P availability by a factor of 4.6; decrease plant tissue concentration of heavy metals by 17%–­39%; build soil organic carbon through negative priming by 3.8% (range −21% to +20%); and reduce non-­CO2 greenhouse gas emissions from soil by 12%–5­ 0%. Meta-­analyses show average crop yield increases of 10%–4­ 2% with biochar addition, with greatest increases in low-n­ utrient P-­sorbing acidic soils (common in the tropics), and in sandy soils in drylands due to increase in nutrient retention and water holding capacity. Studies report a wide range of plant responses to biochars due to the diversity of biochars and contexts in which biochars have been applied. Crop yields increase strongly if site-s­pecific soil constraints and nutrient and water limitations are mitigated by appropriate biochar formulations. Biochars can be tailored to address site constraints through feedstock selection, by modifying pyrolysis conditions, through pre-­or post-­ production treatments, or co-­application with organic or mineral fertilizers. We demonstrate how, when used wisely, biochar mitigates climate change and supports food security and the circular economy.","container-title":"GCB Bioenergy","DOI":"10.1111/gcbb.12885","ISSN":"1757-1693, 1757-1707","issue":"11","journalAbbreviation":"GCB Bioenergy","language":"en","page":"1731-1764","source":"DOI.org (Crossref)","title":"How biochar works, and when it doesn't: A review of mechanisms controlling soil and plant responses to biochar","title-short":"How biochar works, and when it doesn't","volume":"13","author":[{"family":"Joseph","given":"Stephen"},{"family":"Cowie","given":"Annette L."},{"family":"Van Zwieten","given":"Lukas"},{"family":"Bolan","given":"Nanthi"},{"family":"Budai","given":"Alice"},{"family":"Buss","given":"Wolfram"},{"family":"Cayuela","given":"Maria Luz"},{"family":"Graber","given":"Ellen R."},{"family":"Ippolito","given":"James A."},{"family":"Kuzyakov","given":"Yakov"},{"family":"Luo","given":"Yu"},{"family":"Ok","given":"Yong Sik"},{"family":"Palansooriya","given":"Kumuduni N."},{"family":"Shepherd","given":"Jessica"},{"family":"Stephens","given":"Scott"},{"family":"Weng","given":"Zhe (Han)"},{"family":"Lehmann","given":"Johannes"}],"issued":{"date-parts":[["2021",11]]}}}],"schema":"https://github.com/citation-style-language/schema/raw/master/csl-citation.json"} </w:instrText>
      </w:r>
      <w:r w:rsidRPr="003F5DA8">
        <w:fldChar w:fldCharType="separate"/>
      </w:r>
      <w:r w:rsidR="00991F7C" w:rsidRPr="00991F7C">
        <w:rPr>
          <w:rFonts w:ascii="Calibri" w:hAnsi="Calibri" w:cs="Calibri"/>
          <w:szCs w:val="24"/>
          <w:vertAlign w:val="superscript"/>
        </w:rPr>
        <w:t>345</w:t>
      </w:r>
      <w:r w:rsidRPr="003F5DA8">
        <w:fldChar w:fldCharType="end"/>
      </w:r>
      <w:r w:rsidRPr="003F5DA8">
        <w:t>) or not significant nor generalized (e.g. reduction in CH</w:t>
      </w:r>
      <w:r w:rsidRPr="003F5DA8">
        <w:rPr>
          <w:vertAlign w:val="subscript"/>
        </w:rPr>
        <w:t>4</w:t>
      </w:r>
      <w:r w:rsidRPr="003F5DA8">
        <w:t xml:space="preserve"> emissions</w:t>
      </w:r>
      <w:r w:rsidRPr="003F5DA8">
        <w:fldChar w:fldCharType="begin"/>
      </w:r>
      <w:r w:rsidR="00991F7C">
        <w:instrText xml:space="preserve"> ADDIN ZOTERO_ITEM CSL_CITATION {"citationID":"WQmuHZkK","properties":{"formattedCitation":"\\super 346\\nosupersub{}","plainCitation":"346","noteIndex":0},"citationItems":[{"id":13096,"uris":["http://zotero.org/users/6423791/items/26WR3BFJ"],"itemData":{"id":13096,"type":"article-journal","abstract":"Biochar application to soils may increase carbon (C) sequestration due to the inputs of recalcitrant organic C. However, the effects of biochar application on the soil greenhouse gas (GHG) ﬂuxes appear variable among many case studies; therefore, the efﬁcacy of biochar as a carbon sequestration agent for climate change mitigation remains uncertain. We performed a meta-analysis of 91 published papers with 552 paired comparisons to obtain a central tendency of three main GHG ﬂuxes (i.e., CO2, CH4, and N2O) in response to biochar application. Our results showed that biochar application signiﬁcantly increased soil CO2 ﬂuxes by 22.14%, but decreased N2O ﬂuxes by 30.92% and did not affect CH4 ﬂuxes. As a consequence, biochar application may signiﬁcantly contribute to an increased global warming potential (GWP) of total soil GHG ﬂuxes due to the large stimulation of CO2 ﬂuxes. However, soil CO2 ﬂuxes were suppressed when biochar was added to fertilized soils, indicating that biochar application is unlikely to stimulate CO2 ﬂuxes in the agriculture sector, in which N fertilizer inputs are common. Responses of soil GHG ﬂuxes mainly varied with biochar feedstock source and soil texture and the pyrolysis temperature of biochar. Soil and biochar pH, biochar applied rate, and latitude also inﬂuence soil GHG ﬂuxes, but to a more limited extent. Our ﬁndings provide a scientiﬁc basis for developing more rational strategies toward widespread adoption of biochar as a soil amendment for climate change mitigation.","container-title":"GCB Bioenergy","DOI":"10.1111/gcbb.12376","ISSN":"17571693","issue":"4","journalAbbreviation":"GCB Bioenergy","language":"en","page":"743-755","source":"DOI.org (Crossref)","title":"Effects of biochar application on soil greenhouse gas fluxes: a meta-analysis","title-short":"Effects of biochar application on soil greenhouse gas fluxes","volume":"9","author":[{"family":"He","given":"Yanghui"},{"family":"Zhou","given":"Xuhui"},{"family":"Jiang","given":"Liling"},{"family":"Li","given":"Ming"},{"family":"Du","given":"Zhenggang"},{"family":"Zhou","given":"Guiyao"},{"family":"Shao","given":"Junjiong"},{"family":"Wang","given":"Xihua"},{"family":"Xu","given":"Zhihong"},{"family":"Hosseini Bai","given":"Shahla"},{"family":"Wallace","given":"Helen"},{"family":"Xu","given":"Chengyuan"}],"issued":{"date-parts":[["2017",4]]}}}],"schema":"https://github.com/citation-style-language/schema/raw/master/csl-citation.json"} </w:instrText>
      </w:r>
      <w:r w:rsidRPr="003F5DA8">
        <w:fldChar w:fldCharType="separate"/>
      </w:r>
      <w:r w:rsidR="00991F7C" w:rsidRPr="00991F7C">
        <w:rPr>
          <w:rFonts w:ascii="Calibri" w:hAnsi="Calibri" w:cs="Calibri"/>
          <w:szCs w:val="24"/>
          <w:vertAlign w:val="superscript"/>
        </w:rPr>
        <w:t>346</w:t>
      </w:r>
      <w:r w:rsidRPr="003F5DA8">
        <w:fldChar w:fldCharType="end"/>
      </w:r>
      <w:r w:rsidRPr="003F5DA8">
        <w:t>). Therefore, we assumed to only account for carbon sequestration, yield increase and N</w:t>
      </w:r>
      <w:r w:rsidRPr="003F5DA8">
        <w:rPr>
          <w:vertAlign w:val="subscript"/>
        </w:rPr>
        <w:t>2</w:t>
      </w:r>
      <w:r w:rsidRPr="003F5DA8">
        <w:t>O emissions reduction, as these display more robust and systematic data. Gaschar was assumed mixed with water (easier handling and land application</w:t>
      </w:r>
      <w:r w:rsidRPr="003F5DA8">
        <w:fldChar w:fldCharType="begin"/>
      </w:r>
      <w:r w:rsidR="00991F7C">
        <w:instrText xml:space="preserve"> ADDIN ZOTERO_ITEM CSL_CITATION {"citationID":"pRgPkgr8","properties":{"formattedCitation":"\\super 344\\nosupersub{}","plainCitation":"344","noteIndex":0},"citationItems":[{"id":12930,"uris":["http://zotero.org/users/6423791/items/UNFXTD3C"],"itemData":{"id":12930,"type":"article-journal","abstract":"The application of biochar as a soil amendment is a potential strategy for carbon sequestration. In this paper, a slow pyrolysis system for generating heat and biochar from lignocellulosic energy crops is simulated and its life-cycle performance compared with that of direct biomass combustion. The use of the char as biochar is also contrasted with alternative use options: cofiring in coal power plants, use as charcoal, and use as a fuel for heat generation. Additionally, the influence on the results of the long-term stability of the biochar in the soil, as well as of biochar effects on biomass yield, is evaluated. Negative greenhouse gas emissions are obtained for the biochar system, indicating a significant carbon abatement potential. However, this is achieved at the expense of lower energy efficiency and higher impacts in the other assessed categories when compared to direct biomass combustion. When comparing the different use options of the pyrolysis char, the most favorable result is obtained for char cofiring substituting fossil coal, even assuming high long-term stability of the char. Nevertheless, a high sensitivity to biomass yield increase is found for biochar systems. In this sense, biochar application to low-quality soils where high yield increases are expected would show a more favorable performance in terms of global warming.","container-title":"Environmental Science &amp; Technology","DOI":"10.1021/es5060786","ISSN":"0013-936X","issue":"8","journalAbbreviation":"Environ. Sci. Technol.","note":"publisher: American Chemical Society","page":"5195-5202","source":"ACS Publications","title":"Biomass Pyrolysis for Biochar or Energy Applications? A Life Cycle Assessment","title-short":"Biomass Pyrolysis for Biochar or Energy Applications?","volume":"49","author":[{"family":"Peters","given":"Jens F."},{"family":"Iribarren","given":"Diego"},{"family":"Dufour","given":"Javier"}],"issued":{"date-parts":[["2015",4,21]]}}}],"schema":"https://github.com/citation-style-language/schema/raw/master/csl-citation.json"} </w:instrText>
      </w:r>
      <w:r w:rsidRPr="003F5DA8">
        <w:fldChar w:fldCharType="separate"/>
      </w:r>
      <w:r w:rsidR="00991F7C" w:rsidRPr="00991F7C">
        <w:rPr>
          <w:rFonts w:ascii="Calibri" w:hAnsi="Calibri" w:cs="Calibri"/>
          <w:szCs w:val="24"/>
          <w:vertAlign w:val="superscript"/>
        </w:rPr>
        <w:t>344</w:t>
      </w:r>
      <w:r w:rsidRPr="003F5DA8">
        <w:fldChar w:fldCharType="end"/>
      </w:r>
      <w:r w:rsidRPr="003F5DA8">
        <w:t xml:space="preserve"> and spread with hydraulic loader</w:t>
      </w:r>
      <w:r w:rsidRPr="003F5DA8">
        <w:fldChar w:fldCharType="begin"/>
      </w:r>
      <w:r w:rsidR="005413B4">
        <w:instrText xml:space="preserve"> ADDIN ZOTERO_ITEM CSL_CITATION {"citationID":"DmqPlfir","properties":{"formattedCitation":"\\super 167\\nosupersub{}","plainCitation":"167","noteIndex":0},"citationItems":[{"id":2754,"uris":["http://zotero.org/users/6423791/items/4VJD5FYF"],"itemData":{"id":2754,"type":"article-journal","abstract":"In an endeavor towards GHG neutrality, alternatives to fossil carbon resources are explored, such as the use of biomass carbon. Pyrolysis, a thermochemical process that can convert residual biomasses into liquid (bio-oil), solid (biochar) and gaseous (non-condensable gases) products is gaining increased attention, as it both supplies alternatives to fossil carbon while potentially inducing so-called negative emissions through the biochar. Yet, the pyrolysis technical and environmental performance is heavily dependent upon process operational parameters and biomass types. In the perspective of national strategic bioeconomy planning, this study presents an easily replicable consequential life cycle assessment (LCA) framework to quantify the environmental performance of a pyrolysis biorefinery where process conditions are documented, and boundaries expanded to consider the current use of the residual biomass. Results obtained from this method are intended to provide insights for evidence-based decision making towards investments in the low fossil carbon future. The proposed LCA framework was applied to a national case study for the use of primary forestry residues (PFR). Results showed that as compared to the reference scenario in which PFR are left on soil to decay, pyrolysing PFR to biocrude oil, wood vinegar, biochar and gas presents trade-offs in six out of the 16 impact categories studied. These results highlighted that the biomass feedstock supply, the pyrolysis technology, the co-products yields, properties and uses, as well as the choice of marginal technologies have an influence on the environmental performance of pyrolysis biorefineries.","container-title":"Renewable and Sustainable Energy Reviews","DOI":"10.1016/j.rser.2020.110549","ISSN":"1364-0321","journalAbbreviation":"Renewable and Sustainable Energy Reviews","language":"en","page":"110549","source":"ScienceDirect","title":"Framework for consequential life cycle assessment of pyrolysis biorefineries: A case study for the conversion of primary forestry residues","title-short":"Framework for consequential life cycle assessment of pyrolysis biorefineries","author":[{"family":"Brassard","given":"P."},{"family":"Godbout","given":"S."},{"family":"Hamelin","given":"L."}],"issued":{"date-parts":[["2020",11,9]]}}}],"schema":"https://github.com/citation-style-language/schema/raw/master/csl-citation.json"} </w:instrText>
      </w:r>
      <w:r w:rsidRPr="003F5DA8">
        <w:fldChar w:fldCharType="separate"/>
      </w:r>
      <w:r w:rsidR="005413B4" w:rsidRPr="005413B4">
        <w:rPr>
          <w:rFonts w:ascii="Calibri" w:hAnsi="Calibri" w:cs="Calibri"/>
          <w:szCs w:val="24"/>
          <w:vertAlign w:val="superscript"/>
        </w:rPr>
        <w:t>167</w:t>
      </w:r>
      <w:r w:rsidRPr="003F5DA8">
        <w:fldChar w:fldCharType="end"/>
      </w:r>
      <w:r w:rsidRPr="003F5DA8">
        <w:t xml:space="preserve"> (see </w:t>
      </w:r>
      <w:r w:rsidR="00583C1F" w:rsidRPr="00583C1F">
        <w:rPr>
          <w:b/>
        </w:rPr>
        <w:fldChar w:fldCharType="begin"/>
      </w:r>
      <w:r w:rsidR="00583C1F" w:rsidRPr="00583C1F">
        <w:rPr>
          <w:b/>
        </w:rPr>
        <w:instrText xml:space="preserve"> REF _Ref144912470 \h </w:instrText>
      </w:r>
      <w:r w:rsidR="00583C1F">
        <w:rPr>
          <w:b/>
        </w:rPr>
        <w:instrText xml:space="preserve"> \* MERGEFORMAT </w:instrText>
      </w:r>
      <w:r w:rsidR="00583C1F" w:rsidRPr="00583C1F">
        <w:rPr>
          <w:b/>
        </w:rPr>
      </w:r>
      <w:r w:rsidR="00583C1F" w:rsidRPr="00583C1F">
        <w:rPr>
          <w:b/>
        </w:rPr>
        <w:fldChar w:fldCharType="separate"/>
      </w:r>
      <w:r w:rsidR="00F25F8C" w:rsidRPr="00F25F8C">
        <w:rPr>
          <w:b/>
        </w:rPr>
        <w:t xml:space="preserve">Table SI. </w:t>
      </w:r>
      <w:r w:rsidR="00F25F8C" w:rsidRPr="00F25F8C">
        <w:rPr>
          <w:b/>
          <w:noProof/>
        </w:rPr>
        <w:t>102</w:t>
      </w:r>
      <w:r w:rsidR="00583C1F" w:rsidRPr="00583C1F">
        <w:rPr>
          <w:b/>
        </w:rPr>
        <w:fldChar w:fldCharType="end"/>
      </w:r>
      <w:r w:rsidRPr="003F5DA8">
        <w:t>). The meta-review of Andrade et al., 2022</w:t>
      </w:r>
      <w:r w:rsidRPr="003F5DA8">
        <w:fldChar w:fldCharType="begin"/>
      </w:r>
      <w:r w:rsidR="00991F7C">
        <w:instrText xml:space="preserve"> ADDIN ZOTERO_ITEM CSL_CITATION {"citationID":"g1Dmz6LN","properties":{"formattedCitation":"\\super 347\\nosupersub{}","plainCitation":"347","noteIndex":0},"citationItems":[{"id":13984,"uris":["http://zotero.org/users/6423791/items/WMFETTX5"],"itemData":{"id":13984,"type":"article-journal","abstract":"Abstract\n          \n            Crop residues potential for the bioeconomy is often limited under the basis of avoiding prospective soil organic carbon depletion. However, when processed in the bioeconomy the biomass carbon can be partially recovered in a stabilized degradation-resistant state in the coproducts. This study interlinks the theoretical basis between the coproducts’ characteristics and behavior in soils and the use of soil models to predict the effect of replacing crop residues with bioeconomy coproducts. Stemming from a revision of over 600 datasets we defined conversion coefficients from biomass C to coproduct (Cc) and their inherent recalcitrance in soils (C\n            R\n            ) for pyrolysis (Cc: 48%, C\n            R\n            : 95%) and gasification biochar (Cc: 20%, C\n            R\n            : 95%), hydrochar (Cc: 31%, C\n            R\n            : 83%), digestate (Cc: 36%, C\n            R\n            : 68%) and lignocellulosic bioethanol solid (Cc: 44%, C\n            R\n            : 42%) and liquid (Cc: 21%, C\n            R\n            : 46%) coproducts. Different approaches to incorporate stabilized organic matter in soil models were investigated as well as the data requirements of a variety of soil models to set the basis for model adaptation in a dynamic harvest – return of C to explore future scenarios involving the coproducts return as a strategy to increase the bioeconomy feedstock provision while ensuring the maintenance of SOC sotcks.","container-title":"Renewable and Sustainable Energy Reviews","DOI":"https://doi.org/10.1016/j.rser.2023.113890","issue":"Part A","journalAbbreviation":"Renew. Sust. Energ. Rev.","language":"en","page":"113890","source":"DOI.org (Crossref)","title":"The interplay between bioeconomy and the maintenance of long-term soil organic carbon stock in agricultural soils: A systematic review","volume":"189","author":[{"family":"Andrade","given":"Christhel"},{"family":"Albers","given":"Ariane"},{"family":"Zamora-Ledezma","given":"Ezequiel"},{"family":"Hamelin","given":"Lorie"}],"issued":{"date-parts":[["2023"]]}}}],"schema":"https://github.com/citation-style-language/schema/raw/master/csl-citation.json"} </w:instrText>
      </w:r>
      <w:r w:rsidRPr="003F5DA8">
        <w:fldChar w:fldCharType="separate"/>
      </w:r>
      <w:r w:rsidR="00991F7C" w:rsidRPr="00991F7C">
        <w:rPr>
          <w:rFonts w:ascii="Calibri" w:hAnsi="Calibri" w:cs="Calibri"/>
          <w:szCs w:val="24"/>
          <w:vertAlign w:val="superscript"/>
        </w:rPr>
        <w:t>347</w:t>
      </w:r>
      <w:r w:rsidRPr="003F5DA8">
        <w:fldChar w:fldCharType="end"/>
      </w:r>
      <w:r w:rsidRPr="003F5DA8">
        <w:t xml:space="preserve"> was used to derive 100 years horizon carbon sequestration of gaschar when applied to agricultural land</w:t>
      </w:r>
      <w:r w:rsidR="00583C1F">
        <w:t xml:space="preserve"> (</w:t>
      </w:r>
      <w:r w:rsidR="00583C1F" w:rsidRPr="00583C1F">
        <w:rPr>
          <w:b/>
        </w:rPr>
        <w:fldChar w:fldCharType="begin"/>
      </w:r>
      <w:r w:rsidR="00583C1F" w:rsidRPr="00583C1F">
        <w:rPr>
          <w:b/>
        </w:rPr>
        <w:instrText xml:space="preserve"> REF _Ref144913305 \h </w:instrText>
      </w:r>
      <w:r w:rsidR="00583C1F">
        <w:rPr>
          <w:b/>
        </w:rPr>
        <w:instrText xml:space="preserve"> \* MERGEFORMAT </w:instrText>
      </w:r>
      <w:r w:rsidR="00583C1F" w:rsidRPr="00583C1F">
        <w:rPr>
          <w:b/>
        </w:rPr>
      </w:r>
      <w:r w:rsidR="00583C1F" w:rsidRPr="00583C1F">
        <w:rPr>
          <w:b/>
        </w:rPr>
        <w:fldChar w:fldCharType="separate"/>
      </w:r>
      <w:r w:rsidR="00F25F8C" w:rsidRPr="00F25F8C">
        <w:rPr>
          <w:b/>
        </w:rPr>
        <w:t xml:space="preserve">Table SI. </w:t>
      </w:r>
      <w:r w:rsidR="00F25F8C" w:rsidRPr="00F25F8C">
        <w:rPr>
          <w:b/>
          <w:noProof/>
        </w:rPr>
        <w:t>101</w:t>
      </w:r>
      <w:r w:rsidR="00583C1F" w:rsidRPr="00583C1F">
        <w:rPr>
          <w:b/>
        </w:rPr>
        <w:fldChar w:fldCharType="end"/>
      </w:r>
      <w:r w:rsidRPr="003F5DA8">
        <w:t>). N</w:t>
      </w:r>
      <w:r w:rsidRPr="003F5DA8">
        <w:rPr>
          <w:vertAlign w:val="subscript"/>
        </w:rPr>
        <w:t>2</w:t>
      </w:r>
      <w:r w:rsidRPr="003F5DA8">
        <w:t>O emissions reduction (from current situation) was based on He et al., 2017</w:t>
      </w:r>
      <w:r w:rsidRPr="003F5DA8">
        <w:fldChar w:fldCharType="begin"/>
      </w:r>
      <w:r w:rsidR="00991F7C">
        <w:instrText xml:space="preserve"> ADDIN ZOTERO_ITEM CSL_CITATION {"citationID":"0HsvTMg8","properties":{"formattedCitation":"\\super 346\\nosupersub{}","plainCitation":"346","noteIndex":0},"citationItems":[{"id":13096,"uris":["http://zotero.org/users/6423791/items/26WR3BFJ"],"itemData":{"id":13096,"type":"article-journal","abstract":"Biochar application to soils may increase carbon (C) sequestration due to the inputs of recalcitrant organic C. However, the effects of biochar application on the soil greenhouse gas (GHG) ﬂuxes appear variable among many case studies; therefore, the efﬁcacy of biochar as a carbon sequestration agent for climate change mitigation remains uncertain. We performed a meta-analysis of 91 published papers with 552 paired comparisons to obtain a central tendency of three main GHG ﬂuxes (i.e., CO2, CH4, and N2O) in response to biochar application. Our results showed that biochar application signiﬁcantly increased soil CO2 ﬂuxes by 22.14%, but decreased N2O ﬂuxes by 30.92% and did not affect CH4 ﬂuxes. As a consequence, biochar application may signiﬁcantly contribute to an increased global warming potential (GWP) of total soil GHG ﬂuxes due to the large stimulation of CO2 ﬂuxes. However, soil CO2 ﬂuxes were suppressed when biochar was added to fertilized soils, indicating that biochar application is unlikely to stimulate CO2 ﬂuxes in the agriculture sector, in which N fertilizer inputs are common. Responses of soil GHG ﬂuxes mainly varied with biochar feedstock source and soil texture and the pyrolysis temperature of biochar. Soil and biochar pH, biochar applied rate, and latitude also inﬂuence soil GHG ﬂuxes, but to a more limited extent. Our ﬁndings provide a scientiﬁc basis for developing more rational strategies toward widespread adoption of biochar as a soil amendment for climate change mitigation.","container-title":"GCB Bioenergy","DOI":"10.1111/gcbb.12376","ISSN":"17571693","issue":"4","journalAbbreviation":"GCB Bioenergy","language":"en","page":"743-755","source":"DOI.org (Crossref)","title":"Effects of biochar application on soil greenhouse gas fluxes: a meta-analysis","title-short":"Effects of biochar application on soil greenhouse gas fluxes","volume":"9","author":[{"family":"He","given":"Yanghui"},{"family":"Zhou","given":"Xuhui"},{"family":"Jiang","given":"Liling"},{"family":"Li","given":"Ming"},{"family":"Du","given":"Zhenggang"},{"family":"Zhou","given":"Guiyao"},{"family":"Shao","given":"Junjiong"},{"family":"Wang","given":"Xihua"},{"family":"Xu","given":"Zhihong"},{"family":"Hosseini Bai","given":"Shahla"},{"family":"Wallace","given":"Helen"},{"family":"Xu","given":"Chengyuan"}],"issued":{"date-parts":[["2017",4]]}}}],"schema":"https://github.com/citation-style-language/schema/raw/master/csl-citation.json"} </w:instrText>
      </w:r>
      <w:r w:rsidRPr="003F5DA8">
        <w:fldChar w:fldCharType="separate"/>
      </w:r>
      <w:r w:rsidR="00991F7C" w:rsidRPr="00991F7C">
        <w:rPr>
          <w:rFonts w:ascii="Calibri" w:hAnsi="Calibri" w:cs="Calibri"/>
          <w:szCs w:val="24"/>
          <w:vertAlign w:val="superscript"/>
        </w:rPr>
        <w:t>346</w:t>
      </w:r>
      <w:r w:rsidRPr="003F5DA8">
        <w:fldChar w:fldCharType="end"/>
      </w:r>
      <w:r w:rsidRPr="003F5DA8">
        <w:t>. Current N</w:t>
      </w:r>
      <w:r w:rsidRPr="003F5DA8">
        <w:rPr>
          <w:vertAlign w:val="subscript"/>
        </w:rPr>
        <w:t>2</w:t>
      </w:r>
      <w:r w:rsidRPr="003F5DA8">
        <w:t>O agricultural emissions were estimated with IPCC tier 1 method</w:t>
      </w:r>
      <w:r w:rsidRPr="003F5DA8">
        <w:fldChar w:fldCharType="begin"/>
      </w:r>
      <w:r w:rsidR="00991F7C">
        <w:instrText xml:space="preserve"> ADDIN ZOTERO_ITEM CSL_CITATION {"citationID":"51ZBZxiI","properties":{"formattedCitation":"\\super 348\\nosupersub{}","plainCitation":"348","noteIndex":0},"citationItems":[{"id":12340,"uris":["http://zotero.org/users/6423791/items/N9GLP565"],"itemData":{"id":12340,"type":"chapter","collection-title":"2019 Refinement to the 2006 IPCC Guidelines for National Greenhouse Gas Inventories","container-title":"Agriculture, Forestry and Other Land Use","number-of-volumes":"5","page":"48","publisher":"IPCC","title":"Chapter 11 - N2O emissions from managed soils, and CO2 emissions from lime and urea application","URL":"https://www.ipcc-nggip.iges.or.jp/public/2019rf/pdf/4_Volume4/19R_V4_Ch11_Soils_N2O_CO2.pdf","volume":"4","author":[{"family":"Hergoualc'h","given":"Kristell"},{"family":"Akiyama","given":"Hiroko"},{"family":"Bernoux","given":"Martial"},{"family":"Chirinda","given":"Ngonidzashe"},{"family":"Prado","given":"Agustin","non-dropping-particle":"del"},{"family":"Kasimir","given":"Asa"},{"family":"Douglas MacDonald","given":"James"},{"family":"Michael Ogle","given":"Stephen"},{"family":"Regina","given":"Kristiina"},{"family":"Weerden","given":"Tony John","non-dropping-particle":"van der"}],"accessed":{"date-parts":[["2021",11,8]]},"issued":{"date-parts":[["2019"]]}}}],"schema":"https://github.com/citation-style-language/schema/raw/master/csl-citation.json"} </w:instrText>
      </w:r>
      <w:r w:rsidRPr="003F5DA8">
        <w:fldChar w:fldCharType="separate"/>
      </w:r>
      <w:r w:rsidR="00991F7C" w:rsidRPr="00991F7C">
        <w:rPr>
          <w:rFonts w:ascii="Calibri" w:hAnsi="Calibri" w:cs="Calibri"/>
          <w:szCs w:val="24"/>
          <w:vertAlign w:val="superscript"/>
        </w:rPr>
        <w:t>348</w:t>
      </w:r>
      <w:r w:rsidRPr="003F5DA8">
        <w:fldChar w:fldCharType="end"/>
      </w:r>
      <w:r w:rsidRPr="003F5DA8">
        <w:t>. Finally, a rather optimistic assumption was taken regarding gaschar’s induced increase in crop yields for France, as indicators were derived from the meta-analysis by Farhangi Abriz et al., 2021</w:t>
      </w:r>
      <w:r w:rsidRPr="003F5DA8">
        <w:fldChar w:fldCharType="begin"/>
      </w:r>
      <w:r w:rsidR="00991F7C">
        <w:instrText xml:space="preserve"> ADDIN ZOTERO_ITEM CSL_CITATION {"citationID":"W0VEECK8","properties":{"formattedCitation":"\\super 349\\nosupersub{}","plainCitation":"349","noteIndex":0},"citationItems":[{"id":13094,"uris":["http://zotero.org/users/6423791/items/MFG5ZX7D"],"itemData":{"id":13094,"type":"article-journal","abstract":"Biochar is a carbon-rich organic material used as soil amendment to improve plant growth. However, its diverse effects on crop performance under ﬁeld conditions have revealed conﬂicting results among researchers. Based on published peer-reviewed papers, a meta-analysis was conducted to identify the effects of biochar on grain yield (GY), biological yield (BY), and 1000 grain weight (TGW) of four dominant crops (wheat, maize, rice and soybean). Compared to the control, biochar increased GY of maize and wheat by 28 and 13% respectively, whereas other crops were not signiﬁcantly affected. Our analysis revealed that the most effective application rates of biochar ranged from 1 to 10 t ha−1, which signiﬁcantly improved GY (65%), BY (38%) and TGW (23%). Biochar applied to a coarsely textured soil with pH ≤ 7.5 increased GY considerably. Biochar feedstocks of animal waste and crop residues origins had signiﬁcant effects on GY compared to woody residues. Data suggest that biochar produced at ≤550 °C with the pH of ≤8 more effectively enhanced yield and crop growth than biochar that produced at a higher pyrolytic temperature with a higher pH. Findings from this study suggest the combination of type of biochar, soil, crop, and climate should all be considered to maximize fertility and the organic amendment beneﬁts of biochar for crop production.","container-title":"Science of The Total Environment","DOI":"10.1016/j.scitotenv.2021.145869","ISSN":"00489697","journalAbbreviation":"Science of The Total Environment","language":"en","page":"145869","source":"DOI.org (Crossref)","title":"Biochar effects on yield of cereal and legume crops using meta-analysis","volume":"775","author":[{"family":"Farhangi-Abriz","given":"Salar"},{"family":"Torabian","given":"Shahram"},{"family":"Qin","given":"Ruijun"},{"family":"Noulas","given":"Christos"},{"family":"Lu","given":"Yanyan"},{"family":"Gao","given":"Suduan"}],"issued":{"date-parts":[["2021",6]]}}}],"schema":"https://github.com/citation-style-language/schema/raw/master/csl-citation.json"} </w:instrText>
      </w:r>
      <w:r w:rsidRPr="003F5DA8">
        <w:fldChar w:fldCharType="separate"/>
      </w:r>
      <w:r w:rsidR="00991F7C" w:rsidRPr="00991F7C">
        <w:rPr>
          <w:rFonts w:ascii="Calibri" w:hAnsi="Calibri" w:cs="Calibri"/>
          <w:szCs w:val="24"/>
          <w:vertAlign w:val="superscript"/>
        </w:rPr>
        <w:t>349</w:t>
      </w:r>
      <w:r w:rsidRPr="003F5DA8">
        <w:fldChar w:fldCharType="end"/>
      </w:r>
      <w:r w:rsidRPr="003F5DA8">
        <w:t xml:space="preserve"> with a scope including countries with a higher yield gap. Wheat and maize represent the higher share of agricultural surface in France</w:t>
      </w:r>
      <w:r w:rsidRPr="003F5DA8">
        <w:fldChar w:fldCharType="begin"/>
      </w:r>
      <w:r w:rsidR="00991F7C">
        <w:instrText xml:space="preserve"> ADDIN ZOTERO_ITEM CSL_CITATION {"citationID":"j2QFSqom","properties":{"formattedCitation":"\\super 350\\nosupersub{}","plainCitation":"350","noteIndex":0},"citationItems":[{"id":13280,"uris":["http://zotero.org/users/6423791/items/B6QQKK39"],"itemData":{"id":13280,"type":"webpage","abstract":"Discover our infographics on the farming France.","container-title":"Ministère de l'Agriculture et de l'Alimentation","language":"fr","title":"Infographics - Farming France","URL":"https://agriculture.gouv.fr/infographics-farming-france","author":[{"literal":"Agreste"}],"accessed":{"date-parts":[["2022",5,9]]},"issued":{"date-parts":[["2021",6,10]]}}}],"schema":"https://github.com/citation-style-language/schema/raw/master/csl-citation.json"} </w:instrText>
      </w:r>
      <w:r w:rsidRPr="003F5DA8">
        <w:fldChar w:fldCharType="separate"/>
      </w:r>
      <w:r w:rsidR="00991F7C" w:rsidRPr="00991F7C">
        <w:rPr>
          <w:rFonts w:ascii="Calibri" w:hAnsi="Calibri" w:cs="Calibri"/>
          <w:szCs w:val="24"/>
          <w:vertAlign w:val="superscript"/>
        </w:rPr>
        <w:t>350</w:t>
      </w:r>
      <w:r w:rsidRPr="003F5DA8">
        <w:fldChar w:fldCharType="end"/>
      </w:r>
      <w:r w:rsidRPr="003F5DA8">
        <w:t>. Therefore, the additional crop production per unit of applied gaschar was estimated based on (i) average gaschar application per hectare, (ii) average France’s wheat and maize yields and crop-specific yield increase factors</w:t>
      </w:r>
      <w:r w:rsidRPr="003F5DA8">
        <w:fldChar w:fldCharType="begin"/>
      </w:r>
      <w:r w:rsidR="00991F7C">
        <w:instrText xml:space="preserve"> ADDIN ZOTERO_ITEM CSL_CITATION {"citationID":"T1wQktBi","properties":{"formattedCitation":"\\super 345,349\\nosupersub{}","plainCitation":"345,349","noteIndex":0},"citationItems":[{"id":13094,"uris":["http://zotero.org/users/6423791/items/MFG5ZX7D"],"itemData":{"id":13094,"type":"article-journal","abstract":"Biochar is a carbon-rich organic material used as soil amendment to improve plant growth. However, its diverse effects on crop performance under ﬁeld conditions have revealed conﬂicting results among researchers. Based on published peer-reviewed papers, a meta-analysis was conducted to identify the effects of biochar on grain yield (GY), biological yield (BY), and 1000 grain weight (TGW) of four dominant crops (wheat, maize, rice and soybean). Compared to the control, biochar increased GY of maize and wheat by 28 and 13% respectively, whereas other crops were not signiﬁcantly affected. Our analysis revealed that the most effective application rates of biochar ranged from 1 to 10 t ha−1, which signiﬁcantly improved GY (65%), BY (38%) and TGW (23%). Biochar applied to a coarsely textured soil with pH ≤ 7.5 increased GY considerably. Biochar feedstocks of animal waste and crop residues origins had signiﬁcant effects on GY compared to woody residues. Data suggest that biochar produced at ≤550 °C with the pH of ≤8 more effectively enhanced yield and crop growth than biochar that produced at a higher pyrolytic temperature with a higher pH. Findings from this study suggest the combination of type of biochar, soil, crop, and climate should all be considered to maximize fertility and the organic amendment beneﬁts of biochar for crop production.","container-title":"Science of The Total Environment","DOI":"10.1016/j.scitotenv.2021.145869","ISSN":"00489697","journalAbbreviation":"Science of The Total Environment","language":"en","page":"145869","source":"DOI.org (Crossref)","title":"Biochar effects on yield of cereal and legume crops using meta-analysis","volume":"775","author":[{"family":"Farhangi-Abriz","given":"Salar"},{"family":"Torabian","given":"Shahram"},{"family":"Qin","given":"Ruijun"},{"family":"Noulas","given":"Christos"},{"family":"Lu","given":"Yanyan"},{"family":"Gao","given":"Suduan"}],"issued":{"date-parts":[["2021",6]]}}},{"id":13098,"uris":["http://zotero.org/users/6423791/items/XTMJG96G"],"itemData":{"id":13098,"type":"article-journal","abstract":"We synthesized 20 years of research to explain the interrelated processes that determine soil and plant responses to biochar. The properties of biochar and its effects within agricultural ecosystems largely depend on feedstock and pyrolysis conditions. We describe three stages of reactions of biochar in soil: dissolution (1–­3 weeks); reactive surface development (1–­6 months); and aging (beyond 6 months). As biochar ages, it is incorporated into soil aggregates, protecting the biochar carbon and promoting the stabilization of rhizodeposits and microbial products. Biochar carbon persists in soil for hundreds to thousands of years. By increasing pH, porosity, and water availability, biochars can create favorable conditions for root development and microbial functions. Biochars can catalyze biotic and abiotic reactions, particularly in the rhizosphere, that increase nutrient supply and uptake by plants, reduce phytotoxins, stimulate plant development, and increase resilience to disease and environmental stressors. Meta-­analyses found that, on average, biochars increase P availability by a factor of 4.6; decrease plant tissue concentration of heavy metals by 17%–­39%; build soil organic carbon through negative priming by 3.8% (range −21% to +20%); and reduce non-­CO2 greenhouse gas emissions from soil by 12%–5­ 0%. Meta-­analyses show average crop yield increases of 10%–4­ 2% with biochar addition, with greatest increases in low-n­ utrient P-­sorbing acidic soils (common in the tropics), and in sandy soils in drylands due to increase in nutrient retention and water holding capacity. Studies report a wide range of plant responses to biochars due to the diversity of biochars and contexts in which biochars have been applied. Crop yields increase strongly if site-s­pecific soil constraints and nutrient and water limitations are mitigated by appropriate biochar formulations. Biochars can be tailored to address site constraints through feedstock selection, by modifying pyrolysis conditions, through pre-­or post-­ production treatments, or co-­application with organic or mineral fertilizers. We demonstrate how, when used wisely, biochar mitigates climate change and supports food security and the circular economy.","container-title":"GCB Bioenergy","DOI":"10.1111/gcbb.12885","ISSN":"1757-1693, 1757-1707","issue":"11","journalAbbreviation":"GCB Bioenergy","language":"en","page":"1731-1764","source":"DOI.org (Crossref)","title":"How biochar works, and when it doesn't: A review of mechanisms controlling soil and plant responses to biochar","title-short":"How biochar works, and when it doesn't","volume":"13","author":[{"family":"Joseph","given":"Stephen"},{"family":"Cowie","given":"Annette L."},{"family":"Van Zwieten","given":"Lukas"},{"family":"Bolan","given":"Nanthi"},{"family":"Budai","given":"Alice"},{"family":"Buss","given":"Wolfram"},{"family":"Cayuela","given":"Maria Luz"},{"family":"Graber","given":"Ellen R."},{"family":"Ippolito","given":"James A."},{"family":"Kuzyakov","given":"Yakov"},{"family":"Luo","given":"Yu"},{"family":"Ok","given":"Yong Sik"},{"family":"Palansooriya","given":"Kumuduni N."},{"family":"Shepherd","given":"Jessica"},{"family":"Stephens","given":"Scott"},{"family":"Weng","given":"Zhe (Han)"},{"family":"Lehmann","given":"Johannes"}],"issued":{"date-parts":[["2021",11]]}}}],"schema":"https://github.com/citation-style-language/schema/raw/master/csl-citation.json"} </w:instrText>
      </w:r>
      <w:r w:rsidRPr="003F5DA8">
        <w:fldChar w:fldCharType="separate"/>
      </w:r>
      <w:r w:rsidR="00991F7C" w:rsidRPr="00991F7C">
        <w:rPr>
          <w:rFonts w:ascii="Calibri" w:hAnsi="Calibri" w:cs="Calibri"/>
          <w:szCs w:val="24"/>
          <w:vertAlign w:val="superscript"/>
        </w:rPr>
        <w:t>345,349</w:t>
      </w:r>
      <w:r w:rsidRPr="003F5DA8">
        <w:fldChar w:fldCharType="end"/>
      </w:r>
      <w:r w:rsidRPr="003F5DA8">
        <w:t xml:space="preserve"> (see </w:t>
      </w:r>
      <w:r w:rsidR="00583C1F" w:rsidRPr="00583C1F">
        <w:rPr>
          <w:b/>
        </w:rPr>
        <w:fldChar w:fldCharType="begin"/>
      </w:r>
      <w:r w:rsidR="00583C1F" w:rsidRPr="00583C1F">
        <w:rPr>
          <w:b/>
        </w:rPr>
        <w:instrText xml:space="preserve"> REF _Ref144913305 \h </w:instrText>
      </w:r>
      <w:r w:rsidR="00583C1F">
        <w:rPr>
          <w:b/>
        </w:rPr>
        <w:instrText xml:space="preserve"> \* MERGEFORMAT </w:instrText>
      </w:r>
      <w:r w:rsidR="00583C1F" w:rsidRPr="00583C1F">
        <w:rPr>
          <w:b/>
        </w:rPr>
      </w:r>
      <w:r w:rsidR="00583C1F" w:rsidRPr="00583C1F">
        <w:rPr>
          <w:b/>
        </w:rPr>
        <w:fldChar w:fldCharType="separate"/>
      </w:r>
      <w:r w:rsidR="00F25F8C" w:rsidRPr="00F25F8C">
        <w:rPr>
          <w:b/>
        </w:rPr>
        <w:t xml:space="preserve">Table SI. </w:t>
      </w:r>
      <w:r w:rsidR="00F25F8C" w:rsidRPr="00F25F8C">
        <w:rPr>
          <w:b/>
          <w:noProof/>
        </w:rPr>
        <w:t>101</w:t>
      </w:r>
      <w:r w:rsidR="00583C1F" w:rsidRPr="00583C1F">
        <w:rPr>
          <w:b/>
        </w:rPr>
        <w:fldChar w:fldCharType="end"/>
      </w:r>
      <w:r w:rsidRPr="003F5DA8">
        <w:t>). Additional production was considered replacing energy feed services as modeled in</w:t>
      </w:r>
      <w:r>
        <w:t xml:space="preserve"> </w:t>
      </w:r>
      <w:r w:rsidRPr="009F12CB">
        <w:rPr>
          <w:b/>
        </w:rPr>
        <w:t>section</w:t>
      </w:r>
      <w:r w:rsidR="000C6C37">
        <w:rPr>
          <w:b/>
        </w:rPr>
        <w:t xml:space="preserve"> SI.</w:t>
      </w:r>
      <w:r w:rsidR="00583C1F">
        <w:rPr>
          <w:b/>
        </w:rPr>
        <w:t xml:space="preserve"> </w:t>
      </w:r>
      <w:r w:rsidR="00583C1F">
        <w:rPr>
          <w:b/>
        </w:rPr>
        <w:fldChar w:fldCharType="begin"/>
      </w:r>
      <w:r w:rsidR="00583C1F">
        <w:rPr>
          <w:b/>
        </w:rPr>
        <w:instrText xml:space="preserve"> REF _Ref144803705 \r \h </w:instrText>
      </w:r>
      <w:r w:rsidR="00583C1F">
        <w:rPr>
          <w:b/>
        </w:rPr>
      </w:r>
      <w:r w:rsidR="00583C1F">
        <w:rPr>
          <w:b/>
        </w:rPr>
        <w:fldChar w:fldCharType="separate"/>
      </w:r>
      <w:r w:rsidR="00F25F8C">
        <w:rPr>
          <w:b/>
        </w:rPr>
        <w:t>4.1.9</w:t>
      </w:r>
      <w:r w:rsidR="00583C1F">
        <w:rPr>
          <w:b/>
        </w:rPr>
        <w:fldChar w:fldCharType="end"/>
      </w:r>
      <w:r w:rsidRPr="003F5DA8">
        <w:t>. All the other effects were neglected (e.g. heavy metals leaching, because streams returned to land considered as risk-free).</w:t>
      </w:r>
    </w:p>
    <w:p w14:paraId="78832982" w14:textId="137C185E" w:rsidR="00F669A1" w:rsidRDefault="00F669A1" w:rsidP="00583C1F">
      <w:pPr>
        <w:jc w:val="both"/>
      </w:pPr>
      <w:r w:rsidRPr="003F5DA8">
        <w:t>Regarding its use as a construction aggregate, gaschar was considered to replace gravel in a 1:1 proportion by weight, and to induce the same carbon sequestration than for land application. End-of-life processes were neglected, but heavy metals leakage to soil were accounted as in Dong et al., 2018</w:t>
      </w:r>
      <w:r w:rsidRPr="003F5DA8">
        <w:fldChar w:fldCharType="begin"/>
      </w:r>
      <w:r w:rsidR="00991F7C">
        <w:instrText xml:space="preserve"> ADDIN ZOTERO_ITEM CSL_CITATION {"citationID":"VmnP3vkC","properties":{"formattedCitation":"\\super 340\\nosupersub{}","plainCitation":"340","noteIndex":0},"citationItems":[{"id":12932,"uris":["http://zotero.org/users/6423791/items/TP9L2Y5K"],"itemData":{"id":12932,"type":"article-journal","abstract":"Municipal solid waste (MSW) pyrolysis and gasification are in development, stimulated by a more sustainable waste-to-energy (WtE) option. Since comprehensive comparisons of the existing WtE technologies are fairly rare, this study aims to conduct a life cycle assessment (LCA) using two sets of data: theoretical analysis, and case studies of large-scale commercial plants. Seven systems involving thermal conversion (pyrolysis, gasification, incineration) and energy utilization (steam cycle, gas turbine/combined cycle, internal combustion engine) are modelled. Theoretical analysis results show that pyrolysis and gasification, in particular coupled with a gas turbine/combined cycle, have the potential to lessen environmental loadings. The benefits derive from an improved energy efficiency leading to less fossil-based energy consumption, and reduced process emissions by syngas combustion. Comparison among the four operating plants (incineration, pyrolysis, gasification, gasification-melting) confirms a preferable performance of the gasification plant attributed to syngas cleaning. The modern incineration is superior over pyrolysis and gasification-melting at present, due to the effectiveness of modern flue gas cleaning, use of combined heat and power (CHP) cycle, and ash recycling. Sensitivity analysis highlights a crucial role of the plant efficiency and pyrolysis char land utilization. The study indicates that the heterogeneity of MSW and syngas purification technologies are the most relevant impediments for the current pyrolysis/gasification-based WtE. Potential development should incorporate into all process aspects to boost the energy efficiency, improve incoming waste quality, and achieve efficient residues management.","container-title":"Science of The Total Environment","DOI":"10.1016/j.scitotenv.2018.01.151","ISSN":"00489697","journalAbbreviation":"Science of The Total Environment","language":"en","page":"744-753","source":"DOI.org (Crossref)","title":"Life cycle assessment of pyrolysis, gasification and incineration waste-to-energy technologies: Theoretical analysis and case study of commercial plants","title-short":"Life cycle assessment of pyrolysis, gasification and incineration waste-to-energy technologies","volume":"626","author":[{"family":"Dong","given":"Jun"},{"family":"Tang","given":"Yuanjun"},{"family":"Nzihou","given":"Ange"},{"family":"Chi","given":"Yong"},{"family":"Weiss-Hortala","given":"Elsa"},{"family":"Ni","given":"Mingjiang"}],"issued":{"date-parts":[["2018",6]]}}}],"schema":"https://github.com/citation-style-language/schema/raw/master/csl-citation.json"} </w:instrText>
      </w:r>
      <w:r w:rsidRPr="003F5DA8">
        <w:fldChar w:fldCharType="separate"/>
      </w:r>
      <w:r w:rsidR="00991F7C" w:rsidRPr="00991F7C">
        <w:rPr>
          <w:rFonts w:ascii="Calibri" w:hAnsi="Calibri" w:cs="Calibri"/>
          <w:szCs w:val="24"/>
          <w:vertAlign w:val="superscript"/>
        </w:rPr>
        <w:t>340</w:t>
      </w:r>
      <w:r w:rsidRPr="003F5DA8">
        <w:fldChar w:fldCharType="end"/>
      </w:r>
      <w:r w:rsidRPr="003F5DA8">
        <w:t>, assuming for all waste streams the same metals content.</w:t>
      </w:r>
    </w:p>
    <w:p w14:paraId="5ADC6393" w14:textId="77777777" w:rsidR="00F669A1" w:rsidRPr="009F12CB" w:rsidRDefault="00F669A1" w:rsidP="00583C1F">
      <w:pPr>
        <w:pStyle w:val="Titre4"/>
      </w:pPr>
      <w:r w:rsidRPr="009F12CB">
        <w:lastRenderedPageBreak/>
        <w:t>Syngas cleaning</w:t>
      </w:r>
    </w:p>
    <w:p w14:paraId="53E4E846" w14:textId="64100175" w:rsidR="00F669A1" w:rsidRPr="003F5DA8" w:rsidRDefault="00F669A1" w:rsidP="00583C1F">
      <w:pPr>
        <w:ind w:firstLine="360"/>
        <w:jc w:val="both"/>
      </w:pPr>
      <w:r w:rsidRPr="003F5DA8">
        <w:t>Producer gas flows out at a 900°C temperature, but warm gas cleaning systems are still under development</w:t>
      </w:r>
      <w:r w:rsidRPr="003F5DA8">
        <w:fldChar w:fldCharType="begin"/>
      </w:r>
      <w:r w:rsidR="005413B4">
        <w:instrText xml:space="preserve"> ADDIN ZOTERO_ITEM CSL_CITATION {"citationID":"AuVrnYwq","properties":{"formattedCitation":"\\super 223\\nosupersub{}","plainCitation":"223","noteIndex":0},"citationItems":[{"id":12940,"uris":["http://zotero.org/users/6423791/items/KBVGJC6I"],"itemData":{"id":12940,"type":"report","language":"fr","number":"RECORD 13-0239/1A","page":"228","publisher":"Réseau Coopératif de Recherche sur les Déchets et l’Environnement","source":"Zotero","title":"Production d'hydrogène à partir de déchets: Etat de l'art et potentiel d'émergence","URL":"https://hal.archives-ouvertes.fr/hal-01602165","author":[{"family":"Megret","given":"Olivier"},{"family":"Hubert","given":"Loreline"},{"family":"Calbry","given":"M"},{"family":"Trably","given":"Eric"},{"family":"Carrère","given":"Hélène"},{"family":"Garcia-Bernet","given":"Diana"},{"family":"Bernet","given":"Nicolas"}],"issued":{"date-parts":[["2015"]]}}}],"schema":"https://github.com/citation-style-language/schema/raw/master/csl-citation.json"} </w:instrText>
      </w:r>
      <w:r w:rsidRPr="003F5DA8">
        <w:fldChar w:fldCharType="separate"/>
      </w:r>
      <w:r w:rsidR="005413B4" w:rsidRPr="005413B4">
        <w:rPr>
          <w:rFonts w:ascii="Calibri" w:hAnsi="Calibri" w:cs="Calibri"/>
          <w:szCs w:val="24"/>
          <w:vertAlign w:val="superscript"/>
        </w:rPr>
        <w:t>223</w:t>
      </w:r>
      <w:r w:rsidRPr="003F5DA8">
        <w:fldChar w:fldCharType="end"/>
      </w:r>
      <w:r w:rsidRPr="003F5DA8">
        <w:t>. Common detoxification systems mainly requires temperatures of 500°C or lower to be efficient (e.g. activated carbon, sedimentation of ashes</w:t>
      </w:r>
      <w:r w:rsidRPr="003F5DA8">
        <w:fldChar w:fldCharType="begin"/>
      </w:r>
      <w:r w:rsidR="00991F7C">
        <w:instrText xml:space="preserve"> ADDIN ZOTERO_ITEM CSL_CITATION {"citationID":"3J8X6NUE","properties":{"formattedCitation":"\\super 336,340\\nosupersub{}","plainCitation":"336,340","noteIndex":0},"citationItems":[{"id":12932,"uris":["http://zotero.org/users/6423791/items/TP9L2Y5K"],"itemData":{"id":12932,"type":"article-journal","abstract":"Municipal solid waste (MSW) pyrolysis and gasification are in development, stimulated by a more sustainable waste-to-energy (WtE) option. Since comprehensive comparisons of the existing WtE technologies are fairly rare, this study aims to conduct a life cycle assessment (LCA) using two sets of data: theoretical analysis, and case studies of large-scale commercial plants. Seven systems involving thermal conversion (pyrolysis, gasification, incineration) and energy utilization (steam cycle, gas turbine/combined cycle, internal combustion engine) are modelled. Theoretical analysis results show that pyrolysis and gasification, in particular coupled with a gas turbine/combined cycle, have the potential to lessen environmental loadings. The benefits derive from an improved energy efficiency leading to less fossil-based energy consumption, and reduced process emissions by syngas combustion. Comparison among the four operating plants (incineration, pyrolysis, gasification, gasification-melting) confirms a preferable performance of the gasification plant attributed to syngas cleaning. The modern incineration is superior over pyrolysis and gasification-melting at present, due to the effectiveness of modern flue gas cleaning, use of combined heat and power (CHP) cycle, and ash recycling. Sensitivity analysis highlights a crucial role of the plant efficiency and pyrolysis char land utilization. The study indicates that the heterogeneity of MSW and syngas purification technologies are the most relevant impediments for the current pyrolysis/gasification-based WtE. Potential development should incorporate into all process aspects to boost the energy efficiency, improve incoming waste quality, and achieve efficient residues management.","container-title":"Science of The Total Environment","DOI":"10.1016/j.scitotenv.2018.01.151","ISSN":"00489697","journalAbbreviation":"Science of The Total Environment","language":"en","page":"744-753","source":"DOI.org (Crossref)","title":"Life cycle assessment of pyrolysis, gasification and incineration waste-to-energy technologies: Theoretical analysis and case study of commercial plants","title-short":"Life cycle assessment of pyrolysis, gasification and incineration waste-to-energy technologies","volume":"626","author":[{"family":"Dong","given":"Jun"},{"family":"Tang","given":"Yuanjun"},{"family":"Nzihou","given":"Ange"},{"family":"Chi","given":"Yong"},{"family":"Weiss-Hortala","given":"Elsa"},{"family":"Ni","given":"Mingjiang"}],"issued":{"date-parts":[["2018",6]]}}},{"id":13016,"uris":["http://zotero.org/users/6423791/items/N6EC882Z"],"itemData":{"id":13016,"type":"article-journal","abstract":"This paper presents the main experiences gained and conclusions drawn from the demonstration of a first-of-its-kind wood-based biomethane production plant (20-MW capacity, 150 dry tonnes of biomass/day) and 10 years of operation of the 2–4-MW (10–20 dry tonnes of biomass/day) research gasifier at Chalmers University of Technology in Sweden. Based on the experience gained, an elaborated outline for commercialization of the technology for a wide spectrum of applications and end products is defined. The main findings are related to the use of biomass ash constituents as a catalyst for the process and the application of coated heat exchangers, such that regular fluidized bed boilers can be retrofitted to become biomass gasifiers. Among the recirculation of the ash streams within the process, presence of the alkali salt in the system is identified as highly important for control of the tar species. Combined with new insights on fuel feeding and reactor design, these two major findings form the basis for a comprehensive process layout that can support a gradual transformation of existing boilers in district heating networks and in pulp, paper and saw mills, and it facilitates the exploitation of existing oil refineries and petrochemical plants for large-scale production of renewable fuels, chemicals, and materials from biomass and wastes. The potential for electrification of those process layouts are also discussed. The commercialization route represents an example of how biomass conversion develops and integrates with existing industrial and energy infrastructures to form highly effective systems that deliver a wide range of end products. Illustrating the potential, the existing fluidized bed boilers in Sweden alone represent a jet fuel production capacity that corresponds to 10% of current global consumption.","container-title":"Energy Science &amp; Engineering","DOI":"10.1002/ese3.188","ISSN":"2050-0505","issue":"1","journalAbbreviation":"Energy Sci. Eng.","language":"en","note":"_eprint: https://onlinelibrary.wiley.com/doi/pdf/10.1002/ese3.188","page":"6-34","source":"Wiley Online Library","title":"Advanced biofuel production via gasification – lessons learned from 200 man-years of research activity with Chalmers’ research gasifier and the GoBiGas demonstration plant","volume":"6","author":[{"family":"Thunman","given":"Henrik"},{"family":"Seemann","given":"Martin"},{"family":"Berdugo Vilches","given":"Teresa"},{"family":"Maric","given":"Jelena"},{"family":"Pallares","given":"David"},{"family":"Ström","given":"Henrik"},{"family":"Berndes","given":"Göran"},{"family":"Knutsson","given":"Pavleta"},{"family":"Larsson","given":"Anton"},{"family":"Breitholtz","given":"Claes"},{"family":"Santos","given":"Olga"}],"issued":{"date-parts":[["2018"]]}}}],"schema":"https://github.com/citation-style-language/schema/raw/master/csl-citation.json"} </w:instrText>
      </w:r>
      <w:r w:rsidRPr="003F5DA8">
        <w:fldChar w:fldCharType="separate"/>
      </w:r>
      <w:r w:rsidR="00991F7C" w:rsidRPr="00991F7C">
        <w:rPr>
          <w:rFonts w:ascii="Calibri" w:hAnsi="Calibri" w:cs="Calibri"/>
          <w:szCs w:val="24"/>
          <w:vertAlign w:val="superscript"/>
        </w:rPr>
        <w:t>336,340</w:t>
      </w:r>
      <w:r w:rsidRPr="003F5DA8">
        <w:fldChar w:fldCharType="end"/>
      </w:r>
      <w:r w:rsidRPr="003F5DA8">
        <w:t>. Yet, syngas post-treatments operations such as steam reforming also require high temperatures, and it is unlikely that sequences of cooling and heating of the producer gas yields energetically viable pathways. To avoid modeling complications of cleaning/cooling sequences depending on the chosen post-treatment (e.g. for MP production), and acknowledging that producer gas must be cleaned prior any post-treatment (e.g. risk of catalysis inactivation, among others), it was assumed that all gas cleaning operations were developed directly on hot gas. These consist in cyclone or bag filtration, tar removal and detoxification through activated carbon and rapeseed methyl ester (RME</w:t>
      </w:r>
      <w:r>
        <w:t>; see</w:t>
      </w:r>
      <w:r w:rsidR="00583C1F">
        <w:t xml:space="preserve"> </w:t>
      </w:r>
      <w:r w:rsidR="00583C1F" w:rsidRPr="00583C1F">
        <w:rPr>
          <w:b/>
        </w:rPr>
        <w:fldChar w:fldCharType="begin"/>
      </w:r>
      <w:r w:rsidR="00583C1F" w:rsidRPr="00583C1F">
        <w:rPr>
          <w:b/>
        </w:rPr>
        <w:instrText xml:space="preserve"> REF _Ref144913437 \h </w:instrText>
      </w:r>
      <w:r w:rsidR="00583C1F">
        <w:rPr>
          <w:b/>
        </w:rPr>
        <w:instrText xml:space="preserve"> \* MERGEFORMAT </w:instrText>
      </w:r>
      <w:r w:rsidR="00583C1F" w:rsidRPr="00583C1F">
        <w:rPr>
          <w:b/>
        </w:rPr>
      </w:r>
      <w:r w:rsidR="00583C1F" w:rsidRPr="00583C1F">
        <w:rPr>
          <w:b/>
        </w:rPr>
        <w:fldChar w:fldCharType="separate"/>
      </w:r>
      <w:r w:rsidR="00F25F8C" w:rsidRPr="00F25F8C">
        <w:rPr>
          <w:b/>
        </w:rPr>
        <w:t xml:space="preserve">Table SI. </w:t>
      </w:r>
      <w:r w:rsidR="00F25F8C" w:rsidRPr="00F25F8C">
        <w:rPr>
          <w:b/>
          <w:noProof/>
        </w:rPr>
        <w:t>100</w:t>
      </w:r>
      <w:r w:rsidR="00583C1F" w:rsidRPr="00583C1F">
        <w:rPr>
          <w:b/>
        </w:rPr>
        <w:fldChar w:fldCharType="end"/>
      </w:r>
      <w:r w:rsidRPr="003F5DA8">
        <w:t>). Finally, similarly accounted in AD pathways, a share of producer gas was assumed lost at this stage as fugitive direct emissions to the atmosphere (see</w:t>
      </w:r>
      <w:r w:rsidR="00583C1F">
        <w:t xml:space="preserve"> </w:t>
      </w:r>
      <w:r w:rsidR="00583C1F" w:rsidRPr="00583C1F">
        <w:rPr>
          <w:b/>
        </w:rPr>
        <w:fldChar w:fldCharType="begin"/>
      </w:r>
      <w:r w:rsidR="00583C1F" w:rsidRPr="00583C1F">
        <w:rPr>
          <w:b/>
        </w:rPr>
        <w:instrText xml:space="preserve"> REF _Ref144913305 \h </w:instrText>
      </w:r>
      <w:r w:rsidR="00583C1F">
        <w:rPr>
          <w:b/>
        </w:rPr>
        <w:instrText xml:space="preserve"> \* MERGEFORMAT </w:instrText>
      </w:r>
      <w:r w:rsidR="00583C1F" w:rsidRPr="00583C1F">
        <w:rPr>
          <w:b/>
        </w:rPr>
      </w:r>
      <w:r w:rsidR="00583C1F" w:rsidRPr="00583C1F">
        <w:rPr>
          <w:b/>
        </w:rPr>
        <w:fldChar w:fldCharType="separate"/>
      </w:r>
      <w:r w:rsidR="00F25F8C" w:rsidRPr="00F25F8C">
        <w:rPr>
          <w:b/>
        </w:rPr>
        <w:t xml:space="preserve">Table SI. </w:t>
      </w:r>
      <w:r w:rsidR="00F25F8C" w:rsidRPr="00F25F8C">
        <w:rPr>
          <w:b/>
          <w:noProof/>
        </w:rPr>
        <w:t>101</w:t>
      </w:r>
      <w:r w:rsidR="00583C1F" w:rsidRPr="00583C1F">
        <w:rPr>
          <w:b/>
        </w:rPr>
        <w:fldChar w:fldCharType="end"/>
      </w:r>
      <w:r w:rsidRPr="003F5DA8">
        <w:t>).</w:t>
      </w:r>
    </w:p>
    <w:p w14:paraId="0FAFB886" w14:textId="52E3370E" w:rsidR="00F669A1" w:rsidRPr="009F12CB" w:rsidRDefault="00874128" w:rsidP="00942782">
      <w:pPr>
        <w:pStyle w:val="Lgende"/>
        <w:jc w:val="left"/>
        <w:rPr>
          <w:b w:val="0"/>
          <w:i/>
        </w:rPr>
      </w:pPr>
      <w:bookmarkStart w:id="427" w:name="_Ref144913437"/>
      <w:bookmarkStart w:id="428" w:name="_Toc134537617"/>
      <w:bookmarkStart w:id="429" w:name="_Toc151967984"/>
      <w:r>
        <w:t>Table SI.</w:t>
      </w:r>
      <w:r w:rsidR="00F669A1">
        <w:t xml:space="preserve"> </w:t>
      </w:r>
      <w:r>
        <w:fldChar w:fldCharType="begin"/>
      </w:r>
      <w:r>
        <w:instrText xml:space="preserve"> SEQ Table_SI. \* ARABIC </w:instrText>
      </w:r>
      <w:r>
        <w:fldChar w:fldCharType="separate"/>
      </w:r>
      <w:r w:rsidR="00F25F8C">
        <w:rPr>
          <w:noProof/>
        </w:rPr>
        <w:t>100</w:t>
      </w:r>
      <w:r>
        <w:fldChar w:fldCharType="end"/>
      </w:r>
      <w:bookmarkEnd w:id="427"/>
      <w:r w:rsidR="00F669A1">
        <w:t xml:space="preserve"> </w:t>
      </w:r>
      <w:r w:rsidR="00F669A1" w:rsidRPr="002D5B5C">
        <w:t>– Syngas cleaning modeling parameters</w:t>
      </w:r>
      <w:bookmarkEnd w:id="428"/>
      <w:bookmarkEnd w:id="429"/>
    </w:p>
    <w:tbl>
      <w:tblPr>
        <w:tblStyle w:val="Tableausimple2"/>
        <w:tblW w:w="0" w:type="auto"/>
        <w:tblLook w:val="04A0" w:firstRow="1" w:lastRow="0" w:firstColumn="1" w:lastColumn="0" w:noHBand="0" w:noVBand="1"/>
      </w:tblPr>
      <w:tblGrid>
        <w:gridCol w:w="2112"/>
        <w:gridCol w:w="1134"/>
        <w:gridCol w:w="708"/>
        <w:gridCol w:w="4237"/>
      </w:tblGrid>
      <w:tr w:rsidR="00F669A1" w:rsidRPr="008C451C" w14:paraId="706D275A" w14:textId="77777777" w:rsidTr="009427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6346A027" w14:textId="77777777" w:rsidR="00F669A1" w:rsidRPr="008C451C" w:rsidRDefault="00F669A1" w:rsidP="000C3E59">
            <w:pPr>
              <w:jc w:val="right"/>
              <w:rPr>
                <w:sz w:val="18"/>
              </w:rPr>
            </w:pPr>
            <w:r w:rsidRPr="008C451C">
              <w:rPr>
                <w:sz w:val="18"/>
              </w:rPr>
              <w:t>Parameter</w:t>
            </w:r>
          </w:p>
        </w:tc>
        <w:tc>
          <w:tcPr>
            <w:tcW w:w="1134" w:type="dxa"/>
          </w:tcPr>
          <w:p w14:paraId="277AF034"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rPr>
            </w:pPr>
            <w:r w:rsidRPr="008C451C">
              <w:rPr>
                <w:sz w:val="18"/>
              </w:rPr>
              <w:t>Unit</w:t>
            </w:r>
          </w:p>
        </w:tc>
        <w:tc>
          <w:tcPr>
            <w:tcW w:w="708" w:type="dxa"/>
          </w:tcPr>
          <w:p w14:paraId="325DD448"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rPr>
            </w:pPr>
            <w:r w:rsidRPr="008C451C">
              <w:rPr>
                <w:sz w:val="18"/>
              </w:rPr>
              <w:t>Value</w:t>
            </w:r>
          </w:p>
        </w:tc>
        <w:tc>
          <w:tcPr>
            <w:tcW w:w="4237" w:type="dxa"/>
          </w:tcPr>
          <w:p w14:paraId="54A59C61" w14:textId="77777777" w:rsidR="00F669A1" w:rsidRPr="008C451C" w:rsidRDefault="00F669A1" w:rsidP="00583C1F">
            <w:pPr>
              <w:cnfStyle w:val="100000000000" w:firstRow="1" w:lastRow="0" w:firstColumn="0" w:lastColumn="0" w:oddVBand="0" w:evenVBand="0" w:oddHBand="0" w:evenHBand="0" w:firstRowFirstColumn="0" w:firstRowLastColumn="0" w:lastRowFirstColumn="0" w:lastRowLastColumn="0"/>
              <w:rPr>
                <w:sz w:val="18"/>
              </w:rPr>
            </w:pPr>
            <w:r w:rsidRPr="008C451C">
              <w:rPr>
                <w:sz w:val="18"/>
              </w:rPr>
              <w:t>Comment</w:t>
            </w:r>
          </w:p>
        </w:tc>
      </w:tr>
      <w:tr w:rsidR="00F669A1" w:rsidRPr="008C451C" w14:paraId="0502E89E"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268B9A0A" w14:textId="77777777" w:rsidR="00F669A1" w:rsidRPr="008C451C" w:rsidRDefault="00F669A1" w:rsidP="000C3E59">
            <w:pPr>
              <w:jc w:val="right"/>
              <w:rPr>
                <w:sz w:val="18"/>
              </w:rPr>
            </w:pPr>
            <w:r w:rsidRPr="008C451C">
              <w:rPr>
                <w:sz w:val="18"/>
              </w:rPr>
              <w:t>RME use</w:t>
            </w:r>
          </w:p>
        </w:tc>
        <w:tc>
          <w:tcPr>
            <w:tcW w:w="1134" w:type="dxa"/>
          </w:tcPr>
          <w:p w14:paraId="54A12C4D"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rPr>
            </w:pPr>
            <w:proofErr w:type="gramStart"/>
            <w:r w:rsidRPr="008C451C">
              <w:rPr>
                <w:sz w:val="18"/>
              </w:rPr>
              <w:t>kg.t</w:t>
            </w:r>
            <w:r w:rsidRPr="008C451C">
              <w:rPr>
                <w:sz w:val="18"/>
                <w:vertAlign w:val="subscript"/>
              </w:rPr>
              <w:t>DMin</w:t>
            </w:r>
            <w:proofErr w:type="gramEnd"/>
            <w:r w:rsidRPr="008C451C">
              <w:rPr>
                <w:sz w:val="18"/>
                <w:vertAlign w:val="superscript"/>
              </w:rPr>
              <w:t>-1</w:t>
            </w:r>
          </w:p>
        </w:tc>
        <w:tc>
          <w:tcPr>
            <w:tcW w:w="708" w:type="dxa"/>
          </w:tcPr>
          <w:p w14:paraId="462D686E"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rPr>
            </w:pPr>
            <w:r w:rsidRPr="008C451C">
              <w:rPr>
                <w:sz w:val="18"/>
              </w:rPr>
              <w:t>11</w:t>
            </w:r>
          </w:p>
        </w:tc>
        <w:tc>
          <w:tcPr>
            <w:tcW w:w="4237" w:type="dxa"/>
          </w:tcPr>
          <w:p w14:paraId="570C115C" w14:textId="10919692" w:rsidR="00F669A1" w:rsidRPr="008C451C" w:rsidRDefault="00F669A1" w:rsidP="00583C1F">
            <w:pPr>
              <w:cnfStyle w:val="000000100000" w:firstRow="0" w:lastRow="0" w:firstColumn="0" w:lastColumn="0" w:oddVBand="0" w:evenVBand="0" w:oddHBand="1" w:evenHBand="0" w:firstRowFirstColumn="0" w:firstRowLastColumn="0" w:lastRowFirstColumn="0" w:lastRowLastColumn="0"/>
              <w:rPr>
                <w:i/>
                <w:sz w:val="18"/>
              </w:rPr>
            </w:pPr>
            <w:r w:rsidRPr="008C451C">
              <w:rPr>
                <w:i/>
                <w:sz w:val="18"/>
              </w:rPr>
              <w:t>Gas condenser and scrubber agent</w:t>
            </w:r>
            <w:r w:rsidRPr="008C451C">
              <w:rPr>
                <w:i/>
                <w:sz w:val="18"/>
              </w:rPr>
              <w:fldChar w:fldCharType="begin"/>
            </w:r>
            <w:r w:rsidR="00991F7C">
              <w:rPr>
                <w:i/>
                <w:sz w:val="18"/>
              </w:rPr>
              <w:instrText xml:space="preserve"> ADDIN ZOTERO_ITEM CSL_CITATION {"citationID":"9PjRG12X","properties":{"formattedCitation":"\\super 336\\nosupersub{}","plainCitation":"336","noteIndex":0},"citationItems":[{"id":13016,"uris":["http://zotero.org/users/6423791/items/N6EC882Z"],"itemData":{"id":13016,"type":"article-journal","abstract":"This paper presents the main experiences gained and conclusions drawn from the demonstration of a first-of-its-kind wood-based biomethane production plant (20-MW capacity, 150 dry tonnes of biomass/day) and 10 years of operation of the 2–4-MW (10–20 dry tonnes of biomass/day) research gasifier at Chalmers University of Technology in Sweden. Based on the experience gained, an elaborated outline for commercialization of the technology for a wide spectrum of applications and end products is defined. The main findings are related to the use of biomass ash constituents as a catalyst for the process and the application of coated heat exchangers, such that regular fluidized bed boilers can be retrofitted to become biomass gasifiers. Among the recirculation of the ash streams within the process, presence of the alkali salt in the system is identified as highly important for control of the tar species. Combined with new insights on fuel feeding and reactor design, these two major findings form the basis for a comprehensive process layout that can support a gradual transformation of existing boilers in district heating networks and in pulp, paper and saw mills, and it facilitates the exploitation of existing oil refineries and petrochemical plants for large-scale production of renewable fuels, chemicals, and materials from biomass and wastes. The potential for electrification of those process layouts are also discussed. The commercialization route represents an example of how biomass conversion develops and integrates with existing industrial and energy infrastructures to form highly effective systems that deliver a wide range of end products. Illustrating the potential, the existing fluidized bed boilers in Sweden alone represent a jet fuel production capacity that corresponds to 10% of current global consumption.","container-title":"Energy Science &amp; Engineering","DOI":"10.1002/ese3.188","ISSN":"2050-0505","issue":"1","journalAbbreviation":"Energy Sci. Eng.","language":"en","note":"_eprint: https://onlinelibrary.wiley.com/doi/pdf/10.1002/ese3.188","page":"6-34","source":"Wiley Online Library","title":"Advanced biofuel production via gasification – lessons learned from 200 man-years of research activity with Chalmers’ research gasifier and the GoBiGas demonstration plant","volume":"6","author":[{"family":"Thunman","given":"Henrik"},{"family":"Seemann","given":"Martin"},{"family":"Berdugo Vilches","given":"Teresa"},{"family":"Maric","given":"Jelena"},{"family":"Pallares","given":"David"},{"family":"Ström","given":"Henrik"},{"family":"Berndes","given":"Göran"},{"family":"Knutsson","given":"Pavleta"},{"family":"Larsson","given":"Anton"},{"family":"Breitholtz","given":"Claes"},{"family":"Santos","given":"Olga"}],"issued":{"date-parts":[["2018"]]}}}],"schema":"https://github.com/citation-style-language/schema/raw/master/csl-citation.json"} </w:instrText>
            </w:r>
            <w:r w:rsidRPr="008C451C">
              <w:rPr>
                <w:i/>
                <w:sz w:val="18"/>
              </w:rPr>
              <w:fldChar w:fldCharType="separate"/>
            </w:r>
            <w:r w:rsidR="00991F7C" w:rsidRPr="00991F7C">
              <w:rPr>
                <w:rFonts w:ascii="Calibri" w:hAnsi="Calibri" w:cs="Calibri"/>
                <w:sz w:val="18"/>
                <w:szCs w:val="24"/>
                <w:vertAlign w:val="superscript"/>
              </w:rPr>
              <w:t>336</w:t>
            </w:r>
            <w:r w:rsidRPr="008C451C">
              <w:rPr>
                <w:i/>
                <w:sz w:val="18"/>
              </w:rPr>
              <w:fldChar w:fldCharType="end"/>
            </w:r>
          </w:p>
        </w:tc>
      </w:tr>
      <w:tr w:rsidR="00F669A1" w:rsidRPr="008C451C" w14:paraId="0C44E7A1" w14:textId="77777777" w:rsidTr="00942782">
        <w:tc>
          <w:tcPr>
            <w:cnfStyle w:val="001000000000" w:firstRow="0" w:lastRow="0" w:firstColumn="1" w:lastColumn="0" w:oddVBand="0" w:evenVBand="0" w:oddHBand="0" w:evenHBand="0" w:firstRowFirstColumn="0" w:firstRowLastColumn="0" w:lastRowFirstColumn="0" w:lastRowLastColumn="0"/>
            <w:tcW w:w="2112" w:type="dxa"/>
          </w:tcPr>
          <w:p w14:paraId="5BA2A1FB" w14:textId="77777777" w:rsidR="00F669A1" w:rsidRPr="008C451C" w:rsidRDefault="00F669A1" w:rsidP="000C3E59">
            <w:pPr>
              <w:jc w:val="right"/>
              <w:rPr>
                <w:sz w:val="18"/>
              </w:rPr>
            </w:pPr>
            <w:r w:rsidRPr="008C451C">
              <w:rPr>
                <w:sz w:val="18"/>
              </w:rPr>
              <w:t>Limestone use</w:t>
            </w:r>
          </w:p>
        </w:tc>
        <w:tc>
          <w:tcPr>
            <w:tcW w:w="1134" w:type="dxa"/>
          </w:tcPr>
          <w:p w14:paraId="092CF6F3"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rPr>
            </w:pPr>
            <w:proofErr w:type="gramStart"/>
            <w:r w:rsidRPr="008C451C">
              <w:rPr>
                <w:sz w:val="18"/>
              </w:rPr>
              <w:t>kg.t</w:t>
            </w:r>
            <w:r w:rsidRPr="008C451C">
              <w:rPr>
                <w:sz w:val="18"/>
                <w:vertAlign w:val="subscript"/>
              </w:rPr>
              <w:t>wwin</w:t>
            </w:r>
            <w:proofErr w:type="gramEnd"/>
            <w:r w:rsidRPr="008C451C">
              <w:rPr>
                <w:sz w:val="18"/>
                <w:vertAlign w:val="superscript"/>
              </w:rPr>
              <w:t>-1</w:t>
            </w:r>
          </w:p>
        </w:tc>
        <w:tc>
          <w:tcPr>
            <w:tcW w:w="708" w:type="dxa"/>
          </w:tcPr>
          <w:p w14:paraId="1D0A76CF"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rPr>
            </w:pPr>
            <w:r w:rsidRPr="008C451C">
              <w:rPr>
                <w:sz w:val="18"/>
              </w:rPr>
              <w:t>70.2</w:t>
            </w:r>
          </w:p>
        </w:tc>
        <w:tc>
          <w:tcPr>
            <w:tcW w:w="4237" w:type="dxa"/>
          </w:tcPr>
          <w:p w14:paraId="357CB552" w14:textId="3F4EC573" w:rsidR="00F669A1" w:rsidRPr="008C451C" w:rsidRDefault="00F669A1" w:rsidP="00583C1F">
            <w:pPr>
              <w:cnfStyle w:val="000000000000" w:firstRow="0" w:lastRow="0" w:firstColumn="0" w:lastColumn="0" w:oddVBand="0" w:evenVBand="0" w:oddHBand="0" w:evenHBand="0" w:firstRowFirstColumn="0" w:firstRowLastColumn="0" w:lastRowFirstColumn="0" w:lastRowLastColumn="0"/>
              <w:rPr>
                <w:i/>
                <w:sz w:val="18"/>
              </w:rPr>
            </w:pPr>
            <w:r w:rsidRPr="008C451C">
              <w:rPr>
                <w:i/>
                <w:sz w:val="18"/>
              </w:rPr>
              <w:t>precoat material for the filters and biomass ash</w:t>
            </w:r>
            <w:r w:rsidRPr="008C451C">
              <w:rPr>
                <w:i/>
                <w:sz w:val="18"/>
              </w:rPr>
              <w:fldChar w:fldCharType="begin"/>
            </w:r>
            <w:r w:rsidR="00991F7C">
              <w:rPr>
                <w:i/>
                <w:sz w:val="18"/>
              </w:rPr>
              <w:instrText xml:space="preserve"> ADDIN ZOTERO_ITEM CSL_CITATION {"citationID":"bbDq81LH","properties":{"formattedCitation":"\\super 336,340\\nosupersub{}","plainCitation":"336,340","noteIndex":0},"citationItems":[{"id":13016,"uris":["http://zotero.org/users/6423791/items/N6EC882Z"],"itemData":{"id":13016,"type":"article-journal","abstract":"This paper presents the main experiences gained and conclusions drawn from the demonstration of a first-of-its-kind wood-based biomethane production plant (20-MW capacity, 150 dry tonnes of biomass/day) and 10 years of operation of the 2–4-MW (10–20 dry tonnes of biomass/day) research gasifier at Chalmers University of Technology in Sweden. Based on the experience gained, an elaborated outline for commercialization of the technology for a wide spectrum of applications and end products is defined. The main findings are related to the use of biomass ash constituents as a catalyst for the process and the application of coated heat exchangers, such that regular fluidized bed boilers can be retrofitted to become biomass gasifiers. Among the recirculation of the ash streams within the process, presence of the alkali salt in the system is identified as highly important for control of the tar species. Combined with new insights on fuel feeding and reactor design, these two major findings form the basis for a comprehensive process layout that can support a gradual transformation of existing boilers in district heating networks and in pulp, paper and saw mills, and it facilitates the exploitation of existing oil refineries and petrochemical plants for large-scale production of renewable fuels, chemicals, and materials from biomass and wastes. The potential for electrification of those process layouts are also discussed. The commercialization route represents an example of how biomass conversion develops and integrates with existing industrial and energy infrastructures to form highly effective systems that deliver a wide range of end products. Illustrating the potential, the existing fluidized bed boilers in Sweden alone represent a jet fuel production capacity that corresponds to 10% of current global consumption.","container-title":"Energy Science &amp; Engineering","DOI":"10.1002/ese3.188","ISSN":"2050-0505","issue":"1","journalAbbreviation":"Energy Sci. Eng.","language":"en","note":"_eprint: https://onlinelibrary.wiley.com/doi/pdf/10.1002/ese3.188","page":"6-34","source":"Wiley Online Library","title":"Advanced biofuel production via gasification – lessons learned from 200 man-years of research activity with Chalmers’ research gasifier and the GoBiGas demonstration plant","volume":"6","author":[{"family":"Thunman","given":"Henrik"},{"family":"Seemann","given":"Martin"},{"family":"Berdugo Vilches","given":"Teresa"},{"family":"Maric","given":"Jelena"},{"family":"Pallares","given":"David"},{"family":"Ström","given":"Henrik"},{"family":"Berndes","given":"Göran"},{"family":"Knutsson","given":"Pavleta"},{"family":"Larsson","given":"Anton"},{"family":"Breitholtz","given":"Claes"},{"family":"Santos","given":"Olga"}],"issued":{"date-parts":[["2018"]]}}},{"id":12932,"uris":["http://zotero.org/users/6423791/items/TP9L2Y5K"],"itemData":{"id":12932,"type":"article-journal","abstract":"Municipal solid waste (MSW) pyrolysis and gasification are in development, stimulated by a more sustainable waste-to-energy (WtE) option. Since comprehensive comparisons of the existing WtE technologies are fairly rare, this study aims to conduct a life cycle assessment (LCA) using two sets of data: theoretical analysis, and case studies of large-scale commercial plants. Seven systems involving thermal conversion (pyrolysis, gasification, incineration) and energy utilization (steam cycle, gas turbine/combined cycle, internal combustion engine) are modelled. Theoretical analysis results show that pyrolysis and gasification, in particular coupled with a gas turbine/combined cycle, have the potential to lessen environmental loadings. The benefits derive from an improved energy efficiency leading to less fossil-based energy consumption, and reduced process emissions by syngas combustion. Comparison among the four operating plants (incineration, pyrolysis, gasification, gasification-melting) confirms a preferable performance of the gasification plant attributed to syngas cleaning. The modern incineration is superior over pyrolysis and gasification-melting at present, due to the effectiveness of modern flue gas cleaning, use of combined heat and power (CHP) cycle, and ash recycling. Sensitivity analysis highlights a crucial role of the plant efficiency and pyrolysis char land utilization. The study indicates that the heterogeneity of MSW and syngas purification technologies are the most relevant impediments for the current pyrolysis/gasification-based WtE. Potential development should incorporate into all process aspects to boost the energy efficiency, improve incoming waste quality, and achieve efficient residues management.","container-title":"Science of The Total Environment","DOI":"10.1016/j.scitotenv.2018.01.151","ISSN":"00489697","journalAbbreviation":"Science of The Total Environment","language":"en","page":"744-753","source":"DOI.org (Crossref)","title":"Life cycle assessment of pyrolysis, gasification and incineration waste-to-energy technologies: Theoretical analysis and case study of commercial plants","title-short":"Life cycle assessment of pyrolysis, gasification and incineration waste-to-energy technologies","volume":"626","author":[{"family":"Dong","given":"Jun"},{"family":"Tang","given":"Yuanjun"},{"family":"Nzihou","given":"Ange"},{"family":"Chi","given":"Yong"},{"family":"Weiss-Hortala","given":"Elsa"},{"family":"Ni","given":"Mingjiang"}],"issued":{"date-parts":[["2018",6]]}}}],"schema":"https://github.com/citation-style-language/schema/raw/master/csl-citation.json"} </w:instrText>
            </w:r>
            <w:r w:rsidRPr="008C451C">
              <w:rPr>
                <w:i/>
                <w:sz w:val="18"/>
              </w:rPr>
              <w:fldChar w:fldCharType="separate"/>
            </w:r>
            <w:r w:rsidR="00991F7C" w:rsidRPr="00991F7C">
              <w:rPr>
                <w:rFonts w:ascii="Calibri" w:hAnsi="Calibri" w:cs="Calibri"/>
                <w:sz w:val="18"/>
                <w:szCs w:val="24"/>
                <w:vertAlign w:val="superscript"/>
              </w:rPr>
              <w:t>336,340</w:t>
            </w:r>
            <w:r w:rsidRPr="008C451C">
              <w:rPr>
                <w:i/>
                <w:sz w:val="18"/>
              </w:rPr>
              <w:fldChar w:fldCharType="end"/>
            </w:r>
          </w:p>
        </w:tc>
      </w:tr>
      <w:tr w:rsidR="00F669A1" w:rsidRPr="008C451C" w14:paraId="67724E50"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12" w:type="dxa"/>
          </w:tcPr>
          <w:p w14:paraId="4A76C0FD" w14:textId="77777777" w:rsidR="00F669A1" w:rsidRPr="008C451C" w:rsidRDefault="00F669A1" w:rsidP="000C3E59">
            <w:pPr>
              <w:jc w:val="right"/>
              <w:rPr>
                <w:sz w:val="18"/>
              </w:rPr>
            </w:pPr>
            <w:r w:rsidRPr="008C451C">
              <w:rPr>
                <w:sz w:val="18"/>
              </w:rPr>
              <w:t>Activated carbon</w:t>
            </w:r>
          </w:p>
        </w:tc>
        <w:tc>
          <w:tcPr>
            <w:tcW w:w="1134" w:type="dxa"/>
          </w:tcPr>
          <w:p w14:paraId="48D677E9"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rPr>
            </w:pPr>
            <w:proofErr w:type="gramStart"/>
            <w:r w:rsidRPr="008C451C">
              <w:rPr>
                <w:sz w:val="18"/>
              </w:rPr>
              <w:t>kg.t</w:t>
            </w:r>
            <w:r w:rsidRPr="008C451C">
              <w:rPr>
                <w:sz w:val="18"/>
                <w:vertAlign w:val="subscript"/>
              </w:rPr>
              <w:t>DMin</w:t>
            </w:r>
            <w:proofErr w:type="gramEnd"/>
            <w:r w:rsidRPr="008C451C">
              <w:rPr>
                <w:sz w:val="18"/>
                <w:vertAlign w:val="superscript"/>
              </w:rPr>
              <w:t>-1</w:t>
            </w:r>
          </w:p>
        </w:tc>
        <w:tc>
          <w:tcPr>
            <w:tcW w:w="708" w:type="dxa"/>
          </w:tcPr>
          <w:p w14:paraId="66C302DA"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rPr>
            </w:pPr>
            <w:r w:rsidRPr="008C451C">
              <w:rPr>
                <w:sz w:val="18"/>
              </w:rPr>
              <w:t>0.435</w:t>
            </w:r>
          </w:p>
        </w:tc>
        <w:tc>
          <w:tcPr>
            <w:tcW w:w="4237" w:type="dxa"/>
          </w:tcPr>
          <w:p w14:paraId="625163E6" w14:textId="286D3814" w:rsidR="00F669A1" w:rsidRPr="008C451C" w:rsidRDefault="00F669A1" w:rsidP="00583C1F">
            <w:pPr>
              <w:cnfStyle w:val="000000100000" w:firstRow="0" w:lastRow="0" w:firstColumn="0" w:lastColumn="0" w:oddVBand="0" w:evenVBand="0" w:oddHBand="1" w:evenHBand="0" w:firstRowFirstColumn="0" w:firstRowLastColumn="0" w:lastRowFirstColumn="0" w:lastRowLastColumn="0"/>
              <w:rPr>
                <w:i/>
                <w:sz w:val="18"/>
              </w:rPr>
            </w:pPr>
            <w:r w:rsidRPr="008C451C">
              <w:rPr>
                <w:i/>
                <w:sz w:val="18"/>
              </w:rPr>
              <w:t>Removal of impurities</w:t>
            </w:r>
            <w:r w:rsidRPr="008C451C">
              <w:rPr>
                <w:i/>
                <w:sz w:val="18"/>
              </w:rPr>
              <w:fldChar w:fldCharType="begin"/>
            </w:r>
            <w:r w:rsidR="00991F7C">
              <w:rPr>
                <w:i/>
                <w:sz w:val="18"/>
              </w:rPr>
              <w:instrText xml:space="preserve"> ADDIN ZOTERO_ITEM CSL_CITATION {"citationID":"KIpyLPQn","properties":{"formattedCitation":"\\super 336,339\\nosupersub{}","plainCitation":"336,339","noteIndex":0},"citationItems":[{"id":13016,"uris":["http://zotero.org/users/6423791/items/N6EC882Z"],"itemData":{"id":13016,"type":"article-journal","abstract":"This paper presents the main experiences gained and conclusions drawn from the demonstration of a first-of-its-kind wood-based biomethane production plant (20-MW capacity, 150 dry tonnes of biomass/day) and 10 years of operation of the 2–4-MW (10–20 dry tonnes of biomass/day) research gasifier at Chalmers University of Technology in Sweden. Based on the experience gained, an elaborated outline for commercialization of the technology for a wide spectrum of applications and end products is defined. The main findings are related to the use of biomass ash constituents as a catalyst for the process and the application of coated heat exchangers, such that regular fluidized bed boilers can be retrofitted to become biomass gasifiers. Among the recirculation of the ash streams within the process, presence of the alkali salt in the system is identified as highly important for control of the tar species. Combined with new insights on fuel feeding and reactor design, these two major findings form the basis for a comprehensive process layout that can support a gradual transformation of existing boilers in district heating networks and in pulp, paper and saw mills, and it facilitates the exploitation of existing oil refineries and petrochemical plants for large-scale production of renewable fuels, chemicals, and materials from biomass and wastes. The potential for electrification of those process layouts are also discussed. The commercialization route represents an example of how biomass conversion develops and integrates with existing industrial and energy infrastructures to form highly effective systems that deliver a wide range of end products. Illustrating the potential, the existing fluidized bed boilers in Sweden alone represent a jet fuel production capacity that corresponds to 10% of current global consumption.","container-title":"Energy Science &amp; Engineering","DOI":"10.1002/ese3.188","ISSN":"2050-0505","issue":"1","journalAbbreviation":"Energy Sci. Eng.","language":"en","note":"_eprint: https://onlinelibrary.wiley.com/doi/pdf/10.1002/ese3.188","page":"6-34","source":"Wiley Online Library","title":"Advanced biofuel production via gasification – lessons learned from 200 man-years of research activity with Chalmers’ research gasifier and the GoBiGas demonstration plant","volume":"6","author":[{"family":"Thunman","given":"Henrik"},{"family":"Seemann","given":"Martin"},{"family":"Berdugo Vilches","given":"Teresa"},{"family":"Maric","given":"Jelena"},{"family":"Pallares","given":"David"},{"family":"Ström","given":"Henrik"},{"family":"Berndes","given":"Göran"},{"family":"Knutsson","given":"Pavleta"},{"family":"Larsson","given":"Anton"},{"family":"Breitholtz","given":"Claes"},{"family":"Santos","given":"Olga"}],"issued":{"date-parts":[["2018"]]}}},{"id":12976,"uris":["http://zotero.org/users/6423791/items/RZUM6KPP"],"itemData":{"id":12976,"type":"article-journal","abstract":"Biomethane produced from waste-derived biomass (biowaste) is a clean and renewable fuel, which offers substantial reductions of greenhouse gas emissions and resource consumption. Biomethane is currently produced via the “biogas road”, which includes the anaerobic digestion of wet biowaste and a successive upgrading of obtained biogas, with good environmental performance. An alternative production strategy is the “syngas road”, which includes the gasification of dry or semi-dry biowaste followed by cleaning, conditioning, methanation, and final upgrading of obtained syngas. It is still at a demonstration level but appears of great interest for the highest values of energy efficiency and carbon utilisation. The study acquired technical data from existing plants of both these strategies, and developed a quantitative environmental assessment by means of holistic tools of sustainable engineering: material and substance flow analyses and an attributional life cycle assessment. The technical and environmental performance of the two biomethane roads have been then compared, in terms of energy and process efficiency as well as potential impacts in the main midpoint categories (global warming, respiratory inorganics, and non-renewable energy). The syngas road appears to have higher levels of carbon utilisation and better environmental performance, even though an extended sensitivity analysis shows different results if alternative plant configurations and energy mix are considered. This suggests that R&amp;D studies and policies of economic incentives have to be further implemented for both the analysed strategies, even because they deal with different kind of biowaste, having different availability in different countries.","container-title":"Waste Management","DOI":"10.1016/j.wasman.2019.02.030","ISSN":"0956-053X","journalAbbreviation":"Waste Management","language":"en","page":"441-453","source":"ScienceDirect","title":"Biowaste-to-Biomethane: An LCA study on biogas and syngas roads","title-short":"Biowaste-to-Biomethane","volume":"87","author":[{"family":"Ardolino","given":"Filomena"},{"family":"Arena","given":"Umberto"}],"issued":{"date-parts":[["2019",3,15]]}}}],"schema":"https://github.com/citation-style-language/schema/raw/master/csl-citation.json"} </w:instrText>
            </w:r>
            <w:r w:rsidRPr="008C451C">
              <w:rPr>
                <w:i/>
                <w:sz w:val="18"/>
              </w:rPr>
              <w:fldChar w:fldCharType="separate"/>
            </w:r>
            <w:r w:rsidR="00991F7C" w:rsidRPr="00991F7C">
              <w:rPr>
                <w:rFonts w:ascii="Calibri" w:hAnsi="Calibri" w:cs="Calibri"/>
                <w:sz w:val="18"/>
                <w:szCs w:val="24"/>
                <w:vertAlign w:val="superscript"/>
              </w:rPr>
              <w:t>336,339</w:t>
            </w:r>
            <w:r w:rsidRPr="008C451C">
              <w:rPr>
                <w:i/>
                <w:sz w:val="18"/>
              </w:rPr>
              <w:fldChar w:fldCharType="end"/>
            </w:r>
          </w:p>
        </w:tc>
      </w:tr>
      <w:tr w:rsidR="00F669A1" w:rsidRPr="008C451C" w14:paraId="408AABFD" w14:textId="77777777" w:rsidTr="00942782">
        <w:tc>
          <w:tcPr>
            <w:cnfStyle w:val="001000000000" w:firstRow="0" w:lastRow="0" w:firstColumn="1" w:lastColumn="0" w:oddVBand="0" w:evenVBand="0" w:oddHBand="0" w:evenHBand="0" w:firstRowFirstColumn="0" w:firstRowLastColumn="0" w:lastRowFirstColumn="0" w:lastRowLastColumn="0"/>
            <w:tcW w:w="2112" w:type="dxa"/>
          </w:tcPr>
          <w:p w14:paraId="27333226" w14:textId="77777777" w:rsidR="00F669A1" w:rsidRPr="008C451C" w:rsidRDefault="00F669A1" w:rsidP="000C3E59">
            <w:pPr>
              <w:jc w:val="right"/>
              <w:rPr>
                <w:sz w:val="18"/>
              </w:rPr>
            </w:pPr>
            <w:r w:rsidRPr="008C451C">
              <w:rPr>
                <w:sz w:val="18"/>
              </w:rPr>
              <w:t>Cleaning waste</w:t>
            </w:r>
          </w:p>
        </w:tc>
        <w:tc>
          <w:tcPr>
            <w:tcW w:w="1134" w:type="dxa"/>
          </w:tcPr>
          <w:p w14:paraId="7217A289"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rPr>
            </w:pPr>
            <w:proofErr w:type="gramStart"/>
            <w:r w:rsidRPr="008C451C">
              <w:rPr>
                <w:sz w:val="18"/>
              </w:rPr>
              <w:t>g.Nm</w:t>
            </w:r>
            <w:proofErr w:type="gramEnd"/>
            <w:r w:rsidRPr="008C451C">
              <w:rPr>
                <w:sz w:val="18"/>
                <w:vertAlign w:val="superscript"/>
              </w:rPr>
              <w:t>-3</w:t>
            </w:r>
          </w:p>
        </w:tc>
        <w:tc>
          <w:tcPr>
            <w:tcW w:w="708" w:type="dxa"/>
          </w:tcPr>
          <w:p w14:paraId="0FC34D98"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rPr>
            </w:pPr>
            <w:r w:rsidRPr="008C451C">
              <w:rPr>
                <w:sz w:val="18"/>
              </w:rPr>
              <w:t>228</w:t>
            </w:r>
          </w:p>
        </w:tc>
        <w:tc>
          <w:tcPr>
            <w:tcW w:w="4237" w:type="dxa"/>
          </w:tcPr>
          <w:p w14:paraId="52848261" w14:textId="4E9C6178" w:rsidR="00F669A1" w:rsidRPr="008C451C" w:rsidRDefault="00F669A1" w:rsidP="00583C1F">
            <w:pPr>
              <w:cnfStyle w:val="000000000000" w:firstRow="0" w:lastRow="0" w:firstColumn="0" w:lastColumn="0" w:oddVBand="0" w:evenVBand="0" w:oddHBand="0" w:evenHBand="0" w:firstRowFirstColumn="0" w:firstRowLastColumn="0" w:lastRowFirstColumn="0" w:lastRowLastColumn="0"/>
              <w:rPr>
                <w:i/>
                <w:sz w:val="18"/>
              </w:rPr>
            </w:pPr>
            <w:r w:rsidRPr="008C451C">
              <w:rPr>
                <w:i/>
                <w:sz w:val="18"/>
              </w:rPr>
              <w:t>Proxy of all solid waste generated at cleaning</w:t>
            </w:r>
            <w:r w:rsidRPr="008C451C">
              <w:rPr>
                <w:i/>
                <w:sz w:val="18"/>
              </w:rPr>
              <w:fldChar w:fldCharType="begin"/>
            </w:r>
            <w:r w:rsidR="008C451C">
              <w:rPr>
                <w:i/>
                <w:sz w:val="18"/>
              </w:rPr>
              <w:instrText xml:space="preserve"> ADDIN ZOTERO_ITEM CSL_CITATION {"citationID":"0yQ0DZL6","properties":{"formattedCitation":"\\super 48\\nosupersub{}","plainCitation":"48","noteIndex":0},"citationItems":[{"id":13212,"uris":["http://zotero.org/users/6423791/items/ANAMP6NH"],"itemData":{"id":13212,"type":"webpage","language":"en-US","title":"ecoinvent databases","URL":"https://ecoinvent.org/","author":[{"literal":"ecoinvent"}],"accessed":{"date-parts":[["2022",5,1]]},"issued":{"date-parts":[["2022"]]}}}],"schema":"https://github.com/citation-style-language/schema/raw/master/csl-citation.json"} </w:instrText>
            </w:r>
            <w:r w:rsidRPr="008C451C">
              <w:rPr>
                <w:i/>
                <w:sz w:val="18"/>
              </w:rPr>
              <w:fldChar w:fldCharType="separate"/>
            </w:r>
            <w:r w:rsidR="008C451C" w:rsidRPr="008C451C">
              <w:rPr>
                <w:rFonts w:ascii="Calibri" w:hAnsi="Calibri" w:cs="Calibri"/>
                <w:sz w:val="18"/>
                <w:szCs w:val="24"/>
                <w:vertAlign w:val="superscript"/>
              </w:rPr>
              <w:t>48</w:t>
            </w:r>
            <w:r w:rsidRPr="008C451C">
              <w:rPr>
                <w:i/>
                <w:sz w:val="18"/>
              </w:rPr>
              <w:fldChar w:fldCharType="end"/>
            </w:r>
          </w:p>
        </w:tc>
      </w:tr>
    </w:tbl>
    <w:p w14:paraId="22F4E034" w14:textId="77777777" w:rsidR="00F669A1" w:rsidRDefault="00F669A1" w:rsidP="00942782">
      <w:pPr>
        <w:jc w:val="both"/>
        <w:rPr>
          <w:sz w:val="18"/>
        </w:rPr>
      </w:pPr>
      <w:r w:rsidRPr="003F5DA8">
        <w:rPr>
          <w:sz w:val="18"/>
        </w:rPr>
        <w:t>The parameters present in this table were not retained in the sensitivity analysis, these were considered as constants.</w:t>
      </w:r>
    </w:p>
    <w:p w14:paraId="5B684557" w14:textId="77777777" w:rsidR="00F669A1" w:rsidRPr="009F12CB" w:rsidRDefault="00F669A1" w:rsidP="00583C1F">
      <w:pPr>
        <w:pStyle w:val="Titre4"/>
      </w:pPr>
      <w:r w:rsidRPr="009F12CB">
        <w:t>Syngas post-treatments</w:t>
      </w:r>
    </w:p>
    <w:p w14:paraId="082012E8" w14:textId="1B3DDEBC" w:rsidR="00F669A1" w:rsidRDefault="00F669A1" w:rsidP="00583C1F">
      <w:pPr>
        <w:ind w:firstLine="360"/>
        <w:jc w:val="both"/>
      </w:pPr>
      <w:r w:rsidRPr="003F5DA8">
        <w:t xml:space="preserve">The </w:t>
      </w:r>
      <w:r w:rsidR="00583C1F">
        <w:t xml:space="preserve">syngas </w:t>
      </w:r>
      <w:r w:rsidRPr="003F5DA8">
        <w:t>post-treatments</w:t>
      </w:r>
      <w:r w:rsidR="00583C1F">
        <w:t xml:space="preserve"> to meet the specificiations of MP production were detailed in the MP LCI mod</w:t>
      </w:r>
      <w:r w:rsidR="00655BBB">
        <w:t>el</w:t>
      </w:r>
      <w:r w:rsidR="00583C1F">
        <w:t xml:space="preserve"> documentation (</w:t>
      </w:r>
      <w:r w:rsidR="00583C1F" w:rsidRPr="00583C1F">
        <w:rPr>
          <w:b/>
        </w:rPr>
        <w:t xml:space="preserve">section </w:t>
      </w:r>
      <w:r w:rsidR="000C6C37">
        <w:rPr>
          <w:b/>
        </w:rPr>
        <w:t xml:space="preserve">SI. </w:t>
      </w:r>
      <w:r w:rsidR="00583C1F" w:rsidRPr="00583C1F">
        <w:rPr>
          <w:b/>
        </w:rPr>
        <w:fldChar w:fldCharType="begin"/>
      </w:r>
      <w:r w:rsidR="00583C1F" w:rsidRPr="00583C1F">
        <w:rPr>
          <w:b/>
        </w:rPr>
        <w:instrText xml:space="preserve"> REF _Ref144911893 \r \h </w:instrText>
      </w:r>
      <w:r w:rsidR="00583C1F">
        <w:rPr>
          <w:b/>
        </w:rPr>
        <w:instrText xml:space="preserve"> \* MERGEFORMAT </w:instrText>
      </w:r>
      <w:r w:rsidR="00583C1F" w:rsidRPr="00583C1F">
        <w:rPr>
          <w:b/>
        </w:rPr>
      </w:r>
      <w:r w:rsidR="00583C1F" w:rsidRPr="00583C1F">
        <w:rPr>
          <w:b/>
        </w:rPr>
        <w:fldChar w:fldCharType="separate"/>
      </w:r>
      <w:r w:rsidR="00F25F8C">
        <w:rPr>
          <w:b/>
        </w:rPr>
        <w:t>4.6</w:t>
      </w:r>
      <w:r w:rsidR="00583C1F" w:rsidRPr="00583C1F">
        <w:rPr>
          <w:b/>
        </w:rPr>
        <w:fldChar w:fldCharType="end"/>
      </w:r>
      <w:r w:rsidR="00583C1F">
        <w:t>)</w:t>
      </w:r>
      <w:r w:rsidRPr="003F5DA8">
        <w:t>.</w:t>
      </w:r>
      <w:r w:rsidR="00583C1F">
        <w:t xml:space="preserve"> </w:t>
      </w:r>
      <w:r w:rsidRPr="003F5DA8">
        <w:t>Cooling of syngas is required to meet temperature entry conditions of subsequent post-treatments. The influence of gas compression was neglected (assumed as ideal gases), and final cooled gas was assumed dry. Condensed water was sent to a wastewater treatment plant (WWTP; here considered unpolluted</w:t>
      </w:r>
      <w:r w:rsidR="00583C1F">
        <w:t>).</w:t>
      </w:r>
      <w:r w:rsidRPr="003F5DA8">
        <w:t xml:space="preserve"> N</w:t>
      </w:r>
      <w:r w:rsidRPr="003F5DA8">
        <w:rPr>
          <w:vertAlign w:val="subscript"/>
        </w:rPr>
        <w:t>2</w:t>
      </w:r>
      <w:r w:rsidRPr="003F5DA8">
        <w:t xml:space="preserve"> present in the producer gas was assumed inert for all the reactions involved in syngas post-treatments, and not influencing their performances (but accounting in the overall mass and volume to process).</w:t>
      </w:r>
    </w:p>
    <w:p w14:paraId="30A0ABAA" w14:textId="77777777" w:rsidR="00F669A1" w:rsidRPr="002F2C5A" w:rsidRDefault="00F669A1" w:rsidP="00583C1F">
      <w:pPr>
        <w:pStyle w:val="Titre3"/>
      </w:pPr>
      <w:bookmarkStart w:id="430" w:name="_Toc145069137"/>
      <w:r w:rsidRPr="002F2C5A">
        <w:t>Technology parameters and background processes</w:t>
      </w:r>
      <w:bookmarkEnd w:id="430"/>
    </w:p>
    <w:p w14:paraId="1EE663EA" w14:textId="3253986B" w:rsidR="00F669A1" w:rsidRPr="003F5DA8" w:rsidRDefault="00F669A1" w:rsidP="00F669A1">
      <w:pPr>
        <w:jc w:val="both"/>
      </w:pPr>
      <w:r w:rsidRPr="003F5DA8">
        <w:t xml:space="preserve">The technology parameters retained for GA </w:t>
      </w:r>
      <w:r w:rsidR="00B63283">
        <w:t>LCI</w:t>
      </w:r>
      <w:r w:rsidRPr="003F5DA8">
        <w:t xml:space="preserve"> modeling are displayed in the</w:t>
      </w:r>
      <w:r w:rsidR="00B63283">
        <w:rPr>
          <w:b/>
        </w:rPr>
        <w:t xml:space="preserve"> </w:t>
      </w:r>
      <w:r w:rsidR="00B63283" w:rsidRPr="00B63283">
        <w:rPr>
          <w:b/>
        </w:rPr>
        <w:fldChar w:fldCharType="begin"/>
      </w:r>
      <w:r w:rsidR="00B63283" w:rsidRPr="00B63283">
        <w:rPr>
          <w:b/>
        </w:rPr>
        <w:instrText xml:space="preserve"> REF _Ref144913305 \h  \* MERGEFORMAT </w:instrText>
      </w:r>
      <w:r w:rsidR="00B63283" w:rsidRPr="00B63283">
        <w:rPr>
          <w:b/>
        </w:rPr>
      </w:r>
      <w:r w:rsidR="00B63283" w:rsidRPr="00B63283">
        <w:rPr>
          <w:b/>
        </w:rPr>
        <w:fldChar w:fldCharType="separate"/>
      </w:r>
      <w:r w:rsidR="00F25F8C" w:rsidRPr="00F25F8C">
        <w:rPr>
          <w:b/>
        </w:rPr>
        <w:t xml:space="preserve">Table SI. </w:t>
      </w:r>
      <w:r w:rsidR="00F25F8C" w:rsidRPr="00F25F8C">
        <w:rPr>
          <w:b/>
          <w:noProof/>
        </w:rPr>
        <w:t>101</w:t>
      </w:r>
      <w:r w:rsidR="00B63283" w:rsidRPr="00B63283">
        <w:rPr>
          <w:b/>
        </w:rPr>
        <w:fldChar w:fldCharType="end"/>
      </w:r>
      <w:r w:rsidRPr="003F5DA8">
        <w:t>.</w:t>
      </w:r>
    </w:p>
    <w:p w14:paraId="0793C29B" w14:textId="046963C1" w:rsidR="00F669A1" w:rsidRPr="002F2C5A" w:rsidRDefault="00874128" w:rsidP="00942782">
      <w:pPr>
        <w:pStyle w:val="Lgende"/>
        <w:jc w:val="left"/>
        <w:rPr>
          <w:b w:val="0"/>
          <w:i/>
        </w:rPr>
      </w:pPr>
      <w:bookmarkStart w:id="431" w:name="_Ref144913305"/>
      <w:bookmarkStart w:id="432" w:name="_Toc134537624"/>
      <w:bookmarkStart w:id="433" w:name="_Toc151967985"/>
      <w:r>
        <w:t>Table SI.</w:t>
      </w:r>
      <w:r w:rsidR="00F669A1">
        <w:t xml:space="preserve"> </w:t>
      </w:r>
      <w:r>
        <w:fldChar w:fldCharType="begin"/>
      </w:r>
      <w:r>
        <w:instrText xml:space="preserve"> SEQ Table_SI. \* ARABIC </w:instrText>
      </w:r>
      <w:r>
        <w:fldChar w:fldCharType="separate"/>
      </w:r>
      <w:r w:rsidR="00F25F8C">
        <w:rPr>
          <w:noProof/>
        </w:rPr>
        <w:t>101</w:t>
      </w:r>
      <w:r>
        <w:fldChar w:fldCharType="end"/>
      </w:r>
      <w:bookmarkEnd w:id="431"/>
      <w:r w:rsidR="00F669A1">
        <w:t xml:space="preserve"> </w:t>
      </w:r>
      <w:r w:rsidR="00F669A1" w:rsidRPr="007C2AE0">
        <w:t>– Parameters specific to GA pathways</w:t>
      </w:r>
      <w:bookmarkEnd w:id="432"/>
      <w:bookmarkEnd w:id="433"/>
    </w:p>
    <w:tbl>
      <w:tblPr>
        <w:tblStyle w:val="Tableausimple2"/>
        <w:tblW w:w="0" w:type="auto"/>
        <w:tblLook w:val="04A0" w:firstRow="1" w:lastRow="0" w:firstColumn="1" w:lastColumn="0" w:noHBand="0" w:noVBand="1"/>
      </w:tblPr>
      <w:tblGrid>
        <w:gridCol w:w="490"/>
        <w:gridCol w:w="2470"/>
        <w:gridCol w:w="1106"/>
        <w:gridCol w:w="844"/>
        <w:gridCol w:w="983"/>
        <w:gridCol w:w="3178"/>
      </w:tblGrid>
      <w:tr w:rsidR="00F669A1" w:rsidRPr="008C451C" w14:paraId="6147D20D" w14:textId="77777777" w:rsidTr="009427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A9D696F" w14:textId="77777777" w:rsidR="00F669A1" w:rsidRPr="008C451C" w:rsidRDefault="00F669A1" w:rsidP="000C3E59">
            <w:pPr>
              <w:rPr>
                <w:sz w:val="18"/>
                <w:szCs w:val="18"/>
              </w:rPr>
            </w:pPr>
            <w:r w:rsidRPr="008C451C">
              <w:rPr>
                <w:sz w:val="18"/>
                <w:szCs w:val="18"/>
              </w:rPr>
              <w:t>n°</w:t>
            </w:r>
          </w:p>
        </w:tc>
        <w:tc>
          <w:tcPr>
            <w:tcW w:w="2470" w:type="dxa"/>
          </w:tcPr>
          <w:p w14:paraId="13E298D9" w14:textId="77777777" w:rsidR="00F669A1" w:rsidRPr="008C451C" w:rsidRDefault="00F669A1" w:rsidP="000C3E59">
            <w:pPr>
              <w:jc w:val="right"/>
              <w:cnfStyle w:val="100000000000" w:firstRow="1" w:lastRow="0" w:firstColumn="0" w:lastColumn="0" w:oddVBand="0" w:evenVBand="0" w:oddHBand="0" w:evenHBand="0" w:firstRowFirstColumn="0" w:firstRowLastColumn="0" w:lastRowFirstColumn="0" w:lastRowLastColumn="0"/>
              <w:rPr>
                <w:sz w:val="18"/>
                <w:szCs w:val="18"/>
              </w:rPr>
            </w:pPr>
            <w:r w:rsidRPr="008C451C">
              <w:rPr>
                <w:sz w:val="18"/>
                <w:szCs w:val="18"/>
              </w:rPr>
              <w:t>Parameter</w:t>
            </w:r>
          </w:p>
        </w:tc>
        <w:tc>
          <w:tcPr>
            <w:tcW w:w="1106" w:type="dxa"/>
          </w:tcPr>
          <w:p w14:paraId="770E8848"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szCs w:val="18"/>
              </w:rPr>
            </w:pPr>
            <w:r w:rsidRPr="008C451C">
              <w:rPr>
                <w:sz w:val="18"/>
                <w:szCs w:val="18"/>
              </w:rPr>
              <w:t>Unit</w:t>
            </w:r>
          </w:p>
        </w:tc>
        <w:tc>
          <w:tcPr>
            <w:tcW w:w="844" w:type="dxa"/>
          </w:tcPr>
          <w:p w14:paraId="038F2EFE"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szCs w:val="18"/>
              </w:rPr>
            </w:pPr>
            <w:r w:rsidRPr="008C451C">
              <w:rPr>
                <w:sz w:val="18"/>
                <w:szCs w:val="18"/>
              </w:rPr>
              <w:t>Baseline value</w:t>
            </w:r>
          </w:p>
        </w:tc>
        <w:tc>
          <w:tcPr>
            <w:tcW w:w="983" w:type="dxa"/>
          </w:tcPr>
          <w:p w14:paraId="270A6B11"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szCs w:val="18"/>
              </w:rPr>
            </w:pPr>
            <w:r w:rsidRPr="008C451C">
              <w:rPr>
                <w:sz w:val="18"/>
                <w:szCs w:val="18"/>
              </w:rPr>
              <w:t>Variation range</w:t>
            </w:r>
          </w:p>
        </w:tc>
        <w:tc>
          <w:tcPr>
            <w:tcW w:w="3178" w:type="dxa"/>
          </w:tcPr>
          <w:p w14:paraId="55BA25C5" w14:textId="77777777" w:rsidR="00F669A1" w:rsidRPr="008C451C" w:rsidRDefault="00F669A1" w:rsidP="00B63283">
            <w:pPr>
              <w:cnfStyle w:val="100000000000" w:firstRow="1" w:lastRow="0" w:firstColumn="0" w:lastColumn="0" w:oddVBand="0" w:evenVBand="0" w:oddHBand="0" w:evenHBand="0" w:firstRowFirstColumn="0" w:firstRowLastColumn="0" w:lastRowFirstColumn="0" w:lastRowLastColumn="0"/>
              <w:rPr>
                <w:i/>
                <w:sz w:val="18"/>
                <w:szCs w:val="18"/>
              </w:rPr>
            </w:pPr>
            <w:r w:rsidRPr="008C451C">
              <w:rPr>
                <w:i/>
                <w:sz w:val="18"/>
                <w:szCs w:val="18"/>
              </w:rPr>
              <w:t>Comment</w:t>
            </w:r>
          </w:p>
        </w:tc>
      </w:tr>
      <w:tr w:rsidR="00F669A1" w:rsidRPr="008C451C" w14:paraId="4D7D3A52"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B52349C" w14:textId="77777777" w:rsidR="00F669A1" w:rsidRPr="008C451C" w:rsidRDefault="00F669A1" w:rsidP="000C3E59">
            <w:pPr>
              <w:rPr>
                <w:sz w:val="18"/>
                <w:szCs w:val="18"/>
              </w:rPr>
            </w:pPr>
            <w:r w:rsidRPr="008C451C">
              <w:rPr>
                <w:sz w:val="18"/>
                <w:szCs w:val="18"/>
              </w:rPr>
              <w:t>180</w:t>
            </w:r>
          </w:p>
        </w:tc>
        <w:tc>
          <w:tcPr>
            <w:tcW w:w="2470" w:type="dxa"/>
          </w:tcPr>
          <w:p w14:paraId="3BB91020" w14:textId="77777777" w:rsidR="00F669A1" w:rsidRPr="008C451C" w:rsidRDefault="00F669A1" w:rsidP="000C3E59">
            <w:pPr>
              <w:jc w:val="right"/>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Dryer thermal efficiency</w:t>
            </w:r>
          </w:p>
        </w:tc>
        <w:tc>
          <w:tcPr>
            <w:tcW w:w="1106" w:type="dxa"/>
          </w:tcPr>
          <w:p w14:paraId="45AC7218"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w:t>
            </w:r>
            <w:r w:rsidRPr="008C451C">
              <w:rPr>
                <w:sz w:val="18"/>
                <w:szCs w:val="18"/>
                <w:vertAlign w:val="subscript"/>
              </w:rPr>
              <w:t>MJ</w:t>
            </w:r>
          </w:p>
        </w:tc>
        <w:tc>
          <w:tcPr>
            <w:tcW w:w="844" w:type="dxa"/>
          </w:tcPr>
          <w:p w14:paraId="03A1CDBA"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90%</w:t>
            </w:r>
          </w:p>
        </w:tc>
        <w:tc>
          <w:tcPr>
            <w:tcW w:w="983" w:type="dxa"/>
          </w:tcPr>
          <w:p w14:paraId="715E053A"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85-95%</w:t>
            </w:r>
          </w:p>
        </w:tc>
        <w:tc>
          <w:tcPr>
            <w:tcW w:w="3178" w:type="dxa"/>
          </w:tcPr>
          <w:p w14:paraId="3EFB65CD" w14:textId="46154EF1" w:rsidR="00F669A1" w:rsidRPr="008C451C" w:rsidRDefault="00F669A1" w:rsidP="00B63283">
            <w:pPr>
              <w:cnfStyle w:val="000000100000" w:firstRow="0" w:lastRow="0" w:firstColumn="0" w:lastColumn="0" w:oddVBand="0" w:evenVBand="0" w:oddHBand="1" w:evenHBand="0" w:firstRowFirstColumn="0" w:firstRowLastColumn="0" w:lastRowFirstColumn="0" w:lastRowLastColumn="0"/>
              <w:rPr>
                <w:i/>
                <w:sz w:val="18"/>
                <w:szCs w:val="18"/>
              </w:rPr>
            </w:pPr>
            <w:r w:rsidRPr="008C451C">
              <w:rPr>
                <w:i/>
                <w:sz w:val="18"/>
                <w:szCs w:val="18"/>
              </w:rPr>
              <w:t>Value for large rotary dryers</w:t>
            </w:r>
            <w:r w:rsidRPr="008C451C">
              <w:rPr>
                <w:i/>
                <w:sz w:val="18"/>
                <w:szCs w:val="18"/>
              </w:rPr>
              <w:fldChar w:fldCharType="begin"/>
            </w:r>
            <w:r w:rsidR="00991F7C">
              <w:rPr>
                <w:i/>
                <w:sz w:val="18"/>
                <w:szCs w:val="18"/>
              </w:rPr>
              <w:instrText xml:space="preserve"> ADDIN ZOTERO_ITEM CSL_CITATION {"citationID":"6lnQ2bca","properties":{"formattedCitation":"\\super 340\\nosupersub{}","plainCitation":"340","noteIndex":0},"citationItems":[{"id":12932,"uris":["http://zotero.org/users/6423791/items/TP9L2Y5K"],"itemData":{"id":12932,"type":"article-journal","abstract":"Municipal solid waste (MSW) pyrolysis and gasification are in development, stimulated by a more sustainable waste-to-energy (WtE) option. Since comprehensive comparisons of the existing WtE technologies are fairly rare, this study aims to conduct a life cycle assessment (LCA) using two sets of data: theoretical analysis, and case studies of large-scale commercial plants. Seven systems involving thermal conversion (pyrolysis, gasification, incineration) and energy utilization (steam cycle, gas turbine/combined cycle, internal combustion engine) are modelled. Theoretical analysis results show that pyrolysis and gasification, in particular coupled with a gas turbine/combined cycle, have the potential to lessen environmental loadings. The benefits derive from an improved energy efficiency leading to less fossil-based energy consumption, and reduced process emissions by syngas combustion. Comparison among the four operating plants (incineration, pyrolysis, gasification, gasification-melting) confirms a preferable performance of the gasification plant attributed to syngas cleaning. The modern incineration is superior over pyrolysis and gasification-melting at present, due to the effectiveness of modern flue gas cleaning, use of combined heat and power (CHP) cycle, and ash recycling. Sensitivity analysis highlights a crucial role of the plant efficiency and pyrolysis char land utilization. The study indicates that the heterogeneity of MSW and syngas purification technologies are the most relevant impediments for the current pyrolysis/gasification-based WtE. Potential development should incorporate into all process aspects to boost the energy efficiency, improve incoming waste quality, and achieve efficient residues management.","container-title":"Science of The Total Environment","DOI":"10.1016/j.scitotenv.2018.01.151","ISSN":"00489697","journalAbbreviation":"Science of The Total Environment","language":"en","page":"744-753","source":"DOI.org (Crossref)","title":"Life cycle assessment of pyrolysis, gasification and incineration waste-to-energy technologies: Theoretical analysis and case study of commercial plants","title-short":"Life cycle assessment of pyrolysis, gasification and incineration waste-to-energy technologies","volume":"626","author":[{"family":"Dong","given":"Jun"},{"family":"Tang","given":"Yuanjun"},{"family":"Nzihou","given":"Ange"},{"family":"Chi","given":"Yong"},{"family":"Weiss-Hortala","given":"Elsa"},{"family":"Ni","given":"Mingjiang"}],"issued":{"date-parts":[["2018",6]]}}}],"schema":"https://github.com/citation-style-language/schema/raw/master/csl-citation.json"} </w:instrText>
            </w:r>
            <w:r w:rsidRPr="008C451C">
              <w:rPr>
                <w:i/>
                <w:sz w:val="18"/>
                <w:szCs w:val="18"/>
              </w:rPr>
              <w:fldChar w:fldCharType="separate"/>
            </w:r>
            <w:r w:rsidR="00991F7C" w:rsidRPr="00991F7C">
              <w:rPr>
                <w:rFonts w:ascii="Calibri" w:hAnsi="Calibri" w:cs="Calibri"/>
                <w:sz w:val="18"/>
                <w:szCs w:val="24"/>
                <w:vertAlign w:val="superscript"/>
              </w:rPr>
              <w:t>340</w:t>
            </w:r>
            <w:r w:rsidRPr="008C451C">
              <w:rPr>
                <w:i/>
                <w:sz w:val="18"/>
                <w:szCs w:val="18"/>
              </w:rPr>
              <w:fldChar w:fldCharType="end"/>
            </w:r>
          </w:p>
        </w:tc>
      </w:tr>
      <w:tr w:rsidR="00F669A1" w:rsidRPr="008C451C" w14:paraId="25A35433"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58333541" w14:textId="77777777" w:rsidR="00F669A1" w:rsidRPr="008C451C" w:rsidRDefault="00F669A1" w:rsidP="000C3E59">
            <w:pPr>
              <w:rPr>
                <w:sz w:val="18"/>
                <w:szCs w:val="18"/>
              </w:rPr>
            </w:pPr>
            <w:r w:rsidRPr="008C451C">
              <w:rPr>
                <w:sz w:val="18"/>
                <w:szCs w:val="18"/>
              </w:rPr>
              <w:t>181</w:t>
            </w:r>
          </w:p>
        </w:tc>
        <w:tc>
          <w:tcPr>
            <w:tcW w:w="2470" w:type="dxa"/>
          </w:tcPr>
          <w:p w14:paraId="3F8ED3CF" w14:textId="77777777" w:rsidR="00F669A1" w:rsidRPr="008C451C" w:rsidRDefault="00F669A1" w:rsidP="000C3E59">
            <w:pPr>
              <w:jc w:val="right"/>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Syngas CHP, power efficiency</w:t>
            </w:r>
          </w:p>
        </w:tc>
        <w:tc>
          <w:tcPr>
            <w:tcW w:w="1106" w:type="dxa"/>
          </w:tcPr>
          <w:p w14:paraId="656073D4"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w:t>
            </w:r>
            <w:r w:rsidRPr="008C451C">
              <w:rPr>
                <w:sz w:val="18"/>
                <w:szCs w:val="18"/>
                <w:vertAlign w:val="subscript"/>
              </w:rPr>
              <w:t>LHV</w:t>
            </w:r>
          </w:p>
        </w:tc>
        <w:tc>
          <w:tcPr>
            <w:tcW w:w="844" w:type="dxa"/>
          </w:tcPr>
          <w:p w14:paraId="40487EBB"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35%</w:t>
            </w:r>
          </w:p>
        </w:tc>
        <w:tc>
          <w:tcPr>
            <w:tcW w:w="983" w:type="dxa"/>
          </w:tcPr>
          <w:p w14:paraId="3832A94C"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30-40%</w:t>
            </w:r>
          </w:p>
        </w:tc>
        <w:tc>
          <w:tcPr>
            <w:tcW w:w="3178" w:type="dxa"/>
            <w:vMerge w:val="restart"/>
          </w:tcPr>
          <w:p w14:paraId="0A958887" w14:textId="693618EF" w:rsidR="00F669A1" w:rsidRPr="008C451C" w:rsidRDefault="00B63283" w:rsidP="00B63283">
            <w:pPr>
              <w:cnfStyle w:val="000000000000" w:firstRow="0" w:lastRow="0" w:firstColumn="0" w:lastColumn="0" w:oddVBand="0" w:evenVBand="0" w:oddHBand="0" w:evenHBand="0" w:firstRowFirstColumn="0" w:firstRowLastColumn="0" w:lastRowFirstColumn="0" w:lastRowLastColumn="0"/>
              <w:rPr>
                <w:i/>
                <w:sz w:val="18"/>
                <w:szCs w:val="18"/>
              </w:rPr>
            </w:pPr>
            <w:r w:rsidRPr="008C451C">
              <w:rPr>
                <w:i/>
                <w:sz w:val="18"/>
                <w:szCs w:val="18"/>
              </w:rPr>
              <w:t>Not used in this study</w:t>
            </w:r>
          </w:p>
        </w:tc>
      </w:tr>
      <w:tr w:rsidR="00F669A1" w:rsidRPr="008C451C" w14:paraId="50A360D9"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5E1E200" w14:textId="77777777" w:rsidR="00F669A1" w:rsidRPr="008C451C" w:rsidRDefault="00F669A1" w:rsidP="000C3E59">
            <w:pPr>
              <w:rPr>
                <w:sz w:val="18"/>
                <w:szCs w:val="18"/>
              </w:rPr>
            </w:pPr>
            <w:r w:rsidRPr="008C451C">
              <w:rPr>
                <w:sz w:val="18"/>
                <w:szCs w:val="18"/>
              </w:rPr>
              <w:t>182</w:t>
            </w:r>
          </w:p>
        </w:tc>
        <w:tc>
          <w:tcPr>
            <w:tcW w:w="2470" w:type="dxa"/>
          </w:tcPr>
          <w:p w14:paraId="45A7D9B0" w14:textId="77777777" w:rsidR="00F669A1" w:rsidRPr="008C451C" w:rsidRDefault="00F669A1" w:rsidP="000C3E59">
            <w:pPr>
              <w:jc w:val="right"/>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Syngas CHP, heat efficiency</w:t>
            </w:r>
          </w:p>
        </w:tc>
        <w:tc>
          <w:tcPr>
            <w:tcW w:w="1106" w:type="dxa"/>
          </w:tcPr>
          <w:p w14:paraId="53571DE9"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w:t>
            </w:r>
            <w:r w:rsidRPr="008C451C">
              <w:rPr>
                <w:sz w:val="18"/>
                <w:szCs w:val="18"/>
                <w:vertAlign w:val="subscript"/>
              </w:rPr>
              <w:t>LHV</w:t>
            </w:r>
          </w:p>
        </w:tc>
        <w:tc>
          <w:tcPr>
            <w:tcW w:w="844" w:type="dxa"/>
          </w:tcPr>
          <w:p w14:paraId="50235FD7"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45%</w:t>
            </w:r>
          </w:p>
        </w:tc>
        <w:tc>
          <w:tcPr>
            <w:tcW w:w="983" w:type="dxa"/>
          </w:tcPr>
          <w:p w14:paraId="7820A008"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40-50%</w:t>
            </w:r>
          </w:p>
        </w:tc>
        <w:tc>
          <w:tcPr>
            <w:tcW w:w="3178" w:type="dxa"/>
            <w:vMerge/>
          </w:tcPr>
          <w:p w14:paraId="16A84673" w14:textId="77777777" w:rsidR="00F669A1" w:rsidRPr="008C451C" w:rsidRDefault="00F669A1" w:rsidP="00B63283">
            <w:pPr>
              <w:cnfStyle w:val="000000100000" w:firstRow="0" w:lastRow="0" w:firstColumn="0" w:lastColumn="0" w:oddVBand="0" w:evenVBand="0" w:oddHBand="1" w:evenHBand="0" w:firstRowFirstColumn="0" w:firstRowLastColumn="0" w:lastRowFirstColumn="0" w:lastRowLastColumn="0"/>
              <w:rPr>
                <w:i/>
                <w:sz w:val="18"/>
                <w:szCs w:val="18"/>
              </w:rPr>
            </w:pPr>
          </w:p>
        </w:tc>
      </w:tr>
      <w:tr w:rsidR="00F669A1" w:rsidRPr="008C451C" w14:paraId="7D8E4F1E"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26C75214" w14:textId="77777777" w:rsidR="00F669A1" w:rsidRPr="008C451C" w:rsidRDefault="00F669A1" w:rsidP="000C3E59">
            <w:pPr>
              <w:rPr>
                <w:sz w:val="18"/>
                <w:szCs w:val="18"/>
              </w:rPr>
            </w:pPr>
            <w:r w:rsidRPr="008C451C">
              <w:rPr>
                <w:sz w:val="18"/>
                <w:szCs w:val="18"/>
              </w:rPr>
              <w:t>166</w:t>
            </w:r>
          </w:p>
        </w:tc>
        <w:tc>
          <w:tcPr>
            <w:tcW w:w="2470" w:type="dxa"/>
          </w:tcPr>
          <w:p w14:paraId="47A49CA9" w14:textId="77777777" w:rsidR="00F669A1" w:rsidRPr="008C451C" w:rsidRDefault="00F669A1" w:rsidP="000C3E59">
            <w:pPr>
              <w:jc w:val="right"/>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Syngas CHP, unburned fraction</w:t>
            </w:r>
          </w:p>
        </w:tc>
        <w:tc>
          <w:tcPr>
            <w:tcW w:w="1106" w:type="dxa"/>
          </w:tcPr>
          <w:p w14:paraId="111ADF9B"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w:t>
            </w:r>
            <w:r w:rsidRPr="008C451C">
              <w:rPr>
                <w:sz w:val="18"/>
                <w:szCs w:val="18"/>
                <w:vertAlign w:val="subscript"/>
              </w:rPr>
              <w:t>syngas</w:t>
            </w:r>
          </w:p>
        </w:tc>
        <w:tc>
          <w:tcPr>
            <w:tcW w:w="844" w:type="dxa"/>
          </w:tcPr>
          <w:p w14:paraId="4F00F97A"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1%</w:t>
            </w:r>
          </w:p>
        </w:tc>
        <w:tc>
          <w:tcPr>
            <w:tcW w:w="983" w:type="dxa"/>
          </w:tcPr>
          <w:p w14:paraId="736F91B0"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0.5-2%</w:t>
            </w:r>
          </w:p>
        </w:tc>
        <w:tc>
          <w:tcPr>
            <w:tcW w:w="3178" w:type="dxa"/>
          </w:tcPr>
          <w:p w14:paraId="1A34FB03" w14:textId="71FA1935" w:rsidR="00F669A1" w:rsidRPr="008C451C" w:rsidRDefault="00F669A1" w:rsidP="00B63283">
            <w:pPr>
              <w:cnfStyle w:val="000000000000" w:firstRow="0" w:lastRow="0" w:firstColumn="0" w:lastColumn="0" w:oddVBand="0" w:evenVBand="0" w:oddHBand="0" w:evenHBand="0" w:firstRowFirstColumn="0" w:firstRowLastColumn="0" w:lastRowFirstColumn="0" w:lastRowLastColumn="0"/>
              <w:rPr>
                <w:i/>
                <w:sz w:val="18"/>
                <w:szCs w:val="18"/>
              </w:rPr>
            </w:pPr>
            <w:r w:rsidRPr="008C451C">
              <w:rPr>
                <w:i/>
                <w:sz w:val="18"/>
                <w:szCs w:val="18"/>
              </w:rPr>
              <w:t>Assumed as for biogas</w:t>
            </w:r>
            <w:r w:rsidR="00DF7453" w:rsidRPr="008C451C">
              <w:rPr>
                <w:i/>
                <w:sz w:val="18"/>
                <w:szCs w:val="18"/>
              </w:rPr>
              <w:t>, not used here.</w:t>
            </w:r>
          </w:p>
        </w:tc>
      </w:tr>
      <w:tr w:rsidR="00F669A1" w:rsidRPr="008C451C" w14:paraId="5D40D9E9"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77E3878" w14:textId="77777777" w:rsidR="00F669A1" w:rsidRPr="008C451C" w:rsidRDefault="00F669A1" w:rsidP="000C3E59">
            <w:pPr>
              <w:rPr>
                <w:sz w:val="18"/>
                <w:szCs w:val="18"/>
              </w:rPr>
            </w:pPr>
            <w:r w:rsidRPr="008C451C">
              <w:rPr>
                <w:sz w:val="18"/>
                <w:szCs w:val="18"/>
              </w:rPr>
              <w:t>183</w:t>
            </w:r>
          </w:p>
        </w:tc>
        <w:tc>
          <w:tcPr>
            <w:tcW w:w="2470" w:type="dxa"/>
          </w:tcPr>
          <w:p w14:paraId="20493620" w14:textId="77777777" w:rsidR="00F669A1" w:rsidRPr="008C451C" w:rsidRDefault="00F669A1" w:rsidP="000C3E59">
            <w:pPr>
              <w:jc w:val="right"/>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Gasification stage electricity</w:t>
            </w:r>
          </w:p>
        </w:tc>
        <w:tc>
          <w:tcPr>
            <w:tcW w:w="1106" w:type="dxa"/>
          </w:tcPr>
          <w:p w14:paraId="33AE3DFF"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kWh.t</w:t>
            </w:r>
            <w:r w:rsidRPr="008C451C">
              <w:rPr>
                <w:sz w:val="18"/>
                <w:szCs w:val="18"/>
                <w:vertAlign w:val="subscript"/>
              </w:rPr>
              <w:t>DM</w:t>
            </w:r>
            <w:r w:rsidRPr="008C451C">
              <w:rPr>
                <w:sz w:val="18"/>
                <w:szCs w:val="18"/>
                <w:vertAlign w:val="superscript"/>
              </w:rPr>
              <w:t>-1</w:t>
            </w:r>
          </w:p>
        </w:tc>
        <w:tc>
          <w:tcPr>
            <w:tcW w:w="844" w:type="dxa"/>
          </w:tcPr>
          <w:p w14:paraId="3E8D2758"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180</w:t>
            </w:r>
          </w:p>
        </w:tc>
        <w:tc>
          <w:tcPr>
            <w:tcW w:w="983" w:type="dxa"/>
          </w:tcPr>
          <w:p w14:paraId="482B2E4A"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100-650</w:t>
            </w:r>
          </w:p>
        </w:tc>
        <w:tc>
          <w:tcPr>
            <w:tcW w:w="3178" w:type="dxa"/>
          </w:tcPr>
          <w:p w14:paraId="3B9BA61F" w14:textId="138C00A0" w:rsidR="00F669A1" w:rsidRPr="008C451C" w:rsidRDefault="00F669A1" w:rsidP="00B63283">
            <w:pPr>
              <w:cnfStyle w:val="000000100000" w:firstRow="0" w:lastRow="0" w:firstColumn="0" w:lastColumn="0" w:oddVBand="0" w:evenVBand="0" w:oddHBand="1" w:evenHBand="0" w:firstRowFirstColumn="0" w:firstRowLastColumn="0" w:lastRowFirstColumn="0" w:lastRowLastColumn="0"/>
              <w:rPr>
                <w:i/>
                <w:sz w:val="18"/>
                <w:szCs w:val="18"/>
              </w:rPr>
            </w:pPr>
            <w:r w:rsidRPr="008C451C">
              <w:rPr>
                <w:i/>
                <w:sz w:val="18"/>
                <w:szCs w:val="18"/>
              </w:rPr>
              <w:t>100-350 reviewed</w:t>
            </w:r>
            <w:r w:rsidRPr="008C451C">
              <w:rPr>
                <w:i/>
                <w:sz w:val="18"/>
                <w:szCs w:val="18"/>
              </w:rPr>
              <w:fldChar w:fldCharType="begin"/>
            </w:r>
            <w:r w:rsidR="00991F7C">
              <w:rPr>
                <w:i/>
                <w:sz w:val="18"/>
                <w:szCs w:val="18"/>
              </w:rPr>
              <w:instrText xml:space="preserve"> ADDIN ZOTERO_ITEM CSL_CITATION {"citationID":"izxoZAVx","properties":{"formattedCitation":"\\super 240,340\\nosupersub{}","plainCitation":"240,340","noteIndex":0},"citationItems":[{"id":12938,"uris":["http://zotero.org/users/6423791/items/A38JDL8H"],"itemData":{"id":12938,"type":"report","number":"0005","page":"313","publisher":"Energinet","title":"Technology Data - Renewable fuels","URL":"http://www.ens.dk/teknologikatalog","author":[{"literal":"Danish Energy Agency"}],"issued":{"date-parts":[["2022"]]}}},{"id":12932,"uris":["http://zotero.org/users/6423791/items/TP9L2Y5K"],"itemData":{"id":12932,"type":"article-journal","abstract":"Municipal solid waste (MSW) pyrolysis and gasification are in development, stimulated by a more sustainable waste-to-energy (WtE) option. Since comprehensive comparisons of the existing WtE technologies are fairly rare, this study aims to conduct a life cycle assessment (LCA) using two sets of data: theoretical analysis, and case studies of large-scale commercial plants. Seven systems involving thermal conversion (pyrolysis, gasification, incineration) and energy utilization (steam cycle, gas turbine/combined cycle, internal combustion engine) are modelled. Theoretical analysis results show that pyrolysis and gasification, in particular coupled with a gas turbine/combined cycle, have the potential to lessen environmental loadings. The benefits derive from an improved energy efficiency leading to less fossil-based energy consumption, and reduced process emissions by syngas combustion. Comparison among the four operating plants (incineration, pyrolysis, gasification, gasification-melting) confirms a preferable performance of the gasification plant attributed to syngas cleaning. The modern incineration is superior over pyrolysis and gasification-melting at present, due to the effectiveness of modern flue gas cleaning, use of combined heat and power (CHP) cycle, and ash recycling. Sensitivity analysis highlights a crucial role of the plant efficiency and pyrolysis char land utilization. The study indicates that the heterogeneity of MSW and syngas purification technologies are the most relevant impediments for the current pyrolysis/gasification-based WtE. Potential development should incorporate into all process aspects to boost the energy efficiency, improve incoming waste quality, and achieve efficient residues management.","container-title":"Science of The Total Environment","DOI":"10.1016/j.scitotenv.2018.01.151","ISSN":"00489697","journalAbbreviation":"Science of The Total Environment","language":"en","page":"744-753","source":"DOI.org (Crossref)","title":"Life cycle assessment of pyrolysis, gasification and incineration waste-to-energy technologies: Theoretical analysis and case study of commercial plants","title-short":"Life cycle assessment of pyrolysis, gasification and incineration waste-to-energy technologies","volume":"626","author":[{"family":"Dong","given":"Jun"},{"family":"Tang","given":"Yuanjun"},{"family":"Nzihou","given":"Ange"},{"family":"Chi","given":"Yong"},{"family":"Weiss-Hortala","given":"Elsa"},{"family":"Ni","given":"Mingjiang"}],"issued":{"date-parts":[["2018",6]]}}}],"schema":"https://github.com/citation-style-language/schema/raw/master/csl-citation.json"} </w:instrText>
            </w:r>
            <w:r w:rsidRPr="008C451C">
              <w:rPr>
                <w:i/>
                <w:sz w:val="18"/>
                <w:szCs w:val="18"/>
              </w:rPr>
              <w:fldChar w:fldCharType="separate"/>
            </w:r>
            <w:r w:rsidR="00991F7C" w:rsidRPr="00991F7C">
              <w:rPr>
                <w:rFonts w:ascii="Calibri" w:hAnsi="Calibri" w:cs="Calibri"/>
                <w:sz w:val="18"/>
                <w:szCs w:val="24"/>
                <w:vertAlign w:val="superscript"/>
              </w:rPr>
              <w:t>240,340</w:t>
            </w:r>
            <w:r w:rsidRPr="008C451C">
              <w:rPr>
                <w:i/>
                <w:sz w:val="18"/>
                <w:szCs w:val="18"/>
              </w:rPr>
              <w:fldChar w:fldCharType="end"/>
            </w:r>
            <w:r w:rsidRPr="008C451C">
              <w:rPr>
                <w:i/>
                <w:sz w:val="18"/>
                <w:szCs w:val="18"/>
              </w:rPr>
              <w:t>, 320 reported by pilot-scale</w:t>
            </w:r>
            <w:r w:rsidRPr="008C451C">
              <w:rPr>
                <w:i/>
                <w:sz w:val="18"/>
                <w:szCs w:val="18"/>
              </w:rPr>
              <w:fldChar w:fldCharType="begin"/>
            </w:r>
            <w:r w:rsidR="00991F7C">
              <w:rPr>
                <w:i/>
                <w:sz w:val="18"/>
                <w:szCs w:val="18"/>
              </w:rPr>
              <w:instrText xml:space="preserve"> ADDIN ZOTERO_ITEM CSL_CITATION {"citationID":"hSQdfbu7","properties":{"formattedCitation":"\\super 336\\nosupersub{}","plainCitation":"336","noteIndex":0},"citationItems":[{"id":13016,"uris":["http://zotero.org/users/6423791/items/N6EC882Z"],"itemData":{"id":13016,"type":"article-journal","abstract":"This paper presents the main experiences gained and conclusions drawn from the demonstration of a first-of-its-kind wood-based biomethane production plant (20-MW capacity, 150 dry tonnes of biomass/day) and 10 years of operation of the 2–4-MW (10–20 dry tonnes of biomass/day) research gasifier at Chalmers University of Technology in Sweden. Based on the experience gained, an elaborated outline for commercialization of the technology for a wide spectrum of applications and end products is defined. The main findings are related to the use of biomass ash constituents as a catalyst for the process and the application of coated heat exchangers, such that regular fluidized bed boilers can be retrofitted to become biomass gasifiers. Among the recirculation of the ash streams within the process, presence of the alkali salt in the system is identified as highly important for control of the tar species. Combined with new insights on fuel feeding and reactor design, these two major findings form the basis for a comprehensive process layout that can support a gradual transformation of existing boilers in district heating networks and in pulp, paper and saw mills, and it facilitates the exploitation of existing oil refineries and petrochemical plants for large-scale production of renewable fuels, chemicals, and materials from biomass and wastes. The potential for electrification of those process layouts are also discussed. The commercialization route represents an example of how biomass conversion develops and integrates with existing industrial and energy infrastructures to form highly effective systems that deliver a wide range of end products. Illustrating the potential, the existing fluidized bed boilers in Sweden alone represent a jet fuel production capacity that corresponds to 10% of current global consumption.","container-title":"Energy Science &amp; Engineering","DOI":"10.1002/ese3.188","ISSN":"2050-0505","issue":"1","journalAbbreviation":"Energy Sci. Eng.","language":"en","note":"_eprint: https://onlinelibrary.wiley.com/doi/pdf/10.1002/ese3.188","page":"6-34","source":"Wiley Online Library","title":"Advanced biofuel production via gasification – lessons learned from 200 man-years of research activity with Chalmers’ research gasifier and the GoBiGas demonstration plant","volume":"6","author":[{"family":"Thunman","given":"Henrik"},{"family":"Seemann","given":"Martin"},{"family":"Berdugo Vilches","given":"Teresa"},{"family":"Maric","given":"Jelena"},{"family":"Pallares","given":"David"},{"family":"Ström","given":"Henrik"},{"family":"Berndes","given":"Göran"},{"family":"Knutsson","given":"Pavleta"},{"family":"Larsson","given":"Anton"},{"family":"Breitholtz","given":"Claes"},{"family":"Santos","given":"Olga"}],"issued":{"date-parts":[["2018"]]}}}],"schema":"https://github.com/citation-style-language/schema/raw/master/csl-citation.json"} </w:instrText>
            </w:r>
            <w:r w:rsidRPr="008C451C">
              <w:rPr>
                <w:i/>
                <w:sz w:val="18"/>
                <w:szCs w:val="18"/>
              </w:rPr>
              <w:fldChar w:fldCharType="separate"/>
            </w:r>
            <w:r w:rsidR="00991F7C" w:rsidRPr="00991F7C">
              <w:rPr>
                <w:rFonts w:ascii="Calibri" w:hAnsi="Calibri" w:cs="Calibri"/>
                <w:sz w:val="18"/>
                <w:szCs w:val="24"/>
                <w:vertAlign w:val="superscript"/>
              </w:rPr>
              <w:t>336</w:t>
            </w:r>
            <w:r w:rsidRPr="008C451C">
              <w:rPr>
                <w:i/>
                <w:sz w:val="18"/>
                <w:szCs w:val="18"/>
              </w:rPr>
              <w:fldChar w:fldCharType="end"/>
            </w:r>
            <w:r w:rsidRPr="008C451C">
              <w:rPr>
                <w:i/>
                <w:sz w:val="18"/>
                <w:szCs w:val="18"/>
              </w:rPr>
              <w:t>, EU REF20</w:t>
            </w:r>
            <w:r w:rsidRPr="008C451C">
              <w:rPr>
                <w:i/>
                <w:sz w:val="18"/>
                <w:szCs w:val="18"/>
              </w:rPr>
              <w:fldChar w:fldCharType="begin"/>
            </w:r>
            <w:r w:rsidR="008C451C">
              <w:rPr>
                <w:i/>
                <w:sz w:val="18"/>
                <w:szCs w:val="18"/>
              </w:rPr>
              <w:instrText xml:space="preserve"> ADDIN ZOTERO_ITEM CSL_CITATION {"citationID":"aqesgMAh","properties":{"formattedCitation":"\\super 46\\nosupersub{}","plainCitation":"46","noteIndex":0},"citationItems":[{"id":13241,"uris":["http://zotero.org/users/6423791/items/4I7TA53T"],"itemData":{"id":13241,"type":"book","event-place":"LU","ISBN":"978-92-76-39356-6","language":"en","number-of-pages":"184","publisher":"Publications Office of the European Union","publisher-place":"LU","source":"DOI.org (CSL JSON)","title":"EU reference scenario 2020: energy, transport and GHG emissions : trends to 2050.","title-short":"EU reference scenario 2020","URL":"https://data.europa.eu/doi/10.2833/35750","author":[{"literal":"European Commission"}],"accessed":{"date-parts":[["2022",5,1]]},"issued":{"date-parts":[["2021"]]}}}],"schema":"https://github.com/citation-style-language/schema/raw/master/csl-citation.json"} </w:instrText>
            </w:r>
            <w:r w:rsidRPr="008C451C">
              <w:rPr>
                <w:i/>
                <w:sz w:val="18"/>
                <w:szCs w:val="18"/>
              </w:rPr>
              <w:fldChar w:fldCharType="separate"/>
            </w:r>
            <w:r w:rsidR="008C451C" w:rsidRPr="008C451C">
              <w:rPr>
                <w:rFonts w:ascii="Calibri" w:hAnsi="Calibri" w:cs="Calibri"/>
                <w:sz w:val="18"/>
                <w:szCs w:val="24"/>
                <w:vertAlign w:val="superscript"/>
              </w:rPr>
              <w:t>46</w:t>
            </w:r>
            <w:r w:rsidRPr="008C451C">
              <w:rPr>
                <w:i/>
                <w:sz w:val="18"/>
                <w:szCs w:val="18"/>
              </w:rPr>
              <w:fldChar w:fldCharType="end"/>
            </w:r>
            <w:r w:rsidRPr="008C451C">
              <w:rPr>
                <w:i/>
                <w:sz w:val="18"/>
                <w:szCs w:val="18"/>
              </w:rPr>
              <w:t xml:space="preserve"> proposes 9%</w:t>
            </w:r>
            <w:r w:rsidRPr="008C451C">
              <w:rPr>
                <w:i/>
                <w:sz w:val="18"/>
                <w:szCs w:val="18"/>
                <w:vertAlign w:val="subscript"/>
              </w:rPr>
              <w:t>autoconso</w:t>
            </w:r>
            <w:r w:rsidRPr="008C451C">
              <w:rPr>
                <w:i/>
                <w:sz w:val="18"/>
                <w:szCs w:val="18"/>
              </w:rPr>
              <w:t>. Current French project mentions 650 (discussion with experts)</w:t>
            </w:r>
          </w:p>
        </w:tc>
      </w:tr>
      <w:tr w:rsidR="00F669A1" w:rsidRPr="008C451C" w14:paraId="5A048863"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1BF4BA01" w14:textId="77777777" w:rsidR="00F669A1" w:rsidRPr="008C451C" w:rsidRDefault="00F669A1" w:rsidP="000C3E59">
            <w:pPr>
              <w:rPr>
                <w:sz w:val="18"/>
                <w:szCs w:val="18"/>
              </w:rPr>
            </w:pPr>
            <w:r w:rsidRPr="008C451C">
              <w:rPr>
                <w:sz w:val="18"/>
                <w:szCs w:val="18"/>
              </w:rPr>
              <w:t>184</w:t>
            </w:r>
          </w:p>
        </w:tc>
        <w:tc>
          <w:tcPr>
            <w:tcW w:w="2470" w:type="dxa"/>
          </w:tcPr>
          <w:p w14:paraId="16908398" w14:textId="77777777" w:rsidR="00F669A1" w:rsidRPr="008C451C" w:rsidRDefault="00F669A1" w:rsidP="000C3E59">
            <w:pPr>
              <w:jc w:val="right"/>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Producer gas cleaning losses</w:t>
            </w:r>
          </w:p>
        </w:tc>
        <w:tc>
          <w:tcPr>
            <w:tcW w:w="1106" w:type="dxa"/>
          </w:tcPr>
          <w:p w14:paraId="41151FC8"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w:t>
            </w:r>
            <w:r w:rsidRPr="008C451C">
              <w:rPr>
                <w:sz w:val="18"/>
                <w:szCs w:val="18"/>
                <w:vertAlign w:val="subscript"/>
              </w:rPr>
              <w:t>out</w:t>
            </w:r>
          </w:p>
        </w:tc>
        <w:tc>
          <w:tcPr>
            <w:tcW w:w="844" w:type="dxa"/>
          </w:tcPr>
          <w:p w14:paraId="62711305"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1%</w:t>
            </w:r>
          </w:p>
        </w:tc>
        <w:tc>
          <w:tcPr>
            <w:tcW w:w="983" w:type="dxa"/>
          </w:tcPr>
          <w:p w14:paraId="26F39F14"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0-1%</w:t>
            </w:r>
          </w:p>
        </w:tc>
        <w:tc>
          <w:tcPr>
            <w:tcW w:w="3178" w:type="dxa"/>
          </w:tcPr>
          <w:p w14:paraId="6B2A8A32" w14:textId="77777777" w:rsidR="00F669A1" w:rsidRPr="008C451C" w:rsidRDefault="00F669A1" w:rsidP="00B63283">
            <w:pPr>
              <w:cnfStyle w:val="000000000000" w:firstRow="0" w:lastRow="0" w:firstColumn="0" w:lastColumn="0" w:oddVBand="0" w:evenVBand="0" w:oddHBand="0" w:evenHBand="0" w:firstRowFirstColumn="0" w:firstRowLastColumn="0" w:lastRowFirstColumn="0" w:lastRowLastColumn="0"/>
              <w:rPr>
                <w:i/>
                <w:sz w:val="18"/>
                <w:szCs w:val="18"/>
              </w:rPr>
            </w:pPr>
            <w:r w:rsidRPr="008C451C">
              <w:rPr>
                <w:i/>
                <w:sz w:val="18"/>
                <w:szCs w:val="18"/>
              </w:rPr>
              <w:t>Assumed</w:t>
            </w:r>
          </w:p>
        </w:tc>
      </w:tr>
      <w:tr w:rsidR="00F669A1" w:rsidRPr="008C451C" w14:paraId="1B8C9E9E"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AF13147" w14:textId="77777777" w:rsidR="00F669A1" w:rsidRPr="008C451C" w:rsidRDefault="00F669A1" w:rsidP="000C3E59">
            <w:pPr>
              <w:rPr>
                <w:sz w:val="18"/>
                <w:szCs w:val="18"/>
              </w:rPr>
            </w:pPr>
            <w:r w:rsidRPr="008C451C">
              <w:rPr>
                <w:sz w:val="18"/>
                <w:szCs w:val="18"/>
              </w:rPr>
              <w:t>185</w:t>
            </w:r>
          </w:p>
        </w:tc>
        <w:tc>
          <w:tcPr>
            <w:tcW w:w="2470" w:type="dxa"/>
          </w:tcPr>
          <w:p w14:paraId="11FC5F8A" w14:textId="77777777" w:rsidR="00F669A1" w:rsidRPr="008C451C" w:rsidRDefault="00F669A1" w:rsidP="000C3E59">
            <w:pPr>
              <w:jc w:val="right"/>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Gaschar increase in maize yield</w:t>
            </w:r>
          </w:p>
        </w:tc>
        <w:tc>
          <w:tcPr>
            <w:tcW w:w="1106" w:type="dxa"/>
          </w:tcPr>
          <w:p w14:paraId="19E9F698"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w:t>
            </w:r>
            <w:r w:rsidRPr="008C451C">
              <w:rPr>
                <w:sz w:val="18"/>
                <w:szCs w:val="18"/>
                <w:vertAlign w:val="subscript"/>
              </w:rPr>
              <w:t>yield</w:t>
            </w:r>
          </w:p>
        </w:tc>
        <w:tc>
          <w:tcPr>
            <w:tcW w:w="844" w:type="dxa"/>
          </w:tcPr>
          <w:p w14:paraId="3FA5E74E"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28%</w:t>
            </w:r>
          </w:p>
        </w:tc>
        <w:tc>
          <w:tcPr>
            <w:tcW w:w="983" w:type="dxa"/>
          </w:tcPr>
          <w:p w14:paraId="5AA77D1E"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0-28%</w:t>
            </w:r>
          </w:p>
        </w:tc>
        <w:tc>
          <w:tcPr>
            <w:tcW w:w="3178" w:type="dxa"/>
            <w:vMerge w:val="restart"/>
          </w:tcPr>
          <w:p w14:paraId="6677C34F" w14:textId="2DB47DA6" w:rsidR="00F669A1" w:rsidRPr="008C451C" w:rsidRDefault="00F669A1" w:rsidP="00B63283">
            <w:pPr>
              <w:cnfStyle w:val="000000100000" w:firstRow="0" w:lastRow="0" w:firstColumn="0" w:lastColumn="0" w:oddVBand="0" w:evenVBand="0" w:oddHBand="1" w:evenHBand="0" w:firstRowFirstColumn="0" w:firstRowLastColumn="0" w:lastRowFirstColumn="0" w:lastRowLastColumn="0"/>
              <w:rPr>
                <w:i/>
                <w:sz w:val="18"/>
                <w:szCs w:val="18"/>
              </w:rPr>
            </w:pPr>
            <w:r w:rsidRPr="008C451C">
              <w:rPr>
                <w:i/>
                <w:sz w:val="18"/>
                <w:szCs w:val="18"/>
              </w:rPr>
              <w:t>Worlwide average</w:t>
            </w:r>
            <w:r w:rsidRPr="008C451C">
              <w:rPr>
                <w:i/>
                <w:sz w:val="18"/>
                <w:szCs w:val="18"/>
              </w:rPr>
              <w:fldChar w:fldCharType="begin"/>
            </w:r>
            <w:r w:rsidR="00991F7C">
              <w:rPr>
                <w:i/>
                <w:sz w:val="18"/>
                <w:szCs w:val="18"/>
              </w:rPr>
              <w:instrText xml:space="preserve"> ADDIN ZOTERO_ITEM CSL_CITATION {"citationID":"OpaiYevb","properties":{"formattedCitation":"\\super 349\\nosupersub{}","plainCitation":"349","noteIndex":0},"citationItems":[{"id":13094,"uris":["http://zotero.org/users/6423791/items/MFG5ZX7D"],"itemData":{"id":13094,"type":"article-journal","abstract":"Biochar is a carbon-rich organic material used as soil amendment to improve plant growth. However, its diverse effects on crop performance under ﬁeld conditions have revealed conﬂicting results among researchers. Based on published peer-reviewed papers, a meta-analysis was conducted to identify the effects of biochar on grain yield (GY), biological yield (BY), and 1000 grain weight (TGW) of four dominant crops (wheat, maize, rice and soybean). Compared to the control, biochar increased GY of maize and wheat by 28 and 13% respectively, whereas other crops were not signiﬁcantly affected. Our analysis revealed that the most effective application rates of biochar ranged from 1 to 10 t ha−1, which signiﬁcantly improved GY (65%), BY (38%) and TGW (23%). Biochar applied to a coarsely textured soil with pH ≤ 7.5 increased GY considerably. Biochar feedstocks of animal waste and crop residues origins had signiﬁcant effects on GY compared to woody residues. Data suggest that biochar produced at ≤550 °C with the pH of ≤8 more effectively enhanced yield and crop growth than biochar that produced at a higher pyrolytic temperature with a higher pH. Findings from this study suggest the combination of type of biochar, soil, crop, and climate should all be considered to maximize fertility and the organic amendment beneﬁts of biochar for crop production.","container-title":"Science of The Total Environment","DOI":"10.1016/j.scitotenv.2021.145869","ISSN":"00489697","journalAbbreviation":"Science of The Total Environment","language":"en","page":"145869","source":"DOI.org (Crossref)","title":"Biochar effects on yield of cereal and legume crops using meta-analysis","volume":"775","author":[{"family":"Farhangi-Abriz","given":"Salar"},{"family":"Torabian","given":"Shahram"},{"family":"Qin","given":"Ruijun"},{"family":"Noulas","given":"Christos"},{"family":"Lu","given":"Yanyan"},{"family":"Gao","given":"Suduan"}],"issued":{"date-parts":[["2021",6]]}}}],"schema":"https://github.com/citation-style-language/schema/raw/master/csl-citation.json"} </w:instrText>
            </w:r>
            <w:r w:rsidRPr="008C451C">
              <w:rPr>
                <w:i/>
                <w:sz w:val="18"/>
                <w:szCs w:val="18"/>
              </w:rPr>
              <w:fldChar w:fldCharType="separate"/>
            </w:r>
            <w:r w:rsidR="00991F7C" w:rsidRPr="00991F7C">
              <w:rPr>
                <w:rFonts w:ascii="Calibri" w:hAnsi="Calibri" w:cs="Calibri"/>
                <w:sz w:val="18"/>
                <w:szCs w:val="24"/>
                <w:vertAlign w:val="superscript"/>
              </w:rPr>
              <w:t>349</w:t>
            </w:r>
            <w:r w:rsidRPr="008C451C">
              <w:rPr>
                <w:i/>
                <w:sz w:val="18"/>
                <w:szCs w:val="18"/>
              </w:rPr>
              <w:fldChar w:fldCharType="end"/>
            </w:r>
            <w:r w:rsidRPr="008C451C">
              <w:rPr>
                <w:i/>
                <w:sz w:val="18"/>
                <w:szCs w:val="18"/>
              </w:rPr>
              <w:t>, so here considered as higher value as France already displays high yields. Other crop-wise worldwide review found 10-42%</w:t>
            </w:r>
            <w:r w:rsidRPr="008C451C">
              <w:rPr>
                <w:i/>
                <w:sz w:val="18"/>
                <w:szCs w:val="18"/>
              </w:rPr>
              <w:fldChar w:fldCharType="begin"/>
            </w:r>
            <w:r w:rsidR="00991F7C">
              <w:rPr>
                <w:i/>
                <w:sz w:val="18"/>
                <w:szCs w:val="18"/>
              </w:rPr>
              <w:instrText xml:space="preserve"> ADDIN ZOTERO_ITEM CSL_CITATION {"citationID":"BdHtvKXJ","properties":{"formattedCitation":"\\super 345\\nosupersub{}","plainCitation":"345","noteIndex":0},"citationItems":[{"id":13098,"uris":["http://zotero.org/users/6423791/items/XTMJG96G"],"itemData":{"id":13098,"type":"article-journal","abstract":"We synthesized 20 years of research to explain the interrelated processes that determine soil and plant responses to biochar. The properties of biochar and its effects within agricultural ecosystems largely depend on feedstock and pyrolysis conditions. We describe three stages of reactions of biochar in soil: dissolution (1–­3 weeks); reactive surface development (1–­6 months); and aging (beyond 6 months). As biochar ages, it is incorporated into soil aggregates, protecting the biochar carbon and promoting the stabilization of rhizodeposits and microbial products. Biochar carbon persists in soil for hundreds to thousands of years. By increasing pH, porosity, and water availability, biochars can create favorable conditions for root development and microbial functions. Biochars can catalyze biotic and abiotic reactions, particularly in the rhizosphere, that increase nutrient supply and uptake by plants, reduce phytotoxins, stimulate plant development, and increase resilience to disease and environmental stressors. Meta-­analyses found that, on average, biochars increase P availability by a factor of 4.6; decrease plant tissue concentration of heavy metals by 17%–­39%; build soil organic carbon through negative priming by 3.8% (range −21% to +20%); and reduce non-­CO2 greenhouse gas emissions from soil by 12%–5­ 0%. Meta-­analyses show average crop yield increases of 10%–4­ 2% with biochar addition, with greatest increases in low-n­ utrient P-­sorbing acidic soils (common in the tropics), and in sandy soils in drylands due to increase in nutrient retention and water holding capacity. Studies report a wide range of plant responses to biochars due to the diversity of biochars and contexts in which biochars have been applied. Crop yields increase strongly if site-s­pecific soil constraints and nutrient and water limitations are mitigated by appropriate biochar formulations. Biochars can be tailored to address site constraints through feedstock selection, by modifying pyrolysis conditions, through pre-­or post-­ production treatments, or co-­application with organic or mineral fertilizers. We demonstrate how, when used wisely, biochar mitigates climate change and supports food security and the circular economy.","container-title":"GCB Bioenergy","DOI":"10.1111/gcbb.12885","ISSN":"1757-1693, 1757-1707","issue":"11","journalAbbreviation":"GCB Bioenergy","language":"en","page":"1731-1764","source":"DOI.org (Crossref)","title":"How biochar works, and when it doesn't: A review of mechanisms controlling soil and plant responses to biochar","title-short":"How biochar works, and when it doesn't","volume":"13","author":[{"family":"Joseph","given":"Stephen"},{"family":"Cowie","given":"Annette L."},{"family":"Van Zwieten","given":"Lukas"},{"family":"Bolan","given":"Nanthi"},{"family":"Budai","given":"Alice"},{"family":"Buss","given":"Wolfram"},{"family":"Cayuela","given":"Maria Luz"},{"family":"Graber","given":"Ellen R."},{"family":"Ippolito","given":"James A."},{"family":"Kuzyakov","given":"Yakov"},{"family":"Luo","given":"Yu"},{"family":"Ok","given":"Yong Sik"},{"family":"Palansooriya","given":"Kumuduni N."},{"family":"Shepherd","given":"Jessica"},{"family":"Stephens","given":"Scott"},{"family":"Weng","given":"Zhe (Han)"},{"family":"Lehmann","given":"Johannes"}],"issued":{"date-parts":[["2021",11]]}}}],"schema":"https://github.com/citation-style-language/schema/raw/master/csl-citation.json"} </w:instrText>
            </w:r>
            <w:r w:rsidRPr="008C451C">
              <w:rPr>
                <w:i/>
                <w:sz w:val="18"/>
                <w:szCs w:val="18"/>
              </w:rPr>
              <w:fldChar w:fldCharType="separate"/>
            </w:r>
            <w:r w:rsidR="00991F7C" w:rsidRPr="00991F7C">
              <w:rPr>
                <w:rFonts w:ascii="Calibri" w:hAnsi="Calibri" w:cs="Calibri"/>
                <w:sz w:val="18"/>
                <w:szCs w:val="24"/>
                <w:vertAlign w:val="superscript"/>
              </w:rPr>
              <w:t>345</w:t>
            </w:r>
            <w:r w:rsidRPr="008C451C">
              <w:rPr>
                <w:i/>
                <w:sz w:val="18"/>
                <w:szCs w:val="18"/>
              </w:rPr>
              <w:fldChar w:fldCharType="end"/>
            </w:r>
            <w:r w:rsidRPr="008C451C">
              <w:rPr>
                <w:i/>
                <w:sz w:val="18"/>
                <w:szCs w:val="18"/>
              </w:rPr>
              <w:t>.</w:t>
            </w:r>
          </w:p>
        </w:tc>
      </w:tr>
      <w:tr w:rsidR="00F669A1" w:rsidRPr="008C451C" w14:paraId="2EC7C56A"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7CADE2F8" w14:textId="77777777" w:rsidR="00F669A1" w:rsidRPr="008C451C" w:rsidRDefault="00F669A1" w:rsidP="000C3E59">
            <w:pPr>
              <w:rPr>
                <w:sz w:val="18"/>
                <w:szCs w:val="18"/>
              </w:rPr>
            </w:pPr>
            <w:r w:rsidRPr="008C451C">
              <w:rPr>
                <w:sz w:val="18"/>
                <w:szCs w:val="18"/>
              </w:rPr>
              <w:t>186</w:t>
            </w:r>
          </w:p>
        </w:tc>
        <w:tc>
          <w:tcPr>
            <w:tcW w:w="2470" w:type="dxa"/>
          </w:tcPr>
          <w:p w14:paraId="35E9408D" w14:textId="77777777" w:rsidR="00F669A1" w:rsidRPr="008C451C" w:rsidRDefault="00F669A1" w:rsidP="000C3E59">
            <w:pPr>
              <w:jc w:val="right"/>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Gaschar increase in wheat yield</w:t>
            </w:r>
          </w:p>
        </w:tc>
        <w:tc>
          <w:tcPr>
            <w:tcW w:w="1106" w:type="dxa"/>
          </w:tcPr>
          <w:p w14:paraId="505E2FD2"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vertAlign w:val="subscript"/>
              </w:rPr>
            </w:pPr>
            <w:r w:rsidRPr="008C451C">
              <w:rPr>
                <w:sz w:val="18"/>
                <w:szCs w:val="18"/>
              </w:rPr>
              <w:t>%</w:t>
            </w:r>
            <w:r w:rsidRPr="008C451C">
              <w:rPr>
                <w:sz w:val="18"/>
                <w:szCs w:val="18"/>
                <w:vertAlign w:val="subscript"/>
              </w:rPr>
              <w:t>yield</w:t>
            </w:r>
          </w:p>
        </w:tc>
        <w:tc>
          <w:tcPr>
            <w:tcW w:w="844" w:type="dxa"/>
          </w:tcPr>
          <w:p w14:paraId="485D79E2"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14%</w:t>
            </w:r>
          </w:p>
        </w:tc>
        <w:tc>
          <w:tcPr>
            <w:tcW w:w="983" w:type="dxa"/>
          </w:tcPr>
          <w:p w14:paraId="4519B0D6"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0-14%</w:t>
            </w:r>
          </w:p>
        </w:tc>
        <w:tc>
          <w:tcPr>
            <w:tcW w:w="3178" w:type="dxa"/>
            <w:vMerge/>
          </w:tcPr>
          <w:p w14:paraId="05A1E480" w14:textId="77777777" w:rsidR="00F669A1" w:rsidRPr="008C451C" w:rsidRDefault="00F669A1" w:rsidP="00B63283">
            <w:pPr>
              <w:cnfStyle w:val="000000000000" w:firstRow="0" w:lastRow="0" w:firstColumn="0" w:lastColumn="0" w:oddVBand="0" w:evenVBand="0" w:oddHBand="0" w:evenHBand="0" w:firstRowFirstColumn="0" w:firstRowLastColumn="0" w:lastRowFirstColumn="0" w:lastRowLastColumn="0"/>
              <w:rPr>
                <w:i/>
                <w:sz w:val="18"/>
                <w:szCs w:val="18"/>
              </w:rPr>
            </w:pPr>
          </w:p>
        </w:tc>
      </w:tr>
      <w:tr w:rsidR="00F669A1" w:rsidRPr="008C451C" w14:paraId="3F176713"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0ED2EDA" w14:textId="77777777" w:rsidR="00F669A1" w:rsidRPr="008C451C" w:rsidRDefault="00F669A1" w:rsidP="000C3E59">
            <w:pPr>
              <w:rPr>
                <w:sz w:val="18"/>
                <w:szCs w:val="18"/>
              </w:rPr>
            </w:pPr>
            <w:r w:rsidRPr="008C451C">
              <w:rPr>
                <w:sz w:val="18"/>
                <w:szCs w:val="18"/>
              </w:rPr>
              <w:lastRenderedPageBreak/>
              <w:t>187</w:t>
            </w:r>
          </w:p>
        </w:tc>
        <w:tc>
          <w:tcPr>
            <w:tcW w:w="2470" w:type="dxa"/>
          </w:tcPr>
          <w:p w14:paraId="662B35A3" w14:textId="77777777" w:rsidR="00F669A1" w:rsidRPr="008C451C" w:rsidRDefault="00F669A1" w:rsidP="000C3E59">
            <w:pPr>
              <w:jc w:val="right"/>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Gaschar application</w:t>
            </w:r>
          </w:p>
        </w:tc>
        <w:tc>
          <w:tcPr>
            <w:tcW w:w="1106" w:type="dxa"/>
          </w:tcPr>
          <w:p w14:paraId="22B5A341"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proofErr w:type="gramStart"/>
            <w:r w:rsidRPr="008C451C">
              <w:rPr>
                <w:sz w:val="18"/>
                <w:szCs w:val="18"/>
              </w:rPr>
              <w:t>t</w:t>
            </w:r>
            <w:r w:rsidRPr="008C451C">
              <w:rPr>
                <w:sz w:val="18"/>
                <w:szCs w:val="18"/>
                <w:vertAlign w:val="subscript"/>
              </w:rPr>
              <w:t>ww</w:t>
            </w:r>
            <w:r w:rsidRPr="008C451C">
              <w:rPr>
                <w:sz w:val="18"/>
                <w:szCs w:val="18"/>
              </w:rPr>
              <w:t>.ha</w:t>
            </w:r>
            <w:proofErr w:type="gramEnd"/>
            <w:r w:rsidRPr="008C451C">
              <w:rPr>
                <w:sz w:val="18"/>
                <w:szCs w:val="18"/>
                <w:vertAlign w:val="superscript"/>
              </w:rPr>
              <w:t>-1</w:t>
            </w:r>
          </w:p>
        </w:tc>
        <w:tc>
          <w:tcPr>
            <w:tcW w:w="844" w:type="dxa"/>
          </w:tcPr>
          <w:p w14:paraId="2D44C3D0"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10</w:t>
            </w:r>
          </w:p>
        </w:tc>
        <w:tc>
          <w:tcPr>
            <w:tcW w:w="983" w:type="dxa"/>
          </w:tcPr>
          <w:p w14:paraId="4218DC2D"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1-20</w:t>
            </w:r>
          </w:p>
        </w:tc>
        <w:tc>
          <w:tcPr>
            <w:tcW w:w="3178" w:type="dxa"/>
          </w:tcPr>
          <w:p w14:paraId="4EC38D7A" w14:textId="6E27D7E2" w:rsidR="00F669A1" w:rsidRPr="008C451C" w:rsidRDefault="00F669A1" w:rsidP="00B63283">
            <w:pPr>
              <w:cnfStyle w:val="000000100000" w:firstRow="0" w:lastRow="0" w:firstColumn="0" w:lastColumn="0" w:oddVBand="0" w:evenVBand="0" w:oddHBand="1" w:evenHBand="0" w:firstRowFirstColumn="0" w:firstRowLastColumn="0" w:lastRowFirstColumn="0" w:lastRowLastColumn="0"/>
              <w:rPr>
                <w:i/>
                <w:sz w:val="18"/>
                <w:szCs w:val="18"/>
              </w:rPr>
            </w:pPr>
            <w:r w:rsidRPr="008C451C">
              <w:rPr>
                <w:i/>
                <w:sz w:val="18"/>
                <w:szCs w:val="18"/>
              </w:rPr>
              <w:t>Meta-review, no notable effects after 10</w:t>
            </w:r>
            <w:r w:rsidRPr="008C451C">
              <w:rPr>
                <w:i/>
                <w:sz w:val="18"/>
                <w:szCs w:val="18"/>
              </w:rPr>
              <w:fldChar w:fldCharType="begin"/>
            </w:r>
            <w:r w:rsidR="00991F7C">
              <w:rPr>
                <w:i/>
                <w:sz w:val="18"/>
                <w:szCs w:val="18"/>
              </w:rPr>
              <w:instrText xml:space="preserve"> ADDIN ZOTERO_ITEM CSL_CITATION {"citationID":"ueknih3x","properties":{"formattedCitation":"\\super 349\\nosupersub{}","plainCitation":"349","noteIndex":0},"citationItems":[{"id":13094,"uris":["http://zotero.org/users/6423791/items/MFG5ZX7D"],"itemData":{"id":13094,"type":"article-journal","abstract":"Biochar is a carbon-rich organic material used as soil amendment to improve plant growth. However, its diverse effects on crop performance under ﬁeld conditions have revealed conﬂicting results among researchers. Based on published peer-reviewed papers, a meta-analysis was conducted to identify the effects of biochar on grain yield (GY), biological yield (BY), and 1000 grain weight (TGW) of four dominant crops (wheat, maize, rice and soybean). Compared to the control, biochar increased GY of maize and wheat by 28 and 13% respectively, whereas other crops were not signiﬁcantly affected. Our analysis revealed that the most effective application rates of biochar ranged from 1 to 10 t ha−1, which signiﬁcantly improved GY (65%), BY (38%) and TGW (23%). Biochar applied to a coarsely textured soil with pH ≤ 7.5 increased GY considerably. Biochar feedstocks of animal waste and crop residues origins had signiﬁcant effects on GY compared to woody residues. Data suggest that biochar produced at ≤550 °C with the pH of ≤8 more effectively enhanced yield and crop growth than biochar that produced at a higher pyrolytic temperature with a higher pH. Findings from this study suggest the combination of type of biochar, soil, crop, and climate should all be considered to maximize fertility and the organic amendment beneﬁts of biochar for crop production.","container-title":"Science of The Total Environment","DOI":"10.1016/j.scitotenv.2021.145869","ISSN":"00489697","journalAbbreviation":"Science of The Total Environment","language":"en","page":"145869","source":"DOI.org (Crossref)","title":"Biochar effects on yield of cereal and legume crops using meta-analysis","volume":"775","author":[{"family":"Farhangi-Abriz","given":"Salar"},{"family":"Torabian","given":"Shahram"},{"family":"Qin","given":"Ruijun"},{"family":"Noulas","given":"Christos"},{"family":"Lu","given":"Yanyan"},{"family":"Gao","given":"Suduan"}],"issued":{"date-parts":[["2021",6]]}}}],"schema":"https://github.com/citation-style-language/schema/raw/master/csl-citation.json"} </w:instrText>
            </w:r>
            <w:r w:rsidRPr="008C451C">
              <w:rPr>
                <w:i/>
                <w:sz w:val="18"/>
                <w:szCs w:val="18"/>
              </w:rPr>
              <w:fldChar w:fldCharType="separate"/>
            </w:r>
            <w:r w:rsidR="00991F7C" w:rsidRPr="00991F7C">
              <w:rPr>
                <w:rFonts w:ascii="Calibri" w:hAnsi="Calibri" w:cs="Calibri"/>
                <w:sz w:val="18"/>
                <w:szCs w:val="24"/>
                <w:vertAlign w:val="superscript"/>
              </w:rPr>
              <w:t>349</w:t>
            </w:r>
            <w:r w:rsidRPr="008C451C">
              <w:rPr>
                <w:i/>
                <w:sz w:val="18"/>
                <w:szCs w:val="18"/>
              </w:rPr>
              <w:fldChar w:fldCharType="end"/>
            </w:r>
          </w:p>
        </w:tc>
      </w:tr>
      <w:tr w:rsidR="00F669A1" w:rsidRPr="008C451C" w14:paraId="71CE4F81" w14:textId="77777777" w:rsidTr="00942782">
        <w:tc>
          <w:tcPr>
            <w:cnfStyle w:val="001000000000" w:firstRow="0" w:lastRow="0" w:firstColumn="1" w:lastColumn="0" w:oddVBand="0" w:evenVBand="0" w:oddHBand="0" w:evenHBand="0" w:firstRowFirstColumn="0" w:firstRowLastColumn="0" w:lastRowFirstColumn="0" w:lastRowLastColumn="0"/>
            <w:tcW w:w="0" w:type="auto"/>
          </w:tcPr>
          <w:p w14:paraId="7FDA1100" w14:textId="77777777" w:rsidR="00F669A1" w:rsidRPr="008C451C" w:rsidRDefault="00F669A1" w:rsidP="000C3E59">
            <w:pPr>
              <w:rPr>
                <w:sz w:val="18"/>
                <w:szCs w:val="18"/>
              </w:rPr>
            </w:pPr>
            <w:r w:rsidRPr="008C451C">
              <w:rPr>
                <w:sz w:val="18"/>
                <w:szCs w:val="18"/>
              </w:rPr>
              <w:t>188</w:t>
            </w:r>
          </w:p>
        </w:tc>
        <w:tc>
          <w:tcPr>
            <w:tcW w:w="2470" w:type="dxa"/>
          </w:tcPr>
          <w:p w14:paraId="6BCB29AE" w14:textId="77777777" w:rsidR="00F669A1" w:rsidRPr="008C451C" w:rsidRDefault="00F669A1" w:rsidP="000C3E59">
            <w:pPr>
              <w:jc w:val="right"/>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Gaschar decrease in N</w:t>
            </w:r>
            <w:r w:rsidRPr="008C451C">
              <w:rPr>
                <w:sz w:val="18"/>
                <w:szCs w:val="18"/>
                <w:vertAlign w:val="subscript"/>
              </w:rPr>
              <w:t>2</w:t>
            </w:r>
            <w:r w:rsidRPr="008C451C">
              <w:rPr>
                <w:sz w:val="18"/>
                <w:szCs w:val="18"/>
              </w:rPr>
              <w:t>O emissions</w:t>
            </w:r>
          </w:p>
        </w:tc>
        <w:tc>
          <w:tcPr>
            <w:tcW w:w="1106" w:type="dxa"/>
          </w:tcPr>
          <w:p w14:paraId="6C0ADBA3"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w:t>
            </w:r>
            <w:r w:rsidRPr="008C451C">
              <w:rPr>
                <w:sz w:val="18"/>
                <w:szCs w:val="18"/>
                <w:vertAlign w:val="subscript"/>
              </w:rPr>
              <w:t>N2O</w:t>
            </w:r>
          </w:p>
        </w:tc>
        <w:tc>
          <w:tcPr>
            <w:tcW w:w="844" w:type="dxa"/>
          </w:tcPr>
          <w:p w14:paraId="7798FDEA"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30%</w:t>
            </w:r>
          </w:p>
        </w:tc>
        <w:tc>
          <w:tcPr>
            <w:tcW w:w="983" w:type="dxa"/>
          </w:tcPr>
          <w:p w14:paraId="4351E408"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0-30%</w:t>
            </w:r>
          </w:p>
        </w:tc>
        <w:tc>
          <w:tcPr>
            <w:tcW w:w="3178" w:type="dxa"/>
          </w:tcPr>
          <w:p w14:paraId="37A5E1A5" w14:textId="650D2173" w:rsidR="00F669A1" w:rsidRPr="008C451C" w:rsidRDefault="00F669A1" w:rsidP="00B63283">
            <w:pPr>
              <w:cnfStyle w:val="000000000000" w:firstRow="0" w:lastRow="0" w:firstColumn="0" w:lastColumn="0" w:oddVBand="0" w:evenVBand="0" w:oddHBand="0" w:evenHBand="0" w:firstRowFirstColumn="0" w:firstRowLastColumn="0" w:lastRowFirstColumn="0" w:lastRowLastColumn="0"/>
              <w:rPr>
                <w:i/>
                <w:sz w:val="18"/>
                <w:szCs w:val="18"/>
              </w:rPr>
            </w:pPr>
            <w:r w:rsidRPr="008C451C">
              <w:rPr>
                <w:i/>
                <w:sz w:val="18"/>
                <w:szCs w:val="18"/>
              </w:rPr>
              <w:t>Meta-review (all pedoclimatic conditions)</w:t>
            </w:r>
            <w:r w:rsidRPr="008C451C">
              <w:rPr>
                <w:i/>
                <w:sz w:val="18"/>
                <w:szCs w:val="18"/>
              </w:rPr>
              <w:fldChar w:fldCharType="begin"/>
            </w:r>
            <w:r w:rsidR="00991F7C">
              <w:rPr>
                <w:i/>
                <w:sz w:val="18"/>
                <w:szCs w:val="18"/>
              </w:rPr>
              <w:instrText xml:space="preserve"> ADDIN ZOTERO_ITEM CSL_CITATION {"citationID":"48DReXuO","properties":{"formattedCitation":"\\super 346\\nosupersub{}","plainCitation":"346","noteIndex":0},"citationItems":[{"id":13096,"uris":["http://zotero.org/users/6423791/items/26WR3BFJ"],"itemData":{"id":13096,"type":"article-journal","abstract":"Biochar application to soils may increase carbon (C) sequestration due to the inputs of recalcitrant organic C. However, the effects of biochar application on the soil greenhouse gas (GHG) ﬂuxes appear variable among many case studies; therefore, the efﬁcacy of biochar as a carbon sequestration agent for climate change mitigation remains uncertain. We performed a meta-analysis of 91 published papers with 552 paired comparisons to obtain a central tendency of three main GHG ﬂuxes (i.e., CO2, CH4, and N2O) in response to biochar application. Our results showed that biochar application signiﬁcantly increased soil CO2 ﬂuxes by 22.14%, but decreased N2O ﬂuxes by 30.92% and did not affect CH4 ﬂuxes. As a consequence, biochar application may signiﬁcantly contribute to an increased global warming potential (GWP) of total soil GHG ﬂuxes due to the large stimulation of CO2 ﬂuxes. However, soil CO2 ﬂuxes were suppressed when biochar was added to fertilized soils, indicating that biochar application is unlikely to stimulate CO2 ﬂuxes in the agriculture sector, in which N fertilizer inputs are common. Responses of soil GHG ﬂuxes mainly varied with biochar feedstock source and soil texture and the pyrolysis temperature of biochar. Soil and biochar pH, biochar applied rate, and latitude also inﬂuence soil GHG ﬂuxes, but to a more limited extent. Our ﬁndings provide a scientiﬁc basis for developing more rational strategies toward widespread adoption of biochar as a soil amendment for climate change mitigation.","container-title":"GCB Bioenergy","DOI":"10.1111/gcbb.12376","ISSN":"17571693","issue":"4","journalAbbreviation":"GCB Bioenergy","language":"en","page":"743-755","source":"DOI.org (Crossref)","title":"Effects of biochar application on soil greenhouse gas fluxes: a meta-analysis","title-short":"Effects of biochar application on soil greenhouse gas fluxes","volume":"9","author":[{"family":"He","given":"Yanghui"},{"family":"Zhou","given":"Xuhui"},{"family":"Jiang","given":"Liling"},{"family":"Li","given":"Ming"},{"family":"Du","given":"Zhenggang"},{"family":"Zhou","given":"Guiyao"},{"family":"Shao","given":"Junjiong"},{"family":"Wang","given":"Xihua"},{"family":"Xu","given":"Zhihong"},{"family":"Hosseini Bai","given":"Shahla"},{"family":"Wallace","given":"Helen"},{"family":"Xu","given":"Chengyuan"}],"issued":{"date-parts":[["2017",4]]}}}],"schema":"https://github.com/citation-style-language/schema/raw/master/csl-citation.json"} </w:instrText>
            </w:r>
            <w:r w:rsidRPr="008C451C">
              <w:rPr>
                <w:i/>
                <w:sz w:val="18"/>
                <w:szCs w:val="18"/>
              </w:rPr>
              <w:fldChar w:fldCharType="separate"/>
            </w:r>
            <w:r w:rsidR="00991F7C" w:rsidRPr="00991F7C">
              <w:rPr>
                <w:rFonts w:ascii="Calibri" w:hAnsi="Calibri" w:cs="Calibri"/>
                <w:sz w:val="18"/>
                <w:szCs w:val="24"/>
                <w:vertAlign w:val="superscript"/>
              </w:rPr>
              <w:t>346</w:t>
            </w:r>
            <w:r w:rsidRPr="008C451C">
              <w:rPr>
                <w:i/>
                <w:sz w:val="18"/>
                <w:szCs w:val="18"/>
              </w:rPr>
              <w:fldChar w:fldCharType="end"/>
            </w:r>
          </w:p>
        </w:tc>
      </w:tr>
      <w:tr w:rsidR="00F669A1" w:rsidRPr="008C451C" w14:paraId="016CB6EC"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2CCFC88" w14:textId="77777777" w:rsidR="00F669A1" w:rsidRPr="008C451C" w:rsidRDefault="00F669A1" w:rsidP="000C3E59">
            <w:pPr>
              <w:rPr>
                <w:sz w:val="18"/>
                <w:szCs w:val="18"/>
              </w:rPr>
            </w:pPr>
            <w:r w:rsidRPr="008C451C">
              <w:rPr>
                <w:sz w:val="18"/>
                <w:szCs w:val="18"/>
              </w:rPr>
              <w:t>189</w:t>
            </w:r>
          </w:p>
        </w:tc>
        <w:tc>
          <w:tcPr>
            <w:tcW w:w="2470" w:type="dxa"/>
          </w:tcPr>
          <w:p w14:paraId="5D0099D6" w14:textId="77777777" w:rsidR="00F669A1" w:rsidRPr="008C451C" w:rsidRDefault="00F669A1" w:rsidP="000C3E59">
            <w:pPr>
              <w:jc w:val="right"/>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Gaschar C loss, 100 years</w:t>
            </w:r>
          </w:p>
        </w:tc>
        <w:tc>
          <w:tcPr>
            <w:tcW w:w="1106" w:type="dxa"/>
          </w:tcPr>
          <w:p w14:paraId="7B1A9BED"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w:t>
            </w:r>
            <w:r w:rsidRPr="008C451C">
              <w:rPr>
                <w:sz w:val="18"/>
                <w:szCs w:val="18"/>
                <w:vertAlign w:val="subscript"/>
              </w:rPr>
              <w:t>C</w:t>
            </w:r>
          </w:p>
        </w:tc>
        <w:tc>
          <w:tcPr>
            <w:tcW w:w="844" w:type="dxa"/>
          </w:tcPr>
          <w:p w14:paraId="46DCD699"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50%</w:t>
            </w:r>
          </w:p>
        </w:tc>
        <w:tc>
          <w:tcPr>
            <w:tcW w:w="983" w:type="dxa"/>
          </w:tcPr>
          <w:p w14:paraId="21217D08"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3-96%</w:t>
            </w:r>
          </w:p>
        </w:tc>
        <w:tc>
          <w:tcPr>
            <w:tcW w:w="3178" w:type="dxa"/>
          </w:tcPr>
          <w:p w14:paraId="1CC66065" w14:textId="56D17D75" w:rsidR="00F669A1" w:rsidRPr="008C451C" w:rsidRDefault="00F669A1" w:rsidP="00B63283">
            <w:pPr>
              <w:cnfStyle w:val="000000100000" w:firstRow="0" w:lastRow="0" w:firstColumn="0" w:lastColumn="0" w:oddVBand="0" w:evenVBand="0" w:oddHBand="1" w:evenHBand="0" w:firstRowFirstColumn="0" w:firstRowLastColumn="0" w:lastRowFirstColumn="0" w:lastRowLastColumn="0"/>
              <w:rPr>
                <w:i/>
                <w:sz w:val="18"/>
                <w:szCs w:val="18"/>
              </w:rPr>
            </w:pPr>
            <w:r w:rsidRPr="008C451C">
              <w:rPr>
                <w:i/>
                <w:sz w:val="18"/>
                <w:szCs w:val="18"/>
              </w:rPr>
              <w:t>Meta review (average, min, max)</w:t>
            </w:r>
            <w:r w:rsidRPr="008C451C">
              <w:rPr>
                <w:i/>
                <w:sz w:val="18"/>
                <w:szCs w:val="18"/>
              </w:rPr>
              <w:fldChar w:fldCharType="begin"/>
            </w:r>
            <w:r w:rsidR="00991F7C">
              <w:rPr>
                <w:i/>
                <w:sz w:val="18"/>
                <w:szCs w:val="18"/>
              </w:rPr>
              <w:instrText xml:space="preserve"> ADDIN ZOTERO_ITEM CSL_CITATION {"citationID":"PIDZMCnB","properties":{"formattedCitation":"\\super 347\\nosupersub{}","plainCitation":"347","noteIndex":0},"citationItems":[{"id":13984,"uris":["http://zotero.org/users/6423791/items/WMFETTX5"],"itemData":{"id":13984,"type":"article-journal","abstract":"Abstract\n          \n            Crop residues potential for the bioeconomy is often limited under the basis of avoiding prospective soil organic carbon depletion. However, when processed in the bioeconomy the biomass carbon can be partially recovered in a stabilized degradation-resistant state in the coproducts. This study interlinks the theoretical basis between the coproducts’ characteristics and behavior in soils and the use of soil models to predict the effect of replacing crop residues with bioeconomy coproducts. Stemming from a revision of over 600 datasets we defined conversion coefficients from biomass C to coproduct (Cc) and their inherent recalcitrance in soils (C\n            R\n            ) for pyrolysis (Cc: 48%, C\n            R\n            : 95%) and gasification biochar (Cc: 20%, C\n            R\n            : 95%), hydrochar (Cc: 31%, C\n            R\n            : 83%), digestate (Cc: 36%, C\n            R\n            : 68%) and lignocellulosic bioethanol solid (Cc: 44%, C\n            R\n            : 42%) and liquid (Cc: 21%, C\n            R\n            : 46%) coproducts. Different approaches to incorporate stabilized organic matter in soil models were investigated as well as the data requirements of a variety of soil models to set the basis for model adaptation in a dynamic harvest – return of C to explore future scenarios involving the coproducts return as a strategy to increase the bioeconomy feedstock provision while ensuring the maintenance of SOC sotcks.","container-title":"Renewable and Sustainable Energy Reviews","DOI":"https://doi.org/10.1016/j.rser.2023.113890","issue":"Part A","journalAbbreviation":"Renew. Sust. Energ. Rev.","language":"en","page":"113890","source":"DOI.org (Crossref)","title":"The interplay between bioeconomy and the maintenance of long-term soil organic carbon stock in agricultural soils: A systematic review","volume":"189","author":[{"family":"Andrade","given":"Christhel"},{"family":"Albers","given":"Ariane"},{"family":"Zamora-Ledezma","given":"Ezequiel"},{"family":"Hamelin","given":"Lorie"}],"issued":{"date-parts":[["2023"]]}}}],"schema":"https://github.com/citation-style-language/schema/raw/master/csl-citation.json"} </w:instrText>
            </w:r>
            <w:r w:rsidRPr="008C451C">
              <w:rPr>
                <w:i/>
                <w:sz w:val="18"/>
                <w:szCs w:val="18"/>
              </w:rPr>
              <w:fldChar w:fldCharType="separate"/>
            </w:r>
            <w:r w:rsidR="00991F7C" w:rsidRPr="00991F7C">
              <w:rPr>
                <w:rFonts w:ascii="Calibri" w:hAnsi="Calibri" w:cs="Calibri"/>
                <w:sz w:val="18"/>
                <w:szCs w:val="24"/>
                <w:vertAlign w:val="superscript"/>
              </w:rPr>
              <w:t>347</w:t>
            </w:r>
            <w:r w:rsidRPr="008C451C">
              <w:rPr>
                <w:i/>
                <w:sz w:val="18"/>
                <w:szCs w:val="18"/>
              </w:rPr>
              <w:fldChar w:fldCharType="end"/>
            </w:r>
          </w:p>
        </w:tc>
      </w:tr>
      <w:tr w:rsidR="00F669A1" w:rsidRPr="008C451C" w14:paraId="1CF3FE96" w14:textId="77777777" w:rsidTr="00942782">
        <w:tc>
          <w:tcPr>
            <w:cnfStyle w:val="001000000000" w:firstRow="0" w:lastRow="0" w:firstColumn="1" w:lastColumn="0" w:oddVBand="0" w:evenVBand="0" w:oddHBand="0" w:evenHBand="0" w:firstRowFirstColumn="0" w:firstRowLastColumn="0" w:lastRowFirstColumn="0" w:lastRowLastColumn="0"/>
            <w:tcW w:w="0" w:type="auto"/>
            <w:gridSpan w:val="6"/>
          </w:tcPr>
          <w:p w14:paraId="30A74AF9" w14:textId="14A9BD20" w:rsidR="00F669A1" w:rsidRPr="008C451C" w:rsidRDefault="00F669A1" w:rsidP="000C3E59">
            <w:pPr>
              <w:rPr>
                <w:b w:val="0"/>
                <w:i/>
                <w:sz w:val="18"/>
                <w:szCs w:val="18"/>
              </w:rPr>
            </w:pPr>
            <w:r w:rsidRPr="008C451C">
              <w:rPr>
                <w:b w:val="0"/>
                <w:i/>
                <w:sz w:val="18"/>
                <w:szCs w:val="18"/>
              </w:rPr>
              <w:t xml:space="preserve">Other common parameters in </w:t>
            </w:r>
            <w:r w:rsidR="00B63283" w:rsidRPr="008C451C">
              <w:rPr>
                <w:i/>
                <w:sz w:val="18"/>
                <w:szCs w:val="18"/>
              </w:rPr>
              <w:t>section</w:t>
            </w:r>
            <w:r w:rsidR="00C913E1">
              <w:rPr>
                <w:i/>
                <w:sz w:val="18"/>
                <w:szCs w:val="18"/>
              </w:rPr>
              <w:t xml:space="preserve"> SI.</w:t>
            </w:r>
            <w:r w:rsidR="00B63283" w:rsidRPr="008C451C">
              <w:rPr>
                <w:i/>
                <w:sz w:val="18"/>
                <w:szCs w:val="18"/>
              </w:rPr>
              <w:t xml:space="preserve"> </w:t>
            </w:r>
            <w:r w:rsidR="00B63283" w:rsidRPr="008C451C">
              <w:rPr>
                <w:i/>
                <w:sz w:val="18"/>
                <w:szCs w:val="18"/>
              </w:rPr>
              <w:fldChar w:fldCharType="begin"/>
            </w:r>
            <w:r w:rsidR="00B63283" w:rsidRPr="008C451C">
              <w:rPr>
                <w:i/>
                <w:sz w:val="18"/>
                <w:szCs w:val="18"/>
              </w:rPr>
              <w:instrText xml:space="preserve"> REF _Ref144802667 \r \h </w:instrText>
            </w:r>
            <w:r w:rsidR="008C451C" w:rsidRPr="008C451C">
              <w:rPr>
                <w:i/>
                <w:sz w:val="18"/>
                <w:szCs w:val="18"/>
              </w:rPr>
              <w:instrText xml:space="preserve"> \* MERGEFORMAT </w:instrText>
            </w:r>
            <w:r w:rsidR="00B63283" w:rsidRPr="008C451C">
              <w:rPr>
                <w:i/>
                <w:sz w:val="18"/>
                <w:szCs w:val="18"/>
              </w:rPr>
            </w:r>
            <w:r w:rsidR="00B63283" w:rsidRPr="008C451C">
              <w:rPr>
                <w:i/>
                <w:sz w:val="18"/>
                <w:szCs w:val="18"/>
              </w:rPr>
              <w:fldChar w:fldCharType="separate"/>
            </w:r>
            <w:r w:rsidR="00F25F8C" w:rsidRPr="008C451C">
              <w:rPr>
                <w:i/>
                <w:sz w:val="18"/>
                <w:szCs w:val="18"/>
              </w:rPr>
              <w:t>4.1</w:t>
            </w:r>
            <w:r w:rsidR="00B63283" w:rsidRPr="008C451C">
              <w:rPr>
                <w:i/>
                <w:sz w:val="18"/>
                <w:szCs w:val="18"/>
              </w:rPr>
              <w:fldChar w:fldCharType="end"/>
            </w:r>
            <w:r w:rsidR="00B63283" w:rsidRPr="008C451C">
              <w:rPr>
                <w:b w:val="0"/>
                <w:i/>
                <w:sz w:val="18"/>
                <w:szCs w:val="18"/>
              </w:rPr>
              <w:t>.</w:t>
            </w:r>
          </w:p>
        </w:tc>
      </w:tr>
    </w:tbl>
    <w:p w14:paraId="577A88F2" w14:textId="75244DFD" w:rsidR="00F669A1" w:rsidRPr="003F5DA8" w:rsidRDefault="00F669A1" w:rsidP="000C6C37">
      <w:pPr>
        <w:jc w:val="both"/>
        <w:rPr>
          <w:sz w:val="18"/>
        </w:rPr>
      </w:pPr>
      <w:r w:rsidRPr="003F5DA8">
        <w:rPr>
          <w:sz w:val="18"/>
        </w:rPr>
        <w:t xml:space="preserve">Numbering of parameters corresponds to the one </w:t>
      </w:r>
      <w:r w:rsidRPr="000C6C37">
        <w:rPr>
          <w:sz w:val="18"/>
        </w:rPr>
        <w:t xml:space="preserve">of </w:t>
      </w:r>
      <w:r w:rsidR="00877BEE" w:rsidRPr="000C6C37">
        <w:rPr>
          <w:b/>
          <w:sz w:val="18"/>
          <w:szCs w:val="18"/>
        </w:rPr>
        <w:fldChar w:fldCharType="begin"/>
      </w:r>
      <w:r w:rsidR="00877BEE" w:rsidRPr="000C6C37">
        <w:rPr>
          <w:b/>
          <w:sz w:val="18"/>
          <w:szCs w:val="18"/>
        </w:rPr>
        <w:instrText xml:space="preserve"> REF _Ref144914839 \h  \* MERGEFORMAT </w:instrText>
      </w:r>
      <w:r w:rsidR="00877BEE" w:rsidRPr="000C6C37">
        <w:rPr>
          <w:b/>
          <w:sz w:val="18"/>
          <w:szCs w:val="18"/>
        </w:rPr>
      </w:r>
      <w:r w:rsidR="00877BEE" w:rsidRPr="000C6C37">
        <w:rPr>
          <w:b/>
          <w:sz w:val="18"/>
          <w:szCs w:val="18"/>
        </w:rPr>
        <w:fldChar w:fldCharType="separate"/>
      </w:r>
      <w:r w:rsidR="00877BEE" w:rsidRPr="000C6C37">
        <w:rPr>
          <w:b/>
          <w:sz w:val="18"/>
          <w:szCs w:val="18"/>
        </w:rPr>
        <w:t xml:space="preserve">Table SI. </w:t>
      </w:r>
      <w:r w:rsidR="00877BEE" w:rsidRPr="000C6C37">
        <w:rPr>
          <w:b/>
          <w:noProof/>
          <w:sz w:val="18"/>
          <w:szCs w:val="18"/>
        </w:rPr>
        <w:t>103</w:t>
      </w:r>
      <w:r w:rsidR="00877BEE" w:rsidRPr="000C6C37">
        <w:rPr>
          <w:b/>
          <w:sz w:val="18"/>
          <w:szCs w:val="18"/>
        </w:rPr>
        <w:fldChar w:fldCharType="end"/>
      </w:r>
      <w:r w:rsidRPr="000C6C37">
        <w:rPr>
          <w:sz w:val="18"/>
        </w:rPr>
        <w:t>. Parameters</w:t>
      </w:r>
      <w:r w:rsidRPr="003F5DA8">
        <w:rPr>
          <w:sz w:val="18"/>
        </w:rPr>
        <w:t xml:space="preserve"> specific to </w:t>
      </w:r>
      <w:r>
        <w:rPr>
          <w:sz w:val="18"/>
        </w:rPr>
        <w:t>GA</w:t>
      </w:r>
      <w:r w:rsidRPr="003F5DA8">
        <w:rPr>
          <w:sz w:val="18"/>
        </w:rPr>
        <w:t xml:space="preserve"> model but not mentioned in this table were assumed as constants. </w:t>
      </w:r>
      <w:r w:rsidR="00B63283" w:rsidRPr="003F5DA8">
        <w:rPr>
          <w:sz w:val="18"/>
        </w:rPr>
        <w:t xml:space="preserve">Transportation requirements in </w:t>
      </w:r>
      <w:r w:rsidR="00B63283" w:rsidRPr="00042BF3">
        <w:rPr>
          <w:b/>
          <w:sz w:val="18"/>
          <w:szCs w:val="18"/>
        </w:rPr>
        <w:fldChar w:fldCharType="begin"/>
      </w:r>
      <w:r w:rsidR="00B63283" w:rsidRPr="00042BF3">
        <w:rPr>
          <w:b/>
          <w:sz w:val="18"/>
          <w:szCs w:val="18"/>
        </w:rPr>
        <w:instrText xml:space="preserve"> REF _Ref144738047 \h  \* MERGEFORMAT </w:instrText>
      </w:r>
      <w:r w:rsidR="00B63283" w:rsidRPr="00042BF3">
        <w:rPr>
          <w:b/>
          <w:sz w:val="18"/>
          <w:szCs w:val="18"/>
        </w:rPr>
      </w:r>
      <w:r w:rsidR="00B63283" w:rsidRPr="00042BF3">
        <w:rPr>
          <w:b/>
          <w:sz w:val="18"/>
          <w:szCs w:val="18"/>
        </w:rPr>
        <w:fldChar w:fldCharType="separate"/>
      </w:r>
      <w:r w:rsidR="00F25F8C" w:rsidRPr="00F25F8C">
        <w:rPr>
          <w:b/>
          <w:sz w:val="18"/>
          <w:szCs w:val="18"/>
        </w:rPr>
        <w:t xml:space="preserve">Table SI. </w:t>
      </w:r>
      <w:r w:rsidR="00F25F8C" w:rsidRPr="00F25F8C">
        <w:rPr>
          <w:b/>
          <w:noProof/>
          <w:sz w:val="18"/>
          <w:szCs w:val="18"/>
        </w:rPr>
        <w:t>15</w:t>
      </w:r>
      <w:r w:rsidR="00B63283" w:rsidRPr="00042BF3">
        <w:rPr>
          <w:b/>
          <w:sz w:val="18"/>
          <w:szCs w:val="18"/>
        </w:rPr>
        <w:fldChar w:fldCharType="end"/>
      </w:r>
      <w:r w:rsidRPr="003F5DA8">
        <w:rPr>
          <w:sz w:val="18"/>
        </w:rPr>
        <w:t>.</w:t>
      </w:r>
    </w:p>
    <w:p w14:paraId="67A383FA" w14:textId="10F2551C" w:rsidR="00F669A1" w:rsidRDefault="00F669A1" w:rsidP="00B63283">
      <w:pPr>
        <w:jc w:val="both"/>
      </w:pPr>
      <w:r w:rsidRPr="003F5DA8">
        <w:t>The background processes used specific</w:t>
      </w:r>
      <w:r w:rsidR="008C451C">
        <w:t>ally</w:t>
      </w:r>
      <w:r w:rsidRPr="003F5DA8">
        <w:t xml:space="preserve"> </w:t>
      </w:r>
      <w:r w:rsidR="008C451C">
        <w:t>for</w:t>
      </w:r>
      <w:r w:rsidRPr="003F5DA8">
        <w:t xml:space="preserve"> this </w:t>
      </w:r>
      <w:r w:rsidR="008C451C">
        <w:t xml:space="preserve">LCI </w:t>
      </w:r>
      <w:r w:rsidRPr="003F5DA8">
        <w:t xml:space="preserve">model are </w:t>
      </w:r>
      <w:r w:rsidRPr="002F2C5A">
        <w:t xml:space="preserve">gathered in </w:t>
      </w:r>
      <w:r w:rsidR="00B63283" w:rsidRPr="00B63283">
        <w:rPr>
          <w:b/>
        </w:rPr>
        <w:fldChar w:fldCharType="begin"/>
      </w:r>
      <w:r w:rsidR="00B63283" w:rsidRPr="00B63283">
        <w:rPr>
          <w:b/>
        </w:rPr>
        <w:instrText xml:space="preserve"> REF _Ref144912470 \h </w:instrText>
      </w:r>
      <w:r w:rsidR="00B63283">
        <w:rPr>
          <w:b/>
        </w:rPr>
        <w:instrText xml:space="preserve"> \* MERGEFORMAT </w:instrText>
      </w:r>
      <w:r w:rsidR="00B63283" w:rsidRPr="00B63283">
        <w:rPr>
          <w:b/>
        </w:rPr>
      </w:r>
      <w:r w:rsidR="00B63283" w:rsidRPr="00B63283">
        <w:rPr>
          <w:b/>
        </w:rPr>
        <w:fldChar w:fldCharType="separate"/>
      </w:r>
      <w:r w:rsidR="00F25F8C" w:rsidRPr="00F25F8C">
        <w:rPr>
          <w:b/>
        </w:rPr>
        <w:t xml:space="preserve">Table SI. </w:t>
      </w:r>
      <w:r w:rsidR="00F25F8C" w:rsidRPr="00F25F8C">
        <w:rPr>
          <w:b/>
          <w:noProof/>
        </w:rPr>
        <w:t>102</w:t>
      </w:r>
      <w:r w:rsidR="00B63283" w:rsidRPr="00B63283">
        <w:rPr>
          <w:b/>
        </w:rPr>
        <w:fldChar w:fldCharType="end"/>
      </w:r>
      <w:r w:rsidR="00B63283">
        <w:rPr>
          <w:b/>
        </w:rPr>
        <w:t>.</w:t>
      </w:r>
    </w:p>
    <w:p w14:paraId="070AF839" w14:textId="48578B96" w:rsidR="00F669A1" w:rsidRPr="002F2C5A" w:rsidRDefault="00874128" w:rsidP="00942782">
      <w:pPr>
        <w:pStyle w:val="Lgende"/>
        <w:jc w:val="left"/>
        <w:rPr>
          <w:b w:val="0"/>
          <w:i/>
        </w:rPr>
      </w:pPr>
      <w:bookmarkStart w:id="434" w:name="_Ref144912470"/>
      <w:bookmarkStart w:id="435" w:name="_Toc134537625"/>
      <w:bookmarkStart w:id="436" w:name="_Toc151967986"/>
      <w:r>
        <w:t>Table SI.</w:t>
      </w:r>
      <w:r w:rsidR="00F669A1">
        <w:t xml:space="preserve"> </w:t>
      </w:r>
      <w:r>
        <w:fldChar w:fldCharType="begin"/>
      </w:r>
      <w:r>
        <w:instrText xml:space="preserve"> SEQ Table_SI. \* ARABIC </w:instrText>
      </w:r>
      <w:r>
        <w:fldChar w:fldCharType="separate"/>
      </w:r>
      <w:r w:rsidR="00F25F8C">
        <w:rPr>
          <w:noProof/>
        </w:rPr>
        <w:t>102</w:t>
      </w:r>
      <w:r>
        <w:fldChar w:fldCharType="end"/>
      </w:r>
      <w:bookmarkEnd w:id="434"/>
      <w:r w:rsidR="00F669A1">
        <w:t xml:space="preserve"> </w:t>
      </w:r>
      <w:r w:rsidR="00F669A1" w:rsidRPr="007C2AE0">
        <w:t>– Background processes used specifically for GA pathways</w:t>
      </w:r>
      <w:bookmarkEnd w:id="435"/>
      <w:bookmarkEnd w:id="436"/>
    </w:p>
    <w:tbl>
      <w:tblPr>
        <w:tblStyle w:val="Tableausimple2"/>
        <w:tblW w:w="0" w:type="auto"/>
        <w:tblLook w:val="04A0" w:firstRow="1" w:lastRow="0" w:firstColumn="1" w:lastColumn="0" w:noHBand="0" w:noVBand="1"/>
      </w:tblPr>
      <w:tblGrid>
        <w:gridCol w:w="3924"/>
        <w:gridCol w:w="1190"/>
        <w:gridCol w:w="3928"/>
      </w:tblGrid>
      <w:tr w:rsidR="00F669A1" w:rsidRPr="008C451C" w14:paraId="1DEA5B39" w14:textId="77777777" w:rsidTr="0094278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24" w:type="dxa"/>
          </w:tcPr>
          <w:p w14:paraId="4AE1537C" w14:textId="77777777" w:rsidR="00F669A1" w:rsidRPr="008C451C" w:rsidRDefault="00F669A1" w:rsidP="000C3E59">
            <w:pPr>
              <w:jc w:val="right"/>
              <w:rPr>
                <w:sz w:val="18"/>
                <w:szCs w:val="18"/>
              </w:rPr>
            </w:pPr>
            <w:r w:rsidRPr="008C451C">
              <w:rPr>
                <w:sz w:val="18"/>
                <w:szCs w:val="18"/>
              </w:rPr>
              <w:t>Background process</w:t>
            </w:r>
          </w:p>
        </w:tc>
        <w:tc>
          <w:tcPr>
            <w:tcW w:w="1190" w:type="dxa"/>
          </w:tcPr>
          <w:p w14:paraId="414C9F67"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sz w:val="18"/>
                <w:szCs w:val="18"/>
              </w:rPr>
            </w:pPr>
            <w:r w:rsidRPr="008C451C">
              <w:rPr>
                <w:sz w:val="18"/>
                <w:szCs w:val="18"/>
              </w:rPr>
              <w:t>Unit operation</w:t>
            </w:r>
          </w:p>
        </w:tc>
        <w:tc>
          <w:tcPr>
            <w:tcW w:w="3928" w:type="dxa"/>
          </w:tcPr>
          <w:p w14:paraId="338C06B7" w14:textId="77777777" w:rsidR="00F669A1" w:rsidRPr="008C451C" w:rsidRDefault="00F669A1" w:rsidP="000C3E59">
            <w:pPr>
              <w:cnfStyle w:val="100000000000" w:firstRow="1" w:lastRow="0" w:firstColumn="0" w:lastColumn="0" w:oddVBand="0" w:evenVBand="0" w:oddHBand="0" w:evenHBand="0" w:firstRowFirstColumn="0" w:firstRowLastColumn="0" w:lastRowFirstColumn="0" w:lastRowLastColumn="0"/>
              <w:rPr>
                <w:i/>
                <w:sz w:val="18"/>
                <w:szCs w:val="18"/>
              </w:rPr>
            </w:pPr>
            <w:r w:rsidRPr="008C451C">
              <w:rPr>
                <w:i/>
                <w:sz w:val="18"/>
                <w:szCs w:val="18"/>
              </w:rPr>
              <w:t>Comment</w:t>
            </w:r>
          </w:p>
        </w:tc>
      </w:tr>
      <w:tr w:rsidR="00F669A1" w:rsidRPr="008C451C" w14:paraId="18506F1B"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24" w:type="dxa"/>
          </w:tcPr>
          <w:p w14:paraId="42BA4AC9" w14:textId="77777777" w:rsidR="00F669A1" w:rsidRPr="008C451C" w:rsidRDefault="00F669A1" w:rsidP="000C3E59">
            <w:pPr>
              <w:jc w:val="right"/>
              <w:rPr>
                <w:b w:val="0"/>
                <w:sz w:val="18"/>
                <w:szCs w:val="18"/>
              </w:rPr>
            </w:pPr>
            <w:r w:rsidRPr="008C451C">
              <w:rPr>
                <w:b w:val="0"/>
                <w:sz w:val="18"/>
                <w:szCs w:val="18"/>
              </w:rPr>
              <w:t>Building construction, hall, CH</w:t>
            </w:r>
          </w:p>
        </w:tc>
        <w:tc>
          <w:tcPr>
            <w:tcW w:w="1190" w:type="dxa"/>
          </w:tcPr>
          <w:p w14:paraId="7FD3D9E2"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Storage</w:t>
            </w:r>
          </w:p>
        </w:tc>
        <w:tc>
          <w:tcPr>
            <w:tcW w:w="3928" w:type="dxa"/>
          </w:tcPr>
          <w:p w14:paraId="7D5A9D46" w14:textId="4947CDAA" w:rsidR="00F669A1" w:rsidRPr="008C451C" w:rsidRDefault="00F669A1" w:rsidP="000C3E59">
            <w:pPr>
              <w:jc w:val="both"/>
              <w:cnfStyle w:val="000000100000" w:firstRow="0" w:lastRow="0" w:firstColumn="0" w:lastColumn="0" w:oddVBand="0" w:evenVBand="0" w:oddHBand="1" w:evenHBand="0" w:firstRowFirstColumn="0" w:firstRowLastColumn="0" w:lastRowFirstColumn="0" w:lastRowLastColumn="0"/>
              <w:rPr>
                <w:sz w:val="18"/>
                <w:szCs w:val="18"/>
              </w:rPr>
            </w:pPr>
            <w:r w:rsidRPr="008C451C">
              <w:rPr>
                <w:i/>
                <w:sz w:val="18"/>
                <w:szCs w:val="18"/>
              </w:rPr>
              <w:t xml:space="preserve">Proxy for all feedstock storage, see </w:t>
            </w:r>
            <w:r w:rsidR="00B63283" w:rsidRPr="008C451C">
              <w:rPr>
                <w:b/>
                <w:i/>
                <w:sz w:val="18"/>
                <w:szCs w:val="18"/>
              </w:rPr>
              <w:fldChar w:fldCharType="begin"/>
            </w:r>
            <w:r w:rsidR="00B63283" w:rsidRPr="008C451C">
              <w:rPr>
                <w:b/>
                <w:i/>
                <w:sz w:val="18"/>
                <w:szCs w:val="18"/>
              </w:rPr>
              <w:instrText xml:space="preserve"> REF _Ref144912560 \h  \* MERGEFORMAT </w:instrText>
            </w:r>
            <w:r w:rsidR="00B63283" w:rsidRPr="008C451C">
              <w:rPr>
                <w:b/>
                <w:i/>
                <w:sz w:val="18"/>
                <w:szCs w:val="18"/>
              </w:rPr>
            </w:r>
            <w:r w:rsidR="00B63283" w:rsidRPr="008C451C">
              <w:rPr>
                <w:b/>
                <w:i/>
                <w:sz w:val="18"/>
                <w:szCs w:val="18"/>
              </w:rPr>
              <w:fldChar w:fldCharType="separate"/>
            </w:r>
            <w:r w:rsidR="00F25F8C" w:rsidRPr="008C451C">
              <w:rPr>
                <w:b/>
                <w:i/>
                <w:sz w:val="18"/>
                <w:szCs w:val="18"/>
              </w:rPr>
              <w:t xml:space="preserve">Table SI. </w:t>
            </w:r>
            <w:r w:rsidR="00F25F8C" w:rsidRPr="008C451C">
              <w:rPr>
                <w:b/>
                <w:i/>
                <w:noProof/>
                <w:sz w:val="18"/>
                <w:szCs w:val="18"/>
              </w:rPr>
              <w:t>95</w:t>
            </w:r>
            <w:r w:rsidR="00B63283" w:rsidRPr="008C451C">
              <w:rPr>
                <w:b/>
                <w:i/>
                <w:sz w:val="18"/>
                <w:szCs w:val="18"/>
              </w:rPr>
              <w:fldChar w:fldCharType="end"/>
            </w:r>
            <w:r w:rsidRPr="008C451C">
              <w:rPr>
                <w:b/>
                <w:i/>
                <w:sz w:val="18"/>
                <w:szCs w:val="18"/>
              </w:rPr>
              <w:t>.</w:t>
            </w:r>
          </w:p>
        </w:tc>
      </w:tr>
      <w:tr w:rsidR="00F669A1" w:rsidRPr="008C451C" w14:paraId="17818D4C" w14:textId="77777777" w:rsidTr="00942782">
        <w:tc>
          <w:tcPr>
            <w:cnfStyle w:val="001000000000" w:firstRow="0" w:lastRow="0" w:firstColumn="1" w:lastColumn="0" w:oddVBand="0" w:evenVBand="0" w:oddHBand="0" w:evenHBand="0" w:firstRowFirstColumn="0" w:firstRowLastColumn="0" w:lastRowFirstColumn="0" w:lastRowLastColumn="0"/>
            <w:tcW w:w="3924" w:type="dxa"/>
          </w:tcPr>
          <w:p w14:paraId="60C32F34" w14:textId="77777777" w:rsidR="00F669A1" w:rsidRPr="008C451C" w:rsidRDefault="00F669A1" w:rsidP="000C3E59">
            <w:pPr>
              <w:jc w:val="right"/>
              <w:rPr>
                <w:b w:val="0"/>
                <w:sz w:val="18"/>
                <w:szCs w:val="18"/>
              </w:rPr>
            </w:pPr>
            <w:r w:rsidRPr="008C451C">
              <w:rPr>
                <w:b w:val="0"/>
                <w:sz w:val="18"/>
                <w:szCs w:val="18"/>
              </w:rPr>
              <w:t>Wood chipping, industrial residual wood, stationary electric chipper, RER</w:t>
            </w:r>
          </w:p>
        </w:tc>
        <w:tc>
          <w:tcPr>
            <w:tcW w:w="1190" w:type="dxa"/>
          </w:tcPr>
          <w:p w14:paraId="3AF6DA46"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Grinding</w:t>
            </w:r>
          </w:p>
        </w:tc>
        <w:tc>
          <w:tcPr>
            <w:tcW w:w="3928" w:type="dxa"/>
          </w:tcPr>
          <w:p w14:paraId="2B2076FD" w14:textId="77777777" w:rsidR="00F669A1" w:rsidRPr="008C451C" w:rsidRDefault="00F669A1" w:rsidP="000C3E59">
            <w:pPr>
              <w:jc w:val="both"/>
              <w:cnfStyle w:val="000000000000" w:firstRow="0" w:lastRow="0" w:firstColumn="0" w:lastColumn="0" w:oddVBand="0" w:evenVBand="0" w:oddHBand="0" w:evenHBand="0" w:firstRowFirstColumn="0" w:firstRowLastColumn="0" w:lastRowFirstColumn="0" w:lastRowLastColumn="0"/>
              <w:rPr>
                <w:i/>
                <w:sz w:val="18"/>
                <w:szCs w:val="18"/>
              </w:rPr>
            </w:pPr>
            <w:r w:rsidRPr="008C451C">
              <w:rPr>
                <w:i/>
                <w:sz w:val="18"/>
                <w:szCs w:val="18"/>
              </w:rPr>
              <w:t>Proxy for lignocellulosic streams grinding (background electricity harmonized)</w:t>
            </w:r>
          </w:p>
        </w:tc>
      </w:tr>
      <w:tr w:rsidR="00F669A1" w:rsidRPr="008C451C" w14:paraId="7FB7F0B5"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24" w:type="dxa"/>
          </w:tcPr>
          <w:p w14:paraId="601657BA" w14:textId="77777777" w:rsidR="00F669A1" w:rsidRPr="008C451C" w:rsidRDefault="00F669A1" w:rsidP="000C3E59">
            <w:pPr>
              <w:jc w:val="right"/>
              <w:rPr>
                <w:b w:val="0"/>
                <w:sz w:val="18"/>
                <w:szCs w:val="18"/>
              </w:rPr>
            </w:pPr>
            <w:r w:rsidRPr="008C451C">
              <w:rPr>
                <w:b w:val="0"/>
                <w:sz w:val="18"/>
                <w:szCs w:val="18"/>
              </w:rPr>
              <w:t>Market for nitrogen, liquid, RER</w:t>
            </w:r>
          </w:p>
        </w:tc>
        <w:tc>
          <w:tcPr>
            <w:tcW w:w="1190" w:type="dxa"/>
          </w:tcPr>
          <w:p w14:paraId="54306079"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Grinding</w:t>
            </w:r>
          </w:p>
        </w:tc>
        <w:tc>
          <w:tcPr>
            <w:tcW w:w="3928" w:type="dxa"/>
          </w:tcPr>
          <w:p w14:paraId="5EF1DCFE" w14:textId="77777777" w:rsidR="00F669A1" w:rsidRPr="008C451C" w:rsidRDefault="00F669A1" w:rsidP="000C3E59">
            <w:pPr>
              <w:jc w:val="both"/>
              <w:cnfStyle w:val="000000100000" w:firstRow="0" w:lastRow="0" w:firstColumn="0" w:lastColumn="0" w:oddVBand="0" w:evenVBand="0" w:oddHBand="1" w:evenHBand="0" w:firstRowFirstColumn="0" w:firstRowLastColumn="0" w:lastRowFirstColumn="0" w:lastRowLastColumn="0"/>
              <w:rPr>
                <w:i/>
                <w:sz w:val="18"/>
                <w:szCs w:val="18"/>
              </w:rPr>
            </w:pPr>
            <w:r w:rsidRPr="008C451C">
              <w:rPr>
                <w:i/>
                <w:sz w:val="18"/>
                <w:szCs w:val="18"/>
              </w:rPr>
              <w:t>Assumed European market</w:t>
            </w:r>
          </w:p>
        </w:tc>
      </w:tr>
      <w:tr w:rsidR="00F669A1" w:rsidRPr="008C451C" w14:paraId="0600D943" w14:textId="77777777" w:rsidTr="00942782">
        <w:tc>
          <w:tcPr>
            <w:cnfStyle w:val="001000000000" w:firstRow="0" w:lastRow="0" w:firstColumn="1" w:lastColumn="0" w:oddVBand="0" w:evenVBand="0" w:oddHBand="0" w:evenHBand="0" w:firstRowFirstColumn="0" w:firstRowLastColumn="0" w:lastRowFirstColumn="0" w:lastRowLastColumn="0"/>
            <w:tcW w:w="3924" w:type="dxa"/>
          </w:tcPr>
          <w:p w14:paraId="4E9A5A4C" w14:textId="77777777" w:rsidR="00F669A1" w:rsidRPr="008C451C" w:rsidRDefault="00F669A1" w:rsidP="000C3E59">
            <w:pPr>
              <w:jc w:val="right"/>
              <w:rPr>
                <w:b w:val="0"/>
                <w:sz w:val="18"/>
                <w:szCs w:val="18"/>
              </w:rPr>
            </w:pPr>
            <w:r w:rsidRPr="008C451C">
              <w:rPr>
                <w:b w:val="0"/>
                <w:sz w:val="18"/>
                <w:szCs w:val="18"/>
              </w:rPr>
              <w:t>Synthetic gas factory production, CH</w:t>
            </w:r>
          </w:p>
        </w:tc>
        <w:tc>
          <w:tcPr>
            <w:tcW w:w="1190" w:type="dxa"/>
          </w:tcPr>
          <w:p w14:paraId="1286E9E8" w14:textId="77777777" w:rsidR="00F669A1" w:rsidRPr="008C451C"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8C451C">
              <w:rPr>
                <w:sz w:val="18"/>
                <w:szCs w:val="18"/>
              </w:rPr>
              <w:t>n.a.</w:t>
            </w:r>
          </w:p>
        </w:tc>
        <w:tc>
          <w:tcPr>
            <w:tcW w:w="3928" w:type="dxa"/>
          </w:tcPr>
          <w:p w14:paraId="5CC82A05" w14:textId="77777777" w:rsidR="00F669A1" w:rsidRPr="008C451C" w:rsidRDefault="00F669A1" w:rsidP="000C3E59">
            <w:pPr>
              <w:jc w:val="both"/>
              <w:cnfStyle w:val="000000000000" w:firstRow="0" w:lastRow="0" w:firstColumn="0" w:lastColumn="0" w:oddVBand="0" w:evenVBand="0" w:oddHBand="0" w:evenHBand="0" w:firstRowFirstColumn="0" w:firstRowLastColumn="0" w:lastRowFirstColumn="0" w:lastRowLastColumn="0"/>
              <w:rPr>
                <w:i/>
                <w:sz w:val="18"/>
                <w:szCs w:val="18"/>
              </w:rPr>
            </w:pPr>
            <w:r w:rsidRPr="008C451C">
              <w:rPr>
                <w:i/>
                <w:sz w:val="18"/>
                <w:szCs w:val="18"/>
              </w:rPr>
              <w:t>Used to derive the facilities requirements, direct emissions and utilities (at raw syngas gate, and removing electricity), expressed per Nm</w:t>
            </w:r>
            <w:r w:rsidRPr="008C451C">
              <w:rPr>
                <w:i/>
                <w:sz w:val="18"/>
                <w:szCs w:val="18"/>
                <w:vertAlign w:val="superscript"/>
              </w:rPr>
              <w:t>3</w:t>
            </w:r>
          </w:p>
        </w:tc>
      </w:tr>
      <w:tr w:rsidR="00F669A1" w:rsidRPr="00827449" w14:paraId="144D4F0D"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24" w:type="dxa"/>
          </w:tcPr>
          <w:p w14:paraId="699B91D7" w14:textId="77777777" w:rsidR="00F669A1" w:rsidRPr="008C451C" w:rsidRDefault="00F669A1" w:rsidP="000C3E59">
            <w:pPr>
              <w:jc w:val="right"/>
              <w:rPr>
                <w:b w:val="0"/>
                <w:sz w:val="18"/>
                <w:szCs w:val="18"/>
              </w:rPr>
            </w:pPr>
            <w:r w:rsidRPr="008C451C">
              <w:rPr>
                <w:b w:val="0"/>
                <w:sz w:val="18"/>
                <w:szCs w:val="18"/>
              </w:rPr>
              <w:t>Market for calcium carbonate, precipitated, RER</w:t>
            </w:r>
          </w:p>
        </w:tc>
        <w:tc>
          <w:tcPr>
            <w:tcW w:w="1190" w:type="dxa"/>
            <w:vMerge w:val="restart"/>
          </w:tcPr>
          <w:p w14:paraId="1036CF48" w14:textId="77777777" w:rsidR="00F669A1" w:rsidRPr="008C451C"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8C451C">
              <w:rPr>
                <w:sz w:val="18"/>
                <w:szCs w:val="18"/>
              </w:rPr>
              <w:t>Gasification</w:t>
            </w:r>
          </w:p>
        </w:tc>
        <w:tc>
          <w:tcPr>
            <w:tcW w:w="3928" w:type="dxa"/>
          </w:tcPr>
          <w:p w14:paraId="21BABF65" w14:textId="60CCE707" w:rsidR="00F669A1" w:rsidRPr="00827449" w:rsidRDefault="00F669A1" w:rsidP="000C3E59">
            <w:pPr>
              <w:jc w:val="both"/>
              <w:cnfStyle w:val="000000100000" w:firstRow="0" w:lastRow="0" w:firstColumn="0" w:lastColumn="0" w:oddVBand="0" w:evenVBand="0" w:oddHBand="1" w:evenHBand="0" w:firstRowFirstColumn="0" w:firstRowLastColumn="0" w:lastRowFirstColumn="0" w:lastRowLastColumn="0"/>
              <w:rPr>
                <w:i/>
                <w:sz w:val="18"/>
                <w:szCs w:val="18"/>
              </w:rPr>
            </w:pPr>
            <w:r w:rsidRPr="008C451C">
              <w:rPr>
                <w:i/>
                <w:sz w:val="18"/>
                <w:szCs w:val="18"/>
              </w:rPr>
              <w:t>Proxy for calcine required in pilot operations (17.7 kg.t</w:t>
            </w:r>
            <w:r w:rsidRPr="008C451C">
              <w:rPr>
                <w:i/>
                <w:sz w:val="18"/>
                <w:szCs w:val="18"/>
                <w:vertAlign w:val="subscript"/>
              </w:rPr>
              <w:t>DM</w:t>
            </w:r>
            <w:r w:rsidRPr="008C451C">
              <w:rPr>
                <w:i/>
                <w:sz w:val="18"/>
                <w:szCs w:val="18"/>
                <w:vertAlign w:val="superscript"/>
              </w:rPr>
              <w:t>-1</w:t>
            </w:r>
            <w:r w:rsidRPr="008C451C">
              <w:rPr>
                <w:i/>
                <w:sz w:val="18"/>
                <w:szCs w:val="18"/>
              </w:rPr>
              <w:t>)</w:t>
            </w:r>
            <w:r w:rsidRPr="008C451C">
              <w:rPr>
                <w:i/>
                <w:sz w:val="18"/>
                <w:szCs w:val="18"/>
              </w:rPr>
              <w:fldChar w:fldCharType="begin"/>
            </w:r>
            <w:r w:rsidR="00991F7C">
              <w:rPr>
                <w:i/>
                <w:sz w:val="18"/>
                <w:szCs w:val="18"/>
              </w:rPr>
              <w:instrText xml:space="preserve"> ADDIN ZOTERO_ITEM CSL_CITATION {"citationID":"7Yk3bNPH","properties":{"formattedCitation":"\\super 336,339\\nosupersub{}","plainCitation":"336,339","noteIndex":0},"citationItems":[{"id":13016,"uris":["http://zotero.org/users/6423791/items/N6EC882Z"],"itemData":{"id":13016,"type":"article-journal","abstract":"This paper presents the main experiences gained and conclusions drawn from the demonstration of a first-of-its-kind wood-based biomethane production plant (20-MW capacity, 150 dry tonnes of biomass/day) and 10 years of operation of the 2–4-MW (10–20 dry tonnes of biomass/day) research gasifier at Chalmers University of Technology in Sweden. Based on the experience gained, an elaborated outline for commercialization of the technology for a wide spectrum of applications and end products is defined. The main findings are related to the use of biomass ash constituents as a catalyst for the process and the application of coated heat exchangers, such that regular fluidized bed boilers can be retrofitted to become biomass gasifiers. Among the recirculation of the ash streams within the process, presence of the alkali salt in the system is identified as highly important for control of the tar species. Combined with new insights on fuel feeding and reactor design, these two major findings form the basis for a comprehensive process layout that can support a gradual transformation of existing boilers in district heating networks and in pulp, paper and saw mills, and it facilitates the exploitation of existing oil refineries and petrochemical plants for large-scale production of renewable fuels, chemicals, and materials from biomass and wastes. The potential for electrification of those process layouts are also discussed. The commercialization route represents an example of how biomass conversion develops and integrates with existing industrial and energy infrastructures to form highly effective systems that deliver a wide range of end products. Illustrating the potential, the existing fluidized bed boilers in Sweden alone represent a jet fuel production capacity that corresponds to 10% of current global consumption.","container-title":"Energy Science &amp; Engineering","DOI":"10.1002/ese3.188","ISSN":"2050-0505","issue":"1","journalAbbreviation":"Energy Sci. Eng.","language":"en","note":"_eprint: https://onlinelibrary.wiley.com/doi/pdf/10.1002/ese3.188","page":"6-34","source":"Wiley Online Library","title":"Advanced biofuel production via gasification – lessons learned from 200 man-years of research activity with Chalmers’ research gasifier and the GoBiGas demonstration plant","volume":"6","author":[{"family":"Thunman","given":"Henrik"},{"family":"Seemann","given":"Martin"},{"family":"Berdugo Vilches","given":"Teresa"},{"family":"Maric","given":"Jelena"},{"family":"Pallares","given":"David"},{"family":"Ström","given":"Henrik"},{"family":"Berndes","given":"Göran"},{"family":"Knutsson","given":"Pavleta"},{"family":"Larsson","given":"Anton"},{"family":"Breitholtz","given":"Claes"},{"family":"Santos","given":"Olga"}],"issued":{"date-parts":[["2018"]]}}},{"id":12976,"uris":["http://zotero.org/users/6423791/items/RZUM6KPP"],"itemData":{"id":12976,"type":"article-journal","abstract":"Biomethane produced from waste-derived biomass (biowaste) is a clean and renewable fuel, which offers substantial reductions of greenhouse gas emissions and resource consumption. Biomethane is currently produced via the “biogas road”, which includes the anaerobic digestion of wet biowaste and a successive upgrading of obtained biogas, with good environmental performance. An alternative production strategy is the “syngas road”, which includes the gasification of dry or semi-dry biowaste followed by cleaning, conditioning, methanation, and final upgrading of obtained syngas. It is still at a demonstration level but appears of great interest for the highest values of energy efficiency and carbon utilisation. The study acquired technical data from existing plants of both these strategies, and developed a quantitative environmental assessment by means of holistic tools of sustainable engineering: material and substance flow analyses and an attributional life cycle assessment. The technical and environmental performance of the two biomethane roads have been then compared, in terms of energy and process efficiency as well as potential impacts in the main midpoint categories (global warming, respiratory inorganics, and non-renewable energy). The syngas road appears to have higher levels of carbon utilisation and better environmental performance, even though an extended sensitivity analysis shows different results if alternative plant configurations and energy mix are considered. This suggests that R&amp;D studies and policies of economic incentives have to be further implemented for both the analysed strategies, even because they deal with different kind of biowaste, having different availability in different countries.","container-title":"Waste Management","DOI":"10.1016/j.wasman.2019.02.030","ISSN":"0956-053X","journalAbbreviation":"Waste Management","language":"en","page":"441-453","source":"ScienceDirect","title":"Biowaste-to-Biomethane: An LCA study on biogas and syngas roads","title-short":"Biowaste-to-Biomethane","volume":"87","author":[{"family":"Ardolino","given":"Filomena"},{"family":"Arena","given":"Umberto"}],"issued":{"date-parts":[["2019",3,15]]}}}],"schema":"https://github.com/citation-style-language/schema/raw/master/csl-citation.json"} </w:instrText>
            </w:r>
            <w:r w:rsidRPr="008C451C">
              <w:rPr>
                <w:i/>
                <w:sz w:val="18"/>
                <w:szCs w:val="18"/>
              </w:rPr>
              <w:fldChar w:fldCharType="separate"/>
            </w:r>
            <w:r w:rsidR="00991F7C" w:rsidRPr="00991F7C">
              <w:rPr>
                <w:rFonts w:ascii="Calibri" w:hAnsi="Calibri" w:cs="Calibri"/>
                <w:sz w:val="18"/>
                <w:szCs w:val="24"/>
                <w:vertAlign w:val="superscript"/>
              </w:rPr>
              <w:t>336,339</w:t>
            </w:r>
            <w:r w:rsidRPr="008C451C">
              <w:rPr>
                <w:i/>
                <w:sz w:val="18"/>
                <w:szCs w:val="18"/>
              </w:rPr>
              <w:fldChar w:fldCharType="end"/>
            </w:r>
          </w:p>
        </w:tc>
      </w:tr>
      <w:tr w:rsidR="00F669A1" w:rsidRPr="00827449" w14:paraId="17B8CF6C" w14:textId="77777777" w:rsidTr="00942782">
        <w:tc>
          <w:tcPr>
            <w:cnfStyle w:val="001000000000" w:firstRow="0" w:lastRow="0" w:firstColumn="1" w:lastColumn="0" w:oddVBand="0" w:evenVBand="0" w:oddHBand="0" w:evenHBand="0" w:firstRowFirstColumn="0" w:firstRowLastColumn="0" w:lastRowFirstColumn="0" w:lastRowLastColumn="0"/>
            <w:tcW w:w="3924" w:type="dxa"/>
          </w:tcPr>
          <w:p w14:paraId="74DE5287" w14:textId="77777777" w:rsidR="00F669A1" w:rsidRPr="00827449" w:rsidRDefault="00F669A1" w:rsidP="000C3E59">
            <w:pPr>
              <w:jc w:val="right"/>
              <w:rPr>
                <w:b w:val="0"/>
                <w:sz w:val="18"/>
                <w:szCs w:val="18"/>
              </w:rPr>
            </w:pPr>
            <w:r w:rsidRPr="00827449">
              <w:rPr>
                <w:b w:val="0"/>
                <w:sz w:val="18"/>
                <w:szCs w:val="18"/>
              </w:rPr>
              <w:t>Market for potassium carbonate, GLO</w:t>
            </w:r>
          </w:p>
        </w:tc>
        <w:tc>
          <w:tcPr>
            <w:tcW w:w="1190" w:type="dxa"/>
            <w:vMerge/>
          </w:tcPr>
          <w:p w14:paraId="1010F6B6" w14:textId="77777777" w:rsidR="00F669A1" w:rsidRPr="00827449"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p>
        </w:tc>
        <w:tc>
          <w:tcPr>
            <w:tcW w:w="3928" w:type="dxa"/>
          </w:tcPr>
          <w:p w14:paraId="75D56CB8" w14:textId="5ADFD3CB" w:rsidR="00F669A1" w:rsidRPr="00827449" w:rsidRDefault="00F669A1" w:rsidP="000C3E59">
            <w:pPr>
              <w:jc w:val="both"/>
              <w:cnfStyle w:val="000000000000" w:firstRow="0" w:lastRow="0" w:firstColumn="0" w:lastColumn="0" w:oddVBand="0" w:evenVBand="0" w:oddHBand="0" w:evenHBand="0" w:firstRowFirstColumn="0" w:firstRowLastColumn="0" w:lastRowFirstColumn="0" w:lastRowLastColumn="0"/>
              <w:rPr>
                <w:i/>
                <w:sz w:val="18"/>
                <w:szCs w:val="18"/>
              </w:rPr>
            </w:pPr>
            <w:r w:rsidRPr="00827449">
              <w:rPr>
                <w:i/>
                <w:sz w:val="18"/>
                <w:szCs w:val="18"/>
              </w:rPr>
              <w:t>Proxy for potassium carbonate (0.8 L.t</w:t>
            </w:r>
            <w:r w:rsidRPr="00827449">
              <w:rPr>
                <w:i/>
                <w:sz w:val="18"/>
                <w:szCs w:val="18"/>
                <w:vertAlign w:val="subscript"/>
              </w:rPr>
              <w:t>DM</w:t>
            </w:r>
            <w:r w:rsidRPr="00827449">
              <w:rPr>
                <w:i/>
                <w:sz w:val="18"/>
                <w:szCs w:val="18"/>
                <w:vertAlign w:val="superscript"/>
              </w:rPr>
              <w:t>-1</w:t>
            </w:r>
            <w:r w:rsidRPr="00827449">
              <w:rPr>
                <w:i/>
                <w:sz w:val="18"/>
                <w:szCs w:val="18"/>
              </w:rPr>
              <w:t>), required in pilot operations</w:t>
            </w:r>
            <w:r w:rsidRPr="008C451C">
              <w:rPr>
                <w:i/>
                <w:sz w:val="18"/>
                <w:szCs w:val="18"/>
              </w:rPr>
              <w:fldChar w:fldCharType="begin"/>
            </w:r>
            <w:r w:rsidR="00991F7C">
              <w:rPr>
                <w:i/>
                <w:sz w:val="18"/>
                <w:szCs w:val="18"/>
              </w:rPr>
              <w:instrText xml:space="preserve"> ADDIN ZOTERO_ITEM CSL_CITATION {"citationID":"wI0VJ5eF","properties":{"formattedCitation":"\\super 336,339\\nosupersub{}","plainCitation":"336,339","noteIndex":0},"citationItems":[{"id":13016,"uris":["http://zotero.org/users/6423791/items/N6EC882Z"],"itemData":{"id":13016,"type":"article-journal","abstract":"This paper presents the main experiences gained and conclusions drawn from the demonstration of a first-of-its-kind wood-based biomethane production plant (20-MW capacity, 150 dry tonnes of biomass/day) and 10 years of operation of the 2–4-MW (10–20 dry tonnes of biomass/day) research gasifier at Chalmers University of Technology in Sweden. Based on the experience gained, an elaborated outline for commercialization of the technology for a wide spectrum of applications and end products is defined. The main findings are related to the use of biomass ash constituents as a catalyst for the process and the application of coated heat exchangers, such that regular fluidized bed boilers can be retrofitted to become biomass gasifiers. Among the recirculation of the ash streams within the process, presence of the alkali salt in the system is identified as highly important for control of the tar species. Combined with new insights on fuel feeding and reactor design, these two major findings form the basis for a comprehensive process layout that can support a gradual transformation of existing boilers in district heating networks and in pulp, paper and saw mills, and it facilitates the exploitation of existing oil refineries and petrochemical plants for large-scale production of renewable fuels, chemicals, and materials from biomass and wastes. The potential for electrification of those process layouts are also discussed. The commercialization route represents an example of how biomass conversion develops and integrates with existing industrial and energy infrastructures to form highly effective systems that deliver a wide range of end products. Illustrating the potential, the existing fluidized bed boilers in Sweden alone represent a jet fuel production capacity that corresponds to 10% of current global consumption.","container-title":"Energy Science &amp; Engineering","DOI":"10.1002/ese3.188","ISSN":"2050-0505","issue":"1","journalAbbreviation":"Energy Sci. Eng.","language":"en","note":"_eprint: https://onlinelibrary.wiley.com/doi/pdf/10.1002/ese3.188","page":"6-34","source":"Wiley Online Library","title":"Advanced biofuel production via gasification – lessons learned from 200 man-years of research activity with Chalmers’ research gasifier and the GoBiGas demonstration plant","volume":"6","author":[{"family":"Thunman","given":"Henrik"},{"family":"Seemann","given":"Martin"},{"family":"Berdugo Vilches","given":"Teresa"},{"family":"Maric","given":"Jelena"},{"family":"Pallares","given":"David"},{"family":"Ström","given":"Henrik"},{"family":"Berndes","given":"Göran"},{"family":"Knutsson","given":"Pavleta"},{"family":"Larsson","given":"Anton"},{"family":"Breitholtz","given":"Claes"},{"family":"Santos","given":"Olga"}],"issued":{"date-parts":[["2018"]]}}},{"id":12976,"uris":["http://zotero.org/users/6423791/items/RZUM6KPP"],"itemData":{"id":12976,"type":"article-journal","abstract":"Biomethane produced from waste-derived biomass (biowaste) is a clean and renewable fuel, which offers substantial reductions of greenhouse gas emissions and resource consumption. Biomethane is currently produced via the “biogas road”, which includes the anaerobic digestion of wet biowaste and a successive upgrading of obtained biogas, with good environmental performance. An alternative production strategy is the “syngas road”, which includes the gasification of dry or semi-dry biowaste followed by cleaning, conditioning, methanation, and final upgrading of obtained syngas. It is still at a demonstration level but appears of great interest for the highest values of energy efficiency and carbon utilisation. The study acquired technical data from existing plants of both these strategies, and developed a quantitative environmental assessment by means of holistic tools of sustainable engineering: material and substance flow analyses and an attributional life cycle assessment. The technical and environmental performance of the two biomethane roads have been then compared, in terms of energy and process efficiency as well as potential impacts in the main midpoint categories (global warming, respiratory inorganics, and non-renewable energy). The syngas road appears to have higher levels of carbon utilisation and better environmental performance, even though an extended sensitivity analysis shows different results if alternative plant configurations and energy mix are considered. This suggests that R&amp;D studies and policies of economic incentives have to be further implemented for both the analysed strategies, even because they deal with different kind of biowaste, having different availability in different countries.","container-title":"Waste Management","DOI":"10.1016/j.wasman.2019.02.030","ISSN":"0956-053X","journalAbbreviation":"Waste Management","language":"en","page":"441-453","source":"ScienceDirect","title":"Biowaste-to-Biomethane: An LCA study on biogas and syngas roads","title-short":"Biowaste-to-Biomethane","volume":"87","author":[{"family":"Ardolino","given":"Filomena"},{"family":"Arena","given":"Umberto"}],"issued":{"date-parts":[["2019",3,15]]}}}],"schema":"https://github.com/citation-style-language/schema/raw/master/csl-citation.json"} </w:instrText>
            </w:r>
            <w:r w:rsidRPr="008C451C">
              <w:rPr>
                <w:i/>
                <w:sz w:val="18"/>
                <w:szCs w:val="18"/>
              </w:rPr>
              <w:fldChar w:fldCharType="separate"/>
            </w:r>
            <w:r w:rsidR="00991F7C" w:rsidRPr="00991F7C">
              <w:rPr>
                <w:rFonts w:ascii="Calibri" w:hAnsi="Calibri" w:cs="Calibri"/>
                <w:sz w:val="18"/>
                <w:szCs w:val="24"/>
                <w:vertAlign w:val="superscript"/>
              </w:rPr>
              <w:t>336,339</w:t>
            </w:r>
            <w:r w:rsidRPr="008C451C">
              <w:rPr>
                <w:i/>
                <w:sz w:val="18"/>
                <w:szCs w:val="18"/>
              </w:rPr>
              <w:fldChar w:fldCharType="end"/>
            </w:r>
          </w:p>
        </w:tc>
      </w:tr>
      <w:tr w:rsidR="00F669A1" w:rsidRPr="009A6FB7" w14:paraId="02276058"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24" w:type="dxa"/>
          </w:tcPr>
          <w:p w14:paraId="27FA3063" w14:textId="77777777" w:rsidR="00F669A1" w:rsidRPr="00827449" w:rsidRDefault="00F669A1" w:rsidP="000C3E59">
            <w:pPr>
              <w:jc w:val="right"/>
              <w:rPr>
                <w:b w:val="0"/>
                <w:sz w:val="18"/>
                <w:szCs w:val="18"/>
              </w:rPr>
            </w:pPr>
            <w:r w:rsidRPr="00827449">
              <w:rPr>
                <w:b w:val="0"/>
                <w:sz w:val="18"/>
                <w:szCs w:val="18"/>
              </w:rPr>
              <w:t>Market for basalt, GLO</w:t>
            </w:r>
          </w:p>
        </w:tc>
        <w:tc>
          <w:tcPr>
            <w:tcW w:w="1190" w:type="dxa"/>
            <w:vMerge/>
          </w:tcPr>
          <w:p w14:paraId="441F0AC0" w14:textId="77777777" w:rsidR="00F669A1" w:rsidRPr="00827449"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p>
        </w:tc>
        <w:tc>
          <w:tcPr>
            <w:tcW w:w="3928" w:type="dxa"/>
          </w:tcPr>
          <w:p w14:paraId="75EC37D8" w14:textId="5C9EA000" w:rsidR="00F669A1" w:rsidRPr="004910B4" w:rsidRDefault="00F669A1" w:rsidP="000C3E59">
            <w:pPr>
              <w:jc w:val="both"/>
              <w:cnfStyle w:val="000000100000" w:firstRow="0" w:lastRow="0" w:firstColumn="0" w:lastColumn="0" w:oddVBand="0" w:evenVBand="0" w:oddHBand="1" w:evenHBand="0" w:firstRowFirstColumn="0" w:firstRowLastColumn="0" w:lastRowFirstColumn="0" w:lastRowLastColumn="0"/>
              <w:rPr>
                <w:i/>
                <w:sz w:val="18"/>
                <w:szCs w:val="18"/>
              </w:rPr>
            </w:pPr>
            <w:r w:rsidRPr="00827449">
              <w:rPr>
                <w:i/>
                <w:sz w:val="18"/>
                <w:szCs w:val="18"/>
              </w:rPr>
              <w:t>Proxy for olivine required in pilot operations (10.5 kg.t</w:t>
            </w:r>
            <w:r w:rsidRPr="00827449">
              <w:rPr>
                <w:i/>
                <w:sz w:val="18"/>
                <w:szCs w:val="18"/>
                <w:vertAlign w:val="subscript"/>
              </w:rPr>
              <w:t>DM</w:t>
            </w:r>
            <w:r w:rsidRPr="00827449">
              <w:rPr>
                <w:i/>
                <w:sz w:val="18"/>
                <w:szCs w:val="18"/>
                <w:vertAlign w:val="superscript"/>
              </w:rPr>
              <w:t>-1</w:t>
            </w:r>
            <w:r w:rsidRPr="00827449">
              <w:rPr>
                <w:i/>
                <w:sz w:val="18"/>
                <w:szCs w:val="18"/>
              </w:rPr>
              <w:t>)</w:t>
            </w:r>
            <w:r w:rsidRPr="008C451C">
              <w:rPr>
                <w:i/>
                <w:sz w:val="18"/>
                <w:szCs w:val="18"/>
              </w:rPr>
              <w:fldChar w:fldCharType="begin"/>
            </w:r>
            <w:r w:rsidR="00991F7C">
              <w:rPr>
                <w:i/>
                <w:sz w:val="18"/>
                <w:szCs w:val="18"/>
              </w:rPr>
              <w:instrText xml:space="preserve"> ADDIN ZOTERO_ITEM CSL_CITATION {"citationID":"DKcJ6N5j","properties":{"formattedCitation":"\\super 336,339\\nosupersub{}","plainCitation":"336,339","noteIndex":0},"citationItems":[{"id":13016,"uris":["http://zotero.org/users/6423791/items/N6EC882Z"],"itemData":{"id":13016,"type":"article-journal","abstract":"This paper presents the main experiences gained and conclusions drawn from the demonstration of a first-of-its-kind wood-based biomethane production plant (20-MW capacity, 150 dry tonnes of biomass/day) and 10 years of operation of the 2–4-MW (10–20 dry tonnes of biomass/day) research gasifier at Chalmers University of Technology in Sweden. Based on the experience gained, an elaborated outline for commercialization of the technology for a wide spectrum of applications and end products is defined. The main findings are related to the use of biomass ash constituents as a catalyst for the process and the application of coated heat exchangers, such that regular fluidized bed boilers can be retrofitted to become biomass gasifiers. Among the recirculation of the ash streams within the process, presence of the alkali salt in the system is identified as highly important for control of the tar species. Combined with new insights on fuel feeding and reactor design, these two major findings form the basis for a comprehensive process layout that can support a gradual transformation of existing boilers in district heating networks and in pulp, paper and saw mills, and it facilitates the exploitation of existing oil refineries and petrochemical plants for large-scale production of renewable fuels, chemicals, and materials from biomass and wastes. The potential for electrification of those process layouts are also discussed. The commercialization route represents an example of how biomass conversion develops and integrates with existing industrial and energy infrastructures to form highly effective systems that deliver a wide range of end products. Illustrating the potential, the existing fluidized bed boilers in Sweden alone represent a jet fuel production capacity that corresponds to 10% of current global consumption.","container-title":"Energy Science &amp; Engineering","DOI":"10.1002/ese3.188","ISSN":"2050-0505","issue":"1","journalAbbreviation":"Energy Sci. Eng.","language":"en","note":"_eprint: https://onlinelibrary.wiley.com/doi/pdf/10.1002/ese3.188","page":"6-34","source":"Wiley Online Library","title":"Advanced biofuel production via gasification – lessons learned from 200 man-years of research activity with Chalmers’ research gasifier and the GoBiGas demonstration plant","volume":"6","author":[{"family":"Thunman","given":"Henrik"},{"family":"Seemann","given":"Martin"},{"family":"Berdugo Vilches","given":"Teresa"},{"family":"Maric","given":"Jelena"},{"family":"Pallares","given":"David"},{"family":"Ström","given":"Henrik"},{"family":"Berndes","given":"Göran"},{"family":"Knutsson","given":"Pavleta"},{"family":"Larsson","given":"Anton"},{"family":"Breitholtz","given":"Claes"},{"family":"Santos","given":"Olga"}],"issued":{"date-parts":[["2018"]]}}},{"id":12976,"uris":["http://zotero.org/users/6423791/items/RZUM6KPP"],"itemData":{"id":12976,"type":"article-journal","abstract":"Biomethane produced from waste-derived biomass (biowaste) is a clean and renewable fuel, which offers substantial reductions of greenhouse gas emissions and resource consumption. Biomethane is currently produced via the “biogas road”, which includes the anaerobic digestion of wet biowaste and a successive upgrading of obtained biogas, with good environmental performance. An alternative production strategy is the “syngas road”, which includes the gasification of dry or semi-dry biowaste followed by cleaning, conditioning, methanation, and final upgrading of obtained syngas. It is still at a demonstration level but appears of great interest for the highest values of energy efficiency and carbon utilisation. The study acquired technical data from existing plants of both these strategies, and developed a quantitative environmental assessment by means of holistic tools of sustainable engineering: material and substance flow analyses and an attributional life cycle assessment. The technical and environmental performance of the two biomethane roads have been then compared, in terms of energy and process efficiency as well as potential impacts in the main midpoint categories (global warming, respiratory inorganics, and non-renewable energy). The syngas road appears to have higher levels of carbon utilisation and better environmental performance, even though an extended sensitivity analysis shows different results if alternative plant configurations and energy mix are considered. This suggests that R&amp;D studies and policies of economic incentives have to be further implemented for both the analysed strategies, even because they deal with different kind of biowaste, having different availability in different countries.","container-title":"Waste Management","DOI":"10.1016/j.wasman.2019.02.030","ISSN":"0956-053X","journalAbbreviation":"Waste Management","language":"en","page":"441-453","source":"ScienceDirect","title":"Biowaste-to-Biomethane: An LCA study on biogas and syngas roads","title-short":"Biowaste-to-Biomethane","volume":"87","author":[{"family":"Ardolino","given":"Filomena"},{"family":"Arena","given":"Umberto"}],"issued":{"date-parts":[["2019",3,15]]}}}],"schema":"https://github.com/citation-style-language/schema/raw/master/csl-citation.json"} </w:instrText>
            </w:r>
            <w:r w:rsidRPr="008C451C">
              <w:rPr>
                <w:i/>
                <w:sz w:val="18"/>
                <w:szCs w:val="18"/>
              </w:rPr>
              <w:fldChar w:fldCharType="separate"/>
            </w:r>
            <w:r w:rsidR="00991F7C" w:rsidRPr="00991F7C">
              <w:rPr>
                <w:rFonts w:ascii="Calibri" w:hAnsi="Calibri" w:cs="Calibri"/>
                <w:sz w:val="18"/>
                <w:szCs w:val="24"/>
                <w:vertAlign w:val="superscript"/>
              </w:rPr>
              <w:t>336,339</w:t>
            </w:r>
            <w:r w:rsidRPr="008C451C">
              <w:rPr>
                <w:i/>
                <w:sz w:val="18"/>
                <w:szCs w:val="18"/>
              </w:rPr>
              <w:fldChar w:fldCharType="end"/>
            </w:r>
          </w:p>
        </w:tc>
      </w:tr>
      <w:tr w:rsidR="00F669A1" w:rsidRPr="009A6FB7" w14:paraId="34661042" w14:textId="77777777" w:rsidTr="00942782">
        <w:tc>
          <w:tcPr>
            <w:cnfStyle w:val="001000000000" w:firstRow="0" w:lastRow="0" w:firstColumn="1" w:lastColumn="0" w:oddVBand="0" w:evenVBand="0" w:oddHBand="0" w:evenHBand="0" w:firstRowFirstColumn="0" w:firstRowLastColumn="0" w:lastRowFirstColumn="0" w:lastRowLastColumn="0"/>
            <w:tcW w:w="3924" w:type="dxa"/>
          </w:tcPr>
          <w:p w14:paraId="3BA7C1A6" w14:textId="77777777" w:rsidR="00F669A1" w:rsidRPr="004910B4" w:rsidRDefault="00F669A1" w:rsidP="000C3E59">
            <w:pPr>
              <w:jc w:val="right"/>
              <w:rPr>
                <w:b w:val="0"/>
                <w:sz w:val="18"/>
                <w:szCs w:val="18"/>
              </w:rPr>
            </w:pPr>
            <w:r w:rsidRPr="004910B4">
              <w:rPr>
                <w:b w:val="0"/>
                <w:sz w:val="18"/>
                <w:szCs w:val="18"/>
              </w:rPr>
              <w:t>Market for fatty acid methyl ester, RoW</w:t>
            </w:r>
          </w:p>
        </w:tc>
        <w:tc>
          <w:tcPr>
            <w:tcW w:w="1190" w:type="dxa"/>
            <w:vMerge w:val="restart"/>
          </w:tcPr>
          <w:p w14:paraId="2DBCC132" w14:textId="77777777" w:rsidR="00F669A1" w:rsidRPr="004910B4"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4910B4">
              <w:rPr>
                <w:sz w:val="18"/>
                <w:szCs w:val="18"/>
              </w:rPr>
              <w:t>Syngas cleaning</w:t>
            </w:r>
          </w:p>
        </w:tc>
        <w:tc>
          <w:tcPr>
            <w:tcW w:w="3928" w:type="dxa"/>
            <w:vMerge w:val="restart"/>
          </w:tcPr>
          <w:p w14:paraId="3D4C5502" w14:textId="43C0403B" w:rsidR="00F669A1" w:rsidRPr="004910B4" w:rsidRDefault="00F669A1" w:rsidP="000C3E59">
            <w:pPr>
              <w:jc w:val="both"/>
              <w:cnfStyle w:val="000000000000" w:firstRow="0" w:lastRow="0" w:firstColumn="0" w:lastColumn="0" w:oddVBand="0" w:evenVBand="0" w:oddHBand="0" w:evenHBand="0" w:firstRowFirstColumn="0" w:firstRowLastColumn="0" w:lastRowFirstColumn="0" w:lastRowLastColumn="0"/>
              <w:rPr>
                <w:i/>
                <w:sz w:val="18"/>
                <w:szCs w:val="18"/>
              </w:rPr>
            </w:pPr>
            <w:r w:rsidRPr="004910B4">
              <w:rPr>
                <w:i/>
                <w:sz w:val="18"/>
                <w:szCs w:val="18"/>
              </w:rPr>
              <w:t>Proxies for the four processes mentioned in</w:t>
            </w:r>
            <w:r w:rsidR="00B63283" w:rsidRPr="004910B4">
              <w:rPr>
                <w:b/>
                <w:i/>
                <w:sz w:val="18"/>
                <w:szCs w:val="18"/>
              </w:rPr>
              <w:t xml:space="preserve"> </w:t>
            </w:r>
            <w:r w:rsidR="00B63283" w:rsidRPr="008C451C">
              <w:rPr>
                <w:b/>
                <w:i/>
                <w:sz w:val="18"/>
                <w:szCs w:val="18"/>
              </w:rPr>
              <w:fldChar w:fldCharType="begin"/>
            </w:r>
            <w:r w:rsidR="00B63283" w:rsidRPr="004910B4">
              <w:rPr>
                <w:b/>
                <w:i/>
                <w:sz w:val="18"/>
                <w:szCs w:val="18"/>
              </w:rPr>
              <w:instrText xml:space="preserve"> REF _Ref144913437 \h  \* MERGEFORMAT </w:instrText>
            </w:r>
            <w:r w:rsidR="00B63283" w:rsidRPr="008C451C">
              <w:rPr>
                <w:b/>
                <w:i/>
                <w:sz w:val="18"/>
                <w:szCs w:val="18"/>
              </w:rPr>
            </w:r>
            <w:r w:rsidR="00B63283" w:rsidRPr="008C451C">
              <w:rPr>
                <w:b/>
                <w:i/>
                <w:sz w:val="18"/>
                <w:szCs w:val="18"/>
              </w:rPr>
              <w:fldChar w:fldCharType="separate"/>
            </w:r>
            <w:r w:rsidR="00F25F8C" w:rsidRPr="004910B4">
              <w:rPr>
                <w:b/>
                <w:i/>
                <w:sz w:val="18"/>
                <w:szCs w:val="18"/>
              </w:rPr>
              <w:t xml:space="preserve">Table SI. </w:t>
            </w:r>
            <w:r w:rsidR="00F25F8C" w:rsidRPr="004910B4">
              <w:rPr>
                <w:b/>
                <w:i/>
                <w:noProof/>
                <w:sz w:val="18"/>
                <w:szCs w:val="18"/>
              </w:rPr>
              <w:t>100</w:t>
            </w:r>
            <w:r w:rsidR="00B63283" w:rsidRPr="008C451C">
              <w:rPr>
                <w:b/>
                <w:i/>
                <w:sz w:val="18"/>
                <w:szCs w:val="18"/>
              </w:rPr>
              <w:fldChar w:fldCharType="end"/>
            </w:r>
            <w:r w:rsidRPr="004910B4">
              <w:rPr>
                <w:b/>
                <w:i/>
                <w:sz w:val="18"/>
                <w:szCs w:val="18"/>
              </w:rPr>
              <w:t>.</w:t>
            </w:r>
          </w:p>
        </w:tc>
      </w:tr>
      <w:tr w:rsidR="00F669A1" w:rsidRPr="009A6FB7" w14:paraId="482D69E1"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24" w:type="dxa"/>
          </w:tcPr>
          <w:p w14:paraId="4A8A8858" w14:textId="77777777" w:rsidR="00F669A1" w:rsidRPr="004910B4" w:rsidRDefault="00F669A1" w:rsidP="000C3E59">
            <w:pPr>
              <w:jc w:val="right"/>
              <w:rPr>
                <w:b w:val="0"/>
                <w:sz w:val="18"/>
                <w:szCs w:val="18"/>
              </w:rPr>
            </w:pPr>
            <w:r w:rsidRPr="004910B4">
              <w:rPr>
                <w:b w:val="0"/>
                <w:sz w:val="18"/>
                <w:szCs w:val="18"/>
              </w:rPr>
              <w:t>Market for limestone, crushed, washed, CH</w:t>
            </w:r>
          </w:p>
        </w:tc>
        <w:tc>
          <w:tcPr>
            <w:tcW w:w="1190" w:type="dxa"/>
            <w:vMerge/>
          </w:tcPr>
          <w:p w14:paraId="3F9D860A" w14:textId="77777777" w:rsidR="00F669A1" w:rsidRPr="004910B4"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p>
        </w:tc>
        <w:tc>
          <w:tcPr>
            <w:tcW w:w="3928" w:type="dxa"/>
            <w:vMerge/>
          </w:tcPr>
          <w:p w14:paraId="192C00F5" w14:textId="77777777" w:rsidR="00F669A1" w:rsidRPr="004910B4" w:rsidRDefault="00F669A1" w:rsidP="000C3E59">
            <w:pPr>
              <w:jc w:val="both"/>
              <w:cnfStyle w:val="000000100000" w:firstRow="0" w:lastRow="0" w:firstColumn="0" w:lastColumn="0" w:oddVBand="0" w:evenVBand="0" w:oddHBand="1" w:evenHBand="0" w:firstRowFirstColumn="0" w:firstRowLastColumn="0" w:lastRowFirstColumn="0" w:lastRowLastColumn="0"/>
              <w:rPr>
                <w:i/>
                <w:sz w:val="18"/>
                <w:szCs w:val="18"/>
              </w:rPr>
            </w:pPr>
          </w:p>
        </w:tc>
      </w:tr>
      <w:tr w:rsidR="00F669A1" w:rsidRPr="009A6FB7" w14:paraId="3318FF2A" w14:textId="77777777" w:rsidTr="00942782">
        <w:tc>
          <w:tcPr>
            <w:cnfStyle w:val="001000000000" w:firstRow="0" w:lastRow="0" w:firstColumn="1" w:lastColumn="0" w:oddVBand="0" w:evenVBand="0" w:oddHBand="0" w:evenHBand="0" w:firstRowFirstColumn="0" w:firstRowLastColumn="0" w:lastRowFirstColumn="0" w:lastRowLastColumn="0"/>
            <w:tcW w:w="3924" w:type="dxa"/>
          </w:tcPr>
          <w:p w14:paraId="1143C365" w14:textId="77777777" w:rsidR="00F669A1" w:rsidRPr="004910B4" w:rsidRDefault="00F669A1" w:rsidP="000C3E59">
            <w:pPr>
              <w:jc w:val="right"/>
              <w:rPr>
                <w:b w:val="0"/>
                <w:sz w:val="18"/>
                <w:szCs w:val="18"/>
              </w:rPr>
            </w:pPr>
            <w:r w:rsidRPr="004910B4">
              <w:rPr>
                <w:b w:val="0"/>
                <w:sz w:val="18"/>
                <w:szCs w:val="18"/>
              </w:rPr>
              <w:t>Market for activated carbon, granular, GLO</w:t>
            </w:r>
          </w:p>
        </w:tc>
        <w:tc>
          <w:tcPr>
            <w:tcW w:w="1190" w:type="dxa"/>
            <w:vMerge/>
          </w:tcPr>
          <w:p w14:paraId="6FABA752" w14:textId="77777777" w:rsidR="00F669A1" w:rsidRPr="004910B4"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p>
        </w:tc>
        <w:tc>
          <w:tcPr>
            <w:tcW w:w="3928" w:type="dxa"/>
            <w:vMerge/>
          </w:tcPr>
          <w:p w14:paraId="273EE662" w14:textId="77777777" w:rsidR="00F669A1" w:rsidRPr="004910B4" w:rsidRDefault="00F669A1" w:rsidP="000C3E59">
            <w:pPr>
              <w:jc w:val="both"/>
              <w:cnfStyle w:val="000000000000" w:firstRow="0" w:lastRow="0" w:firstColumn="0" w:lastColumn="0" w:oddVBand="0" w:evenVBand="0" w:oddHBand="0" w:evenHBand="0" w:firstRowFirstColumn="0" w:firstRowLastColumn="0" w:lastRowFirstColumn="0" w:lastRowLastColumn="0"/>
              <w:rPr>
                <w:i/>
                <w:sz w:val="18"/>
                <w:szCs w:val="18"/>
              </w:rPr>
            </w:pPr>
          </w:p>
        </w:tc>
      </w:tr>
      <w:tr w:rsidR="00F669A1" w:rsidRPr="009A6FB7" w14:paraId="4B4E5566"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24" w:type="dxa"/>
          </w:tcPr>
          <w:p w14:paraId="6101C59F" w14:textId="77777777" w:rsidR="00F669A1" w:rsidRPr="004910B4" w:rsidRDefault="00F669A1" w:rsidP="000C3E59">
            <w:pPr>
              <w:jc w:val="right"/>
              <w:rPr>
                <w:b w:val="0"/>
                <w:sz w:val="18"/>
                <w:szCs w:val="18"/>
              </w:rPr>
            </w:pPr>
            <w:r w:rsidRPr="004910B4">
              <w:rPr>
                <w:b w:val="0"/>
                <w:sz w:val="18"/>
                <w:szCs w:val="18"/>
              </w:rPr>
              <w:t>Market for inert waste, EU</w:t>
            </w:r>
          </w:p>
        </w:tc>
        <w:tc>
          <w:tcPr>
            <w:tcW w:w="1190" w:type="dxa"/>
            <w:vMerge/>
          </w:tcPr>
          <w:p w14:paraId="1C075D06" w14:textId="77777777" w:rsidR="00F669A1" w:rsidRPr="004910B4"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p>
        </w:tc>
        <w:tc>
          <w:tcPr>
            <w:tcW w:w="3928" w:type="dxa"/>
            <w:vMerge/>
          </w:tcPr>
          <w:p w14:paraId="6188771C" w14:textId="77777777" w:rsidR="00F669A1" w:rsidRPr="004910B4" w:rsidRDefault="00F669A1" w:rsidP="000C3E59">
            <w:pPr>
              <w:jc w:val="both"/>
              <w:cnfStyle w:val="000000100000" w:firstRow="0" w:lastRow="0" w:firstColumn="0" w:lastColumn="0" w:oddVBand="0" w:evenVBand="0" w:oddHBand="1" w:evenHBand="0" w:firstRowFirstColumn="0" w:firstRowLastColumn="0" w:lastRowFirstColumn="0" w:lastRowLastColumn="0"/>
              <w:rPr>
                <w:i/>
                <w:sz w:val="18"/>
                <w:szCs w:val="18"/>
              </w:rPr>
            </w:pPr>
          </w:p>
        </w:tc>
      </w:tr>
      <w:tr w:rsidR="00F669A1" w:rsidRPr="009A6FB7" w14:paraId="3C5003FF" w14:textId="77777777" w:rsidTr="00942782">
        <w:tc>
          <w:tcPr>
            <w:cnfStyle w:val="001000000000" w:firstRow="0" w:lastRow="0" w:firstColumn="1" w:lastColumn="0" w:oddVBand="0" w:evenVBand="0" w:oddHBand="0" w:evenHBand="0" w:firstRowFirstColumn="0" w:firstRowLastColumn="0" w:lastRowFirstColumn="0" w:lastRowLastColumn="0"/>
            <w:tcW w:w="3924" w:type="dxa"/>
          </w:tcPr>
          <w:p w14:paraId="172EF6EF" w14:textId="77777777" w:rsidR="00F669A1" w:rsidRPr="004910B4" w:rsidRDefault="00F669A1" w:rsidP="000C3E59">
            <w:pPr>
              <w:jc w:val="right"/>
              <w:rPr>
                <w:b w:val="0"/>
                <w:sz w:val="18"/>
                <w:szCs w:val="18"/>
              </w:rPr>
            </w:pPr>
            <w:r w:rsidRPr="004910B4">
              <w:rPr>
                <w:b w:val="0"/>
                <w:sz w:val="18"/>
                <w:szCs w:val="18"/>
              </w:rPr>
              <w:t>Market for tap water, CH</w:t>
            </w:r>
          </w:p>
        </w:tc>
        <w:tc>
          <w:tcPr>
            <w:tcW w:w="1190" w:type="dxa"/>
            <w:vMerge w:val="restart"/>
          </w:tcPr>
          <w:p w14:paraId="7FC3F03C" w14:textId="77777777" w:rsidR="00F669A1" w:rsidRPr="004910B4"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r w:rsidRPr="004910B4">
              <w:rPr>
                <w:sz w:val="18"/>
                <w:szCs w:val="18"/>
              </w:rPr>
              <w:t>Gaschar management</w:t>
            </w:r>
          </w:p>
        </w:tc>
        <w:tc>
          <w:tcPr>
            <w:tcW w:w="3928" w:type="dxa"/>
          </w:tcPr>
          <w:p w14:paraId="1AE41D98" w14:textId="77777777" w:rsidR="00F669A1" w:rsidRPr="004910B4" w:rsidRDefault="00F669A1" w:rsidP="000C3E59">
            <w:pPr>
              <w:jc w:val="both"/>
              <w:cnfStyle w:val="000000000000" w:firstRow="0" w:lastRow="0" w:firstColumn="0" w:lastColumn="0" w:oddVBand="0" w:evenVBand="0" w:oddHBand="0" w:evenHBand="0" w:firstRowFirstColumn="0" w:firstRowLastColumn="0" w:lastRowFirstColumn="0" w:lastRowLastColumn="0"/>
              <w:rPr>
                <w:i/>
                <w:sz w:val="18"/>
                <w:szCs w:val="18"/>
              </w:rPr>
            </w:pPr>
            <w:r w:rsidRPr="004910B4">
              <w:rPr>
                <w:i/>
                <w:sz w:val="18"/>
                <w:szCs w:val="18"/>
              </w:rPr>
              <w:t>Easier handling for land application.</w:t>
            </w:r>
          </w:p>
        </w:tc>
      </w:tr>
      <w:tr w:rsidR="00F669A1" w:rsidRPr="009A6FB7" w14:paraId="28E74E7F"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24" w:type="dxa"/>
          </w:tcPr>
          <w:p w14:paraId="64B614D1" w14:textId="77777777" w:rsidR="00F669A1" w:rsidRPr="004910B4" w:rsidRDefault="00F669A1" w:rsidP="000C3E59">
            <w:pPr>
              <w:jc w:val="right"/>
              <w:rPr>
                <w:b w:val="0"/>
                <w:sz w:val="18"/>
                <w:szCs w:val="18"/>
              </w:rPr>
            </w:pPr>
            <w:r w:rsidRPr="004910B4">
              <w:rPr>
                <w:b w:val="0"/>
                <w:sz w:val="18"/>
                <w:szCs w:val="18"/>
              </w:rPr>
              <w:t>Solid manure loading and spreading, by hydraulic loader, CH</w:t>
            </w:r>
          </w:p>
        </w:tc>
        <w:tc>
          <w:tcPr>
            <w:tcW w:w="1190" w:type="dxa"/>
            <w:vMerge/>
          </w:tcPr>
          <w:p w14:paraId="38498532" w14:textId="77777777" w:rsidR="00F669A1" w:rsidRPr="004910B4"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p>
        </w:tc>
        <w:tc>
          <w:tcPr>
            <w:tcW w:w="3928" w:type="dxa"/>
          </w:tcPr>
          <w:p w14:paraId="77879EE2" w14:textId="77777777" w:rsidR="00F669A1" w:rsidRPr="004910B4" w:rsidRDefault="00F669A1" w:rsidP="000C3E59">
            <w:pPr>
              <w:jc w:val="both"/>
              <w:cnfStyle w:val="000000100000" w:firstRow="0" w:lastRow="0" w:firstColumn="0" w:lastColumn="0" w:oddVBand="0" w:evenVBand="0" w:oddHBand="1" w:evenHBand="0" w:firstRowFirstColumn="0" w:firstRowLastColumn="0" w:lastRowFirstColumn="0" w:lastRowLastColumn="0"/>
              <w:rPr>
                <w:i/>
                <w:sz w:val="18"/>
                <w:szCs w:val="18"/>
              </w:rPr>
            </w:pPr>
            <w:r w:rsidRPr="004910B4">
              <w:rPr>
                <w:i/>
                <w:sz w:val="18"/>
                <w:szCs w:val="18"/>
              </w:rPr>
              <w:t>Proxy of moisturized gaschar land application</w:t>
            </w:r>
          </w:p>
        </w:tc>
      </w:tr>
      <w:tr w:rsidR="00F669A1" w:rsidRPr="009A6FB7" w14:paraId="1B1D2EC4" w14:textId="77777777" w:rsidTr="00942782">
        <w:tc>
          <w:tcPr>
            <w:cnfStyle w:val="001000000000" w:firstRow="0" w:lastRow="0" w:firstColumn="1" w:lastColumn="0" w:oddVBand="0" w:evenVBand="0" w:oddHBand="0" w:evenHBand="0" w:firstRowFirstColumn="0" w:firstRowLastColumn="0" w:lastRowFirstColumn="0" w:lastRowLastColumn="0"/>
            <w:tcW w:w="3924" w:type="dxa"/>
          </w:tcPr>
          <w:p w14:paraId="4CBB247E" w14:textId="77777777" w:rsidR="00F669A1" w:rsidRPr="004910B4" w:rsidRDefault="00F669A1" w:rsidP="000C3E59">
            <w:pPr>
              <w:jc w:val="right"/>
              <w:rPr>
                <w:b w:val="0"/>
                <w:sz w:val="18"/>
                <w:szCs w:val="18"/>
              </w:rPr>
            </w:pPr>
            <w:r w:rsidRPr="004910B4">
              <w:rPr>
                <w:b w:val="0"/>
                <w:sz w:val="18"/>
                <w:szCs w:val="18"/>
              </w:rPr>
              <w:t>Gravel production, crushed, CH</w:t>
            </w:r>
          </w:p>
        </w:tc>
        <w:tc>
          <w:tcPr>
            <w:tcW w:w="1190" w:type="dxa"/>
            <w:vMerge/>
          </w:tcPr>
          <w:p w14:paraId="4273E51E" w14:textId="77777777" w:rsidR="00F669A1" w:rsidRPr="004910B4"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p>
        </w:tc>
        <w:tc>
          <w:tcPr>
            <w:tcW w:w="3928" w:type="dxa"/>
          </w:tcPr>
          <w:p w14:paraId="73298696" w14:textId="77777777" w:rsidR="00F669A1" w:rsidRPr="004910B4" w:rsidRDefault="00F669A1" w:rsidP="000C3E59">
            <w:pPr>
              <w:jc w:val="both"/>
              <w:cnfStyle w:val="000000000000" w:firstRow="0" w:lastRow="0" w:firstColumn="0" w:lastColumn="0" w:oddVBand="0" w:evenVBand="0" w:oddHBand="0" w:evenHBand="0" w:firstRowFirstColumn="0" w:firstRowLastColumn="0" w:lastRowFirstColumn="0" w:lastRowLastColumn="0"/>
              <w:rPr>
                <w:i/>
                <w:sz w:val="18"/>
                <w:szCs w:val="18"/>
              </w:rPr>
            </w:pPr>
            <w:r w:rsidRPr="004910B4">
              <w:rPr>
                <w:i/>
                <w:sz w:val="18"/>
                <w:szCs w:val="18"/>
              </w:rPr>
              <w:t>Used to model avoided construction aggregates</w:t>
            </w:r>
          </w:p>
        </w:tc>
      </w:tr>
      <w:tr w:rsidR="00F669A1" w:rsidRPr="009A6FB7" w14:paraId="36A64AE8" w14:textId="77777777" w:rsidTr="009427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24" w:type="dxa"/>
          </w:tcPr>
          <w:p w14:paraId="4997DBDC" w14:textId="77777777" w:rsidR="00F669A1" w:rsidRPr="004910B4" w:rsidRDefault="00F669A1" w:rsidP="000C3E59">
            <w:pPr>
              <w:jc w:val="right"/>
              <w:rPr>
                <w:b w:val="0"/>
                <w:sz w:val="18"/>
                <w:szCs w:val="18"/>
              </w:rPr>
            </w:pPr>
            <w:r w:rsidRPr="004910B4">
              <w:rPr>
                <w:b w:val="0"/>
                <w:sz w:val="18"/>
                <w:szCs w:val="18"/>
              </w:rPr>
              <w:t>Treatment of wastewater, unpolluted, CH</w:t>
            </w:r>
          </w:p>
        </w:tc>
        <w:tc>
          <w:tcPr>
            <w:tcW w:w="1190" w:type="dxa"/>
            <w:vMerge w:val="restart"/>
          </w:tcPr>
          <w:p w14:paraId="61DA6BC6" w14:textId="77777777" w:rsidR="00F669A1" w:rsidRPr="004910B4" w:rsidRDefault="00F669A1" w:rsidP="000C3E59">
            <w:pPr>
              <w:cnfStyle w:val="000000100000" w:firstRow="0" w:lastRow="0" w:firstColumn="0" w:lastColumn="0" w:oddVBand="0" w:evenVBand="0" w:oddHBand="1" w:evenHBand="0" w:firstRowFirstColumn="0" w:firstRowLastColumn="0" w:lastRowFirstColumn="0" w:lastRowLastColumn="0"/>
              <w:rPr>
                <w:sz w:val="18"/>
                <w:szCs w:val="18"/>
              </w:rPr>
            </w:pPr>
            <w:r w:rsidRPr="004910B4">
              <w:rPr>
                <w:sz w:val="18"/>
                <w:szCs w:val="18"/>
              </w:rPr>
              <w:t>When required</w:t>
            </w:r>
          </w:p>
        </w:tc>
        <w:tc>
          <w:tcPr>
            <w:tcW w:w="3928" w:type="dxa"/>
          </w:tcPr>
          <w:p w14:paraId="13657781" w14:textId="77777777" w:rsidR="00F669A1" w:rsidRPr="004910B4" w:rsidRDefault="00F669A1" w:rsidP="000C3E59">
            <w:pPr>
              <w:jc w:val="both"/>
              <w:cnfStyle w:val="000000100000" w:firstRow="0" w:lastRow="0" w:firstColumn="0" w:lastColumn="0" w:oddVBand="0" w:evenVBand="0" w:oddHBand="1" w:evenHBand="0" w:firstRowFirstColumn="0" w:firstRowLastColumn="0" w:lastRowFirstColumn="0" w:lastRowLastColumn="0"/>
              <w:rPr>
                <w:i/>
                <w:sz w:val="18"/>
                <w:szCs w:val="18"/>
              </w:rPr>
            </w:pPr>
            <w:r w:rsidRPr="004910B4">
              <w:rPr>
                <w:i/>
                <w:sz w:val="18"/>
                <w:szCs w:val="18"/>
              </w:rPr>
              <w:t>To treat cooling condensed water (after cleaning operations). Quantity from mass balance.</w:t>
            </w:r>
          </w:p>
        </w:tc>
      </w:tr>
      <w:tr w:rsidR="00F669A1" w:rsidRPr="009A6FB7" w14:paraId="7EFE4211" w14:textId="77777777" w:rsidTr="00942782">
        <w:tc>
          <w:tcPr>
            <w:cnfStyle w:val="001000000000" w:firstRow="0" w:lastRow="0" w:firstColumn="1" w:lastColumn="0" w:oddVBand="0" w:evenVBand="0" w:oddHBand="0" w:evenHBand="0" w:firstRowFirstColumn="0" w:firstRowLastColumn="0" w:lastRowFirstColumn="0" w:lastRowLastColumn="0"/>
            <w:tcW w:w="3924" w:type="dxa"/>
          </w:tcPr>
          <w:p w14:paraId="24948538" w14:textId="77777777" w:rsidR="00F669A1" w:rsidRPr="004910B4" w:rsidRDefault="00F669A1" w:rsidP="000C3E59">
            <w:pPr>
              <w:jc w:val="right"/>
              <w:rPr>
                <w:b w:val="0"/>
                <w:sz w:val="18"/>
                <w:szCs w:val="18"/>
              </w:rPr>
            </w:pPr>
            <w:r w:rsidRPr="004910B4">
              <w:rPr>
                <w:b w:val="0"/>
                <w:sz w:val="18"/>
                <w:szCs w:val="18"/>
              </w:rPr>
              <w:t>Market for water, deionized, CH</w:t>
            </w:r>
          </w:p>
        </w:tc>
        <w:tc>
          <w:tcPr>
            <w:tcW w:w="1190" w:type="dxa"/>
            <w:vMerge/>
          </w:tcPr>
          <w:p w14:paraId="70C76E23" w14:textId="77777777" w:rsidR="00F669A1" w:rsidRPr="004910B4" w:rsidRDefault="00F669A1" w:rsidP="000C3E59">
            <w:pPr>
              <w:cnfStyle w:val="000000000000" w:firstRow="0" w:lastRow="0" w:firstColumn="0" w:lastColumn="0" w:oddVBand="0" w:evenVBand="0" w:oddHBand="0" w:evenHBand="0" w:firstRowFirstColumn="0" w:firstRowLastColumn="0" w:lastRowFirstColumn="0" w:lastRowLastColumn="0"/>
              <w:rPr>
                <w:sz w:val="18"/>
                <w:szCs w:val="18"/>
              </w:rPr>
            </w:pPr>
          </w:p>
        </w:tc>
        <w:tc>
          <w:tcPr>
            <w:tcW w:w="3928" w:type="dxa"/>
          </w:tcPr>
          <w:p w14:paraId="2DD928C8" w14:textId="77777777" w:rsidR="00F669A1" w:rsidRPr="004910B4" w:rsidRDefault="00F669A1" w:rsidP="000C3E59">
            <w:pPr>
              <w:jc w:val="both"/>
              <w:cnfStyle w:val="000000000000" w:firstRow="0" w:lastRow="0" w:firstColumn="0" w:lastColumn="0" w:oddVBand="0" w:evenVBand="0" w:oddHBand="0" w:evenHBand="0" w:firstRowFirstColumn="0" w:firstRowLastColumn="0" w:lastRowFirstColumn="0" w:lastRowLastColumn="0"/>
              <w:rPr>
                <w:i/>
                <w:sz w:val="18"/>
                <w:szCs w:val="18"/>
              </w:rPr>
            </w:pPr>
            <w:r w:rsidRPr="004910B4">
              <w:rPr>
                <w:i/>
                <w:sz w:val="18"/>
                <w:szCs w:val="18"/>
              </w:rPr>
              <w:t>To produce steam</w:t>
            </w:r>
          </w:p>
        </w:tc>
      </w:tr>
    </w:tbl>
    <w:p w14:paraId="52815707" w14:textId="3D818B31" w:rsidR="00F669A1" w:rsidRPr="003F5DA8" w:rsidRDefault="00F669A1" w:rsidP="00942782">
      <w:pPr>
        <w:jc w:val="both"/>
        <w:rPr>
          <w:sz w:val="18"/>
        </w:rPr>
      </w:pPr>
      <w:r w:rsidRPr="004910B4">
        <w:rPr>
          <w:sz w:val="18"/>
        </w:rPr>
        <w:t>All processes are from the ecoinvent 3.8 consequential database. EU is used instead of the full name ecoinvent label “Europe without Switzerland”. Additional p</w:t>
      </w:r>
      <w:r w:rsidRPr="003F5DA8">
        <w:rPr>
          <w:sz w:val="18"/>
        </w:rPr>
        <w:t xml:space="preserve">ipeline network was neglected. Direct flows to biosphere are </w:t>
      </w:r>
      <w:r w:rsidRPr="002F2C5A">
        <w:rPr>
          <w:sz w:val="18"/>
        </w:rPr>
        <w:t xml:space="preserve">displayed in </w:t>
      </w:r>
      <w:r w:rsidR="008C451C" w:rsidRPr="008C451C">
        <w:rPr>
          <w:i/>
          <w:sz w:val="18"/>
        </w:rPr>
        <w:t>B.GA_module spreadsheet</w:t>
      </w:r>
      <w:r w:rsidRPr="003F5DA8">
        <w:rPr>
          <w:sz w:val="18"/>
        </w:rPr>
        <w:t>.</w:t>
      </w:r>
    </w:p>
    <w:p w14:paraId="058B9509" w14:textId="567D98CA" w:rsidR="008C451C" w:rsidRDefault="00B92C6D" w:rsidP="00B92C6D">
      <w:pPr>
        <w:jc w:val="both"/>
      </w:pPr>
      <w:r w:rsidRPr="003F5DA8">
        <w:t>Background processes and technology parameters associated with transversal unit operations between many mod</w:t>
      </w:r>
      <w:r w:rsidR="00655BBB">
        <w:t>el</w:t>
      </w:r>
      <w:r w:rsidRPr="003F5DA8">
        <w:t xml:space="preserve">s (e.g. pretreatments, transportation, etc.) are displayed in the </w:t>
      </w:r>
      <w:r w:rsidRPr="00B825DA">
        <w:t>common</w:t>
      </w:r>
      <w:r>
        <w:rPr>
          <w:b/>
        </w:rPr>
        <w:t xml:space="preserve"> section </w:t>
      </w:r>
      <w:r w:rsidR="000C6C37">
        <w:rPr>
          <w:b/>
        </w:rPr>
        <w:t xml:space="preserve">SI. </w:t>
      </w:r>
      <w:r>
        <w:rPr>
          <w:b/>
        </w:rPr>
        <w:fldChar w:fldCharType="begin"/>
      </w:r>
      <w:r>
        <w:rPr>
          <w:b/>
        </w:rPr>
        <w:instrText xml:space="preserve"> REF _Ref144802667 \r \h </w:instrText>
      </w:r>
      <w:r>
        <w:rPr>
          <w:b/>
        </w:rPr>
      </w:r>
      <w:r>
        <w:rPr>
          <w:b/>
        </w:rPr>
        <w:fldChar w:fldCharType="separate"/>
      </w:r>
      <w:r w:rsidR="00F25F8C">
        <w:rPr>
          <w:b/>
        </w:rPr>
        <w:t>4.1</w:t>
      </w:r>
      <w:r>
        <w:rPr>
          <w:b/>
        </w:rPr>
        <w:fldChar w:fldCharType="end"/>
      </w:r>
      <w:r w:rsidRPr="00B825DA">
        <w:t>.</w:t>
      </w:r>
      <w:r w:rsidRPr="002002AA">
        <w:t xml:space="preserve"> </w:t>
      </w:r>
      <w:r w:rsidRPr="003F5DA8">
        <w:t>Rest of modeling details (e.g. all biosphere flows) are available directly within corresponding excel mod</w:t>
      </w:r>
      <w:r w:rsidR="000C6C37">
        <w:t>el</w:t>
      </w:r>
      <w:r>
        <w:t>.</w:t>
      </w:r>
    </w:p>
    <w:p w14:paraId="152AFFA8" w14:textId="2A3AEB5A" w:rsidR="00D70F7A" w:rsidRDefault="00D70F7A" w:rsidP="00D70F7A">
      <w:pPr>
        <w:jc w:val="both"/>
      </w:pPr>
      <w:r w:rsidRPr="008F2922">
        <w:rPr>
          <w:rStyle w:val="fontstyle01"/>
        </w:rPr>
        <w:t>Shortcomings and improvement</w:t>
      </w:r>
      <w:r>
        <w:rPr>
          <w:rStyle w:val="fontstyle01"/>
        </w:rPr>
        <w:t>s</w:t>
      </w:r>
      <w:r w:rsidRPr="008F2922">
        <w:rPr>
          <w:rStyle w:val="fontstyle01"/>
        </w:rPr>
        <w:t xml:space="preserve"> potential of the </w:t>
      </w:r>
      <w:r>
        <w:rPr>
          <w:rStyle w:val="fontstyle01"/>
        </w:rPr>
        <w:t>LCI</w:t>
      </w:r>
      <w:r w:rsidRPr="008F2922">
        <w:rPr>
          <w:rStyle w:val="fontstyle01"/>
        </w:rPr>
        <w:t xml:space="preserve"> model lie in different areas. First, the gasification performances estimation is still based on too few primary data, mostly aggregated</w:t>
      </w:r>
      <w:r>
        <w:rPr>
          <w:rStyle w:val="fontstyle01"/>
        </w:rPr>
        <w:t>, meaning that the proposed LCI</w:t>
      </w:r>
      <w:r w:rsidRPr="008F2922">
        <w:t xml:space="preserve"> </w:t>
      </w:r>
      <w:r>
        <w:t>is not generic but sensitive to technological choices (for example, the specific</w:t>
      </w:r>
      <w:r w:rsidRPr="008F2922">
        <w:rPr>
          <w:rStyle w:val="fontstyle01"/>
        </w:rPr>
        <w:t xml:space="preserve"> catalyst </w:t>
      </w:r>
      <w:r>
        <w:rPr>
          <w:rStyle w:val="fontstyle01"/>
        </w:rPr>
        <w:t xml:space="preserve">selected </w:t>
      </w:r>
      <w:r w:rsidRPr="008F2922">
        <w:rPr>
          <w:rStyle w:val="fontstyle01"/>
        </w:rPr>
        <w:t xml:space="preserve">for gasification </w:t>
      </w:r>
      <w:r>
        <w:rPr>
          <w:rStyle w:val="fontstyle01"/>
        </w:rPr>
        <w:t>and</w:t>
      </w:r>
      <w:r w:rsidRPr="008F2922">
        <w:rPr>
          <w:rStyle w:val="fontstyle01"/>
        </w:rPr>
        <w:t xml:space="preserve"> water shifting reactions</w:t>
      </w:r>
      <w:r>
        <w:rPr>
          <w:rStyle w:val="fontstyle01"/>
        </w:rPr>
        <w:t>)</w:t>
      </w:r>
      <w:r w:rsidRPr="008F2922">
        <w:rPr>
          <w:rStyle w:val="fontstyle01"/>
        </w:rPr>
        <w:t>. The a</w:t>
      </w:r>
      <w:r w:rsidRPr="008F2922">
        <w:t>ggregation of GA documentation also induced many simplifications and inhomogeneous modeling (</w:t>
      </w:r>
      <w:r>
        <w:t xml:space="preserve">details in </w:t>
      </w:r>
      <w:r w:rsidRPr="00E21C57">
        <w:rPr>
          <w:b/>
        </w:rPr>
        <w:t xml:space="preserve">section </w:t>
      </w:r>
      <w:r w:rsidRPr="008F2922">
        <w:rPr>
          <w:b/>
        </w:rPr>
        <w:t>SI</w:t>
      </w:r>
      <w:r>
        <w:rPr>
          <w:b/>
        </w:rPr>
        <w:t>.4.8</w:t>
      </w:r>
      <w:r w:rsidRPr="008F2922">
        <w:t xml:space="preserve">), </w:t>
      </w:r>
      <w:r>
        <w:t xml:space="preserve">which lead to a lower modeling granularity for their technological parameters compared to the ones of other pathways. For instance, the generic parameter “post-treatment GA power requirements” englobes several unit operations. </w:t>
      </w:r>
      <w:r w:rsidRPr="008F2922">
        <w:t xml:space="preserve">A next version of </w:t>
      </w:r>
      <w:r>
        <w:t>the GA LCI model</w:t>
      </w:r>
      <w:r w:rsidRPr="008F2922">
        <w:t xml:space="preserve"> should build on process-based </w:t>
      </w:r>
      <w:r w:rsidRPr="003057AD">
        <w:t>analysis</w:t>
      </w:r>
      <w:r w:rsidRPr="003057AD">
        <w:fldChar w:fldCharType="begin"/>
      </w:r>
      <w:r w:rsidR="003057AD">
        <w:instrText xml:space="preserve"> ADDIN ZOTERO_ITEM CSL_CITATION {"citationID":"au2p80osjm","properties":{"formattedCitation":"\\super 351\\nosupersub{}","plainCitation":"351","noteIndex":0},"citationItems":[{"id":13994,"uris":["http://zotero.org/users/6423791/items/JEC62LB9"],"itemData":{"id":13994,"type":"article-journal","abstract":"Energy generation from biomass through gasification has been a keen area of research for a long time. However, gasification still needs to overcome a significant number of challenges for its wider acceptability. Even though experimental works on lab-scale biomass gasifiers are available, computational modelling and simulations are crucial in predicting the system performance. Process simulation and analysis of fluidized bed gasification using Aspen Plus software are considered in this study. Among the three Aspen Plus models developed in the present study, model 1 and model 2 are developed based on equilibrium and kinetic approach, respectively. In addition to this, reaction kinetics, gasifier geometry and bed hydrodynamics are considered in model 3. The model-predicted values are then validated against experimental data. Minimum values of mean error, root mean square error, mean absolute error and mean absolute percentage error, are observed for model 3. As model 3 realistically represents the gasification process, the impact of gasification temperature and equivalence ratio on the product gas composition, lower heating value, cold gas efficiency and carbon conversion efficiency are systematically studied using this model. The model is simulated at temperatures ranging from 680 to 800 °C and equivalence ratio of 0.24–0.32. The simulation results indicated that higher operating temperature and lower equivalence ratio enhanced the gasification process. Benzene is identified as the primary component of tar with a composition of 9.79 g/kgbiom.","container-title":"Process Integration and Optimization for Sustainability","DOI":"10.1007/s41660-022-00291-x","ISSN":"2509-4246","journalAbbreviation":"Process Integr Optim Sustain","language":"en","source":"Springer Link","title":"Aspen Plus Simulation of Biomass Gasification: a Comprehensive Model Incorporating Reaction Kinetics, Hydrodynamics and Tar Production","title-short":"Aspen Plus Simulation of Biomass Gasification","URL":"https://doi.org/10.1007/s41660-022-00291-x","author":[{"family":"Abdul Azeez","given":"K T"},{"family":"P","given":"Suraj"},{"family":"C","given":"Muraleedharan"},{"family":"P","given":"Arun"}],"accessed":{"date-parts":[["2023",1,12]]},"issued":{"date-parts":[["2022",11,5]]}}}],"schema":"https://github.com/citation-style-language/schema/raw/master/csl-citation.json"} </w:instrText>
      </w:r>
      <w:r w:rsidRPr="003057AD">
        <w:fldChar w:fldCharType="separate"/>
      </w:r>
      <w:r w:rsidR="003057AD" w:rsidRPr="003057AD">
        <w:rPr>
          <w:rFonts w:ascii="Calibri" w:hAnsi="Calibri" w:cs="Calibri"/>
          <w:szCs w:val="24"/>
          <w:vertAlign w:val="superscript"/>
        </w:rPr>
        <w:t>351</w:t>
      </w:r>
      <w:r w:rsidRPr="003057AD">
        <w:fldChar w:fldCharType="end"/>
      </w:r>
      <w:r w:rsidRPr="003057AD">
        <w:t>.</w:t>
      </w:r>
      <w:r w:rsidRPr="008F2922">
        <w:t xml:space="preserve"> Yet, </w:t>
      </w:r>
      <w:r>
        <w:t xml:space="preserve">the </w:t>
      </w:r>
      <w:r w:rsidRPr="008F2922">
        <w:t xml:space="preserve">main </w:t>
      </w:r>
      <w:r>
        <w:t>GA performance indicators estimated were found in line</w:t>
      </w:r>
      <w:r w:rsidRPr="008F2922">
        <w:t xml:space="preserve"> with </w:t>
      </w:r>
      <w:r>
        <w:t>reviewed</w:t>
      </w:r>
      <w:r w:rsidRPr="008F2922">
        <w:t xml:space="preserve"> literature, </w:t>
      </w:r>
      <w:r>
        <w:t xml:space="preserve">and the identified inconsistencies limited to streams with specific elemental composition. Among others </w:t>
      </w:r>
      <w:r w:rsidRPr="008F2922">
        <w:lastRenderedPageBreak/>
        <w:t>improvement leverages</w:t>
      </w:r>
      <w:r>
        <w:t>, estimates of gasification’s</w:t>
      </w:r>
      <w:r w:rsidRPr="008F2922">
        <w:t xml:space="preserve"> fugitive emissions</w:t>
      </w:r>
      <w:r>
        <w:t xml:space="preserve"> should be refined.</w:t>
      </w:r>
      <w:r w:rsidRPr="008F2922">
        <w:t xml:space="preserve"> </w:t>
      </w:r>
      <w:r>
        <w:t xml:space="preserve">These were found hardly ever </w:t>
      </w:r>
      <w:r w:rsidRPr="008F2922">
        <w:t>accounted</w:t>
      </w:r>
      <w:r>
        <w:t xml:space="preserve"> for</w:t>
      </w:r>
      <w:r w:rsidRPr="008F2922">
        <w:t xml:space="preserve"> in </w:t>
      </w:r>
      <w:r>
        <w:t xml:space="preserve">reviewed </w:t>
      </w:r>
      <w:r w:rsidRPr="008F2922">
        <w:t>LCAs</w:t>
      </w:r>
      <w:r>
        <w:t xml:space="preserve">, due to the </w:t>
      </w:r>
      <w:r w:rsidRPr="008F2922">
        <w:t>lack of data</w:t>
      </w:r>
      <w:r>
        <w:t>. Yet,</w:t>
      </w:r>
      <w:r w:rsidRPr="008F2922">
        <w:t xml:space="preserve"> </w:t>
      </w:r>
      <w:r>
        <w:t xml:space="preserve">this omission induces </w:t>
      </w:r>
      <w:r w:rsidRPr="008F2922">
        <w:t xml:space="preserve">unfair comparison with </w:t>
      </w:r>
      <w:r>
        <w:t xml:space="preserve">anaerobic digestion, </w:t>
      </w:r>
      <w:r w:rsidRPr="008F2922">
        <w:t>whose leakage are already documented</w:t>
      </w:r>
      <w:r>
        <w:t>. Moreover,</w:t>
      </w:r>
      <w:r w:rsidRPr="008F2922">
        <w:t xml:space="preserve"> </w:t>
      </w:r>
      <w:r>
        <w:t xml:space="preserve">the effects and potential of gaschar should be better quantified, as gaschar was found as </w:t>
      </w:r>
      <w:r w:rsidRPr="008F2922">
        <w:t xml:space="preserve">the least studied char from the thermochemical processing </w:t>
      </w:r>
      <w:r w:rsidRPr="003057AD">
        <w:t>families</w:t>
      </w:r>
      <w:r w:rsidRPr="003057AD">
        <w:fldChar w:fldCharType="begin"/>
      </w:r>
      <w:r w:rsidR="003057AD">
        <w:instrText xml:space="preserve"> ADDIN ZOTERO_ITEM CSL_CITATION {"citationID":"a1rqk7g3uj6","properties":{"formattedCitation":"\\super 347\\nosupersub{}","plainCitation":"347","noteIndex":0},"citationItems":[{"id":13984,"uris":["http://zotero.org/users/6423791/items/WMFETTX5"],"itemData":{"id":13984,"type":"article-journal","abstract":"Abstract\n          \n            Crop residues potential for the bioeconomy is often limited under the basis of avoiding prospective soil organic carbon depletion. However, when processed in the bioeconomy the biomass carbon can be partially recovered in a stabilized degradation-resistant state in the coproducts. This study interlinks the theoretical basis between the coproducts’ characteristics and behavior in soils and the use of soil models to predict the effect of replacing crop residues with bioeconomy coproducts. Stemming from a revision of over 600 datasets we defined conversion coefficients from biomass C to coproduct (Cc) and their inherent recalcitrance in soils (C\n            R\n            ) for pyrolysis (Cc: 48%, C\n            R\n            : 95%) and gasification biochar (Cc: 20%, C\n            R\n            : 95%), hydrochar (Cc: 31%, C\n            R\n            : 83%), digestate (Cc: 36%, C\n            R\n            : 68%) and lignocellulosic bioethanol solid (Cc: 44%, C\n            R\n            : 42%) and liquid (Cc: 21%, C\n            R\n            : 46%) coproducts. Different approaches to incorporate stabilized organic matter in soil models were investigated as well as the data requirements of a variety of soil models to set the basis for model adaptation in a dynamic harvest – return of C to explore future scenarios involving the coproducts return as a strategy to increase the bioeconomy feedstock provision while ensuring the maintenance of SOC sotcks.","container-title":"Renewable and Sustainable Energy Reviews","DOI":"https://doi.org/10.1016/j.rser.2023.113890","issue":"Part A","journalAbbreviation":"Renew. Sust. Energ. Rev.","language":"en","page":"113890","source":"DOI.org (Crossref)","title":"The interplay between bioeconomy and the maintenance of long-term soil organic carbon stock in agricultural soils: A systematic review","volume":"189","author":[{"family":"Andrade","given":"Christhel"},{"family":"Albers","given":"Ariane"},{"family":"Zamora-Ledezma","given":"Ezequiel"},{"family":"Hamelin","given":"Lorie"}],"issued":{"date-parts":[["2023"]]}}}],"schema":"https://github.com/citation-style-language/schema/raw/master/csl-citation.json"} </w:instrText>
      </w:r>
      <w:r w:rsidRPr="003057AD">
        <w:fldChar w:fldCharType="separate"/>
      </w:r>
      <w:r w:rsidR="003057AD" w:rsidRPr="003057AD">
        <w:rPr>
          <w:rFonts w:ascii="Calibri" w:hAnsi="Calibri" w:cs="Calibri"/>
          <w:szCs w:val="24"/>
          <w:vertAlign w:val="superscript"/>
        </w:rPr>
        <w:t>347</w:t>
      </w:r>
      <w:r w:rsidRPr="003057AD">
        <w:fldChar w:fldCharType="end"/>
      </w:r>
      <w:r w:rsidRPr="003057AD">
        <w:t>.</w:t>
      </w:r>
    </w:p>
    <w:p w14:paraId="326ABE48" w14:textId="47BA1BD7" w:rsidR="008C451C" w:rsidRDefault="008C451C"/>
    <w:p w14:paraId="4A9A338E" w14:textId="435273B9" w:rsidR="0040245B" w:rsidRDefault="0040245B" w:rsidP="0040245B">
      <w:pPr>
        <w:pStyle w:val="Titre3"/>
      </w:pPr>
      <w:bookmarkStart w:id="437" w:name="_Toc145069138"/>
      <w:r>
        <w:t>Process flow diagram of the adapted anaerobic digestion mode</w:t>
      </w:r>
      <w:bookmarkEnd w:id="437"/>
      <w:r w:rsidR="00655BBB">
        <w:t>l</w:t>
      </w:r>
    </w:p>
    <w:p w14:paraId="08BB24CA" w14:textId="21002855" w:rsidR="0040245B" w:rsidRPr="0040245B" w:rsidRDefault="0040245B" w:rsidP="0040245B">
      <w:pPr>
        <w:pStyle w:val="Contenudetableau"/>
        <w:ind w:firstLine="360"/>
        <w:jc w:val="both"/>
      </w:pPr>
      <w:r w:rsidRPr="0040245B">
        <w:t>Anaerobic digestion modeling was f</w:t>
      </w:r>
      <w:r>
        <w:t xml:space="preserve">ully detailed in the companion paper </w:t>
      </w:r>
      <w:r w:rsidR="002D3BB7">
        <w:t>Javourez et al</w:t>
      </w:r>
      <w:r w:rsidR="002D3BB7" w:rsidRPr="000C6C37">
        <w:t>., 202</w:t>
      </w:r>
      <w:r w:rsidR="000C6C37" w:rsidRPr="000C6C37">
        <w:t>4</w:t>
      </w:r>
      <w:r w:rsidR="002D3BB7" w:rsidRPr="000C6C37">
        <w:fldChar w:fldCharType="begin"/>
      </w:r>
      <w:r w:rsidR="00827449">
        <w:instrText xml:space="preserve"> ADDIN ZOTERO_ITEM CSL_CITATION {"citationID":"Tv0gqoIP","properties":{"formattedCitation":"\\super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2D3BB7" w:rsidRPr="000C6C37">
        <w:fldChar w:fldCharType="separate"/>
      </w:r>
      <w:r w:rsidR="008C451C" w:rsidRPr="000C6C37">
        <w:rPr>
          <w:rFonts w:ascii="Calibri" w:hAnsi="Calibri" w:cs="Calibri"/>
          <w:szCs w:val="24"/>
          <w:vertAlign w:val="superscript"/>
        </w:rPr>
        <w:t>1</w:t>
      </w:r>
      <w:r w:rsidR="002D3BB7" w:rsidRPr="000C6C37">
        <w:fldChar w:fldCharType="end"/>
      </w:r>
      <w:r w:rsidRPr="000C6C37">
        <w:t>,</w:t>
      </w:r>
      <w:r>
        <w:t xml:space="preserve"> and is therefore not repeated here. </w:t>
      </w:r>
      <w:r w:rsidRPr="0040245B">
        <w:rPr>
          <w:b/>
        </w:rPr>
        <w:fldChar w:fldCharType="begin"/>
      </w:r>
      <w:r w:rsidRPr="0040245B">
        <w:rPr>
          <w:b/>
        </w:rPr>
        <w:instrText xml:space="preserve"> REF _Ref145068615 \h </w:instrText>
      </w:r>
      <w:r>
        <w:rPr>
          <w:b/>
        </w:rPr>
        <w:instrText xml:space="preserve"> \* MERGEFORMAT </w:instrText>
      </w:r>
      <w:r w:rsidRPr="0040245B">
        <w:rPr>
          <w:b/>
        </w:rPr>
      </w:r>
      <w:r w:rsidRPr="0040245B">
        <w:rPr>
          <w:b/>
        </w:rPr>
        <w:fldChar w:fldCharType="separate"/>
      </w:r>
      <w:r w:rsidR="00F25F8C" w:rsidRPr="00F25F8C">
        <w:rPr>
          <w:b/>
        </w:rPr>
        <w:t xml:space="preserve">Figure SI. </w:t>
      </w:r>
      <w:r w:rsidR="00F25F8C" w:rsidRPr="00F25F8C">
        <w:rPr>
          <w:b/>
          <w:noProof/>
        </w:rPr>
        <w:t>4</w:t>
      </w:r>
      <w:r w:rsidRPr="0040245B">
        <w:rPr>
          <w:b/>
        </w:rPr>
        <w:fldChar w:fldCharType="end"/>
      </w:r>
      <w:r>
        <w:t xml:space="preserve"> displays how </w:t>
      </w:r>
      <w:r w:rsidR="00491C9E">
        <w:t>the system boundaries were adapted in this study to use AD as a pretreatment for MP production (option B), or as a co-product valorization (e.</w:t>
      </w:r>
      <w:r w:rsidR="00F25F8C">
        <w:t>g</w:t>
      </w:r>
      <w:r w:rsidR="00491C9E">
        <w:t>. for GB pathways; option A).</w:t>
      </w:r>
    </w:p>
    <w:p w14:paraId="003A6A43" w14:textId="1DB24705" w:rsidR="0040245B" w:rsidRDefault="0040245B" w:rsidP="00942782">
      <w:pPr>
        <w:pStyle w:val="Lgende"/>
        <w:jc w:val="left"/>
      </w:pPr>
      <w:bookmarkStart w:id="438" w:name="_Ref145068615"/>
      <w:bookmarkStart w:id="439" w:name="_Toc151967992"/>
      <w:r w:rsidRPr="00491C9E">
        <w:t xml:space="preserve">Figure SI. </w:t>
      </w:r>
      <w:r>
        <w:fldChar w:fldCharType="begin"/>
      </w:r>
      <w:r w:rsidRPr="00491C9E">
        <w:instrText xml:space="preserve"> SEQ Figure_SI. \* ARABIC </w:instrText>
      </w:r>
      <w:r>
        <w:fldChar w:fldCharType="separate"/>
      </w:r>
      <w:r w:rsidR="00F25F8C">
        <w:rPr>
          <w:noProof/>
        </w:rPr>
        <w:t>4</w:t>
      </w:r>
      <w:r>
        <w:fldChar w:fldCharType="end"/>
      </w:r>
      <w:bookmarkEnd w:id="438"/>
      <w:r>
        <w:t xml:space="preserve"> </w:t>
      </w:r>
      <w:r w:rsidRPr="002D5B5C">
        <w:t xml:space="preserve">– Scope, system boundaries and </w:t>
      </w:r>
      <w:r>
        <w:t>process flow diagram</w:t>
      </w:r>
      <w:r w:rsidRPr="002D5B5C">
        <w:t xml:space="preserve"> of </w:t>
      </w:r>
      <w:r>
        <w:t>AD</w:t>
      </w:r>
      <w:bookmarkEnd w:id="439"/>
    </w:p>
    <w:p w14:paraId="28B57D77" w14:textId="34C25BBF" w:rsidR="0040245B" w:rsidRDefault="00491C9E" w:rsidP="00B92C6D">
      <w:pPr>
        <w:jc w:val="both"/>
      </w:pPr>
      <w:r>
        <w:rPr>
          <w:noProof/>
        </w:rPr>
        <w:drawing>
          <wp:inline distT="0" distB="0" distL="0" distR="0" wp14:anchorId="549F25A5" wp14:editId="00E40EBC">
            <wp:extent cx="5760720" cy="3859040"/>
            <wp:effectExtent l="0" t="0" r="0" b="825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720" cy="3859040"/>
                    </a:xfrm>
                    <a:prstGeom prst="rect">
                      <a:avLst/>
                    </a:prstGeom>
                    <a:noFill/>
                    <a:ln>
                      <a:noFill/>
                    </a:ln>
                  </pic:spPr>
                </pic:pic>
              </a:graphicData>
            </a:graphic>
          </wp:inline>
        </w:drawing>
      </w:r>
    </w:p>
    <w:p w14:paraId="6D4728DF" w14:textId="0DE89E01" w:rsidR="00491C9E" w:rsidRDefault="00491C9E" w:rsidP="00491C9E">
      <w:pPr>
        <w:jc w:val="both"/>
        <w:rPr>
          <w:sz w:val="18"/>
          <w:szCs w:val="18"/>
        </w:rPr>
      </w:pPr>
      <w:r w:rsidRPr="00583C1F">
        <w:rPr>
          <w:sz w:val="18"/>
          <w:szCs w:val="18"/>
        </w:rPr>
        <w:t xml:space="preserve">“Suitable” feedstock categories and corresponding representative case studies are based on the (pathways; feedstocks) compatibility matrix (see </w:t>
      </w:r>
      <w:r w:rsidRPr="003F35A5">
        <w:rPr>
          <w:b/>
          <w:sz w:val="18"/>
          <w:szCs w:val="18"/>
        </w:rPr>
        <w:t>main manuscript</w:t>
      </w:r>
      <w:r w:rsidRPr="00583C1F">
        <w:rPr>
          <w:sz w:val="18"/>
          <w:szCs w:val="18"/>
        </w:rPr>
        <w:t>).</w:t>
      </w:r>
      <w:r>
        <w:rPr>
          <w:sz w:val="18"/>
          <w:szCs w:val="18"/>
        </w:rPr>
        <w:t xml:space="preserve"> Here, anaerobic digestion (AD) is modeled as a pretreatment of microbial proteins (MP) production (option B; corresponding gas post-treatments are detailed in the </w:t>
      </w:r>
      <w:r w:rsidRPr="007C689E">
        <w:rPr>
          <w:b/>
          <w:sz w:val="18"/>
          <w:szCs w:val="18"/>
        </w:rPr>
        <w:t>section</w:t>
      </w:r>
      <w:r w:rsidR="000C6C37">
        <w:rPr>
          <w:b/>
          <w:sz w:val="18"/>
          <w:szCs w:val="18"/>
        </w:rPr>
        <w:t xml:space="preserve"> SI.</w:t>
      </w:r>
      <w:r w:rsidRPr="007C689E">
        <w:rPr>
          <w:b/>
          <w:sz w:val="18"/>
          <w:szCs w:val="18"/>
        </w:rPr>
        <w:t xml:space="preserve"> </w:t>
      </w:r>
      <w:r w:rsidRPr="007C689E">
        <w:rPr>
          <w:b/>
          <w:sz w:val="18"/>
          <w:szCs w:val="18"/>
        </w:rPr>
        <w:fldChar w:fldCharType="begin"/>
      </w:r>
      <w:r w:rsidRPr="007C689E">
        <w:rPr>
          <w:b/>
          <w:sz w:val="18"/>
          <w:szCs w:val="18"/>
        </w:rPr>
        <w:instrText xml:space="preserve"> REF _Ref145068060 \r \h </w:instrText>
      </w:r>
      <w:r>
        <w:rPr>
          <w:b/>
          <w:sz w:val="18"/>
          <w:szCs w:val="18"/>
        </w:rPr>
        <w:instrText xml:space="preserve"> \* MERGEFORMAT </w:instrText>
      </w:r>
      <w:r w:rsidRPr="007C689E">
        <w:rPr>
          <w:b/>
          <w:sz w:val="18"/>
          <w:szCs w:val="18"/>
        </w:rPr>
      </w:r>
      <w:r w:rsidRPr="007C689E">
        <w:rPr>
          <w:b/>
          <w:sz w:val="18"/>
          <w:szCs w:val="18"/>
        </w:rPr>
        <w:fldChar w:fldCharType="separate"/>
      </w:r>
      <w:r w:rsidR="00F25F8C">
        <w:rPr>
          <w:b/>
          <w:sz w:val="18"/>
          <w:szCs w:val="18"/>
        </w:rPr>
        <w:t>4.6.2</w:t>
      </w:r>
      <w:r w:rsidRPr="007C689E">
        <w:rPr>
          <w:b/>
          <w:sz w:val="18"/>
          <w:szCs w:val="18"/>
        </w:rPr>
        <w:fldChar w:fldCharType="end"/>
      </w:r>
      <w:r>
        <w:rPr>
          <w:sz w:val="18"/>
          <w:szCs w:val="18"/>
        </w:rPr>
        <w:t xml:space="preserve">.) or as a co-product’s valorization strategy (e.g. for GB pathways; option A). Details in </w:t>
      </w:r>
      <w:r w:rsidR="002D3BB7" w:rsidRPr="002D3BB7">
        <w:rPr>
          <w:sz w:val="18"/>
        </w:rPr>
        <w:t xml:space="preserve">Javourez </w:t>
      </w:r>
      <w:r w:rsidR="002D3BB7" w:rsidRPr="000C6C37">
        <w:rPr>
          <w:sz w:val="18"/>
        </w:rPr>
        <w:t>et al., 202</w:t>
      </w:r>
      <w:r w:rsidR="000C6C37" w:rsidRPr="000C6C37">
        <w:rPr>
          <w:sz w:val="18"/>
        </w:rPr>
        <w:t>4</w:t>
      </w:r>
      <w:r w:rsidR="002D3BB7" w:rsidRPr="000C6C37">
        <w:rPr>
          <w:sz w:val="18"/>
        </w:rPr>
        <w:fldChar w:fldCharType="begin"/>
      </w:r>
      <w:r w:rsidR="00827449">
        <w:rPr>
          <w:sz w:val="18"/>
        </w:rPr>
        <w:instrText xml:space="preserve"> ADDIN ZOTERO_ITEM CSL_CITATION {"citationID":"4t6qjz86","properties":{"formattedCitation":"\\super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2D3BB7" w:rsidRPr="000C6C37">
        <w:rPr>
          <w:sz w:val="18"/>
        </w:rPr>
        <w:fldChar w:fldCharType="separate"/>
      </w:r>
      <w:r w:rsidR="008C451C" w:rsidRPr="000C6C37">
        <w:rPr>
          <w:rFonts w:ascii="Calibri" w:hAnsi="Calibri" w:cs="Calibri"/>
          <w:sz w:val="18"/>
          <w:szCs w:val="24"/>
          <w:vertAlign w:val="superscript"/>
        </w:rPr>
        <w:t>1</w:t>
      </w:r>
      <w:r w:rsidR="002D3BB7" w:rsidRPr="000C6C37">
        <w:rPr>
          <w:sz w:val="18"/>
        </w:rPr>
        <w:fldChar w:fldCharType="end"/>
      </w:r>
      <w:r w:rsidRPr="000C6C37">
        <w:rPr>
          <w:sz w:val="18"/>
          <w:szCs w:val="18"/>
        </w:rPr>
        <w:t>.</w:t>
      </w:r>
    </w:p>
    <w:p w14:paraId="198F3EA4" w14:textId="0D1B9C06" w:rsidR="003057AD" w:rsidRDefault="003057AD">
      <w:pPr>
        <w:rPr>
          <w:sz w:val="18"/>
          <w:szCs w:val="18"/>
        </w:rPr>
      </w:pPr>
      <w:r>
        <w:rPr>
          <w:sz w:val="18"/>
          <w:szCs w:val="18"/>
        </w:rPr>
        <w:br w:type="page"/>
      </w:r>
    </w:p>
    <w:p w14:paraId="0C76E5CB" w14:textId="4E1888CD" w:rsidR="005B25AB" w:rsidRDefault="005B25AB" w:rsidP="005B25AB">
      <w:pPr>
        <w:pStyle w:val="Titre2"/>
      </w:pPr>
      <w:bookmarkStart w:id="440" w:name="_Toc145069139"/>
      <w:r>
        <w:lastRenderedPageBreak/>
        <w:t>Summary of the technology parameters and pairing with the LCI models</w:t>
      </w:r>
      <w:bookmarkEnd w:id="440"/>
    </w:p>
    <w:p w14:paraId="212339C6" w14:textId="437904DA" w:rsidR="00732C76" w:rsidRDefault="005B25AB" w:rsidP="00732C76">
      <w:pPr>
        <w:pStyle w:val="Lgende"/>
        <w:ind w:firstLine="360"/>
        <w:jc w:val="both"/>
        <w:rPr>
          <w:b w:val="0"/>
          <w:sz w:val="22"/>
          <w:szCs w:val="22"/>
        </w:rPr>
      </w:pPr>
      <w:r w:rsidRPr="003D157D">
        <w:rPr>
          <w:b w:val="0"/>
          <w:sz w:val="22"/>
          <w:szCs w:val="22"/>
        </w:rPr>
        <w:t>The</w:t>
      </w:r>
      <w:r w:rsidR="003D157D" w:rsidRPr="003D157D">
        <w:rPr>
          <w:b w:val="0"/>
          <w:sz w:val="22"/>
          <w:szCs w:val="22"/>
        </w:rPr>
        <w:t xml:space="preserve"> </w:t>
      </w:r>
      <w:r w:rsidR="003D157D" w:rsidRPr="003D157D">
        <w:rPr>
          <w:b w:val="0"/>
          <w:sz w:val="22"/>
          <w:szCs w:val="22"/>
        </w:rPr>
        <w:fldChar w:fldCharType="begin"/>
      </w:r>
      <w:r w:rsidR="003D157D" w:rsidRPr="003D157D">
        <w:rPr>
          <w:b w:val="0"/>
          <w:sz w:val="22"/>
          <w:szCs w:val="22"/>
        </w:rPr>
        <w:instrText xml:space="preserve"> REF _Ref144914839 \h  \* MERGEFORMAT </w:instrText>
      </w:r>
      <w:r w:rsidR="003D157D" w:rsidRPr="003D157D">
        <w:rPr>
          <w:b w:val="0"/>
          <w:sz w:val="22"/>
          <w:szCs w:val="22"/>
        </w:rPr>
      </w:r>
      <w:r w:rsidR="003D157D" w:rsidRPr="003D157D">
        <w:rPr>
          <w:b w:val="0"/>
          <w:sz w:val="22"/>
          <w:szCs w:val="22"/>
        </w:rPr>
        <w:fldChar w:fldCharType="separate"/>
      </w:r>
      <w:r w:rsidR="00F25F8C" w:rsidRPr="00F25F8C">
        <w:rPr>
          <w:sz w:val="22"/>
          <w:szCs w:val="22"/>
        </w:rPr>
        <w:t xml:space="preserve">Table SI. </w:t>
      </w:r>
      <w:r w:rsidR="00F25F8C" w:rsidRPr="00F25F8C">
        <w:rPr>
          <w:noProof/>
          <w:sz w:val="22"/>
          <w:szCs w:val="22"/>
        </w:rPr>
        <w:t>103</w:t>
      </w:r>
      <w:r w:rsidR="003D157D" w:rsidRPr="003D157D">
        <w:rPr>
          <w:b w:val="0"/>
          <w:sz w:val="22"/>
          <w:szCs w:val="22"/>
        </w:rPr>
        <w:fldChar w:fldCharType="end"/>
      </w:r>
      <w:r w:rsidR="003D157D">
        <w:rPr>
          <w:b w:val="0"/>
          <w:sz w:val="22"/>
          <w:szCs w:val="22"/>
        </w:rPr>
        <w:t xml:space="preserve"> summarizes the total set of technology parameters defined across the LCI models, while the </w:t>
      </w:r>
      <w:r w:rsidRPr="003D157D">
        <w:rPr>
          <w:sz w:val="22"/>
          <w:szCs w:val="22"/>
        </w:rPr>
        <w:fldChar w:fldCharType="begin"/>
      </w:r>
      <w:r w:rsidRPr="003D157D">
        <w:rPr>
          <w:sz w:val="22"/>
          <w:szCs w:val="22"/>
        </w:rPr>
        <w:instrText xml:space="preserve"> REF _Ref144914465 \h  \* MERGEFORMAT </w:instrText>
      </w:r>
      <w:r w:rsidRPr="003D157D">
        <w:rPr>
          <w:sz w:val="22"/>
          <w:szCs w:val="22"/>
        </w:rPr>
      </w:r>
      <w:r w:rsidRPr="003D157D">
        <w:rPr>
          <w:sz w:val="22"/>
          <w:szCs w:val="22"/>
        </w:rPr>
        <w:fldChar w:fldCharType="separate"/>
      </w:r>
      <w:r w:rsidR="00F25F8C" w:rsidRPr="00F25F8C">
        <w:rPr>
          <w:sz w:val="22"/>
          <w:szCs w:val="22"/>
        </w:rPr>
        <w:t xml:space="preserve">Table SI. </w:t>
      </w:r>
      <w:r w:rsidR="00F25F8C" w:rsidRPr="00F25F8C">
        <w:rPr>
          <w:noProof/>
          <w:sz w:val="22"/>
          <w:szCs w:val="22"/>
        </w:rPr>
        <w:t>104</w:t>
      </w:r>
      <w:r w:rsidRPr="003D157D">
        <w:rPr>
          <w:sz w:val="22"/>
          <w:szCs w:val="22"/>
        </w:rPr>
        <w:fldChar w:fldCharType="end"/>
      </w:r>
      <w:r w:rsidRPr="003D157D">
        <w:rPr>
          <w:sz w:val="22"/>
          <w:szCs w:val="22"/>
        </w:rPr>
        <w:t xml:space="preserve"> </w:t>
      </w:r>
      <w:r w:rsidRPr="003D157D">
        <w:rPr>
          <w:b w:val="0"/>
          <w:sz w:val="22"/>
          <w:szCs w:val="22"/>
        </w:rPr>
        <w:t xml:space="preserve">lays down which pathways are affected by which technology parameters. </w:t>
      </w:r>
      <w:r w:rsidR="00732C76">
        <w:rPr>
          <w:b w:val="0"/>
          <w:sz w:val="22"/>
          <w:szCs w:val="22"/>
        </w:rPr>
        <w:t>As the present study b</w:t>
      </w:r>
      <w:r w:rsidRPr="003D157D">
        <w:rPr>
          <w:b w:val="0"/>
          <w:sz w:val="22"/>
          <w:szCs w:val="22"/>
        </w:rPr>
        <w:t>uild</w:t>
      </w:r>
      <w:r w:rsidR="00732C76">
        <w:rPr>
          <w:b w:val="0"/>
          <w:sz w:val="22"/>
          <w:szCs w:val="22"/>
        </w:rPr>
        <w:t>s</w:t>
      </w:r>
      <w:r w:rsidRPr="003D157D">
        <w:rPr>
          <w:b w:val="0"/>
          <w:sz w:val="22"/>
          <w:szCs w:val="22"/>
        </w:rPr>
        <w:t xml:space="preserve"> on the modeling framework elaborated </w:t>
      </w:r>
      <w:r w:rsidRPr="000C6C37">
        <w:rPr>
          <w:b w:val="0"/>
          <w:sz w:val="22"/>
          <w:szCs w:val="22"/>
        </w:rPr>
        <w:t xml:space="preserve">by </w:t>
      </w:r>
      <w:r w:rsidR="002D3BB7" w:rsidRPr="000C6C37">
        <w:rPr>
          <w:b w:val="0"/>
          <w:sz w:val="22"/>
          <w:szCs w:val="22"/>
        </w:rPr>
        <w:t>Javourez et al., 202</w:t>
      </w:r>
      <w:r w:rsidR="000C6C37" w:rsidRPr="000C6C37">
        <w:rPr>
          <w:b w:val="0"/>
          <w:sz w:val="22"/>
          <w:szCs w:val="22"/>
        </w:rPr>
        <w:t>4</w:t>
      </w:r>
      <w:r w:rsidR="002D3BB7" w:rsidRPr="000C6C37">
        <w:rPr>
          <w:b w:val="0"/>
          <w:sz w:val="22"/>
          <w:szCs w:val="22"/>
        </w:rPr>
        <w:fldChar w:fldCharType="begin"/>
      </w:r>
      <w:r w:rsidR="00827449">
        <w:rPr>
          <w:b w:val="0"/>
          <w:sz w:val="22"/>
          <w:szCs w:val="22"/>
        </w:rPr>
        <w:instrText xml:space="preserve"> ADDIN ZOTERO_ITEM CSL_CITATION {"citationID":"BAo0cWsT","properties":{"formattedCitation":"\\super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2D3BB7" w:rsidRPr="000C6C37">
        <w:rPr>
          <w:b w:val="0"/>
          <w:sz w:val="22"/>
          <w:szCs w:val="22"/>
        </w:rPr>
        <w:fldChar w:fldCharType="separate"/>
      </w:r>
      <w:r w:rsidR="008C451C" w:rsidRPr="000C6C37">
        <w:rPr>
          <w:rFonts w:ascii="Calibri" w:hAnsi="Calibri" w:cs="Calibri"/>
          <w:sz w:val="22"/>
          <w:szCs w:val="22"/>
          <w:vertAlign w:val="superscript"/>
        </w:rPr>
        <w:t>1</w:t>
      </w:r>
      <w:r w:rsidR="002D3BB7" w:rsidRPr="000C6C37">
        <w:rPr>
          <w:b w:val="0"/>
          <w:sz w:val="22"/>
          <w:szCs w:val="22"/>
        </w:rPr>
        <w:fldChar w:fldCharType="end"/>
      </w:r>
      <w:r w:rsidR="00732C76" w:rsidRPr="000C6C37">
        <w:rPr>
          <w:b w:val="0"/>
          <w:sz w:val="22"/>
          <w:szCs w:val="22"/>
        </w:rPr>
        <w:t>, energy</w:t>
      </w:r>
      <w:r w:rsidRPr="003D157D">
        <w:rPr>
          <w:b w:val="0"/>
          <w:sz w:val="22"/>
          <w:szCs w:val="22"/>
        </w:rPr>
        <w:t xml:space="preserve"> and fertilizing-oriented conversion pathways elaborated in the aforementioned companion paper were also represented</w:t>
      </w:r>
      <w:r w:rsidR="00732C76">
        <w:rPr>
          <w:b w:val="0"/>
          <w:sz w:val="22"/>
          <w:szCs w:val="22"/>
        </w:rPr>
        <w:t xml:space="preserve"> (and their corresponding technology parameters aggregated to the picture)</w:t>
      </w:r>
      <w:r w:rsidRPr="003D157D">
        <w:rPr>
          <w:b w:val="0"/>
          <w:sz w:val="22"/>
          <w:szCs w:val="22"/>
        </w:rPr>
        <w:t>.</w:t>
      </w:r>
    </w:p>
    <w:p w14:paraId="142B389D" w14:textId="34C782C7" w:rsidR="003D157D" w:rsidRDefault="003D157D" w:rsidP="00942782">
      <w:pPr>
        <w:pStyle w:val="Lgende"/>
        <w:jc w:val="left"/>
        <w:rPr>
          <w:b w:val="0"/>
        </w:rPr>
      </w:pPr>
      <w:bookmarkStart w:id="441" w:name="_Ref144914839"/>
      <w:bookmarkStart w:id="442" w:name="_Toc151967987"/>
      <w:r>
        <w:t xml:space="preserve">Table SI. </w:t>
      </w:r>
      <w:r>
        <w:fldChar w:fldCharType="begin"/>
      </w:r>
      <w:r>
        <w:instrText xml:space="preserve"> SEQ Table_SI. \* ARABIC </w:instrText>
      </w:r>
      <w:r>
        <w:fldChar w:fldCharType="separate"/>
      </w:r>
      <w:r w:rsidR="00F25F8C">
        <w:rPr>
          <w:noProof/>
        </w:rPr>
        <w:t>103</w:t>
      </w:r>
      <w:r>
        <w:fldChar w:fldCharType="end"/>
      </w:r>
      <w:bookmarkEnd w:id="441"/>
      <w:r>
        <w:t xml:space="preserve"> </w:t>
      </w:r>
      <w:r w:rsidRPr="00211BB2">
        <w:t>– Technology parameters retained for the LCA model</w:t>
      </w:r>
      <w:bookmarkEnd w:id="442"/>
    </w:p>
    <w:tbl>
      <w:tblPr>
        <w:tblStyle w:val="Tableausimple2"/>
        <w:tblW w:w="0" w:type="auto"/>
        <w:tblLook w:val="04A0" w:firstRow="1" w:lastRow="0" w:firstColumn="1" w:lastColumn="0" w:noHBand="0" w:noVBand="1"/>
      </w:tblPr>
      <w:tblGrid>
        <w:gridCol w:w="423"/>
        <w:gridCol w:w="460"/>
        <w:gridCol w:w="3670"/>
        <w:gridCol w:w="1971"/>
        <w:gridCol w:w="1171"/>
        <w:gridCol w:w="1319"/>
      </w:tblGrid>
      <w:tr w:rsidR="00732C76" w:rsidRPr="006670F8" w14:paraId="5857C513" w14:textId="77777777" w:rsidTr="008C451C">
        <w:trPr>
          <w:cnfStyle w:val="100000000000" w:firstRow="1" w:lastRow="0" w:firstColumn="0" w:lastColumn="0" w:oddVBand="0" w:evenVBand="0" w:oddHBand="0" w:evenHBand="0" w:firstRowFirstColumn="0" w:firstRowLastColumn="0" w:lastRowFirstColumn="0" w:lastRowLastColumn="0"/>
          <w:trHeight w:val="64"/>
        </w:trPr>
        <w:tc>
          <w:tcPr>
            <w:cnfStyle w:val="001000000000" w:firstRow="0" w:lastRow="0" w:firstColumn="1" w:lastColumn="0" w:oddVBand="0" w:evenVBand="0" w:oddHBand="0" w:evenHBand="0" w:firstRowFirstColumn="0" w:firstRowLastColumn="0" w:lastRowFirstColumn="0" w:lastRowLastColumn="0"/>
            <w:tcW w:w="0" w:type="auto"/>
            <w:noWrap/>
            <w:hideMark/>
          </w:tcPr>
          <w:p w14:paraId="7A467C3C" w14:textId="77777777" w:rsidR="00732C76" w:rsidRPr="006670F8" w:rsidRDefault="00732C76" w:rsidP="00447F21">
            <w:pPr>
              <w:rPr>
                <w:b w:val="0"/>
                <w:sz w:val="16"/>
                <w:szCs w:val="16"/>
              </w:rPr>
            </w:pPr>
          </w:p>
        </w:tc>
        <w:tc>
          <w:tcPr>
            <w:tcW w:w="0" w:type="auto"/>
            <w:noWrap/>
            <w:hideMark/>
          </w:tcPr>
          <w:p w14:paraId="7D18FB89" w14:textId="77777777" w:rsidR="00732C76" w:rsidRPr="006670F8" w:rsidRDefault="00732C76" w:rsidP="00447F21">
            <w:pPr>
              <w:cnfStyle w:val="100000000000" w:firstRow="1" w:lastRow="0" w:firstColumn="0" w:lastColumn="0" w:oddVBand="0" w:evenVBand="0" w:oddHBand="0" w:evenHBand="0" w:firstRowFirstColumn="0" w:firstRowLastColumn="0" w:lastRowFirstColumn="0" w:lastRowLastColumn="0"/>
              <w:rPr>
                <w:b w:val="0"/>
                <w:bCs w:val="0"/>
                <w:sz w:val="16"/>
                <w:szCs w:val="16"/>
              </w:rPr>
            </w:pPr>
            <w:r w:rsidRPr="006670F8">
              <w:rPr>
                <w:sz w:val="16"/>
                <w:szCs w:val="16"/>
              </w:rPr>
              <w:t>n°</w:t>
            </w:r>
          </w:p>
        </w:tc>
        <w:tc>
          <w:tcPr>
            <w:tcW w:w="0" w:type="auto"/>
            <w:noWrap/>
          </w:tcPr>
          <w:p w14:paraId="4276ACC8" w14:textId="77777777" w:rsidR="00732C76" w:rsidRPr="006670F8" w:rsidRDefault="00732C76" w:rsidP="00447F21">
            <w:pPr>
              <w:cnfStyle w:val="100000000000" w:firstRow="1" w:lastRow="0" w:firstColumn="0" w:lastColumn="0" w:oddVBand="0" w:evenVBand="0" w:oddHBand="0" w:evenHBand="0" w:firstRowFirstColumn="0" w:firstRowLastColumn="0" w:lastRowFirstColumn="0" w:lastRowLastColumn="0"/>
              <w:rPr>
                <w:sz w:val="16"/>
                <w:szCs w:val="16"/>
              </w:rPr>
            </w:pPr>
            <w:r w:rsidRPr="006670F8">
              <w:rPr>
                <w:sz w:val="16"/>
                <w:szCs w:val="16"/>
              </w:rPr>
              <w:t>Parameter</w:t>
            </w:r>
          </w:p>
        </w:tc>
        <w:tc>
          <w:tcPr>
            <w:tcW w:w="0" w:type="auto"/>
            <w:noWrap/>
          </w:tcPr>
          <w:p w14:paraId="5DCF51CA" w14:textId="77777777" w:rsidR="00732C76" w:rsidRPr="006670F8" w:rsidRDefault="00732C76" w:rsidP="00447F21">
            <w:pPr>
              <w:cnfStyle w:val="100000000000" w:firstRow="1" w:lastRow="0" w:firstColumn="0" w:lastColumn="0" w:oddVBand="0" w:evenVBand="0" w:oddHBand="0" w:evenHBand="0" w:firstRowFirstColumn="0" w:firstRowLastColumn="0" w:lastRowFirstColumn="0" w:lastRowLastColumn="0"/>
              <w:rPr>
                <w:sz w:val="16"/>
                <w:szCs w:val="16"/>
              </w:rPr>
            </w:pPr>
            <w:r w:rsidRPr="006670F8">
              <w:rPr>
                <w:sz w:val="16"/>
                <w:szCs w:val="16"/>
              </w:rPr>
              <w:t>Unit</w:t>
            </w:r>
          </w:p>
        </w:tc>
        <w:tc>
          <w:tcPr>
            <w:tcW w:w="0" w:type="auto"/>
            <w:noWrap/>
          </w:tcPr>
          <w:p w14:paraId="7581AA1E" w14:textId="77777777" w:rsidR="00732C76" w:rsidRPr="006670F8" w:rsidRDefault="00732C76" w:rsidP="00447F21">
            <w:pPr>
              <w:cnfStyle w:val="100000000000" w:firstRow="1" w:lastRow="0" w:firstColumn="0" w:lastColumn="0" w:oddVBand="0" w:evenVBand="0" w:oddHBand="0" w:evenHBand="0" w:firstRowFirstColumn="0" w:firstRowLastColumn="0" w:lastRowFirstColumn="0" w:lastRowLastColumn="0"/>
              <w:rPr>
                <w:sz w:val="16"/>
                <w:szCs w:val="16"/>
              </w:rPr>
            </w:pPr>
            <w:r w:rsidRPr="006670F8">
              <w:rPr>
                <w:sz w:val="16"/>
                <w:szCs w:val="16"/>
              </w:rPr>
              <w:t>Baseline value</w:t>
            </w:r>
          </w:p>
        </w:tc>
        <w:tc>
          <w:tcPr>
            <w:tcW w:w="0" w:type="auto"/>
            <w:noWrap/>
          </w:tcPr>
          <w:p w14:paraId="0A6824C8" w14:textId="77777777" w:rsidR="00732C76" w:rsidRPr="006670F8" w:rsidRDefault="00732C76" w:rsidP="00447F21">
            <w:pPr>
              <w:cnfStyle w:val="100000000000" w:firstRow="1" w:lastRow="0" w:firstColumn="0" w:lastColumn="0" w:oddVBand="0" w:evenVBand="0" w:oddHBand="0" w:evenHBand="0" w:firstRowFirstColumn="0" w:firstRowLastColumn="0" w:lastRowFirstColumn="0" w:lastRowLastColumn="0"/>
              <w:rPr>
                <w:sz w:val="16"/>
                <w:szCs w:val="16"/>
              </w:rPr>
            </w:pPr>
            <w:r w:rsidRPr="006670F8">
              <w:rPr>
                <w:sz w:val="16"/>
                <w:szCs w:val="16"/>
              </w:rPr>
              <w:t>Variation range</w:t>
            </w:r>
          </w:p>
        </w:tc>
      </w:tr>
      <w:tr w:rsidR="00732C76" w:rsidRPr="006670F8" w14:paraId="7F570D90" w14:textId="77777777" w:rsidTr="00C00E3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val="restart"/>
            <w:noWrap/>
            <w:textDirection w:val="btLr"/>
            <w:hideMark/>
          </w:tcPr>
          <w:p w14:paraId="3A30617D" w14:textId="77777777" w:rsidR="00732C76" w:rsidRPr="006670F8" w:rsidRDefault="00732C76" w:rsidP="00C00E3A">
            <w:pPr>
              <w:jc w:val="center"/>
              <w:rPr>
                <w:b w:val="0"/>
                <w:bCs w:val="0"/>
                <w:sz w:val="16"/>
                <w:szCs w:val="16"/>
              </w:rPr>
            </w:pPr>
            <w:r w:rsidRPr="006670F8">
              <w:rPr>
                <w:sz w:val="16"/>
                <w:szCs w:val="16"/>
              </w:rPr>
              <w:t>Transportation</w:t>
            </w:r>
          </w:p>
        </w:tc>
        <w:tc>
          <w:tcPr>
            <w:tcW w:w="0" w:type="auto"/>
            <w:noWrap/>
            <w:hideMark/>
          </w:tcPr>
          <w:p w14:paraId="6D18CE5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w:t>
            </w:r>
          </w:p>
        </w:tc>
        <w:tc>
          <w:tcPr>
            <w:tcW w:w="0" w:type="auto"/>
            <w:noWrap/>
          </w:tcPr>
          <w:p w14:paraId="6BB139A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b/>
                <w:sz w:val="16"/>
                <w:szCs w:val="16"/>
              </w:rPr>
              <w:t>Transport to CF facility</w:t>
            </w:r>
          </w:p>
        </w:tc>
        <w:tc>
          <w:tcPr>
            <w:tcW w:w="0" w:type="auto"/>
            <w:noWrap/>
          </w:tcPr>
          <w:p w14:paraId="08FD5EF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km</w:t>
            </w:r>
          </w:p>
        </w:tc>
        <w:tc>
          <w:tcPr>
            <w:tcW w:w="0" w:type="auto"/>
            <w:noWrap/>
          </w:tcPr>
          <w:p w14:paraId="7B30CC1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50</w:t>
            </w:r>
          </w:p>
        </w:tc>
        <w:tc>
          <w:tcPr>
            <w:tcW w:w="0" w:type="auto"/>
            <w:noWrap/>
          </w:tcPr>
          <w:p w14:paraId="1A13A96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10-100</w:t>
            </w:r>
          </w:p>
        </w:tc>
      </w:tr>
      <w:tr w:rsidR="00732C76" w:rsidRPr="006670F8" w14:paraId="458292D2"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9B04725" w14:textId="77777777" w:rsidR="00732C76" w:rsidRPr="006670F8" w:rsidRDefault="00732C76" w:rsidP="00447F21">
            <w:pPr>
              <w:rPr>
                <w:b w:val="0"/>
                <w:bCs w:val="0"/>
                <w:sz w:val="16"/>
                <w:szCs w:val="16"/>
              </w:rPr>
            </w:pPr>
          </w:p>
        </w:tc>
        <w:tc>
          <w:tcPr>
            <w:tcW w:w="0" w:type="auto"/>
            <w:noWrap/>
            <w:hideMark/>
          </w:tcPr>
          <w:p w14:paraId="0AA63DC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w:t>
            </w:r>
          </w:p>
        </w:tc>
        <w:tc>
          <w:tcPr>
            <w:tcW w:w="0" w:type="auto"/>
            <w:noWrap/>
          </w:tcPr>
          <w:p w14:paraId="269C748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b/>
                <w:sz w:val="16"/>
                <w:szCs w:val="16"/>
              </w:rPr>
              <w:t>Transport to final client</w:t>
            </w:r>
          </w:p>
        </w:tc>
        <w:tc>
          <w:tcPr>
            <w:tcW w:w="0" w:type="auto"/>
            <w:noWrap/>
          </w:tcPr>
          <w:p w14:paraId="5B3011B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km</w:t>
            </w:r>
          </w:p>
        </w:tc>
        <w:tc>
          <w:tcPr>
            <w:tcW w:w="0" w:type="auto"/>
            <w:noWrap/>
          </w:tcPr>
          <w:p w14:paraId="5E24D18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50</w:t>
            </w:r>
          </w:p>
        </w:tc>
        <w:tc>
          <w:tcPr>
            <w:tcW w:w="0" w:type="auto"/>
            <w:noWrap/>
          </w:tcPr>
          <w:p w14:paraId="45861FE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10-100</w:t>
            </w:r>
          </w:p>
        </w:tc>
      </w:tr>
      <w:tr w:rsidR="00732C76" w:rsidRPr="006670F8" w14:paraId="023B0F67"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D475B14" w14:textId="77777777" w:rsidR="00732C76" w:rsidRPr="006670F8" w:rsidRDefault="00732C76" w:rsidP="00447F21">
            <w:pPr>
              <w:rPr>
                <w:b w:val="0"/>
                <w:bCs w:val="0"/>
                <w:sz w:val="16"/>
                <w:szCs w:val="16"/>
              </w:rPr>
            </w:pPr>
          </w:p>
        </w:tc>
        <w:tc>
          <w:tcPr>
            <w:tcW w:w="0" w:type="auto"/>
            <w:noWrap/>
            <w:hideMark/>
          </w:tcPr>
          <w:p w14:paraId="757DF17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3</w:t>
            </w:r>
          </w:p>
        </w:tc>
        <w:tc>
          <w:tcPr>
            <w:tcW w:w="0" w:type="auto"/>
            <w:noWrap/>
          </w:tcPr>
          <w:p w14:paraId="7BA5755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b/>
                <w:sz w:val="16"/>
                <w:szCs w:val="16"/>
              </w:rPr>
              <w:t>Diffuse streams towards collection platforms</w:t>
            </w:r>
          </w:p>
        </w:tc>
        <w:tc>
          <w:tcPr>
            <w:tcW w:w="0" w:type="auto"/>
            <w:noWrap/>
          </w:tcPr>
          <w:p w14:paraId="15926D7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km</w:t>
            </w:r>
          </w:p>
        </w:tc>
        <w:tc>
          <w:tcPr>
            <w:tcW w:w="0" w:type="auto"/>
            <w:noWrap/>
          </w:tcPr>
          <w:p w14:paraId="2D7EE56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40</w:t>
            </w:r>
          </w:p>
        </w:tc>
        <w:tc>
          <w:tcPr>
            <w:tcW w:w="0" w:type="auto"/>
            <w:noWrap/>
          </w:tcPr>
          <w:p w14:paraId="78341CA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20-60</w:t>
            </w:r>
          </w:p>
        </w:tc>
      </w:tr>
      <w:tr w:rsidR="00732C76" w:rsidRPr="006670F8" w14:paraId="1CD89257"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ECA9DD6" w14:textId="77777777" w:rsidR="00732C76" w:rsidRPr="006670F8" w:rsidRDefault="00732C76" w:rsidP="00447F21">
            <w:pPr>
              <w:rPr>
                <w:b w:val="0"/>
                <w:bCs w:val="0"/>
                <w:sz w:val="16"/>
                <w:szCs w:val="16"/>
              </w:rPr>
            </w:pPr>
          </w:p>
        </w:tc>
        <w:tc>
          <w:tcPr>
            <w:tcW w:w="0" w:type="auto"/>
            <w:noWrap/>
            <w:hideMark/>
          </w:tcPr>
          <w:p w14:paraId="2E15F62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4</w:t>
            </w:r>
          </w:p>
        </w:tc>
        <w:tc>
          <w:tcPr>
            <w:tcW w:w="0" w:type="auto"/>
            <w:noWrap/>
          </w:tcPr>
          <w:p w14:paraId="1B913E1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Diffuse streams towards AD/GB facilities</w:t>
            </w:r>
          </w:p>
        </w:tc>
        <w:tc>
          <w:tcPr>
            <w:tcW w:w="0" w:type="auto"/>
            <w:noWrap/>
          </w:tcPr>
          <w:p w14:paraId="2E07BED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km</w:t>
            </w:r>
          </w:p>
        </w:tc>
        <w:tc>
          <w:tcPr>
            <w:tcW w:w="0" w:type="auto"/>
            <w:noWrap/>
          </w:tcPr>
          <w:p w14:paraId="7A31FB3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40</w:t>
            </w:r>
          </w:p>
        </w:tc>
        <w:tc>
          <w:tcPr>
            <w:tcW w:w="0" w:type="auto"/>
            <w:noWrap/>
          </w:tcPr>
          <w:p w14:paraId="6A7EC85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3-75</w:t>
            </w:r>
          </w:p>
        </w:tc>
      </w:tr>
      <w:tr w:rsidR="00732C76" w:rsidRPr="006670F8" w14:paraId="7F5DF0AE"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B72DA30" w14:textId="77777777" w:rsidR="00732C76" w:rsidRPr="006670F8" w:rsidRDefault="00732C76" w:rsidP="00447F21">
            <w:pPr>
              <w:rPr>
                <w:b w:val="0"/>
                <w:bCs w:val="0"/>
                <w:sz w:val="16"/>
                <w:szCs w:val="16"/>
              </w:rPr>
            </w:pPr>
          </w:p>
        </w:tc>
        <w:tc>
          <w:tcPr>
            <w:tcW w:w="0" w:type="auto"/>
            <w:noWrap/>
            <w:hideMark/>
          </w:tcPr>
          <w:p w14:paraId="4029415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5</w:t>
            </w:r>
          </w:p>
        </w:tc>
        <w:tc>
          <w:tcPr>
            <w:tcW w:w="0" w:type="auto"/>
            <w:noWrap/>
          </w:tcPr>
          <w:p w14:paraId="09BBD77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Collection platform to direct CHP/GA facilities</w:t>
            </w:r>
          </w:p>
        </w:tc>
        <w:tc>
          <w:tcPr>
            <w:tcW w:w="0" w:type="auto"/>
            <w:noWrap/>
          </w:tcPr>
          <w:p w14:paraId="06466AB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km</w:t>
            </w:r>
          </w:p>
        </w:tc>
        <w:tc>
          <w:tcPr>
            <w:tcW w:w="0" w:type="auto"/>
            <w:noWrap/>
          </w:tcPr>
          <w:p w14:paraId="5678D0E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40</w:t>
            </w:r>
          </w:p>
        </w:tc>
        <w:tc>
          <w:tcPr>
            <w:tcW w:w="0" w:type="auto"/>
            <w:noWrap/>
          </w:tcPr>
          <w:p w14:paraId="73F4549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15-100</w:t>
            </w:r>
          </w:p>
        </w:tc>
      </w:tr>
      <w:tr w:rsidR="00732C76" w:rsidRPr="006670F8" w14:paraId="1D31F24C"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1E73C85" w14:textId="77777777" w:rsidR="00732C76" w:rsidRPr="006670F8" w:rsidRDefault="00732C76" w:rsidP="00447F21">
            <w:pPr>
              <w:rPr>
                <w:b w:val="0"/>
                <w:bCs w:val="0"/>
                <w:sz w:val="16"/>
                <w:szCs w:val="16"/>
              </w:rPr>
            </w:pPr>
          </w:p>
        </w:tc>
        <w:tc>
          <w:tcPr>
            <w:tcW w:w="0" w:type="auto"/>
            <w:noWrap/>
            <w:hideMark/>
          </w:tcPr>
          <w:p w14:paraId="2F09972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6</w:t>
            </w:r>
          </w:p>
        </w:tc>
        <w:tc>
          <w:tcPr>
            <w:tcW w:w="0" w:type="auto"/>
            <w:noWrap/>
          </w:tcPr>
          <w:p w14:paraId="1DF88F0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Collection platform to composting facilities</w:t>
            </w:r>
          </w:p>
        </w:tc>
        <w:tc>
          <w:tcPr>
            <w:tcW w:w="0" w:type="auto"/>
            <w:noWrap/>
          </w:tcPr>
          <w:p w14:paraId="6393F3E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km</w:t>
            </w:r>
          </w:p>
        </w:tc>
        <w:tc>
          <w:tcPr>
            <w:tcW w:w="0" w:type="auto"/>
            <w:noWrap/>
          </w:tcPr>
          <w:p w14:paraId="3E00E87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33</w:t>
            </w:r>
          </w:p>
        </w:tc>
        <w:tc>
          <w:tcPr>
            <w:tcW w:w="0" w:type="auto"/>
            <w:noWrap/>
          </w:tcPr>
          <w:p w14:paraId="43E4021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12-54</w:t>
            </w:r>
          </w:p>
        </w:tc>
      </w:tr>
      <w:tr w:rsidR="00732C76" w:rsidRPr="006670F8" w14:paraId="60D08E34"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0290655" w14:textId="77777777" w:rsidR="00732C76" w:rsidRPr="006670F8" w:rsidRDefault="00732C76" w:rsidP="00447F21">
            <w:pPr>
              <w:rPr>
                <w:b w:val="0"/>
                <w:bCs w:val="0"/>
                <w:sz w:val="16"/>
                <w:szCs w:val="16"/>
              </w:rPr>
            </w:pPr>
          </w:p>
        </w:tc>
        <w:tc>
          <w:tcPr>
            <w:tcW w:w="0" w:type="auto"/>
            <w:noWrap/>
            <w:hideMark/>
          </w:tcPr>
          <w:p w14:paraId="60E4B19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7</w:t>
            </w:r>
          </w:p>
        </w:tc>
        <w:tc>
          <w:tcPr>
            <w:tcW w:w="0" w:type="auto"/>
            <w:noWrap/>
          </w:tcPr>
          <w:p w14:paraId="407E997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Transport of compost to land</w:t>
            </w:r>
          </w:p>
        </w:tc>
        <w:tc>
          <w:tcPr>
            <w:tcW w:w="0" w:type="auto"/>
            <w:noWrap/>
          </w:tcPr>
          <w:p w14:paraId="53D35F3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km</w:t>
            </w:r>
          </w:p>
        </w:tc>
        <w:tc>
          <w:tcPr>
            <w:tcW w:w="0" w:type="auto"/>
            <w:noWrap/>
          </w:tcPr>
          <w:p w14:paraId="6EF8EF7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40</w:t>
            </w:r>
          </w:p>
        </w:tc>
        <w:tc>
          <w:tcPr>
            <w:tcW w:w="0" w:type="auto"/>
            <w:noWrap/>
          </w:tcPr>
          <w:p w14:paraId="5F0869D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20-100</w:t>
            </w:r>
          </w:p>
        </w:tc>
      </w:tr>
      <w:tr w:rsidR="00732C76" w:rsidRPr="006670F8" w14:paraId="48292E6E"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BEC56D4" w14:textId="77777777" w:rsidR="00732C76" w:rsidRPr="006670F8" w:rsidRDefault="00732C76" w:rsidP="00447F21">
            <w:pPr>
              <w:rPr>
                <w:b w:val="0"/>
                <w:bCs w:val="0"/>
                <w:sz w:val="16"/>
                <w:szCs w:val="16"/>
              </w:rPr>
            </w:pPr>
          </w:p>
        </w:tc>
        <w:tc>
          <w:tcPr>
            <w:tcW w:w="0" w:type="auto"/>
            <w:noWrap/>
            <w:hideMark/>
          </w:tcPr>
          <w:p w14:paraId="74CBD91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8</w:t>
            </w:r>
          </w:p>
        </w:tc>
        <w:tc>
          <w:tcPr>
            <w:tcW w:w="0" w:type="auto"/>
            <w:noWrap/>
          </w:tcPr>
          <w:p w14:paraId="4B54D5B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Diffuse streams towards domestic furnace</w:t>
            </w:r>
          </w:p>
        </w:tc>
        <w:tc>
          <w:tcPr>
            <w:tcW w:w="0" w:type="auto"/>
            <w:noWrap/>
          </w:tcPr>
          <w:p w14:paraId="1096F54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km</w:t>
            </w:r>
          </w:p>
        </w:tc>
        <w:tc>
          <w:tcPr>
            <w:tcW w:w="0" w:type="auto"/>
            <w:noWrap/>
          </w:tcPr>
          <w:p w14:paraId="0A4CF9B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10</w:t>
            </w:r>
          </w:p>
        </w:tc>
        <w:tc>
          <w:tcPr>
            <w:tcW w:w="0" w:type="auto"/>
            <w:noWrap/>
          </w:tcPr>
          <w:p w14:paraId="4615AA0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2-20</w:t>
            </w:r>
          </w:p>
        </w:tc>
      </w:tr>
      <w:tr w:rsidR="00732C76" w:rsidRPr="006670F8" w14:paraId="2A962D66"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EE701E8" w14:textId="77777777" w:rsidR="00732C76" w:rsidRPr="006670F8" w:rsidRDefault="00732C76" w:rsidP="00447F21">
            <w:pPr>
              <w:rPr>
                <w:b w:val="0"/>
                <w:bCs w:val="0"/>
                <w:sz w:val="16"/>
                <w:szCs w:val="16"/>
              </w:rPr>
            </w:pPr>
          </w:p>
        </w:tc>
        <w:tc>
          <w:tcPr>
            <w:tcW w:w="0" w:type="auto"/>
            <w:noWrap/>
            <w:hideMark/>
          </w:tcPr>
          <w:p w14:paraId="2F411A3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9</w:t>
            </w:r>
          </w:p>
        </w:tc>
        <w:tc>
          <w:tcPr>
            <w:tcW w:w="0" w:type="auto"/>
            <w:noWrap/>
          </w:tcPr>
          <w:p w14:paraId="6F97906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Generation site towards industrial furnace</w:t>
            </w:r>
          </w:p>
        </w:tc>
        <w:tc>
          <w:tcPr>
            <w:tcW w:w="0" w:type="auto"/>
            <w:noWrap/>
          </w:tcPr>
          <w:p w14:paraId="248C039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km</w:t>
            </w:r>
          </w:p>
        </w:tc>
        <w:tc>
          <w:tcPr>
            <w:tcW w:w="0" w:type="auto"/>
            <w:noWrap/>
          </w:tcPr>
          <w:p w14:paraId="2A72334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50</w:t>
            </w:r>
          </w:p>
        </w:tc>
        <w:tc>
          <w:tcPr>
            <w:tcW w:w="0" w:type="auto"/>
            <w:noWrap/>
          </w:tcPr>
          <w:p w14:paraId="7A264E4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30-150</w:t>
            </w:r>
          </w:p>
        </w:tc>
      </w:tr>
      <w:tr w:rsidR="00732C76" w:rsidRPr="006670F8" w14:paraId="4AC8ECBC"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E5864AA" w14:textId="77777777" w:rsidR="00732C76" w:rsidRPr="006670F8" w:rsidRDefault="00732C76" w:rsidP="00447F21">
            <w:pPr>
              <w:rPr>
                <w:b w:val="0"/>
                <w:bCs w:val="0"/>
                <w:sz w:val="16"/>
                <w:szCs w:val="16"/>
              </w:rPr>
            </w:pPr>
          </w:p>
        </w:tc>
        <w:tc>
          <w:tcPr>
            <w:tcW w:w="0" w:type="auto"/>
            <w:noWrap/>
            <w:hideMark/>
          </w:tcPr>
          <w:p w14:paraId="001AB9F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10</w:t>
            </w:r>
          </w:p>
        </w:tc>
        <w:tc>
          <w:tcPr>
            <w:tcW w:w="0" w:type="auto"/>
            <w:noWrap/>
          </w:tcPr>
          <w:p w14:paraId="1C5CAA9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Digestate/slurry spreading distance</w:t>
            </w:r>
          </w:p>
        </w:tc>
        <w:tc>
          <w:tcPr>
            <w:tcW w:w="0" w:type="auto"/>
            <w:noWrap/>
          </w:tcPr>
          <w:p w14:paraId="2A08703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km</w:t>
            </w:r>
          </w:p>
        </w:tc>
        <w:tc>
          <w:tcPr>
            <w:tcW w:w="0" w:type="auto"/>
            <w:noWrap/>
          </w:tcPr>
          <w:p w14:paraId="20C5D9A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10</w:t>
            </w:r>
          </w:p>
        </w:tc>
        <w:tc>
          <w:tcPr>
            <w:tcW w:w="0" w:type="auto"/>
            <w:noWrap/>
          </w:tcPr>
          <w:p w14:paraId="613BB62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3-50</w:t>
            </w:r>
          </w:p>
        </w:tc>
      </w:tr>
      <w:tr w:rsidR="00732C76" w:rsidRPr="006670F8" w14:paraId="2933AF5D" w14:textId="77777777" w:rsidTr="008C451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vMerge/>
            <w:hideMark/>
          </w:tcPr>
          <w:p w14:paraId="192EC2F6" w14:textId="77777777" w:rsidR="00732C76" w:rsidRPr="006670F8" w:rsidRDefault="00732C76" w:rsidP="00447F21">
            <w:pPr>
              <w:rPr>
                <w:b w:val="0"/>
                <w:bCs w:val="0"/>
                <w:sz w:val="16"/>
                <w:szCs w:val="16"/>
              </w:rPr>
            </w:pPr>
          </w:p>
        </w:tc>
        <w:tc>
          <w:tcPr>
            <w:tcW w:w="0" w:type="auto"/>
            <w:noWrap/>
            <w:hideMark/>
          </w:tcPr>
          <w:p w14:paraId="31FA28F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11</w:t>
            </w:r>
          </w:p>
        </w:tc>
        <w:tc>
          <w:tcPr>
            <w:tcW w:w="0" w:type="auto"/>
            <w:noWrap/>
          </w:tcPr>
          <w:p w14:paraId="65025E2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Collection platforms to waste-to-nutrition facilities</w:t>
            </w:r>
          </w:p>
        </w:tc>
        <w:tc>
          <w:tcPr>
            <w:tcW w:w="0" w:type="auto"/>
            <w:noWrap/>
          </w:tcPr>
          <w:p w14:paraId="26E2D08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km</w:t>
            </w:r>
          </w:p>
        </w:tc>
        <w:tc>
          <w:tcPr>
            <w:tcW w:w="0" w:type="auto"/>
            <w:noWrap/>
          </w:tcPr>
          <w:p w14:paraId="6666235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50</w:t>
            </w:r>
          </w:p>
        </w:tc>
        <w:tc>
          <w:tcPr>
            <w:tcW w:w="0" w:type="auto"/>
            <w:noWrap/>
          </w:tcPr>
          <w:p w14:paraId="7766436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10-100</w:t>
            </w:r>
          </w:p>
        </w:tc>
      </w:tr>
      <w:tr w:rsidR="00732C76" w:rsidRPr="006670F8" w14:paraId="05255540" w14:textId="77777777" w:rsidTr="00C00E3A">
        <w:trPr>
          <w:trHeight w:val="290"/>
        </w:trPr>
        <w:tc>
          <w:tcPr>
            <w:cnfStyle w:val="001000000000" w:firstRow="0" w:lastRow="0" w:firstColumn="1" w:lastColumn="0" w:oddVBand="0" w:evenVBand="0" w:oddHBand="0" w:evenHBand="0" w:firstRowFirstColumn="0" w:firstRowLastColumn="0" w:lastRowFirstColumn="0" w:lastRowLastColumn="0"/>
            <w:tcW w:w="0" w:type="auto"/>
            <w:vMerge w:val="restart"/>
            <w:noWrap/>
            <w:textDirection w:val="btLr"/>
            <w:hideMark/>
          </w:tcPr>
          <w:p w14:paraId="3EDB556E" w14:textId="77777777" w:rsidR="00732C76" w:rsidRPr="006670F8" w:rsidRDefault="00732C76" w:rsidP="00C00E3A">
            <w:pPr>
              <w:jc w:val="center"/>
              <w:rPr>
                <w:b w:val="0"/>
                <w:bCs w:val="0"/>
                <w:sz w:val="16"/>
                <w:szCs w:val="16"/>
              </w:rPr>
            </w:pPr>
            <w:r w:rsidRPr="006670F8">
              <w:rPr>
                <w:sz w:val="16"/>
                <w:szCs w:val="16"/>
              </w:rPr>
              <w:t>Generic process parameters</w:t>
            </w:r>
          </w:p>
        </w:tc>
        <w:tc>
          <w:tcPr>
            <w:tcW w:w="0" w:type="auto"/>
            <w:noWrap/>
            <w:hideMark/>
          </w:tcPr>
          <w:p w14:paraId="7F69443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12</w:t>
            </w:r>
          </w:p>
        </w:tc>
        <w:tc>
          <w:tcPr>
            <w:tcW w:w="0" w:type="auto"/>
            <w:noWrap/>
          </w:tcPr>
          <w:p w14:paraId="046AB10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b/>
                <w:sz w:val="16"/>
                <w:szCs w:val="16"/>
              </w:rPr>
              <w:t>Humidity for grinding</w:t>
            </w:r>
          </w:p>
        </w:tc>
        <w:tc>
          <w:tcPr>
            <w:tcW w:w="0" w:type="auto"/>
            <w:noWrap/>
          </w:tcPr>
          <w:p w14:paraId="0C14F75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ww</w:t>
            </w:r>
          </w:p>
        </w:tc>
        <w:tc>
          <w:tcPr>
            <w:tcW w:w="0" w:type="auto"/>
            <w:noWrap/>
          </w:tcPr>
          <w:p w14:paraId="1B6169C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9%</w:t>
            </w:r>
          </w:p>
        </w:tc>
        <w:tc>
          <w:tcPr>
            <w:tcW w:w="0" w:type="auto"/>
            <w:noWrap/>
          </w:tcPr>
          <w:p w14:paraId="0323880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9-13%</w:t>
            </w:r>
          </w:p>
        </w:tc>
      </w:tr>
      <w:tr w:rsidR="00732C76" w:rsidRPr="006670F8" w14:paraId="0AAADE12"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444254A" w14:textId="77777777" w:rsidR="00732C76" w:rsidRPr="006670F8" w:rsidRDefault="00732C76" w:rsidP="00447F21">
            <w:pPr>
              <w:rPr>
                <w:b w:val="0"/>
                <w:bCs w:val="0"/>
                <w:sz w:val="16"/>
                <w:szCs w:val="16"/>
              </w:rPr>
            </w:pPr>
          </w:p>
        </w:tc>
        <w:tc>
          <w:tcPr>
            <w:tcW w:w="0" w:type="auto"/>
            <w:noWrap/>
            <w:hideMark/>
          </w:tcPr>
          <w:p w14:paraId="4557325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13</w:t>
            </w:r>
          </w:p>
        </w:tc>
        <w:tc>
          <w:tcPr>
            <w:tcW w:w="0" w:type="auto"/>
            <w:noWrap/>
          </w:tcPr>
          <w:p w14:paraId="3D33BDA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Pr>
                <w:b/>
                <w:sz w:val="16"/>
                <w:szCs w:val="16"/>
              </w:rPr>
              <w:t>Drying cabinet</w:t>
            </w:r>
            <w:r w:rsidRPr="006670F8">
              <w:rPr>
                <w:b/>
                <w:sz w:val="16"/>
                <w:szCs w:val="16"/>
              </w:rPr>
              <w:t xml:space="preserve"> energy</w:t>
            </w:r>
            <w:r>
              <w:rPr>
                <w:b/>
                <w:sz w:val="16"/>
                <w:szCs w:val="16"/>
              </w:rPr>
              <w:t xml:space="preserve"> requirements</w:t>
            </w:r>
          </w:p>
        </w:tc>
        <w:tc>
          <w:tcPr>
            <w:tcW w:w="0" w:type="auto"/>
            <w:noWrap/>
          </w:tcPr>
          <w:p w14:paraId="04FEA40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proofErr w:type="gramStart"/>
            <w:r w:rsidRPr="006670F8">
              <w:rPr>
                <w:sz w:val="16"/>
                <w:szCs w:val="16"/>
              </w:rPr>
              <w:t>MJ.kg</w:t>
            </w:r>
            <w:r w:rsidRPr="006670F8">
              <w:rPr>
                <w:sz w:val="16"/>
                <w:szCs w:val="16"/>
                <w:vertAlign w:val="subscript"/>
              </w:rPr>
              <w:t>water</w:t>
            </w:r>
            <w:proofErr w:type="gramEnd"/>
            <w:r w:rsidRPr="006670F8">
              <w:rPr>
                <w:sz w:val="16"/>
                <w:szCs w:val="16"/>
                <w:vertAlign w:val="superscript"/>
              </w:rPr>
              <w:t>-1</w:t>
            </w:r>
          </w:p>
        </w:tc>
        <w:tc>
          <w:tcPr>
            <w:tcW w:w="0" w:type="auto"/>
            <w:noWrap/>
          </w:tcPr>
          <w:p w14:paraId="37E67E0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5.6</w:t>
            </w:r>
          </w:p>
        </w:tc>
        <w:tc>
          <w:tcPr>
            <w:tcW w:w="0" w:type="auto"/>
            <w:noWrap/>
          </w:tcPr>
          <w:p w14:paraId="207D86D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5.2-6</w:t>
            </w:r>
          </w:p>
        </w:tc>
      </w:tr>
      <w:tr w:rsidR="00732C76" w:rsidRPr="006670F8" w14:paraId="04CB2559"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8160499" w14:textId="77777777" w:rsidR="00732C76" w:rsidRPr="006670F8" w:rsidRDefault="00732C76" w:rsidP="00447F21">
            <w:pPr>
              <w:rPr>
                <w:b w:val="0"/>
                <w:bCs w:val="0"/>
                <w:sz w:val="16"/>
                <w:szCs w:val="16"/>
              </w:rPr>
            </w:pPr>
          </w:p>
        </w:tc>
        <w:tc>
          <w:tcPr>
            <w:tcW w:w="0" w:type="auto"/>
            <w:noWrap/>
            <w:hideMark/>
          </w:tcPr>
          <w:p w14:paraId="5FBB33E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14</w:t>
            </w:r>
          </w:p>
        </w:tc>
        <w:tc>
          <w:tcPr>
            <w:tcW w:w="0" w:type="auto"/>
            <w:noWrap/>
          </w:tcPr>
          <w:p w14:paraId="2BC3FCD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Pr>
                <w:b/>
                <w:sz w:val="16"/>
                <w:szCs w:val="16"/>
              </w:rPr>
              <w:t>Drying cabinet</w:t>
            </w:r>
            <w:r w:rsidRPr="006670F8">
              <w:rPr>
                <w:b/>
                <w:sz w:val="16"/>
                <w:szCs w:val="16"/>
              </w:rPr>
              <w:t xml:space="preserve"> capacity</w:t>
            </w:r>
          </w:p>
        </w:tc>
        <w:tc>
          <w:tcPr>
            <w:tcW w:w="0" w:type="auto"/>
            <w:noWrap/>
          </w:tcPr>
          <w:p w14:paraId="18C7939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t</w:t>
            </w:r>
            <w:r w:rsidRPr="006670F8">
              <w:rPr>
                <w:sz w:val="16"/>
                <w:szCs w:val="16"/>
                <w:vertAlign w:val="subscript"/>
              </w:rPr>
              <w:t>ww</w:t>
            </w:r>
            <w:r w:rsidRPr="006670F8">
              <w:rPr>
                <w:sz w:val="16"/>
                <w:szCs w:val="16"/>
              </w:rPr>
              <w:t>.h</w:t>
            </w:r>
            <w:r w:rsidRPr="006670F8">
              <w:rPr>
                <w:sz w:val="16"/>
                <w:szCs w:val="16"/>
                <w:vertAlign w:val="superscript"/>
              </w:rPr>
              <w:t>-1</w:t>
            </w:r>
          </w:p>
        </w:tc>
        <w:tc>
          <w:tcPr>
            <w:tcW w:w="0" w:type="auto"/>
            <w:noWrap/>
          </w:tcPr>
          <w:p w14:paraId="3B76706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12</w:t>
            </w:r>
          </w:p>
        </w:tc>
        <w:tc>
          <w:tcPr>
            <w:tcW w:w="0" w:type="auto"/>
            <w:noWrap/>
          </w:tcPr>
          <w:p w14:paraId="49C424F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5-12</w:t>
            </w:r>
          </w:p>
        </w:tc>
      </w:tr>
      <w:tr w:rsidR="00732C76" w:rsidRPr="006670F8" w14:paraId="1EADF52E"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064865A" w14:textId="77777777" w:rsidR="00732C76" w:rsidRPr="006670F8" w:rsidRDefault="00732C76" w:rsidP="00447F21">
            <w:pPr>
              <w:rPr>
                <w:b w:val="0"/>
                <w:bCs w:val="0"/>
                <w:sz w:val="16"/>
                <w:szCs w:val="16"/>
              </w:rPr>
            </w:pPr>
          </w:p>
        </w:tc>
        <w:tc>
          <w:tcPr>
            <w:tcW w:w="0" w:type="auto"/>
            <w:noWrap/>
            <w:hideMark/>
          </w:tcPr>
          <w:p w14:paraId="2B82D4F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15</w:t>
            </w:r>
          </w:p>
        </w:tc>
        <w:tc>
          <w:tcPr>
            <w:tcW w:w="0" w:type="auto"/>
            <w:noWrap/>
          </w:tcPr>
          <w:p w14:paraId="55307F9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Spray dryer electricity</w:t>
            </w:r>
            <w:r>
              <w:rPr>
                <w:b/>
                <w:sz w:val="16"/>
                <w:szCs w:val="16"/>
              </w:rPr>
              <w:t xml:space="preserve"> requirements</w:t>
            </w:r>
          </w:p>
        </w:tc>
        <w:tc>
          <w:tcPr>
            <w:tcW w:w="0" w:type="auto"/>
            <w:noWrap/>
          </w:tcPr>
          <w:p w14:paraId="409AA74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kWh.kg</w:t>
            </w:r>
            <w:r w:rsidRPr="006670F8">
              <w:rPr>
                <w:sz w:val="16"/>
                <w:szCs w:val="16"/>
                <w:vertAlign w:val="subscript"/>
              </w:rPr>
              <w:t>water</w:t>
            </w:r>
            <w:r w:rsidRPr="006670F8">
              <w:rPr>
                <w:sz w:val="16"/>
                <w:szCs w:val="16"/>
                <w:vertAlign w:val="superscript"/>
              </w:rPr>
              <w:t>-1</w:t>
            </w:r>
          </w:p>
        </w:tc>
        <w:tc>
          <w:tcPr>
            <w:tcW w:w="0" w:type="auto"/>
            <w:noWrap/>
          </w:tcPr>
          <w:p w14:paraId="080F50B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0.106</w:t>
            </w:r>
          </w:p>
        </w:tc>
        <w:tc>
          <w:tcPr>
            <w:tcW w:w="0" w:type="auto"/>
            <w:noWrap/>
          </w:tcPr>
          <w:p w14:paraId="4E97553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0.034-0.282</w:t>
            </w:r>
          </w:p>
        </w:tc>
      </w:tr>
      <w:tr w:rsidR="00732C76" w:rsidRPr="006670F8" w14:paraId="502469A5"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2A3AE65" w14:textId="77777777" w:rsidR="00732C76" w:rsidRPr="006670F8" w:rsidRDefault="00732C76" w:rsidP="00447F21">
            <w:pPr>
              <w:rPr>
                <w:b w:val="0"/>
                <w:bCs w:val="0"/>
                <w:sz w:val="16"/>
                <w:szCs w:val="16"/>
              </w:rPr>
            </w:pPr>
          </w:p>
        </w:tc>
        <w:tc>
          <w:tcPr>
            <w:tcW w:w="0" w:type="auto"/>
            <w:noWrap/>
            <w:hideMark/>
          </w:tcPr>
          <w:p w14:paraId="2C66138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16</w:t>
            </w:r>
          </w:p>
        </w:tc>
        <w:tc>
          <w:tcPr>
            <w:tcW w:w="0" w:type="auto"/>
            <w:noWrap/>
          </w:tcPr>
          <w:p w14:paraId="6307529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Spray dryer heat</w:t>
            </w:r>
            <w:r>
              <w:rPr>
                <w:b/>
                <w:sz w:val="16"/>
                <w:szCs w:val="16"/>
              </w:rPr>
              <w:t xml:space="preserve"> requirements</w:t>
            </w:r>
          </w:p>
        </w:tc>
        <w:tc>
          <w:tcPr>
            <w:tcW w:w="0" w:type="auto"/>
            <w:noWrap/>
          </w:tcPr>
          <w:p w14:paraId="2AF962E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proofErr w:type="gramStart"/>
            <w:r w:rsidRPr="006670F8">
              <w:rPr>
                <w:sz w:val="16"/>
                <w:szCs w:val="16"/>
              </w:rPr>
              <w:t>MJ.kg</w:t>
            </w:r>
            <w:r w:rsidRPr="006670F8">
              <w:rPr>
                <w:sz w:val="16"/>
                <w:szCs w:val="16"/>
                <w:vertAlign w:val="subscript"/>
              </w:rPr>
              <w:t>water</w:t>
            </w:r>
            <w:proofErr w:type="gramEnd"/>
            <w:r w:rsidRPr="006670F8">
              <w:rPr>
                <w:sz w:val="16"/>
                <w:szCs w:val="16"/>
                <w:vertAlign w:val="superscript"/>
              </w:rPr>
              <w:t>-1</w:t>
            </w:r>
          </w:p>
        </w:tc>
        <w:tc>
          <w:tcPr>
            <w:tcW w:w="0" w:type="auto"/>
            <w:noWrap/>
          </w:tcPr>
          <w:p w14:paraId="3C54C45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w:t>
            </w:r>
          </w:p>
        </w:tc>
        <w:tc>
          <w:tcPr>
            <w:tcW w:w="0" w:type="auto"/>
            <w:noWrap/>
          </w:tcPr>
          <w:p w14:paraId="1AFBFCF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2.7-4.1</w:t>
            </w:r>
          </w:p>
        </w:tc>
      </w:tr>
      <w:tr w:rsidR="00732C76" w:rsidRPr="006670F8" w14:paraId="1F90914F"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FF5B795" w14:textId="77777777" w:rsidR="00732C76" w:rsidRPr="006670F8" w:rsidRDefault="00732C76" w:rsidP="00447F21">
            <w:pPr>
              <w:rPr>
                <w:b w:val="0"/>
                <w:bCs w:val="0"/>
                <w:sz w:val="16"/>
                <w:szCs w:val="16"/>
              </w:rPr>
            </w:pPr>
          </w:p>
        </w:tc>
        <w:tc>
          <w:tcPr>
            <w:tcW w:w="0" w:type="auto"/>
            <w:noWrap/>
            <w:hideMark/>
          </w:tcPr>
          <w:p w14:paraId="3090A46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17</w:t>
            </w:r>
          </w:p>
        </w:tc>
        <w:tc>
          <w:tcPr>
            <w:tcW w:w="0" w:type="auto"/>
            <w:noWrap/>
          </w:tcPr>
          <w:p w14:paraId="37FFABA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b/>
                <w:sz w:val="16"/>
                <w:szCs w:val="16"/>
              </w:rPr>
              <w:t>Grinding energy</w:t>
            </w:r>
            <w:r>
              <w:rPr>
                <w:b/>
                <w:sz w:val="16"/>
                <w:szCs w:val="16"/>
              </w:rPr>
              <w:t xml:space="preserve"> requirements</w:t>
            </w:r>
          </w:p>
        </w:tc>
        <w:tc>
          <w:tcPr>
            <w:tcW w:w="0" w:type="auto"/>
            <w:noWrap/>
          </w:tcPr>
          <w:p w14:paraId="6669144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kWh.t</w:t>
            </w:r>
            <w:r w:rsidRPr="006670F8">
              <w:rPr>
                <w:sz w:val="16"/>
                <w:szCs w:val="16"/>
                <w:vertAlign w:val="subscript"/>
              </w:rPr>
              <w:t>ww</w:t>
            </w:r>
            <w:r w:rsidRPr="006670F8">
              <w:rPr>
                <w:sz w:val="16"/>
                <w:szCs w:val="16"/>
                <w:vertAlign w:val="superscript"/>
              </w:rPr>
              <w:t>-1</w:t>
            </w:r>
          </w:p>
        </w:tc>
        <w:tc>
          <w:tcPr>
            <w:tcW w:w="0" w:type="auto"/>
            <w:noWrap/>
          </w:tcPr>
          <w:p w14:paraId="683B2C1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w:t>
            </w:r>
          </w:p>
        </w:tc>
        <w:tc>
          <w:tcPr>
            <w:tcW w:w="0" w:type="auto"/>
            <w:noWrap/>
          </w:tcPr>
          <w:p w14:paraId="4116B7A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0.2-2</w:t>
            </w:r>
          </w:p>
        </w:tc>
      </w:tr>
      <w:tr w:rsidR="00732C76" w:rsidRPr="006670F8" w14:paraId="044515A0"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8233F0C" w14:textId="77777777" w:rsidR="00732C76" w:rsidRPr="006670F8" w:rsidRDefault="00732C76" w:rsidP="00447F21">
            <w:pPr>
              <w:rPr>
                <w:b w:val="0"/>
                <w:bCs w:val="0"/>
                <w:sz w:val="16"/>
                <w:szCs w:val="16"/>
              </w:rPr>
            </w:pPr>
          </w:p>
        </w:tc>
        <w:tc>
          <w:tcPr>
            <w:tcW w:w="0" w:type="auto"/>
            <w:noWrap/>
            <w:hideMark/>
          </w:tcPr>
          <w:p w14:paraId="4B365D7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18</w:t>
            </w:r>
          </w:p>
        </w:tc>
        <w:tc>
          <w:tcPr>
            <w:tcW w:w="0" w:type="auto"/>
            <w:noWrap/>
          </w:tcPr>
          <w:p w14:paraId="7FAB86B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b/>
                <w:sz w:val="16"/>
                <w:szCs w:val="16"/>
              </w:rPr>
              <w:t>Water loss at pelletizing</w:t>
            </w:r>
          </w:p>
        </w:tc>
        <w:tc>
          <w:tcPr>
            <w:tcW w:w="0" w:type="auto"/>
            <w:noWrap/>
          </w:tcPr>
          <w:p w14:paraId="725C5CC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water</w:t>
            </w:r>
          </w:p>
        </w:tc>
        <w:tc>
          <w:tcPr>
            <w:tcW w:w="0" w:type="auto"/>
            <w:noWrap/>
          </w:tcPr>
          <w:p w14:paraId="5C5FCB4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16%</w:t>
            </w:r>
          </w:p>
        </w:tc>
        <w:tc>
          <w:tcPr>
            <w:tcW w:w="0" w:type="auto"/>
            <w:noWrap/>
          </w:tcPr>
          <w:p w14:paraId="620566C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7-16%</w:t>
            </w:r>
          </w:p>
        </w:tc>
      </w:tr>
      <w:tr w:rsidR="00732C76" w:rsidRPr="006670F8" w14:paraId="71140381"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95B3E1D" w14:textId="77777777" w:rsidR="00732C76" w:rsidRPr="006670F8" w:rsidRDefault="00732C76" w:rsidP="00447F21">
            <w:pPr>
              <w:rPr>
                <w:b w:val="0"/>
                <w:bCs w:val="0"/>
                <w:sz w:val="16"/>
                <w:szCs w:val="16"/>
              </w:rPr>
            </w:pPr>
          </w:p>
        </w:tc>
        <w:tc>
          <w:tcPr>
            <w:tcW w:w="0" w:type="auto"/>
            <w:noWrap/>
            <w:hideMark/>
          </w:tcPr>
          <w:p w14:paraId="6C6AD81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19</w:t>
            </w:r>
          </w:p>
        </w:tc>
        <w:tc>
          <w:tcPr>
            <w:tcW w:w="0" w:type="auto"/>
            <w:noWrap/>
          </w:tcPr>
          <w:p w14:paraId="59EFF5D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b/>
                <w:sz w:val="16"/>
                <w:szCs w:val="16"/>
              </w:rPr>
              <w:t>Feed pelletizing energy</w:t>
            </w:r>
            <w:r>
              <w:rPr>
                <w:b/>
                <w:sz w:val="16"/>
                <w:szCs w:val="16"/>
              </w:rPr>
              <w:t xml:space="preserve"> requirements</w:t>
            </w:r>
          </w:p>
        </w:tc>
        <w:tc>
          <w:tcPr>
            <w:tcW w:w="0" w:type="auto"/>
            <w:noWrap/>
          </w:tcPr>
          <w:p w14:paraId="65B7281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kWh.t</w:t>
            </w:r>
            <w:r w:rsidRPr="006670F8">
              <w:rPr>
                <w:sz w:val="16"/>
                <w:szCs w:val="16"/>
                <w:vertAlign w:val="subscript"/>
              </w:rPr>
              <w:t>ww</w:t>
            </w:r>
            <w:r w:rsidRPr="006670F8">
              <w:rPr>
                <w:sz w:val="16"/>
                <w:szCs w:val="16"/>
                <w:vertAlign w:val="superscript"/>
              </w:rPr>
              <w:t>-1</w:t>
            </w:r>
          </w:p>
        </w:tc>
        <w:tc>
          <w:tcPr>
            <w:tcW w:w="0" w:type="auto"/>
            <w:noWrap/>
          </w:tcPr>
          <w:p w14:paraId="3E893B1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20</w:t>
            </w:r>
          </w:p>
        </w:tc>
        <w:tc>
          <w:tcPr>
            <w:tcW w:w="0" w:type="auto"/>
            <w:noWrap/>
          </w:tcPr>
          <w:p w14:paraId="31ADBC0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15-28.2</w:t>
            </w:r>
          </w:p>
        </w:tc>
      </w:tr>
      <w:tr w:rsidR="00732C76" w:rsidRPr="006670F8" w14:paraId="105C14BC"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7D76254" w14:textId="77777777" w:rsidR="00732C76" w:rsidRPr="006670F8" w:rsidRDefault="00732C76" w:rsidP="00447F21">
            <w:pPr>
              <w:rPr>
                <w:b w:val="0"/>
                <w:bCs w:val="0"/>
                <w:sz w:val="16"/>
                <w:szCs w:val="16"/>
              </w:rPr>
            </w:pPr>
          </w:p>
        </w:tc>
        <w:tc>
          <w:tcPr>
            <w:tcW w:w="0" w:type="auto"/>
            <w:noWrap/>
            <w:hideMark/>
          </w:tcPr>
          <w:p w14:paraId="0CE3EAB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20</w:t>
            </w:r>
          </w:p>
        </w:tc>
        <w:tc>
          <w:tcPr>
            <w:tcW w:w="0" w:type="auto"/>
            <w:noWrap/>
          </w:tcPr>
          <w:p w14:paraId="1EB10D4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b/>
                <w:sz w:val="16"/>
                <w:szCs w:val="16"/>
              </w:rPr>
              <w:t>Humidity for pelletizing</w:t>
            </w:r>
          </w:p>
        </w:tc>
        <w:tc>
          <w:tcPr>
            <w:tcW w:w="0" w:type="auto"/>
            <w:noWrap/>
          </w:tcPr>
          <w:p w14:paraId="09584F7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ww</w:t>
            </w:r>
          </w:p>
        </w:tc>
        <w:tc>
          <w:tcPr>
            <w:tcW w:w="0" w:type="auto"/>
            <w:noWrap/>
          </w:tcPr>
          <w:p w14:paraId="1BED51D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10%</w:t>
            </w:r>
          </w:p>
        </w:tc>
        <w:tc>
          <w:tcPr>
            <w:tcW w:w="0" w:type="auto"/>
            <w:noWrap/>
          </w:tcPr>
          <w:p w14:paraId="7A685A4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8-10%</w:t>
            </w:r>
          </w:p>
        </w:tc>
      </w:tr>
      <w:tr w:rsidR="00732C76" w:rsidRPr="006670F8" w14:paraId="2437944E"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79439F4" w14:textId="77777777" w:rsidR="00732C76" w:rsidRPr="006670F8" w:rsidRDefault="00732C76" w:rsidP="00447F21">
            <w:pPr>
              <w:rPr>
                <w:b w:val="0"/>
                <w:bCs w:val="0"/>
                <w:sz w:val="16"/>
                <w:szCs w:val="16"/>
              </w:rPr>
            </w:pPr>
          </w:p>
        </w:tc>
        <w:tc>
          <w:tcPr>
            <w:tcW w:w="0" w:type="auto"/>
            <w:noWrap/>
            <w:hideMark/>
          </w:tcPr>
          <w:p w14:paraId="4C800E5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21</w:t>
            </w:r>
          </w:p>
        </w:tc>
        <w:tc>
          <w:tcPr>
            <w:tcW w:w="0" w:type="auto"/>
            <w:noWrap/>
          </w:tcPr>
          <w:p w14:paraId="67B240F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Humidity for crushing</w:t>
            </w:r>
          </w:p>
        </w:tc>
        <w:tc>
          <w:tcPr>
            <w:tcW w:w="0" w:type="auto"/>
            <w:noWrap/>
          </w:tcPr>
          <w:p w14:paraId="3C735A7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ww</w:t>
            </w:r>
          </w:p>
        </w:tc>
        <w:tc>
          <w:tcPr>
            <w:tcW w:w="0" w:type="auto"/>
            <w:noWrap/>
          </w:tcPr>
          <w:p w14:paraId="3063329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9%</w:t>
            </w:r>
          </w:p>
        </w:tc>
        <w:tc>
          <w:tcPr>
            <w:tcW w:w="0" w:type="auto"/>
            <w:noWrap/>
          </w:tcPr>
          <w:p w14:paraId="6897D79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9-13%</w:t>
            </w:r>
          </w:p>
        </w:tc>
      </w:tr>
      <w:tr w:rsidR="00732C76" w:rsidRPr="006670F8" w14:paraId="4F7E2A3D"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34127E4" w14:textId="77777777" w:rsidR="00732C76" w:rsidRPr="006670F8" w:rsidRDefault="00732C76" w:rsidP="00447F21">
            <w:pPr>
              <w:rPr>
                <w:b w:val="0"/>
                <w:bCs w:val="0"/>
                <w:sz w:val="16"/>
                <w:szCs w:val="16"/>
              </w:rPr>
            </w:pPr>
          </w:p>
        </w:tc>
        <w:tc>
          <w:tcPr>
            <w:tcW w:w="0" w:type="auto"/>
            <w:noWrap/>
            <w:hideMark/>
          </w:tcPr>
          <w:p w14:paraId="75A4081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22</w:t>
            </w:r>
          </w:p>
        </w:tc>
        <w:tc>
          <w:tcPr>
            <w:tcW w:w="0" w:type="auto"/>
            <w:noWrap/>
          </w:tcPr>
          <w:p w14:paraId="30D7C91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Crushing dust generation</w:t>
            </w:r>
          </w:p>
        </w:tc>
        <w:tc>
          <w:tcPr>
            <w:tcW w:w="0" w:type="auto"/>
            <w:noWrap/>
          </w:tcPr>
          <w:p w14:paraId="6149E9F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ww</w:t>
            </w:r>
          </w:p>
        </w:tc>
        <w:tc>
          <w:tcPr>
            <w:tcW w:w="0" w:type="auto"/>
            <w:noWrap/>
          </w:tcPr>
          <w:p w14:paraId="6BA0AF0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0.5%</w:t>
            </w:r>
          </w:p>
        </w:tc>
        <w:tc>
          <w:tcPr>
            <w:tcW w:w="0" w:type="auto"/>
            <w:noWrap/>
          </w:tcPr>
          <w:p w14:paraId="0E6839C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0-0.5%</w:t>
            </w:r>
          </w:p>
        </w:tc>
      </w:tr>
      <w:tr w:rsidR="00732C76" w:rsidRPr="006670F8" w14:paraId="0B8BA0CF"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6274BEA" w14:textId="77777777" w:rsidR="00732C76" w:rsidRPr="006670F8" w:rsidRDefault="00732C76" w:rsidP="00447F21">
            <w:pPr>
              <w:rPr>
                <w:b w:val="0"/>
                <w:bCs w:val="0"/>
                <w:sz w:val="16"/>
                <w:szCs w:val="16"/>
              </w:rPr>
            </w:pPr>
          </w:p>
        </w:tc>
        <w:tc>
          <w:tcPr>
            <w:tcW w:w="0" w:type="auto"/>
            <w:noWrap/>
            <w:hideMark/>
          </w:tcPr>
          <w:p w14:paraId="1C981D1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23</w:t>
            </w:r>
          </w:p>
        </w:tc>
        <w:tc>
          <w:tcPr>
            <w:tcW w:w="0" w:type="auto"/>
            <w:noWrap/>
          </w:tcPr>
          <w:p w14:paraId="12A1917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Pr>
                <w:b/>
                <w:sz w:val="16"/>
                <w:szCs w:val="16"/>
              </w:rPr>
              <w:t>Coefficient of performance (</w:t>
            </w:r>
            <w:r w:rsidRPr="006670F8">
              <w:rPr>
                <w:b/>
                <w:sz w:val="16"/>
                <w:szCs w:val="16"/>
              </w:rPr>
              <w:t>COP</w:t>
            </w:r>
            <w:r>
              <w:rPr>
                <w:b/>
                <w:sz w:val="16"/>
                <w:szCs w:val="16"/>
              </w:rPr>
              <w:t>)</w:t>
            </w:r>
            <w:r w:rsidRPr="006670F8">
              <w:rPr>
                <w:b/>
                <w:sz w:val="16"/>
                <w:szCs w:val="16"/>
              </w:rPr>
              <w:t xml:space="preserve"> </w:t>
            </w:r>
            <w:r>
              <w:rPr>
                <w:b/>
                <w:sz w:val="16"/>
                <w:szCs w:val="16"/>
              </w:rPr>
              <w:t>fridge</w:t>
            </w:r>
          </w:p>
        </w:tc>
        <w:tc>
          <w:tcPr>
            <w:tcW w:w="0" w:type="auto"/>
            <w:noWrap/>
          </w:tcPr>
          <w:p w14:paraId="5B574BD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proofErr w:type="gramStart"/>
            <w:r w:rsidRPr="006670F8">
              <w:rPr>
                <w:sz w:val="16"/>
                <w:szCs w:val="16"/>
              </w:rPr>
              <w:t>kW.kWe</w:t>
            </w:r>
            <w:proofErr w:type="gramEnd"/>
            <w:r w:rsidRPr="006670F8">
              <w:rPr>
                <w:sz w:val="16"/>
                <w:szCs w:val="16"/>
                <w:vertAlign w:val="superscript"/>
              </w:rPr>
              <w:t>-1</w:t>
            </w:r>
          </w:p>
        </w:tc>
        <w:tc>
          <w:tcPr>
            <w:tcW w:w="0" w:type="auto"/>
            <w:noWrap/>
          </w:tcPr>
          <w:p w14:paraId="3F05525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3.5</w:t>
            </w:r>
          </w:p>
        </w:tc>
        <w:tc>
          <w:tcPr>
            <w:tcW w:w="0" w:type="auto"/>
            <w:noWrap/>
          </w:tcPr>
          <w:p w14:paraId="4A35C32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3-4</w:t>
            </w:r>
          </w:p>
        </w:tc>
      </w:tr>
      <w:tr w:rsidR="00732C76" w:rsidRPr="006670F8" w14:paraId="488F71F7"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6A4D42F" w14:textId="77777777" w:rsidR="00732C76" w:rsidRPr="006670F8" w:rsidRDefault="00732C76" w:rsidP="00447F21">
            <w:pPr>
              <w:rPr>
                <w:b w:val="0"/>
                <w:bCs w:val="0"/>
                <w:sz w:val="16"/>
                <w:szCs w:val="16"/>
              </w:rPr>
            </w:pPr>
          </w:p>
        </w:tc>
        <w:tc>
          <w:tcPr>
            <w:tcW w:w="0" w:type="auto"/>
            <w:noWrap/>
            <w:hideMark/>
          </w:tcPr>
          <w:p w14:paraId="7C6CBE4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24</w:t>
            </w:r>
          </w:p>
        </w:tc>
        <w:tc>
          <w:tcPr>
            <w:tcW w:w="0" w:type="auto"/>
            <w:noWrap/>
          </w:tcPr>
          <w:p w14:paraId="72CC944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U</w:t>
            </w:r>
            <w:r>
              <w:rPr>
                <w:b/>
                <w:sz w:val="16"/>
                <w:szCs w:val="16"/>
              </w:rPr>
              <w:t>ltrafiltration</w:t>
            </w:r>
            <w:r w:rsidRPr="006670F8">
              <w:rPr>
                <w:b/>
                <w:sz w:val="16"/>
                <w:szCs w:val="16"/>
              </w:rPr>
              <w:t xml:space="preserve"> electricity</w:t>
            </w:r>
            <w:r>
              <w:rPr>
                <w:b/>
                <w:sz w:val="16"/>
                <w:szCs w:val="16"/>
              </w:rPr>
              <w:t xml:space="preserve"> requirements</w:t>
            </w:r>
          </w:p>
        </w:tc>
        <w:tc>
          <w:tcPr>
            <w:tcW w:w="0" w:type="auto"/>
            <w:noWrap/>
          </w:tcPr>
          <w:p w14:paraId="2D60D2E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kWh.m</w:t>
            </w:r>
            <w:r w:rsidRPr="006670F8">
              <w:rPr>
                <w:sz w:val="16"/>
                <w:szCs w:val="16"/>
                <w:vertAlign w:val="superscript"/>
              </w:rPr>
              <w:t>-3</w:t>
            </w:r>
          </w:p>
        </w:tc>
        <w:tc>
          <w:tcPr>
            <w:tcW w:w="0" w:type="auto"/>
            <w:noWrap/>
          </w:tcPr>
          <w:p w14:paraId="768734B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0.04</w:t>
            </w:r>
          </w:p>
        </w:tc>
        <w:tc>
          <w:tcPr>
            <w:tcW w:w="0" w:type="auto"/>
            <w:noWrap/>
          </w:tcPr>
          <w:p w14:paraId="3BFF348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0.04-0.15</w:t>
            </w:r>
          </w:p>
        </w:tc>
      </w:tr>
      <w:tr w:rsidR="00732C76" w:rsidRPr="006670F8" w14:paraId="50B53371"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213F6C8" w14:textId="77777777" w:rsidR="00732C76" w:rsidRPr="006670F8" w:rsidRDefault="00732C76" w:rsidP="00447F21">
            <w:pPr>
              <w:rPr>
                <w:b w:val="0"/>
                <w:bCs w:val="0"/>
                <w:sz w:val="16"/>
                <w:szCs w:val="16"/>
              </w:rPr>
            </w:pPr>
          </w:p>
        </w:tc>
        <w:tc>
          <w:tcPr>
            <w:tcW w:w="0" w:type="auto"/>
            <w:noWrap/>
            <w:hideMark/>
          </w:tcPr>
          <w:p w14:paraId="12EF3FA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25</w:t>
            </w:r>
          </w:p>
        </w:tc>
        <w:tc>
          <w:tcPr>
            <w:tcW w:w="0" w:type="auto"/>
            <w:noWrap/>
          </w:tcPr>
          <w:p w14:paraId="7F68EFA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U</w:t>
            </w:r>
            <w:r>
              <w:rPr>
                <w:b/>
                <w:sz w:val="16"/>
                <w:szCs w:val="16"/>
              </w:rPr>
              <w:t>ltrafiltration</w:t>
            </w:r>
            <w:r w:rsidRPr="006670F8">
              <w:rPr>
                <w:b/>
                <w:sz w:val="16"/>
                <w:szCs w:val="16"/>
              </w:rPr>
              <w:t xml:space="preserve"> DM out</w:t>
            </w:r>
          </w:p>
        </w:tc>
        <w:tc>
          <w:tcPr>
            <w:tcW w:w="0" w:type="auto"/>
            <w:noWrap/>
          </w:tcPr>
          <w:p w14:paraId="77BFF18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DM</w:t>
            </w:r>
          </w:p>
        </w:tc>
        <w:tc>
          <w:tcPr>
            <w:tcW w:w="0" w:type="auto"/>
            <w:noWrap/>
          </w:tcPr>
          <w:p w14:paraId="19A0AF1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13%</w:t>
            </w:r>
          </w:p>
        </w:tc>
        <w:tc>
          <w:tcPr>
            <w:tcW w:w="0" w:type="auto"/>
            <w:noWrap/>
          </w:tcPr>
          <w:p w14:paraId="446ACFD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10-15%</w:t>
            </w:r>
          </w:p>
        </w:tc>
      </w:tr>
      <w:tr w:rsidR="00732C76" w:rsidRPr="006670F8" w14:paraId="7974656C"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2834DF1" w14:textId="77777777" w:rsidR="00732C76" w:rsidRPr="006670F8" w:rsidRDefault="00732C76" w:rsidP="00447F21">
            <w:pPr>
              <w:rPr>
                <w:b w:val="0"/>
                <w:bCs w:val="0"/>
                <w:sz w:val="16"/>
                <w:szCs w:val="16"/>
              </w:rPr>
            </w:pPr>
          </w:p>
        </w:tc>
        <w:tc>
          <w:tcPr>
            <w:tcW w:w="0" w:type="auto"/>
            <w:noWrap/>
            <w:hideMark/>
          </w:tcPr>
          <w:p w14:paraId="1251F2D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26</w:t>
            </w:r>
          </w:p>
        </w:tc>
        <w:tc>
          <w:tcPr>
            <w:tcW w:w="0" w:type="auto"/>
            <w:noWrap/>
          </w:tcPr>
          <w:p w14:paraId="6CDED9B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Centrifuge DM out</w:t>
            </w:r>
          </w:p>
        </w:tc>
        <w:tc>
          <w:tcPr>
            <w:tcW w:w="0" w:type="auto"/>
            <w:noWrap/>
          </w:tcPr>
          <w:p w14:paraId="3C53C5C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DM</w:t>
            </w:r>
          </w:p>
        </w:tc>
        <w:tc>
          <w:tcPr>
            <w:tcW w:w="0" w:type="auto"/>
            <w:noWrap/>
          </w:tcPr>
          <w:p w14:paraId="74D7646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30%</w:t>
            </w:r>
          </w:p>
        </w:tc>
        <w:tc>
          <w:tcPr>
            <w:tcW w:w="0" w:type="auto"/>
            <w:noWrap/>
          </w:tcPr>
          <w:p w14:paraId="06334F4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20-35%</w:t>
            </w:r>
          </w:p>
        </w:tc>
      </w:tr>
      <w:tr w:rsidR="00732C76" w:rsidRPr="006670F8" w14:paraId="1DED426E"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163E742" w14:textId="77777777" w:rsidR="00732C76" w:rsidRPr="006670F8" w:rsidRDefault="00732C76" w:rsidP="00447F21">
            <w:pPr>
              <w:rPr>
                <w:b w:val="0"/>
                <w:bCs w:val="0"/>
                <w:sz w:val="16"/>
                <w:szCs w:val="16"/>
              </w:rPr>
            </w:pPr>
          </w:p>
        </w:tc>
        <w:tc>
          <w:tcPr>
            <w:tcW w:w="0" w:type="auto"/>
            <w:noWrap/>
            <w:hideMark/>
          </w:tcPr>
          <w:p w14:paraId="70AB8EB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27</w:t>
            </w:r>
          </w:p>
        </w:tc>
        <w:tc>
          <w:tcPr>
            <w:tcW w:w="0" w:type="auto"/>
            <w:noWrap/>
          </w:tcPr>
          <w:p w14:paraId="008FD89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Centrifuge DM losses</w:t>
            </w:r>
          </w:p>
        </w:tc>
        <w:tc>
          <w:tcPr>
            <w:tcW w:w="0" w:type="auto"/>
            <w:noWrap/>
          </w:tcPr>
          <w:p w14:paraId="29757F9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DMin</w:t>
            </w:r>
          </w:p>
        </w:tc>
        <w:tc>
          <w:tcPr>
            <w:tcW w:w="0" w:type="auto"/>
            <w:noWrap/>
          </w:tcPr>
          <w:p w14:paraId="1BAB753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w:t>
            </w:r>
          </w:p>
        </w:tc>
        <w:tc>
          <w:tcPr>
            <w:tcW w:w="0" w:type="auto"/>
            <w:noWrap/>
          </w:tcPr>
          <w:p w14:paraId="1BBC329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1-6%</w:t>
            </w:r>
          </w:p>
        </w:tc>
      </w:tr>
      <w:tr w:rsidR="00732C76" w:rsidRPr="006670F8" w14:paraId="3474A94B"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21A2BF3" w14:textId="77777777" w:rsidR="00732C76" w:rsidRPr="006670F8" w:rsidRDefault="00732C76" w:rsidP="00447F21">
            <w:pPr>
              <w:rPr>
                <w:b w:val="0"/>
                <w:bCs w:val="0"/>
                <w:sz w:val="16"/>
                <w:szCs w:val="16"/>
              </w:rPr>
            </w:pPr>
          </w:p>
        </w:tc>
        <w:tc>
          <w:tcPr>
            <w:tcW w:w="0" w:type="auto"/>
            <w:noWrap/>
            <w:hideMark/>
          </w:tcPr>
          <w:p w14:paraId="3114CB0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28</w:t>
            </w:r>
          </w:p>
        </w:tc>
        <w:tc>
          <w:tcPr>
            <w:tcW w:w="0" w:type="auto"/>
            <w:noWrap/>
          </w:tcPr>
          <w:p w14:paraId="05BDA12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Centrifuge electricity</w:t>
            </w:r>
            <w:r>
              <w:rPr>
                <w:b/>
                <w:sz w:val="16"/>
                <w:szCs w:val="16"/>
              </w:rPr>
              <w:t xml:space="preserve"> requirements</w:t>
            </w:r>
          </w:p>
        </w:tc>
        <w:tc>
          <w:tcPr>
            <w:tcW w:w="0" w:type="auto"/>
            <w:noWrap/>
          </w:tcPr>
          <w:p w14:paraId="56DC099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kWh.m</w:t>
            </w:r>
            <w:r w:rsidRPr="006670F8">
              <w:rPr>
                <w:sz w:val="16"/>
                <w:szCs w:val="16"/>
                <w:vertAlign w:val="superscript"/>
              </w:rPr>
              <w:t>-3</w:t>
            </w:r>
          </w:p>
        </w:tc>
        <w:tc>
          <w:tcPr>
            <w:tcW w:w="0" w:type="auto"/>
            <w:noWrap/>
          </w:tcPr>
          <w:p w14:paraId="526861F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2.53</w:t>
            </w:r>
          </w:p>
        </w:tc>
        <w:tc>
          <w:tcPr>
            <w:tcW w:w="0" w:type="auto"/>
            <w:noWrap/>
          </w:tcPr>
          <w:p w14:paraId="0984531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1.35-8</w:t>
            </w:r>
          </w:p>
        </w:tc>
      </w:tr>
      <w:tr w:rsidR="00732C76" w:rsidRPr="006670F8" w14:paraId="5C735273"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A8F7976" w14:textId="77777777" w:rsidR="00732C76" w:rsidRPr="006670F8" w:rsidRDefault="00732C76" w:rsidP="00447F21">
            <w:pPr>
              <w:rPr>
                <w:b w:val="0"/>
                <w:bCs w:val="0"/>
                <w:sz w:val="16"/>
                <w:szCs w:val="16"/>
              </w:rPr>
            </w:pPr>
          </w:p>
        </w:tc>
        <w:tc>
          <w:tcPr>
            <w:tcW w:w="0" w:type="auto"/>
            <w:noWrap/>
            <w:hideMark/>
          </w:tcPr>
          <w:p w14:paraId="6D338E3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29</w:t>
            </w:r>
          </w:p>
        </w:tc>
        <w:tc>
          <w:tcPr>
            <w:tcW w:w="0" w:type="auto"/>
            <w:noWrap/>
          </w:tcPr>
          <w:p w14:paraId="6DE2BE0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Gas compression yield</w:t>
            </w:r>
          </w:p>
        </w:tc>
        <w:tc>
          <w:tcPr>
            <w:tcW w:w="0" w:type="auto"/>
            <w:noWrap/>
          </w:tcPr>
          <w:p w14:paraId="2EA1C0E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kJ</w:t>
            </w:r>
          </w:p>
        </w:tc>
        <w:tc>
          <w:tcPr>
            <w:tcW w:w="0" w:type="auto"/>
            <w:noWrap/>
          </w:tcPr>
          <w:p w14:paraId="0E714E9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80%</w:t>
            </w:r>
          </w:p>
        </w:tc>
        <w:tc>
          <w:tcPr>
            <w:tcW w:w="0" w:type="auto"/>
            <w:noWrap/>
          </w:tcPr>
          <w:p w14:paraId="2BE0719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70-90%</w:t>
            </w:r>
          </w:p>
        </w:tc>
      </w:tr>
      <w:tr w:rsidR="00732C76" w:rsidRPr="006670F8" w14:paraId="0DE716EE"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F2EEB61" w14:textId="77777777" w:rsidR="00732C76" w:rsidRPr="006670F8" w:rsidRDefault="00732C76" w:rsidP="00447F21">
            <w:pPr>
              <w:rPr>
                <w:b w:val="0"/>
                <w:bCs w:val="0"/>
                <w:sz w:val="16"/>
                <w:szCs w:val="16"/>
              </w:rPr>
            </w:pPr>
          </w:p>
        </w:tc>
        <w:tc>
          <w:tcPr>
            <w:tcW w:w="0" w:type="auto"/>
            <w:noWrap/>
            <w:hideMark/>
          </w:tcPr>
          <w:p w14:paraId="5608CDC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30</w:t>
            </w:r>
          </w:p>
        </w:tc>
        <w:tc>
          <w:tcPr>
            <w:tcW w:w="0" w:type="auto"/>
            <w:noWrap/>
          </w:tcPr>
          <w:p w14:paraId="2ACAB6C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Cooling COP</w:t>
            </w:r>
          </w:p>
        </w:tc>
        <w:tc>
          <w:tcPr>
            <w:tcW w:w="0" w:type="auto"/>
            <w:noWrap/>
          </w:tcPr>
          <w:p w14:paraId="3DD2398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proofErr w:type="gramStart"/>
            <w:r w:rsidRPr="006670F8">
              <w:rPr>
                <w:sz w:val="16"/>
                <w:szCs w:val="16"/>
              </w:rPr>
              <w:t>kW.kWe</w:t>
            </w:r>
            <w:proofErr w:type="gramEnd"/>
            <w:r w:rsidRPr="006670F8">
              <w:rPr>
                <w:sz w:val="16"/>
                <w:szCs w:val="16"/>
                <w:vertAlign w:val="superscript"/>
              </w:rPr>
              <w:t>-1</w:t>
            </w:r>
          </w:p>
        </w:tc>
        <w:tc>
          <w:tcPr>
            <w:tcW w:w="0" w:type="auto"/>
            <w:noWrap/>
          </w:tcPr>
          <w:p w14:paraId="44F5859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w:t>
            </w:r>
          </w:p>
        </w:tc>
        <w:tc>
          <w:tcPr>
            <w:tcW w:w="0" w:type="auto"/>
            <w:noWrap/>
          </w:tcPr>
          <w:p w14:paraId="1A140A9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2-7</w:t>
            </w:r>
          </w:p>
        </w:tc>
      </w:tr>
      <w:tr w:rsidR="00732C76" w:rsidRPr="006670F8" w14:paraId="170972EE"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567544B" w14:textId="77777777" w:rsidR="00732C76" w:rsidRPr="006670F8" w:rsidRDefault="00732C76" w:rsidP="00447F21">
            <w:pPr>
              <w:rPr>
                <w:b w:val="0"/>
                <w:bCs w:val="0"/>
                <w:sz w:val="16"/>
                <w:szCs w:val="16"/>
              </w:rPr>
            </w:pPr>
          </w:p>
        </w:tc>
        <w:tc>
          <w:tcPr>
            <w:tcW w:w="0" w:type="auto"/>
            <w:noWrap/>
            <w:hideMark/>
          </w:tcPr>
          <w:p w14:paraId="1819A50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31</w:t>
            </w:r>
          </w:p>
        </w:tc>
        <w:tc>
          <w:tcPr>
            <w:tcW w:w="0" w:type="auto"/>
            <w:noWrap/>
          </w:tcPr>
          <w:p w14:paraId="2ADDBB7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L</w:t>
            </w:r>
            <w:r>
              <w:rPr>
                <w:b/>
                <w:sz w:val="16"/>
                <w:szCs w:val="16"/>
              </w:rPr>
              <w:t>ow-temperature (LT)</w:t>
            </w:r>
            <w:r w:rsidRPr="006670F8">
              <w:rPr>
                <w:b/>
                <w:sz w:val="16"/>
                <w:szCs w:val="16"/>
              </w:rPr>
              <w:t xml:space="preserve"> heat reuse</w:t>
            </w:r>
          </w:p>
        </w:tc>
        <w:tc>
          <w:tcPr>
            <w:tcW w:w="0" w:type="auto"/>
            <w:noWrap/>
          </w:tcPr>
          <w:p w14:paraId="176D929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MJ</w:t>
            </w:r>
          </w:p>
        </w:tc>
        <w:tc>
          <w:tcPr>
            <w:tcW w:w="0" w:type="auto"/>
            <w:noWrap/>
          </w:tcPr>
          <w:p w14:paraId="619E1DF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50%</w:t>
            </w:r>
          </w:p>
        </w:tc>
        <w:tc>
          <w:tcPr>
            <w:tcW w:w="0" w:type="auto"/>
            <w:noWrap/>
          </w:tcPr>
          <w:p w14:paraId="09F1A9B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20-65%</w:t>
            </w:r>
          </w:p>
        </w:tc>
      </w:tr>
      <w:tr w:rsidR="00732C76" w:rsidRPr="006670F8" w14:paraId="3EEA6E2C"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08AE1EF" w14:textId="77777777" w:rsidR="00732C76" w:rsidRPr="006670F8" w:rsidRDefault="00732C76" w:rsidP="00447F21">
            <w:pPr>
              <w:rPr>
                <w:b w:val="0"/>
                <w:bCs w:val="0"/>
                <w:sz w:val="16"/>
                <w:szCs w:val="16"/>
              </w:rPr>
            </w:pPr>
          </w:p>
        </w:tc>
        <w:tc>
          <w:tcPr>
            <w:tcW w:w="0" w:type="auto"/>
            <w:noWrap/>
            <w:hideMark/>
          </w:tcPr>
          <w:p w14:paraId="4B0A86F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32</w:t>
            </w:r>
          </w:p>
        </w:tc>
        <w:tc>
          <w:tcPr>
            <w:tcW w:w="0" w:type="auto"/>
            <w:noWrap/>
          </w:tcPr>
          <w:p w14:paraId="6DE9405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Pr>
                <w:b/>
                <w:sz w:val="16"/>
                <w:szCs w:val="16"/>
              </w:rPr>
              <w:t>Sensible</w:t>
            </w:r>
            <w:r w:rsidRPr="006670F8">
              <w:rPr>
                <w:b/>
                <w:sz w:val="16"/>
                <w:szCs w:val="16"/>
              </w:rPr>
              <w:t xml:space="preserve"> </w:t>
            </w:r>
            <w:r>
              <w:rPr>
                <w:b/>
                <w:sz w:val="16"/>
                <w:szCs w:val="16"/>
              </w:rPr>
              <w:t>high temperature (HT)</w:t>
            </w:r>
            <w:r w:rsidRPr="006670F8">
              <w:rPr>
                <w:b/>
                <w:sz w:val="16"/>
                <w:szCs w:val="16"/>
              </w:rPr>
              <w:t xml:space="preserve"> heat reuse</w:t>
            </w:r>
          </w:p>
        </w:tc>
        <w:tc>
          <w:tcPr>
            <w:tcW w:w="0" w:type="auto"/>
            <w:noWrap/>
          </w:tcPr>
          <w:p w14:paraId="285759A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MJ</w:t>
            </w:r>
          </w:p>
        </w:tc>
        <w:tc>
          <w:tcPr>
            <w:tcW w:w="0" w:type="auto"/>
            <w:noWrap/>
          </w:tcPr>
          <w:p w14:paraId="3A1706C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80%</w:t>
            </w:r>
          </w:p>
        </w:tc>
        <w:tc>
          <w:tcPr>
            <w:tcW w:w="0" w:type="auto"/>
            <w:noWrap/>
          </w:tcPr>
          <w:p w14:paraId="206ADE9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50-80%</w:t>
            </w:r>
          </w:p>
        </w:tc>
      </w:tr>
      <w:tr w:rsidR="00732C76" w:rsidRPr="006670F8" w14:paraId="4B8C3C7F"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291589D" w14:textId="77777777" w:rsidR="00732C76" w:rsidRPr="006670F8" w:rsidRDefault="00732C76" w:rsidP="00447F21">
            <w:pPr>
              <w:rPr>
                <w:b w:val="0"/>
                <w:bCs w:val="0"/>
                <w:sz w:val="16"/>
                <w:szCs w:val="16"/>
              </w:rPr>
            </w:pPr>
          </w:p>
        </w:tc>
        <w:tc>
          <w:tcPr>
            <w:tcW w:w="0" w:type="auto"/>
            <w:noWrap/>
            <w:hideMark/>
          </w:tcPr>
          <w:p w14:paraId="5D01559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33</w:t>
            </w:r>
          </w:p>
        </w:tc>
        <w:tc>
          <w:tcPr>
            <w:tcW w:w="0" w:type="auto"/>
            <w:noWrap/>
          </w:tcPr>
          <w:p w14:paraId="173CE0BD" w14:textId="5D7B294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Meat-equivalent rat</w:t>
            </w:r>
            <w:r w:rsidR="008652FB">
              <w:rPr>
                <w:b/>
                <w:sz w:val="16"/>
                <w:szCs w:val="16"/>
              </w:rPr>
              <w:t>io</w:t>
            </w:r>
          </w:p>
        </w:tc>
        <w:tc>
          <w:tcPr>
            <w:tcW w:w="0" w:type="auto"/>
            <w:noWrap/>
          </w:tcPr>
          <w:p w14:paraId="1586819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DM</w:t>
            </w:r>
          </w:p>
        </w:tc>
        <w:tc>
          <w:tcPr>
            <w:tcW w:w="0" w:type="auto"/>
            <w:noWrap/>
          </w:tcPr>
          <w:p w14:paraId="64252F0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80%</w:t>
            </w:r>
          </w:p>
        </w:tc>
        <w:tc>
          <w:tcPr>
            <w:tcW w:w="0" w:type="auto"/>
            <w:noWrap/>
          </w:tcPr>
          <w:p w14:paraId="018AF95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50-100%</w:t>
            </w:r>
          </w:p>
        </w:tc>
      </w:tr>
      <w:tr w:rsidR="00732C76" w:rsidRPr="006670F8" w14:paraId="3E0B64DE"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DF9AF53" w14:textId="77777777" w:rsidR="00732C76" w:rsidRPr="006670F8" w:rsidRDefault="00732C76" w:rsidP="00447F21">
            <w:pPr>
              <w:rPr>
                <w:b w:val="0"/>
                <w:bCs w:val="0"/>
                <w:sz w:val="16"/>
                <w:szCs w:val="16"/>
              </w:rPr>
            </w:pPr>
          </w:p>
        </w:tc>
        <w:tc>
          <w:tcPr>
            <w:tcW w:w="0" w:type="auto"/>
            <w:noWrap/>
            <w:hideMark/>
          </w:tcPr>
          <w:p w14:paraId="4EC7EAA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34</w:t>
            </w:r>
          </w:p>
        </w:tc>
        <w:tc>
          <w:tcPr>
            <w:tcW w:w="0" w:type="auto"/>
            <w:noWrap/>
          </w:tcPr>
          <w:p w14:paraId="6680F66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Crushing energy</w:t>
            </w:r>
            <w:r>
              <w:rPr>
                <w:b/>
                <w:bCs/>
                <w:sz w:val="16"/>
                <w:szCs w:val="16"/>
              </w:rPr>
              <w:t xml:space="preserve"> requirements</w:t>
            </w:r>
          </w:p>
        </w:tc>
        <w:tc>
          <w:tcPr>
            <w:tcW w:w="0" w:type="auto"/>
            <w:noWrap/>
          </w:tcPr>
          <w:p w14:paraId="7C79DE6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kWh.t</w:t>
            </w:r>
            <w:r w:rsidRPr="006670F8">
              <w:rPr>
                <w:sz w:val="16"/>
                <w:szCs w:val="16"/>
                <w:vertAlign w:val="subscript"/>
              </w:rPr>
              <w:t>DM</w:t>
            </w:r>
            <w:r w:rsidRPr="006670F8">
              <w:rPr>
                <w:sz w:val="16"/>
                <w:szCs w:val="16"/>
                <w:vertAlign w:val="superscript"/>
              </w:rPr>
              <w:t>-1</w:t>
            </w:r>
          </w:p>
        </w:tc>
        <w:tc>
          <w:tcPr>
            <w:tcW w:w="0" w:type="auto"/>
            <w:noWrap/>
          </w:tcPr>
          <w:p w14:paraId="6A56017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sz w:val="16"/>
                <w:szCs w:val="16"/>
              </w:rPr>
            </w:pPr>
            <w:r w:rsidRPr="006670F8">
              <w:rPr>
                <w:sz w:val="16"/>
                <w:szCs w:val="16"/>
              </w:rPr>
              <w:t>0.096</w:t>
            </w:r>
          </w:p>
        </w:tc>
        <w:tc>
          <w:tcPr>
            <w:tcW w:w="0" w:type="auto"/>
            <w:noWrap/>
          </w:tcPr>
          <w:p w14:paraId="0083096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sz w:val="16"/>
                <w:szCs w:val="16"/>
              </w:rPr>
            </w:pPr>
            <w:r w:rsidRPr="006670F8">
              <w:rPr>
                <w:sz w:val="16"/>
                <w:szCs w:val="16"/>
              </w:rPr>
              <w:t>0.02-0.156</w:t>
            </w:r>
          </w:p>
        </w:tc>
      </w:tr>
      <w:tr w:rsidR="00732C76" w:rsidRPr="006670F8" w14:paraId="0AF437C9"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6296CF1" w14:textId="77777777" w:rsidR="00732C76" w:rsidRPr="006670F8" w:rsidRDefault="00732C76" w:rsidP="00447F21">
            <w:pPr>
              <w:rPr>
                <w:b w:val="0"/>
                <w:bCs w:val="0"/>
                <w:sz w:val="16"/>
                <w:szCs w:val="16"/>
              </w:rPr>
            </w:pPr>
          </w:p>
        </w:tc>
        <w:tc>
          <w:tcPr>
            <w:tcW w:w="0" w:type="auto"/>
            <w:noWrap/>
            <w:hideMark/>
          </w:tcPr>
          <w:p w14:paraId="0E454C1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35</w:t>
            </w:r>
          </w:p>
        </w:tc>
        <w:tc>
          <w:tcPr>
            <w:tcW w:w="0" w:type="auto"/>
            <w:noWrap/>
          </w:tcPr>
          <w:p w14:paraId="1385EA5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Gas boiler efficiency</w:t>
            </w:r>
          </w:p>
        </w:tc>
        <w:tc>
          <w:tcPr>
            <w:tcW w:w="0" w:type="auto"/>
            <w:noWrap/>
          </w:tcPr>
          <w:p w14:paraId="137B3A5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LHV</w:t>
            </w:r>
          </w:p>
        </w:tc>
        <w:tc>
          <w:tcPr>
            <w:tcW w:w="0" w:type="auto"/>
            <w:noWrap/>
          </w:tcPr>
          <w:p w14:paraId="7978BF7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98%</w:t>
            </w:r>
          </w:p>
        </w:tc>
        <w:tc>
          <w:tcPr>
            <w:tcW w:w="0" w:type="auto"/>
            <w:noWrap/>
          </w:tcPr>
          <w:p w14:paraId="28561F1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92-102%</w:t>
            </w:r>
          </w:p>
        </w:tc>
      </w:tr>
      <w:tr w:rsidR="00732C76" w:rsidRPr="006670F8" w14:paraId="3BE13AF4"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60CDFDA" w14:textId="77777777" w:rsidR="00732C76" w:rsidRPr="006670F8" w:rsidRDefault="00732C76" w:rsidP="00447F21">
            <w:pPr>
              <w:rPr>
                <w:b w:val="0"/>
                <w:bCs w:val="0"/>
                <w:sz w:val="16"/>
                <w:szCs w:val="16"/>
              </w:rPr>
            </w:pPr>
          </w:p>
        </w:tc>
        <w:tc>
          <w:tcPr>
            <w:tcW w:w="0" w:type="auto"/>
            <w:noWrap/>
            <w:hideMark/>
          </w:tcPr>
          <w:p w14:paraId="46F4932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36</w:t>
            </w:r>
          </w:p>
        </w:tc>
        <w:tc>
          <w:tcPr>
            <w:tcW w:w="0" w:type="auto"/>
            <w:noWrap/>
          </w:tcPr>
          <w:p w14:paraId="2FBCFFC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Domestic furnace efficiency</w:t>
            </w:r>
          </w:p>
        </w:tc>
        <w:tc>
          <w:tcPr>
            <w:tcW w:w="0" w:type="auto"/>
            <w:noWrap/>
          </w:tcPr>
          <w:p w14:paraId="00AE38C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HHV</w:t>
            </w:r>
          </w:p>
        </w:tc>
        <w:tc>
          <w:tcPr>
            <w:tcW w:w="0" w:type="auto"/>
            <w:noWrap/>
          </w:tcPr>
          <w:p w14:paraId="36C449C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73%</w:t>
            </w:r>
          </w:p>
        </w:tc>
        <w:tc>
          <w:tcPr>
            <w:tcW w:w="0" w:type="auto"/>
            <w:noWrap/>
          </w:tcPr>
          <w:p w14:paraId="234F7FA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31-81%</w:t>
            </w:r>
          </w:p>
        </w:tc>
      </w:tr>
      <w:tr w:rsidR="00732C76" w:rsidRPr="006670F8" w14:paraId="3FCA702B" w14:textId="77777777" w:rsidTr="008C451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vMerge/>
            <w:hideMark/>
          </w:tcPr>
          <w:p w14:paraId="4A9F8432" w14:textId="77777777" w:rsidR="00732C76" w:rsidRPr="006670F8" w:rsidRDefault="00732C76" w:rsidP="00447F21">
            <w:pPr>
              <w:rPr>
                <w:b w:val="0"/>
                <w:bCs w:val="0"/>
                <w:sz w:val="16"/>
                <w:szCs w:val="16"/>
              </w:rPr>
            </w:pPr>
          </w:p>
        </w:tc>
        <w:tc>
          <w:tcPr>
            <w:tcW w:w="0" w:type="auto"/>
            <w:noWrap/>
            <w:hideMark/>
          </w:tcPr>
          <w:p w14:paraId="649F5F0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37</w:t>
            </w:r>
          </w:p>
        </w:tc>
        <w:tc>
          <w:tcPr>
            <w:tcW w:w="0" w:type="auto"/>
            <w:noWrap/>
          </w:tcPr>
          <w:p w14:paraId="510DB33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Industrial furnace efficiency</w:t>
            </w:r>
          </w:p>
        </w:tc>
        <w:tc>
          <w:tcPr>
            <w:tcW w:w="0" w:type="auto"/>
            <w:noWrap/>
          </w:tcPr>
          <w:p w14:paraId="15A006E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HHV</w:t>
            </w:r>
          </w:p>
        </w:tc>
        <w:tc>
          <w:tcPr>
            <w:tcW w:w="0" w:type="auto"/>
            <w:noWrap/>
          </w:tcPr>
          <w:p w14:paraId="3735132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82%</w:t>
            </w:r>
          </w:p>
        </w:tc>
        <w:tc>
          <w:tcPr>
            <w:tcW w:w="0" w:type="auto"/>
            <w:noWrap/>
          </w:tcPr>
          <w:p w14:paraId="0A2B723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70-90%</w:t>
            </w:r>
          </w:p>
        </w:tc>
      </w:tr>
      <w:tr w:rsidR="00732C76" w:rsidRPr="006670F8" w14:paraId="015235E6"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val="restart"/>
            <w:textDirection w:val="btLr"/>
            <w:hideMark/>
          </w:tcPr>
          <w:p w14:paraId="543DEB93" w14:textId="77777777" w:rsidR="00732C76" w:rsidRPr="006670F8" w:rsidRDefault="00732C76" w:rsidP="00447F21">
            <w:pPr>
              <w:rPr>
                <w:b w:val="0"/>
                <w:bCs w:val="0"/>
                <w:sz w:val="16"/>
                <w:szCs w:val="16"/>
              </w:rPr>
            </w:pPr>
            <w:r w:rsidRPr="006670F8">
              <w:rPr>
                <w:sz w:val="16"/>
                <w:szCs w:val="16"/>
              </w:rPr>
              <w:lastRenderedPageBreak/>
              <w:t>Generic land emission factors</w:t>
            </w:r>
          </w:p>
        </w:tc>
        <w:tc>
          <w:tcPr>
            <w:tcW w:w="0" w:type="auto"/>
            <w:noWrap/>
            <w:hideMark/>
          </w:tcPr>
          <w:p w14:paraId="66834AF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38</w:t>
            </w:r>
          </w:p>
        </w:tc>
        <w:tc>
          <w:tcPr>
            <w:tcW w:w="0" w:type="auto"/>
            <w:noWrap/>
          </w:tcPr>
          <w:p w14:paraId="55DF69B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EF1 N</w:t>
            </w:r>
            <w:r w:rsidRPr="006670F8">
              <w:rPr>
                <w:b/>
                <w:sz w:val="16"/>
                <w:szCs w:val="16"/>
                <w:vertAlign w:val="subscript"/>
              </w:rPr>
              <w:t>2</w:t>
            </w:r>
            <w:r w:rsidRPr="006670F8">
              <w:rPr>
                <w:b/>
                <w:sz w:val="16"/>
                <w:szCs w:val="16"/>
              </w:rPr>
              <w:t>O-N direct biosolids</w:t>
            </w:r>
          </w:p>
        </w:tc>
        <w:tc>
          <w:tcPr>
            <w:tcW w:w="0" w:type="auto"/>
            <w:noWrap/>
          </w:tcPr>
          <w:p w14:paraId="76E6E9E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kgN</w:t>
            </w:r>
            <w:r w:rsidRPr="006670F8">
              <w:rPr>
                <w:sz w:val="16"/>
                <w:szCs w:val="16"/>
                <w:vertAlign w:val="subscript"/>
              </w:rPr>
              <w:t>2</w:t>
            </w:r>
            <w:r w:rsidRPr="006670F8">
              <w:rPr>
                <w:sz w:val="16"/>
                <w:szCs w:val="16"/>
              </w:rPr>
              <w:t>O</w:t>
            </w:r>
            <w:r w:rsidRPr="006670F8">
              <w:rPr>
                <w:sz w:val="16"/>
                <w:szCs w:val="16"/>
                <w:vertAlign w:val="subscript"/>
              </w:rPr>
              <w:t>-</w:t>
            </w:r>
            <w:proofErr w:type="gramStart"/>
            <w:r w:rsidRPr="006670F8">
              <w:rPr>
                <w:sz w:val="16"/>
                <w:szCs w:val="16"/>
                <w:vertAlign w:val="subscript"/>
              </w:rPr>
              <w:t>N.</w:t>
            </w:r>
            <w:r w:rsidRPr="006670F8">
              <w:rPr>
                <w:sz w:val="16"/>
                <w:szCs w:val="16"/>
              </w:rPr>
              <w:t>kg</w:t>
            </w:r>
            <w:r w:rsidRPr="006670F8">
              <w:rPr>
                <w:sz w:val="16"/>
                <w:szCs w:val="16"/>
                <w:vertAlign w:val="subscript"/>
              </w:rPr>
              <w:t>N</w:t>
            </w:r>
            <w:proofErr w:type="gramEnd"/>
            <w:r w:rsidRPr="006670F8">
              <w:rPr>
                <w:sz w:val="16"/>
                <w:szCs w:val="16"/>
                <w:vertAlign w:val="superscript"/>
              </w:rPr>
              <w:t>-1</w:t>
            </w:r>
          </w:p>
        </w:tc>
        <w:tc>
          <w:tcPr>
            <w:tcW w:w="0" w:type="auto"/>
            <w:noWrap/>
          </w:tcPr>
          <w:p w14:paraId="13A8B9C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0.006</w:t>
            </w:r>
          </w:p>
        </w:tc>
        <w:tc>
          <w:tcPr>
            <w:tcW w:w="0" w:type="auto"/>
            <w:noWrap/>
          </w:tcPr>
          <w:p w14:paraId="4AED012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0.001-0.011</w:t>
            </w:r>
          </w:p>
        </w:tc>
      </w:tr>
      <w:tr w:rsidR="00732C76" w:rsidRPr="006670F8" w14:paraId="3E35511E"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9EA6E47" w14:textId="77777777" w:rsidR="00732C76" w:rsidRPr="006670F8" w:rsidRDefault="00732C76" w:rsidP="00447F21">
            <w:pPr>
              <w:rPr>
                <w:b w:val="0"/>
                <w:bCs w:val="0"/>
                <w:sz w:val="16"/>
                <w:szCs w:val="16"/>
              </w:rPr>
            </w:pPr>
          </w:p>
        </w:tc>
        <w:tc>
          <w:tcPr>
            <w:tcW w:w="0" w:type="auto"/>
            <w:noWrap/>
            <w:hideMark/>
          </w:tcPr>
          <w:p w14:paraId="41957CB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39</w:t>
            </w:r>
          </w:p>
        </w:tc>
        <w:tc>
          <w:tcPr>
            <w:tcW w:w="0" w:type="auto"/>
            <w:noWrap/>
          </w:tcPr>
          <w:p w14:paraId="1EDDBB5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Volatilized (Frac</w:t>
            </w:r>
            <w:r w:rsidRPr="006670F8">
              <w:rPr>
                <w:b/>
                <w:sz w:val="16"/>
                <w:szCs w:val="16"/>
                <w:vertAlign w:val="subscript"/>
              </w:rPr>
              <w:t>GASN</w:t>
            </w:r>
            <w:r w:rsidRPr="006670F8">
              <w:rPr>
                <w:b/>
                <w:sz w:val="16"/>
                <w:szCs w:val="16"/>
              </w:rPr>
              <w:t>) mineral</w:t>
            </w:r>
            <w:r w:rsidRPr="006670F8">
              <w:rPr>
                <w:b/>
                <w:sz w:val="16"/>
                <w:szCs w:val="16"/>
                <w:vertAlign w:val="superscript"/>
              </w:rPr>
              <w:t>*</w:t>
            </w:r>
          </w:p>
        </w:tc>
        <w:tc>
          <w:tcPr>
            <w:tcW w:w="0" w:type="auto"/>
            <w:noWrap/>
          </w:tcPr>
          <w:p w14:paraId="3B68CA0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kg (NH</w:t>
            </w:r>
            <w:r w:rsidRPr="006670F8">
              <w:rPr>
                <w:sz w:val="16"/>
                <w:szCs w:val="16"/>
                <w:vertAlign w:val="subscript"/>
              </w:rPr>
              <w:t>3-N</w:t>
            </w:r>
            <w:r w:rsidRPr="006670F8">
              <w:rPr>
                <w:sz w:val="16"/>
                <w:szCs w:val="16"/>
              </w:rPr>
              <w:t>+NO</w:t>
            </w:r>
            <w:r w:rsidRPr="006670F8">
              <w:rPr>
                <w:sz w:val="16"/>
                <w:szCs w:val="16"/>
                <w:vertAlign w:val="subscript"/>
              </w:rPr>
              <w:t>x-N</w:t>
            </w:r>
            <w:proofErr w:type="gramStart"/>
            <w:r w:rsidRPr="006670F8">
              <w:rPr>
                <w:sz w:val="16"/>
                <w:szCs w:val="16"/>
              </w:rPr>
              <w:t>) .</w:t>
            </w:r>
            <w:proofErr w:type="gramEnd"/>
            <w:r w:rsidRPr="006670F8">
              <w:rPr>
                <w:sz w:val="16"/>
                <w:szCs w:val="16"/>
              </w:rPr>
              <w:t xml:space="preserve"> kg</w:t>
            </w:r>
            <w:r w:rsidRPr="006670F8">
              <w:rPr>
                <w:sz w:val="16"/>
                <w:szCs w:val="16"/>
                <w:vertAlign w:val="subscript"/>
              </w:rPr>
              <w:t>N</w:t>
            </w:r>
            <w:r w:rsidRPr="006670F8">
              <w:rPr>
                <w:sz w:val="16"/>
                <w:szCs w:val="16"/>
                <w:vertAlign w:val="superscript"/>
              </w:rPr>
              <w:t>-1</w:t>
            </w:r>
          </w:p>
        </w:tc>
        <w:tc>
          <w:tcPr>
            <w:tcW w:w="0" w:type="auto"/>
            <w:noWrap/>
          </w:tcPr>
          <w:p w14:paraId="3E1C3F9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sz w:val="16"/>
                <w:szCs w:val="16"/>
              </w:rPr>
            </w:pPr>
            <w:r w:rsidRPr="006670F8">
              <w:rPr>
                <w:sz w:val="16"/>
                <w:szCs w:val="16"/>
              </w:rPr>
              <w:t>0.11</w:t>
            </w:r>
          </w:p>
        </w:tc>
        <w:tc>
          <w:tcPr>
            <w:tcW w:w="0" w:type="auto"/>
            <w:noWrap/>
          </w:tcPr>
          <w:p w14:paraId="5CBF9EA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sz w:val="16"/>
                <w:szCs w:val="16"/>
              </w:rPr>
            </w:pPr>
            <w:r w:rsidRPr="006670F8">
              <w:rPr>
                <w:sz w:val="16"/>
                <w:szCs w:val="16"/>
              </w:rPr>
              <w:t>0.02-0.33</w:t>
            </w:r>
          </w:p>
        </w:tc>
      </w:tr>
      <w:tr w:rsidR="00732C76" w:rsidRPr="006670F8" w14:paraId="059CE0E9"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E75C271" w14:textId="77777777" w:rsidR="00732C76" w:rsidRPr="006670F8" w:rsidRDefault="00732C76" w:rsidP="00447F21">
            <w:pPr>
              <w:rPr>
                <w:b w:val="0"/>
                <w:bCs w:val="0"/>
                <w:sz w:val="16"/>
                <w:szCs w:val="16"/>
              </w:rPr>
            </w:pPr>
          </w:p>
        </w:tc>
        <w:tc>
          <w:tcPr>
            <w:tcW w:w="0" w:type="auto"/>
            <w:noWrap/>
            <w:hideMark/>
          </w:tcPr>
          <w:p w14:paraId="26B13B0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40</w:t>
            </w:r>
          </w:p>
        </w:tc>
        <w:tc>
          <w:tcPr>
            <w:tcW w:w="0" w:type="auto"/>
            <w:noWrap/>
          </w:tcPr>
          <w:p w14:paraId="7832241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Volatilized (Frac</w:t>
            </w:r>
            <w:r w:rsidRPr="006670F8">
              <w:rPr>
                <w:b/>
                <w:sz w:val="16"/>
                <w:szCs w:val="16"/>
                <w:vertAlign w:val="subscript"/>
              </w:rPr>
              <w:t>GASM</w:t>
            </w:r>
            <w:r w:rsidRPr="006670F8">
              <w:rPr>
                <w:b/>
                <w:sz w:val="16"/>
                <w:szCs w:val="16"/>
              </w:rPr>
              <w:t>) biosolids</w:t>
            </w:r>
          </w:p>
        </w:tc>
        <w:tc>
          <w:tcPr>
            <w:tcW w:w="0" w:type="auto"/>
            <w:noWrap/>
          </w:tcPr>
          <w:p w14:paraId="369EF75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kg (NH</w:t>
            </w:r>
            <w:r w:rsidRPr="006670F8">
              <w:rPr>
                <w:sz w:val="16"/>
                <w:szCs w:val="16"/>
                <w:vertAlign w:val="subscript"/>
              </w:rPr>
              <w:t>3-N</w:t>
            </w:r>
            <w:r w:rsidRPr="006670F8">
              <w:rPr>
                <w:sz w:val="16"/>
                <w:szCs w:val="16"/>
              </w:rPr>
              <w:t>+NO</w:t>
            </w:r>
            <w:r w:rsidRPr="006670F8">
              <w:rPr>
                <w:sz w:val="16"/>
                <w:szCs w:val="16"/>
                <w:vertAlign w:val="subscript"/>
              </w:rPr>
              <w:t>x-N</w:t>
            </w:r>
            <w:proofErr w:type="gramStart"/>
            <w:r w:rsidRPr="006670F8">
              <w:rPr>
                <w:sz w:val="16"/>
                <w:szCs w:val="16"/>
              </w:rPr>
              <w:t>) .</w:t>
            </w:r>
            <w:proofErr w:type="gramEnd"/>
            <w:r w:rsidRPr="006670F8">
              <w:rPr>
                <w:sz w:val="16"/>
                <w:szCs w:val="16"/>
              </w:rPr>
              <w:t xml:space="preserve"> kg</w:t>
            </w:r>
            <w:r w:rsidRPr="006670F8">
              <w:rPr>
                <w:sz w:val="16"/>
                <w:szCs w:val="16"/>
                <w:vertAlign w:val="subscript"/>
              </w:rPr>
              <w:t>N</w:t>
            </w:r>
            <w:r w:rsidRPr="006670F8">
              <w:rPr>
                <w:sz w:val="16"/>
                <w:szCs w:val="16"/>
                <w:vertAlign w:val="superscript"/>
              </w:rPr>
              <w:t>-1</w:t>
            </w:r>
          </w:p>
        </w:tc>
        <w:tc>
          <w:tcPr>
            <w:tcW w:w="0" w:type="auto"/>
            <w:noWrap/>
          </w:tcPr>
          <w:p w14:paraId="0B84C4C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0.21</w:t>
            </w:r>
          </w:p>
        </w:tc>
        <w:tc>
          <w:tcPr>
            <w:tcW w:w="0" w:type="auto"/>
            <w:noWrap/>
          </w:tcPr>
          <w:p w14:paraId="7F7D511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0-0.31</w:t>
            </w:r>
          </w:p>
        </w:tc>
      </w:tr>
      <w:tr w:rsidR="00732C76" w:rsidRPr="006670F8" w14:paraId="297D6DC7"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E6D005E" w14:textId="77777777" w:rsidR="00732C76" w:rsidRPr="006670F8" w:rsidRDefault="00732C76" w:rsidP="00447F21">
            <w:pPr>
              <w:rPr>
                <w:b w:val="0"/>
                <w:bCs w:val="0"/>
                <w:sz w:val="16"/>
                <w:szCs w:val="16"/>
              </w:rPr>
            </w:pPr>
          </w:p>
        </w:tc>
        <w:tc>
          <w:tcPr>
            <w:tcW w:w="0" w:type="auto"/>
            <w:noWrap/>
            <w:hideMark/>
          </w:tcPr>
          <w:p w14:paraId="66B3F90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41</w:t>
            </w:r>
          </w:p>
        </w:tc>
        <w:tc>
          <w:tcPr>
            <w:tcW w:w="0" w:type="auto"/>
            <w:noWrap/>
          </w:tcPr>
          <w:p w14:paraId="21665EF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lang w:val="es-419"/>
              </w:rPr>
            </w:pPr>
            <w:r w:rsidRPr="006670F8">
              <w:rPr>
                <w:b/>
                <w:sz w:val="16"/>
                <w:szCs w:val="16"/>
                <w:lang w:val="es-419"/>
              </w:rPr>
              <w:t>EF4 N</w:t>
            </w:r>
            <w:r w:rsidRPr="006670F8">
              <w:rPr>
                <w:b/>
                <w:sz w:val="16"/>
                <w:szCs w:val="16"/>
                <w:vertAlign w:val="subscript"/>
                <w:lang w:val="es-419"/>
              </w:rPr>
              <w:t>2</w:t>
            </w:r>
            <w:r w:rsidRPr="006670F8">
              <w:rPr>
                <w:b/>
                <w:sz w:val="16"/>
                <w:szCs w:val="16"/>
                <w:lang w:val="es-419"/>
              </w:rPr>
              <w:t>O-N indirect biosolids</w:t>
            </w:r>
            <w:r>
              <w:rPr>
                <w:b/>
                <w:sz w:val="16"/>
                <w:szCs w:val="16"/>
                <w:lang w:val="es-419"/>
              </w:rPr>
              <w:t xml:space="preserve"> volatilization</w:t>
            </w:r>
          </w:p>
        </w:tc>
        <w:tc>
          <w:tcPr>
            <w:tcW w:w="0" w:type="auto"/>
            <w:noWrap/>
          </w:tcPr>
          <w:p w14:paraId="6F54D04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kgN</w:t>
            </w:r>
            <w:r w:rsidRPr="006670F8">
              <w:rPr>
                <w:sz w:val="16"/>
                <w:szCs w:val="16"/>
                <w:vertAlign w:val="subscript"/>
              </w:rPr>
              <w:t>2</w:t>
            </w:r>
            <w:r w:rsidRPr="006670F8">
              <w:rPr>
                <w:sz w:val="16"/>
                <w:szCs w:val="16"/>
              </w:rPr>
              <w:t>O</w:t>
            </w:r>
            <w:r w:rsidRPr="006670F8">
              <w:rPr>
                <w:sz w:val="16"/>
                <w:szCs w:val="16"/>
                <w:vertAlign w:val="subscript"/>
              </w:rPr>
              <w:t>-</w:t>
            </w:r>
            <w:proofErr w:type="gramStart"/>
            <w:r w:rsidRPr="006670F8">
              <w:rPr>
                <w:sz w:val="16"/>
                <w:szCs w:val="16"/>
                <w:vertAlign w:val="subscript"/>
              </w:rPr>
              <w:t>N</w:t>
            </w:r>
            <w:r w:rsidRPr="006670F8">
              <w:rPr>
                <w:sz w:val="16"/>
                <w:szCs w:val="16"/>
              </w:rPr>
              <w:t xml:space="preserve"> .</w:t>
            </w:r>
            <w:proofErr w:type="gramEnd"/>
            <w:r w:rsidRPr="006670F8">
              <w:rPr>
                <w:sz w:val="16"/>
                <w:szCs w:val="16"/>
              </w:rPr>
              <w:t xml:space="preserve"> kg (NH</w:t>
            </w:r>
            <w:r w:rsidRPr="006670F8">
              <w:rPr>
                <w:sz w:val="16"/>
                <w:szCs w:val="16"/>
                <w:vertAlign w:val="subscript"/>
              </w:rPr>
              <w:t>3-N</w:t>
            </w:r>
            <w:r w:rsidRPr="006670F8">
              <w:rPr>
                <w:sz w:val="16"/>
                <w:szCs w:val="16"/>
              </w:rPr>
              <w:t>+NO</w:t>
            </w:r>
            <w:r w:rsidRPr="006670F8">
              <w:rPr>
                <w:sz w:val="16"/>
                <w:szCs w:val="16"/>
                <w:vertAlign w:val="subscript"/>
              </w:rPr>
              <w:t>x-N</w:t>
            </w:r>
            <w:r w:rsidRPr="006670F8">
              <w:rPr>
                <w:sz w:val="16"/>
                <w:szCs w:val="16"/>
              </w:rPr>
              <w:t>)</w:t>
            </w:r>
            <w:r w:rsidRPr="006670F8">
              <w:rPr>
                <w:sz w:val="16"/>
                <w:szCs w:val="16"/>
                <w:vertAlign w:val="superscript"/>
              </w:rPr>
              <w:t>-1</w:t>
            </w:r>
          </w:p>
        </w:tc>
        <w:tc>
          <w:tcPr>
            <w:tcW w:w="0" w:type="auto"/>
            <w:noWrap/>
          </w:tcPr>
          <w:p w14:paraId="23C77C1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0.01</w:t>
            </w:r>
          </w:p>
        </w:tc>
        <w:tc>
          <w:tcPr>
            <w:tcW w:w="0" w:type="auto"/>
            <w:noWrap/>
          </w:tcPr>
          <w:p w14:paraId="36EFD2F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0.002-0.018</w:t>
            </w:r>
          </w:p>
        </w:tc>
      </w:tr>
      <w:tr w:rsidR="00732C76" w:rsidRPr="006670F8" w14:paraId="47CA6754"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BE94488" w14:textId="77777777" w:rsidR="00732C76" w:rsidRPr="006670F8" w:rsidRDefault="00732C76" w:rsidP="00447F21">
            <w:pPr>
              <w:rPr>
                <w:b w:val="0"/>
                <w:bCs w:val="0"/>
                <w:sz w:val="16"/>
                <w:szCs w:val="16"/>
              </w:rPr>
            </w:pPr>
          </w:p>
        </w:tc>
        <w:tc>
          <w:tcPr>
            <w:tcW w:w="0" w:type="auto"/>
            <w:noWrap/>
            <w:hideMark/>
          </w:tcPr>
          <w:p w14:paraId="4EF6FC0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42</w:t>
            </w:r>
          </w:p>
        </w:tc>
        <w:tc>
          <w:tcPr>
            <w:tcW w:w="0" w:type="auto"/>
            <w:noWrap/>
          </w:tcPr>
          <w:p w14:paraId="74309F71" w14:textId="77777777" w:rsidR="00732C76" w:rsidRPr="008C2A87"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8C2A87">
              <w:rPr>
                <w:b/>
                <w:sz w:val="16"/>
                <w:szCs w:val="16"/>
              </w:rPr>
              <w:t>EF5 N</w:t>
            </w:r>
            <w:r w:rsidRPr="008C2A87">
              <w:rPr>
                <w:b/>
                <w:sz w:val="16"/>
                <w:szCs w:val="16"/>
                <w:vertAlign w:val="subscript"/>
              </w:rPr>
              <w:t>2</w:t>
            </w:r>
            <w:r w:rsidRPr="008C2A87">
              <w:rPr>
                <w:b/>
                <w:sz w:val="16"/>
                <w:szCs w:val="16"/>
              </w:rPr>
              <w:t>O-N indirect biosolids leaching</w:t>
            </w:r>
          </w:p>
        </w:tc>
        <w:tc>
          <w:tcPr>
            <w:tcW w:w="0" w:type="auto"/>
            <w:noWrap/>
          </w:tcPr>
          <w:p w14:paraId="0861A3A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lang w:val="es-419"/>
              </w:rPr>
              <w:t>kgN</w:t>
            </w:r>
            <w:r w:rsidRPr="006670F8">
              <w:rPr>
                <w:sz w:val="16"/>
                <w:szCs w:val="16"/>
                <w:vertAlign w:val="subscript"/>
                <w:lang w:val="es-419"/>
              </w:rPr>
              <w:t>2</w:t>
            </w:r>
            <w:r w:rsidRPr="006670F8">
              <w:rPr>
                <w:sz w:val="16"/>
                <w:szCs w:val="16"/>
                <w:lang w:val="es-419"/>
              </w:rPr>
              <w:t>O</w:t>
            </w:r>
            <w:r w:rsidRPr="006670F8">
              <w:rPr>
                <w:sz w:val="16"/>
                <w:szCs w:val="16"/>
                <w:vertAlign w:val="subscript"/>
                <w:lang w:val="es-419"/>
              </w:rPr>
              <w:t>-</w:t>
            </w:r>
            <w:proofErr w:type="gramStart"/>
            <w:r w:rsidRPr="006670F8">
              <w:rPr>
                <w:sz w:val="16"/>
                <w:szCs w:val="16"/>
                <w:vertAlign w:val="subscript"/>
                <w:lang w:val="es-419"/>
              </w:rPr>
              <w:t>N</w:t>
            </w:r>
            <w:r w:rsidRPr="006670F8">
              <w:rPr>
                <w:sz w:val="16"/>
                <w:szCs w:val="16"/>
                <w:lang w:val="es-419"/>
              </w:rPr>
              <w:t xml:space="preserve"> .</w:t>
            </w:r>
            <w:proofErr w:type="gramEnd"/>
            <w:r w:rsidRPr="006670F8">
              <w:rPr>
                <w:sz w:val="16"/>
                <w:szCs w:val="16"/>
                <w:lang w:val="es-419"/>
              </w:rPr>
              <w:t xml:space="preserve"> kg NO</w:t>
            </w:r>
            <w:r w:rsidRPr="006670F8">
              <w:rPr>
                <w:sz w:val="16"/>
                <w:szCs w:val="16"/>
                <w:vertAlign w:val="subscript"/>
                <w:lang w:val="es-419"/>
              </w:rPr>
              <w:t>3</w:t>
            </w:r>
            <w:r w:rsidRPr="006670F8">
              <w:rPr>
                <w:sz w:val="16"/>
                <w:szCs w:val="16"/>
                <w:vertAlign w:val="superscript"/>
                <w:lang w:val="es-419"/>
              </w:rPr>
              <w:t>-1</w:t>
            </w:r>
          </w:p>
        </w:tc>
        <w:tc>
          <w:tcPr>
            <w:tcW w:w="0" w:type="auto"/>
            <w:noWrap/>
          </w:tcPr>
          <w:p w14:paraId="24CFB28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lang w:val="es-419"/>
              </w:rPr>
              <w:t>0.011</w:t>
            </w:r>
          </w:p>
        </w:tc>
        <w:tc>
          <w:tcPr>
            <w:tcW w:w="0" w:type="auto"/>
            <w:noWrap/>
          </w:tcPr>
          <w:p w14:paraId="4EFFD63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lang w:val="es-419"/>
              </w:rPr>
              <w:t>0-0.02</w:t>
            </w:r>
          </w:p>
        </w:tc>
      </w:tr>
      <w:tr w:rsidR="00732C76" w:rsidRPr="006670F8" w14:paraId="7A644E4C"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AEAEFD0" w14:textId="77777777" w:rsidR="00732C76" w:rsidRPr="006670F8" w:rsidRDefault="00732C76" w:rsidP="00447F21">
            <w:pPr>
              <w:rPr>
                <w:b w:val="0"/>
                <w:bCs w:val="0"/>
                <w:sz w:val="16"/>
                <w:szCs w:val="16"/>
              </w:rPr>
            </w:pPr>
          </w:p>
        </w:tc>
        <w:tc>
          <w:tcPr>
            <w:tcW w:w="0" w:type="auto"/>
            <w:noWrap/>
            <w:hideMark/>
          </w:tcPr>
          <w:p w14:paraId="61FEC06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43</w:t>
            </w:r>
          </w:p>
        </w:tc>
        <w:tc>
          <w:tcPr>
            <w:tcW w:w="0" w:type="auto"/>
            <w:noWrap/>
          </w:tcPr>
          <w:p w14:paraId="0528E27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lang w:val="es-419"/>
              </w:rPr>
              <w:t>EF NO</w:t>
            </w:r>
            <w:r w:rsidRPr="006670F8">
              <w:rPr>
                <w:b/>
                <w:sz w:val="16"/>
                <w:szCs w:val="16"/>
                <w:vertAlign w:val="subscript"/>
                <w:lang w:val="es-419"/>
              </w:rPr>
              <w:t>x</w:t>
            </w:r>
            <w:r w:rsidRPr="006670F8">
              <w:rPr>
                <w:b/>
                <w:sz w:val="16"/>
                <w:szCs w:val="16"/>
                <w:lang w:val="es-419"/>
              </w:rPr>
              <w:t xml:space="preserve"> biosolids</w:t>
            </w:r>
          </w:p>
        </w:tc>
        <w:tc>
          <w:tcPr>
            <w:tcW w:w="0" w:type="auto"/>
            <w:noWrap/>
          </w:tcPr>
          <w:p w14:paraId="0C8523B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lang w:val="es-419"/>
              </w:rPr>
              <w:t>kgNO</w:t>
            </w:r>
            <w:r w:rsidRPr="006670F8">
              <w:rPr>
                <w:sz w:val="16"/>
                <w:szCs w:val="16"/>
                <w:vertAlign w:val="subscript"/>
                <w:lang w:val="es-419"/>
              </w:rPr>
              <w:t>x-</w:t>
            </w:r>
            <w:proofErr w:type="gramStart"/>
            <w:r w:rsidRPr="006670F8">
              <w:rPr>
                <w:sz w:val="16"/>
                <w:szCs w:val="16"/>
                <w:vertAlign w:val="subscript"/>
                <w:lang w:val="es-419"/>
              </w:rPr>
              <w:t>N</w:t>
            </w:r>
            <w:r w:rsidRPr="006670F8">
              <w:rPr>
                <w:sz w:val="16"/>
                <w:szCs w:val="16"/>
                <w:lang w:val="es-419"/>
              </w:rPr>
              <w:t xml:space="preserve"> .</w:t>
            </w:r>
            <w:proofErr w:type="gramEnd"/>
            <w:r w:rsidRPr="006670F8">
              <w:rPr>
                <w:sz w:val="16"/>
                <w:szCs w:val="16"/>
                <w:lang w:val="es-419"/>
              </w:rPr>
              <w:t xml:space="preserve"> kg</w:t>
            </w:r>
            <w:r w:rsidRPr="006670F8">
              <w:rPr>
                <w:sz w:val="16"/>
                <w:szCs w:val="16"/>
                <w:vertAlign w:val="subscript"/>
                <w:lang w:val="es-419"/>
              </w:rPr>
              <w:t>N</w:t>
            </w:r>
            <w:r w:rsidRPr="006670F8">
              <w:rPr>
                <w:sz w:val="16"/>
                <w:szCs w:val="16"/>
                <w:lang w:val="es-419"/>
              </w:rPr>
              <w:t xml:space="preserve"> </w:t>
            </w:r>
            <w:r w:rsidRPr="006670F8">
              <w:rPr>
                <w:sz w:val="16"/>
                <w:szCs w:val="16"/>
                <w:vertAlign w:val="superscript"/>
                <w:lang w:val="es-419"/>
              </w:rPr>
              <w:t>-1</w:t>
            </w:r>
          </w:p>
        </w:tc>
        <w:tc>
          <w:tcPr>
            <w:tcW w:w="0" w:type="auto"/>
            <w:noWrap/>
          </w:tcPr>
          <w:p w14:paraId="6AB8ACB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lang w:val="es-419"/>
              </w:rPr>
              <w:t>0.0133</w:t>
            </w:r>
          </w:p>
        </w:tc>
        <w:tc>
          <w:tcPr>
            <w:tcW w:w="0" w:type="auto"/>
            <w:noWrap/>
          </w:tcPr>
          <w:p w14:paraId="49C735B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lang w:val="es-419"/>
              </w:rPr>
              <w:t>0.0066-0.026</w:t>
            </w:r>
          </w:p>
        </w:tc>
      </w:tr>
      <w:tr w:rsidR="00732C76" w:rsidRPr="006670F8" w14:paraId="626284CC"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51CA8E0" w14:textId="77777777" w:rsidR="00732C76" w:rsidRPr="006670F8" w:rsidRDefault="00732C76" w:rsidP="00447F21">
            <w:pPr>
              <w:rPr>
                <w:b w:val="0"/>
                <w:bCs w:val="0"/>
                <w:sz w:val="16"/>
                <w:szCs w:val="16"/>
              </w:rPr>
            </w:pPr>
          </w:p>
        </w:tc>
        <w:tc>
          <w:tcPr>
            <w:tcW w:w="0" w:type="auto"/>
            <w:noWrap/>
            <w:hideMark/>
          </w:tcPr>
          <w:p w14:paraId="67878F8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44</w:t>
            </w:r>
          </w:p>
        </w:tc>
        <w:tc>
          <w:tcPr>
            <w:tcW w:w="0" w:type="auto"/>
            <w:noWrap/>
          </w:tcPr>
          <w:p w14:paraId="569A65D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lang w:val="es-419"/>
              </w:rPr>
              <w:t>EF NO</w:t>
            </w:r>
            <w:r w:rsidRPr="006670F8">
              <w:rPr>
                <w:b/>
                <w:sz w:val="16"/>
                <w:szCs w:val="16"/>
                <w:vertAlign w:val="subscript"/>
                <w:lang w:val="es-419"/>
              </w:rPr>
              <w:t>3</w:t>
            </w:r>
            <w:r w:rsidRPr="006670F8">
              <w:rPr>
                <w:b/>
                <w:sz w:val="16"/>
                <w:szCs w:val="16"/>
                <w:lang w:val="es-419"/>
              </w:rPr>
              <w:t xml:space="preserve"> biosolids</w:t>
            </w:r>
          </w:p>
        </w:tc>
        <w:tc>
          <w:tcPr>
            <w:tcW w:w="0" w:type="auto"/>
            <w:noWrap/>
          </w:tcPr>
          <w:p w14:paraId="7C41D89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lang w:val="es-419"/>
              </w:rPr>
              <w:t>%</w:t>
            </w:r>
            <w:r w:rsidRPr="006670F8">
              <w:rPr>
                <w:sz w:val="16"/>
                <w:szCs w:val="16"/>
                <w:vertAlign w:val="subscript"/>
                <w:lang w:val="es-419"/>
              </w:rPr>
              <w:t>N_in</w:t>
            </w:r>
          </w:p>
        </w:tc>
        <w:tc>
          <w:tcPr>
            <w:tcW w:w="0" w:type="auto"/>
            <w:noWrap/>
          </w:tcPr>
          <w:p w14:paraId="051F4A3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lang w:val="es-419"/>
              </w:rPr>
              <w:t>11%</w:t>
            </w:r>
          </w:p>
        </w:tc>
        <w:tc>
          <w:tcPr>
            <w:tcW w:w="0" w:type="auto"/>
            <w:noWrap/>
          </w:tcPr>
          <w:p w14:paraId="1C6ED15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lang w:val="es-419"/>
              </w:rPr>
              <w:t>1-20%</w:t>
            </w:r>
          </w:p>
        </w:tc>
      </w:tr>
      <w:tr w:rsidR="00732C76" w:rsidRPr="006670F8" w14:paraId="56AC56AB"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88D5FCC" w14:textId="77777777" w:rsidR="00732C76" w:rsidRPr="006670F8" w:rsidRDefault="00732C76" w:rsidP="00447F21">
            <w:pPr>
              <w:rPr>
                <w:b w:val="0"/>
                <w:bCs w:val="0"/>
                <w:sz w:val="16"/>
                <w:szCs w:val="16"/>
              </w:rPr>
            </w:pPr>
          </w:p>
        </w:tc>
        <w:tc>
          <w:tcPr>
            <w:tcW w:w="0" w:type="auto"/>
            <w:noWrap/>
            <w:hideMark/>
          </w:tcPr>
          <w:p w14:paraId="62A0FF3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45</w:t>
            </w:r>
          </w:p>
        </w:tc>
        <w:tc>
          <w:tcPr>
            <w:tcW w:w="0" w:type="auto"/>
            <w:noWrap/>
          </w:tcPr>
          <w:p w14:paraId="556B75E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lang w:val="es-419"/>
              </w:rPr>
              <w:t>EF NH</w:t>
            </w:r>
            <w:r w:rsidRPr="006670F8">
              <w:rPr>
                <w:b/>
                <w:sz w:val="16"/>
                <w:szCs w:val="16"/>
                <w:vertAlign w:val="subscript"/>
                <w:lang w:val="es-419"/>
              </w:rPr>
              <w:t>4</w:t>
            </w:r>
            <w:r w:rsidRPr="006670F8">
              <w:rPr>
                <w:b/>
                <w:sz w:val="16"/>
                <w:szCs w:val="16"/>
                <w:vertAlign w:val="superscript"/>
                <w:lang w:val="es-419"/>
              </w:rPr>
              <w:t>+</w:t>
            </w:r>
            <w:r w:rsidRPr="006670F8">
              <w:rPr>
                <w:b/>
                <w:sz w:val="16"/>
                <w:szCs w:val="16"/>
                <w:lang w:val="es-419"/>
              </w:rPr>
              <w:t xml:space="preserve"> biosolids</w:t>
            </w:r>
          </w:p>
        </w:tc>
        <w:tc>
          <w:tcPr>
            <w:tcW w:w="0" w:type="auto"/>
            <w:noWrap/>
          </w:tcPr>
          <w:p w14:paraId="169652F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lang w:val="es-419"/>
              </w:rPr>
              <w:t>%</w:t>
            </w:r>
            <w:r w:rsidRPr="006670F8">
              <w:rPr>
                <w:sz w:val="16"/>
                <w:szCs w:val="16"/>
                <w:vertAlign w:val="subscript"/>
                <w:lang w:val="es-419"/>
              </w:rPr>
              <w:t>TAN</w:t>
            </w:r>
          </w:p>
        </w:tc>
        <w:tc>
          <w:tcPr>
            <w:tcW w:w="0" w:type="auto"/>
            <w:noWrap/>
          </w:tcPr>
          <w:p w14:paraId="1FF8BA5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lang w:val="es-419"/>
              </w:rPr>
              <w:t>1.6%</w:t>
            </w:r>
          </w:p>
        </w:tc>
        <w:tc>
          <w:tcPr>
            <w:tcW w:w="0" w:type="auto"/>
            <w:noWrap/>
          </w:tcPr>
          <w:p w14:paraId="2411B72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lang w:val="es-419"/>
              </w:rPr>
              <w:t>1.3%-1.9%</w:t>
            </w:r>
          </w:p>
        </w:tc>
      </w:tr>
      <w:tr w:rsidR="00732C76" w:rsidRPr="006670F8" w14:paraId="70FF0DD0"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C85AF7F" w14:textId="77777777" w:rsidR="00732C76" w:rsidRPr="006670F8" w:rsidRDefault="00732C76" w:rsidP="00447F21">
            <w:pPr>
              <w:rPr>
                <w:b w:val="0"/>
                <w:bCs w:val="0"/>
                <w:sz w:val="16"/>
                <w:szCs w:val="16"/>
              </w:rPr>
            </w:pPr>
          </w:p>
        </w:tc>
        <w:tc>
          <w:tcPr>
            <w:tcW w:w="0" w:type="auto"/>
            <w:noWrap/>
            <w:hideMark/>
          </w:tcPr>
          <w:p w14:paraId="1FAA58A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46</w:t>
            </w:r>
          </w:p>
        </w:tc>
        <w:tc>
          <w:tcPr>
            <w:tcW w:w="0" w:type="auto"/>
            <w:noWrap/>
          </w:tcPr>
          <w:p w14:paraId="6517DD6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lang w:val="es-419"/>
              </w:rPr>
              <w:t>EF NH</w:t>
            </w:r>
            <w:r w:rsidRPr="006670F8">
              <w:rPr>
                <w:b/>
                <w:sz w:val="16"/>
                <w:szCs w:val="16"/>
                <w:vertAlign w:val="subscript"/>
                <w:lang w:val="es-419"/>
              </w:rPr>
              <w:t>3</w:t>
            </w:r>
            <w:r w:rsidRPr="006670F8">
              <w:rPr>
                <w:b/>
                <w:sz w:val="16"/>
                <w:szCs w:val="16"/>
                <w:lang w:val="es-419"/>
              </w:rPr>
              <w:t>-N biosolids</w:t>
            </w:r>
            <w:r w:rsidRPr="006670F8">
              <w:rPr>
                <w:b/>
                <w:sz w:val="16"/>
                <w:szCs w:val="16"/>
                <w:vertAlign w:val="superscript"/>
                <w:lang w:val="es-419"/>
              </w:rPr>
              <w:t>*</w:t>
            </w:r>
          </w:p>
        </w:tc>
        <w:tc>
          <w:tcPr>
            <w:tcW w:w="0" w:type="auto"/>
            <w:noWrap/>
          </w:tcPr>
          <w:p w14:paraId="5F949C7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lang w:val="es-419"/>
              </w:rPr>
              <w:t>%</w:t>
            </w:r>
            <w:r w:rsidRPr="006670F8">
              <w:rPr>
                <w:sz w:val="16"/>
                <w:szCs w:val="16"/>
                <w:vertAlign w:val="subscript"/>
                <w:lang w:val="es-419"/>
              </w:rPr>
              <w:t>TAN</w:t>
            </w:r>
          </w:p>
        </w:tc>
        <w:tc>
          <w:tcPr>
            <w:tcW w:w="0" w:type="auto"/>
            <w:noWrap/>
          </w:tcPr>
          <w:p w14:paraId="634467D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lang w:val="es-419"/>
              </w:rPr>
              <w:t>70%</w:t>
            </w:r>
          </w:p>
        </w:tc>
        <w:tc>
          <w:tcPr>
            <w:tcW w:w="0" w:type="auto"/>
            <w:noWrap/>
          </w:tcPr>
          <w:p w14:paraId="5250635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lang w:val="es-419"/>
              </w:rPr>
              <w:t>60%-80%</w:t>
            </w:r>
          </w:p>
        </w:tc>
      </w:tr>
      <w:tr w:rsidR="00732C76" w:rsidRPr="006670F8" w14:paraId="1682CCBF" w14:textId="77777777" w:rsidTr="008C451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vMerge/>
            <w:hideMark/>
          </w:tcPr>
          <w:p w14:paraId="03C1DA47" w14:textId="77777777" w:rsidR="00732C76" w:rsidRPr="006670F8" w:rsidRDefault="00732C76" w:rsidP="00447F21">
            <w:pPr>
              <w:rPr>
                <w:b w:val="0"/>
                <w:bCs w:val="0"/>
                <w:sz w:val="16"/>
                <w:szCs w:val="16"/>
              </w:rPr>
            </w:pPr>
          </w:p>
        </w:tc>
        <w:tc>
          <w:tcPr>
            <w:tcW w:w="0" w:type="auto"/>
            <w:noWrap/>
            <w:hideMark/>
          </w:tcPr>
          <w:p w14:paraId="3EDF970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47</w:t>
            </w:r>
          </w:p>
        </w:tc>
        <w:tc>
          <w:tcPr>
            <w:tcW w:w="0" w:type="auto"/>
            <w:noWrap/>
          </w:tcPr>
          <w:p w14:paraId="22B2D5F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lang w:val="es-419"/>
              </w:rPr>
              <w:t>EF CH</w:t>
            </w:r>
            <w:r w:rsidRPr="006670F8">
              <w:rPr>
                <w:b/>
                <w:sz w:val="16"/>
                <w:szCs w:val="16"/>
                <w:vertAlign w:val="subscript"/>
                <w:lang w:val="es-419"/>
              </w:rPr>
              <w:t>4</w:t>
            </w:r>
            <w:r w:rsidRPr="006670F8">
              <w:rPr>
                <w:b/>
                <w:sz w:val="16"/>
                <w:szCs w:val="16"/>
                <w:lang w:val="es-419"/>
              </w:rPr>
              <w:t>-C biosolids</w:t>
            </w:r>
            <w:r w:rsidRPr="006670F8">
              <w:rPr>
                <w:b/>
                <w:sz w:val="16"/>
                <w:szCs w:val="16"/>
                <w:vertAlign w:val="superscript"/>
                <w:lang w:val="es-419"/>
              </w:rPr>
              <w:t>*</w:t>
            </w:r>
          </w:p>
        </w:tc>
        <w:tc>
          <w:tcPr>
            <w:tcW w:w="0" w:type="auto"/>
            <w:noWrap/>
          </w:tcPr>
          <w:p w14:paraId="41C660E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lang w:val="es-419"/>
              </w:rPr>
              <w:t>%</w:t>
            </w:r>
            <w:r w:rsidRPr="006670F8">
              <w:rPr>
                <w:sz w:val="16"/>
                <w:szCs w:val="16"/>
                <w:vertAlign w:val="subscript"/>
                <w:lang w:val="es-419"/>
              </w:rPr>
              <w:t>C_in</w:t>
            </w:r>
          </w:p>
        </w:tc>
        <w:tc>
          <w:tcPr>
            <w:tcW w:w="0" w:type="auto"/>
            <w:noWrap/>
          </w:tcPr>
          <w:p w14:paraId="7281774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lang w:val="es-419"/>
              </w:rPr>
              <w:t>0.2%</w:t>
            </w:r>
          </w:p>
        </w:tc>
        <w:tc>
          <w:tcPr>
            <w:tcW w:w="0" w:type="auto"/>
            <w:noWrap/>
          </w:tcPr>
          <w:p w14:paraId="6BC8EEE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lang w:val="es-419"/>
              </w:rPr>
              <w:t>0-0.5%</w:t>
            </w:r>
          </w:p>
        </w:tc>
      </w:tr>
      <w:tr w:rsidR="00732C76" w:rsidRPr="006670F8" w14:paraId="4F4687A1" w14:textId="77777777" w:rsidTr="00C00E3A">
        <w:trPr>
          <w:trHeight w:val="290"/>
        </w:trPr>
        <w:tc>
          <w:tcPr>
            <w:cnfStyle w:val="001000000000" w:firstRow="0" w:lastRow="0" w:firstColumn="1" w:lastColumn="0" w:oddVBand="0" w:evenVBand="0" w:oddHBand="0" w:evenHBand="0" w:firstRowFirstColumn="0" w:firstRowLastColumn="0" w:lastRowFirstColumn="0" w:lastRowLastColumn="0"/>
            <w:tcW w:w="0" w:type="auto"/>
            <w:vMerge w:val="restart"/>
            <w:noWrap/>
            <w:textDirection w:val="btLr"/>
            <w:hideMark/>
          </w:tcPr>
          <w:p w14:paraId="32F57C5A" w14:textId="77777777" w:rsidR="00732C76" w:rsidRPr="006670F8" w:rsidRDefault="00732C76" w:rsidP="00C00E3A">
            <w:pPr>
              <w:jc w:val="center"/>
              <w:rPr>
                <w:b w:val="0"/>
                <w:bCs w:val="0"/>
                <w:sz w:val="16"/>
                <w:szCs w:val="16"/>
              </w:rPr>
            </w:pPr>
            <w:r w:rsidRPr="006670F8">
              <w:rPr>
                <w:sz w:val="16"/>
                <w:szCs w:val="16"/>
              </w:rPr>
              <w:t>Specific to solid fermentation</w:t>
            </w:r>
          </w:p>
        </w:tc>
        <w:tc>
          <w:tcPr>
            <w:tcW w:w="0" w:type="auto"/>
            <w:noWrap/>
            <w:hideMark/>
          </w:tcPr>
          <w:p w14:paraId="0EB04EA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48</w:t>
            </w:r>
          </w:p>
        </w:tc>
        <w:tc>
          <w:tcPr>
            <w:tcW w:w="0" w:type="auto"/>
            <w:noWrap/>
          </w:tcPr>
          <w:p w14:paraId="1CC735B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SSF moisture</w:t>
            </w:r>
          </w:p>
        </w:tc>
        <w:tc>
          <w:tcPr>
            <w:tcW w:w="0" w:type="auto"/>
            <w:noWrap/>
          </w:tcPr>
          <w:p w14:paraId="2164726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ww</w:t>
            </w:r>
          </w:p>
        </w:tc>
        <w:tc>
          <w:tcPr>
            <w:tcW w:w="0" w:type="auto"/>
            <w:noWrap/>
          </w:tcPr>
          <w:p w14:paraId="25862A8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65%</w:t>
            </w:r>
          </w:p>
        </w:tc>
        <w:tc>
          <w:tcPr>
            <w:tcW w:w="0" w:type="auto"/>
            <w:noWrap/>
          </w:tcPr>
          <w:p w14:paraId="271AEEC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50-80%</w:t>
            </w:r>
          </w:p>
        </w:tc>
      </w:tr>
      <w:tr w:rsidR="00732C76" w:rsidRPr="006670F8" w14:paraId="3FA44129"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FCE0EB1" w14:textId="77777777" w:rsidR="00732C76" w:rsidRPr="006670F8" w:rsidRDefault="00732C76" w:rsidP="00447F21">
            <w:pPr>
              <w:rPr>
                <w:b w:val="0"/>
                <w:bCs w:val="0"/>
                <w:sz w:val="16"/>
                <w:szCs w:val="16"/>
              </w:rPr>
            </w:pPr>
          </w:p>
        </w:tc>
        <w:tc>
          <w:tcPr>
            <w:tcW w:w="0" w:type="auto"/>
            <w:noWrap/>
            <w:hideMark/>
          </w:tcPr>
          <w:p w14:paraId="7F16890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49</w:t>
            </w:r>
          </w:p>
        </w:tc>
        <w:tc>
          <w:tcPr>
            <w:tcW w:w="0" w:type="auto"/>
            <w:noWrap/>
          </w:tcPr>
          <w:p w14:paraId="1E93742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SSF sterilization energy</w:t>
            </w:r>
            <w:r>
              <w:rPr>
                <w:b/>
                <w:sz w:val="16"/>
                <w:szCs w:val="16"/>
              </w:rPr>
              <w:t xml:space="preserve"> requirements</w:t>
            </w:r>
          </w:p>
        </w:tc>
        <w:tc>
          <w:tcPr>
            <w:tcW w:w="0" w:type="auto"/>
            <w:noWrap/>
          </w:tcPr>
          <w:p w14:paraId="19DC1FB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proofErr w:type="gramStart"/>
            <w:r w:rsidRPr="006670F8">
              <w:rPr>
                <w:sz w:val="16"/>
                <w:szCs w:val="16"/>
              </w:rPr>
              <w:t>MJ.kg</w:t>
            </w:r>
            <w:r w:rsidRPr="006670F8">
              <w:rPr>
                <w:sz w:val="16"/>
                <w:szCs w:val="16"/>
                <w:vertAlign w:val="subscript"/>
              </w:rPr>
              <w:t>ww</w:t>
            </w:r>
            <w:proofErr w:type="gramEnd"/>
            <w:r w:rsidRPr="006670F8">
              <w:rPr>
                <w:sz w:val="16"/>
                <w:szCs w:val="16"/>
                <w:vertAlign w:val="superscript"/>
              </w:rPr>
              <w:t>-1</w:t>
            </w:r>
          </w:p>
        </w:tc>
        <w:tc>
          <w:tcPr>
            <w:tcW w:w="0" w:type="auto"/>
            <w:noWrap/>
          </w:tcPr>
          <w:p w14:paraId="2CBA5D2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0.84</w:t>
            </w:r>
          </w:p>
        </w:tc>
        <w:tc>
          <w:tcPr>
            <w:tcW w:w="0" w:type="auto"/>
            <w:noWrap/>
          </w:tcPr>
          <w:p w14:paraId="049412D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0.4-1.3</w:t>
            </w:r>
          </w:p>
        </w:tc>
      </w:tr>
      <w:tr w:rsidR="00732C76" w:rsidRPr="006670F8" w14:paraId="53CC65FA"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B64A76D" w14:textId="77777777" w:rsidR="00732C76" w:rsidRPr="006670F8" w:rsidRDefault="00732C76" w:rsidP="00447F21">
            <w:pPr>
              <w:rPr>
                <w:b w:val="0"/>
                <w:bCs w:val="0"/>
                <w:sz w:val="16"/>
                <w:szCs w:val="16"/>
              </w:rPr>
            </w:pPr>
          </w:p>
        </w:tc>
        <w:tc>
          <w:tcPr>
            <w:tcW w:w="0" w:type="auto"/>
            <w:noWrap/>
            <w:hideMark/>
          </w:tcPr>
          <w:p w14:paraId="7F77B8C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50</w:t>
            </w:r>
          </w:p>
        </w:tc>
        <w:tc>
          <w:tcPr>
            <w:tcW w:w="0" w:type="auto"/>
            <w:noWrap/>
          </w:tcPr>
          <w:p w14:paraId="2EF9266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Fungal energy coefficient</w:t>
            </w:r>
          </w:p>
        </w:tc>
        <w:tc>
          <w:tcPr>
            <w:tcW w:w="0" w:type="auto"/>
            <w:noWrap/>
          </w:tcPr>
          <w:p w14:paraId="274405F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8C2A87">
              <w:rPr>
                <w:sz w:val="16"/>
                <w:szCs w:val="16"/>
                <w:vertAlign w:val="subscript"/>
              </w:rPr>
              <w:t>theoretical</w:t>
            </w:r>
          </w:p>
        </w:tc>
        <w:tc>
          <w:tcPr>
            <w:tcW w:w="0" w:type="auto"/>
            <w:noWrap/>
          </w:tcPr>
          <w:p w14:paraId="77A6349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60%</w:t>
            </w:r>
          </w:p>
        </w:tc>
        <w:tc>
          <w:tcPr>
            <w:tcW w:w="0" w:type="auto"/>
            <w:noWrap/>
          </w:tcPr>
          <w:p w14:paraId="3E3D615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50-70%</w:t>
            </w:r>
          </w:p>
        </w:tc>
      </w:tr>
      <w:tr w:rsidR="00732C76" w:rsidRPr="006670F8" w14:paraId="39CB474A"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3710F12" w14:textId="77777777" w:rsidR="00732C76" w:rsidRPr="006670F8" w:rsidRDefault="00732C76" w:rsidP="00447F21">
            <w:pPr>
              <w:rPr>
                <w:b w:val="0"/>
                <w:bCs w:val="0"/>
                <w:sz w:val="16"/>
                <w:szCs w:val="16"/>
              </w:rPr>
            </w:pPr>
          </w:p>
        </w:tc>
        <w:tc>
          <w:tcPr>
            <w:tcW w:w="0" w:type="auto"/>
            <w:noWrap/>
            <w:hideMark/>
          </w:tcPr>
          <w:p w14:paraId="035C0AE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51</w:t>
            </w:r>
          </w:p>
        </w:tc>
        <w:tc>
          <w:tcPr>
            <w:tcW w:w="0" w:type="auto"/>
            <w:noWrap/>
          </w:tcPr>
          <w:p w14:paraId="7D1BA9F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Fungal protein content</w:t>
            </w:r>
          </w:p>
        </w:tc>
        <w:tc>
          <w:tcPr>
            <w:tcW w:w="0" w:type="auto"/>
            <w:noWrap/>
          </w:tcPr>
          <w:p w14:paraId="2955603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DM</w:t>
            </w:r>
          </w:p>
        </w:tc>
        <w:tc>
          <w:tcPr>
            <w:tcW w:w="0" w:type="auto"/>
            <w:noWrap/>
          </w:tcPr>
          <w:p w14:paraId="4B583FC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40%</w:t>
            </w:r>
          </w:p>
        </w:tc>
        <w:tc>
          <w:tcPr>
            <w:tcW w:w="0" w:type="auto"/>
            <w:noWrap/>
          </w:tcPr>
          <w:p w14:paraId="1394429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24.4-53.3%</w:t>
            </w:r>
          </w:p>
        </w:tc>
      </w:tr>
      <w:tr w:rsidR="00732C76" w:rsidRPr="006670F8" w14:paraId="1320F704"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67AB0B5" w14:textId="77777777" w:rsidR="00732C76" w:rsidRPr="006670F8" w:rsidRDefault="00732C76" w:rsidP="00447F21">
            <w:pPr>
              <w:rPr>
                <w:b w:val="0"/>
                <w:bCs w:val="0"/>
                <w:sz w:val="16"/>
                <w:szCs w:val="16"/>
              </w:rPr>
            </w:pPr>
          </w:p>
        </w:tc>
        <w:tc>
          <w:tcPr>
            <w:tcW w:w="0" w:type="auto"/>
            <w:noWrap/>
            <w:hideMark/>
          </w:tcPr>
          <w:p w14:paraId="6BD9ECE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52</w:t>
            </w:r>
          </w:p>
        </w:tc>
        <w:tc>
          <w:tcPr>
            <w:tcW w:w="0" w:type="auto"/>
            <w:noWrap/>
          </w:tcPr>
          <w:p w14:paraId="2261B83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SSF cellulose degradation</w:t>
            </w:r>
          </w:p>
        </w:tc>
        <w:tc>
          <w:tcPr>
            <w:tcW w:w="0" w:type="auto"/>
            <w:noWrap/>
          </w:tcPr>
          <w:p w14:paraId="19E4608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cellulose</w:t>
            </w:r>
          </w:p>
        </w:tc>
        <w:tc>
          <w:tcPr>
            <w:tcW w:w="0" w:type="auto"/>
            <w:noWrap/>
          </w:tcPr>
          <w:p w14:paraId="6959143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40%</w:t>
            </w:r>
          </w:p>
        </w:tc>
        <w:tc>
          <w:tcPr>
            <w:tcW w:w="0" w:type="auto"/>
            <w:noWrap/>
          </w:tcPr>
          <w:p w14:paraId="196A03D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2.4%-49.9%</w:t>
            </w:r>
          </w:p>
        </w:tc>
      </w:tr>
      <w:tr w:rsidR="00732C76" w:rsidRPr="006670F8" w14:paraId="139EE8F8"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2B10D9F" w14:textId="77777777" w:rsidR="00732C76" w:rsidRPr="006670F8" w:rsidRDefault="00732C76" w:rsidP="00447F21">
            <w:pPr>
              <w:rPr>
                <w:b w:val="0"/>
                <w:bCs w:val="0"/>
                <w:sz w:val="16"/>
                <w:szCs w:val="16"/>
              </w:rPr>
            </w:pPr>
          </w:p>
        </w:tc>
        <w:tc>
          <w:tcPr>
            <w:tcW w:w="0" w:type="auto"/>
            <w:noWrap/>
            <w:hideMark/>
          </w:tcPr>
          <w:p w14:paraId="0D647D4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53</w:t>
            </w:r>
          </w:p>
        </w:tc>
        <w:tc>
          <w:tcPr>
            <w:tcW w:w="0" w:type="auto"/>
            <w:noWrap/>
          </w:tcPr>
          <w:p w14:paraId="6327EC9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SSF hemicellulose degradation</w:t>
            </w:r>
          </w:p>
        </w:tc>
        <w:tc>
          <w:tcPr>
            <w:tcW w:w="0" w:type="auto"/>
            <w:noWrap/>
          </w:tcPr>
          <w:p w14:paraId="0DABE26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hemicellulose</w:t>
            </w:r>
          </w:p>
        </w:tc>
        <w:tc>
          <w:tcPr>
            <w:tcW w:w="0" w:type="auto"/>
            <w:noWrap/>
          </w:tcPr>
          <w:p w14:paraId="16194DD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40%</w:t>
            </w:r>
          </w:p>
        </w:tc>
        <w:tc>
          <w:tcPr>
            <w:tcW w:w="0" w:type="auto"/>
            <w:noWrap/>
          </w:tcPr>
          <w:p w14:paraId="63CB91A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16%-44.9%</w:t>
            </w:r>
          </w:p>
        </w:tc>
      </w:tr>
      <w:tr w:rsidR="00732C76" w:rsidRPr="006670F8" w14:paraId="633A8BEF"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25C21E6" w14:textId="77777777" w:rsidR="00732C76" w:rsidRPr="006670F8" w:rsidRDefault="00732C76" w:rsidP="00447F21">
            <w:pPr>
              <w:rPr>
                <w:b w:val="0"/>
                <w:bCs w:val="0"/>
                <w:sz w:val="16"/>
                <w:szCs w:val="16"/>
              </w:rPr>
            </w:pPr>
          </w:p>
        </w:tc>
        <w:tc>
          <w:tcPr>
            <w:tcW w:w="0" w:type="auto"/>
            <w:noWrap/>
            <w:hideMark/>
          </w:tcPr>
          <w:p w14:paraId="338D4A0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54</w:t>
            </w:r>
          </w:p>
        </w:tc>
        <w:tc>
          <w:tcPr>
            <w:tcW w:w="0" w:type="auto"/>
            <w:noWrap/>
          </w:tcPr>
          <w:p w14:paraId="4E5E91D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SSF lignin degradation</w:t>
            </w:r>
          </w:p>
        </w:tc>
        <w:tc>
          <w:tcPr>
            <w:tcW w:w="0" w:type="auto"/>
            <w:noWrap/>
          </w:tcPr>
          <w:p w14:paraId="1D0EAD8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lignin</w:t>
            </w:r>
          </w:p>
        </w:tc>
        <w:tc>
          <w:tcPr>
            <w:tcW w:w="0" w:type="auto"/>
            <w:noWrap/>
          </w:tcPr>
          <w:p w14:paraId="57237FD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40%</w:t>
            </w:r>
          </w:p>
        </w:tc>
        <w:tc>
          <w:tcPr>
            <w:tcW w:w="0" w:type="auto"/>
            <w:noWrap/>
          </w:tcPr>
          <w:p w14:paraId="07EB26C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11.9%-50.9%</w:t>
            </w:r>
          </w:p>
        </w:tc>
      </w:tr>
      <w:tr w:rsidR="00732C76" w:rsidRPr="006670F8" w14:paraId="3FD955A7"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8173726" w14:textId="77777777" w:rsidR="00732C76" w:rsidRPr="006670F8" w:rsidRDefault="00732C76" w:rsidP="00447F21">
            <w:pPr>
              <w:rPr>
                <w:b w:val="0"/>
                <w:bCs w:val="0"/>
                <w:sz w:val="16"/>
                <w:szCs w:val="16"/>
              </w:rPr>
            </w:pPr>
          </w:p>
        </w:tc>
        <w:tc>
          <w:tcPr>
            <w:tcW w:w="0" w:type="auto"/>
            <w:noWrap/>
            <w:hideMark/>
          </w:tcPr>
          <w:p w14:paraId="0DAB992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55</w:t>
            </w:r>
          </w:p>
        </w:tc>
        <w:tc>
          <w:tcPr>
            <w:tcW w:w="0" w:type="auto"/>
            <w:noWrap/>
          </w:tcPr>
          <w:p w14:paraId="0B1F39A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SSF humidity degradation</w:t>
            </w:r>
          </w:p>
        </w:tc>
        <w:tc>
          <w:tcPr>
            <w:tcW w:w="0" w:type="auto"/>
            <w:noWrap/>
          </w:tcPr>
          <w:p w14:paraId="47F4406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moisture</w:t>
            </w:r>
          </w:p>
        </w:tc>
        <w:tc>
          <w:tcPr>
            <w:tcW w:w="0" w:type="auto"/>
            <w:noWrap/>
          </w:tcPr>
          <w:p w14:paraId="005826E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w:t>
            </w:r>
          </w:p>
        </w:tc>
        <w:tc>
          <w:tcPr>
            <w:tcW w:w="0" w:type="auto"/>
            <w:noWrap/>
          </w:tcPr>
          <w:p w14:paraId="50D96A8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3.2%-15.9%</w:t>
            </w:r>
          </w:p>
        </w:tc>
      </w:tr>
      <w:tr w:rsidR="00732C76" w:rsidRPr="006670F8" w14:paraId="61BA2FE5"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FB7B2E6" w14:textId="77777777" w:rsidR="00732C76" w:rsidRPr="006670F8" w:rsidRDefault="00732C76" w:rsidP="00447F21">
            <w:pPr>
              <w:rPr>
                <w:b w:val="0"/>
                <w:bCs w:val="0"/>
                <w:sz w:val="16"/>
                <w:szCs w:val="16"/>
              </w:rPr>
            </w:pPr>
          </w:p>
        </w:tc>
        <w:tc>
          <w:tcPr>
            <w:tcW w:w="0" w:type="auto"/>
            <w:noWrap/>
            <w:hideMark/>
          </w:tcPr>
          <w:p w14:paraId="1556E31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56</w:t>
            </w:r>
          </w:p>
        </w:tc>
        <w:tc>
          <w:tcPr>
            <w:tcW w:w="0" w:type="auto"/>
            <w:noWrap/>
          </w:tcPr>
          <w:p w14:paraId="4153CD4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SSF crude fiber degradation</w:t>
            </w:r>
          </w:p>
        </w:tc>
        <w:tc>
          <w:tcPr>
            <w:tcW w:w="0" w:type="auto"/>
            <w:noWrap/>
          </w:tcPr>
          <w:p w14:paraId="46F67B9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fibers</w:t>
            </w:r>
          </w:p>
        </w:tc>
        <w:tc>
          <w:tcPr>
            <w:tcW w:w="0" w:type="auto"/>
            <w:noWrap/>
          </w:tcPr>
          <w:p w14:paraId="78F08AE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20%</w:t>
            </w:r>
          </w:p>
        </w:tc>
        <w:tc>
          <w:tcPr>
            <w:tcW w:w="0" w:type="auto"/>
            <w:noWrap/>
          </w:tcPr>
          <w:p w14:paraId="3F0C9B9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(-2.3)-28.7%</w:t>
            </w:r>
          </w:p>
        </w:tc>
      </w:tr>
      <w:tr w:rsidR="00732C76" w:rsidRPr="006670F8" w14:paraId="7DF1021E"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ECC52F0" w14:textId="77777777" w:rsidR="00732C76" w:rsidRPr="006670F8" w:rsidRDefault="00732C76" w:rsidP="00447F21">
            <w:pPr>
              <w:rPr>
                <w:b w:val="0"/>
                <w:bCs w:val="0"/>
                <w:sz w:val="16"/>
                <w:szCs w:val="16"/>
              </w:rPr>
            </w:pPr>
          </w:p>
        </w:tc>
        <w:tc>
          <w:tcPr>
            <w:tcW w:w="0" w:type="auto"/>
            <w:noWrap/>
            <w:hideMark/>
          </w:tcPr>
          <w:p w14:paraId="3F96867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57</w:t>
            </w:r>
          </w:p>
        </w:tc>
        <w:tc>
          <w:tcPr>
            <w:tcW w:w="0" w:type="auto"/>
            <w:noWrap/>
          </w:tcPr>
          <w:p w14:paraId="0CB290A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SSF free sugars degradation</w:t>
            </w:r>
          </w:p>
        </w:tc>
        <w:tc>
          <w:tcPr>
            <w:tcW w:w="0" w:type="auto"/>
            <w:noWrap/>
          </w:tcPr>
          <w:p w14:paraId="39641A5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sugars</w:t>
            </w:r>
          </w:p>
        </w:tc>
        <w:tc>
          <w:tcPr>
            <w:tcW w:w="0" w:type="auto"/>
            <w:noWrap/>
          </w:tcPr>
          <w:p w14:paraId="5052E32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70%</w:t>
            </w:r>
          </w:p>
        </w:tc>
        <w:tc>
          <w:tcPr>
            <w:tcW w:w="0" w:type="auto"/>
            <w:noWrap/>
          </w:tcPr>
          <w:p w14:paraId="16E22D5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16.1%-92.8%</w:t>
            </w:r>
          </w:p>
        </w:tc>
      </w:tr>
      <w:tr w:rsidR="00732C76" w:rsidRPr="006670F8" w14:paraId="30FDEF40"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1EB319C" w14:textId="77777777" w:rsidR="00732C76" w:rsidRPr="006670F8" w:rsidRDefault="00732C76" w:rsidP="00447F21">
            <w:pPr>
              <w:rPr>
                <w:b w:val="0"/>
                <w:bCs w:val="0"/>
                <w:sz w:val="16"/>
                <w:szCs w:val="16"/>
              </w:rPr>
            </w:pPr>
          </w:p>
        </w:tc>
        <w:tc>
          <w:tcPr>
            <w:tcW w:w="0" w:type="auto"/>
            <w:noWrap/>
            <w:hideMark/>
          </w:tcPr>
          <w:p w14:paraId="56DAF92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58</w:t>
            </w:r>
          </w:p>
        </w:tc>
        <w:tc>
          <w:tcPr>
            <w:tcW w:w="0" w:type="auto"/>
            <w:noWrap/>
          </w:tcPr>
          <w:p w14:paraId="2994171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Roller mill energy</w:t>
            </w:r>
            <w:r>
              <w:rPr>
                <w:b/>
                <w:sz w:val="16"/>
                <w:szCs w:val="16"/>
              </w:rPr>
              <w:t xml:space="preserve"> requirements</w:t>
            </w:r>
          </w:p>
        </w:tc>
        <w:tc>
          <w:tcPr>
            <w:tcW w:w="0" w:type="auto"/>
            <w:noWrap/>
          </w:tcPr>
          <w:p w14:paraId="3146BEB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kWh.t</w:t>
            </w:r>
            <w:r w:rsidRPr="006670F8">
              <w:rPr>
                <w:sz w:val="16"/>
                <w:szCs w:val="16"/>
                <w:vertAlign w:val="subscript"/>
              </w:rPr>
              <w:t>ww</w:t>
            </w:r>
            <w:r w:rsidRPr="006670F8">
              <w:rPr>
                <w:sz w:val="16"/>
                <w:szCs w:val="16"/>
                <w:vertAlign w:val="superscript"/>
              </w:rPr>
              <w:t>-1</w:t>
            </w:r>
          </w:p>
        </w:tc>
        <w:tc>
          <w:tcPr>
            <w:tcW w:w="0" w:type="auto"/>
            <w:noWrap/>
          </w:tcPr>
          <w:p w14:paraId="020F923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40</w:t>
            </w:r>
          </w:p>
        </w:tc>
        <w:tc>
          <w:tcPr>
            <w:tcW w:w="0" w:type="auto"/>
            <w:noWrap/>
          </w:tcPr>
          <w:p w14:paraId="2A699EC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35-45</w:t>
            </w:r>
          </w:p>
        </w:tc>
      </w:tr>
      <w:tr w:rsidR="00732C76" w:rsidRPr="006670F8" w14:paraId="55DFEFB1"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8D02D63" w14:textId="77777777" w:rsidR="00732C76" w:rsidRPr="006670F8" w:rsidRDefault="00732C76" w:rsidP="00447F21">
            <w:pPr>
              <w:rPr>
                <w:b w:val="0"/>
                <w:bCs w:val="0"/>
                <w:sz w:val="16"/>
                <w:szCs w:val="16"/>
              </w:rPr>
            </w:pPr>
          </w:p>
        </w:tc>
        <w:tc>
          <w:tcPr>
            <w:tcW w:w="0" w:type="auto"/>
            <w:noWrap/>
            <w:hideMark/>
          </w:tcPr>
          <w:p w14:paraId="0569FF3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59</w:t>
            </w:r>
          </w:p>
        </w:tc>
        <w:tc>
          <w:tcPr>
            <w:tcW w:w="0" w:type="auto"/>
            <w:noWrap/>
          </w:tcPr>
          <w:p w14:paraId="4E70A91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Humidity for milling</w:t>
            </w:r>
          </w:p>
        </w:tc>
        <w:tc>
          <w:tcPr>
            <w:tcW w:w="0" w:type="auto"/>
            <w:noWrap/>
          </w:tcPr>
          <w:p w14:paraId="53129A9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ww</w:t>
            </w:r>
          </w:p>
        </w:tc>
        <w:tc>
          <w:tcPr>
            <w:tcW w:w="0" w:type="auto"/>
            <w:noWrap/>
          </w:tcPr>
          <w:p w14:paraId="0BC23DA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14%</w:t>
            </w:r>
          </w:p>
        </w:tc>
        <w:tc>
          <w:tcPr>
            <w:tcW w:w="0" w:type="auto"/>
            <w:noWrap/>
          </w:tcPr>
          <w:p w14:paraId="35C4B1A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12-16%</w:t>
            </w:r>
          </w:p>
        </w:tc>
      </w:tr>
      <w:tr w:rsidR="00732C76" w:rsidRPr="006670F8" w14:paraId="40DAC183"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AFB3099" w14:textId="77777777" w:rsidR="00732C76" w:rsidRPr="006670F8" w:rsidRDefault="00732C76" w:rsidP="00447F21">
            <w:pPr>
              <w:rPr>
                <w:b w:val="0"/>
                <w:bCs w:val="0"/>
                <w:sz w:val="16"/>
                <w:szCs w:val="16"/>
              </w:rPr>
            </w:pPr>
          </w:p>
        </w:tc>
        <w:tc>
          <w:tcPr>
            <w:tcW w:w="0" w:type="auto"/>
            <w:noWrap/>
            <w:hideMark/>
          </w:tcPr>
          <w:p w14:paraId="6184022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60</w:t>
            </w:r>
          </w:p>
        </w:tc>
        <w:tc>
          <w:tcPr>
            <w:tcW w:w="0" w:type="auto"/>
            <w:noWrap/>
          </w:tcPr>
          <w:p w14:paraId="205337D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Water loss at crushing</w:t>
            </w:r>
          </w:p>
        </w:tc>
        <w:tc>
          <w:tcPr>
            <w:tcW w:w="0" w:type="auto"/>
            <w:noWrap/>
          </w:tcPr>
          <w:p w14:paraId="3392B46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water</w:t>
            </w:r>
          </w:p>
        </w:tc>
        <w:tc>
          <w:tcPr>
            <w:tcW w:w="0" w:type="auto"/>
            <w:noWrap/>
          </w:tcPr>
          <w:p w14:paraId="1E1FF08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0.15%</w:t>
            </w:r>
          </w:p>
        </w:tc>
        <w:tc>
          <w:tcPr>
            <w:tcW w:w="0" w:type="auto"/>
            <w:noWrap/>
          </w:tcPr>
          <w:p w14:paraId="4A5BDA8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0.1-0.2%</w:t>
            </w:r>
          </w:p>
        </w:tc>
      </w:tr>
      <w:tr w:rsidR="00732C76" w:rsidRPr="006670F8" w14:paraId="7F14CAB5"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33E83FA" w14:textId="77777777" w:rsidR="00732C76" w:rsidRPr="006670F8" w:rsidRDefault="00732C76" w:rsidP="00447F21">
            <w:pPr>
              <w:rPr>
                <w:b w:val="0"/>
                <w:bCs w:val="0"/>
                <w:sz w:val="16"/>
                <w:szCs w:val="16"/>
              </w:rPr>
            </w:pPr>
          </w:p>
        </w:tc>
        <w:tc>
          <w:tcPr>
            <w:tcW w:w="0" w:type="auto"/>
            <w:noWrap/>
            <w:hideMark/>
          </w:tcPr>
          <w:p w14:paraId="3059C8F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61</w:t>
            </w:r>
          </w:p>
        </w:tc>
        <w:tc>
          <w:tcPr>
            <w:tcW w:w="0" w:type="auto"/>
            <w:noWrap/>
          </w:tcPr>
          <w:p w14:paraId="7F7E8516" w14:textId="3D80AE4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Flour-equivalent rat</w:t>
            </w:r>
            <w:r w:rsidR="008652FB">
              <w:rPr>
                <w:b/>
                <w:sz w:val="16"/>
                <w:szCs w:val="16"/>
              </w:rPr>
              <w:t>io</w:t>
            </w:r>
          </w:p>
        </w:tc>
        <w:tc>
          <w:tcPr>
            <w:tcW w:w="0" w:type="auto"/>
            <w:noWrap/>
          </w:tcPr>
          <w:p w14:paraId="33C49E6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DM</w:t>
            </w:r>
          </w:p>
        </w:tc>
        <w:tc>
          <w:tcPr>
            <w:tcW w:w="0" w:type="auto"/>
            <w:noWrap/>
          </w:tcPr>
          <w:p w14:paraId="18FD56D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80%</w:t>
            </w:r>
          </w:p>
        </w:tc>
        <w:tc>
          <w:tcPr>
            <w:tcW w:w="0" w:type="auto"/>
            <w:noWrap/>
          </w:tcPr>
          <w:p w14:paraId="49F9614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50-100%</w:t>
            </w:r>
          </w:p>
        </w:tc>
      </w:tr>
      <w:tr w:rsidR="00732C76" w:rsidRPr="006670F8" w14:paraId="528600CF"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BB188A0" w14:textId="77777777" w:rsidR="00732C76" w:rsidRPr="006670F8" w:rsidRDefault="00732C76" w:rsidP="00447F21">
            <w:pPr>
              <w:rPr>
                <w:b w:val="0"/>
                <w:bCs w:val="0"/>
                <w:sz w:val="16"/>
                <w:szCs w:val="16"/>
              </w:rPr>
            </w:pPr>
          </w:p>
        </w:tc>
        <w:tc>
          <w:tcPr>
            <w:tcW w:w="0" w:type="auto"/>
            <w:noWrap/>
            <w:hideMark/>
          </w:tcPr>
          <w:p w14:paraId="44D33A2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62</w:t>
            </w:r>
          </w:p>
        </w:tc>
        <w:tc>
          <w:tcPr>
            <w:tcW w:w="0" w:type="auto"/>
            <w:noWrap/>
          </w:tcPr>
          <w:p w14:paraId="766B478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SSF digestibility enhancement: agrifood co-products</w:t>
            </w:r>
          </w:p>
        </w:tc>
        <w:tc>
          <w:tcPr>
            <w:tcW w:w="0" w:type="auto"/>
            <w:noWrap/>
          </w:tcPr>
          <w:p w14:paraId="0CA30F6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OMdigestibility</w:t>
            </w:r>
          </w:p>
        </w:tc>
        <w:tc>
          <w:tcPr>
            <w:tcW w:w="0" w:type="auto"/>
            <w:noWrap/>
          </w:tcPr>
          <w:p w14:paraId="6693DAA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15%</w:t>
            </w:r>
          </w:p>
        </w:tc>
        <w:tc>
          <w:tcPr>
            <w:tcW w:w="0" w:type="auto"/>
            <w:noWrap/>
          </w:tcPr>
          <w:p w14:paraId="5137535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(-10)-20%</w:t>
            </w:r>
          </w:p>
        </w:tc>
      </w:tr>
      <w:tr w:rsidR="00732C76" w:rsidRPr="006670F8" w14:paraId="4009094A" w14:textId="77777777" w:rsidTr="008C451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vMerge/>
            <w:hideMark/>
          </w:tcPr>
          <w:p w14:paraId="79D9DFDC" w14:textId="77777777" w:rsidR="00732C76" w:rsidRPr="006670F8" w:rsidRDefault="00732C76" w:rsidP="00447F21">
            <w:pPr>
              <w:rPr>
                <w:b w:val="0"/>
                <w:bCs w:val="0"/>
                <w:sz w:val="16"/>
                <w:szCs w:val="16"/>
              </w:rPr>
            </w:pPr>
          </w:p>
        </w:tc>
        <w:tc>
          <w:tcPr>
            <w:tcW w:w="0" w:type="auto"/>
            <w:noWrap/>
            <w:hideMark/>
          </w:tcPr>
          <w:p w14:paraId="366DF2E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63</w:t>
            </w:r>
          </w:p>
        </w:tc>
        <w:tc>
          <w:tcPr>
            <w:tcW w:w="0" w:type="auto"/>
            <w:noWrap/>
          </w:tcPr>
          <w:p w14:paraId="330B9A9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SSF digestibility enhancement: crop residues</w:t>
            </w:r>
          </w:p>
        </w:tc>
        <w:tc>
          <w:tcPr>
            <w:tcW w:w="0" w:type="auto"/>
            <w:noWrap/>
          </w:tcPr>
          <w:p w14:paraId="5F36B8E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OMdigestibility</w:t>
            </w:r>
          </w:p>
        </w:tc>
        <w:tc>
          <w:tcPr>
            <w:tcW w:w="0" w:type="auto"/>
            <w:noWrap/>
          </w:tcPr>
          <w:p w14:paraId="516016D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20%</w:t>
            </w:r>
          </w:p>
        </w:tc>
        <w:tc>
          <w:tcPr>
            <w:tcW w:w="0" w:type="auto"/>
            <w:noWrap/>
          </w:tcPr>
          <w:p w14:paraId="6E57F96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0-35%</w:t>
            </w:r>
          </w:p>
        </w:tc>
      </w:tr>
      <w:tr w:rsidR="00732C76" w:rsidRPr="006670F8" w14:paraId="10E42D40" w14:textId="77777777" w:rsidTr="00C00E3A">
        <w:trPr>
          <w:trHeight w:val="290"/>
        </w:trPr>
        <w:tc>
          <w:tcPr>
            <w:cnfStyle w:val="001000000000" w:firstRow="0" w:lastRow="0" w:firstColumn="1" w:lastColumn="0" w:oddVBand="0" w:evenVBand="0" w:oddHBand="0" w:evenHBand="0" w:firstRowFirstColumn="0" w:firstRowLastColumn="0" w:lastRowFirstColumn="0" w:lastRowLastColumn="0"/>
            <w:tcW w:w="0" w:type="auto"/>
            <w:vMerge w:val="restart"/>
            <w:noWrap/>
            <w:textDirection w:val="btLr"/>
            <w:hideMark/>
          </w:tcPr>
          <w:p w14:paraId="35B6405D" w14:textId="77777777" w:rsidR="00732C76" w:rsidRPr="006670F8" w:rsidRDefault="00732C76" w:rsidP="00C00E3A">
            <w:pPr>
              <w:jc w:val="center"/>
              <w:rPr>
                <w:b w:val="0"/>
                <w:bCs w:val="0"/>
                <w:sz w:val="16"/>
                <w:szCs w:val="16"/>
              </w:rPr>
            </w:pPr>
            <w:r w:rsidRPr="006670F8">
              <w:rPr>
                <w:sz w:val="16"/>
                <w:szCs w:val="16"/>
              </w:rPr>
              <w:t>Specific to insects farming</w:t>
            </w:r>
          </w:p>
        </w:tc>
        <w:tc>
          <w:tcPr>
            <w:tcW w:w="0" w:type="auto"/>
            <w:noWrap/>
            <w:hideMark/>
          </w:tcPr>
          <w:p w14:paraId="2BCFF98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64</w:t>
            </w:r>
          </w:p>
        </w:tc>
        <w:tc>
          <w:tcPr>
            <w:tcW w:w="0" w:type="auto"/>
            <w:noWrap/>
          </w:tcPr>
          <w:p w14:paraId="64A40C9A" w14:textId="77777777" w:rsidR="00732C76" w:rsidRPr="008C2A87"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Frass k</w:t>
            </w:r>
            <w:r w:rsidRPr="006670F8">
              <w:rPr>
                <w:b/>
                <w:sz w:val="16"/>
                <w:szCs w:val="16"/>
                <w:vertAlign w:val="subscript"/>
              </w:rPr>
              <w:t>min</w:t>
            </w:r>
            <w:r>
              <w:rPr>
                <w:b/>
                <w:sz w:val="16"/>
                <w:szCs w:val="16"/>
              </w:rPr>
              <w:t xml:space="preserve"> (Nitrogen mineralization rate)</w:t>
            </w:r>
          </w:p>
        </w:tc>
        <w:tc>
          <w:tcPr>
            <w:tcW w:w="0" w:type="auto"/>
            <w:noWrap/>
          </w:tcPr>
          <w:p w14:paraId="04844D0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N</w:t>
            </w:r>
          </w:p>
        </w:tc>
        <w:tc>
          <w:tcPr>
            <w:tcW w:w="0" w:type="auto"/>
            <w:noWrap/>
          </w:tcPr>
          <w:p w14:paraId="628B102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55%</w:t>
            </w:r>
          </w:p>
        </w:tc>
        <w:tc>
          <w:tcPr>
            <w:tcW w:w="0" w:type="auto"/>
            <w:noWrap/>
          </w:tcPr>
          <w:p w14:paraId="0BF6A9F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35-75%</w:t>
            </w:r>
          </w:p>
        </w:tc>
      </w:tr>
      <w:tr w:rsidR="00732C76" w:rsidRPr="006670F8" w14:paraId="5CE74C9E"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CA897AA" w14:textId="77777777" w:rsidR="00732C76" w:rsidRPr="006670F8" w:rsidRDefault="00732C76" w:rsidP="00447F21">
            <w:pPr>
              <w:rPr>
                <w:b w:val="0"/>
                <w:bCs w:val="0"/>
                <w:sz w:val="16"/>
                <w:szCs w:val="16"/>
              </w:rPr>
            </w:pPr>
          </w:p>
        </w:tc>
        <w:tc>
          <w:tcPr>
            <w:tcW w:w="0" w:type="auto"/>
            <w:noWrap/>
            <w:hideMark/>
          </w:tcPr>
          <w:p w14:paraId="0ACF1D1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65</w:t>
            </w:r>
          </w:p>
        </w:tc>
        <w:tc>
          <w:tcPr>
            <w:tcW w:w="0" w:type="auto"/>
            <w:noWrap/>
          </w:tcPr>
          <w:p w14:paraId="469AD38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BSF substrate CH</w:t>
            </w:r>
            <w:r w:rsidRPr="006670F8">
              <w:rPr>
                <w:b/>
                <w:sz w:val="16"/>
                <w:szCs w:val="16"/>
                <w:vertAlign w:val="subscript"/>
              </w:rPr>
              <w:t>4</w:t>
            </w:r>
            <w:r w:rsidRPr="006670F8">
              <w:rPr>
                <w:b/>
                <w:sz w:val="16"/>
                <w:szCs w:val="16"/>
              </w:rPr>
              <w:t>-C storage emissions</w:t>
            </w:r>
          </w:p>
        </w:tc>
        <w:tc>
          <w:tcPr>
            <w:tcW w:w="0" w:type="auto"/>
            <w:noWrap/>
          </w:tcPr>
          <w:p w14:paraId="3CB14D9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g</w:t>
            </w:r>
            <w:r w:rsidRPr="006670F8">
              <w:rPr>
                <w:sz w:val="16"/>
                <w:szCs w:val="16"/>
                <w:vertAlign w:val="subscript"/>
              </w:rPr>
              <w:t>CH4</w:t>
            </w:r>
            <w:r w:rsidRPr="006670F8">
              <w:rPr>
                <w:sz w:val="16"/>
                <w:szCs w:val="16"/>
              </w:rPr>
              <w:t>.kg</w:t>
            </w:r>
            <w:r w:rsidRPr="006670F8">
              <w:rPr>
                <w:sz w:val="16"/>
                <w:szCs w:val="16"/>
                <w:vertAlign w:val="subscript"/>
              </w:rPr>
              <w:t>VS</w:t>
            </w:r>
            <w:r w:rsidRPr="006670F8">
              <w:rPr>
                <w:sz w:val="16"/>
                <w:szCs w:val="16"/>
                <w:vertAlign w:val="superscript"/>
              </w:rPr>
              <w:t>-1</w:t>
            </w:r>
          </w:p>
        </w:tc>
        <w:tc>
          <w:tcPr>
            <w:tcW w:w="0" w:type="auto"/>
            <w:noWrap/>
          </w:tcPr>
          <w:p w14:paraId="78FA5D2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w:t>
            </w:r>
          </w:p>
        </w:tc>
        <w:tc>
          <w:tcPr>
            <w:tcW w:w="0" w:type="auto"/>
            <w:noWrap/>
          </w:tcPr>
          <w:p w14:paraId="37D40C4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0.85-1.15</w:t>
            </w:r>
          </w:p>
        </w:tc>
      </w:tr>
      <w:tr w:rsidR="00732C76" w:rsidRPr="006670F8" w14:paraId="7A533CDC"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07320EA" w14:textId="77777777" w:rsidR="00732C76" w:rsidRPr="006670F8" w:rsidRDefault="00732C76" w:rsidP="00447F21">
            <w:pPr>
              <w:rPr>
                <w:b w:val="0"/>
                <w:bCs w:val="0"/>
                <w:sz w:val="16"/>
                <w:szCs w:val="16"/>
              </w:rPr>
            </w:pPr>
          </w:p>
        </w:tc>
        <w:tc>
          <w:tcPr>
            <w:tcW w:w="0" w:type="auto"/>
            <w:noWrap/>
            <w:hideMark/>
          </w:tcPr>
          <w:p w14:paraId="4BC290D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66</w:t>
            </w:r>
          </w:p>
        </w:tc>
        <w:tc>
          <w:tcPr>
            <w:tcW w:w="0" w:type="auto"/>
            <w:noWrap/>
          </w:tcPr>
          <w:p w14:paraId="023B6E2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Decontamination energy</w:t>
            </w:r>
            <w:r>
              <w:rPr>
                <w:b/>
                <w:sz w:val="16"/>
                <w:szCs w:val="16"/>
              </w:rPr>
              <w:t xml:space="preserve"> requirements</w:t>
            </w:r>
          </w:p>
        </w:tc>
        <w:tc>
          <w:tcPr>
            <w:tcW w:w="0" w:type="auto"/>
            <w:noWrap/>
          </w:tcPr>
          <w:p w14:paraId="3CFDDD8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kWh.t</w:t>
            </w:r>
            <w:r w:rsidRPr="006670F8">
              <w:rPr>
                <w:sz w:val="16"/>
                <w:szCs w:val="16"/>
                <w:vertAlign w:val="subscript"/>
              </w:rPr>
              <w:t>ww</w:t>
            </w:r>
            <w:r w:rsidRPr="006670F8">
              <w:rPr>
                <w:sz w:val="16"/>
                <w:szCs w:val="16"/>
                <w:vertAlign w:val="superscript"/>
              </w:rPr>
              <w:t>-1</w:t>
            </w:r>
          </w:p>
        </w:tc>
        <w:tc>
          <w:tcPr>
            <w:tcW w:w="0" w:type="auto"/>
            <w:noWrap/>
          </w:tcPr>
          <w:p w14:paraId="72278A0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26.5</w:t>
            </w:r>
          </w:p>
        </w:tc>
        <w:tc>
          <w:tcPr>
            <w:tcW w:w="0" w:type="auto"/>
            <w:noWrap/>
          </w:tcPr>
          <w:p w14:paraId="71E85D6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3-50</w:t>
            </w:r>
          </w:p>
        </w:tc>
      </w:tr>
      <w:tr w:rsidR="00732C76" w:rsidRPr="006670F8" w14:paraId="3C8F48E2"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652B00B" w14:textId="77777777" w:rsidR="00732C76" w:rsidRPr="006670F8" w:rsidRDefault="00732C76" w:rsidP="00447F21">
            <w:pPr>
              <w:rPr>
                <w:b w:val="0"/>
                <w:bCs w:val="0"/>
                <w:sz w:val="16"/>
                <w:szCs w:val="16"/>
              </w:rPr>
            </w:pPr>
          </w:p>
        </w:tc>
        <w:tc>
          <w:tcPr>
            <w:tcW w:w="0" w:type="auto"/>
            <w:noWrap/>
            <w:hideMark/>
          </w:tcPr>
          <w:p w14:paraId="0D38740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67</w:t>
            </w:r>
          </w:p>
        </w:tc>
        <w:tc>
          <w:tcPr>
            <w:tcW w:w="0" w:type="auto"/>
            <w:noWrap/>
          </w:tcPr>
          <w:p w14:paraId="49C82F2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Target BSF substrate DM</w:t>
            </w:r>
          </w:p>
        </w:tc>
        <w:tc>
          <w:tcPr>
            <w:tcW w:w="0" w:type="auto"/>
            <w:noWrap/>
          </w:tcPr>
          <w:p w14:paraId="1FC683C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DM</w:t>
            </w:r>
          </w:p>
        </w:tc>
        <w:tc>
          <w:tcPr>
            <w:tcW w:w="0" w:type="auto"/>
            <w:noWrap/>
          </w:tcPr>
          <w:p w14:paraId="1DBA262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30%</w:t>
            </w:r>
          </w:p>
        </w:tc>
        <w:tc>
          <w:tcPr>
            <w:tcW w:w="0" w:type="auto"/>
            <w:noWrap/>
          </w:tcPr>
          <w:p w14:paraId="0955D31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20-38%</w:t>
            </w:r>
          </w:p>
        </w:tc>
      </w:tr>
      <w:tr w:rsidR="00732C76" w:rsidRPr="006670F8" w14:paraId="542FEA63"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FEBDCCB" w14:textId="77777777" w:rsidR="00732C76" w:rsidRPr="006670F8" w:rsidRDefault="00732C76" w:rsidP="00447F21">
            <w:pPr>
              <w:rPr>
                <w:b w:val="0"/>
                <w:bCs w:val="0"/>
                <w:sz w:val="16"/>
                <w:szCs w:val="16"/>
              </w:rPr>
            </w:pPr>
          </w:p>
        </w:tc>
        <w:tc>
          <w:tcPr>
            <w:tcW w:w="0" w:type="auto"/>
            <w:noWrap/>
            <w:hideMark/>
          </w:tcPr>
          <w:p w14:paraId="768237A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68</w:t>
            </w:r>
          </w:p>
        </w:tc>
        <w:tc>
          <w:tcPr>
            <w:tcW w:w="0" w:type="auto"/>
            <w:noWrap/>
          </w:tcPr>
          <w:p w14:paraId="7C9DEEA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Starter feed mix</w:t>
            </w:r>
          </w:p>
        </w:tc>
        <w:tc>
          <w:tcPr>
            <w:tcW w:w="0" w:type="auto"/>
            <w:noWrap/>
          </w:tcPr>
          <w:p w14:paraId="51DABAD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mg</w:t>
            </w:r>
            <w:r w:rsidRPr="006670F8">
              <w:rPr>
                <w:sz w:val="16"/>
                <w:szCs w:val="16"/>
                <w:vertAlign w:val="subscript"/>
              </w:rPr>
              <w:t>ww</w:t>
            </w:r>
            <w:r w:rsidRPr="006670F8">
              <w:rPr>
                <w:sz w:val="16"/>
                <w:szCs w:val="16"/>
              </w:rPr>
              <w:t>.5-DOL</w:t>
            </w:r>
            <w:r w:rsidRPr="006670F8">
              <w:rPr>
                <w:sz w:val="16"/>
                <w:szCs w:val="16"/>
                <w:vertAlign w:val="superscript"/>
              </w:rPr>
              <w:t>-1</w:t>
            </w:r>
          </w:p>
        </w:tc>
        <w:tc>
          <w:tcPr>
            <w:tcW w:w="0" w:type="auto"/>
            <w:noWrap/>
          </w:tcPr>
          <w:p w14:paraId="4F3FA3E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12</w:t>
            </w:r>
          </w:p>
        </w:tc>
        <w:tc>
          <w:tcPr>
            <w:tcW w:w="0" w:type="auto"/>
            <w:noWrap/>
          </w:tcPr>
          <w:p w14:paraId="577F92C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10-15</w:t>
            </w:r>
          </w:p>
        </w:tc>
      </w:tr>
      <w:tr w:rsidR="00732C76" w:rsidRPr="006670F8" w14:paraId="70E289D7"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D3FB3FA" w14:textId="77777777" w:rsidR="00732C76" w:rsidRPr="006670F8" w:rsidRDefault="00732C76" w:rsidP="00447F21">
            <w:pPr>
              <w:rPr>
                <w:b w:val="0"/>
                <w:bCs w:val="0"/>
                <w:sz w:val="16"/>
                <w:szCs w:val="16"/>
              </w:rPr>
            </w:pPr>
          </w:p>
        </w:tc>
        <w:tc>
          <w:tcPr>
            <w:tcW w:w="0" w:type="auto"/>
            <w:noWrap/>
            <w:hideMark/>
          </w:tcPr>
          <w:p w14:paraId="1FE859C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69</w:t>
            </w:r>
          </w:p>
        </w:tc>
        <w:tc>
          <w:tcPr>
            <w:tcW w:w="0" w:type="auto"/>
            <w:noWrap/>
          </w:tcPr>
          <w:p w14:paraId="2FC83C7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5-DOL weight</w:t>
            </w:r>
            <w:r>
              <w:rPr>
                <w:b/>
                <w:sz w:val="16"/>
                <w:szCs w:val="16"/>
              </w:rPr>
              <w:t xml:space="preserve"> (5 days of life larvae)</w:t>
            </w:r>
          </w:p>
        </w:tc>
        <w:tc>
          <w:tcPr>
            <w:tcW w:w="0" w:type="auto"/>
            <w:noWrap/>
          </w:tcPr>
          <w:p w14:paraId="2FC3BA8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mg</w:t>
            </w:r>
            <w:r w:rsidRPr="006670F8">
              <w:rPr>
                <w:sz w:val="16"/>
                <w:szCs w:val="16"/>
                <w:vertAlign w:val="subscript"/>
              </w:rPr>
              <w:t>ww</w:t>
            </w:r>
            <w:r w:rsidRPr="006670F8">
              <w:rPr>
                <w:sz w:val="16"/>
                <w:szCs w:val="16"/>
              </w:rPr>
              <w:t>.5-DOL</w:t>
            </w:r>
            <w:r w:rsidRPr="006670F8">
              <w:rPr>
                <w:sz w:val="16"/>
                <w:szCs w:val="16"/>
                <w:vertAlign w:val="superscript"/>
              </w:rPr>
              <w:t>-1</w:t>
            </w:r>
          </w:p>
        </w:tc>
        <w:tc>
          <w:tcPr>
            <w:tcW w:w="0" w:type="auto"/>
            <w:noWrap/>
          </w:tcPr>
          <w:p w14:paraId="02D6BF9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6</w:t>
            </w:r>
          </w:p>
        </w:tc>
        <w:tc>
          <w:tcPr>
            <w:tcW w:w="0" w:type="auto"/>
            <w:noWrap/>
          </w:tcPr>
          <w:p w14:paraId="03806D0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2-10</w:t>
            </w:r>
          </w:p>
        </w:tc>
      </w:tr>
      <w:tr w:rsidR="00732C76" w:rsidRPr="006670F8" w14:paraId="3C66558F"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DCF0311" w14:textId="77777777" w:rsidR="00732C76" w:rsidRPr="006670F8" w:rsidRDefault="00732C76" w:rsidP="00447F21">
            <w:pPr>
              <w:rPr>
                <w:b w:val="0"/>
                <w:bCs w:val="0"/>
                <w:sz w:val="16"/>
                <w:szCs w:val="16"/>
              </w:rPr>
            </w:pPr>
          </w:p>
        </w:tc>
        <w:tc>
          <w:tcPr>
            <w:tcW w:w="0" w:type="auto"/>
            <w:noWrap/>
            <w:hideMark/>
          </w:tcPr>
          <w:p w14:paraId="49B58B8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70</w:t>
            </w:r>
          </w:p>
        </w:tc>
        <w:tc>
          <w:tcPr>
            <w:tcW w:w="0" w:type="auto"/>
            <w:noWrap/>
          </w:tcPr>
          <w:p w14:paraId="54B77B0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Moisture content BSF larvae</w:t>
            </w:r>
          </w:p>
        </w:tc>
        <w:tc>
          <w:tcPr>
            <w:tcW w:w="0" w:type="auto"/>
            <w:noWrap/>
          </w:tcPr>
          <w:p w14:paraId="1DF7E7C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ww</w:t>
            </w:r>
          </w:p>
        </w:tc>
        <w:tc>
          <w:tcPr>
            <w:tcW w:w="0" w:type="auto"/>
            <w:noWrap/>
          </w:tcPr>
          <w:p w14:paraId="4A84940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64%</w:t>
            </w:r>
          </w:p>
        </w:tc>
        <w:tc>
          <w:tcPr>
            <w:tcW w:w="0" w:type="auto"/>
            <w:noWrap/>
          </w:tcPr>
          <w:p w14:paraId="5B2F308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60-70%</w:t>
            </w:r>
          </w:p>
        </w:tc>
      </w:tr>
      <w:tr w:rsidR="00732C76" w:rsidRPr="006670F8" w14:paraId="5E1A58FD"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CED1B9A" w14:textId="77777777" w:rsidR="00732C76" w:rsidRPr="006670F8" w:rsidRDefault="00732C76" w:rsidP="00447F21">
            <w:pPr>
              <w:rPr>
                <w:b w:val="0"/>
                <w:bCs w:val="0"/>
                <w:sz w:val="16"/>
                <w:szCs w:val="16"/>
              </w:rPr>
            </w:pPr>
          </w:p>
        </w:tc>
        <w:tc>
          <w:tcPr>
            <w:tcW w:w="0" w:type="auto"/>
            <w:noWrap/>
            <w:hideMark/>
          </w:tcPr>
          <w:p w14:paraId="6F48B5D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71</w:t>
            </w:r>
          </w:p>
        </w:tc>
        <w:tc>
          <w:tcPr>
            <w:tcW w:w="0" w:type="auto"/>
            <w:noWrap/>
          </w:tcPr>
          <w:p w14:paraId="5373E8B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Fat content BSF larvae</w:t>
            </w:r>
          </w:p>
        </w:tc>
        <w:tc>
          <w:tcPr>
            <w:tcW w:w="0" w:type="auto"/>
            <w:noWrap/>
          </w:tcPr>
          <w:p w14:paraId="20B3B3F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DM</w:t>
            </w:r>
          </w:p>
        </w:tc>
        <w:tc>
          <w:tcPr>
            <w:tcW w:w="0" w:type="auto"/>
            <w:noWrap/>
          </w:tcPr>
          <w:p w14:paraId="290AB08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34%</w:t>
            </w:r>
          </w:p>
        </w:tc>
        <w:tc>
          <w:tcPr>
            <w:tcW w:w="0" w:type="auto"/>
            <w:noWrap/>
          </w:tcPr>
          <w:p w14:paraId="1A237A5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25-43%</w:t>
            </w:r>
          </w:p>
        </w:tc>
      </w:tr>
      <w:tr w:rsidR="00732C76" w:rsidRPr="006670F8" w14:paraId="33C3E96D"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3D4D0E1" w14:textId="77777777" w:rsidR="00732C76" w:rsidRPr="006670F8" w:rsidRDefault="00732C76" w:rsidP="00447F21">
            <w:pPr>
              <w:rPr>
                <w:b w:val="0"/>
                <w:bCs w:val="0"/>
                <w:sz w:val="16"/>
                <w:szCs w:val="16"/>
              </w:rPr>
            </w:pPr>
          </w:p>
        </w:tc>
        <w:tc>
          <w:tcPr>
            <w:tcW w:w="0" w:type="auto"/>
            <w:noWrap/>
            <w:hideMark/>
          </w:tcPr>
          <w:p w14:paraId="065E21F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72</w:t>
            </w:r>
          </w:p>
        </w:tc>
        <w:tc>
          <w:tcPr>
            <w:tcW w:w="0" w:type="auto"/>
            <w:noWrap/>
          </w:tcPr>
          <w:p w14:paraId="64495BCA" w14:textId="77777777" w:rsidR="00732C76" w:rsidRPr="008C2A87"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lang w:val="fr-FR"/>
              </w:rPr>
            </w:pPr>
            <w:r w:rsidRPr="008C2A87">
              <w:rPr>
                <w:rFonts w:cs="Times New Roman"/>
                <w:b/>
                <w:sz w:val="16"/>
                <w:szCs w:val="16"/>
                <w:lang w:val="fr-FR"/>
              </w:rPr>
              <w:t>Protein conversion ratio (PCR) b</w:t>
            </w:r>
            <w:r>
              <w:rPr>
                <w:rFonts w:cs="Times New Roman"/>
                <w:b/>
                <w:sz w:val="16"/>
                <w:szCs w:val="16"/>
                <w:lang w:val="fr-FR"/>
              </w:rPr>
              <w:t>y BSF</w:t>
            </w:r>
          </w:p>
        </w:tc>
        <w:tc>
          <w:tcPr>
            <w:tcW w:w="0" w:type="auto"/>
            <w:noWrap/>
          </w:tcPr>
          <w:p w14:paraId="6D533F8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proteins</w:t>
            </w:r>
          </w:p>
        </w:tc>
        <w:tc>
          <w:tcPr>
            <w:tcW w:w="0" w:type="auto"/>
            <w:noWrap/>
          </w:tcPr>
          <w:p w14:paraId="2DB9148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rFonts w:cs="Times New Roman"/>
                <w:sz w:val="16"/>
                <w:szCs w:val="16"/>
              </w:rPr>
              <w:t>38%</w:t>
            </w:r>
          </w:p>
        </w:tc>
        <w:tc>
          <w:tcPr>
            <w:tcW w:w="0" w:type="auto"/>
            <w:noWrap/>
          </w:tcPr>
          <w:p w14:paraId="3054797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25-60%</w:t>
            </w:r>
          </w:p>
        </w:tc>
      </w:tr>
      <w:tr w:rsidR="00732C76" w:rsidRPr="006670F8" w14:paraId="3AFA13F4"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DDEBA5C" w14:textId="77777777" w:rsidR="00732C76" w:rsidRPr="006670F8" w:rsidRDefault="00732C76" w:rsidP="00447F21">
            <w:pPr>
              <w:rPr>
                <w:b w:val="0"/>
                <w:bCs w:val="0"/>
                <w:sz w:val="16"/>
                <w:szCs w:val="16"/>
              </w:rPr>
            </w:pPr>
          </w:p>
        </w:tc>
        <w:tc>
          <w:tcPr>
            <w:tcW w:w="0" w:type="auto"/>
            <w:noWrap/>
            <w:hideMark/>
          </w:tcPr>
          <w:p w14:paraId="64A04B5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73</w:t>
            </w:r>
          </w:p>
        </w:tc>
        <w:tc>
          <w:tcPr>
            <w:tcW w:w="0" w:type="auto"/>
            <w:noWrap/>
          </w:tcPr>
          <w:p w14:paraId="7478170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rFonts w:cs="Times New Roman"/>
                <w:b/>
                <w:sz w:val="16"/>
                <w:szCs w:val="16"/>
              </w:rPr>
              <w:t>BSF larvae survival rate</w:t>
            </w:r>
          </w:p>
        </w:tc>
        <w:tc>
          <w:tcPr>
            <w:tcW w:w="0" w:type="auto"/>
            <w:noWrap/>
          </w:tcPr>
          <w:p w14:paraId="3E179AF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rFonts w:cs="Times New Roman"/>
                <w:sz w:val="16"/>
                <w:szCs w:val="16"/>
              </w:rPr>
              <w:t>%</w:t>
            </w:r>
            <w:r w:rsidRPr="006670F8">
              <w:rPr>
                <w:rFonts w:cs="Times New Roman"/>
                <w:sz w:val="16"/>
                <w:szCs w:val="16"/>
                <w:vertAlign w:val="subscript"/>
              </w:rPr>
              <w:t>5-DOL</w:t>
            </w:r>
          </w:p>
        </w:tc>
        <w:tc>
          <w:tcPr>
            <w:tcW w:w="0" w:type="auto"/>
            <w:noWrap/>
          </w:tcPr>
          <w:p w14:paraId="2AA0DDA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rFonts w:cs="Times New Roman"/>
                <w:sz w:val="16"/>
                <w:szCs w:val="16"/>
              </w:rPr>
              <w:t>90%</w:t>
            </w:r>
          </w:p>
        </w:tc>
        <w:tc>
          <w:tcPr>
            <w:tcW w:w="0" w:type="auto"/>
            <w:noWrap/>
          </w:tcPr>
          <w:p w14:paraId="78644D6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78-98%</w:t>
            </w:r>
          </w:p>
        </w:tc>
      </w:tr>
      <w:tr w:rsidR="00732C76" w:rsidRPr="006670F8" w14:paraId="6527487F"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6DC3FA6" w14:textId="77777777" w:rsidR="00732C76" w:rsidRPr="006670F8" w:rsidRDefault="00732C76" w:rsidP="00447F21">
            <w:pPr>
              <w:rPr>
                <w:b w:val="0"/>
                <w:bCs w:val="0"/>
                <w:sz w:val="16"/>
                <w:szCs w:val="16"/>
              </w:rPr>
            </w:pPr>
          </w:p>
        </w:tc>
        <w:tc>
          <w:tcPr>
            <w:tcW w:w="0" w:type="auto"/>
            <w:noWrap/>
            <w:hideMark/>
          </w:tcPr>
          <w:p w14:paraId="6A828C2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74</w:t>
            </w:r>
          </w:p>
        </w:tc>
        <w:tc>
          <w:tcPr>
            <w:tcW w:w="0" w:type="auto"/>
            <w:noWrap/>
          </w:tcPr>
          <w:p w14:paraId="2D46E37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rFonts w:cs="Times New Roman"/>
                <w:b/>
                <w:sz w:val="16"/>
                <w:szCs w:val="16"/>
              </w:rPr>
              <w:t>Finishing BSF larvae weight</w:t>
            </w:r>
          </w:p>
        </w:tc>
        <w:tc>
          <w:tcPr>
            <w:tcW w:w="0" w:type="auto"/>
            <w:noWrap/>
          </w:tcPr>
          <w:p w14:paraId="13915AB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proofErr w:type="gramStart"/>
            <w:r w:rsidRPr="006670F8">
              <w:rPr>
                <w:sz w:val="16"/>
                <w:szCs w:val="16"/>
              </w:rPr>
              <w:t>mg.larvae</w:t>
            </w:r>
            <w:proofErr w:type="gramEnd"/>
            <w:r w:rsidRPr="006670F8">
              <w:rPr>
                <w:sz w:val="16"/>
                <w:szCs w:val="16"/>
                <w:vertAlign w:val="superscript"/>
              </w:rPr>
              <w:t>-1</w:t>
            </w:r>
          </w:p>
        </w:tc>
        <w:tc>
          <w:tcPr>
            <w:tcW w:w="0" w:type="auto"/>
            <w:noWrap/>
          </w:tcPr>
          <w:p w14:paraId="4A53174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rFonts w:cs="Times New Roman"/>
                <w:sz w:val="16"/>
                <w:szCs w:val="16"/>
              </w:rPr>
              <w:t>150</w:t>
            </w:r>
          </w:p>
        </w:tc>
        <w:tc>
          <w:tcPr>
            <w:tcW w:w="0" w:type="auto"/>
            <w:noWrap/>
          </w:tcPr>
          <w:p w14:paraId="70B1842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100-200</w:t>
            </w:r>
          </w:p>
        </w:tc>
      </w:tr>
      <w:tr w:rsidR="00732C76" w:rsidRPr="006670F8" w14:paraId="441529B1"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F150DE0" w14:textId="77777777" w:rsidR="00732C76" w:rsidRPr="006670F8" w:rsidRDefault="00732C76" w:rsidP="00447F21">
            <w:pPr>
              <w:rPr>
                <w:b w:val="0"/>
                <w:bCs w:val="0"/>
                <w:sz w:val="16"/>
                <w:szCs w:val="16"/>
              </w:rPr>
            </w:pPr>
          </w:p>
        </w:tc>
        <w:tc>
          <w:tcPr>
            <w:tcW w:w="0" w:type="auto"/>
            <w:noWrap/>
            <w:hideMark/>
          </w:tcPr>
          <w:p w14:paraId="55C206C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75</w:t>
            </w:r>
          </w:p>
        </w:tc>
        <w:tc>
          <w:tcPr>
            <w:tcW w:w="0" w:type="auto"/>
            <w:noWrap/>
          </w:tcPr>
          <w:p w14:paraId="0F8A767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rFonts w:cs="Times New Roman"/>
                <w:b/>
                <w:sz w:val="16"/>
                <w:szCs w:val="16"/>
              </w:rPr>
              <w:t>BSF growth period length</w:t>
            </w:r>
          </w:p>
        </w:tc>
        <w:tc>
          <w:tcPr>
            <w:tcW w:w="0" w:type="auto"/>
            <w:noWrap/>
          </w:tcPr>
          <w:p w14:paraId="4DF0080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days</w:t>
            </w:r>
          </w:p>
        </w:tc>
        <w:tc>
          <w:tcPr>
            <w:tcW w:w="0" w:type="auto"/>
            <w:noWrap/>
          </w:tcPr>
          <w:p w14:paraId="0C70C8F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rFonts w:cs="Times New Roman"/>
                <w:sz w:val="16"/>
                <w:szCs w:val="16"/>
              </w:rPr>
              <w:t>20</w:t>
            </w:r>
          </w:p>
        </w:tc>
        <w:tc>
          <w:tcPr>
            <w:tcW w:w="0" w:type="auto"/>
            <w:noWrap/>
          </w:tcPr>
          <w:p w14:paraId="5DDB609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11-29</w:t>
            </w:r>
          </w:p>
        </w:tc>
      </w:tr>
      <w:tr w:rsidR="00732C76" w:rsidRPr="006670F8" w14:paraId="298EEFDF"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AED44E9" w14:textId="77777777" w:rsidR="00732C76" w:rsidRPr="006670F8" w:rsidRDefault="00732C76" w:rsidP="00447F21">
            <w:pPr>
              <w:rPr>
                <w:b w:val="0"/>
                <w:bCs w:val="0"/>
                <w:sz w:val="16"/>
                <w:szCs w:val="16"/>
              </w:rPr>
            </w:pPr>
          </w:p>
        </w:tc>
        <w:tc>
          <w:tcPr>
            <w:tcW w:w="0" w:type="auto"/>
            <w:noWrap/>
            <w:hideMark/>
          </w:tcPr>
          <w:p w14:paraId="7B79A82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76</w:t>
            </w:r>
          </w:p>
        </w:tc>
        <w:tc>
          <w:tcPr>
            <w:tcW w:w="0" w:type="auto"/>
            <w:noWrap/>
          </w:tcPr>
          <w:p w14:paraId="05342C8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 xml:space="preserve">BSF larvae </w:t>
            </w:r>
            <w:r>
              <w:rPr>
                <w:b/>
                <w:sz w:val="16"/>
                <w:szCs w:val="16"/>
              </w:rPr>
              <w:t xml:space="preserve">growth </w:t>
            </w:r>
            <w:r w:rsidRPr="006670F8">
              <w:rPr>
                <w:b/>
                <w:sz w:val="16"/>
                <w:szCs w:val="16"/>
              </w:rPr>
              <w:t>CO</w:t>
            </w:r>
            <w:r w:rsidRPr="006670F8">
              <w:rPr>
                <w:b/>
                <w:sz w:val="16"/>
                <w:szCs w:val="16"/>
                <w:vertAlign w:val="subscript"/>
              </w:rPr>
              <w:t>2</w:t>
            </w:r>
            <w:r w:rsidRPr="006670F8">
              <w:rPr>
                <w:b/>
                <w:sz w:val="16"/>
                <w:szCs w:val="16"/>
              </w:rPr>
              <w:t xml:space="preserve"> emissions</w:t>
            </w:r>
          </w:p>
        </w:tc>
        <w:tc>
          <w:tcPr>
            <w:tcW w:w="0" w:type="auto"/>
            <w:noWrap/>
          </w:tcPr>
          <w:p w14:paraId="3D9DA4A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rFonts w:cs="Times New Roman"/>
                <w:sz w:val="16"/>
                <w:szCs w:val="16"/>
              </w:rPr>
              <w:t>kgCO</w:t>
            </w:r>
            <w:r w:rsidRPr="006670F8">
              <w:rPr>
                <w:rFonts w:cs="Times New Roman"/>
                <w:sz w:val="16"/>
                <w:szCs w:val="16"/>
                <w:vertAlign w:val="subscript"/>
              </w:rPr>
              <w:t>2</w:t>
            </w:r>
            <w:r w:rsidRPr="006670F8">
              <w:rPr>
                <w:rFonts w:cs="Times New Roman"/>
                <w:sz w:val="16"/>
                <w:szCs w:val="16"/>
              </w:rPr>
              <w:t>.kg</w:t>
            </w:r>
            <w:r w:rsidRPr="006670F8">
              <w:rPr>
                <w:rFonts w:cs="Times New Roman"/>
                <w:sz w:val="16"/>
                <w:szCs w:val="16"/>
                <w:vertAlign w:val="subscript"/>
              </w:rPr>
              <w:t>DM</w:t>
            </w:r>
            <w:r w:rsidRPr="006670F8">
              <w:rPr>
                <w:rFonts w:cs="Times New Roman"/>
                <w:sz w:val="16"/>
                <w:szCs w:val="16"/>
                <w:vertAlign w:val="superscript"/>
              </w:rPr>
              <w:t>-1</w:t>
            </w:r>
          </w:p>
        </w:tc>
        <w:tc>
          <w:tcPr>
            <w:tcW w:w="0" w:type="auto"/>
            <w:noWrap/>
          </w:tcPr>
          <w:p w14:paraId="63C200B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2.75</w:t>
            </w:r>
          </w:p>
        </w:tc>
        <w:tc>
          <w:tcPr>
            <w:tcW w:w="0" w:type="auto"/>
            <w:noWrap/>
          </w:tcPr>
          <w:p w14:paraId="24A358B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1.5-4</w:t>
            </w:r>
          </w:p>
        </w:tc>
      </w:tr>
      <w:tr w:rsidR="00732C76" w:rsidRPr="006670F8" w14:paraId="52110C61"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B9508DD" w14:textId="77777777" w:rsidR="00732C76" w:rsidRPr="006670F8" w:rsidRDefault="00732C76" w:rsidP="00447F21">
            <w:pPr>
              <w:rPr>
                <w:b w:val="0"/>
                <w:bCs w:val="0"/>
                <w:sz w:val="16"/>
                <w:szCs w:val="16"/>
              </w:rPr>
            </w:pPr>
          </w:p>
        </w:tc>
        <w:tc>
          <w:tcPr>
            <w:tcW w:w="0" w:type="auto"/>
            <w:noWrap/>
            <w:hideMark/>
          </w:tcPr>
          <w:p w14:paraId="4F81F1B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77</w:t>
            </w:r>
          </w:p>
        </w:tc>
        <w:tc>
          <w:tcPr>
            <w:tcW w:w="0" w:type="auto"/>
            <w:noWrap/>
          </w:tcPr>
          <w:p w14:paraId="47237F0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 xml:space="preserve">BSF larvae </w:t>
            </w:r>
            <w:r>
              <w:rPr>
                <w:b/>
                <w:sz w:val="16"/>
                <w:szCs w:val="16"/>
              </w:rPr>
              <w:t xml:space="preserve">growth </w:t>
            </w:r>
            <w:r w:rsidRPr="006670F8">
              <w:rPr>
                <w:b/>
                <w:sz w:val="16"/>
                <w:szCs w:val="16"/>
              </w:rPr>
              <w:t>CH</w:t>
            </w:r>
            <w:r w:rsidRPr="006670F8">
              <w:rPr>
                <w:b/>
                <w:sz w:val="16"/>
                <w:szCs w:val="16"/>
                <w:vertAlign w:val="subscript"/>
              </w:rPr>
              <w:t>4</w:t>
            </w:r>
            <w:r w:rsidRPr="006670F8">
              <w:rPr>
                <w:b/>
                <w:sz w:val="16"/>
                <w:szCs w:val="16"/>
              </w:rPr>
              <w:t xml:space="preserve"> emissions</w:t>
            </w:r>
          </w:p>
        </w:tc>
        <w:tc>
          <w:tcPr>
            <w:tcW w:w="0" w:type="auto"/>
            <w:noWrap/>
          </w:tcPr>
          <w:p w14:paraId="37CE1A0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rFonts w:cs="Times New Roman"/>
                <w:sz w:val="16"/>
                <w:szCs w:val="16"/>
              </w:rPr>
              <w:t>mgCH</w:t>
            </w:r>
            <w:r w:rsidRPr="006670F8">
              <w:rPr>
                <w:rFonts w:cs="Times New Roman"/>
                <w:sz w:val="16"/>
                <w:szCs w:val="16"/>
                <w:vertAlign w:val="subscript"/>
              </w:rPr>
              <w:t>4</w:t>
            </w:r>
            <w:r w:rsidRPr="006670F8">
              <w:rPr>
                <w:rFonts w:cs="Times New Roman"/>
                <w:sz w:val="16"/>
                <w:szCs w:val="16"/>
              </w:rPr>
              <w:t>.kg</w:t>
            </w:r>
            <w:r w:rsidRPr="006670F8">
              <w:rPr>
                <w:rFonts w:cs="Times New Roman"/>
                <w:sz w:val="16"/>
                <w:szCs w:val="16"/>
                <w:vertAlign w:val="subscript"/>
              </w:rPr>
              <w:t>DM</w:t>
            </w:r>
            <w:r w:rsidRPr="006670F8">
              <w:rPr>
                <w:rFonts w:cs="Times New Roman"/>
                <w:sz w:val="16"/>
                <w:szCs w:val="16"/>
                <w:vertAlign w:val="superscript"/>
              </w:rPr>
              <w:t>-1</w:t>
            </w:r>
          </w:p>
        </w:tc>
        <w:tc>
          <w:tcPr>
            <w:tcW w:w="0" w:type="auto"/>
            <w:noWrap/>
          </w:tcPr>
          <w:p w14:paraId="78CA0FA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28</w:t>
            </w:r>
          </w:p>
        </w:tc>
        <w:tc>
          <w:tcPr>
            <w:tcW w:w="0" w:type="auto"/>
            <w:noWrap/>
          </w:tcPr>
          <w:p w14:paraId="7AC77CF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9-95</w:t>
            </w:r>
          </w:p>
        </w:tc>
      </w:tr>
      <w:tr w:rsidR="00732C76" w:rsidRPr="006670F8" w14:paraId="62494C74"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314D58E" w14:textId="77777777" w:rsidR="00732C76" w:rsidRPr="006670F8" w:rsidRDefault="00732C76" w:rsidP="00447F21">
            <w:pPr>
              <w:rPr>
                <w:b w:val="0"/>
                <w:bCs w:val="0"/>
                <w:sz w:val="16"/>
                <w:szCs w:val="16"/>
              </w:rPr>
            </w:pPr>
          </w:p>
        </w:tc>
        <w:tc>
          <w:tcPr>
            <w:tcW w:w="0" w:type="auto"/>
            <w:noWrap/>
            <w:hideMark/>
          </w:tcPr>
          <w:p w14:paraId="01518D2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78</w:t>
            </w:r>
          </w:p>
        </w:tc>
        <w:tc>
          <w:tcPr>
            <w:tcW w:w="0" w:type="auto"/>
            <w:noWrap/>
          </w:tcPr>
          <w:p w14:paraId="30A06EE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 xml:space="preserve">BSF larvae </w:t>
            </w:r>
            <w:r>
              <w:rPr>
                <w:b/>
                <w:sz w:val="16"/>
                <w:szCs w:val="16"/>
              </w:rPr>
              <w:t xml:space="preserve">growth total </w:t>
            </w:r>
            <w:r w:rsidRPr="006670F8">
              <w:rPr>
                <w:b/>
                <w:sz w:val="16"/>
                <w:szCs w:val="16"/>
              </w:rPr>
              <w:t>N emissions</w:t>
            </w:r>
          </w:p>
        </w:tc>
        <w:tc>
          <w:tcPr>
            <w:tcW w:w="0" w:type="auto"/>
            <w:noWrap/>
          </w:tcPr>
          <w:p w14:paraId="15CC539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N</w:t>
            </w:r>
          </w:p>
        </w:tc>
        <w:tc>
          <w:tcPr>
            <w:tcW w:w="0" w:type="auto"/>
            <w:noWrap/>
          </w:tcPr>
          <w:p w14:paraId="5AAE9C0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4.4%</w:t>
            </w:r>
          </w:p>
        </w:tc>
        <w:tc>
          <w:tcPr>
            <w:tcW w:w="0" w:type="auto"/>
            <w:noWrap/>
          </w:tcPr>
          <w:p w14:paraId="77A3CF0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0.7-8.0%</w:t>
            </w:r>
          </w:p>
        </w:tc>
      </w:tr>
      <w:tr w:rsidR="00732C76" w:rsidRPr="006670F8" w14:paraId="2FF6A9CC"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106D7FB" w14:textId="77777777" w:rsidR="00732C76" w:rsidRPr="006670F8" w:rsidRDefault="00732C76" w:rsidP="00447F21">
            <w:pPr>
              <w:rPr>
                <w:b w:val="0"/>
                <w:bCs w:val="0"/>
                <w:sz w:val="16"/>
                <w:szCs w:val="16"/>
              </w:rPr>
            </w:pPr>
          </w:p>
        </w:tc>
        <w:tc>
          <w:tcPr>
            <w:tcW w:w="0" w:type="auto"/>
            <w:noWrap/>
            <w:hideMark/>
          </w:tcPr>
          <w:p w14:paraId="6E9889D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79</w:t>
            </w:r>
          </w:p>
        </w:tc>
        <w:tc>
          <w:tcPr>
            <w:tcW w:w="0" w:type="auto"/>
            <w:noWrap/>
          </w:tcPr>
          <w:p w14:paraId="6CED6FF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BSF larvae</w:t>
            </w:r>
            <w:r>
              <w:rPr>
                <w:b/>
                <w:sz w:val="16"/>
                <w:szCs w:val="16"/>
              </w:rPr>
              <w:t xml:space="preserve"> growth</w:t>
            </w:r>
            <w:r w:rsidRPr="006670F8">
              <w:rPr>
                <w:b/>
                <w:sz w:val="16"/>
                <w:szCs w:val="16"/>
              </w:rPr>
              <w:t xml:space="preserve"> N</w:t>
            </w:r>
            <w:r w:rsidRPr="006670F8">
              <w:rPr>
                <w:b/>
                <w:sz w:val="16"/>
                <w:szCs w:val="16"/>
                <w:vertAlign w:val="subscript"/>
              </w:rPr>
              <w:t>2</w:t>
            </w:r>
            <w:r w:rsidRPr="006670F8">
              <w:rPr>
                <w:b/>
                <w:sz w:val="16"/>
                <w:szCs w:val="16"/>
              </w:rPr>
              <w:t>O emissions</w:t>
            </w:r>
          </w:p>
        </w:tc>
        <w:tc>
          <w:tcPr>
            <w:tcW w:w="0" w:type="auto"/>
            <w:noWrap/>
          </w:tcPr>
          <w:p w14:paraId="6BEC8B9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rFonts w:cs="Times New Roman"/>
                <w:sz w:val="16"/>
                <w:szCs w:val="16"/>
              </w:rPr>
              <w:t>mgN</w:t>
            </w:r>
            <w:r w:rsidRPr="006670F8">
              <w:rPr>
                <w:rFonts w:cs="Times New Roman"/>
                <w:sz w:val="16"/>
                <w:szCs w:val="16"/>
                <w:vertAlign w:val="subscript"/>
              </w:rPr>
              <w:t>2</w:t>
            </w:r>
            <w:r w:rsidRPr="006670F8">
              <w:rPr>
                <w:rFonts w:cs="Times New Roman"/>
                <w:sz w:val="16"/>
                <w:szCs w:val="16"/>
              </w:rPr>
              <w:t>O.kg</w:t>
            </w:r>
            <w:r w:rsidRPr="006670F8">
              <w:rPr>
                <w:rFonts w:cs="Times New Roman"/>
                <w:sz w:val="16"/>
                <w:szCs w:val="16"/>
                <w:vertAlign w:val="subscript"/>
              </w:rPr>
              <w:t>DM</w:t>
            </w:r>
            <w:r w:rsidRPr="006670F8">
              <w:rPr>
                <w:rFonts w:cs="Times New Roman"/>
                <w:sz w:val="16"/>
                <w:szCs w:val="16"/>
                <w:vertAlign w:val="superscript"/>
              </w:rPr>
              <w:t>-1</w:t>
            </w:r>
          </w:p>
        </w:tc>
        <w:tc>
          <w:tcPr>
            <w:tcW w:w="0" w:type="auto"/>
            <w:noWrap/>
          </w:tcPr>
          <w:p w14:paraId="6CB37F8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106</w:t>
            </w:r>
          </w:p>
        </w:tc>
        <w:tc>
          <w:tcPr>
            <w:tcW w:w="0" w:type="auto"/>
            <w:noWrap/>
          </w:tcPr>
          <w:p w14:paraId="3D31863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7-215</w:t>
            </w:r>
          </w:p>
        </w:tc>
      </w:tr>
      <w:tr w:rsidR="00732C76" w:rsidRPr="006670F8" w14:paraId="52539477"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4DCCB55" w14:textId="77777777" w:rsidR="00732C76" w:rsidRPr="006670F8" w:rsidRDefault="00732C76" w:rsidP="00447F21">
            <w:pPr>
              <w:rPr>
                <w:b w:val="0"/>
                <w:bCs w:val="0"/>
                <w:sz w:val="16"/>
                <w:szCs w:val="16"/>
              </w:rPr>
            </w:pPr>
          </w:p>
        </w:tc>
        <w:tc>
          <w:tcPr>
            <w:tcW w:w="0" w:type="auto"/>
            <w:noWrap/>
            <w:hideMark/>
          </w:tcPr>
          <w:p w14:paraId="457135A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80</w:t>
            </w:r>
          </w:p>
        </w:tc>
        <w:tc>
          <w:tcPr>
            <w:tcW w:w="0" w:type="auto"/>
            <w:noWrap/>
          </w:tcPr>
          <w:p w14:paraId="2323FCD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BSF larvae</w:t>
            </w:r>
            <w:r>
              <w:rPr>
                <w:b/>
                <w:sz w:val="16"/>
                <w:szCs w:val="16"/>
              </w:rPr>
              <w:t xml:space="preserve"> growth</w:t>
            </w:r>
            <w:r w:rsidRPr="006670F8">
              <w:rPr>
                <w:b/>
                <w:sz w:val="16"/>
                <w:szCs w:val="16"/>
              </w:rPr>
              <w:t xml:space="preserve"> NH</w:t>
            </w:r>
            <w:r w:rsidRPr="006670F8">
              <w:rPr>
                <w:b/>
                <w:sz w:val="16"/>
                <w:szCs w:val="16"/>
                <w:vertAlign w:val="subscript"/>
              </w:rPr>
              <w:t>3</w:t>
            </w:r>
            <w:r w:rsidRPr="006670F8">
              <w:rPr>
                <w:b/>
                <w:sz w:val="16"/>
                <w:szCs w:val="16"/>
              </w:rPr>
              <w:t xml:space="preserve"> emissions</w:t>
            </w:r>
          </w:p>
        </w:tc>
        <w:tc>
          <w:tcPr>
            <w:tcW w:w="0" w:type="auto"/>
            <w:noWrap/>
          </w:tcPr>
          <w:p w14:paraId="36A8A92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rFonts w:cs="Times New Roman"/>
                <w:sz w:val="16"/>
                <w:szCs w:val="16"/>
              </w:rPr>
              <w:t>gNH</w:t>
            </w:r>
            <w:r w:rsidRPr="006670F8">
              <w:rPr>
                <w:rFonts w:cs="Times New Roman"/>
                <w:sz w:val="16"/>
                <w:szCs w:val="16"/>
                <w:vertAlign w:val="subscript"/>
              </w:rPr>
              <w:t>3</w:t>
            </w:r>
            <w:r w:rsidRPr="006670F8">
              <w:rPr>
                <w:rFonts w:cs="Times New Roman"/>
                <w:sz w:val="16"/>
                <w:szCs w:val="16"/>
              </w:rPr>
              <w:t>.kg</w:t>
            </w:r>
            <w:r w:rsidRPr="006670F8">
              <w:rPr>
                <w:rFonts w:cs="Times New Roman"/>
                <w:sz w:val="16"/>
                <w:szCs w:val="16"/>
                <w:vertAlign w:val="subscript"/>
              </w:rPr>
              <w:t>DM</w:t>
            </w:r>
            <w:r w:rsidRPr="006670F8">
              <w:rPr>
                <w:rFonts w:cs="Times New Roman"/>
                <w:sz w:val="16"/>
                <w:szCs w:val="16"/>
                <w:vertAlign w:val="superscript"/>
              </w:rPr>
              <w:t>-1</w:t>
            </w:r>
          </w:p>
        </w:tc>
        <w:tc>
          <w:tcPr>
            <w:tcW w:w="0" w:type="auto"/>
            <w:noWrap/>
          </w:tcPr>
          <w:p w14:paraId="7F6D916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3.8</w:t>
            </w:r>
          </w:p>
        </w:tc>
        <w:tc>
          <w:tcPr>
            <w:tcW w:w="0" w:type="auto"/>
            <w:noWrap/>
          </w:tcPr>
          <w:p w14:paraId="29703FF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0.1-8.0</w:t>
            </w:r>
          </w:p>
        </w:tc>
      </w:tr>
      <w:tr w:rsidR="00732C76" w:rsidRPr="006670F8" w14:paraId="06F2214B"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B7384FA" w14:textId="77777777" w:rsidR="00732C76" w:rsidRPr="006670F8" w:rsidRDefault="00732C76" w:rsidP="00447F21">
            <w:pPr>
              <w:rPr>
                <w:b w:val="0"/>
                <w:bCs w:val="0"/>
                <w:sz w:val="16"/>
                <w:szCs w:val="16"/>
              </w:rPr>
            </w:pPr>
          </w:p>
        </w:tc>
        <w:tc>
          <w:tcPr>
            <w:tcW w:w="0" w:type="auto"/>
            <w:noWrap/>
            <w:hideMark/>
          </w:tcPr>
          <w:p w14:paraId="49C14C4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81</w:t>
            </w:r>
          </w:p>
        </w:tc>
        <w:tc>
          <w:tcPr>
            <w:tcW w:w="0" w:type="auto"/>
            <w:noWrap/>
          </w:tcPr>
          <w:p w14:paraId="17990BF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BSF frass moisture content</w:t>
            </w:r>
          </w:p>
        </w:tc>
        <w:tc>
          <w:tcPr>
            <w:tcW w:w="0" w:type="auto"/>
            <w:noWrap/>
          </w:tcPr>
          <w:p w14:paraId="656C4B4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ww</w:t>
            </w:r>
          </w:p>
        </w:tc>
        <w:tc>
          <w:tcPr>
            <w:tcW w:w="0" w:type="auto"/>
            <w:noWrap/>
          </w:tcPr>
          <w:p w14:paraId="0690F97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65%</w:t>
            </w:r>
          </w:p>
        </w:tc>
        <w:tc>
          <w:tcPr>
            <w:tcW w:w="0" w:type="auto"/>
            <w:noWrap/>
          </w:tcPr>
          <w:p w14:paraId="02BF7B8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50-75%</w:t>
            </w:r>
          </w:p>
        </w:tc>
      </w:tr>
      <w:tr w:rsidR="00732C76" w:rsidRPr="006670F8" w14:paraId="7F30988A"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1F3DF6A" w14:textId="77777777" w:rsidR="00732C76" w:rsidRPr="006670F8" w:rsidRDefault="00732C76" w:rsidP="00447F21">
            <w:pPr>
              <w:rPr>
                <w:b w:val="0"/>
                <w:bCs w:val="0"/>
                <w:sz w:val="16"/>
                <w:szCs w:val="16"/>
              </w:rPr>
            </w:pPr>
          </w:p>
        </w:tc>
        <w:tc>
          <w:tcPr>
            <w:tcW w:w="0" w:type="auto"/>
            <w:noWrap/>
            <w:hideMark/>
          </w:tcPr>
          <w:p w14:paraId="53CEB39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82</w:t>
            </w:r>
          </w:p>
        </w:tc>
        <w:tc>
          <w:tcPr>
            <w:tcW w:w="0" w:type="auto"/>
            <w:noWrap/>
          </w:tcPr>
          <w:p w14:paraId="3BCBE35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Pr>
                <w:b/>
                <w:sz w:val="16"/>
                <w:szCs w:val="16"/>
              </w:rPr>
              <w:t>BSF f</w:t>
            </w:r>
            <w:r w:rsidRPr="006670F8">
              <w:rPr>
                <w:b/>
                <w:sz w:val="16"/>
                <w:szCs w:val="16"/>
              </w:rPr>
              <w:t>acilities use efficiency enhancement</w:t>
            </w:r>
          </w:p>
        </w:tc>
        <w:tc>
          <w:tcPr>
            <w:tcW w:w="0" w:type="auto"/>
            <w:noWrap/>
          </w:tcPr>
          <w:p w14:paraId="17DD1CA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current</w:t>
            </w:r>
          </w:p>
        </w:tc>
        <w:tc>
          <w:tcPr>
            <w:tcW w:w="0" w:type="auto"/>
            <w:noWrap/>
          </w:tcPr>
          <w:p w14:paraId="18A023C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28%</w:t>
            </w:r>
          </w:p>
        </w:tc>
        <w:tc>
          <w:tcPr>
            <w:tcW w:w="0" w:type="auto"/>
            <w:noWrap/>
          </w:tcPr>
          <w:p w14:paraId="52897A9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0-50%</w:t>
            </w:r>
          </w:p>
        </w:tc>
      </w:tr>
      <w:tr w:rsidR="00732C76" w:rsidRPr="006670F8" w14:paraId="314A496B"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658F45A" w14:textId="77777777" w:rsidR="00732C76" w:rsidRPr="006670F8" w:rsidRDefault="00732C76" w:rsidP="00447F21">
            <w:pPr>
              <w:rPr>
                <w:b w:val="0"/>
                <w:bCs w:val="0"/>
                <w:sz w:val="16"/>
                <w:szCs w:val="16"/>
              </w:rPr>
            </w:pPr>
          </w:p>
        </w:tc>
        <w:tc>
          <w:tcPr>
            <w:tcW w:w="0" w:type="auto"/>
            <w:noWrap/>
            <w:hideMark/>
          </w:tcPr>
          <w:p w14:paraId="1DA2CAE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83</w:t>
            </w:r>
          </w:p>
        </w:tc>
        <w:tc>
          <w:tcPr>
            <w:tcW w:w="0" w:type="auto"/>
            <w:noWrap/>
          </w:tcPr>
          <w:p w14:paraId="094DFDB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BSF killing energy</w:t>
            </w:r>
            <w:r>
              <w:rPr>
                <w:b/>
                <w:sz w:val="16"/>
                <w:szCs w:val="16"/>
              </w:rPr>
              <w:t xml:space="preserve"> requirements</w:t>
            </w:r>
          </w:p>
        </w:tc>
        <w:tc>
          <w:tcPr>
            <w:tcW w:w="0" w:type="auto"/>
            <w:noWrap/>
          </w:tcPr>
          <w:p w14:paraId="100A54F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kWh.kg</w:t>
            </w:r>
            <w:r w:rsidRPr="006670F8">
              <w:rPr>
                <w:sz w:val="16"/>
                <w:szCs w:val="16"/>
                <w:vertAlign w:val="subscript"/>
              </w:rPr>
              <w:t>ww</w:t>
            </w:r>
            <w:r w:rsidRPr="006670F8">
              <w:rPr>
                <w:sz w:val="16"/>
                <w:szCs w:val="16"/>
                <w:vertAlign w:val="superscript"/>
              </w:rPr>
              <w:t>-1</w:t>
            </w:r>
          </w:p>
        </w:tc>
        <w:tc>
          <w:tcPr>
            <w:tcW w:w="0" w:type="auto"/>
            <w:noWrap/>
          </w:tcPr>
          <w:p w14:paraId="776AE75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0.14</w:t>
            </w:r>
          </w:p>
        </w:tc>
        <w:tc>
          <w:tcPr>
            <w:tcW w:w="0" w:type="auto"/>
            <w:noWrap/>
          </w:tcPr>
          <w:p w14:paraId="5B38E8D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0.09-0.25</w:t>
            </w:r>
          </w:p>
        </w:tc>
      </w:tr>
      <w:tr w:rsidR="00732C76" w:rsidRPr="006670F8" w14:paraId="5A69127F"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9EF4D44" w14:textId="77777777" w:rsidR="00732C76" w:rsidRPr="006670F8" w:rsidRDefault="00732C76" w:rsidP="00447F21">
            <w:pPr>
              <w:rPr>
                <w:b w:val="0"/>
                <w:bCs w:val="0"/>
                <w:sz w:val="16"/>
                <w:szCs w:val="16"/>
              </w:rPr>
            </w:pPr>
          </w:p>
        </w:tc>
        <w:tc>
          <w:tcPr>
            <w:tcW w:w="0" w:type="auto"/>
            <w:noWrap/>
            <w:hideMark/>
          </w:tcPr>
          <w:p w14:paraId="3C73D07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84</w:t>
            </w:r>
          </w:p>
        </w:tc>
        <w:tc>
          <w:tcPr>
            <w:tcW w:w="0" w:type="auto"/>
            <w:noWrap/>
          </w:tcPr>
          <w:p w14:paraId="4210555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Frass composting electricity</w:t>
            </w:r>
          </w:p>
        </w:tc>
        <w:tc>
          <w:tcPr>
            <w:tcW w:w="0" w:type="auto"/>
            <w:noWrap/>
          </w:tcPr>
          <w:p w14:paraId="07A7DA9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kWh.t</w:t>
            </w:r>
            <w:r w:rsidRPr="006670F8">
              <w:rPr>
                <w:sz w:val="16"/>
                <w:szCs w:val="16"/>
                <w:vertAlign w:val="subscript"/>
              </w:rPr>
              <w:t>ww</w:t>
            </w:r>
            <w:r w:rsidRPr="006670F8">
              <w:rPr>
                <w:sz w:val="16"/>
                <w:szCs w:val="16"/>
                <w:vertAlign w:val="superscript"/>
              </w:rPr>
              <w:t>-1</w:t>
            </w:r>
          </w:p>
        </w:tc>
        <w:tc>
          <w:tcPr>
            <w:tcW w:w="0" w:type="auto"/>
            <w:noWrap/>
          </w:tcPr>
          <w:p w14:paraId="4D793B0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26</w:t>
            </w:r>
          </w:p>
        </w:tc>
        <w:tc>
          <w:tcPr>
            <w:tcW w:w="0" w:type="auto"/>
            <w:noWrap/>
          </w:tcPr>
          <w:p w14:paraId="3EDA5E8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0.9-50</w:t>
            </w:r>
          </w:p>
        </w:tc>
      </w:tr>
      <w:tr w:rsidR="00732C76" w:rsidRPr="006670F8" w14:paraId="56BCAA64"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BF7677C" w14:textId="77777777" w:rsidR="00732C76" w:rsidRPr="006670F8" w:rsidRDefault="00732C76" w:rsidP="00447F21">
            <w:pPr>
              <w:rPr>
                <w:b w:val="0"/>
                <w:bCs w:val="0"/>
                <w:sz w:val="16"/>
                <w:szCs w:val="16"/>
              </w:rPr>
            </w:pPr>
          </w:p>
        </w:tc>
        <w:tc>
          <w:tcPr>
            <w:tcW w:w="0" w:type="auto"/>
            <w:noWrap/>
            <w:hideMark/>
          </w:tcPr>
          <w:p w14:paraId="2D49AF4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85</w:t>
            </w:r>
          </w:p>
        </w:tc>
        <w:tc>
          <w:tcPr>
            <w:tcW w:w="0" w:type="auto"/>
            <w:noWrap/>
          </w:tcPr>
          <w:p w14:paraId="7ED514B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Frass composting</w:t>
            </w:r>
            <w:r>
              <w:rPr>
                <w:b/>
                <w:sz w:val="16"/>
                <w:szCs w:val="16"/>
              </w:rPr>
              <w:t xml:space="preserve"> total</w:t>
            </w:r>
            <w:r w:rsidRPr="006670F8">
              <w:rPr>
                <w:b/>
                <w:sz w:val="16"/>
                <w:szCs w:val="16"/>
              </w:rPr>
              <w:t xml:space="preserve"> C-emissions</w:t>
            </w:r>
          </w:p>
        </w:tc>
        <w:tc>
          <w:tcPr>
            <w:tcW w:w="0" w:type="auto"/>
            <w:noWrap/>
          </w:tcPr>
          <w:p w14:paraId="4F88DB5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C</w:t>
            </w:r>
          </w:p>
        </w:tc>
        <w:tc>
          <w:tcPr>
            <w:tcW w:w="0" w:type="auto"/>
            <w:noWrap/>
          </w:tcPr>
          <w:p w14:paraId="505291A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20%</w:t>
            </w:r>
          </w:p>
        </w:tc>
        <w:tc>
          <w:tcPr>
            <w:tcW w:w="0" w:type="auto"/>
            <w:noWrap/>
          </w:tcPr>
          <w:p w14:paraId="0AAAD51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10-35%</w:t>
            </w:r>
          </w:p>
        </w:tc>
      </w:tr>
      <w:tr w:rsidR="00732C76" w:rsidRPr="006670F8" w14:paraId="5D72B41B"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EE1A788" w14:textId="77777777" w:rsidR="00732C76" w:rsidRPr="006670F8" w:rsidRDefault="00732C76" w:rsidP="00447F21">
            <w:pPr>
              <w:rPr>
                <w:b w:val="0"/>
                <w:bCs w:val="0"/>
                <w:sz w:val="16"/>
                <w:szCs w:val="16"/>
              </w:rPr>
            </w:pPr>
          </w:p>
        </w:tc>
        <w:tc>
          <w:tcPr>
            <w:tcW w:w="0" w:type="auto"/>
            <w:noWrap/>
            <w:hideMark/>
          </w:tcPr>
          <w:p w14:paraId="51E4C0C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86</w:t>
            </w:r>
          </w:p>
        </w:tc>
        <w:tc>
          <w:tcPr>
            <w:tcW w:w="0" w:type="auto"/>
            <w:noWrap/>
          </w:tcPr>
          <w:p w14:paraId="4FC4913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Frass composting CH</w:t>
            </w:r>
            <w:r w:rsidRPr="006670F8">
              <w:rPr>
                <w:b/>
                <w:sz w:val="16"/>
                <w:szCs w:val="16"/>
                <w:vertAlign w:val="subscript"/>
              </w:rPr>
              <w:t>4</w:t>
            </w:r>
            <w:r w:rsidRPr="006670F8">
              <w:rPr>
                <w:b/>
                <w:sz w:val="16"/>
                <w:szCs w:val="16"/>
              </w:rPr>
              <w:t xml:space="preserve"> emissions</w:t>
            </w:r>
          </w:p>
        </w:tc>
        <w:tc>
          <w:tcPr>
            <w:tcW w:w="0" w:type="auto"/>
            <w:noWrap/>
          </w:tcPr>
          <w:p w14:paraId="4304060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C_emit</w:t>
            </w:r>
          </w:p>
        </w:tc>
        <w:tc>
          <w:tcPr>
            <w:tcW w:w="0" w:type="auto"/>
            <w:noWrap/>
          </w:tcPr>
          <w:p w14:paraId="0C674D7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w:t>
            </w:r>
          </w:p>
        </w:tc>
        <w:tc>
          <w:tcPr>
            <w:tcW w:w="0" w:type="auto"/>
            <w:noWrap/>
          </w:tcPr>
          <w:p w14:paraId="7212FCA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0.2-1.7%</w:t>
            </w:r>
          </w:p>
        </w:tc>
      </w:tr>
      <w:tr w:rsidR="00732C76" w:rsidRPr="006670F8" w14:paraId="165C56C6"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4746752" w14:textId="77777777" w:rsidR="00732C76" w:rsidRPr="006670F8" w:rsidRDefault="00732C76" w:rsidP="00447F21">
            <w:pPr>
              <w:rPr>
                <w:b w:val="0"/>
                <w:bCs w:val="0"/>
                <w:sz w:val="16"/>
                <w:szCs w:val="16"/>
              </w:rPr>
            </w:pPr>
          </w:p>
        </w:tc>
        <w:tc>
          <w:tcPr>
            <w:tcW w:w="0" w:type="auto"/>
            <w:noWrap/>
            <w:hideMark/>
          </w:tcPr>
          <w:p w14:paraId="50AC83C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87</w:t>
            </w:r>
          </w:p>
        </w:tc>
        <w:tc>
          <w:tcPr>
            <w:tcW w:w="0" w:type="auto"/>
            <w:noWrap/>
          </w:tcPr>
          <w:p w14:paraId="0547BAE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Frass composting N</w:t>
            </w:r>
            <w:r w:rsidRPr="006670F8">
              <w:rPr>
                <w:b/>
                <w:sz w:val="16"/>
                <w:szCs w:val="16"/>
                <w:vertAlign w:val="subscript"/>
              </w:rPr>
              <w:t>2</w:t>
            </w:r>
            <w:r w:rsidRPr="006670F8">
              <w:rPr>
                <w:b/>
                <w:sz w:val="16"/>
                <w:szCs w:val="16"/>
              </w:rPr>
              <w:t>O emissions</w:t>
            </w:r>
          </w:p>
        </w:tc>
        <w:tc>
          <w:tcPr>
            <w:tcW w:w="0" w:type="auto"/>
            <w:noWrap/>
          </w:tcPr>
          <w:p w14:paraId="2BDA6C2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N_emit</w:t>
            </w:r>
          </w:p>
        </w:tc>
        <w:tc>
          <w:tcPr>
            <w:tcW w:w="0" w:type="auto"/>
            <w:noWrap/>
          </w:tcPr>
          <w:p w14:paraId="75735F5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1.2%</w:t>
            </w:r>
          </w:p>
        </w:tc>
        <w:tc>
          <w:tcPr>
            <w:tcW w:w="0" w:type="auto"/>
            <w:noWrap/>
          </w:tcPr>
          <w:p w14:paraId="661D8AA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0.5-1.9%</w:t>
            </w:r>
          </w:p>
        </w:tc>
      </w:tr>
      <w:tr w:rsidR="00732C76" w:rsidRPr="006670F8" w14:paraId="74A023AF"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F79AF50" w14:textId="77777777" w:rsidR="00732C76" w:rsidRPr="006670F8" w:rsidRDefault="00732C76" w:rsidP="00447F21">
            <w:pPr>
              <w:rPr>
                <w:b w:val="0"/>
                <w:bCs w:val="0"/>
                <w:sz w:val="16"/>
                <w:szCs w:val="16"/>
              </w:rPr>
            </w:pPr>
          </w:p>
        </w:tc>
        <w:tc>
          <w:tcPr>
            <w:tcW w:w="0" w:type="auto"/>
            <w:noWrap/>
            <w:hideMark/>
          </w:tcPr>
          <w:p w14:paraId="2A47718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88</w:t>
            </w:r>
          </w:p>
        </w:tc>
        <w:tc>
          <w:tcPr>
            <w:tcW w:w="0" w:type="auto"/>
            <w:noWrap/>
          </w:tcPr>
          <w:p w14:paraId="11DBC77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Composted frass TAN</w:t>
            </w:r>
          </w:p>
        </w:tc>
        <w:tc>
          <w:tcPr>
            <w:tcW w:w="0" w:type="auto"/>
            <w:noWrap/>
          </w:tcPr>
          <w:p w14:paraId="37804EF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N</w:t>
            </w:r>
          </w:p>
        </w:tc>
        <w:tc>
          <w:tcPr>
            <w:tcW w:w="0" w:type="auto"/>
            <w:noWrap/>
          </w:tcPr>
          <w:p w14:paraId="506223A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19%</w:t>
            </w:r>
          </w:p>
        </w:tc>
        <w:tc>
          <w:tcPr>
            <w:tcW w:w="0" w:type="auto"/>
            <w:noWrap/>
          </w:tcPr>
          <w:p w14:paraId="5FFFD52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11-37%</w:t>
            </w:r>
          </w:p>
        </w:tc>
      </w:tr>
      <w:tr w:rsidR="00732C76" w:rsidRPr="006670F8" w14:paraId="7170DE2D"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E85E277" w14:textId="77777777" w:rsidR="00732C76" w:rsidRPr="006670F8" w:rsidRDefault="00732C76" w:rsidP="00447F21">
            <w:pPr>
              <w:rPr>
                <w:b w:val="0"/>
                <w:bCs w:val="0"/>
                <w:sz w:val="16"/>
                <w:szCs w:val="16"/>
              </w:rPr>
            </w:pPr>
          </w:p>
        </w:tc>
        <w:tc>
          <w:tcPr>
            <w:tcW w:w="0" w:type="auto"/>
            <w:noWrap/>
            <w:hideMark/>
          </w:tcPr>
          <w:p w14:paraId="314DCCA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89</w:t>
            </w:r>
          </w:p>
        </w:tc>
        <w:tc>
          <w:tcPr>
            <w:tcW w:w="0" w:type="auto"/>
            <w:noWrap/>
          </w:tcPr>
          <w:p w14:paraId="10B1830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Frass composting diesel</w:t>
            </w:r>
            <w:r>
              <w:rPr>
                <w:b/>
                <w:sz w:val="16"/>
                <w:szCs w:val="16"/>
              </w:rPr>
              <w:t xml:space="preserve"> use</w:t>
            </w:r>
          </w:p>
        </w:tc>
        <w:tc>
          <w:tcPr>
            <w:tcW w:w="0" w:type="auto"/>
            <w:noWrap/>
          </w:tcPr>
          <w:p w14:paraId="04FB90C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L.t</w:t>
            </w:r>
            <w:r w:rsidRPr="006670F8">
              <w:rPr>
                <w:sz w:val="16"/>
                <w:szCs w:val="16"/>
                <w:vertAlign w:val="subscript"/>
              </w:rPr>
              <w:t>ww</w:t>
            </w:r>
            <w:r w:rsidRPr="006670F8">
              <w:rPr>
                <w:sz w:val="16"/>
                <w:szCs w:val="16"/>
                <w:vertAlign w:val="superscript"/>
              </w:rPr>
              <w:t>-1</w:t>
            </w:r>
          </w:p>
        </w:tc>
        <w:tc>
          <w:tcPr>
            <w:tcW w:w="0" w:type="auto"/>
            <w:noWrap/>
          </w:tcPr>
          <w:p w14:paraId="41ED42A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0.65</w:t>
            </w:r>
          </w:p>
        </w:tc>
        <w:tc>
          <w:tcPr>
            <w:tcW w:w="0" w:type="auto"/>
            <w:noWrap/>
          </w:tcPr>
          <w:p w14:paraId="4624161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0.3-2.8</w:t>
            </w:r>
          </w:p>
        </w:tc>
      </w:tr>
      <w:tr w:rsidR="00732C76" w:rsidRPr="006670F8" w14:paraId="4861078B"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208526C" w14:textId="77777777" w:rsidR="00732C76" w:rsidRPr="006670F8" w:rsidRDefault="00732C76" w:rsidP="00447F21">
            <w:pPr>
              <w:rPr>
                <w:b w:val="0"/>
                <w:bCs w:val="0"/>
                <w:sz w:val="16"/>
                <w:szCs w:val="16"/>
              </w:rPr>
            </w:pPr>
          </w:p>
        </w:tc>
        <w:tc>
          <w:tcPr>
            <w:tcW w:w="0" w:type="auto"/>
            <w:noWrap/>
            <w:hideMark/>
          </w:tcPr>
          <w:p w14:paraId="644EA64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90</w:t>
            </w:r>
          </w:p>
        </w:tc>
        <w:tc>
          <w:tcPr>
            <w:tcW w:w="0" w:type="auto"/>
            <w:noWrap/>
          </w:tcPr>
          <w:p w14:paraId="384D5EE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Frass MFE-P</w:t>
            </w:r>
          </w:p>
        </w:tc>
        <w:tc>
          <w:tcPr>
            <w:tcW w:w="0" w:type="auto"/>
            <w:noWrap/>
          </w:tcPr>
          <w:p w14:paraId="0B3EF32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P</w:t>
            </w:r>
          </w:p>
        </w:tc>
        <w:tc>
          <w:tcPr>
            <w:tcW w:w="0" w:type="auto"/>
            <w:noWrap/>
          </w:tcPr>
          <w:p w14:paraId="0903D9B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90%</w:t>
            </w:r>
          </w:p>
        </w:tc>
        <w:tc>
          <w:tcPr>
            <w:tcW w:w="0" w:type="auto"/>
            <w:noWrap/>
          </w:tcPr>
          <w:p w14:paraId="73C42F8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80-100%</w:t>
            </w:r>
          </w:p>
        </w:tc>
      </w:tr>
      <w:tr w:rsidR="00732C76" w:rsidRPr="006670F8" w14:paraId="52E98068"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D6B38BC" w14:textId="77777777" w:rsidR="00732C76" w:rsidRPr="006670F8" w:rsidRDefault="00732C76" w:rsidP="00447F21">
            <w:pPr>
              <w:rPr>
                <w:b w:val="0"/>
                <w:bCs w:val="0"/>
                <w:sz w:val="16"/>
                <w:szCs w:val="16"/>
              </w:rPr>
            </w:pPr>
          </w:p>
        </w:tc>
        <w:tc>
          <w:tcPr>
            <w:tcW w:w="0" w:type="auto"/>
            <w:noWrap/>
            <w:hideMark/>
          </w:tcPr>
          <w:p w14:paraId="256C6AF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91</w:t>
            </w:r>
          </w:p>
        </w:tc>
        <w:tc>
          <w:tcPr>
            <w:tcW w:w="0" w:type="auto"/>
            <w:noWrap/>
          </w:tcPr>
          <w:p w14:paraId="4B4FC04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BSF larvae digestibility</w:t>
            </w:r>
            <w:r>
              <w:rPr>
                <w:b/>
                <w:sz w:val="16"/>
                <w:szCs w:val="16"/>
              </w:rPr>
              <w:t xml:space="preserve"> (as feed)</w:t>
            </w:r>
          </w:p>
        </w:tc>
        <w:tc>
          <w:tcPr>
            <w:tcW w:w="0" w:type="auto"/>
            <w:noWrap/>
          </w:tcPr>
          <w:p w14:paraId="4D9008A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OM</w:t>
            </w:r>
          </w:p>
        </w:tc>
        <w:tc>
          <w:tcPr>
            <w:tcW w:w="0" w:type="auto"/>
            <w:noWrap/>
          </w:tcPr>
          <w:p w14:paraId="29A8FCF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88%</w:t>
            </w:r>
          </w:p>
        </w:tc>
        <w:tc>
          <w:tcPr>
            <w:tcW w:w="0" w:type="auto"/>
            <w:noWrap/>
          </w:tcPr>
          <w:p w14:paraId="52FD1A5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85-90%</w:t>
            </w:r>
          </w:p>
        </w:tc>
      </w:tr>
      <w:tr w:rsidR="00732C76" w:rsidRPr="006670F8" w14:paraId="3AAE88F1" w14:textId="77777777" w:rsidTr="008C451C">
        <w:trPr>
          <w:trHeight w:val="300"/>
        </w:trPr>
        <w:tc>
          <w:tcPr>
            <w:cnfStyle w:val="001000000000" w:firstRow="0" w:lastRow="0" w:firstColumn="1" w:lastColumn="0" w:oddVBand="0" w:evenVBand="0" w:oddHBand="0" w:evenHBand="0" w:firstRowFirstColumn="0" w:firstRowLastColumn="0" w:lastRowFirstColumn="0" w:lastRowLastColumn="0"/>
            <w:tcW w:w="0" w:type="auto"/>
            <w:vMerge/>
            <w:hideMark/>
          </w:tcPr>
          <w:p w14:paraId="62F00413" w14:textId="77777777" w:rsidR="00732C76" w:rsidRPr="006670F8" w:rsidRDefault="00732C76" w:rsidP="00447F21">
            <w:pPr>
              <w:rPr>
                <w:b w:val="0"/>
                <w:bCs w:val="0"/>
                <w:sz w:val="16"/>
                <w:szCs w:val="16"/>
              </w:rPr>
            </w:pPr>
          </w:p>
        </w:tc>
        <w:tc>
          <w:tcPr>
            <w:tcW w:w="0" w:type="auto"/>
            <w:noWrap/>
            <w:hideMark/>
          </w:tcPr>
          <w:p w14:paraId="2CD9352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92</w:t>
            </w:r>
          </w:p>
        </w:tc>
        <w:tc>
          <w:tcPr>
            <w:tcW w:w="0" w:type="auto"/>
            <w:noWrap/>
          </w:tcPr>
          <w:p w14:paraId="23D7FFD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BSF larvae crude fibers</w:t>
            </w:r>
          </w:p>
        </w:tc>
        <w:tc>
          <w:tcPr>
            <w:tcW w:w="0" w:type="auto"/>
            <w:noWrap/>
          </w:tcPr>
          <w:p w14:paraId="307FA91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DM</w:t>
            </w:r>
          </w:p>
        </w:tc>
        <w:tc>
          <w:tcPr>
            <w:tcW w:w="0" w:type="auto"/>
            <w:noWrap/>
          </w:tcPr>
          <w:p w14:paraId="2C85943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7%</w:t>
            </w:r>
          </w:p>
        </w:tc>
        <w:tc>
          <w:tcPr>
            <w:tcW w:w="0" w:type="auto"/>
            <w:noWrap/>
          </w:tcPr>
          <w:p w14:paraId="1B94E8A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6-8%</w:t>
            </w:r>
          </w:p>
        </w:tc>
      </w:tr>
      <w:tr w:rsidR="00732C76" w:rsidRPr="006670F8" w14:paraId="578AD5F9" w14:textId="77777777" w:rsidTr="00C00E3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val="restart"/>
            <w:textDirection w:val="btLr"/>
            <w:hideMark/>
          </w:tcPr>
          <w:p w14:paraId="54C84E74" w14:textId="77777777" w:rsidR="00732C76" w:rsidRPr="006670F8" w:rsidRDefault="00732C76" w:rsidP="00C00E3A">
            <w:pPr>
              <w:jc w:val="center"/>
              <w:rPr>
                <w:b w:val="0"/>
                <w:bCs w:val="0"/>
                <w:sz w:val="16"/>
                <w:szCs w:val="16"/>
              </w:rPr>
            </w:pPr>
            <w:r w:rsidRPr="006670F8">
              <w:rPr>
                <w:sz w:val="16"/>
                <w:szCs w:val="16"/>
              </w:rPr>
              <w:t>Specific to mycoproteins production</w:t>
            </w:r>
          </w:p>
        </w:tc>
        <w:tc>
          <w:tcPr>
            <w:tcW w:w="0" w:type="auto"/>
            <w:noWrap/>
            <w:hideMark/>
          </w:tcPr>
          <w:p w14:paraId="2376AE3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93</w:t>
            </w:r>
          </w:p>
        </w:tc>
        <w:tc>
          <w:tcPr>
            <w:tcW w:w="0" w:type="auto"/>
            <w:noWrap/>
          </w:tcPr>
          <w:p w14:paraId="1B06CB1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Pr>
                <w:b/>
                <w:sz w:val="16"/>
                <w:szCs w:val="16"/>
              </w:rPr>
              <w:t>Ionic liquid (</w:t>
            </w:r>
            <w:r w:rsidRPr="006670F8">
              <w:rPr>
                <w:b/>
                <w:sz w:val="16"/>
                <w:szCs w:val="16"/>
              </w:rPr>
              <w:t>IL</w:t>
            </w:r>
            <w:r>
              <w:rPr>
                <w:b/>
                <w:sz w:val="16"/>
                <w:szCs w:val="16"/>
              </w:rPr>
              <w:t>)</w:t>
            </w:r>
            <w:r w:rsidRPr="006670F8">
              <w:rPr>
                <w:b/>
                <w:sz w:val="16"/>
                <w:szCs w:val="16"/>
              </w:rPr>
              <w:t xml:space="preserve"> make-up moisture content</w:t>
            </w:r>
          </w:p>
        </w:tc>
        <w:tc>
          <w:tcPr>
            <w:tcW w:w="0" w:type="auto"/>
            <w:noWrap/>
          </w:tcPr>
          <w:p w14:paraId="6EAA6AB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ww</w:t>
            </w:r>
          </w:p>
        </w:tc>
        <w:tc>
          <w:tcPr>
            <w:tcW w:w="0" w:type="auto"/>
            <w:noWrap/>
          </w:tcPr>
          <w:p w14:paraId="1ACD49F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20%</w:t>
            </w:r>
          </w:p>
        </w:tc>
        <w:tc>
          <w:tcPr>
            <w:tcW w:w="0" w:type="auto"/>
            <w:noWrap/>
          </w:tcPr>
          <w:p w14:paraId="509AA3C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10-30%</w:t>
            </w:r>
          </w:p>
        </w:tc>
      </w:tr>
      <w:tr w:rsidR="00732C76" w:rsidRPr="006670F8" w14:paraId="61CB88F9"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43F9DE2" w14:textId="77777777" w:rsidR="00732C76" w:rsidRPr="006670F8" w:rsidRDefault="00732C76" w:rsidP="00447F21">
            <w:pPr>
              <w:rPr>
                <w:b w:val="0"/>
                <w:bCs w:val="0"/>
                <w:sz w:val="16"/>
                <w:szCs w:val="16"/>
              </w:rPr>
            </w:pPr>
          </w:p>
        </w:tc>
        <w:tc>
          <w:tcPr>
            <w:tcW w:w="0" w:type="auto"/>
            <w:noWrap/>
            <w:hideMark/>
          </w:tcPr>
          <w:p w14:paraId="1798943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94</w:t>
            </w:r>
          </w:p>
        </w:tc>
        <w:tc>
          <w:tcPr>
            <w:tcW w:w="0" w:type="auto"/>
            <w:noWrap/>
          </w:tcPr>
          <w:p w14:paraId="537A9C6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Relooped IL</w:t>
            </w:r>
          </w:p>
        </w:tc>
        <w:tc>
          <w:tcPr>
            <w:tcW w:w="0" w:type="auto"/>
            <w:noWrap/>
          </w:tcPr>
          <w:p w14:paraId="21D0065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rec</w:t>
            </w:r>
            <w:r>
              <w:rPr>
                <w:sz w:val="16"/>
                <w:szCs w:val="16"/>
                <w:vertAlign w:val="subscript"/>
              </w:rPr>
              <w:t>overed</w:t>
            </w:r>
          </w:p>
        </w:tc>
        <w:tc>
          <w:tcPr>
            <w:tcW w:w="0" w:type="auto"/>
            <w:noWrap/>
          </w:tcPr>
          <w:p w14:paraId="44913F4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99.5%</w:t>
            </w:r>
          </w:p>
        </w:tc>
        <w:tc>
          <w:tcPr>
            <w:tcW w:w="0" w:type="auto"/>
            <w:noWrap/>
          </w:tcPr>
          <w:p w14:paraId="13348B2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99-99.9%</w:t>
            </w:r>
          </w:p>
        </w:tc>
      </w:tr>
      <w:tr w:rsidR="00732C76" w:rsidRPr="006670F8" w14:paraId="273C3484"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8529392" w14:textId="77777777" w:rsidR="00732C76" w:rsidRPr="006670F8" w:rsidRDefault="00732C76" w:rsidP="00447F21">
            <w:pPr>
              <w:rPr>
                <w:b w:val="0"/>
                <w:bCs w:val="0"/>
                <w:sz w:val="16"/>
                <w:szCs w:val="16"/>
              </w:rPr>
            </w:pPr>
          </w:p>
        </w:tc>
        <w:tc>
          <w:tcPr>
            <w:tcW w:w="0" w:type="auto"/>
            <w:noWrap/>
            <w:hideMark/>
          </w:tcPr>
          <w:p w14:paraId="72F41D1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95</w:t>
            </w:r>
          </w:p>
        </w:tc>
        <w:tc>
          <w:tcPr>
            <w:tcW w:w="0" w:type="auto"/>
            <w:noWrap/>
          </w:tcPr>
          <w:p w14:paraId="1A0C8EB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IL requirements</w:t>
            </w:r>
          </w:p>
        </w:tc>
        <w:tc>
          <w:tcPr>
            <w:tcW w:w="0" w:type="auto"/>
            <w:noWrap/>
          </w:tcPr>
          <w:p w14:paraId="6ECACAA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kg</w:t>
            </w:r>
            <w:r w:rsidRPr="006670F8">
              <w:rPr>
                <w:sz w:val="16"/>
                <w:szCs w:val="16"/>
                <w:vertAlign w:val="subscript"/>
              </w:rPr>
              <w:t>IL</w:t>
            </w:r>
            <w:r w:rsidRPr="006670F8">
              <w:rPr>
                <w:sz w:val="16"/>
                <w:szCs w:val="16"/>
              </w:rPr>
              <w:t>.kg</w:t>
            </w:r>
            <w:r w:rsidRPr="006670F8">
              <w:rPr>
                <w:sz w:val="16"/>
                <w:szCs w:val="16"/>
                <w:vertAlign w:val="subscript"/>
              </w:rPr>
              <w:t>DM</w:t>
            </w:r>
            <w:r w:rsidRPr="006670F8">
              <w:rPr>
                <w:sz w:val="16"/>
                <w:szCs w:val="16"/>
                <w:vertAlign w:val="superscript"/>
              </w:rPr>
              <w:t>-1</w:t>
            </w:r>
          </w:p>
        </w:tc>
        <w:tc>
          <w:tcPr>
            <w:tcW w:w="0" w:type="auto"/>
            <w:noWrap/>
          </w:tcPr>
          <w:p w14:paraId="74CE5FC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5.6</w:t>
            </w:r>
          </w:p>
        </w:tc>
        <w:tc>
          <w:tcPr>
            <w:tcW w:w="0" w:type="auto"/>
            <w:noWrap/>
          </w:tcPr>
          <w:p w14:paraId="2C3C7AB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4-7</w:t>
            </w:r>
          </w:p>
        </w:tc>
      </w:tr>
      <w:tr w:rsidR="00732C76" w:rsidRPr="006670F8" w14:paraId="025FFC4E"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BB77FB9" w14:textId="77777777" w:rsidR="00732C76" w:rsidRPr="006670F8" w:rsidRDefault="00732C76" w:rsidP="00447F21">
            <w:pPr>
              <w:rPr>
                <w:b w:val="0"/>
                <w:bCs w:val="0"/>
                <w:sz w:val="16"/>
                <w:szCs w:val="16"/>
              </w:rPr>
            </w:pPr>
          </w:p>
        </w:tc>
        <w:tc>
          <w:tcPr>
            <w:tcW w:w="0" w:type="auto"/>
            <w:noWrap/>
            <w:hideMark/>
          </w:tcPr>
          <w:p w14:paraId="59ABB8E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96</w:t>
            </w:r>
          </w:p>
        </w:tc>
        <w:tc>
          <w:tcPr>
            <w:tcW w:w="0" w:type="auto"/>
            <w:noWrap/>
          </w:tcPr>
          <w:p w14:paraId="2BE0F71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Cellulose-to-pulp</w:t>
            </w:r>
          </w:p>
        </w:tc>
        <w:tc>
          <w:tcPr>
            <w:tcW w:w="0" w:type="auto"/>
            <w:noWrap/>
          </w:tcPr>
          <w:p w14:paraId="7075102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cell_in</w:t>
            </w:r>
          </w:p>
        </w:tc>
        <w:tc>
          <w:tcPr>
            <w:tcW w:w="0" w:type="auto"/>
            <w:noWrap/>
          </w:tcPr>
          <w:p w14:paraId="55F9118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90%</w:t>
            </w:r>
          </w:p>
        </w:tc>
        <w:tc>
          <w:tcPr>
            <w:tcW w:w="0" w:type="auto"/>
            <w:noWrap/>
          </w:tcPr>
          <w:p w14:paraId="4F22BAA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70-95%</w:t>
            </w:r>
          </w:p>
        </w:tc>
      </w:tr>
      <w:tr w:rsidR="00732C76" w:rsidRPr="006670F8" w14:paraId="3B982BF0"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75EE912" w14:textId="77777777" w:rsidR="00732C76" w:rsidRPr="006670F8" w:rsidRDefault="00732C76" w:rsidP="00447F21">
            <w:pPr>
              <w:rPr>
                <w:b w:val="0"/>
                <w:bCs w:val="0"/>
                <w:sz w:val="16"/>
                <w:szCs w:val="16"/>
              </w:rPr>
            </w:pPr>
          </w:p>
        </w:tc>
        <w:tc>
          <w:tcPr>
            <w:tcW w:w="0" w:type="auto"/>
            <w:noWrap/>
            <w:hideMark/>
          </w:tcPr>
          <w:p w14:paraId="4F201BE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97</w:t>
            </w:r>
          </w:p>
        </w:tc>
        <w:tc>
          <w:tcPr>
            <w:tcW w:w="0" w:type="auto"/>
            <w:noWrap/>
          </w:tcPr>
          <w:p w14:paraId="1DDA440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Hemicellulose-to-pulp</w:t>
            </w:r>
          </w:p>
        </w:tc>
        <w:tc>
          <w:tcPr>
            <w:tcW w:w="0" w:type="auto"/>
            <w:noWrap/>
          </w:tcPr>
          <w:p w14:paraId="5970B0B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hemi_in</w:t>
            </w:r>
          </w:p>
        </w:tc>
        <w:tc>
          <w:tcPr>
            <w:tcW w:w="0" w:type="auto"/>
            <w:noWrap/>
          </w:tcPr>
          <w:p w14:paraId="53380CB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40%</w:t>
            </w:r>
          </w:p>
        </w:tc>
        <w:tc>
          <w:tcPr>
            <w:tcW w:w="0" w:type="auto"/>
            <w:noWrap/>
          </w:tcPr>
          <w:p w14:paraId="284D613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20-50%</w:t>
            </w:r>
          </w:p>
        </w:tc>
      </w:tr>
      <w:tr w:rsidR="00732C76" w:rsidRPr="006670F8" w14:paraId="39E5F8F5"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7DA7AAA" w14:textId="77777777" w:rsidR="00732C76" w:rsidRPr="006670F8" w:rsidRDefault="00732C76" w:rsidP="00447F21">
            <w:pPr>
              <w:rPr>
                <w:b w:val="0"/>
                <w:bCs w:val="0"/>
                <w:sz w:val="16"/>
                <w:szCs w:val="16"/>
              </w:rPr>
            </w:pPr>
          </w:p>
        </w:tc>
        <w:tc>
          <w:tcPr>
            <w:tcW w:w="0" w:type="auto"/>
            <w:noWrap/>
            <w:hideMark/>
          </w:tcPr>
          <w:p w14:paraId="73A0BBD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98</w:t>
            </w:r>
          </w:p>
        </w:tc>
        <w:tc>
          <w:tcPr>
            <w:tcW w:w="0" w:type="auto"/>
            <w:noWrap/>
          </w:tcPr>
          <w:p w14:paraId="785369D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Solubles-to-pulp</w:t>
            </w:r>
          </w:p>
        </w:tc>
        <w:tc>
          <w:tcPr>
            <w:tcW w:w="0" w:type="auto"/>
            <w:noWrap/>
          </w:tcPr>
          <w:p w14:paraId="3310609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sol_in</w:t>
            </w:r>
          </w:p>
        </w:tc>
        <w:tc>
          <w:tcPr>
            <w:tcW w:w="0" w:type="auto"/>
            <w:noWrap/>
          </w:tcPr>
          <w:p w14:paraId="1656EBC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10%</w:t>
            </w:r>
          </w:p>
        </w:tc>
        <w:tc>
          <w:tcPr>
            <w:tcW w:w="0" w:type="auto"/>
            <w:noWrap/>
          </w:tcPr>
          <w:p w14:paraId="1F9F35F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0-20%</w:t>
            </w:r>
          </w:p>
        </w:tc>
      </w:tr>
      <w:tr w:rsidR="00732C76" w:rsidRPr="006670F8" w14:paraId="1782A5FD"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68C99A2" w14:textId="77777777" w:rsidR="00732C76" w:rsidRPr="006670F8" w:rsidRDefault="00732C76" w:rsidP="00447F21">
            <w:pPr>
              <w:rPr>
                <w:b w:val="0"/>
                <w:bCs w:val="0"/>
                <w:sz w:val="16"/>
                <w:szCs w:val="16"/>
              </w:rPr>
            </w:pPr>
          </w:p>
        </w:tc>
        <w:tc>
          <w:tcPr>
            <w:tcW w:w="0" w:type="auto"/>
            <w:noWrap/>
            <w:hideMark/>
          </w:tcPr>
          <w:p w14:paraId="1AEEB26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99</w:t>
            </w:r>
          </w:p>
        </w:tc>
        <w:tc>
          <w:tcPr>
            <w:tcW w:w="0" w:type="auto"/>
            <w:noWrap/>
          </w:tcPr>
          <w:p w14:paraId="523E9EA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Lignin-to-pulp</w:t>
            </w:r>
          </w:p>
        </w:tc>
        <w:tc>
          <w:tcPr>
            <w:tcW w:w="0" w:type="auto"/>
            <w:noWrap/>
          </w:tcPr>
          <w:p w14:paraId="4759AEA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lignin_in</w:t>
            </w:r>
          </w:p>
        </w:tc>
        <w:tc>
          <w:tcPr>
            <w:tcW w:w="0" w:type="auto"/>
            <w:noWrap/>
          </w:tcPr>
          <w:p w14:paraId="568E472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20%</w:t>
            </w:r>
          </w:p>
        </w:tc>
        <w:tc>
          <w:tcPr>
            <w:tcW w:w="0" w:type="auto"/>
            <w:noWrap/>
          </w:tcPr>
          <w:p w14:paraId="2B4BD6F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10-60%</w:t>
            </w:r>
          </w:p>
        </w:tc>
      </w:tr>
      <w:tr w:rsidR="00732C76" w:rsidRPr="006670F8" w14:paraId="022BE2B3"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A268FBD" w14:textId="77777777" w:rsidR="00732C76" w:rsidRPr="006670F8" w:rsidRDefault="00732C76" w:rsidP="00447F21">
            <w:pPr>
              <w:rPr>
                <w:b w:val="0"/>
                <w:bCs w:val="0"/>
                <w:sz w:val="16"/>
                <w:szCs w:val="16"/>
              </w:rPr>
            </w:pPr>
          </w:p>
        </w:tc>
        <w:tc>
          <w:tcPr>
            <w:tcW w:w="0" w:type="auto"/>
            <w:noWrap/>
            <w:hideMark/>
          </w:tcPr>
          <w:p w14:paraId="0464FB5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100</w:t>
            </w:r>
          </w:p>
        </w:tc>
        <w:tc>
          <w:tcPr>
            <w:tcW w:w="0" w:type="auto"/>
            <w:noWrap/>
          </w:tcPr>
          <w:p w14:paraId="3109E1A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Evaporator efficiency</w:t>
            </w:r>
          </w:p>
        </w:tc>
        <w:tc>
          <w:tcPr>
            <w:tcW w:w="0" w:type="auto"/>
            <w:noWrap/>
          </w:tcPr>
          <w:p w14:paraId="6321FF2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MJ_th</w:t>
            </w:r>
          </w:p>
        </w:tc>
        <w:tc>
          <w:tcPr>
            <w:tcW w:w="0" w:type="auto"/>
            <w:noWrap/>
          </w:tcPr>
          <w:p w14:paraId="2A47872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75%</w:t>
            </w:r>
          </w:p>
        </w:tc>
        <w:tc>
          <w:tcPr>
            <w:tcW w:w="0" w:type="auto"/>
            <w:noWrap/>
          </w:tcPr>
          <w:p w14:paraId="15192EF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70-80%</w:t>
            </w:r>
          </w:p>
        </w:tc>
      </w:tr>
      <w:tr w:rsidR="00732C76" w:rsidRPr="006670F8" w14:paraId="3A52279C"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8A49124" w14:textId="77777777" w:rsidR="00732C76" w:rsidRPr="006670F8" w:rsidRDefault="00732C76" w:rsidP="00447F21">
            <w:pPr>
              <w:rPr>
                <w:b w:val="0"/>
                <w:bCs w:val="0"/>
                <w:sz w:val="16"/>
                <w:szCs w:val="16"/>
              </w:rPr>
            </w:pPr>
          </w:p>
        </w:tc>
        <w:tc>
          <w:tcPr>
            <w:tcW w:w="0" w:type="auto"/>
            <w:noWrap/>
            <w:hideMark/>
          </w:tcPr>
          <w:p w14:paraId="0C61010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101</w:t>
            </w:r>
          </w:p>
        </w:tc>
        <w:tc>
          <w:tcPr>
            <w:tcW w:w="0" w:type="auto"/>
            <w:noWrap/>
          </w:tcPr>
          <w:p w14:paraId="00721A9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Evaporator electricity</w:t>
            </w:r>
            <w:r>
              <w:rPr>
                <w:b/>
                <w:sz w:val="16"/>
                <w:szCs w:val="16"/>
              </w:rPr>
              <w:t xml:space="preserve"> requirements</w:t>
            </w:r>
          </w:p>
        </w:tc>
        <w:tc>
          <w:tcPr>
            <w:tcW w:w="0" w:type="auto"/>
            <w:noWrap/>
          </w:tcPr>
          <w:p w14:paraId="347264D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MJ</w:t>
            </w:r>
            <w:r>
              <w:rPr>
                <w:sz w:val="16"/>
                <w:szCs w:val="16"/>
                <w:vertAlign w:val="subscript"/>
              </w:rPr>
              <w:t>_heat</w:t>
            </w:r>
          </w:p>
        </w:tc>
        <w:tc>
          <w:tcPr>
            <w:tcW w:w="0" w:type="auto"/>
            <w:noWrap/>
          </w:tcPr>
          <w:p w14:paraId="2393C4C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w:t>
            </w:r>
          </w:p>
        </w:tc>
        <w:tc>
          <w:tcPr>
            <w:tcW w:w="0" w:type="auto"/>
            <w:noWrap/>
          </w:tcPr>
          <w:p w14:paraId="76F1EE5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5-15%</w:t>
            </w:r>
          </w:p>
        </w:tc>
      </w:tr>
      <w:tr w:rsidR="00732C76" w:rsidRPr="006670F8" w14:paraId="505DBBB0"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CC6685B" w14:textId="77777777" w:rsidR="00732C76" w:rsidRPr="006670F8" w:rsidRDefault="00732C76" w:rsidP="00447F21">
            <w:pPr>
              <w:rPr>
                <w:b w:val="0"/>
                <w:bCs w:val="0"/>
                <w:sz w:val="16"/>
                <w:szCs w:val="16"/>
              </w:rPr>
            </w:pPr>
          </w:p>
        </w:tc>
        <w:tc>
          <w:tcPr>
            <w:tcW w:w="0" w:type="auto"/>
            <w:noWrap/>
            <w:hideMark/>
          </w:tcPr>
          <w:p w14:paraId="629E5F5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102</w:t>
            </w:r>
          </w:p>
        </w:tc>
        <w:tc>
          <w:tcPr>
            <w:tcW w:w="0" w:type="auto"/>
            <w:noWrap/>
          </w:tcPr>
          <w:p w14:paraId="70BCAF9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Pr>
                <w:b/>
                <w:sz w:val="16"/>
                <w:szCs w:val="16"/>
              </w:rPr>
              <w:t>Cellulose-rich p</w:t>
            </w:r>
            <w:r w:rsidRPr="006670F8">
              <w:rPr>
                <w:b/>
                <w:sz w:val="16"/>
                <w:szCs w:val="16"/>
              </w:rPr>
              <w:t>ulp loading</w:t>
            </w:r>
            <w:r>
              <w:rPr>
                <w:b/>
                <w:sz w:val="16"/>
                <w:szCs w:val="16"/>
              </w:rPr>
              <w:t xml:space="preserve"> for hydrolysis</w:t>
            </w:r>
          </w:p>
        </w:tc>
        <w:tc>
          <w:tcPr>
            <w:tcW w:w="0" w:type="auto"/>
            <w:noWrap/>
          </w:tcPr>
          <w:p w14:paraId="11A876D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DM</w:t>
            </w:r>
          </w:p>
        </w:tc>
        <w:tc>
          <w:tcPr>
            <w:tcW w:w="0" w:type="auto"/>
            <w:noWrap/>
          </w:tcPr>
          <w:p w14:paraId="06E4DBD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7.6%</w:t>
            </w:r>
          </w:p>
        </w:tc>
        <w:tc>
          <w:tcPr>
            <w:tcW w:w="0" w:type="auto"/>
            <w:noWrap/>
          </w:tcPr>
          <w:p w14:paraId="14D1D17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5-10%</w:t>
            </w:r>
          </w:p>
        </w:tc>
      </w:tr>
      <w:tr w:rsidR="00732C76" w:rsidRPr="006670F8" w14:paraId="69E50052"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6F639A3" w14:textId="77777777" w:rsidR="00732C76" w:rsidRPr="006670F8" w:rsidRDefault="00732C76" w:rsidP="00447F21">
            <w:pPr>
              <w:rPr>
                <w:b w:val="0"/>
                <w:bCs w:val="0"/>
                <w:sz w:val="16"/>
                <w:szCs w:val="16"/>
              </w:rPr>
            </w:pPr>
          </w:p>
        </w:tc>
        <w:tc>
          <w:tcPr>
            <w:tcW w:w="0" w:type="auto"/>
            <w:noWrap/>
            <w:hideMark/>
          </w:tcPr>
          <w:p w14:paraId="1F0DEED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103</w:t>
            </w:r>
          </w:p>
        </w:tc>
        <w:tc>
          <w:tcPr>
            <w:tcW w:w="0" w:type="auto"/>
            <w:noWrap/>
          </w:tcPr>
          <w:p w14:paraId="74918D8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Enzymes loading</w:t>
            </w:r>
            <w:r>
              <w:rPr>
                <w:b/>
                <w:sz w:val="16"/>
                <w:szCs w:val="16"/>
              </w:rPr>
              <w:t xml:space="preserve"> for hydrolysis</w:t>
            </w:r>
          </w:p>
        </w:tc>
        <w:tc>
          <w:tcPr>
            <w:tcW w:w="0" w:type="auto"/>
            <w:noWrap/>
          </w:tcPr>
          <w:p w14:paraId="0EEEFD1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proofErr w:type="gramStart"/>
            <w:r w:rsidRPr="006670F8">
              <w:rPr>
                <w:sz w:val="16"/>
                <w:szCs w:val="16"/>
              </w:rPr>
              <w:t>mg.g</w:t>
            </w:r>
            <w:r w:rsidRPr="006670F8">
              <w:rPr>
                <w:sz w:val="16"/>
                <w:szCs w:val="16"/>
                <w:vertAlign w:val="subscript"/>
              </w:rPr>
              <w:t>cell</w:t>
            </w:r>
            <w:proofErr w:type="gramEnd"/>
            <w:r w:rsidRPr="006670F8">
              <w:rPr>
                <w:sz w:val="16"/>
                <w:szCs w:val="16"/>
                <w:vertAlign w:val="superscript"/>
              </w:rPr>
              <w:t>-1</w:t>
            </w:r>
          </w:p>
        </w:tc>
        <w:tc>
          <w:tcPr>
            <w:tcW w:w="0" w:type="auto"/>
            <w:noWrap/>
          </w:tcPr>
          <w:p w14:paraId="0170F44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15</w:t>
            </w:r>
          </w:p>
        </w:tc>
        <w:tc>
          <w:tcPr>
            <w:tcW w:w="0" w:type="auto"/>
            <w:noWrap/>
          </w:tcPr>
          <w:p w14:paraId="6557870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10-20</w:t>
            </w:r>
          </w:p>
        </w:tc>
      </w:tr>
      <w:tr w:rsidR="00732C76" w:rsidRPr="006670F8" w14:paraId="10F479E4"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14A4619" w14:textId="77777777" w:rsidR="00732C76" w:rsidRPr="006670F8" w:rsidRDefault="00732C76" w:rsidP="00447F21">
            <w:pPr>
              <w:rPr>
                <w:b w:val="0"/>
                <w:bCs w:val="0"/>
                <w:sz w:val="16"/>
                <w:szCs w:val="16"/>
              </w:rPr>
            </w:pPr>
          </w:p>
        </w:tc>
        <w:tc>
          <w:tcPr>
            <w:tcW w:w="0" w:type="auto"/>
            <w:noWrap/>
            <w:hideMark/>
          </w:tcPr>
          <w:p w14:paraId="696FEDA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104</w:t>
            </w:r>
          </w:p>
        </w:tc>
        <w:tc>
          <w:tcPr>
            <w:tcW w:w="0" w:type="auto"/>
            <w:noWrap/>
          </w:tcPr>
          <w:p w14:paraId="05FDA8F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Glucose yield</w:t>
            </w:r>
          </w:p>
        </w:tc>
        <w:tc>
          <w:tcPr>
            <w:tcW w:w="0" w:type="auto"/>
            <w:noWrap/>
          </w:tcPr>
          <w:p w14:paraId="6F48D30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cell</w:t>
            </w:r>
          </w:p>
        </w:tc>
        <w:tc>
          <w:tcPr>
            <w:tcW w:w="0" w:type="auto"/>
            <w:noWrap/>
          </w:tcPr>
          <w:p w14:paraId="57D429E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80%</w:t>
            </w:r>
          </w:p>
        </w:tc>
        <w:tc>
          <w:tcPr>
            <w:tcW w:w="0" w:type="auto"/>
            <w:noWrap/>
          </w:tcPr>
          <w:p w14:paraId="0157661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50-96%</w:t>
            </w:r>
          </w:p>
        </w:tc>
      </w:tr>
      <w:tr w:rsidR="00732C76" w:rsidRPr="006670F8" w14:paraId="79E5A52C"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DF4EB23" w14:textId="77777777" w:rsidR="00732C76" w:rsidRPr="006670F8" w:rsidRDefault="00732C76" w:rsidP="00447F21">
            <w:pPr>
              <w:rPr>
                <w:b w:val="0"/>
                <w:bCs w:val="0"/>
                <w:sz w:val="16"/>
                <w:szCs w:val="16"/>
              </w:rPr>
            </w:pPr>
          </w:p>
        </w:tc>
        <w:tc>
          <w:tcPr>
            <w:tcW w:w="0" w:type="auto"/>
            <w:noWrap/>
            <w:hideMark/>
          </w:tcPr>
          <w:p w14:paraId="07ED4B6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105</w:t>
            </w:r>
          </w:p>
        </w:tc>
        <w:tc>
          <w:tcPr>
            <w:tcW w:w="0" w:type="auto"/>
            <w:noWrap/>
          </w:tcPr>
          <w:p w14:paraId="3571D07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C</w:t>
            </w:r>
            <w:r w:rsidRPr="006670F8">
              <w:rPr>
                <w:b/>
                <w:sz w:val="16"/>
                <w:szCs w:val="16"/>
                <w:vertAlign w:val="subscript"/>
              </w:rPr>
              <w:t>5</w:t>
            </w:r>
            <w:r w:rsidRPr="006670F8">
              <w:rPr>
                <w:b/>
                <w:sz w:val="16"/>
                <w:szCs w:val="16"/>
              </w:rPr>
              <w:t xml:space="preserve"> sugars yield</w:t>
            </w:r>
          </w:p>
        </w:tc>
        <w:tc>
          <w:tcPr>
            <w:tcW w:w="0" w:type="auto"/>
            <w:noWrap/>
          </w:tcPr>
          <w:p w14:paraId="6A586AD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hemi</w:t>
            </w:r>
          </w:p>
        </w:tc>
        <w:tc>
          <w:tcPr>
            <w:tcW w:w="0" w:type="auto"/>
            <w:noWrap/>
          </w:tcPr>
          <w:p w14:paraId="5D06D1C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80%</w:t>
            </w:r>
          </w:p>
        </w:tc>
        <w:tc>
          <w:tcPr>
            <w:tcW w:w="0" w:type="auto"/>
            <w:noWrap/>
          </w:tcPr>
          <w:p w14:paraId="69ABABA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50-99%</w:t>
            </w:r>
          </w:p>
        </w:tc>
      </w:tr>
      <w:tr w:rsidR="00732C76" w:rsidRPr="006670F8" w14:paraId="2EFBD854"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9FE71F5" w14:textId="77777777" w:rsidR="00732C76" w:rsidRPr="006670F8" w:rsidRDefault="00732C76" w:rsidP="00447F21">
            <w:pPr>
              <w:rPr>
                <w:b w:val="0"/>
                <w:bCs w:val="0"/>
                <w:sz w:val="16"/>
                <w:szCs w:val="16"/>
              </w:rPr>
            </w:pPr>
          </w:p>
        </w:tc>
        <w:tc>
          <w:tcPr>
            <w:tcW w:w="0" w:type="auto"/>
            <w:noWrap/>
            <w:hideMark/>
          </w:tcPr>
          <w:p w14:paraId="3166B04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106</w:t>
            </w:r>
          </w:p>
        </w:tc>
        <w:tc>
          <w:tcPr>
            <w:tcW w:w="0" w:type="auto"/>
            <w:noWrap/>
          </w:tcPr>
          <w:p w14:paraId="4B85596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Hydrolysate final concentration</w:t>
            </w:r>
          </w:p>
        </w:tc>
        <w:tc>
          <w:tcPr>
            <w:tcW w:w="0" w:type="auto"/>
            <w:noWrap/>
          </w:tcPr>
          <w:p w14:paraId="55C3947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DM</w:t>
            </w:r>
          </w:p>
        </w:tc>
        <w:tc>
          <w:tcPr>
            <w:tcW w:w="0" w:type="auto"/>
            <w:noWrap/>
          </w:tcPr>
          <w:p w14:paraId="4B228C9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10%</w:t>
            </w:r>
          </w:p>
        </w:tc>
        <w:tc>
          <w:tcPr>
            <w:tcW w:w="0" w:type="auto"/>
            <w:noWrap/>
          </w:tcPr>
          <w:p w14:paraId="0778590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5-16%</w:t>
            </w:r>
          </w:p>
        </w:tc>
      </w:tr>
      <w:tr w:rsidR="00732C76" w:rsidRPr="006670F8" w14:paraId="4F014E2D"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EA6DB3F" w14:textId="77777777" w:rsidR="00732C76" w:rsidRPr="006670F8" w:rsidRDefault="00732C76" w:rsidP="00447F21">
            <w:pPr>
              <w:rPr>
                <w:b w:val="0"/>
                <w:bCs w:val="0"/>
                <w:sz w:val="16"/>
                <w:szCs w:val="16"/>
              </w:rPr>
            </w:pPr>
          </w:p>
        </w:tc>
        <w:tc>
          <w:tcPr>
            <w:tcW w:w="0" w:type="auto"/>
            <w:noWrap/>
            <w:hideMark/>
          </w:tcPr>
          <w:p w14:paraId="3235B35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107</w:t>
            </w:r>
          </w:p>
        </w:tc>
        <w:tc>
          <w:tcPr>
            <w:tcW w:w="0" w:type="auto"/>
            <w:noWrap/>
          </w:tcPr>
          <w:p w14:paraId="512EC87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Enzyme production</w:t>
            </w:r>
          </w:p>
        </w:tc>
        <w:tc>
          <w:tcPr>
            <w:tcW w:w="0" w:type="auto"/>
            <w:noWrap/>
          </w:tcPr>
          <w:p w14:paraId="0ACD09E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proofErr w:type="gramStart"/>
            <w:r w:rsidRPr="006670F8">
              <w:rPr>
                <w:sz w:val="16"/>
                <w:szCs w:val="16"/>
              </w:rPr>
              <w:t>kg.kg</w:t>
            </w:r>
            <w:r w:rsidRPr="006670F8">
              <w:rPr>
                <w:sz w:val="16"/>
                <w:szCs w:val="16"/>
                <w:vertAlign w:val="subscript"/>
              </w:rPr>
              <w:t>sugar</w:t>
            </w:r>
            <w:proofErr w:type="gramEnd"/>
            <w:r w:rsidRPr="006670F8">
              <w:rPr>
                <w:sz w:val="16"/>
                <w:szCs w:val="16"/>
                <w:vertAlign w:val="superscript"/>
              </w:rPr>
              <w:t>-1</w:t>
            </w:r>
          </w:p>
        </w:tc>
        <w:tc>
          <w:tcPr>
            <w:tcW w:w="0" w:type="auto"/>
            <w:noWrap/>
          </w:tcPr>
          <w:p w14:paraId="7701646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0.24</w:t>
            </w:r>
          </w:p>
        </w:tc>
        <w:tc>
          <w:tcPr>
            <w:tcW w:w="0" w:type="auto"/>
            <w:noWrap/>
          </w:tcPr>
          <w:p w14:paraId="0B7628A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0.2-0.28</w:t>
            </w:r>
          </w:p>
        </w:tc>
      </w:tr>
      <w:tr w:rsidR="00732C76" w:rsidRPr="006670F8" w14:paraId="456846E7"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020FC34" w14:textId="77777777" w:rsidR="00732C76" w:rsidRPr="006670F8" w:rsidRDefault="00732C76" w:rsidP="00447F21">
            <w:pPr>
              <w:rPr>
                <w:b w:val="0"/>
                <w:bCs w:val="0"/>
                <w:sz w:val="16"/>
                <w:szCs w:val="16"/>
              </w:rPr>
            </w:pPr>
          </w:p>
        </w:tc>
        <w:tc>
          <w:tcPr>
            <w:tcW w:w="0" w:type="auto"/>
            <w:noWrap/>
            <w:hideMark/>
          </w:tcPr>
          <w:p w14:paraId="0C7800E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108</w:t>
            </w:r>
          </w:p>
        </w:tc>
        <w:tc>
          <w:tcPr>
            <w:tcW w:w="0" w:type="auto"/>
            <w:noWrap/>
          </w:tcPr>
          <w:p w14:paraId="72C85A1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Starch product loading</w:t>
            </w:r>
            <w:r>
              <w:rPr>
                <w:b/>
                <w:sz w:val="16"/>
                <w:szCs w:val="16"/>
              </w:rPr>
              <w:t xml:space="preserve"> for hydrolysis</w:t>
            </w:r>
          </w:p>
        </w:tc>
        <w:tc>
          <w:tcPr>
            <w:tcW w:w="0" w:type="auto"/>
            <w:noWrap/>
          </w:tcPr>
          <w:p w14:paraId="0B3606D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DM</w:t>
            </w:r>
          </w:p>
        </w:tc>
        <w:tc>
          <w:tcPr>
            <w:tcW w:w="0" w:type="auto"/>
            <w:noWrap/>
          </w:tcPr>
          <w:p w14:paraId="32B0F11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10%</w:t>
            </w:r>
          </w:p>
        </w:tc>
        <w:tc>
          <w:tcPr>
            <w:tcW w:w="0" w:type="auto"/>
            <w:noWrap/>
          </w:tcPr>
          <w:p w14:paraId="491F00A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5-20%</w:t>
            </w:r>
          </w:p>
        </w:tc>
      </w:tr>
      <w:tr w:rsidR="00732C76" w:rsidRPr="006670F8" w14:paraId="684BF9C8"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C74F604" w14:textId="77777777" w:rsidR="00732C76" w:rsidRPr="006670F8" w:rsidRDefault="00732C76" w:rsidP="00447F21">
            <w:pPr>
              <w:rPr>
                <w:b w:val="0"/>
                <w:bCs w:val="0"/>
                <w:sz w:val="16"/>
                <w:szCs w:val="16"/>
              </w:rPr>
            </w:pPr>
          </w:p>
        </w:tc>
        <w:tc>
          <w:tcPr>
            <w:tcW w:w="0" w:type="auto"/>
            <w:noWrap/>
            <w:hideMark/>
          </w:tcPr>
          <w:p w14:paraId="3E0ED91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109</w:t>
            </w:r>
          </w:p>
        </w:tc>
        <w:tc>
          <w:tcPr>
            <w:tcW w:w="0" w:type="auto"/>
            <w:noWrap/>
          </w:tcPr>
          <w:p w14:paraId="5AAAEE7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Amylases loading</w:t>
            </w:r>
            <w:r>
              <w:rPr>
                <w:b/>
                <w:sz w:val="16"/>
                <w:szCs w:val="16"/>
              </w:rPr>
              <w:t xml:space="preserve"> for hydrolysis</w:t>
            </w:r>
          </w:p>
        </w:tc>
        <w:tc>
          <w:tcPr>
            <w:tcW w:w="0" w:type="auto"/>
            <w:noWrap/>
          </w:tcPr>
          <w:p w14:paraId="6A8B446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proofErr w:type="gramStart"/>
            <w:r w:rsidRPr="006670F8">
              <w:rPr>
                <w:sz w:val="16"/>
                <w:szCs w:val="16"/>
              </w:rPr>
              <w:t>mg.g</w:t>
            </w:r>
            <w:r w:rsidRPr="006670F8">
              <w:rPr>
                <w:sz w:val="16"/>
                <w:szCs w:val="16"/>
                <w:vertAlign w:val="subscript"/>
              </w:rPr>
              <w:t>starch</w:t>
            </w:r>
            <w:proofErr w:type="gramEnd"/>
            <w:r w:rsidRPr="006670F8">
              <w:rPr>
                <w:sz w:val="16"/>
                <w:szCs w:val="16"/>
                <w:vertAlign w:val="superscript"/>
              </w:rPr>
              <w:t>-1</w:t>
            </w:r>
          </w:p>
        </w:tc>
        <w:tc>
          <w:tcPr>
            <w:tcW w:w="0" w:type="auto"/>
            <w:noWrap/>
          </w:tcPr>
          <w:p w14:paraId="7BCB7F2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0.44</w:t>
            </w:r>
          </w:p>
        </w:tc>
        <w:tc>
          <w:tcPr>
            <w:tcW w:w="0" w:type="auto"/>
            <w:noWrap/>
          </w:tcPr>
          <w:p w14:paraId="48D9D84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0.4-1</w:t>
            </w:r>
          </w:p>
        </w:tc>
      </w:tr>
      <w:tr w:rsidR="00732C76" w:rsidRPr="006670F8" w14:paraId="517C96C9"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5BA5881" w14:textId="77777777" w:rsidR="00732C76" w:rsidRPr="006670F8" w:rsidRDefault="00732C76" w:rsidP="00447F21">
            <w:pPr>
              <w:rPr>
                <w:b w:val="0"/>
                <w:bCs w:val="0"/>
                <w:sz w:val="16"/>
                <w:szCs w:val="16"/>
              </w:rPr>
            </w:pPr>
          </w:p>
        </w:tc>
        <w:tc>
          <w:tcPr>
            <w:tcW w:w="0" w:type="auto"/>
            <w:noWrap/>
            <w:hideMark/>
          </w:tcPr>
          <w:p w14:paraId="18E2277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110</w:t>
            </w:r>
          </w:p>
        </w:tc>
        <w:tc>
          <w:tcPr>
            <w:tcW w:w="0" w:type="auto"/>
            <w:noWrap/>
          </w:tcPr>
          <w:p w14:paraId="371057C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Starch-</w:t>
            </w:r>
            <w:r>
              <w:rPr>
                <w:b/>
                <w:sz w:val="16"/>
                <w:szCs w:val="16"/>
              </w:rPr>
              <w:t xml:space="preserve">based </w:t>
            </w:r>
            <w:r w:rsidRPr="006670F8">
              <w:rPr>
                <w:b/>
                <w:sz w:val="16"/>
                <w:szCs w:val="16"/>
              </w:rPr>
              <w:t>glucose yield</w:t>
            </w:r>
          </w:p>
        </w:tc>
        <w:tc>
          <w:tcPr>
            <w:tcW w:w="0" w:type="auto"/>
            <w:noWrap/>
          </w:tcPr>
          <w:p w14:paraId="0903F71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CD569D">
              <w:rPr>
                <w:sz w:val="16"/>
                <w:szCs w:val="16"/>
                <w:vertAlign w:val="subscript"/>
              </w:rPr>
              <w:t>sugars</w:t>
            </w:r>
          </w:p>
        </w:tc>
        <w:tc>
          <w:tcPr>
            <w:tcW w:w="0" w:type="auto"/>
            <w:noWrap/>
          </w:tcPr>
          <w:p w14:paraId="782BBF2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95%</w:t>
            </w:r>
          </w:p>
        </w:tc>
        <w:tc>
          <w:tcPr>
            <w:tcW w:w="0" w:type="auto"/>
            <w:noWrap/>
          </w:tcPr>
          <w:p w14:paraId="4150BD5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90-99%</w:t>
            </w:r>
          </w:p>
        </w:tc>
      </w:tr>
      <w:tr w:rsidR="00732C76" w:rsidRPr="006670F8" w14:paraId="69F21825"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3B1713D" w14:textId="77777777" w:rsidR="00732C76" w:rsidRPr="006670F8" w:rsidRDefault="00732C76" w:rsidP="00447F21">
            <w:pPr>
              <w:rPr>
                <w:b w:val="0"/>
                <w:bCs w:val="0"/>
                <w:sz w:val="16"/>
                <w:szCs w:val="16"/>
              </w:rPr>
            </w:pPr>
          </w:p>
        </w:tc>
        <w:tc>
          <w:tcPr>
            <w:tcW w:w="0" w:type="auto"/>
            <w:noWrap/>
            <w:hideMark/>
          </w:tcPr>
          <w:p w14:paraId="3952114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111</w:t>
            </w:r>
          </w:p>
        </w:tc>
        <w:tc>
          <w:tcPr>
            <w:tcW w:w="0" w:type="auto"/>
            <w:noWrap/>
          </w:tcPr>
          <w:p w14:paraId="1C6E45D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Sugars use efficiency</w:t>
            </w:r>
          </w:p>
        </w:tc>
        <w:tc>
          <w:tcPr>
            <w:tcW w:w="0" w:type="auto"/>
            <w:noWrap/>
          </w:tcPr>
          <w:p w14:paraId="4D78EEB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in</w:t>
            </w:r>
          </w:p>
        </w:tc>
        <w:tc>
          <w:tcPr>
            <w:tcW w:w="0" w:type="auto"/>
            <w:noWrap/>
          </w:tcPr>
          <w:p w14:paraId="3369C3A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95%</w:t>
            </w:r>
          </w:p>
        </w:tc>
        <w:tc>
          <w:tcPr>
            <w:tcW w:w="0" w:type="auto"/>
            <w:noWrap/>
          </w:tcPr>
          <w:p w14:paraId="7B82F4B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90-99%</w:t>
            </w:r>
          </w:p>
        </w:tc>
      </w:tr>
      <w:tr w:rsidR="00732C76" w:rsidRPr="006670F8" w14:paraId="0463E626"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7952860" w14:textId="77777777" w:rsidR="00732C76" w:rsidRPr="006670F8" w:rsidRDefault="00732C76" w:rsidP="00447F21">
            <w:pPr>
              <w:rPr>
                <w:b w:val="0"/>
                <w:bCs w:val="0"/>
                <w:sz w:val="16"/>
                <w:szCs w:val="16"/>
              </w:rPr>
            </w:pPr>
          </w:p>
        </w:tc>
        <w:tc>
          <w:tcPr>
            <w:tcW w:w="0" w:type="auto"/>
            <w:noWrap/>
            <w:hideMark/>
          </w:tcPr>
          <w:p w14:paraId="003A91B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112</w:t>
            </w:r>
          </w:p>
        </w:tc>
        <w:tc>
          <w:tcPr>
            <w:tcW w:w="0" w:type="auto"/>
            <w:noWrap/>
          </w:tcPr>
          <w:p w14:paraId="61F3EA3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Myco C</w:t>
            </w:r>
            <w:r w:rsidRPr="006670F8">
              <w:rPr>
                <w:b/>
                <w:sz w:val="16"/>
                <w:szCs w:val="16"/>
                <w:vertAlign w:val="subscript"/>
              </w:rPr>
              <w:t>6</w:t>
            </w:r>
            <w:r w:rsidRPr="006670F8">
              <w:rPr>
                <w:b/>
                <w:sz w:val="16"/>
                <w:szCs w:val="16"/>
              </w:rPr>
              <w:t xml:space="preserve"> yield</w:t>
            </w:r>
          </w:p>
        </w:tc>
        <w:tc>
          <w:tcPr>
            <w:tcW w:w="0" w:type="auto"/>
            <w:noWrap/>
          </w:tcPr>
          <w:p w14:paraId="656D6C0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proofErr w:type="gramStart"/>
            <w:r w:rsidRPr="006670F8">
              <w:rPr>
                <w:color w:val="000000"/>
                <w:sz w:val="16"/>
                <w:szCs w:val="16"/>
              </w:rPr>
              <w:t>g</w:t>
            </w:r>
            <w:r w:rsidRPr="006670F8">
              <w:rPr>
                <w:color w:val="000000"/>
                <w:sz w:val="16"/>
                <w:szCs w:val="16"/>
                <w:vertAlign w:val="subscript"/>
              </w:rPr>
              <w:t>X</w:t>
            </w:r>
            <w:r w:rsidRPr="006670F8">
              <w:rPr>
                <w:color w:val="000000"/>
                <w:sz w:val="16"/>
                <w:szCs w:val="16"/>
              </w:rPr>
              <w:t>.g</w:t>
            </w:r>
            <w:r w:rsidRPr="006670F8">
              <w:rPr>
                <w:color w:val="000000"/>
                <w:sz w:val="16"/>
                <w:szCs w:val="16"/>
                <w:vertAlign w:val="subscript"/>
              </w:rPr>
              <w:t>S</w:t>
            </w:r>
            <w:proofErr w:type="gramEnd"/>
            <w:r w:rsidRPr="006670F8">
              <w:rPr>
                <w:color w:val="000000"/>
                <w:sz w:val="16"/>
                <w:szCs w:val="16"/>
                <w:vertAlign w:val="superscript"/>
              </w:rPr>
              <w:t>-1</w:t>
            </w:r>
          </w:p>
        </w:tc>
        <w:tc>
          <w:tcPr>
            <w:tcW w:w="0" w:type="auto"/>
            <w:noWrap/>
          </w:tcPr>
          <w:p w14:paraId="31D5BF7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0.29</w:t>
            </w:r>
          </w:p>
        </w:tc>
        <w:tc>
          <w:tcPr>
            <w:tcW w:w="0" w:type="auto"/>
            <w:noWrap/>
          </w:tcPr>
          <w:p w14:paraId="701F85F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0.26-0.36</w:t>
            </w:r>
          </w:p>
        </w:tc>
      </w:tr>
      <w:tr w:rsidR="00732C76" w:rsidRPr="006670F8" w14:paraId="56D80B57"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780EBF1" w14:textId="77777777" w:rsidR="00732C76" w:rsidRPr="006670F8" w:rsidRDefault="00732C76" w:rsidP="00447F21">
            <w:pPr>
              <w:rPr>
                <w:b w:val="0"/>
                <w:bCs w:val="0"/>
                <w:sz w:val="16"/>
                <w:szCs w:val="16"/>
              </w:rPr>
            </w:pPr>
          </w:p>
        </w:tc>
        <w:tc>
          <w:tcPr>
            <w:tcW w:w="0" w:type="auto"/>
            <w:noWrap/>
            <w:hideMark/>
          </w:tcPr>
          <w:p w14:paraId="77E82F8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113</w:t>
            </w:r>
          </w:p>
        </w:tc>
        <w:tc>
          <w:tcPr>
            <w:tcW w:w="0" w:type="auto"/>
            <w:noWrap/>
          </w:tcPr>
          <w:p w14:paraId="21732F1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Myco C</w:t>
            </w:r>
            <w:r w:rsidRPr="006670F8">
              <w:rPr>
                <w:b/>
                <w:sz w:val="16"/>
                <w:szCs w:val="16"/>
                <w:vertAlign w:val="subscript"/>
              </w:rPr>
              <w:t>5</w:t>
            </w:r>
            <w:r w:rsidRPr="006670F8">
              <w:rPr>
                <w:b/>
                <w:sz w:val="16"/>
                <w:szCs w:val="16"/>
              </w:rPr>
              <w:t xml:space="preserve"> yield</w:t>
            </w:r>
          </w:p>
        </w:tc>
        <w:tc>
          <w:tcPr>
            <w:tcW w:w="0" w:type="auto"/>
            <w:noWrap/>
          </w:tcPr>
          <w:p w14:paraId="5AE3883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proofErr w:type="gramStart"/>
            <w:r w:rsidRPr="006670F8">
              <w:rPr>
                <w:color w:val="000000"/>
                <w:sz w:val="16"/>
                <w:szCs w:val="16"/>
              </w:rPr>
              <w:t>g</w:t>
            </w:r>
            <w:r w:rsidRPr="006670F8">
              <w:rPr>
                <w:color w:val="000000"/>
                <w:sz w:val="16"/>
                <w:szCs w:val="16"/>
                <w:vertAlign w:val="subscript"/>
              </w:rPr>
              <w:t>X</w:t>
            </w:r>
            <w:r w:rsidRPr="006670F8">
              <w:rPr>
                <w:color w:val="000000"/>
                <w:sz w:val="16"/>
                <w:szCs w:val="16"/>
              </w:rPr>
              <w:t>.g</w:t>
            </w:r>
            <w:r w:rsidRPr="006670F8">
              <w:rPr>
                <w:color w:val="000000"/>
                <w:sz w:val="16"/>
                <w:szCs w:val="16"/>
                <w:vertAlign w:val="subscript"/>
              </w:rPr>
              <w:t>S</w:t>
            </w:r>
            <w:proofErr w:type="gramEnd"/>
            <w:r w:rsidRPr="006670F8">
              <w:rPr>
                <w:color w:val="000000"/>
                <w:sz w:val="16"/>
                <w:szCs w:val="16"/>
                <w:vertAlign w:val="superscript"/>
              </w:rPr>
              <w:t>-1</w:t>
            </w:r>
          </w:p>
        </w:tc>
        <w:tc>
          <w:tcPr>
            <w:tcW w:w="0" w:type="auto"/>
            <w:noWrap/>
          </w:tcPr>
          <w:p w14:paraId="65ED523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0.29</w:t>
            </w:r>
          </w:p>
        </w:tc>
        <w:tc>
          <w:tcPr>
            <w:tcW w:w="0" w:type="auto"/>
            <w:noWrap/>
          </w:tcPr>
          <w:p w14:paraId="5C76DBB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0-0.30</w:t>
            </w:r>
          </w:p>
        </w:tc>
      </w:tr>
      <w:tr w:rsidR="00732C76" w:rsidRPr="006670F8" w14:paraId="469F00D7"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937FF38" w14:textId="77777777" w:rsidR="00732C76" w:rsidRPr="006670F8" w:rsidRDefault="00732C76" w:rsidP="00447F21">
            <w:pPr>
              <w:rPr>
                <w:b w:val="0"/>
                <w:bCs w:val="0"/>
                <w:sz w:val="16"/>
                <w:szCs w:val="16"/>
              </w:rPr>
            </w:pPr>
          </w:p>
        </w:tc>
        <w:tc>
          <w:tcPr>
            <w:tcW w:w="0" w:type="auto"/>
            <w:noWrap/>
            <w:hideMark/>
          </w:tcPr>
          <w:p w14:paraId="3446CF6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114</w:t>
            </w:r>
          </w:p>
        </w:tc>
        <w:tc>
          <w:tcPr>
            <w:tcW w:w="0" w:type="auto"/>
            <w:noWrap/>
          </w:tcPr>
          <w:p w14:paraId="1B90586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Myco biomass concentration</w:t>
            </w:r>
          </w:p>
        </w:tc>
        <w:tc>
          <w:tcPr>
            <w:tcW w:w="0" w:type="auto"/>
            <w:noWrap/>
          </w:tcPr>
          <w:p w14:paraId="0B9C05B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proofErr w:type="gramStart"/>
            <w:r w:rsidRPr="006670F8">
              <w:rPr>
                <w:color w:val="000000"/>
                <w:sz w:val="16"/>
                <w:szCs w:val="16"/>
              </w:rPr>
              <w:t>g</w:t>
            </w:r>
            <w:r w:rsidRPr="006670F8">
              <w:rPr>
                <w:color w:val="000000"/>
                <w:sz w:val="16"/>
                <w:szCs w:val="16"/>
                <w:vertAlign w:val="subscript"/>
              </w:rPr>
              <w:t>X</w:t>
            </w:r>
            <w:r w:rsidRPr="006670F8">
              <w:rPr>
                <w:color w:val="000000"/>
                <w:sz w:val="16"/>
                <w:szCs w:val="16"/>
              </w:rPr>
              <w:t>.L</w:t>
            </w:r>
            <w:r>
              <w:rPr>
                <w:color w:val="000000"/>
                <w:sz w:val="16"/>
                <w:szCs w:val="16"/>
                <w:vertAlign w:val="subscript"/>
              </w:rPr>
              <w:t>broth</w:t>
            </w:r>
            <w:proofErr w:type="gramEnd"/>
            <w:r w:rsidRPr="006670F8">
              <w:rPr>
                <w:color w:val="000000"/>
                <w:sz w:val="16"/>
                <w:szCs w:val="16"/>
                <w:vertAlign w:val="superscript"/>
              </w:rPr>
              <w:t>-1</w:t>
            </w:r>
          </w:p>
        </w:tc>
        <w:tc>
          <w:tcPr>
            <w:tcW w:w="0" w:type="auto"/>
            <w:noWrap/>
          </w:tcPr>
          <w:p w14:paraId="7B93197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30</w:t>
            </w:r>
          </w:p>
        </w:tc>
        <w:tc>
          <w:tcPr>
            <w:tcW w:w="0" w:type="auto"/>
            <w:noWrap/>
          </w:tcPr>
          <w:p w14:paraId="5544AC9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20-40</w:t>
            </w:r>
          </w:p>
        </w:tc>
      </w:tr>
      <w:tr w:rsidR="00732C76" w:rsidRPr="006670F8" w14:paraId="57BE2516"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CF010F8" w14:textId="77777777" w:rsidR="00732C76" w:rsidRPr="006670F8" w:rsidRDefault="00732C76" w:rsidP="00447F21">
            <w:pPr>
              <w:rPr>
                <w:b w:val="0"/>
                <w:bCs w:val="0"/>
                <w:sz w:val="16"/>
                <w:szCs w:val="16"/>
              </w:rPr>
            </w:pPr>
          </w:p>
        </w:tc>
        <w:tc>
          <w:tcPr>
            <w:tcW w:w="0" w:type="auto"/>
            <w:noWrap/>
            <w:hideMark/>
          </w:tcPr>
          <w:p w14:paraId="00C7E44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115</w:t>
            </w:r>
          </w:p>
        </w:tc>
        <w:tc>
          <w:tcPr>
            <w:tcW w:w="0" w:type="auto"/>
            <w:noWrap/>
          </w:tcPr>
          <w:p w14:paraId="0F8CED4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Myco dilution rate</w:t>
            </w:r>
          </w:p>
        </w:tc>
        <w:tc>
          <w:tcPr>
            <w:tcW w:w="0" w:type="auto"/>
            <w:noWrap/>
          </w:tcPr>
          <w:p w14:paraId="2C7892B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color w:val="000000"/>
                <w:sz w:val="16"/>
                <w:szCs w:val="16"/>
              </w:rPr>
              <w:t>h</w:t>
            </w:r>
            <w:r>
              <w:rPr>
                <w:color w:val="000000"/>
                <w:sz w:val="16"/>
                <w:szCs w:val="16"/>
              </w:rPr>
              <w:t>our</w:t>
            </w:r>
            <w:r w:rsidRPr="006670F8">
              <w:rPr>
                <w:color w:val="000000"/>
                <w:sz w:val="16"/>
                <w:szCs w:val="16"/>
                <w:vertAlign w:val="superscript"/>
              </w:rPr>
              <w:t>-1</w:t>
            </w:r>
          </w:p>
        </w:tc>
        <w:tc>
          <w:tcPr>
            <w:tcW w:w="0" w:type="auto"/>
            <w:noWrap/>
          </w:tcPr>
          <w:p w14:paraId="28A06EF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0.2</w:t>
            </w:r>
          </w:p>
        </w:tc>
        <w:tc>
          <w:tcPr>
            <w:tcW w:w="0" w:type="auto"/>
            <w:noWrap/>
          </w:tcPr>
          <w:p w14:paraId="2DCE206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0.17-0.25</w:t>
            </w:r>
          </w:p>
        </w:tc>
      </w:tr>
      <w:tr w:rsidR="00732C76" w:rsidRPr="006670F8" w14:paraId="5F17AE5F"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4A1A362" w14:textId="77777777" w:rsidR="00732C76" w:rsidRPr="006670F8" w:rsidRDefault="00732C76" w:rsidP="00447F21">
            <w:pPr>
              <w:rPr>
                <w:b w:val="0"/>
                <w:bCs w:val="0"/>
                <w:sz w:val="16"/>
                <w:szCs w:val="16"/>
              </w:rPr>
            </w:pPr>
          </w:p>
        </w:tc>
        <w:tc>
          <w:tcPr>
            <w:tcW w:w="0" w:type="auto"/>
            <w:noWrap/>
            <w:hideMark/>
          </w:tcPr>
          <w:p w14:paraId="3805B56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116</w:t>
            </w:r>
          </w:p>
        </w:tc>
        <w:tc>
          <w:tcPr>
            <w:tcW w:w="0" w:type="auto"/>
            <w:noWrap/>
          </w:tcPr>
          <w:p w14:paraId="4E0DF3B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Myco gas use efficiency</w:t>
            </w:r>
          </w:p>
        </w:tc>
        <w:tc>
          <w:tcPr>
            <w:tcW w:w="0" w:type="auto"/>
            <w:noWrap/>
          </w:tcPr>
          <w:p w14:paraId="084C44A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in</w:t>
            </w:r>
          </w:p>
        </w:tc>
        <w:tc>
          <w:tcPr>
            <w:tcW w:w="0" w:type="auto"/>
            <w:noWrap/>
          </w:tcPr>
          <w:p w14:paraId="70F337F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90%</w:t>
            </w:r>
          </w:p>
        </w:tc>
        <w:tc>
          <w:tcPr>
            <w:tcW w:w="0" w:type="auto"/>
            <w:noWrap/>
          </w:tcPr>
          <w:p w14:paraId="3DB836B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80-92%</w:t>
            </w:r>
          </w:p>
        </w:tc>
      </w:tr>
      <w:tr w:rsidR="00732C76" w:rsidRPr="006670F8" w14:paraId="3544DD80"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A894C94" w14:textId="77777777" w:rsidR="00732C76" w:rsidRPr="006670F8" w:rsidRDefault="00732C76" w:rsidP="00447F21">
            <w:pPr>
              <w:rPr>
                <w:b w:val="0"/>
                <w:bCs w:val="0"/>
                <w:sz w:val="16"/>
                <w:szCs w:val="16"/>
              </w:rPr>
            </w:pPr>
          </w:p>
        </w:tc>
        <w:tc>
          <w:tcPr>
            <w:tcW w:w="0" w:type="auto"/>
            <w:noWrap/>
            <w:hideMark/>
          </w:tcPr>
          <w:p w14:paraId="704B89F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117</w:t>
            </w:r>
          </w:p>
        </w:tc>
        <w:tc>
          <w:tcPr>
            <w:tcW w:w="0" w:type="auto"/>
            <w:noWrap/>
          </w:tcPr>
          <w:p w14:paraId="1CF92F3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Metabolic heat</w:t>
            </w:r>
          </w:p>
        </w:tc>
        <w:tc>
          <w:tcPr>
            <w:tcW w:w="0" w:type="auto"/>
            <w:noWrap/>
          </w:tcPr>
          <w:p w14:paraId="1E94F9F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proofErr w:type="gramStart"/>
            <w:r w:rsidRPr="006670F8">
              <w:rPr>
                <w:color w:val="000000"/>
                <w:sz w:val="16"/>
                <w:szCs w:val="16"/>
              </w:rPr>
              <w:t>kJ.molC</w:t>
            </w:r>
            <w:r w:rsidRPr="006670F8">
              <w:rPr>
                <w:color w:val="000000"/>
                <w:sz w:val="16"/>
                <w:szCs w:val="16"/>
                <w:vertAlign w:val="subscript"/>
              </w:rPr>
              <w:t>X</w:t>
            </w:r>
            <w:proofErr w:type="gramEnd"/>
            <w:r w:rsidRPr="006670F8">
              <w:rPr>
                <w:color w:val="000000"/>
                <w:sz w:val="16"/>
                <w:szCs w:val="16"/>
                <w:vertAlign w:val="superscript"/>
              </w:rPr>
              <w:t>-1</w:t>
            </w:r>
          </w:p>
        </w:tc>
        <w:tc>
          <w:tcPr>
            <w:tcW w:w="0" w:type="auto"/>
            <w:noWrap/>
          </w:tcPr>
          <w:p w14:paraId="5446604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250</w:t>
            </w:r>
          </w:p>
        </w:tc>
        <w:tc>
          <w:tcPr>
            <w:tcW w:w="0" w:type="auto"/>
            <w:noWrap/>
          </w:tcPr>
          <w:p w14:paraId="2AE8850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160-332</w:t>
            </w:r>
          </w:p>
        </w:tc>
      </w:tr>
      <w:tr w:rsidR="00732C76" w:rsidRPr="006670F8" w14:paraId="336080F7"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DF23D8F" w14:textId="77777777" w:rsidR="00732C76" w:rsidRPr="006670F8" w:rsidRDefault="00732C76" w:rsidP="00447F21">
            <w:pPr>
              <w:rPr>
                <w:b w:val="0"/>
                <w:bCs w:val="0"/>
                <w:sz w:val="16"/>
                <w:szCs w:val="16"/>
              </w:rPr>
            </w:pPr>
          </w:p>
        </w:tc>
        <w:tc>
          <w:tcPr>
            <w:tcW w:w="0" w:type="auto"/>
            <w:noWrap/>
            <w:hideMark/>
          </w:tcPr>
          <w:p w14:paraId="41306A6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118</w:t>
            </w:r>
          </w:p>
        </w:tc>
        <w:tc>
          <w:tcPr>
            <w:tcW w:w="0" w:type="auto"/>
            <w:noWrap/>
          </w:tcPr>
          <w:p w14:paraId="796F720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 xml:space="preserve">Myco </w:t>
            </w:r>
            <w:r>
              <w:rPr>
                <w:b/>
                <w:sz w:val="16"/>
                <w:szCs w:val="16"/>
              </w:rPr>
              <w:t>cleaning in place (</w:t>
            </w:r>
            <w:r w:rsidRPr="006670F8">
              <w:rPr>
                <w:b/>
                <w:sz w:val="16"/>
                <w:szCs w:val="16"/>
              </w:rPr>
              <w:t>CIP</w:t>
            </w:r>
            <w:r>
              <w:rPr>
                <w:b/>
                <w:sz w:val="16"/>
                <w:szCs w:val="16"/>
              </w:rPr>
              <w:t>)</w:t>
            </w:r>
            <w:r w:rsidRPr="006670F8">
              <w:rPr>
                <w:b/>
                <w:sz w:val="16"/>
                <w:szCs w:val="16"/>
              </w:rPr>
              <w:t xml:space="preserve"> frequency</w:t>
            </w:r>
          </w:p>
        </w:tc>
        <w:tc>
          <w:tcPr>
            <w:tcW w:w="0" w:type="auto"/>
            <w:noWrap/>
          </w:tcPr>
          <w:p w14:paraId="437714C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year</w:t>
            </w:r>
            <w:r w:rsidRPr="006670F8">
              <w:rPr>
                <w:sz w:val="16"/>
                <w:szCs w:val="16"/>
                <w:vertAlign w:val="superscript"/>
              </w:rPr>
              <w:t>-1</w:t>
            </w:r>
          </w:p>
        </w:tc>
        <w:tc>
          <w:tcPr>
            <w:tcW w:w="0" w:type="auto"/>
            <w:noWrap/>
          </w:tcPr>
          <w:p w14:paraId="4A649E4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8</w:t>
            </w:r>
          </w:p>
        </w:tc>
        <w:tc>
          <w:tcPr>
            <w:tcW w:w="0" w:type="auto"/>
            <w:noWrap/>
          </w:tcPr>
          <w:p w14:paraId="111A274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7-9</w:t>
            </w:r>
          </w:p>
        </w:tc>
      </w:tr>
      <w:tr w:rsidR="00732C76" w:rsidRPr="006670F8" w14:paraId="7DF62E9B"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8405ED9" w14:textId="77777777" w:rsidR="00732C76" w:rsidRPr="006670F8" w:rsidRDefault="00732C76" w:rsidP="00447F21">
            <w:pPr>
              <w:rPr>
                <w:b w:val="0"/>
                <w:bCs w:val="0"/>
                <w:sz w:val="16"/>
                <w:szCs w:val="16"/>
              </w:rPr>
            </w:pPr>
          </w:p>
        </w:tc>
        <w:tc>
          <w:tcPr>
            <w:tcW w:w="0" w:type="auto"/>
            <w:noWrap/>
            <w:hideMark/>
          </w:tcPr>
          <w:p w14:paraId="7883598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119</w:t>
            </w:r>
          </w:p>
        </w:tc>
        <w:tc>
          <w:tcPr>
            <w:tcW w:w="0" w:type="auto"/>
            <w:noWrap/>
          </w:tcPr>
          <w:p w14:paraId="620DD6A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Myco mineral medium use</w:t>
            </w:r>
          </w:p>
        </w:tc>
        <w:tc>
          <w:tcPr>
            <w:tcW w:w="0" w:type="auto"/>
            <w:noWrap/>
          </w:tcPr>
          <w:p w14:paraId="47F0730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supplied</w:t>
            </w:r>
          </w:p>
        </w:tc>
        <w:tc>
          <w:tcPr>
            <w:tcW w:w="0" w:type="auto"/>
            <w:noWrap/>
          </w:tcPr>
          <w:p w14:paraId="6E7A7DE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95%</w:t>
            </w:r>
          </w:p>
        </w:tc>
        <w:tc>
          <w:tcPr>
            <w:tcW w:w="0" w:type="auto"/>
            <w:noWrap/>
          </w:tcPr>
          <w:p w14:paraId="6C3D125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80-95%</w:t>
            </w:r>
          </w:p>
        </w:tc>
      </w:tr>
      <w:tr w:rsidR="00732C76" w:rsidRPr="006670F8" w14:paraId="0E347C53"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866F2C2" w14:textId="77777777" w:rsidR="00732C76" w:rsidRPr="006670F8" w:rsidRDefault="00732C76" w:rsidP="00447F21">
            <w:pPr>
              <w:rPr>
                <w:b w:val="0"/>
                <w:bCs w:val="0"/>
                <w:sz w:val="16"/>
                <w:szCs w:val="16"/>
              </w:rPr>
            </w:pPr>
          </w:p>
        </w:tc>
        <w:tc>
          <w:tcPr>
            <w:tcW w:w="0" w:type="auto"/>
            <w:noWrap/>
            <w:hideMark/>
          </w:tcPr>
          <w:p w14:paraId="507BDF7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120</w:t>
            </w:r>
          </w:p>
        </w:tc>
        <w:tc>
          <w:tcPr>
            <w:tcW w:w="0" w:type="auto"/>
            <w:noWrap/>
          </w:tcPr>
          <w:p w14:paraId="3B38635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Myco RNA removal losses</w:t>
            </w:r>
            <w:r>
              <w:rPr>
                <w:b/>
                <w:sz w:val="16"/>
                <w:szCs w:val="16"/>
              </w:rPr>
              <w:t xml:space="preserve"> (compared to input)</w:t>
            </w:r>
          </w:p>
        </w:tc>
        <w:tc>
          <w:tcPr>
            <w:tcW w:w="0" w:type="auto"/>
            <w:noWrap/>
          </w:tcPr>
          <w:p w14:paraId="7D47162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DMin</w:t>
            </w:r>
          </w:p>
        </w:tc>
        <w:tc>
          <w:tcPr>
            <w:tcW w:w="0" w:type="auto"/>
            <w:noWrap/>
          </w:tcPr>
          <w:p w14:paraId="2B28EBE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28%</w:t>
            </w:r>
          </w:p>
        </w:tc>
        <w:tc>
          <w:tcPr>
            <w:tcW w:w="0" w:type="auto"/>
            <w:noWrap/>
          </w:tcPr>
          <w:p w14:paraId="5BEF80F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23-30%</w:t>
            </w:r>
          </w:p>
        </w:tc>
      </w:tr>
      <w:tr w:rsidR="00732C76" w:rsidRPr="006670F8" w14:paraId="245CF91A"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E922CC9" w14:textId="77777777" w:rsidR="00732C76" w:rsidRPr="006670F8" w:rsidRDefault="00732C76" w:rsidP="00447F21">
            <w:pPr>
              <w:rPr>
                <w:b w:val="0"/>
                <w:bCs w:val="0"/>
                <w:sz w:val="16"/>
                <w:szCs w:val="16"/>
              </w:rPr>
            </w:pPr>
          </w:p>
        </w:tc>
        <w:tc>
          <w:tcPr>
            <w:tcW w:w="0" w:type="auto"/>
            <w:noWrap/>
            <w:hideMark/>
          </w:tcPr>
          <w:p w14:paraId="18CCCA1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121</w:t>
            </w:r>
          </w:p>
        </w:tc>
        <w:tc>
          <w:tcPr>
            <w:tcW w:w="0" w:type="auto"/>
            <w:noWrap/>
          </w:tcPr>
          <w:p w14:paraId="0371177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Myco RNA content</w:t>
            </w:r>
            <w:r>
              <w:rPr>
                <w:b/>
                <w:sz w:val="16"/>
                <w:szCs w:val="16"/>
              </w:rPr>
              <w:t xml:space="preserve"> (share of own weight)</w:t>
            </w:r>
          </w:p>
        </w:tc>
        <w:tc>
          <w:tcPr>
            <w:tcW w:w="0" w:type="auto"/>
            <w:noWrap/>
          </w:tcPr>
          <w:p w14:paraId="249D0A0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DM</w:t>
            </w:r>
          </w:p>
        </w:tc>
        <w:tc>
          <w:tcPr>
            <w:tcW w:w="0" w:type="auto"/>
            <w:noWrap/>
          </w:tcPr>
          <w:p w14:paraId="3797001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9%</w:t>
            </w:r>
          </w:p>
        </w:tc>
        <w:tc>
          <w:tcPr>
            <w:tcW w:w="0" w:type="auto"/>
            <w:noWrap/>
          </w:tcPr>
          <w:p w14:paraId="36EC5A9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7-11%</w:t>
            </w:r>
          </w:p>
        </w:tc>
      </w:tr>
      <w:tr w:rsidR="00732C76" w:rsidRPr="006670F8" w14:paraId="01557C3D"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DCD198A" w14:textId="77777777" w:rsidR="00732C76" w:rsidRPr="006670F8" w:rsidRDefault="00732C76" w:rsidP="00447F21">
            <w:pPr>
              <w:rPr>
                <w:b w:val="0"/>
                <w:bCs w:val="0"/>
                <w:sz w:val="16"/>
                <w:szCs w:val="16"/>
              </w:rPr>
            </w:pPr>
          </w:p>
        </w:tc>
        <w:tc>
          <w:tcPr>
            <w:tcW w:w="0" w:type="auto"/>
            <w:noWrap/>
            <w:hideMark/>
          </w:tcPr>
          <w:p w14:paraId="6059745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122</w:t>
            </w:r>
          </w:p>
        </w:tc>
        <w:tc>
          <w:tcPr>
            <w:tcW w:w="0" w:type="auto"/>
            <w:noWrap/>
          </w:tcPr>
          <w:p w14:paraId="62D1D43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Myco digestibility</w:t>
            </w:r>
          </w:p>
        </w:tc>
        <w:tc>
          <w:tcPr>
            <w:tcW w:w="0" w:type="auto"/>
            <w:noWrap/>
          </w:tcPr>
          <w:p w14:paraId="26C770A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OM</w:t>
            </w:r>
          </w:p>
        </w:tc>
        <w:tc>
          <w:tcPr>
            <w:tcW w:w="0" w:type="auto"/>
            <w:noWrap/>
          </w:tcPr>
          <w:p w14:paraId="4C39069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88%</w:t>
            </w:r>
          </w:p>
        </w:tc>
        <w:tc>
          <w:tcPr>
            <w:tcW w:w="0" w:type="auto"/>
            <w:noWrap/>
          </w:tcPr>
          <w:p w14:paraId="42BDAAF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85-93%</w:t>
            </w:r>
          </w:p>
        </w:tc>
      </w:tr>
      <w:tr w:rsidR="00732C76" w:rsidRPr="006670F8" w14:paraId="33945461" w14:textId="77777777" w:rsidTr="008C451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vMerge/>
            <w:hideMark/>
          </w:tcPr>
          <w:p w14:paraId="478BD8D9" w14:textId="77777777" w:rsidR="00732C76" w:rsidRPr="006670F8" w:rsidRDefault="00732C76" w:rsidP="00447F21">
            <w:pPr>
              <w:rPr>
                <w:b w:val="0"/>
                <w:bCs w:val="0"/>
                <w:sz w:val="16"/>
                <w:szCs w:val="16"/>
              </w:rPr>
            </w:pPr>
          </w:p>
        </w:tc>
        <w:tc>
          <w:tcPr>
            <w:tcW w:w="0" w:type="auto"/>
            <w:noWrap/>
            <w:hideMark/>
          </w:tcPr>
          <w:p w14:paraId="5B0AC88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123</w:t>
            </w:r>
          </w:p>
        </w:tc>
        <w:tc>
          <w:tcPr>
            <w:tcW w:w="0" w:type="auto"/>
            <w:noWrap/>
          </w:tcPr>
          <w:p w14:paraId="47BB1A1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Myco crude fibers</w:t>
            </w:r>
          </w:p>
        </w:tc>
        <w:tc>
          <w:tcPr>
            <w:tcW w:w="0" w:type="auto"/>
            <w:noWrap/>
          </w:tcPr>
          <w:p w14:paraId="6FE3B4C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DM</w:t>
            </w:r>
          </w:p>
        </w:tc>
        <w:tc>
          <w:tcPr>
            <w:tcW w:w="0" w:type="auto"/>
            <w:noWrap/>
          </w:tcPr>
          <w:p w14:paraId="0D9BDFE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5%</w:t>
            </w:r>
          </w:p>
        </w:tc>
        <w:tc>
          <w:tcPr>
            <w:tcW w:w="0" w:type="auto"/>
            <w:noWrap/>
          </w:tcPr>
          <w:p w14:paraId="2FE9B36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1-10%</w:t>
            </w:r>
          </w:p>
        </w:tc>
      </w:tr>
      <w:tr w:rsidR="00732C76" w:rsidRPr="006670F8" w14:paraId="2D3D4798" w14:textId="77777777" w:rsidTr="00C00E3A">
        <w:trPr>
          <w:trHeight w:val="290"/>
        </w:trPr>
        <w:tc>
          <w:tcPr>
            <w:cnfStyle w:val="001000000000" w:firstRow="0" w:lastRow="0" w:firstColumn="1" w:lastColumn="0" w:oddVBand="0" w:evenVBand="0" w:oddHBand="0" w:evenHBand="0" w:firstRowFirstColumn="0" w:firstRowLastColumn="0" w:lastRowFirstColumn="0" w:lastRowLastColumn="0"/>
            <w:tcW w:w="0" w:type="auto"/>
            <w:vMerge w:val="restart"/>
            <w:noWrap/>
            <w:textDirection w:val="btLr"/>
            <w:hideMark/>
          </w:tcPr>
          <w:p w14:paraId="5C75DE89" w14:textId="77777777" w:rsidR="00732C76" w:rsidRPr="006670F8" w:rsidRDefault="00732C76" w:rsidP="00C00E3A">
            <w:pPr>
              <w:jc w:val="center"/>
              <w:rPr>
                <w:b w:val="0"/>
                <w:bCs w:val="0"/>
                <w:sz w:val="16"/>
                <w:szCs w:val="16"/>
              </w:rPr>
            </w:pPr>
            <w:r w:rsidRPr="006670F8">
              <w:rPr>
                <w:sz w:val="16"/>
                <w:szCs w:val="16"/>
              </w:rPr>
              <w:t>Microbial proteins production pathways</w:t>
            </w:r>
          </w:p>
        </w:tc>
        <w:tc>
          <w:tcPr>
            <w:tcW w:w="0" w:type="auto"/>
            <w:noWrap/>
            <w:hideMark/>
          </w:tcPr>
          <w:p w14:paraId="30E70AA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124</w:t>
            </w:r>
          </w:p>
        </w:tc>
        <w:tc>
          <w:tcPr>
            <w:tcW w:w="0" w:type="auto"/>
            <w:noWrap/>
          </w:tcPr>
          <w:p w14:paraId="2A91980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Stripping N recovery</w:t>
            </w:r>
            <w:r w:rsidRPr="006670F8">
              <w:rPr>
                <w:b/>
                <w:bCs/>
                <w:sz w:val="16"/>
                <w:szCs w:val="16"/>
                <w:vertAlign w:val="superscript"/>
              </w:rPr>
              <w:t>*</w:t>
            </w:r>
          </w:p>
        </w:tc>
        <w:tc>
          <w:tcPr>
            <w:tcW w:w="0" w:type="auto"/>
            <w:noWrap/>
          </w:tcPr>
          <w:p w14:paraId="2E82A7E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sz w:val="16"/>
                <w:szCs w:val="16"/>
              </w:rPr>
            </w:pPr>
            <w:r w:rsidRPr="006670F8">
              <w:rPr>
                <w:sz w:val="16"/>
                <w:szCs w:val="16"/>
              </w:rPr>
              <w:t>%</w:t>
            </w:r>
            <w:r w:rsidRPr="006670F8">
              <w:rPr>
                <w:sz w:val="16"/>
                <w:szCs w:val="16"/>
                <w:vertAlign w:val="subscript"/>
              </w:rPr>
              <w:t>N_in</w:t>
            </w:r>
          </w:p>
        </w:tc>
        <w:tc>
          <w:tcPr>
            <w:tcW w:w="0" w:type="auto"/>
            <w:noWrap/>
          </w:tcPr>
          <w:p w14:paraId="656F19F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sz w:val="16"/>
                <w:szCs w:val="16"/>
              </w:rPr>
            </w:pPr>
            <w:r w:rsidRPr="006670F8">
              <w:rPr>
                <w:sz w:val="16"/>
                <w:szCs w:val="16"/>
              </w:rPr>
              <w:t>90%</w:t>
            </w:r>
          </w:p>
        </w:tc>
        <w:tc>
          <w:tcPr>
            <w:tcW w:w="0" w:type="auto"/>
            <w:noWrap/>
          </w:tcPr>
          <w:p w14:paraId="7243C72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sz w:val="16"/>
                <w:szCs w:val="16"/>
              </w:rPr>
            </w:pPr>
            <w:r w:rsidRPr="006670F8">
              <w:rPr>
                <w:sz w:val="16"/>
                <w:szCs w:val="16"/>
              </w:rPr>
              <w:t>80-90%</w:t>
            </w:r>
          </w:p>
        </w:tc>
      </w:tr>
      <w:tr w:rsidR="00732C76" w:rsidRPr="006670F8" w14:paraId="74BF3F8C"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2F04CE4" w14:textId="77777777" w:rsidR="00732C76" w:rsidRPr="006670F8" w:rsidRDefault="00732C76" w:rsidP="00447F21">
            <w:pPr>
              <w:rPr>
                <w:b w:val="0"/>
                <w:bCs w:val="0"/>
                <w:sz w:val="16"/>
                <w:szCs w:val="16"/>
              </w:rPr>
            </w:pPr>
          </w:p>
        </w:tc>
        <w:tc>
          <w:tcPr>
            <w:tcW w:w="0" w:type="auto"/>
            <w:noWrap/>
            <w:hideMark/>
          </w:tcPr>
          <w:p w14:paraId="77C282E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125</w:t>
            </w:r>
          </w:p>
        </w:tc>
        <w:tc>
          <w:tcPr>
            <w:tcW w:w="0" w:type="auto"/>
            <w:noWrap/>
          </w:tcPr>
          <w:p w14:paraId="7C25652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Stripping heat requirements</w:t>
            </w:r>
            <w:r w:rsidRPr="006670F8">
              <w:rPr>
                <w:b/>
                <w:bCs/>
                <w:sz w:val="16"/>
                <w:szCs w:val="16"/>
                <w:vertAlign w:val="superscript"/>
              </w:rPr>
              <w:t>*</w:t>
            </w:r>
          </w:p>
        </w:tc>
        <w:tc>
          <w:tcPr>
            <w:tcW w:w="0" w:type="auto"/>
            <w:noWrap/>
          </w:tcPr>
          <w:p w14:paraId="41A5BB9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sz w:val="16"/>
                <w:szCs w:val="16"/>
              </w:rPr>
            </w:pPr>
            <w:r w:rsidRPr="006670F8">
              <w:rPr>
                <w:color w:val="000000"/>
                <w:sz w:val="16"/>
                <w:szCs w:val="16"/>
              </w:rPr>
              <w:t>MJ.m</w:t>
            </w:r>
            <w:r w:rsidRPr="006670F8">
              <w:rPr>
                <w:color w:val="000000"/>
                <w:sz w:val="16"/>
                <w:szCs w:val="16"/>
                <w:vertAlign w:val="superscript"/>
              </w:rPr>
              <w:t>-3</w:t>
            </w:r>
          </w:p>
        </w:tc>
        <w:tc>
          <w:tcPr>
            <w:tcW w:w="0" w:type="auto"/>
            <w:noWrap/>
          </w:tcPr>
          <w:p w14:paraId="0E1B766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sz w:val="16"/>
                <w:szCs w:val="16"/>
              </w:rPr>
            </w:pPr>
            <w:r w:rsidRPr="006670F8">
              <w:rPr>
                <w:sz w:val="16"/>
                <w:szCs w:val="16"/>
              </w:rPr>
              <w:t>57.6</w:t>
            </w:r>
          </w:p>
        </w:tc>
        <w:tc>
          <w:tcPr>
            <w:tcW w:w="0" w:type="auto"/>
            <w:noWrap/>
          </w:tcPr>
          <w:p w14:paraId="4E99939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sz w:val="16"/>
                <w:szCs w:val="16"/>
              </w:rPr>
            </w:pPr>
            <w:r w:rsidRPr="006670F8">
              <w:rPr>
                <w:sz w:val="16"/>
                <w:szCs w:val="16"/>
              </w:rPr>
              <w:t>14.8-219.6</w:t>
            </w:r>
          </w:p>
        </w:tc>
      </w:tr>
      <w:tr w:rsidR="00732C76" w:rsidRPr="006670F8" w14:paraId="1310DFAD"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7F5D332" w14:textId="77777777" w:rsidR="00732C76" w:rsidRPr="006670F8" w:rsidRDefault="00732C76" w:rsidP="00447F21">
            <w:pPr>
              <w:rPr>
                <w:b w:val="0"/>
                <w:bCs w:val="0"/>
                <w:sz w:val="16"/>
                <w:szCs w:val="16"/>
              </w:rPr>
            </w:pPr>
          </w:p>
        </w:tc>
        <w:tc>
          <w:tcPr>
            <w:tcW w:w="0" w:type="auto"/>
            <w:noWrap/>
            <w:hideMark/>
          </w:tcPr>
          <w:p w14:paraId="5CB4106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126</w:t>
            </w:r>
          </w:p>
        </w:tc>
        <w:tc>
          <w:tcPr>
            <w:tcW w:w="0" w:type="auto"/>
            <w:noWrap/>
          </w:tcPr>
          <w:p w14:paraId="02E57D0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MP O</w:t>
            </w:r>
            <w:r w:rsidRPr="006670F8">
              <w:rPr>
                <w:b/>
                <w:sz w:val="16"/>
                <w:szCs w:val="16"/>
                <w:vertAlign w:val="subscript"/>
              </w:rPr>
              <w:t>2</w:t>
            </w:r>
            <w:r w:rsidRPr="006670F8">
              <w:rPr>
                <w:b/>
                <w:sz w:val="16"/>
                <w:szCs w:val="16"/>
              </w:rPr>
              <w:t xml:space="preserve"> use efficiency</w:t>
            </w:r>
          </w:p>
        </w:tc>
        <w:tc>
          <w:tcPr>
            <w:tcW w:w="0" w:type="auto"/>
            <w:noWrap/>
          </w:tcPr>
          <w:p w14:paraId="38FA784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O2</w:t>
            </w:r>
          </w:p>
        </w:tc>
        <w:tc>
          <w:tcPr>
            <w:tcW w:w="0" w:type="auto"/>
            <w:noWrap/>
          </w:tcPr>
          <w:p w14:paraId="7BE5ADA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90%</w:t>
            </w:r>
          </w:p>
        </w:tc>
        <w:tc>
          <w:tcPr>
            <w:tcW w:w="0" w:type="auto"/>
            <w:noWrap/>
          </w:tcPr>
          <w:p w14:paraId="35442A2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80-92%</w:t>
            </w:r>
          </w:p>
        </w:tc>
      </w:tr>
      <w:tr w:rsidR="00732C76" w:rsidRPr="006670F8" w14:paraId="3284C038"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9619F5B" w14:textId="77777777" w:rsidR="00732C76" w:rsidRPr="006670F8" w:rsidRDefault="00732C76" w:rsidP="00447F21">
            <w:pPr>
              <w:rPr>
                <w:b w:val="0"/>
                <w:bCs w:val="0"/>
                <w:sz w:val="16"/>
                <w:szCs w:val="16"/>
              </w:rPr>
            </w:pPr>
          </w:p>
        </w:tc>
        <w:tc>
          <w:tcPr>
            <w:tcW w:w="0" w:type="auto"/>
            <w:noWrap/>
            <w:hideMark/>
          </w:tcPr>
          <w:p w14:paraId="012B1FA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127</w:t>
            </w:r>
          </w:p>
        </w:tc>
        <w:tc>
          <w:tcPr>
            <w:tcW w:w="0" w:type="auto"/>
            <w:noWrap/>
          </w:tcPr>
          <w:p w14:paraId="6E6B23D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MP NH</w:t>
            </w:r>
            <w:r w:rsidRPr="006670F8">
              <w:rPr>
                <w:b/>
                <w:sz w:val="16"/>
                <w:szCs w:val="16"/>
                <w:vertAlign w:val="subscript"/>
              </w:rPr>
              <w:t>3</w:t>
            </w:r>
            <w:r w:rsidRPr="006670F8">
              <w:rPr>
                <w:b/>
                <w:sz w:val="16"/>
                <w:szCs w:val="16"/>
              </w:rPr>
              <w:t xml:space="preserve"> use efficiency</w:t>
            </w:r>
          </w:p>
        </w:tc>
        <w:tc>
          <w:tcPr>
            <w:tcW w:w="0" w:type="auto"/>
            <w:noWrap/>
          </w:tcPr>
          <w:p w14:paraId="1F4AA97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NH3</w:t>
            </w:r>
          </w:p>
        </w:tc>
        <w:tc>
          <w:tcPr>
            <w:tcW w:w="0" w:type="auto"/>
            <w:noWrap/>
          </w:tcPr>
          <w:p w14:paraId="0E547F8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90%</w:t>
            </w:r>
          </w:p>
        </w:tc>
        <w:tc>
          <w:tcPr>
            <w:tcW w:w="0" w:type="auto"/>
            <w:noWrap/>
          </w:tcPr>
          <w:p w14:paraId="5AACCEC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80-92%</w:t>
            </w:r>
          </w:p>
        </w:tc>
      </w:tr>
      <w:tr w:rsidR="00732C76" w:rsidRPr="006670F8" w14:paraId="21052FA4"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9CEF2B8" w14:textId="77777777" w:rsidR="00732C76" w:rsidRPr="006670F8" w:rsidRDefault="00732C76" w:rsidP="00447F21">
            <w:pPr>
              <w:rPr>
                <w:b w:val="0"/>
                <w:bCs w:val="0"/>
                <w:sz w:val="16"/>
                <w:szCs w:val="16"/>
              </w:rPr>
            </w:pPr>
          </w:p>
        </w:tc>
        <w:tc>
          <w:tcPr>
            <w:tcW w:w="0" w:type="auto"/>
            <w:noWrap/>
            <w:hideMark/>
          </w:tcPr>
          <w:p w14:paraId="0342568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128</w:t>
            </w:r>
          </w:p>
        </w:tc>
        <w:tc>
          <w:tcPr>
            <w:tcW w:w="0" w:type="auto"/>
            <w:noWrap/>
          </w:tcPr>
          <w:p w14:paraId="22FE898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MP bioreactor head pressure</w:t>
            </w:r>
          </w:p>
        </w:tc>
        <w:tc>
          <w:tcPr>
            <w:tcW w:w="0" w:type="auto"/>
            <w:noWrap/>
          </w:tcPr>
          <w:p w14:paraId="19EDFB8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bar</w:t>
            </w:r>
          </w:p>
        </w:tc>
        <w:tc>
          <w:tcPr>
            <w:tcW w:w="0" w:type="auto"/>
            <w:noWrap/>
          </w:tcPr>
          <w:p w14:paraId="59D61B9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6</w:t>
            </w:r>
          </w:p>
        </w:tc>
        <w:tc>
          <w:tcPr>
            <w:tcW w:w="0" w:type="auto"/>
            <w:noWrap/>
          </w:tcPr>
          <w:p w14:paraId="05EE462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5-8</w:t>
            </w:r>
          </w:p>
        </w:tc>
      </w:tr>
      <w:tr w:rsidR="00732C76" w:rsidRPr="006670F8" w14:paraId="29E27A55"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F015D46" w14:textId="77777777" w:rsidR="00732C76" w:rsidRPr="006670F8" w:rsidRDefault="00732C76" w:rsidP="00447F21">
            <w:pPr>
              <w:rPr>
                <w:b w:val="0"/>
                <w:bCs w:val="0"/>
                <w:sz w:val="16"/>
                <w:szCs w:val="16"/>
              </w:rPr>
            </w:pPr>
          </w:p>
        </w:tc>
        <w:tc>
          <w:tcPr>
            <w:tcW w:w="0" w:type="auto"/>
            <w:noWrap/>
            <w:hideMark/>
          </w:tcPr>
          <w:p w14:paraId="5264373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129</w:t>
            </w:r>
          </w:p>
        </w:tc>
        <w:tc>
          <w:tcPr>
            <w:tcW w:w="0" w:type="auto"/>
            <w:noWrap/>
          </w:tcPr>
          <w:p w14:paraId="69A6612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MP CIP frequency</w:t>
            </w:r>
          </w:p>
        </w:tc>
        <w:tc>
          <w:tcPr>
            <w:tcW w:w="0" w:type="auto"/>
            <w:noWrap/>
          </w:tcPr>
          <w:p w14:paraId="2EEA669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year</w:t>
            </w:r>
            <w:r w:rsidRPr="006670F8">
              <w:rPr>
                <w:sz w:val="16"/>
                <w:szCs w:val="16"/>
                <w:vertAlign w:val="superscript"/>
              </w:rPr>
              <w:t>-1</w:t>
            </w:r>
          </w:p>
        </w:tc>
        <w:tc>
          <w:tcPr>
            <w:tcW w:w="0" w:type="auto"/>
            <w:noWrap/>
          </w:tcPr>
          <w:p w14:paraId="716EA2F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7</w:t>
            </w:r>
          </w:p>
        </w:tc>
        <w:tc>
          <w:tcPr>
            <w:tcW w:w="0" w:type="auto"/>
            <w:noWrap/>
          </w:tcPr>
          <w:p w14:paraId="3C6FD8F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4-12</w:t>
            </w:r>
          </w:p>
        </w:tc>
      </w:tr>
      <w:tr w:rsidR="00732C76" w:rsidRPr="006670F8" w14:paraId="12017689"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07BCE1E" w14:textId="77777777" w:rsidR="00732C76" w:rsidRPr="006670F8" w:rsidRDefault="00732C76" w:rsidP="00447F21">
            <w:pPr>
              <w:rPr>
                <w:b w:val="0"/>
                <w:bCs w:val="0"/>
                <w:sz w:val="16"/>
                <w:szCs w:val="16"/>
              </w:rPr>
            </w:pPr>
          </w:p>
        </w:tc>
        <w:tc>
          <w:tcPr>
            <w:tcW w:w="0" w:type="auto"/>
            <w:noWrap/>
            <w:hideMark/>
          </w:tcPr>
          <w:p w14:paraId="589F3A6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130</w:t>
            </w:r>
          </w:p>
        </w:tc>
        <w:tc>
          <w:tcPr>
            <w:tcW w:w="0" w:type="auto"/>
            <w:noWrap/>
          </w:tcPr>
          <w:p w14:paraId="6F91463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MP mineral medium use</w:t>
            </w:r>
          </w:p>
        </w:tc>
        <w:tc>
          <w:tcPr>
            <w:tcW w:w="0" w:type="auto"/>
            <w:noWrap/>
          </w:tcPr>
          <w:p w14:paraId="33402F1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supplied</w:t>
            </w:r>
          </w:p>
        </w:tc>
        <w:tc>
          <w:tcPr>
            <w:tcW w:w="0" w:type="auto"/>
            <w:noWrap/>
          </w:tcPr>
          <w:p w14:paraId="405B16F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95%</w:t>
            </w:r>
          </w:p>
        </w:tc>
        <w:tc>
          <w:tcPr>
            <w:tcW w:w="0" w:type="auto"/>
            <w:noWrap/>
          </w:tcPr>
          <w:p w14:paraId="018CCF8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80-95%</w:t>
            </w:r>
          </w:p>
        </w:tc>
      </w:tr>
      <w:tr w:rsidR="00732C76" w:rsidRPr="006670F8" w14:paraId="5EDB0F9E"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D2D241C" w14:textId="77777777" w:rsidR="00732C76" w:rsidRPr="006670F8" w:rsidRDefault="00732C76" w:rsidP="00447F21">
            <w:pPr>
              <w:rPr>
                <w:b w:val="0"/>
                <w:bCs w:val="0"/>
                <w:sz w:val="16"/>
                <w:szCs w:val="16"/>
              </w:rPr>
            </w:pPr>
          </w:p>
        </w:tc>
        <w:tc>
          <w:tcPr>
            <w:tcW w:w="0" w:type="auto"/>
            <w:noWrap/>
            <w:hideMark/>
          </w:tcPr>
          <w:p w14:paraId="27CF304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131</w:t>
            </w:r>
          </w:p>
        </w:tc>
        <w:tc>
          <w:tcPr>
            <w:tcW w:w="0" w:type="auto"/>
            <w:noWrap/>
          </w:tcPr>
          <w:p w14:paraId="527D18A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Medium stirring energy</w:t>
            </w:r>
            <w:r>
              <w:rPr>
                <w:b/>
                <w:sz w:val="16"/>
                <w:szCs w:val="16"/>
              </w:rPr>
              <w:t xml:space="preserve"> requirements</w:t>
            </w:r>
          </w:p>
        </w:tc>
        <w:tc>
          <w:tcPr>
            <w:tcW w:w="0" w:type="auto"/>
            <w:noWrap/>
          </w:tcPr>
          <w:p w14:paraId="24284D6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kWh.m</w:t>
            </w:r>
            <w:r>
              <w:rPr>
                <w:sz w:val="16"/>
                <w:szCs w:val="16"/>
                <w:vertAlign w:val="subscript"/>
              </w:rPr>
              <w:t>broth</w:t>
            </w:r>
            <w:r w:rsidRPr="006670F8">
              <w:rPr>
                <w:sz w:val="16"/>
                <w:szCs w:val="16"/>
                <w:vertAlign w:val="superscript"/>
              </w:rPr>
              <w:t>-3</w:t>
            </w:r>
          </w:p>
        </w:tc>
        <w:tc>
          <w:tcPr>
            <w:tcW w:w="0" w:type="auto"/>
            <w:noWrap/>
          </w:tcPr>
          <w:p w14:paraId="392D8CB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0.3</w:t>
            </w:r>
          </w:p>
        </w:tc>
        <w:tc>
          <w:tcPr>
            <w:tcW w:w="0" w:type="auto"/>
            <w:noWrap/>
          </w:tcPr>
          <w:p w14:paraId="237BC90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0.2-0.5</w:t>
            </w:r>
          </w:p>
        </w:tc>
      </w:tr>
      <w:tr w:rsidR="00732C76" w:rsidRPr="006670F8" w14:paraId="68058AFB"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4F2FB97" w14:textId="77777777" w:rsidR="00732C76" w:rsidRPr="006670F8" w:rsidRDefault="00732C76" w:rsidP="00447F21">
            <w:pPr>
              <w:rPr>
                <w:b w:val="0"/>
                <w:bCs w:val="0"/>
                <w:sz w:val="16"/>
                <w:szCs w:val="16"/>
              </w:rPr>
            </w:pPr>
          </w:p>
        </w:tc>
        <w:tc>
          <w:tcPr>
            <w:tcW w:w="0" w:type="auto"/>
            <w:noWrap/>
            <w:hideMark/>
          </w:tcPr>
          <w:p w14:paraId="48AA858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132</w:t>
            </w:r>
          </w:p>
        </w:tc>
        <w:tc>
          <w:tcPr>
            <w:tcW w:w="0" w:type="auto"/>
            <w:noWrap/>
          </w:tcPr>
          <w:p w14:paraId="50D081C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MOB yield</w:t>
            </w:r>
          </w:p>
        </w:tc>
        <w:tc>
          <w:tcPr>
            <w:tcW w:w="0" w:type="auto"/>
            <w:noWrap/>
          </w:tcPr>
          <w:p w14:paraId="6A106A7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g</w:t>
            </w:r>
            <w:r w:rsidRPr="006670F8">
              <w:rPr>
                <w:sz w:val="16"/>
                <w:szCs w:val="16"/>
                <w:vertAlign w:val="subscript"/>
              </w:rPr>
              <w:t>VS</w:t>
            </w:r>
            <w:r w:rsidRPr="006670F8">
              <w:rPr>
                <w:sz w:val="16"/>
                <w:szCs w:val="16"/>
              </w:rPr>
              <w:t>.g</w:t>
            </w:r>
            <w:r w:rsidRPr="006670F8">
              <w:rPr>
                <w:sz w:val="16"/>
                <w:szCs w:val="16"/>
                <w:vertAlign w:val="subscript"/>
              </w:rPr>
              <w:t>CH4</w:t>
            </w:r>
            <w:r w:rsidRPr="006670F8">
              <w:rPr>
                <w:sz w:val="16"/>
                <w:szCs w:val="16"/>
                <w:vertAlign w:val="superscript"/>
              </w:rPr>
              <w:t>-1</w:t>
            </w:r>
          </w:p>
        </w:tc>
        <w:tc>
          <w:tcPr>
            <w:tcW w:w="0" w:type="auto"/>
            <w:noWrap/>
          </w:tcPr>
          <w:p w14:paraId="12D04A2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0.71</w:t>
            </w:r>
          </w:p>
        </w:tc>
        <w:tc>
          <w:tcPr>
            <w:tcW w:w="0" w:type="auto"/>
            <w:noWrap/>
          </w:tcPr>
          <w:p w14:paraId="5BB91FC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0.63-1.11</w:t>
            </w:r>
          </w:p>
        </w:tc>
      </w:tr>
      <w:tr w:rsidR="00732C76" w:rsidRPr="006670F8" w14:paraId="4A804940"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7B1B007" w14:textId="77777777" w:rsidR="00732C76" w:rsidRPr="006670F8" w:rsidRDefault="00732C76" w:rsidP="00447F21">
            <w:pPr>
              <w:rPr>
                <w:b w:val="0"/>
                <w:bCs w:val="0"/>
                <w:sz w:val="16"/>
                <w:szCs w:val="16"/>
              </w:rPr>
            </w:pPr>
          </w:p>
        </w:tc>
        <w:tc>
          <w:tcPr>
            <w:tcW w:w="0" w:type="auto"/>
            <w:noWrap/>
            <w:hideMark/>
          </w:tcPr>
          <w:p w14:paraId="36BAC52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133</w:t>
            </w:r>
          </w:p>
        </w:tc>
        <w:tc>
          <w:tcPr>
            <w:tcW w:w="0" w:type="auto"/>
            <w:noWrap/>
          </w:tcPr>
          <w:p w14:paraId="362A1D0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MOB CH</w:t>
            </w:r>
            <w:r w:rsidRPr="006670F8">
              <w:rPr>
                <w:b/>
                <w:sz w:val="16"/>
                <w:szCs w:val="16"/>
                <w:vertAlign w:val="subscript"/>
              </w:rPr>
              <w:t>4</w:t>
            </w:r>
            <w:r w:rsidRPr="006670F8">
              <w:rPr>
                <w:b/>
                <w:sz w:val="16"/>
                <w:szCs w:val="16"/>
              </w:rPr>
              <w:t xml:space="preserve"> use efficiency</w:t>
            </w:r>
          </w:p>
        </w:tc>
        <w:tc>
          <w:tcPr>
            <w:tcW w:w="0" w:type="auto"/>
            <w:noWrap/>
          </w:tcPr>
          <w:p w14:paraId="08A816F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CH4</w:t>
            </w:r>
          </w:p>
        </w:tc>
        <w:tc>
          <w:tcPr>
            <w:tcW w:w="0" w:type="auto"/>
            <w:noWrap/>
          </w:tcPr>
          <w:p w14:paraId="3385ECE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90%</w:t>
            </w:r>
          </w:p>
        </w:tc>
        <w:tc>
          <w:tcPr>
            <w:tcW w:w="0" w:type="auto"/>
            <w:noWrap/>
          </w:tcPr>
          <w:p w14:paraId="33DD43D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80-90%</w:t>
            </w:r>
          </w:p>
        </w:tc>
      </w:tr>
      <w:tr w:rsidR="00732C76" w:rsidRPr="006670F8" w14:paraId="4FFBB912"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686F44B" w14:textId="77777777" w:rsidR="00732C76" w:rsidRPr="006670F8" w:rsidRDefault="00732C76" w:rsidP="00447F21">
            <w:pPr>
              <w:rPr>
                <w:b w:val="0"/>
                <w:bCs w:val="0"/>
                <w:sz w:val="16"/>
                <w:szCs w:val="16"/>
              </w:rPr>
            </w:pPr>
          </w:p>
        </w:tc>
        <w:tc>
          <w:tcPr>
            <w:tcW w:w="0" w:type="auto"/>
            <w:noWrap/>
            <w:hideMark/>
          </w:tcPr>
          <w:p w14:paraId="7256A52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134</w:t>
            </w:r>
          </w:p>
        </w:tc>
        <w:tc>
          <w:tcPr>
            <w:tcW w:w="0" w:type="auto"/>
            <w:noWrap/>
          </w:tcPr>
          <w:p w14:paraId="0109D29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 xml:space="preserve">MOB </w:t>
            </w:r>
            <w:r>
              <w:rPr>
                <w:b/>
                <w:sz w:val="16"/>
                <w:szCs w:val="16"/>
              </w:rPr>
              <w:t>biomass concentration</w:t>
            </w:r>
          </w:p>
        </w:tc>
        <w:tc>
          <w:tcPr>
            <w:tcW w:w="0" w:type="auto"/>
            <w:noWrap/>
          </w:tcPr>
          <w:p w14:paraId="70DF7D4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proofErr w:type="gramStart"/>
            <w:r w:rsidRPr="006670F8">
              <w:rPr>
                <w:color w:val="000000"/>
                <w:sz w:val="16"/>
                <w:szCs w:val="16"/>
              </w:rPr>
              <w:t>g</w:t>
            </w:r>
            <w:r w:rsidRPr="006670F8">
              <w:rPr>
                <w:color w:val="000000"/>
                <w:sz w:val="16"/>
                <w:szCs w:val="16"/>
                <w:vertAlign w:val="subscript"/>
              </w:rPr>
              <w:t>X</w:t>
            </w:r>
            <w:r w:rsidRPr="006670F8">
              <w:rPr>
                <w:color w:val="000000"/>
                <w:sz w:val="16"/>
                <w:szCs w:val="16"/>
              </w:rPr>
              <w:t>.L</w:t>
            </w:r>
            <w:r>
              <w:rPr>
                <w:color w:val="000000"/>
                <w:sz w:val="16"/>
                <w:szCs w:val="16"/>
                <w:vertAlign w:val="subscript"/>
              </w:rPr>
              <w:t>broth</w:t>
            </w:r>
            <w:proofErr w:type="gramEnd"/>
            <w:r w:rsidRPr="006670F8">
              <w:rPr>
                <w:color w:val="000000"/>
                <w:sz w:val="16"/>
                <w:szCs w:val="16"/>
                <w:vertAlign w:val="superscript"/>
              </w:rPr>
              <w:t>-1</w:t>
            </w:r>
          </w:p>
        </w:tc>
        <w:tc>
          <w:tcPr>
            <w:tcW w:w="0" w:type="auto"/>
            <w:noWrap/>
          </w:tcPr>
          <w:p w14:paraId="48D5277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30</w:t>
            </w:r>
          </w:p>
        </w:tc>
        <w:tc>
          <w:tcPr>
            <w:tcW w:w="0" w:type="auto"/>
            <w:noWrap/>
          </w:tcPr>
          <w:p w14:paraId="3458DBF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20-30</w:t>
            </w:r>
          </w:p>
        </w:tc>
      </w:tr>
      <w:tr w:rsidR="00732C76" w:rsidRPr="006670F8" w14:paraId="0BE21E14"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6F7CAAC" w14:textId="77777777" w:rsidR="00732C76" w:rsidRPr="006670F8" w:rsidRDefault="00732C76" w:rsidP="00447F21">
            <w:pPr>
              <w:rPr>
                <w:b w:val="0"/>
                <w:bCs w:val="0"/>
                <w:sz w:val="16"/>
                <w:szCs w:val="16"/>
              </w:rPr>
            </w:pPr>
          </w:p>
        </w:tc>
        <w:tc>
          <w:tcPr>
            <w:tcW w:w="0" w:type="auto"/>
            <w:noWrap/>
            <w:hideMark/>
          </w:tcPr>
          <w:p w14:paraId="6B26E7D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135</w:t>
            </w:r>
          </w:p>
        </w:tc>
        <w:tc>
          <w:tcPr>
            <w:tcW w:w="0" w:type="auto"/>
            <w:noWrap/>
          </w:tcPr>
          <w:p w14:paraId="4E9A497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MOB metabolic heat</w:t>
            </w:r>
          </w:p>
        </w:tc>
        <w:tc>
          <w:tcPr>
            <w:tcW w:w="0" w:type="auto"/>
            <w:noWrap/>
          </w:tcPr>
          <w:p w14:paraId="1001A3B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proofErr w:type="gramStart"/>
            <w:r w:rsidRPr="006670F8">
              <w:rPr>
                <w:sz w:val="16"/>
                <w:szCs w:val="16"/>
              </w:rPr>
              <w:t>kJ.molC</w:t>
            </w:r>
            <w:r w:rsidRPr="006670F8">
              <w:rPr>
                <w:sz w:val="16"/>
                <w:szCs w:val="16"/>
                <w:vertAlign w:val="subscript"/>
              </w:rPr>
              <w:t>X</w:t>
            </w:r>
            <w:proofErr w:type="gramEnd"/>
            <w:r w:rsidRPr="006670F8">
              <w:rPr>
                <w:sz w:val="16"/>
                <w:szCs w:val="16"/>
                <w:vertAlign w:val="superscript"/>
              </w:rPr>
              <w:t>-1</w:t>
            </w:r>
          </w:p>
        </w:tc>
        <w:tc>
          <w:tcPr>
            <w:tcW w:w="0" w:type="auto"/>
            <w:noWrap/>
          </w:tcPr>
          <w:p w14:paraId="29F2678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1277</w:t>
            </w:r>
          </w:p>
        </w:tc>
        <w:tc>
          <w:tcPr>
            <w:tcW w:w="0" w:type="auto"/>
            <w:noWrap/>
          </w:tcPr>
          <w:p w14:paraId="537A0A1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900-1660</w:t>
            </w:r>
          </w:p>
        </w:tc>
      </w:tr>
      <w:tr w:rsidR="00732C76" w:rsidRPr="006670F8" w14:paraId="5FA79B26"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CA89331" w14:textId="77777777" w:rsidR="00732C76" w:rsidRPr="006670F8" w:rsidRDefault="00732C76" w:rsidP="00447F21">
            <w:pPr>
              <w:rPr>
                <w:b w:val="0"/>
                <w:bCs w:val="0"/>
                <w:sz w:val="16"/>
                <w:szCs w:val="16"/>
              </w:rPr>
            </w:pPr>
          </w:p>
        </w:tc>
        <w:tc>
          <w:tcPr>
            <w:tcW w:w="0" w:type="auto"/>
            <w:noWrap/>
            <w:hideMark/>
          </w:tcPr>
          <w:p w14:paraId="6A23CC4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136</w:t>
            </w:r>
          </w:p>
        </w:tc>
        <w:tc>
          <w:tcPr>
            <w:tcW w:w="0" w:type="auto"/>
            <w:noWrap/>
          </w:tcPr>
          <w:p w14:paraId="7A60242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HOB yield</w:t>
            </w:r>
          </w:p>
        </w:tc>
        <w:tc>
          <w:tcPr>
            <w:tcW w:w="0" w:type="auto"/>
            <w:noWrap/>
          </w:tcPr>
          <w:p w14:paraId="5557784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g</w:t>
            </w:r>
            <w:r w:rsidRPr="006670F8">
              <w:rPr>
                <w:sz w:val="16"/>
                <w:szCs w:val="16"/>
                <w:vertAlign w:val="subscript"/>
              </w:rPr>
              <w:t>VS</w:t>
            </w:r>
            <w:r w:rsidRPr="006670F8">
              <w:rPr>
                <w:sz w:val="16"/>
                <w:szCs w:val="16"/>
              </w:rPr>
              <w:t>.g</w:t>
            </w:r>
            <w:r w:rsidRPr="006670F8">
              <w:rPr>
                <w:sz w:val="16"/>
                <w:szCs w:val="16"/>
                <w:vertAlign w:val="subscript"/>
              </w:rPr>
              <w:t>H2</w:t>
            </w:r>
            <w:r w:rsidRPr="006670F8">
              <w:rPr>
                <w:sz w:val="16"/>
                <w:szCs w:val="16"/>
                <w:vertAlign w:val="superscript"/>
              </w:rPr>
              <w:t>-1</w:t>
            </w:r>
          </w:p>
        </w:tc>
        <w:tc>
          <w:tcPr>
            <w:tcW w:w="0" w:type="auto"/>
            <w:noWrap/>
          </w:tcPr>
          <w:p w14:paraId="17AF32A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2.94</w:t>
            </w:r>
          </w:p>
        </w:tc>
        <w:tc>
          <w:tcPr>
            <w:tcW w:w="0" w:type="auto"/>
            <w:noWrap/>
          </w:tcPr>
          <w:p w14:paraId="37374D9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2.24-3.4</w:t>
            </w:r>
          </w:p>
        </w:tc>
      </w:tr>
      <w:tr w:rsidR="00732C76" w:rsidRPr="006670F8" w14:paraId="2A7F753E"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BF7FB17" w14:textId="77777777" w:rsidR="00732C76" w:rsidRPr="006670F8" w:rsidRDefault="00732C76" w:rsidP="00447F21">
            <w:pPr>
              <w:rPr>
                <w:b w:val="0"/>
                <w:bCs w:val="0"/>
                <w:sz w:val="16"/>
                <w:szCs w:val="16"/>
              </w:rPr>
            </w:pPr>
          </w:p>
        </w:tc>
        <w:tc>
          <w:tcPr>
            <w:tcW w:w="0" w:type="auto"/>
            <w:noWrap/>
            <w:hideMark/>
          </w:tcPr>
          <w:p w14:paraId="3368659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137</w:t>
            </w:r>
          </w:p>
        </w:tc>
        <w:tc>
          <w:tcPr>
            <w:tcW w:w="0" w:type="auto"/>
            <w:noWrap/>
          </w:tcPr>
          <w:p w14:paraId="470F241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HOB H</w:t>
            </w:r>
            <w:r w:rsidRPr="006670F8">
              <w:rPr>
                <w:b/>
                <w:sz w:val="16"/>
                <w:szCs w:val="16"/>
                <w:vertAlign w:val="subscript"/>
              </w:rPr>
              <w:t>2</w:t>
            </w:r>
            <w:r w:rsidRPr="006670F8">
              <w:rPr>
                <w:b/>
                <w:sz w:val="16"/>
                <w:szCs w:val="16"/>
              </w:rPr>
              <w:t xml:space="preserve"> use efficiency</w:t>
            </w:r>
          </w:p>
        </w:tc>
        <w:tc>
          <w:tcPr>
            <w:tcW w:w="0" w:type="auto"/>
            <w:noWrap/>
          </w:tcPr>
          <w:p w14:paraId="2AE8109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H2</w:t>
            </w:r>
          </w:p>
        </w:tc>
        <w:tc>
          <w:tcPr>
            <w:tcW w:w="0" w:type="auto"/>
            <w:noWrap/>
          </w:tcPr>
          <w:p w14:paraId="23D2792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90%</w:t>
            </w:r>
          </w:p>
        </w:tc>
        <w:tc>
          <w:tcPr>
            <w:tcW w:w="0" w:type="auto"/>
            <w:noWrap/>
          </w:tcPr>
          <w:p w14:paraId="5C7FB63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80-99%</w:t>
            </w:r>
          </w:p>
        </w:tc>
      </w:tr>
      <w:tr w:rsidR="00732C76" w:rsidRPr="006670F8" w14:paraId="493B4906"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6C183A4" w14:textId="77777777" w:rsidR="00732C76" w:rsidRPr="006670F8" w:rsidRDefault="00732C76" w:rsidP="00447F21">
            <w:pPr>
              <w:rPr>
                <w:b w:val="0"/>
                <w:bCs w:val="0"/>
                <w:sz w:val="16"/>
                <w:szCs w:val="16"/>
              </w:rPr>
            </w:pPr>
          </w:p>
        </w:tc>
        <w:tc>
          <w:tcPr>
            <w:tcW w:w="0" w:type="auto"/>
            <w:noWrap/>
            <w:hideMark/>
          </w:tcPr>
          <w:p w14:paraId="78E42CA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138</w:t>
            </w:r>
          </w:p>
        </w:tc>
        <w:tc>
          <w:tcPr>
            <w:tcW w:w="0" w:type="auto"/>
            <w:noWrap/>
          </w:tcPr>
          <w:p w14:paraId="6491E91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HOB CO</w:t>
            </w:r>
            <w:r w:rsidRPr="006670F8">
              <w:rPr>
                <w:b/>
                <w:sz w:val="16"/>
                <w:szCs w:val="16"/>
                <w:vertAlign w:val="subscript"/>
              </w:rPr>
              <w:t>2</w:t>
            </w:r>
            <w:r w:rsidRPr="006670F8">
              <w:rPr>
                <w:b/>
                <w:sz w:val="16"/>
                <w:szCs w:val="16"/>
              </w:rPr>
              <w:t xml:space="preserve"> use efficiency</w:t>
            </w:r>
          </w:p>
        </w:tc>
        <w:tc>
          <w:tcPr>
            <w:tcW w:w="0" w:type="auto"/>
            <w:noWrap/>
          </w:tcPr>
          <w:p w14:paraId="4CA8233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CO2</w:t>
            </w:r>
          </w:p>
        </w:tc>
        <w:tc>
          <w:tcPr>
            <w:tcW w:w="0" w:type="auto"/>
            <w:noWrap/>
          </w:tcPr>
          <w:p w14:paraId="695D067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90%</w:t>
            </w:r>
          </w:p>
        </w:tc>
        <w:tc>
          <w:tcPr>
            <w:tcW w:w="0" w:type="auto"/>
            <w:noWrap/>
          </w:tcPr>
          <w:p w14:paraId="30CD261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80-99%</w:t>
            </w:r>
          </w:p>
        </w:tc>
      </w:tr>
      <w:tr w:rsidR="00732C76" w:rsidRPr="006670F8" w14:paraId="57F16675"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26D5103" w14:textId="77777777" w:rsidR="00732C76" w:rsidRPr="006670F8" w:rsidRDefault="00732C76" w:rsidP="00447F21">
            <w:pPr>
              <w:rPr>
                <w:b w:val="0"/>
                <w:bCs w:val="0"/>
                <w:sz w:val="16"/>
                <w:szCs w:val="16"/>
              </w:rPr>
            </w:pPr>
          </w:p>
        </w:tc>
        <w:tc>
          <w:tcPr>
            <w:tcW w:w="0" w:type="auto"/>
            <w:noWrap/>
            <w:hideMark/>
          </w:tcPr>
          <w:p w14:paraId="36C98DC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139</w:t>
            </w:r>
          </w:p>
        </w:tc>
        <w:tc>
          <w:tcPr>
            <w:tcW w:w="0" w:type="auto"/>
            <w:noWrap/>
          </w:tcPr>
          <w:p w14:paraId="6D519D4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 xml:space="preserve">HOB </w:t>
            </w:r>
            <w:r>
              <w:rPr>
                <w:b/>
                <w:sz w:val="16"/>
                <w:szCs w:val="16"/>
              </w:rPr>
              <w:t>biomass concentration</w:t>
            </w:r>
          </w:p>
        </w:tc>
        <w:tc>
          <w:tcPr>
            <w:tcW w:w="0" w:type="auto"/>
            <w:noWrap/>
          </w:tcPr>
          <w:p w14:paraId="6F0CB42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proofErr w:type="gramStart"/>
            <w:r w:rsidRPr="006670F8">
              <w:rPr>
                <w:color w:val="000000"/>
                <w:sz w:val="16"/>
                <w:szCs w:val="16"/>
              </w:rPr>
              <w:t>g</w:t>
            </w:r>
            <w:r w:rsidRPr="006670F8">
              <w:rPr>
                <w:color w:val="000000"/>
                <w:sz w:val="16"/>
                <w:szCs w:val="16"/>
                <w:vertAlign w:val="subscript"/>
              </w:rPr>
              <w:t>X</w:t>
            </w:r>
            <w:r w:rsidRPr="006670F8">
              <w:rPr>
                <w:color w:val="000000"/>
                <w:sz w:val="16"/>
                <w:szCs w:val="16"/>
              </w:rPr>
              <w:t>.L</w:t>
            </w:r>
            <w:r>
              <w:rPr>
                <w:color w:val="000000"/>
                <w:sz w:val="16"/>
                <w:szCs w:val="16"/>
                <w:vertAlign w:val="subscript"/>
              </w:rPr>
              <w:t>broth</w:t>
            </w:r>
            <w:proofErr w:type="gramEnd"/>
            <w:r w:rsidRPr="006670F8">
              <w:rPr>
                <w:color w:val="000000"/>
                <w:sz w:val="16"/>
                <w:szCs w:val="16"/>
                <w:vertAlign w:val="superscript"/>
              </w:rPr>
              <w:t>-1</w:t>
            </w:r>
          </w:p>
        </w:tc>
        <w:tc>
          <w:tcPr>
            <w:tcW w:w="0" w:type="auto"/>
            <w:noWrap/>
          </w:tcPr>
          <w:p w14:paraId="5567BE3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30</w:t>
            </w:r>
          </w:p>
        </w:tc>
        <w:tc>
          <w:tcPr>
            <w:tcW w:w="0" w:type="auto"/>
            <w:noWrap/>
          </w:tcPr>
          <w:p w14:paraId="07F8340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20-30</w:t>
            </w:r>
          </w:p>
        </w:tc>
      </w:tr>
      <w:tr w:rsidR="00732C76" w:rsidRPr="006670F8" w14:paraId="02B10C46"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2F475E3" w14:textId="77777777" w:rsidR="00732C76" w:rsidRPr="006670F8" w:rsidRDefault="00732C76" w:rsidP="00447F21">
            <w:pPr>
              <w:rPr>
                <w:b w:val="0"/>
                <w:bCs w:val="0"/>
                <w:sz w:val="16"/>
                <w:szCs w:val="16"/>
              </w:rPr>
            </w:pPr>
          </w:p>
        </w:tc>
        <w:tc>
          <w:tcPr>
            <w:tcW w:w="0" w:type="auto"/>
            <w:noWrap/>
            <w:hideMark/>
          </w:tcPr>
          <w:p w14:paraId="575B681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140</w:t>
            </w:r>
          </w:p>
        </w:tc>
        <w:tc>
          <w:tcPr>
            <w:tcW w:w="0" w:type="auto"/>
            <w:noWrap/>
          </w:tcPr>
          <w:p w14:paraId="68B455E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MOB metabolic heat</w:t>
            </w:r>
          </w:p>
        </w:tc>
        <w:tc>
          <w:tcPr>
            <w:tcW w:w="0" w:type="auto"/>
            <w:noWrap/>
          </w:tcPr>
          <w:p w14:paraId="694F5C5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proofErr w:type="gramStart"/>
            <w:r w:rsidRPr="006670F8">
              <w:rPr>
                <w:sz w:val="16"/>
                <w:szCs w:val="16"/>
              </w:rPr>
              <w:t>kJ.molC</w:t>
            </w:r>
            <w:r w:rsidRPr="006670F8">
              <w:rPr>
                <w:sz w:val="16"/>
                <w:szCs w:val="16"/>
                <w:vertAlign w:val="subscript"/>
              </w:rPr>
              <w:t>X</w:t>
            </w:r>
            <w:proofErr w:type="gramEnd"/>
            <w:r w:rsidRPr="006670F8">
              <w:rPr>
                <w:sz w:val="16"/>
                <w:szCs w:val="16"/>
                <w:vertAlign w:val="superscript"/>
              </w:rPr>
              <w:t>-1</w:t>
            </w:r>
          </w:p>
        </w:tc>
        <w:tc>
          <w:tcPr>
            <w:tcW w:w="0" w:type="auto"/>
            <w:noWrap/>
          </w:tcPr>
          <w:p w14:paraId="2495AFD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744</w:t>
            </w:r>
          </w:p>
        </w:tc>
        <w:tc>
          <w:tcPr>
            <w:tcW w:w="0" w:type="auto"/>
            <w:noWrap/>
          </w:tcPr>
          <w:p w14:paraId="1D87ED8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700-800</w:t>
            </w:r>
          </w:p>
        </w:tc>
      </w:tr>
      <w:tr w:rsidR="00732C76" w:rsidRPr="006670F8" w14:paraId="442EA8F1"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D3088EF" w14:textId="77777777" w:rsidR="00732C76" w:rsidRPr="006670F8" w:rsidRDefault="00732C76" w:rsidP="00447F21">
            <w:pPr>
              <w:rPr>
                <w:b w:val="0"/>
                <w:bCs w:val="0"/>
                <w:sz w:val="16"/>
                <w:szCs w:val="16"/>
              </w:rPr>
            </w:pPr>
          </w:p>
        </w:tc>
        <w:tc>
          <w:tcPr>
            <w:tcW w:w="0" w:type="auto"/>
            <w:noWrap/>
            <w:hideMark/>
          </w:tcPr>
          <w:p w14:paraId="2A0218D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141</w:t>
            </w:r>
          </w:p>
        </w:tc>
        <w:tc>
          <w:tcPr>
            <w:tcW w:w="0" w:type="auto"/>
            <w:noWrap/>
          </w:tcPr>
          <w:p w14:paraId="2D7EA1D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Electrolysis efficiency</w:t>
            </w:r>
          </w:p>
        </w:tc>
        <w:tc>
          <w:tcPr>
            <w:tcW w:w="0" w:type="auto"/>
            <w:noWrap/>
          </w:tcPr>
          <w:p w14:paraId="6E1319A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Pr>
                <w:sz w:val="16"/>
                <w:szCs w:val="16"/>
                <w:vertAlign w:val="subscript"/>
              </w:rPr>
              <w:t>MJ</w:t>
            </w:r>
          </w:p>
        </w:tc>
        <w:tc>
          <w:tcPr>
            <w:tcW w:w="0" w:type="auto"/>
            <w:noWrap/>
          </w:tcPr>
          <w:p w14:paraId="6DCD15F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80%</w:t>
            </w:r>
          </w:p>
        </w:tc>
        <w:tc>
          <w:tcPr>
            <w:tcW w:w="0" w:type="auto"/>
            <w:noWrap/>
          </w:tcPr>
          <w:p w14:paraId="6FD11C1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70-82%</w:t>
            </w:r>
          </w:p>
        </w:tc>
      </w:tr>
      <w:tr w:rsidR="00732C76" w:rsidRPr="006670F8" w14:paraId="072FAA25"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D140DA0" w14:textId="77777777" w:rsidR="00732C76" w:rsidRPr="006670F8" w:rsidRDefault="00732C76" w:rsidP="00447F21">
            <w:pPr>
              <w:rPr>
                <w:b w:val="0"/>
                <w:bCs w:val="0"/>
                <w:sz w:val="16"/>
                <w:szCs w:val="16"/>
              </w:rPr>
            </w:pPr>
          </w:p>
        </w:tc>
        <w:tc>
          <w:tcPr>
            <w:tcW w:w="0" w:type="auto"/>
            <w:noWrap/>
            <w:hideMark/>
          </w:tcPr>
          <w:p w14:paraId="155B986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142</w:t>
            </w:r>
          </w:p>
        </w:tc>
        <w:tc>
          <w:tcPr>
            <w:tcW w:w="0" w:type="auto"/>
            <w:noWrap/>
          </w:tcPr>
          <w:p w14:paraId="75F37D9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Electrolysis O</w:t>
            </w:r>
            <w:r w:rsidRPr="006670F8">
              <w:rPr>
                <w:b/>
                <w:sz w:val="16"/>
                <w:szCs w:val="16"/>
                <w:vertAlign w:val="subscript"/>
              </w:rPr>
              <w:t>2</w:t>
            </w:r>
            <w:r w:rsidRPr="006670F8">
              <w:rPr>
                <w:b/>
                <w:sz w:val="16"/>
                <w:szCs w:val="16"/>
              </w:rPr>
              <w:t xml:space="preserve"> reuse</w:t>
            </w:r>
          </w:p>
        </w:tc>
        <w:tc>
          <w:tcPr>
            <w:tcW w:w="0" w:type="auto"/>
            <w:noWrap/>
          </w:tcPr>
          <w:p w14:paraId="1926DF1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%O</w:t>
            </w:r>
            <w:r w:rsidRPr="006670F8">
              <w:rPr>
                <w:sz w:val="16"/>
                <w:szCs w:val="16"/>
                <w:vertAlign w:val="subscript"/>
              </w:rPr>
              <w:t>2</w:t>
            </w:r>
          </w:p>
        </w:tc>
        <w:tc>
          <w:tcPr>
            <w:tcW w:w="0" w:type="auto"/>
            <w:noWrap/>
          </w:tcPr>
          <w:p w14:paraId="0348E39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95%</w:t>
            </w:r>
          </w:p>
        </w:tc>
        <w:tc>
          <w:tcPr>
            <w:tcW w:w="0" w:type="auto"/>
            <w:noWrap/>
          </w:tcPr>
          <w:p w14:paraId="1E503C8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10-95%</w:t>
            </w:r>
          </w:p>
        </w:tc>
      </w:tr>
      <w:tr w:rsidR="00732C76" w:rsidRPr="006670F8" w14:paraId="338924D2"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A9F0B68" w14:textId="77777777" w:rsidR="00732C76" w:rsidRPr="006670F8" w:rsidRDefault="00732C76" w:rsidP="00447F21">
            <w:pPr>
              <w:rPr>
                <w:b w:val="0"/>
                <w:bCs w:val="0"/>
                <w:sz w:val="16"/>
                <w:szCs w:val="16"/>
              </w:rPr>
            </w:pPr>
          </w:p>
        </w:tc>
        <w:tc>
          <w:tcPr>
            <w:tcW w:w="0" w:type="auto"/>
            <w:noWrap/>
            <w:hideMark/>
          </w:tcPr>
          <w:p w14:paraId="528576F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143</w:t>
            </w:r>
          </w:p>
        </w:tc>
        <w:tc>
          <w:tcPr>
            <w:tcW w:w="0" w:type="auto"/>
            <w:noWrap/>
          </w:tcPr>
          <w:p w14:paraId="6530AD1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Pr>
                <w:b/>
                <w:bCs/>
                <w:sz w:val="16"/>
                <w:szCs w:val="16"/>
              </w:rPr>
              <w:t>Direct air capture (</w:t>
            </w:r>
            <w:r w:rsidRPr="006670F8">
              <w:rPr>
                <w:b/>
                <w:bCs/>
                <w:sz w:val="16"/>
                <w:szCs w:val="16"/>
              </w:rPr>
              <w:t>DAC</w:t>
            </w:r>
            <w:r>
              <w:rPr>
                <w:b/>
                <w:bCs/>
                <w:sz w:val="16"/>
                <w:szCs w:val="16"/>
              </w:rPr>
              <w:t>)</w:t>
            </w:r>
            <w:r w:rsidRPr="006670F8">
              <w:rPr>
                <w:b/>
                <w:bCs/>
                <w:sz w:val="16"/>
                <w:szCs w:val="16"/>
              </w:rPr>
              <w:t xml:space="preserve"> energy efficiency</w:t>
            </w:r>
            <w:r w:rsidRPr="006670F8">
              <w:rPr>
                <w:b/>
                <w:bCs/>
                <w:sz w:val="16"/>
                <w:szCs w:val="16"/>
                <w:vertAlign w:val="superscript"/>
              </w:rPr>
              <w:t>*</w:t>
            </w:r>
          </w:p>
        </w:tc>
        <w:tc>
          <w:tcPr>
            <w:tcW w:w="0" w:type="auto"/>
            <w:noWrap/>
          </w:tcPr>
          <w:p w14:paraId="176CB49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sz w:val="16"/>
                <w:szCs w:val="16"/>
              </w:rPr>
            </w:pPr>
            <w:r w:rsidRPr="006670F8">
              <w:rPr>
                <w:sz w:val="16"/>
                <w:szCs w:val="16"/>
              </w:rPr>
              <w:t>%</w:t>
            </w:r>
            <w:r w:rsidRPr="006670F8">
              <w:rPr>
                <w:sz w:val="16"/>
                <w:szCs w:val="16"/>
                <w:vertAlign w:val="subscript"/>
              </w:rPr>
              <w:t>MJ</w:t>
            </w:r>
          </w:p>
        </w:tc>
        <w:tc>
          <w:tcPr>
            <w:tcW w:w="0" w:type="auto"/>
            <w:noWrap/>
          </w:tcPr>
          <w:p w14:paraId="4058633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sz w:val="16"/>
                <w:szCs w:val="16"/>
              </w:rPr>
            </w:pPr>
            <w:r w:rsidRPr="006670F8">
              <w:rPr>
                <w:sz w:val="16"/>
                <w:szCs w:val="16"/>
              </w:rPr>
              <w:t>80%</w:t>
            </w:r>
          </w:p>
        </w:tc>
        <w:tc>
          <w:tcPr>
            <w:tcW w:w="0" w:type="auto"/>
            <w:noWrap/>
          </w:tcPr>
          <w:p w14:paraId="19E2F97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sz w:val="16"/>
                <w:szCs w:val="16"/>
              </w:rPr>
            </w:pPr>
            <w:r w:rsidRPr="006670F8">
              <w:rPr>
                <w:sz w:val="16"/>
                <w:szCs w:val="16"/>
              </w:rPr>
              <w:t>75-85%</w:t>
            </w:r>
          </w:p>
        </w:tc>
      </w:tr>
      <w:tr w:rsidR="00732C76" w:rsidRPr="006670F8" w14:paraId="3FEE721D"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F5656EB" w14:textId="77777777" w:rsidR="00732C76" w:rsidRPr="006670F8" w:rsidRDefault="00732C76" w:rsidP="00447F21">
            <w:pPr>
              <w:rPr>
                <w:b w:val="0"/>
                <w:bCs w:val="0"/>
                <w:sz w:val="16"/>
                <w:szCs w:val="16"/>
              </w:rPr>
            </w:pPr>
          </w:p>
        </w:tc>
        <w:tc>
          <w:tcPr>
            <w:tcW w:w="0" w:type="auto"/>
            <w:noWrap/>
            <w:hideMark/>
          </w:tcPr>
          <w:p w14:paraId="1E514BE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144</w:t>
            </w:r>
          </w:p>
        </w:tc>
        <w:tc>
          <w:tcPr>
            <w:tcW w:w="0" w:type="auto"/>
            <w:noWrap/>
          </w:tcPr>
          <w:p w14:paraId="2FDA21F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DAC heat requirements</w:t>
            </w:r>
            <w:r w:rsidRPr="006670F8">
              <w:rPr>
                <w:b/>
                <w:bCs/>
                <w:sz w:val="16"/>
                <w:szCs w:val="16"/>
                <w:vertAlign w:val="superscript"/>
              </w:rPr>
              <w:t>*</w:t>
            </w:r>
          </w:p>
        </w:tc>
        <w:tc>
          <w:tcPr>
            <w:tcW w:w="0" w:type="auto"/>
            <w:noWrap/>
          </w:tcPr>
          <w:p w14:paraId="5E56691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sz w:val="16"/>
                <w:szCs w:val="16"/>
              </w:rPr>
            </w:pPr>
            <w:proofErr w:type="gramStart"/>
            <w:r w:rsidRPr="006670F8">
              <w:rPr>
                <w:sz w:val="16"/>
                <w:szCs w:val="16"/>
              </w:rPr>
              <w:t>MJ.kg</w:t>
            </w:r>
            <w:r w:rsidRPr="006670F8">
              <w:rPr>
                <w:sz w:val="16"/>
                <w:szCs w:val="16"/>
                <w:vertAlign w:val="subscript"/>
              </w:rPr>
              <w:t>CO</w:t>
            </w:r>
            <w:proofErr w:type="gramEnd"/>
            <w:r w:rsidRPr="006670F8">
              <w:rPr>
                <w:sz w:val="16"/>
                <w:szCs w:val="16"/>
                <w:vertAlign w:val="subscript"/>
              </w:rPr>
              <w:t>2</w:t>
            </w:r>
            <w:r w:rsidRPr="006670F8">
              <w:rPr>
                <w:sz w:val="16"/>
                <w:szCs w:val="16"/>
                <w:vertAlign w:val="superscript"/>
              </w:rPr>
              <w:t>-1</w:t>
            </w:r>
          </w:p>
        </w:tc>
        <w:tc>
          <w:tcPr>
            <w:tcW w:w="0" w:type="auto"/>
            <w:noWrap/>
          </w:tcPr>
          <w:p w14:paraId="340A2EB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sz w:val="16"/>
                <w:szCs w:val="16"/>
              </w:rPr>
            </w:pPr>
            <w:r w:rsidRPr="006670F8">
              <w:rPr>
                <w:sz w:val="16"/>
                <w:szCs w:val="16"/>
              </w:rPr>
              <w:t>5.5</w:t>
            </w:r>
          </w:p>
        </w:tc>
        <w:tc>
          <w:tcPr>
            <w:tcW w:w="0" w:type="auto"/>
            <w:noWrap/>
          </w:tcPr>
          <w:p w14:paraId="05AFAF8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sz w:val="16"/>
                <w:szCs w:val="16"/>
              </w:rPr>
            </w:pPr>
            <w:r w:rsidRPr="006670F8">
              <w:rPr>
                <w:sz w:val="16"/>
                <w:szCs w:val="16"/>
              </w:rPr>
              <w:t>3.8-6.3</w:t>
            </w:r>
          </w:p>
        </w:tc>
      </w:tr>
      <w:tr w:rsidR="00732C76" w:rsidRPr="006670F8" w14:paraId="4D11840D"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99C9DB9" w14:textId="77777777" w:rsidR="00732C76" w:rsidRPr="006670F8" w:rsidRDefault="00732C76" w:rsidP="00447F21">
            <w:pPr>
              <w:rPr>
                <w:b w:val="0"/>
                <w:bCs w:val="0"/>
                <w:sz w:val="16"/>
                <w:szCs w:val="16"/>
              </w:rPr>
            </w:pPr>
          </w:p>
        </w:tc>
        <w:tc>
          <w:tcPr>
            <w:tcW w:w="0" w:type="auto"/>
            <w:noWrap/>
            <w:hideMark/>
          </w:tcPr>
          <w:p w14:paraId="485B9E3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145</w:t>
            </w:r>
          </w:p>
        </w:tc>
        <w:tc>
          <w:tcPr>
            <w:tcW w:w="0" w:type="auto"/>
            <w:noWrap/>
          </w:tcPr>
          <w:p w14:paraId="7DD1A64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DAC electricity requirements</w:t>
            </w:r>
            <w:r w:rsidRPr="006670F8">
              <w:rPr>
                <w:b/>
                <w:bCs/>
                <w:sz w:val="16"/>
                <w:szCs w:val="16"/>
                <w:vertAlign w:val="superscript"/>
              </w:rPr>
              <w:t>*</w:t>
            </w:r>
          </w:p>
        </w:tc>
        <w:tc>
          <w:tcPr>
            <w:tcW w:w="0" w:type="auto"/>
            <w:noWrap/>
          </w:tcPr>
          <w:p w14:paraId="6EE4ED1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sz w:val="16"/>
                <w:szCs w:val="16"/>
              </w:rPr>
            </w:pPr>
            <w:r w:rsidRPr="006670F8">
              <w:rPr>
                <w:sz w:val="16"/>
                <w:szCs w:val="16"/>
              </w:rPr>
              <w:t>kWh.kg</w:t>
            </w:r>
            <w:r w:rsidRPr="006670F8">
              <w:rPr>
                <w:sz w:val="16"/>
                <w:szCs w:val="16"/>
                <w:vertAlign w:val="subscript"/>
              </w:rPr>
              <w:t>CO2</w:t>
            </w:r>
            <w:r w:rsidRPr="006670F8">
              <w:rPr>
                <w:sz w:val="16"/>
                <w:szCs w:val="16"/>
                <w:vertAlign w:val="superscript"/>
              </w:rPr>
              <w:t>-1</w:t>
            </w:r>
          </w:p>
        </w:tc>
        <w:tc>
          <w:tcPr>
            <w:tcW w:w="0" w:type="auto"/>
            <w:noWrap/>
          </w:tcPr>
          <w:p w14:paraId="5F69BDD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sz w:val="16"/>
                <w:szCs w:val="16"/>
              </w:rPr>
            </w:pPr>
            <w:r w:rsidRPr="006670F8">
              <w:rPr>
                <w:sz w:val="16"/>
                <w:szCs w:val="16"/>
              </w:rPr>
              <w:t>0.3</w:t>
            </w:r>
          </w:p>
        </w:tc>
        <w:tc>
          <w:tcPr>
            <w:tcW w:w="0" w:type="auto"/>
            <w:noWrap/>
          </w:tcPr>
          <w:p w14:paraId="76A5AE0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sz w:val="16"/>
                <w:szCs w:val="16"/>
              </w:rPr>
            </w:pPr>
            <w:r w:rsidRPr="006670F8">
              <w:rPr>
                <w:sz w:val="16"/>
                <w:szCs w:val="16"/>
              </w:rPr>
              <w:t>0.23-0.37</w:t>
            </w:r>
          </w:p>
        </w:tc>
      </w:tr>
      <w:tr w:rsidR="00732C76" w:rsidRPr="006670F8" w14:paraId="04DBFF17"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403D458" w14:textId="77777777" w:rsidR="00732C76" w:rsidRPr="006670F8" w:rsidRDefault="00732C76" w:rsidP="00447F21">
            <w:pPr>
              <w:rPr>
                <w:b w:val="0"/>
                <w:bCs w:val="0"/>
                <w:sz w:val="16"/>
                <w:szCs w:val="16"/>
              </w:rPr>
            </w:pPr>
          </w:p>
        </w:tc>
        <w:tc>
          <w:tcPr>
            <w:tcW w:w="0" w:type="auto"/>
            <w:noWrap/>
            <w:hideMark/>
          </w:tcPr>
          <w:p w14:paraId="11F603D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146</w:t>
            </w:r>
          </w:p>
        </w:tc>
        <w:tc>
          <w:tcPr>
            <w:tcW w:w="0" w:type="auto"/>
            <w:noWrap/>
          </w:tcPr>
          <w:p w14:paraId="25FE411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Share of water reused</w:t>
            </w:r>
          </w:p>
        </w:tc>
        <w:tc>
          <w:tcPr>
            <w:tcW w:w="0" w:type="auto"/>
            <w:noWrap/>
          </w:tcPr>
          <w:p w14:paraId="261333F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outlet</w:t>
            </w:r>
          </w:p>
        </w:tc>
        <w:tc>
          <w:tcPr>
            <w:tcW w:w="0" w:type="auto"/>
            <w:noWrap/>
          </w:tcPr>
          <w:p w14:paraId="49BC8DA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92%</w:t>
            </w:r>
          </w:p>
        </w:tc>
        <w:tc>
          <w:tcPr>
            <w:tcW w:w="0" w:type="auto"/>
            <w:noWrap/>
          </w:tcPr>
          <w:p w14:paraId="6193F99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80-92%</w:t>
            </w:r>
          </w:p>
        </w:tc>
      </w:tr>
      <w:tr w:rsidR="00732C76" w:rsidRPr="006670F8" w14:paraId="2AA65C7D"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6D5BCEC" w14:textId="77777777" w:rsidR="00732C76" w:rsidRPr="006670F8" w:rsidRDefault="00732C76" w:rsidP="00447F21">
            <w:pPr>
              <w:rPr>
                <w:b w:val="0"/>
                <w:bCs w:val="0"/>
                <w:sz w:val="16"/>
                <w:szCs w:val="16"/>
              </w:rPr>
            </w:pPr>
          </w:p>
        </w:tc>
        <w:tc>
          <w:tcPr>
            <w:tcW w:w="0" w:type="auto"/>
            <w:noWrap/>
            <w:hideMark/>
          </w:tcPr>
          <w:p w14:paraId="50BD599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147</w:t>
            </w:r>
          </w:p>
        </w:tc>
        <w:tc>
          <w:tcPr>
            <w:tcW w:w="0" w:type="auto"/>
            <w:noWrap/>
          </w:tcPr>
          <w:p w14:paraId="0B23B88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MP sterilization temperature</w:t>
            </w:r>
          </w:p>
        </w:tc>
        <w:tc>
          <w:tcPr>
            <w:tcW w:w="0" w:type="auto"/>
            <w:noWrap/>
          </w:tcPr>
          <w:p w14:paraId="7469BF8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°C</w:t>
            </w:r>
          </w:p>
        </w:tc>
        <w:tc>
          <w:tcPr>
            <w:tcW w:w="0" w:type="auto"/>
            <w:noWrap/>
          </w:tcPr>
          <w:p w14:paraId="17E533E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105</w:t>
            </w:r>
          </w:p>
        </w:tc>
        <w:tc>
          <w:tcPr>
            <w:tcW w:w="0" w:type="auto"/>
            <w:noWrap/>
          </w:tcPr>
          <w:p w14:paraId="4F05C01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90-120</w:t>
            </w:r>
          </w:p>
        </w:tc>
      </w:tr>
      <w:tr w:rsidR="00732C76" w:rsidRPr="006670F8" w14:paraId="6ED09AD4" w14:textId="77777777" w:rsidTr="008C451C">
        <w:trPr>
          <w:trHeight w:val="300"/>
        </w:trPr>
        <w:tc>
          <w:tcPr>
            <w:cnfStyle w:val="001000000000" w:firstRow="0" w:lastRow="0" w:firstColumn="1" w:lastColumn="0" w:oddVBand="0" w:evenVBand="0" w:oddHBand="0" w:evenHBand="0" w:firstRowFirstColumn="0" w:firstRowLastColumn="0" w:lastRowFirstColumn="0" w:lastRowLastColumn="0"/>
            <w:tcW w:w="0" w:type="auto"/>
            <w:vMerge/>
            <w:hideMark/>
          </w:tcPr>
          <w:p w14:paraId="4B36FB1B" w14:textId="77777777" w:rsidR="00732C76" w:rsidRPr="006670F8" w:rsidRDefault="00732C76" w:rsidP="00447F21">
            <w:pPr>
              <w:rPr>
                <w:b w:val="0"/>
                <w:bCs w:val="0"/>
                <w:sz w:val="16"/>
                <w:szCs w:val="16"/>
              </w:rPr>
            </w:pPr>
          </w:p>
        </w:tc>
        <w:tc>
          <w:tcPr>
            <w:tcW w:w="0" w:type="auto"/>
            <w:noWrap/>
            <w:hideMark/>
          </w:tcPr>
          <w:p w14:paraId="174C108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148</w:t>
            </w:r>
          </w:p>
        </w:tc>
        <w:tc>
          <w:tcPr>
            <w:tcW w:w="0" w:type="auto"/>
            <w:noWrap/>
          </w:tcPr>
          <w:p w14:paraId="5C22DD1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MP RNA removal losses</w:t>
            </w:r>
            <w:r>
              <w:rPr>
                <w:b/>
                <w:sz w:val="16"/>
                <w:szCs w:val="16"/>
              </w:rPr>
              <w:t xml:space="preserve"> (compared to input)</w:t>
            </w:r>
          </w:p>
        </w:tc>
        <w:tc>
          <w:tcPr>
            <w:tcW w:w="0" w:type="auto"/>
            <w:noWrap/>
          </w:tcPr>
          <w:p w14:paraId="4088913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DMin</w:t>
            </w:r>
          </w:p>
        </w:tc>
        <w:tc>
          <w:tcPr>
            <w:tcW w:w="0" w:type="auto"/>
            <w:noWrap/>
          </w:tcPr>
          <w:p w14:paraId="523817B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23%</w:t>
            </w:r>
          </w:p>
        </w:tc>
        <w:tc>
          <w:tcPr>
            <w:tcW w:w="0" w:type="auto"/>
            <w:noWrap/>
          </w:tcPr>
          <w:p w14:paraId="4CF1AEE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15%-30%</w:t>
            </w:r>
          </w:p>
        </w:tc>
      </w:tr>
      <w:tr w:rsidR="00732C76" w:rsidRPr="006670F8" w14:paraId="41220AD5" w14:textId="77777777" w:rsidTr="00C00E3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val="restart"/>
            <w:noWrap/>
            <w:textDirection w:val="btLr"/>
            <w:hideMark/>
          </w:tcPr>
          <w:p w14:paraId="53D0A3F6" w14:textId="77777777" w:rsidR="00732C76" w:rsidRPr="006670F8" w:rsidRDefault="00732C76" w:rsidP="00C00E3A">
            <w:pPr>
              <w:jc w:val="center"/>
              <w:rPr>
                <w:b w:val="0"/>
                <w:bCs w:val="0"/>
                <w:sz w:val="16"/>
                <w:szCs w:val="16"/>
              </w:rPr>
            </w:pPr>
            <w:r w:rsidRPr="006670F8">
              <w:rPr>
                <w:sz w:val="16"/>
                <w:szCs w:val="16"/>
              </w:rPr>
              <w:t>Specific to anaerobic digestion</w:t>
            </w:r>
          </w:p>
        </w:tc>
        <w:tc>
          <w:tcPr>
            <w:tcW w:w="0" w:type="auto"/>
            <w:noWrap/>
            <w:hideMark/>
          </w:tcPr>
          <w:p w14:paraId="062EF26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149</w:t>
            </w:r>
          </w:p>
        </w:tc>
        <w:tc>
          <w:tcPr>
            <w:tcW w:w="0" w:type="auto"/>
            <w:noWrap/>
          </w:tcPr>
          <w:p w14:paraId="521631A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Digestate CH</w:t>
            </w:r>
            <w:r w:rsidRPr="006670F8">
              <w:rPr>
                <w:b/>
                <w:sz w:val="16"/>
                <w:szCs w:val="16"/>
                <w:vertAlign w:val="subscript"/>
              </w:rPr>
              <w:t>4</w:t>
            </w:r>
            <w:r w:rsidRPr="006670F8">
              <w:rPr>
                <w:b/>
                <w:sz w:val="16"/>
                <w:szCs w:val="16"/>
              </w:rPr>
              <w:t xml:space="preserve"> emissions, storage</w:t>
            </w:r>
          </w:p>
        </w:tc>
        <w:tc>
          <w:tcPr>
            <w:tcW w:w="0" w:type="auto"/>
            <w:noWrap/>
          </w:tcPr>
          <w:p w14:paraId="387CDF5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BMP</w:t>
            </w:r>
          </w:p>
        </w:tc>
        <w:tc>
          <w:tcPr>
            <w:tcW w:w="0" w:type="auto"/>
            <w:noWrap/>
          </w:tcPr>
          <w:p w14:paraId="2991D5F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12%</w:t>
            </w:r>
          </w:p>
        </w:tc>
        <w:tc>
          <w:tcPr>
            <w:tcW w:w="0" w:type="auto"/>
            <w:noWrap/>
          </w:tcPr>
          <w:p w14:paraId="5ACB37A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8-15%</w:t>
            </w:r>
          </w:p>
        </w:tc>
      </w:tr>
      <w:tr w:rsidR="00732C76" w:rsidRPr="006670F8" w14:paraId="4D8DEA02"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2066412" w14:textId="77777777" w:rsidR="00732C76" w:rsidRPr="006670F8" w:rsidRDefault="00732C76" w:rsidP="00447F21">
            <w:pPr>
              <w:rPr>
                <w:b w:val="0"/>
                <w:bCs w:val="0"/>
                <w:sz w:val="16"/>
                <w:szCs w:val="16"/>
              </w:rPr>
            </w:pPr>
          </w:p>
        </w:tc>
        <w:tc>
          <w:tcPr>
            <w:tcW w:w="0" w:type="auto"/>
            <w:noWrap/>
            <w:hideMark/>
          </w:tcPr>
          <w:p w14:paraId="5A39E67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150</w:t>
            </w:r>
          </w:p>
        </w:tc>
        <w:tc>
          <w:tcPr>
            <w:tcW w:w="0" w:type="auto"/>
            <w:noWrap/>
          </w:tcPr>
          <w:p w14:paraId="7A4A906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Digestate N</w:t>
            </w:r>
            <w:r w:rsidRPr="006670F8">
              <w:rPr>
                <w:b/>
                <w:sz w:val="16"/>
                <w:szCs w:val="16"/>
                <w:vertAlign w:val="subscript"/>
              </w:rPr>
              <w:t>2</w:t>
            </w:r>
            <w:r w:rsidRPr="006670F8">
              <w:rPr>
                <w:b/>
                <w:sz w:val="16"/>
                <w:szCs w:val="16"/>
              </w:rPr>
              <w:t>O direct (EF1), storage</w:t>
            </w:r>
          </w:p>
        </w:tc>
        <w:tc>
          <w:tcPr>
            <w:tcW w:w="0" w:type="auto"/>
            <w:noWrap/>
          </w:tcPr>
          <w:p w14:paraId="1993D72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kgN</w:t>
            </w:r>
            <w:r w:rsidRPr="006670F8">
              <w:rPr>
                <w:sz w:val="16"/>
                <w:szCs w:val="16"/>
                <w:vertAlign w:val="subscript"/>
              </w:rPr>
              <w:t>2</w:t>
            </w:r>
            <w:r w:rsidRPr="006670F8">
              <w:rPr>
                <w:sz w:val="16"/>
                <w:szCs w:val="16"/>
              </w:rPr>
              <w:t>O</w:t>
            </w:r>
            <w:r w:rsidRPr="006670F8">
              <w:rPr>
                <w:sz w:val="16"/>
                <w:szCs w:val="16"/>
                <w:vertAlign w:val="subscript"/>
              </w:rPr>
              <w:t>-</w:t>
            </w:r>
            <w:proofErr w:type="gramStart"/>
            <w:r w:rsidRPr="006670F8">
              <w:rPr>
                <w:sz w:val="16"/>
                <w:szCs w:val="16"/>
                <w:vertAlign w:val="subscript"/>
              </w:rPr>
              <w:t>N</w:t>
            </w:r>
            <w:r w:rsidRPr="006670F8">
              <w:rPr>
                <w:sz w:val="16"/>
                <w:szCs w:val="16"/>
              </w:rPr>
              <w:t xml:space="preserve"> .</w:t>
            </w:r>
            <w:proofErr w:type="gramEnd"/>
            <w:r w:rsidRPr="006670F8">
              <w:rPr>
                <w:sz w:val="16"/>
                <w:szCs w:val="16"/>
              </w:rPr>
              <w:t xml:space="preserve"> kg</w:t>
            </w:r>
            <w:r w:rsidRPr="006670F8">
              <w:rPr>
                <w:sz w:val="16"/>
                <w:szCs w:val="16"/>
                <w:vertAlign w:val="subscript"/>
              </w:rPr>
              <w:t>N</w:t>
            </w:r>
            <w:r w:rsidRPr="006670F8">
              <w:rPr>
                <w:sz w:val="16"/>
                <w:szCs w:val="16"/>
                <w:vertAlign w:val="superscript"/>
              </w:rPr>
              <w:t>-1</w:t>
            </w:r>
          </w:p>
        </w:tc>
        <w:tc>
          <w:tcPr>
            <w:tcW w:w="0" w:type="auto"/>
            <w:noWrap/>
          </w:tcPr>
          <w:p w14:paraId="57B2C61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0.005</w:t>
            </w:r>
          </w:p>
        </w:tc>
        <w:tc>
          <w:tcPr>
            <w:tcW w:w="0" w:type="auto"/>
            <w:noWrap/>
          </w:tcPr>
          <w:p w14:paraId="0065698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0.0006-0.01</w:t>
            </w:r>
          </w:p>
        </w:tc>
      </w:tr>
      <w:tr w:rsidR="00732C76" w:rsidRPr="006670F8" w14:paraId="7AE3C8F3"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8572EA3" w14:textId="77777777" w:rsidR="00732C76" w:rsidRPr="006670F8" w:rsidRDefault="00732C76" w:rsidP="00447F21">
            <w:pPr>
              <w:rPr>
                <w:b w:val="0"/>
                <w:bCs w:val="0"/>
                <w:sz w:val="16"/>
                <w:szCs w:val="16"/>
              </w:rPr>
            </w:pPr>
          </w:p>
        </w:tc>
        <w:tc>
          <w:tcPr>
            <w:tcW w:w="0" w:type="auto"/>
            <w:noWrap/>
            <w:hideMark/>
          </w:tcPr>
          <w:p w14:paraId="23A4F84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151</w:t>
            </w:r>
          </w:p>
        </w:tc>
        <w:tc>
          <w:tcPr>
            <w:tcW w:w="0" w:type="auto"/>
            <w:noWrap/>
          </w:tcPr>
          <w:p w14:paraId="0AD4DC0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 xml:space="preserve">Digestate </w:t>
            </w:r>
            <w:r>
              <w:rPr>
                <w:b/>
                <w:sz w:val="16"/>
                <w:szCs w:val="16"/>
              </w:rPr>
              <w:t xml:space="preserve">N </w:t>
            </w:r>
            <w:r w:rsidRPr="006670F8">
              <w:rPr>
                <w:b/>
                <w:sz w:val="16"/>
                <w:szCs w:val="16"/>
              </w:rPr>
              <w:t>volatiliz</w:t>
            </w:r>
            <w:r>
              <w:rPr>
                <w:b/>
                <w:sz w:val="16"/>
                <w:szCs w:val="16"/>
              </w:rPr>
              <w:t>ation emissions</w:t>
            </w:r>
            <w:r w:rsidRPr="006670F8">
              <w:rPr>
                <w:b/>
                <w:sz w:val="16"/>
                <w:szCs w:val="16"/>
              </w:rPr>
              <w:t xml:space="preserve"> (Frac</w:t>
            </w:r>
            <w:r w:rsidRPr="006670F8">
              <w:rPr>
                <w:b/>
                <w:sz w:val="16"/>
                <w:szCs w:val="16"/>
                <w:vertAlign w:val="subscript"/>
              </w:rPr>
              <w:t>GASM</w:t>
            </w:r>
            <w:r w:rsidRPr="006670F8">
              <w:rPr>
                <w:b/>
                <w:sz w:val="16"/>
                <w:szCs w:val="16"/>
              </w:rPr>
              <w:t>)</w:t>
            </w:r>
          </w:p>
        </w:tc>
        <w:tc>
          <w:tcPr>
            <w:tcW w:w="0" w:type="auto"/>
            <w:noWrap/>
          </w:tcPr>
          <w:p w14:paraId="230A19D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kg (NH</w:t>
            </w:r>
            <w:r w:rsidRPr="006670F8">
              <w:rPr>
                <w:sz w:val="16"/>
                <w:szCs w:val="16"/>
                <w:vertAlign w:val="subscript"/>
              </w:rPr>
              <w:t>3-N</w:t>
            </w:r>
            <w:r w:rsidRPr="006670F8">
              <w:rPr>
                <w:sz w:val="16"/>
                <w:szCs w:val="16"/>
              </w:rPr>
              <w:t>+NO</w:t>
            </w:r>
            <w:r w:rsidRPr="006670F8">
              <w:rPr>
                <w:sz w:val="16"/>
                <w:szCs w:val="16"/>
                <w:vertAlign w:val="subscript"/>
              </w:rPr>
              <w:t>x-N</w:t>
            </w:r>
            <w:proofErr w:type="gramStart"/>
            <w:r w:rsidRPr="006670F8">
              <w:rPr>
                <w:sz w:val="16"/>
                <w:szCs w:val="16"/>
              </w:rPr>
              <w:t>) .</w:t>
            </w:r>
            <w:proofErr w:type="gramEnd"/>
            <w:r w:rsidRPr="006670F8">
              <w:rPr>
                <w:sz w:val="16"/>
                <w:szCs w:val="16"/>
              </w:rPr>
              <w:t xml:space="preserve"> kg</w:t>
            </w:r>
            <w:r w:rsidRPr="006670F8">
              <w:rPr>
                <w:sz w:val="16"/>
                <w:szCs w:val="16"/>
                <w:vertAlign w:val="subscript"/>
              </w:rPr>
              <w:t>N</w:t>
            </w:r>
            <w:r w:rsidRPr="006670F8">
              <w:rPr>
                <w:sz w:val="16"/>
                <w:szCs w:val="16"/>
                <w:vertAlign w:val="superscript"/>
              </w:rPr>
              <w:t>-1</w:t>
            </w:r>
          </w:p>
        </w:tc>
        <w:tc>
          <w:tcPr>
            <w:tcW w:w="0" w:type="auto"/>
            <w:noWrap/>
          </w:tcPr>
          <w:p w14:paraId="558F0FE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0.05</w:t>
            </w:r>
          </w:p>
        </w:tc>
        <w:tc>
          <w:tcPr>
            <w:tcW w:w="0" w:type="auto"/>
            <w:noWrap/>
          </w:tcPr>
          <w:p w14:paraId="6C61B18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0.05-0.22</w:t>
            </w:r>
          </w:p>
        </w:tc>
      </w:tr>
      <w:tr w:rsidR="00732C76" w:rsidRPr="006670F8" w14:paraId="48BD77FF"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FA114E1" w14:textId="77777777" w:rsidR="00732C76" w:rsidRPr="006670F8" w:rsidRDefault="00732C76" w:rsidP="00447F21">
            <w:pPr>
              <w:rPr>
                <w:b w:val="0"/>
                <w:bCs w:val="0"/>
                <w:sz w:val="16"/>
                <w:szCs w:val="16"/>
              </w:rPr>
            </w:pPr>
          </w:p>
        </w:tc>
        <w:tc>
          <w:tcPr>
            <w:tcW w:w="0" w:type="auto"/>
            <w:noWrap/>
            <w:hideMark/>
          </w:tcPr>
          <w:p w14:paraId="31AAC64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152</w:t>
            </w:r>
          </w:p>
        </w:tc>
        <w:tc>
          <w:tcPr>
            <w:tcW w:w="0" w:type="auto"/>
            <w:noWrap/>
          </w:tcPr>
          <w:p w14:paraId="7F85FAD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Digestate N</w:t>
            </w:r>
            <w:r w:rsidRPr="006670F8">
              <w:rPr>
                <w:b/>
                <w:sz w:val="16"/>
                <w:szCs w:val="16"/>
                <w:vertAlign w:val="subscript"/>
              </w:rPr>
              <w:t>2</w:t>
            </w:r>
            <w:r w:rsidRPr="006670F8">
              <w:rPr>
                <w:b/>
                <w:sz w:val="16"/>
                <w:szCs w:val="16"/>
              </w:rPr>
              <w:t>O indirect (EF4), storage</w:t>
            </w:r>
          </w:p>
        </w:tc>
        <w:tc>
          <w:tcPr>
            <w:tcW w:w="0" w:type="auto"/>
            <w:noWrap/>
          </w:tcPr>
          <w:p w14:paraId="51F4206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kgN</w:t>
            </w:r>
            <w:r w:rsidRPr="006670F8">
              <w:rPr>
                <w:sz w:val="16"/>
                <w:szCs w:val="16"/>
                <w:vertAlign w:val="subscript"/>
              </w:rPr>
              <w:t>2</w:t>
            </w:r>
            <w:r w:rsidRPr="006670F8">
              <w:rPr>
                <w:sz w:val="16"/>
                <w:szCs w:val="16"/>
              </w:rPr>
              <w:t>O</w:t>
            </w:r>
            <w:r w:rsidRPr="006670F8">
              <w:rPr>
                <w:sz w:val="16"/>
                <w:szCs w:val="16"/>
                <w:vertAlign w:val="subscript"/>
              </w:rPr>
              <w:t>-</w:t>
            </w:r>
            <w:proofErr w:type="gramStart"/>
            <w:r w:rsidRPr="006670F8">
              <w:rPr>
                <w:sz w:val="16"/>
                <w:szCs w:val="16"/>
                <w:vertAlign w:val="subscript"/>
              </w:rPr>
              <w:t>N</w:t>
            </w:r>
            <w:r w:rsidRPr="006670F8">
              <w:rPr>
                <w:sz w:val="16"/>
                <w:szCs w:val="16"/>
              </w:rPr>
              <w:t xml:space="preserve"> .</w:t>
            </w:r>
            <w:proofErr w:type="gramEnd"/>
            <w:r w:rsidRPr="006670F8">
              <w:rPr>
                <w:sz w:val="16"/>
                <w:szCs w:val="16"/>
              </w:rPr>
              <w:t xml:space="preserve"> kg (NH</w:t>
            </w:r>
            <w:r w:rsidRPr="006670F8">
              <w:rPr>
                <w:sz w:val="16"/>
                <w:szCs w:val="16"/>
                <w:vertAlign w:val="subscript"/>
              </w:rPr>
              <w:t>3-N</w:t>
            </w:r>
            <w:r w:rsidRPr="006670F8">
              <w:rPr>
                <w:sz w:val="16"/>
                <w:szCs w:val="16"/>
              </w:rPr>
              <w:t>+NO</w:t>
            </w:r>
            <w:r w:rsidRPr="006670F8">
              <w:rPr>
                <w:sz w:val="16"/>
                <w:szCs w:val="16"/>
                <w:vertAlign w:val="subscript"/>
              </w:rPr>
              <w:t>x-N</w:t>
            </w:r>
            <w:r w:rsidRPr="006670F8">
              <w:rPr>
                <w:sz w:val="16"/>
                <w:szCs w:val="16"/>
              </w:rPr>
              <w:t>)</w:t>
            </w:r>
            <w:r w:rsidRPr="006670F8">
              <w:rPr>
                <w:sz w:val="16"/>
                <w:szCs w:val="16"/>
                <w:vertAlign w:val="superscript"/>
              </w:rPr>
              <w:t>-1</w:t>
            </w:r>
          </w:p>
        </w:tc>
        <w:tc>
          <w:tcPr>
            <w:tcW w:w="0" w:type="auto"/>
            <w:noWrap/>
          </w:tcPr>
          <w:p w14:paraId="1D8B1E3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0.01</w:t>
            </w:r>
          </w:p>
        </w:tc>
        <w:tc>
          <w:tcPr>
            <w:tcW w:w="0" w:type="auto"/>
            <w:noWrap/>
          </w:tcPr>
          <w:p w14:paraId="7D12791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0.002-0.018</w:t>
            </w:r>
          </w:p>
        </w:tc>
      </w:tr>
      <w:tr w:rsidR="00732C76" w:rsidRPr="006670F8" w14:paraId="399299B2"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7B15478" w14:textId="77777777" w:rsidR="00732C76" w:rsidRPr="006670F8" w:rsidRDefault="00732C76" w:rsidP="00447F21">
            <w:pPr>
              <w:rPr>
                <w:b w:val="0"/>
                <w:bCs w:val="0"/>
                <w:sz w:val="16"/>
                <w:szCs w:val="16"/>
              </w:rPr>
            </w:pPr>
          </w:p>
        </w:tc>
        <w:tc>
          <w:tcPr>
            <w:tcW w:w="0" w:type="auto"/>
            <w:noWrap/>
            <w:hideMark/>
          </w:tcPr>
          <w:p w14:paraId="5902497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153</w:t>
            </w:r>
          </w:p>
        </w:tc>
        <w:tc>
          <w:tcPr>
            <w:tcW w:w="0" w:type="auto"/>
            <w:noWrap/>
          </w:tcPr>
          <w:p w14:paraId="47C9848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Digestate N</w:t>
            </w:r>
            <w:r w:rsidRPr="006670F8">
              <w:rPr>
                <w:b/>
                <w:sz w:val="16"/>
                <w:szCs w:val="16"/>
                <w:vertAlign w:val="subscript"/>
              </w:rPr>
              <w:t>2</w:t>
            </w:r>
            <w:r w:rsidRPr="006670F8">
              <w:rPr>
                <w:b/>
                <w:sz w:val="16"/>
                <w:szCs w:val="16"/>
              </w:rPr>
              <w:t xml:space="preserve"> emissions, storage</w:t>
            </w:r>
          </w:p>
        </w:tc>
        <w:tc>
          <w:tcPr>
            <w:tcW w:w="0" w:type="auto"/>
            <w:noWrap/>
          </w:tcPr>
          <w:p w14:paraId="18EE9D5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kgN</w:t>
            </w:r>
            <w:r w:rsidRPr="006670F8">
              <w:rPr>
                <w:sz w:val="16"/>
                <w:szCs w:val="16"/>
                <w:vertAlign w:val="subscript"/>
              </w:rPr>
              <w:t>2-</w:t>
            </w:r>
            <w:proofErr w:type="gramStart"/>
            <w:r w:rsidRPr="006670F8">
              <w:rPr>
                <w:sz w:val="16"/>
                <w:szCs w:val="16"/>
                <w:vertAlign w:val="subscript"/>
              </w:rPr>
              <w:t>N</w:t>
            </w:r>
            <w:r w:rsidRPr="006670F8">
              <w:rPr>
                <w:sz w:val="16"/>
                <w:szCs w:val="16"/>
              </w:rPr>
              <w:t xml:space="preserve"> .</w:t>
            </w:r>
            <w:proofErr w:type="gramEnd"/>
            <w:r w:rsidRPr="006670F8">
              <w:rPr>
                <w:sz w:val="16"/>
                <w:szCs w:val="16"/>
              </w:rPr>
              <w:t xml:space="preserve"> kg N</w:t>
            </w:r>
            <w:r w:rsidRPr="006670F8">
              <w:rPr>
                <w:sz w:val="16"/>
                <w:szCs w:val="16"/>
                <w:vertAlign w:val="subscript"/>
              </w:rPr>
              <w:t>2</w:t>
            </w:r>
            <w:r w:rsidRPr="006670F8">
              <w:rPr>
                <w:sz w:val="16"/>
                <w:szCs w:val="16"/>
              </w:rPr>
              <w:t>O</w:t>
            </w:r>
            <w:r w:rsidRPr="006670F8">
              <w:rPr>
                <w:sz w:val="16"/>
                <w:szCs w:val="16"/>
                <w:vertAlign w:val="subscript"/>
              </w:rPr>
              <w:t>-N</w:t>
            </w:r>
            <w:r w:rsidRPr="006670F8">
              <w:rPr>
                <w:sz w:val="16"/>
                <w:szCs w:val="16"/>
                <w:vertAlign w:val="superscript"/>
              </w:rPr>
              <w:t>-1</w:t>
            </w:r>
          </w:p>
        </w:tc>
        <w:tc>
          <w:tcPr>
            <w:tcW w:w="0" w:type="auto"/>
            <w:noWrap/>
          </w:tcPr>
          <w:p w14:paraId="1515F79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w:t>
            </w:r>
          </w:p>
        </w:tc>
        <w:tc>
          <w:tcPr>
            <w:tcW w:w="0" w:type="auto"/>
            <w:noWrap/>
          </w:tcPr>
          <w:p w14:paraId="06C7C9B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1-10</w:t>
            </w:r>
          </w:p>
        </w:tc>
      </w:tr>
      <w:tr w:rsidR="00732C76" w:rsidRPr="006670F8" w14:paraId="3BD3D72E"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81F1330" w14:textId="77777777" w:rsidR="00732C76" w:rsidRPr="006670F8" w:rsidRDefault="00732C76" w:rsidP="00447F21">
            <w:pPr>
              <w:rPr>
                <w:b w:val="0"/>
                <w:bCs w:val="0"/>
                <w:sz w:val="16"/>
                <w:szCs w:val="16"/>
              </w:rPr>
            </w:pPr>
          </w:p>
        </w:tc>
        <w:tc>
          <w:tcPr>
            <w:tcW w:w="0" w:type="auto"/>
            <w:noWrap/>
            <w:hideMark/>
          </w:tcPr>
          <w:p w14:paraId="6B2FE3E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154</w:t>
            </w:r>
          </w:p>
        </w:tc>
        <w:tc>
          <w:tcPr>
            <w:tcW w:w="0" w:type="auto"/>
            <w:noWrap/>
          </w:tcPr>
          <w:p w14:paraId="2746784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AD methane production</w:t>
            </w:r>
          </w:p>
        </w:tc>
        <w:tc>
          <w:tcPr>
            <w:tcW w:w="0" w:type="auto"/>
            <w:noWrap/>
          </w:tcPr>
          <w:p w14:paraId="5581C6C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TBMP</w:t>
            </w:r>
          </w:p>
        </w:tc>
        <w:tc>
          <w:tcPr>
            <w:tcW w:w="0" w:type="auto"/>
            <w:noWrap/>
          </w:tcPr>
          <w:p w14:paraId="6EB307C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75%</w:t>
            </w:r>
          </w:p>
        </w:tc>
        <w:tc>
          <w:tcPr>
            <w:tcW w:w="0" w:type="auto"/>
            <w:noWrap/>
          </w:tcPr>
          <w:p w14:paraId="653EF89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50-90%</w:t>
            </w:r>
          </w:p>
        </w:tc>
      </w:tr>
      <w:tr w:rsidR="00732C76" w:rsidRPr="006670F8" w14:paraId="658787B9"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8F2D222" w14:textId="77777777" w:rsidR="00732C76" w:rsidRPr="006670F8" w:rsidRDefault="00732C76" w:rsidP="00447F21">
            <w:pPr>
              <w:rPr>
                <w:b w:val="0"/>
                <w:bCs w:val="0"/>
                <w:sz w:val="16"/>
                <w:szCs w:val="16"/>
              </w:rPr>
            </w:pPr>
          </w:p>
        </w:tc>
        <w:tc>
          <w:tcPr>
            <w:tcW w:w="0" w:type="auto"/>
            <w:noWrap/>
            <w:hideMark/>
          </w:tcPr>
          <w:p w14:paraId="267434B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155</w:t>
            </w:r>
          </w:p>
        </w:tc>
        <w:tc>
          <w:tcPr>
            <w:tcW w:w="0" w:type="auto"/>
            <w:noWrap/>
          </w:tcPr>
          <w:p w14:paraId="5316826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AD electricity</w:t>
            </w:r>
            <w:r>
              <w:rPr>
                <w:b/>
                <w:sz w:val="16"/>
                <w:szCs w:val="16"/>
              </w:rPr>
              <w:t xml:space="preserve"> required</w:t>
            </w:r>
            <w:r w:rsidRPr="006670F8">
              <w:rPr>
                <w:b/>
                <w:sz w:val="16"/>
                <w:szCs w:val="16"/>
              </w:rPr>
              <w:t>, bioreactor</w:t>
            </w:r>
          </w:p>
        </w:tc>
        <w:tc>
          <w:tcPr>
            <w:tcW w:w="0" w:type="auto"/>
            <w:noWrap/>
          </w:tcPr>
          <w:p w14:paraId="21959F4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CHPpower</w:t>
            </w:r>
          </w:p>
        </w:tc>
        <w:tc>
          <w:tcPr>
            <w:tcW w:w="0" w:type="auto"/>
            <w:noWrap/>
          </w:tcPr>
          <w:p w14:paraId="040C5C4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8%</w:t>
            </w:r>
          </w:p>
        </w:tc>
        <w:tc>
          <w:tcPr>
            <w:tcW w:w="0" w:type="auto"/>
            <w:noWrap/>
          </w:tcPr>
          <w:p w14:paraId="693D08C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5-11%</w:t>
            </w:r>
          </w:p>
        </w:tc>
      </w:tr>
      <w:tr w:rsidR="00732C76" w:rsidRPr="006670F8" w14:paraId="740E1F7B"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B6EA996" w14:textId="77777777" w:rsidR="00732C76" w:rsidRPr="006670F8" w:rsidRDefault="00732C76" w:rsidP="00447F21">
            <w:pPr>
              <w:rPr>
                <w:b w:val="0"/>
                <w:bCs w:val="0"/>
                <w:sz w:val="16"/>
                <w:szCs w:val="16"/>
              </w:rPr>
            </w:pPr>
          </w:p>
        </w:tc>
        <w:tc>
          <w:tcPr>
            <w:tcW w:w="0" w:type="auto"/>
            <w:noWrap/>
            <w:hideMark/>
          </w:tcPr>
          <w:p w14:paraId="7F6CB01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156</w:t>
            </w:r>
          </w:p>
        </w:tc>
        <w:tc>
          <w:tcPr>
            <w:tcW w:w="0" w:type="auto"/>
            <w:noWrap/>
          </w:tcPr>
          <w:p w14:paraId="07AD337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AD heat required, bioreactor</w:t>
            </w:r>
          </w:p>
        </w:tc>
        <w:tc>
          <w:tcPr>
            <w:tcW w:w="0" w:type="auto"/>
            <w:noWrap/>
          </w:tcPr>
          <w:p w14:paraId="1A9BF12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MJ.t</w:t>
            </w:r>
            <w:r w:rsidRPr="006670F8">
              <w:rPr>
                <w:sz w:val="16"/>
                <w:szCs w:val="16"/>
                <w:vertAlign w:val="subscript"/>
              </w:rPr>
              <w:t>ww</w:t>
            </w:r>
            <w:r w:rsidRPr="006670F8">
              <w:rPr>
                <w:sz w:val="16"/>
                <w:szCs w:val="16"/>
                <w:vertAlign w:val="superscript"/>
              </w:rPr>
              <w:t>-1</w:t>
            </w:r>
          </w:p>
        </w:tc>
        <w:tc>
          <w:tcPr>
            <w:tcW w:w="0" w:type="auto"/>
            <w:noWrap/>
          </w:tcPr>
          <w:p w14:paraId="6B7E993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95.9</w:t>
            </w:r>
          </w:p>
        </w:tc>
        <w:tc>
          <w:tcPr>
            <w:tcW w:w="0" w:type="auto"/>
            <w:noWrap/>
          </w:tcPr>
          <w:p w14:paraId="72C7BF9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12-249</w:t>
            </w:r>
          </w:p>
        </w:tc>
      </w:tr>
      <w:tr w:rsidR="00732C76" w:rsidRPr="006670F8" w14:paraId="34BB608E"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CDA95DC" w14:textId="77777777" w:rsidR="00732C76" w:rsidRPr="006670F8" w:rsidRDefault="00732C76" w:rsidP="00447F21">
            <w:pPr>
              <w:rPr>
                <w:b w:val="0"/>
                <w:bCs w:val="0"/>
                <w:sz w:val="16"/>
                <w:szCs w:val="16"/>
              </w:rPr>
            </w:pPr>
          </w:p>
        </w:tc>
        <w:tc>
          <w:tcPr>
            <w:tcW w:w="0" w:type="auto"/>
            <w:noWrap/>
            <w:hideMark/>
          </w:tcPr>
          <w:p w14:paraId="48B4139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157</w:t>
            </w:r>
          </w:p>
        </w:tc>
        <w:tc>
          <w:tcPr>
            <w:tcW w:w="0" w:type="auto"/>
            <w:noWrap/>
          </w:tcPr>
          <w:p w14:paraId="3F5FFBD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AD storage emission reduction potential</w:t>
            </w:r>
          </w:p>
        </w:tc>
        <w:tc>
          <w:tcPr>
            <w:tcW w:w="0" w:type="auto"/>
            <w:noWrap/>
          </w:tcPr>
          <w:p w14:paraId="604E4B1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CH4&amp;NH3</w:t>
            </w:r>
          </w:p>
        </w:tc>
        <w:tc>
          <w:tcPr>
            <w:tcW w:w="0" w:type="auto"/>
            <w:noWrap/>
          </w:tcPr>
          <w:p w14:paraId="36A38A3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80%</w:t>
            </w:r>
          </w:p>
        </w:tc>
        <w:tc>
          <w:tcPr>
            <w:tcW w:w="0" w:type="auto"/>
            <w:noWrap/>
          </w:tcPr>
          <w:p w14:paraId="3AFA708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40-80%</w:t>
            </w:r>
          </w:p>
        </w:tc>
      </w:tr>
      <w:tr w:rsidR="00732C76" w:rsidRPr="006670F8" w14:paraId="271B99E9"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373F0F2" w14:textId="77777777" w:rsidR="00732C76" w:rsidRPr="006670F8" w:rsidRDefault="00732C76" w:rsidP="00447F21">
            <w:pPr>
              <w:rPr>
                <w:b w:val="0"/>
                <w:bCs w:val="0"/>
                <w:sz w:val="16"/>
                <w:szCs w:val="16"/>
              </w:rPr>
            </w:pPr>
          </w:p>
        </w:tc>
        <w:tc>
          <w:tcPr>
            <w:tcW w:w="0" w:type="auto"/>
            <w:noWrap/>
            <w:hideMark/>
          </w:tcPr>
          <w:p w14:paraId="61EF20B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158</w:t>
            </w:r>
          </w:p>
        </w:tc>
        <w:tc>
          <w:tcPr>
            <w:tcW w:w="0" w:type="auto"/>
            <w:noWrap/>
          </w:tcPr>
          <w:p w14:paraId="2DC7248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Digestate TAN</w:t>
            </w:r>
          </w:p>
        </w:tc>
        <w:tc>
          <w:tcPr>
            <w:tcW w:w="0" w:type="auto"/>
            <w:noWrap/>
          </w:tcPr>
          <w:p w14:paraId="4BD07E1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N</w:t>
            </w:r>
            <w:r>
              <w:rPr>
                <w:sz w:val="16"/>
                <w:szCs w:val="16"/>
                <w:vertAlign w:val="subscript"/>
              </w:rPr>
              <w:t>_digestate</w:t>
            </w:r>
          </w:p>
        </w:tc>
        <w:tc>
          <w:tcPr>
            <w:tcW w:w="0" w:type="auto"/>
            <w:noWrap/>
          </w:tcPr>
          <w:p w14:paraId="18833E8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75%</w:t>
            </w:r>
          </w:p>
        </w:tc>
        <w:tc>
          <w:tcPr>
            <w:tcW w:w="0" w:type="auto"/>
            <w:noWrap/>
          </w:tcPr>
          <w:p w14:paraId="7E01D37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55-90%</w:t>
            </w:r>
          </w:p>
        </w:tc>
      </w:tr>
      <w:tr w:rsidR="00732C76" w:rsidRPr="006670F8" w14:paraId="5462F8B0"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8EC5356" w14:textId="77777777" w:rsidR="00732C76" w:rsidRPr="006670F8" w:rsidRDefault="00732C76" w:rsidP="00447F21">
            <w:pPr>
              <w:rPr>
                <w:b w:val="0"/>
                <w:bCs w:val="0"/>
                <w:sz w:val="16"/>
                <w:szCs w:val="16"/>
              </w:rPr>
            </w:pPr>
          </w:p>
        </w:tc>
        <w:tc>
          <w:tcPr>
            <w:tcW w:w="0" w:type="auto"/>
            <w:noWrap/>
            <w:hideMark/>
          </w:tcPr>
          <w:p w14:paraId="4D46065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159</w:t>
            </w:r>
          </w:p>
        </w:tc>
        <w:tc>
          <w:tcPr>
            <w:tcW w:w="0" w:type="auto"/>
            <w:noWrap/>
          </w:tcPr>
          <w:p w14:paraId="126D703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Digestate BMP</w:t>
            </w:r>
          </w:p>
        </w:tc>
        <w:tc>
          <w:tcPr>
            <w:tcW w:w="0" w:type="auto"/>
            <w:noWrap/>
          </w:tcPr>
          <w:p w14:paraId="0B762A6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Nm</w:t>
            </w:r>
            <w:r w:rsidRPr="006670F8">
              <w:rPr>
                <w:sz w:val="16"/>
                <w:szCs w:val="16"/>
                <w:vertAlign w:val="superscript"/>
              </w:rPr>
              <w:t>3</w:t>
            </w:r>
            <w:r w:rsidRPr="006670F8">
              <w:rPr>
                <w:sz w:val="16"/>
                <w:szCs w:val="16"/>
                <w:vertAlign w:val="subscript"/>
              </w:rPr>
              <w:t>CH4</w:t>
            </w:r>
            <w:r w:rsidRPr="006670F8">
              <w:rPr>
                <w:sz w:val="16"/>
                <w:szCs w:val="16"/>
              </w:rPr>
              <w:t>.t</w:t>
            </w:r>
            <w:r w:rsidRPr="006670F8">
              <w:rPr>
                <w:sz w:val="16"/>
                <w:szCs w:val="16"/>
                <w:vertAlign w:val="subscript"/>
              </w:rPr>
              <w:t>VS</w:t>
            </w:r>
            <w:r w:rsidRPr="006670F8">
              <w:rPr>
                <w:sz w:val="16"/>
                <w:szCs w:val="16"/>
                <w:vertAlign w:val="superscript"/>
              </w:rPr>
              <w:t>-1</w:t>
            </w:r>
          </w:p>
        </w:tc>
        <w:tc>
          <w:tcPr>
            <w:tcW w:w="0" w:type="auto"/>
            <w:noWrap/>
          </w:tcPr>
          <w:p w14:paraId="4F4544A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177</w:t>
            </w:r>
          </w:p>
        </w:tc>
        <w:tc>
          <w:tcPr>
            <w:tcW w:w="0" w:type="auto"/>
            <w:noWrap/>
          </w:tcPr>
          <w:p w14:paraId="2F686E7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177-458</w:t>
            </w:r>
          </w:p>
        </w:tc>
      </w:tr>
      <w:tr w:rsidR="00732C76" w:rsidRPr="006670F8" w14:paraId="60F1D34E"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3EB64E1" w14:textId="77777777" w:rsidR="00732C76" w:rsidRPr="006670F8" w:rsidRDefault="00732C76" w:rsidP="00447F21">
            <w:pPr>
              <w:rPr>
                <w:b w:val="0"/>
                <w:bCs w:val="0"/>
                <w:sz w:val="16"/>
                <w:szCs w:val="16"/>
              </w:rPr>
            </w:pPr>
          </w:p>
        </w:tc>
        <w:tc>
          <w:tcPr>
            <w:tcW w:w="0" w:type="auto"/>
            <w:noWrap/>
            <w:hideMark/>
          </w:tcPr>
          <w:p w14:paraId="288A0FF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160</w:t>
            </w:r>
          </w:p>
        </w:tc>
        <w:tc>
          <w:tcPr>
            <w:tcW w:w="0" w:type="auto"/>
            <w:noWrap/>
          </w:tcPr>
          <w:p w14:paraId="5394275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Digestate NH</w:t>
            </w:r>
            <w:r w:rsidRPr="006670F8">
              <w:rPr>
                <w:b/>
                <w:sz w:val="16"/>
                <w:szCs w:val="16"/>
                <w:vertAlign w:val="subscript"/>
              </w:rPr>
              <w:t>3</w:t>
            </w:r>
            <w:r w:rsidRPr="006670F8">
              <w:rPr>
                <w:b/>
                <w:sz w:val="16"/>
                <w:szCs w:val="16"/>
              </w:rPr>
              <w:t xml:space="preserve"> reduction factor</w:t>
            </w:r>
          </w:p>
        </w:tc>
        <w:tc>
          <w:tcPr>
            <w:tcW w:w="0" w:type="auto"/>
            <w:noWrap/>
          </w:tcPr>
          <w:p w14:paraId="75B5100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NH3</w:t>
            </w:r>
          </w:p>
        </w:tc>
        <w:tc>
          <w:tcPr>
            <w:tcW w:w="0" w:type="auto"/>
            <w:noWrap/>
          </w:tcPr>
          <w:p w14:paraId="3E36142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50%</w:t>
            </w:r>
          </w:p>
        </w:tc>
        <w:tc>
          <w:tcPr>
            <w:tcW w:w="0" w:type="auto"/>
            <w:noWrap/>
          </w:tcPr>
          <w:p w14:paraId="3BAFC3A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20-70%</w:t>
            </w:r>
          </w:p>
        </w:tc>
      </w:tr>
      <w:tr w:rsidR="00732C76" w:rsidRPr="006670F8" w14:paraId="401D0A8B"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84437EB" w14:textId="77777777" w:rsidR="00732C76" w:rsidRPr="006670F8" w:rsidRDefault="00732C76" w:rsidP="00447F21">
            <w:pPr>
              <w:rPr>
                <w:b w:val="0"/>
                <w:bCs w:val="0"/>
                <w:sz w:val="16"/>
                <w:szCs w:val="16"/>
              </w:rPr>
            </w:pPr>
          </w:p>
        </w:tc>
        <w:tc>
          <w:tcPr>
            <w:tcW w:w="0" w:type="auto"/>
            <w:noWrap/>
            <w:hideMark/>
          </w:tcPr>
          <w:p w14:paraId="2C22116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161</w:t>
            </w:r>
          </w:p>
        </w:tc>
        <w:tc>
          <w:tcPr>
            <w:tcW w:w="0" w:type="auto"/>
            <w:noWrap/>
          </w:tcPr>
          <w:p w14:paraId="32019C5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MFE-P digestate</w:t>
            </w:r>
          </w:p>
        </w:tc>
        <w:tc>
          <w:tcPr>
            <w:tcW w:w="0" w:type="auto"/>
            <w:noWrap/>
          </w:tcPr>
          <w:p w14:paraId="02D88BB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P</w:t>
            </w:r>
          </w:p>
        </w:tc>
        <w:tc>
          <w:tcPr>
            <w:tcW w:w="0" w:type="auto"/>
            <w:noWrap/>
          </w:tcPr>
          <w:p w14:paraId="487546A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85%</w:t>
            </w:r>
          </w:p>
        </w:tc>
        <w:tc>
          <w:tcPr>
            <w:tcW w:w="0" w:type="auto"/>
            <w:noWrap/>
          </w:tcPr>
          <w:p w14:paraId="56240D3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45-85%</w:t>
            </w:r>
          </w:p>
        </w:tc>
      </w:tr>
      <w:tr w:rsidR="00732C76" w:rsidRPr="006670F8" w14:paraId="660A59AA"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52A5C79" w14:textId="77777777" w:rsidR="00732C76" w:rsidRPr="006670F8" w:rsidRDefault="00732C76" w:rsidP="00447F21">
            <w:pPr>
              <w:rPr>
                <w:b w:val="0"/>
                <w:bCs w:val="0"/>
                <w:sz w:val="16"/>
                <w:szCs w:val="16"/>
              </w:rPr>
            </w:pPr>
          </w:p>
        </w:tc>
        <w:tc>
          <w:tcPr>
            <w:tcW w:w="0" w:type="auto"/>
            <w:noWrap/>
            <w:hideMark/>
          </w:tcPr>
          <w:p w14:paraId="352A6FF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162</w:t>
            </w:r>
          </w:p>
        </w:tc>
        <w:tc>
          <w:tcPr>
            <w:tcW w:w="0" w:type="auto"/>
            <w:noWrap/>
          </w:tcPr>
          <w:p w14:paraId="381620A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MFE-K digestate</w:t>
            </w:r>
          </w:p>
        </w:tc>
        <w:tc>
          <w:tcPr>
            <w:tcW w:w="0" w:type="auto"/>
            <w:noWrap/>
          </w:tcPr>
          <w:p w14:paraId="43F0BE2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K</w:t>
            </w:r>
          </w:p>
        </w:tc>
        <w:tc>
          <w:tcPr>
            <w:tcW w:w="0" w:type="auto"/>
            <w:noWrap/>
          </w:tcPr>
          <w:p w14:paraId="05BAC8B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85%</w:t>
            </w:r>
          </w:p>
        </w:tc>
        <w:tc>
          <w:tcPr>
            <w:tcW w:w="0" w:type="auto"/>
            <w:noWrap/>
          </w:tcPr>
          <w:p w14:paraId="69B1D37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45-85%</w:t>
            </w:r>
          </w:p>
        </w:tc>
      </w:tr>
      <w:tr w:rsidR="00732C76" w:rsidRPr="006670F8" w14:paraId="67493730"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61EBC01" w14:textId="77777777" w:rsidR="00732C76" w:rsidRPr="006670F8" w:rsidRDefault="00732C76" w:rsidP="00447F21">
            <w:pPr>
              <w:rPr>
                <w:b w:val="0"/>
                <w:bCs w:val="0"/>
                <w:sz w:val="16"/>
                <w:szCs w:val="16"/>
              </w:rPr>
            </w:pPr>
          </w:p>
        </w:tc>
        <w:tc>
          <w:tcPr>
            <w:tcW w:w="0" w:type="auto"/>
            <w:noWrap/>
            <w:hideMark/>
          </w:tcPr>
          <w:p w14:paraId="541F45C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163</w:t>
            </w:r>
          </w:p>
        </w:tc>
        <w:tc>
          <w:tcPr>
            <w:tcW w:w="0" w:type="auto"/>
            <w:noWrap/>
          </w:tcPr>
          <w:p w14:paraId="4EC403A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CO</w:t>
            </w:r>
            <w:r w:rsidRPr="006670F8">
              <w:rPr>
                <w:b/>
                <w:sz w:val="16"/>
                <w:szCs w:val="16"/>
                <w:vertAlign w:val="subscript"/>
              </w:rPr>
              <w:t xml:space="preserve">2 </w:t>
            </w:r>
            <w:r w:rsidRPr="006670F8">
              <w:rPr>
                <w:b/>
                <w:sz w:val="16"/>
                <w:szCs w:val="16"/>
              </w:rPr>
              <w:t>recovery use</w:t>
            </w:r>
          </w:p>
        </w:tc>
        <w:tc>
          <w:tcPr>
            <w:tcW w:w="0" w:type="auto"/>
            <w:noWrap/>
          </w:tcPr>
          <w:p w14:paraId="50CE331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CO2</w:t>
            </w:r>
          </w:p>
        </w:tc>
        <w:tc>
          <w:tcPr>
            <w:tcW w:w="0" w:type="auto"/>
            <w:noWrap/>
          </w:tcPr>
          <w:p w14:paraId="118B672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95%</w:t>
            </w:r>
          </w:p>
        </w:tc>
        <w:tc>
          <w:tcPr>
            <w:tcW w:w="0" w:type="auto"/>
            <w:noWrap/>
          </w:tcPr>
          <w:p w14:paraId="2C02176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10-95%</w:t>
            </w:r>
          </w:p>
        </w:tc>
      </w:tr>
      <w:tr w:rsidR="00732C76" w:rsidRPr="006670F8" w14:paraId="78EB51C3"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ED72C09" w14:textId="77777777" w:rsidR="00732C76" w:rsidRPr="006670F8" w:rsidRDefault="00732C76" w:rsidP="00447F21">
            <w:pPr>
              <w:rPr>
                <w:b w:val="0"/>
                <w:bCs w:val="0"/>
                <w:sz w:val="16"/>
                <w:szCs w:val="16"/>
              </w:rPr>
            </w:pPr>
          </w:p>
        </w:tc>
        <w:tc>
          <w:tcPr>
            <w:tcW w:w="0" w:type="auto"/>
            <w:noWrap/>
            <w:hideMark/>
          </w:tcPr>
          <w:p w14:paraId="1FC1624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164</w:t>
            </w:r>
          </w:p>
        </w:tc>
        <w:tc>
          <w:tcPr>
            <w:tcW w:w="0" w:type="auto"/>
            <w:noWrap/>
          </w:tcPr>
          <w:p w14:paraId="58E45EA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Biogas CHP, power efficiency</w:t>
            </w:r>
          </w:p>
        </w:tc>
        <w:tc>
          <w:tcPr>
            <w:tcW w:w="0" w:type="auto"/>
            <w:noWrap/>
          </w:tcPr>
          <w:p w14:paraId="4C1078E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LHV</w:t>
            </w:r>
          </w:p>
        </w:tc>
        <w:tc>
          <w:tcPr>
            <w:tcW w:w="0" w:type="auto"/>
            <w:noWrap/>
          </w:tcPr>
          <w:p w14:paraId="2EFBD56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40%</w:t>
            </w:r>
          </w:p>
        </w:tc>
        <w:tc>
          <w:tcPr>
            <w:tcW w:w="0" w:type="auto"/>
            <w:noWrap/>
          </w:tcPr>
          <w:p w14:paraId="0E3741F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35-45%</w:t>
            </w:r>
          </w:p>
        </w:tc>
      </w:tr>
      <w:tr w:rsidR="00732C76" w:rsidRPr="006670F8" w14:paraId="7B48A1B7"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6AC9149" w14:textId="77777777" w:rsidR="00732C76" w:rsidRPr="006670F8" w:rsidRDefault="00732C76" w:rsidP="00447F21">
            <w:pPr>
              <w:rPr>
                <w:b w:val="0"/>
                <w:bCs w:val="0"/>
                <w:sz w:val="16"/>
                <w:szCs w:val="16"/>
              </w:rPr>
            </w:pPr>
          </w:p>
        </w:tc>
        <w:tc>
          <w:tcPr>
            <w:tcW w:w="0" w:type="auto"/>
            <w:noWrap/>
            <w:hideMark/>
          </w:tcPr>
          <w:p w14:paraId="554E89A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165</w:t>
            </w:r>
          </w:p>
        </w:tc>
        <w:tc>
          <w:tcPr>
            <w:tcW w:w="0" w:type="auto"/>
            <w:noWrap/>
          </w:tcPr>
          <w:p w14:paraId="4103369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Biogas CHP, heat efficiency</w:t>
            </w:r>
          </w:p>
        </w:tc>
        <w:tc>
          <w:tcPr>
            <w:tcW w:w="0" w:type="auto"/>
            <w:noWrap/>
          </w:tcPr>
          <w:p w14:paraId="3352FD4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LHV</w:t>
            </w:r>
          </w:p>
        </w:tc>
        <w:tc>
          <w:tcPr>
            <w:tcW w:w="0" w:type="auto"/>
            <w:noWrap/>
          </w:tcPr>
          <w:p w14:paraId="11CC4BC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45%</w:t>
            </w:r>
          </w:p>
        </w:tc>
        <w:tc>
          <w:tcPr>
            <w:tcW w:w="0" w:type="auto"/>
            <w:noWrap/>
          </w:tcPr>
          <w:p w14:paraId="65835B0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40-50%</w:t>
            </w:r>
          </w:p>
        </w:tc>
      </w:tr>
      <w:tr w:rsidR="00732C76" w:rsidRPr="006670F8" w14:paraId="2348824C" w14:textId="77777777" w:rsidTr="008C451C">
        <w:trPr>
          <w:trHeight w:val="300"/>
        </w:trPr>
        <w:tc>
          <w:tcPr>
            <w:cnfStyle w:val="001000000000" w:firstRow="0" w:lastRow="0" w:firstColumn="1" w:lastColumn="0" w:oddVBand="0" w:evenVBand="0" w:oddHBand="0" w:evenHBand="0" w:firstRowFirstColumn="0" w:firstRowLastColumn="0" w:lastRowFirstColumn="0" w:lastRowLastColumn="0"/>
            <w:tcW w:w="0" w:type="auto"/>
            <w:vMerge/>
            <w:hideMark/>
          </w:tcPr>
          <w:p w14:paraId="2C70D8D3" w14:textId="77777777" w:rsidR="00732C76" w:rsidRPr="006670F8" w:rsidRDefault="00732C76" w:rsidP="00447F21">
            <w:pPr>
              <w:rPr>
                <w:b w:val="0"/>
                <w:bCs w:val="0"/>
                <w:sz w:val="16"/>
                <w:szCs w:val="16"/>
              </w:rPr>
            </w:pPr>
          </w:p>
        </w:tc>
        <w:tc>
          <w:tcPr>
            <w:tcW w:w="0" w:type="auto"/>
            <w:noWrap/>
            <w:hideMark/>
          </w:tcPr>
          <w:p w14:paraId="003AED8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166</w:t>
            </w:r>
          </w:p>
        </w:tc>
        <w:tc>
          <w:tcPr>
            <w:tcW w:w="0" w:type="auto"/>
            <w:noWrap/>
          </w:tcPr>
          <w:p w14:paraId="6FB5E89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Biogas/Syngas CHP, unburned fraction</w:t>
            </w:r>
          </w:p>
        </w:tc>
        <w:tc>
          <w:tcPr>
            <w:tcW w:w="0" w:type="auto"/>
            <w:noWrap/>
          </w:tcPr>
          <w:p w14:paraId="30A9DA2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biogas</w:t>
            </w:r>
            <w:r>
              <w:rPr>
                <w:sz w:val="16"/>
                <w:szCs w:val="16"/>
                <w:vertAlign w:val="subscript"/>
              </w:rPr>
              <w:t>/syngas</w:t>
            </w:r>
          </w:p>
        </w:tc>
        <w:tc>
          <w:tcPr>
            <w:tcW w:w="0" w:type="auto"/>
            <w:noWrap/>
          </w:tcPr>
          <w:p w14:paraId="7F23E46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w:t>
            </w:r>
          </w:p>
        </w:tc>
        <w:tc>
          <w:tcPr>
            <w:tcW w:w="0" w:type="auto"/>
            <w:noWrap/>
          </w:tcPr>
          <w:p w14:paraId="1EFE77D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0.5-2%</w:t>
            </w:r>
          </w:p>
        </w:tc>
      </w:tr>
      <w:tr w:rsidR="00732C76" w:rsidRPr="006670F8" w14:paraId="7B7C8665" w14:textId="77777777" w:rsidTr="00C00E3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val="restart"/>
            <w:textDirection w:val="btLr"/>
            <w:hideMark/>
          </w:tcPr>
          <w:p w14:paraId="2FBB5582" w14:textId="77777777" w:rsidR="00732C76" w:rsidRPr="006670F8" w:rsidRDefault="00732C76" w:rsidP="00C00E3A">
            <w:pPr>
              <w:jc w:val="center"/>
              <w:rPr>
                <w:b w:val="0"/>
                <w:bCs w:val="0"/>
                <w:sz w:val="16"/>
                <w:szCs w:val="16"/>
              </w:rPr>
            </w:pPr>
            <w:r w:rsidRPr="006670F8">
              <w:rPr>
                <w:sz w:val="16"/>
                <w:szCs w:val="16"/>
              </w:rPr>
              <w:t>Specific to gas post-treatment operations</w:t>
            </w:r>
          </w:p>
        </w:tc>
        <w:tc>
          <w:tcPr>
            <w:tcW w:w="0" w:type="auto"/>
            <w:noWrap/>
            <w:hideMark/>
          </w:tcPr>
          <w:p w14:paraId="40CC230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167</w:t>
            </w:r>
          </w:p>
        </w:tc>
        <w:tc>
          <w:tcPr>
            <w:tcW w:w="0" w:type="auto"/>
            <w:noWrap/>
          </w:tcPr>
          <w:p w14:paraId="7268DCB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Steam turbine efficiency</w:t>
            </w:r>
          </w:p>
        </w:tc>
        <w:tc>
          <w:tcPr>
            <w:tcW w:w="0" w:type="auto"/>
            <w:noWrap/>
          </w:tcPr>
          <w:p w14:paraId="3BE77CF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MJ</w:t>
            </w:r>
          </w:p>
        </w:tc>
        <w:tc>
          <w:tcPr>
            <w:tcW w:w="0" w:type="auto"/>
            <w:noWrap/>
          </w:tcPr>
          <w:p w14:paraId="3AB2FE8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85%</w:t>
            </w:r>
          </w:p>
        </w:tc>
        <w:tc>
          <w:tcPr>
            <w:tcW w:w="0" w:type="auto"/>
            <w:noWrap/>
          </w:tcPr>
          <w:p w14:paraId="7FDA79B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80-90%</w:t>
            </w:r>
          </w:p>
        </w:tc>
      </w:tr>
      <w:tr w:rsidR="00732C76" w:rsidRPr="006670F8" w14:paraId="353258B7"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33CC8F3" w14:textId="77777777" w:rsidR="00732C76" w:rsidRPr="006670F8" w:rsidRDefault="00732C76" w:rsidP="00447F21">
            <w:pPr>
              <w:rPr>
                <w:b w:val="0"/>
                <w:bCs w:val="0"/>
                <w:sz w:val="16"/>
                <w:szCs w:val="16"/>
              </w:rPr>
            </w:pPr>
          </w:p>
        </w:tc>
        <w:tc>
          <w:tcPr>
            <w:tcW w:w="0" w:type="auto"/>
            <w:noWrap/>
            <w:hideMark/>
          </w:tcPr>
          <w:p w14:paraId="7DF600A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168</w:t>
            </w:r>
          </w:p>
        </w:tc>
        <w:tc>
          <w:tcPr>
            <w:tcW w:w="0" w:type="auto"/>
            <w:noWrap/>
          </w:tcPr>
          <w:p w14:paraId="6183A93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Pr>
                <w:b/>
                <w:sz w:val="16"/>
                <w:szCs w:val="16"/>
              </w:rPr>
              <w:t>Steam reforming (</w:t>
            </w:r>
            <w:r w:rsidRPr="006670F8">
              <w:rPr>
                <w:b/>
                <w:sz w:val="16"/>
                <w:szCs w:val="16"/>
              </w:rPr>
              <w:t>SR</w:t>
            </w:r>
            <w:r>
              <w:rPr>
                <w:b/>
                <w:sz w:val="16"/>
                <w:szCs w:val="16"/>
              </w:rPr>
              <w:t>)</w:t>
            </w:r>
            <w:r w:rsidRPr="006670F8">
              <w:rPr>
                <w:b/>
                <w:sz w:val="16"/>
                <w:szCs w:val="16"/>
              </w:rPr>
              <w:t xml:space="preserve"> electricity</w:t>
            </w:r>
            <w:r>
              <w:rPr>
                <w:b/>
                <w:sz w:val="16"/>
                <w:szCs w:val="16"/>
              </w:rPr>
              <w:t xml:space="preserve"> requirements</w:t>
            </w:r>
          </w:p>
        </w:tc>
        <w:tc>
          <w:tcPr>
            <w:tcW w:w="0" w:type="auto"/>
            <w:noWrap/>
          </w:tcPr>
          <w:p w14:paraId="12FF4C6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kWh.kg</w:t>
            </w:r>
            <w:r w:rsidRPr="006670F8">
              <w:rPr>
                <w:sz w:val="16"/>
                <w:szCs w:val="16"/>
                <w:vertAlign w:val="subscript"/>
              </w:rPr>
              <w:t>H2</w:t>
            </w:r>
            <w:r w:rsidRPr="006670F8">
              <w:rPr>
                <w:sz w:val="16"/>
                <w:szCs w:val="16"/>
                <w:vertAlign w:val="superscript"/>
              </w:rPr>
              <w:t>-1</w:t>
            </w:r>
          </w:p>
        </w:tc>
        <w:tc>
          <w:tcPr>
            <w:tcW w:w="0" w:type="auto"/>
            <w:noWrap/>
          </w:tcPr>
          <w:p w14:paraId="6723698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1.11</w:t>
            </w:r>
          </w:p>
        </w:tc>
        <w:tc>
          <w:tcPr>
            <w:tcW w:w="0" w:type="auto"/>
            <w:noWrap/>
          </w:tcPr>
          <w:p w14:paraId="5493626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0.2-4.3</w:t>
            </w:r>
          </w:p>
        </w:tc>
      </w:tr>
      <w:tr w:rsidR="00732C76" w:rsidRPr="006670F8" w14:paraId="7A063900"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7823BC5" w14:textId="77777777" w:rsidR="00732C76" w:rsidRPr="006670F8" w:rsidRDefault="00732C76" w:rsidP="00447F21">
            <w:pPr>
              <w:rPr>
                <w:b w:val="0"/>
                <w:bCs w:val="0"/>
                <w:sz w:val="16"/>
                <w:szCs w:val="16"/>
              </w:rPr>
            </w:pPr>
          </w:p>
        </w:tc>
        <w:tc>
          <w:tcPr>
            <w:tcW w:w="0" w:type="auto"/>
            <w:noWrap/>
            <w:hideMark/>
          </w:tcPr>
          <w:p w14:paraId="0A3BE5D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169</w:t>
            </w:r>
          </w:p>
        </w:tc>
        <w:tc>
          <w:tcPr>
            <w:tcW w:w="0" w:type="auto"/>
            <w:noWrap/>
          </w:tcPr>
          <w:p w14:paraId="36EDF4F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SR pressure</w:t>
            </w:r>
          </w:p>
        </w:tc>
        <w:tc>
          <w:tcPr>
            <w:tcW w:w="0" w:type="auto"/>
            <w:noWrap/>
          </w:tcPr>
          <w:p w14:paraId="61DBDC4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bar</w:t>
            </w:r>
          </w:p>
        </w:tc>
        <w:tc>
          <w:tcPr>
            <w:tcW w:w="0" w:type="auto"/>
            <w:noWrap/>
          </w:tcPr>
          <w:p w14:paraId="4A9F931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35</w:t>
            </w:r>
          </w:p>
        </w:tc>
        <w:tc>
          <w:tcPr>
            <w:tcW w:w="0" w:type="auto"/>
            <w:noWrap/>
          </w:tcPr>
          <w:p w14:paraId="66DAFC1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30-40</w:t>
            </w:r>
          </w:p>
        </w:tc>
      </w:tr>
      <w:tr w:rsidR="00732C76" w:rsidRPr="006670F8" w14:paraId="1751FFDD"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BC5A0BF" w14:textId="77777777" w:rsidR="00732C76" w:rsidRPr="006670F8" w:rsidRDefault="00732C76" w:rsidP="00447F21">
            <w:pPr>
              <w:rPr>
                <w:b w:val="0"/>
                <w:bCs w:val="0"/>
                <w:sz w:val="16"/>
                <w:szCs w:val="16"/>
              </w:rPr>
            </w:pPr>
          </w:p>
        </w:tc>
        <w:tc>
          <w:tcPr>
            <w:tcW w:w="0" w:type="auto"/>
            <w:noWrap/>
            <w:hideMark/>
          </w:tcPr>
          <w:p w14:paraId="47B4A10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170</w:t>
            </w:r>
          </w:p>
        </w:tc>
        <w:tc>
          <w:tcPr>
            <w:tcW w:w="0" w:type="auto"/>
            <w:noWrap/>
          </w:tcPr>
          <w:p w14:paraId="77920A4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SR steam:C ratio</w:t>
            </w:r>
          </w:p>
        </w:tc>
        <w:tc>
          <w:tcPr>
            <w:tcW w:w="0" w:type="auto"/>
            <w:noWrap/>
          </w:tcPr>
          <w:p w14:paraId="38A1B20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molH</w:t>
            </w:r>
            <w:r w:rsidRPr="006670F8">
              <w:rPr>
                <w:sz w:val="16"/>
                <w:szCs w:val="16"/>
                <w:vertAlign w:val="subscript"/>
              </w:rPr>
              <w:t>2</w:t>
            </w:r>
            <w:r w:rsidRPr="006670F8">
              <w:rPr>
                <w:sz w:val="16"/>
                <w:szCs w:val="16"/>
              </w:rPr>
              <w:t>O.molC</w:t>
            </w:r>
            <w:r w:rsidRPr="006670F8">
              <w:rPr>
                <w:sz w:val="16"/>
                <w:szCs w:val="16"/>
                <w:vertAlign w:val="superscript"/>
              </w:rPr>
              <w:t>-1</w:t>
            </w:r>
          </w:p>
        </w:tc>
        <w:tc>
          <w:tcPr>
            <w:tcW w:w="0" w:type="auto"/>
            <w:noWrap/>
          </w:tcPr>
          <w:p w14:paraId="2E381EE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w:t>
            </w:r>
          </w:p>
        </w:tc>
        <w:tc>
          <w:tcPr>
            <w:tcW w:w="0" w:type="auto"/>
            <w:noWrap/>
          </w:tcPr>
          <w:p w14:paraId="3A061B4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2.5-4</w:t>
            </w:r>
          </w:p>
        </w:tc>
      </w:tr>
      <w:tr w:rsidR="00732C76" w:rsidRPr="006670F8" w14:paraId="77B934C1"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FD17F2D" w14:textId="77777777" w:rsidR="00732C76" w:rsidRPr="006670F8" w:rsidRDefault="00732C76" w:rsidP="00447F21">
            <w:pPr>
              <w:rPr>
                <w:b w:val="0"/>
                <w:bCs w:val="0"/>
                <w:sz w:val="16"/>
                <w:szCs w:val="16"/>
              </w:rPr>
            </w:pPr>
          </w:p>
        </w:tc>
        <w:tc>
          <w:tcPr>
            <w:tcW w:w="0" w:type="auto"/>
            <w:noWrap/>
            <w:hideMark/>
          </w:tcPr>
          <w:p w14:paraId="6308BC8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171</w:t>
            </w:r>
          </w:p>
        </w:tc>
        <w:tc>
          <w:tcPr>
            <w:tcW w:w="0" w:type="auto"/>
            <w:noWrap/>
          </w:tcPr>
          <w:p w14:paraId="6135AFC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SR CH</w:t>
            </w:r>
            <w:r w:rsidRPr="006670F8">
              <w:rPr>
                <w:b/>
                <w:sz w:val="16"/>
                <w:szCs w:val="16"/>
                <w:vertAlign w:val="subscript"/>
              </w:rPr>
              <w:t>4</w:t>
            </w:r>
            <w:r w:rsidRPr="006670F8">
              <w:rPr>
                <w:b/>
                <w:sz w:val="16"/>
                <w:szCs w:val="16"/>
              </w:rPr>
              <w:t xml:space="preserve"> conversion yield</w:t>
            </w:r>
          </w:p>
        </w:tc>
        <w:tc>
          <w:tcPr>
            <w:tcW w:w="0" w:type="auto"/>
            <w:noWrap/>
          </w:tcPr>
          <w:p w14:paraId="63A5679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%CH</w:t>
            </w:r>
            <w:r w:rsidRPr="006670F8">
              <w:rPr>
                <w:sz w:val="16"/>
                <w:szCs w:val="16"/>
                <w:vertAlign w:val="subscript"/>
              </w:rPr>
              <w:t>4</w:t>
            </w:r>
          </w:p>
        </w:tc>
        <w:tc>
          <w:tcPr>
            <w:tcW w:w="0" w:type="auto"/>
            <w:noWrap/>
          </w:tcPr>
          <w:p w14:paraId="5B84073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85%</w:t>
            </w:r>
          </w:p>
        </w:tc>
        <w:tc>
          <w:tcPr>
            <w:tcW w:w="0" w:type="auto"/>
            <w:noWrap/>
          </w:tcPr>
          <w:p w14:paraId="7314958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76-95%</w:t>
            </w:r>
          </w:p>
        </w:tc>
      </w:tr>
      <w:tr w:rsidR="00732C76" w:rsidRPr="006670F8" w14:paraId="593D7814"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729D2B7" w14:textId="77777777" w:rsidR="00732C76" w:rsidRPr="006670F8" w:rsidRDefault="00732C76" w:rsidP="00447F21">
            <w:pPr>
              <w:rPr>
                <w:b w:val="0"/>
                <w:bCs w:val="0"/>
                <w:sz w:val="16"/>
                <w:szCs w:val="16"/>
              </w:rPr>
            </w:pPr>
          </w:p>
        </w:tc>
        <w:tc>
          <w:tcPr>
            <w:tcW w:w="0" w:type="auto"/>
            <w:noWrap/>
            <w:hideMark/>
          </w:tcPr>
          <w:p w14:paraId="3A85810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172</w:t>
            </w:r>
          </w:p>
        </w:tc>
        <w:tc>
          <w:tcPr>
            <w:tcW w:w="0" w:type="auto"/>
            <w:noWrap/>
          </w:tcPr>
          <w:p w14:paraId="2EB405D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SR outlet losses</w:t>
            </w:r>
          </w:p>
        </w:tc>
        <w:tc>
          <w:tcPr>
            <w:tcW w:w="0" w:type="auto"/>
            <w:noWrap/>
          </w:tcPr>
          <w:p w14:paraId="4B51059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out</w:t>
            </w:r>
          </w:p>
        </w:tc>
        <w:tc>
          <w:tcPr>
            <w:tcW w:w="0" w:type="auto"/>
            <w:noWrap/>
          </w:tcPr>
          <w:p w14:paraId="7E4F33D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w:t>
            </w:r>
          </w:p>
        </w:tc>
        <w:tc>
          <w:tcPr>
            <w:tcW w:w="0" w:type="auto"/>
            <w:noWrap/>
          </w:tcPr>
          <w:p w14:paraId="3F84805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1-2%</w:t>
            </w:r>
          </w:p>
        </w:tc>
      </w:tr>
      <w:tr w:rsidR="00732C76" w:rsidRPr="006670F8" w14:paraId="4FA663EE"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634809E" w14:textId="77777777" w:rsidR="00732C76" w:rsidRPr="006670F8" w:rsidRDefault="00732C76" w:rsidP="00447F21">
            <w:pPr>
              <w:rPr>
                <w:b w:val="0"/>
                <w:bCs w:val="0"/>
                <w:sz w:val="16"/>
                <w:szCs w:val="16"/>
              </w:rPr>
            </w:pPr>
          </w:p>
        </w:tc>
        <w:tc>
          <w:tcPr>
            <w:tcW w:w="0" w:type="auto"/>
            <w:noWrap/>
            <w:hideMark/>
          </w:tcPr>
          <w:p w14:paraId="4736EFB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173</w:t>
            </w:r>
          </w:p>
        </w:tc>
        <w:tc>
          <w:tcPr>
            <w:tcW w:w="0" w:type="auto"/>
            <w:noWrap/>
          </w:tcPr>
          <w:p w14:paraId="2196E97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Pr>
                <w:b/>
                <w:sz w:val="16"/>
                <w:szCs w:val="16"/>
              </w:rPr>
              <w:t>Water conversion shift (</w:t>
            </w:r>
            <w:r w:rsidRPr="006670F8">
              <w:rPr>
                <w:b/>
                <w:sz w:val="16"/>
                <w:szCs w:val="16"/>
              </w:rPr>
              <w:t>WCS</w:t>
            </w:r>
            <w:r>
              <w:rPr>
                <w:b/>
                <w:sz w:val="16"/>
                <w:szCs w:val="16"/>
              </w:rPr>
              <w:t>)</w:t>
            </w:r>
            <w:r w:rsidRPr="006670F8">
              <w:rPr>
                <w:b/>
                <w:sz w:val="16"/>
                <w:szCs w:val="16"/>
              </w:rPr>
              <w:t xml:space="preserve"> steam:gas ratio</w:t>
            </w:r>
          </w:p>
        </w:tc>
        <w:tc>
          <w:tcPr>
            <w:tcW w:w="0" w:type="auto"/>
            <w:noWrap/>
          </w:tcPr>
          <w:p w14:paraId="3586631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vol basis</w:t>
            </w:r>
          </w:p>
        </w:tc>
        <w:tc>
          <w:tcPr>
            <w:tcW w:w="0" w:type="auto"/>
            <w:noWrap/>
          </w:tcPr>
          <w:p w14:paraId="7F94A81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0.6</w:t>
            </w:r>
          </w:p>
        </w:tc>
        <w:tc>
          <w:tcPr>
            <w:tcW w:w="0" w:type="auto"/>
            <w:noWrap/>
          </w:tcPr>
          <w:p w14:paraId="050298A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0.5-0.7</w:t>
            </w:r>
          </w:p>
        </w:tc>
      </w:tr>
      <w:tr w:rsidR="00732C76" w:rsidRPr="006670F8" w14:paraId="6B41C589"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D547C93" w14:textId="77777777" w:rsidR="00732C76" w:rsidRPr="006670F8" w:rsidRDefault="00732C76" w:rsidP="00447F21">
            <w:pPr>
              <w:rPr>
                <w:b w:val="0"/>
                <w:bCs w:val="0"/>
                <w:sz w:val="16"/>
                <w:szCs w:val="16"/>
              </w:rPr>
            </w:pPr>
          </w:p>
        </w:tc>
        <w:tc>
          <w:tcPr>
            <w:tcW w:w="0" w:type="auto"/>
            <w:noWrap/>
            <w:hideMark/>
          </w:tcPr>
          <w:p w14:paraId="6D3BE87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174</w:t>
            </w:r>
          </w:p>
        </w:tc>
        <w:tc>
          <w:tcPr>
            <w:tcW w:w="0" w:type="auto"/>
            <w:noWrap/>
          </w:tcPr>
          <w:p w14:paraId="2E513D7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WCS CO conversion yield</w:t>
            </w:r>
          </w:p>
        </w:tc>
        <w:tc>
          <w:tcPr>
            <w:tcW w:w="0" w:type="auto"/>
            <w:noWrap/>
          </w:tcPr>
          <w:p w14:paraId="7DB01FB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CO</w:t>
            </w:r>
          </w:p>
        </w:tc>
        <w:tc>
          <w:tcPr>
            <w:tcW w:w="0" w:type="auto"/>
            <w:noWrap/>
          </w:tcPr>
          <w:p w14:paraId="68BD009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85%</w:t>
            </w:r>
          </w:p>
        </w:tc>
        <w:tc>
          <w:tcPr>
            <w:tcW w:w="0" w:type="auto"/>
            <w:noWrap/>
          </w:tcPr>
          <w:p w14:paraId="35CBECA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80-89%</w:t>
            </w:r>
          </w:p>
        </w:tc>
      </w:tr>
      <w:tr w:rsidR="00732C76" w:rsidRPr="006670F8" w14:paraId="596C7097"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5440BEF" w14:textId="77777777" w:rsidR="00732C76" w:rsidRPr="006670F8" w:rsidRDefault="00732C76" w:rsidP="00447F21">
            <w:pPr>
              <w:rPr>
                <w:b w:val="0"/>
                <w:bCs w:val="0"/>
                <w:sz w:val="16"/>
                <w:szCs w:val="16"/>
              </w:rPr>
            </w:pPr>
          </w:p>
        </w:tc>
        <w:tc>
          <w:tcPr>
            <w:tcW w:w="0" w:type="auto"/>
            <w:noWrap/>
            <w:hideMark/>
          </w:tcPr>
          <w:p w14:paraId="2E8AB0B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175</w:t>
            </w:r>
          </w:p>
        </w:tc>
        <w:tc>
          <w:tcPr>
            <w:tcW w:w="0" w:type="auto"/>
            <w:noWrap/>
          </w:tcPr>
          <w:p w14:paraId="19A9E44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WCS outlet losses</w:t>
            </w:r>
          </w:p>
        </w:tc>
        <w:tc>
          <w:tcPr>
            <w:tcW w:w="0" w:type="auto"/>
            <w:noWrap/>
          </w:tcPr>
          <w:p w14:paraId="25A7271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out</w:t>
            </w:r>
          </w:p>
        </w:tc>
        <w:tc>
          <w:tcPr>
            <w:tcW w:w="0" w:type="auto"/>
            <w:noWrap/>
          </w:tcPr>
          <w:p w14:paraId="1892CEF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w:t>
            </w:r>
          </w:p>
        </w:tc>
        <w:tc>
          <w:tcPr>
            <w:tcW w:w="0" w:type="auto"/>
            <w:noWrap/>
          </w:tcPr>
          <w:p w14:paraId="531B4D2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0-1%</w:t>
            </w:r>
          </w:p>
        </w:tc>
      </w:tr>
      <w:tr w:rsidR="00732C76" w:rsidRPr="006670F8" w14:paraId="6D0310CA"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028485E" w14:textId="77777777" w:rsidR="00732C76" w:rsidRPr="006670F8" w:rsidRDefault="00732C76" w:rsidP="00447F21">
            <w:pPr>
              <w:rPr>
                <w:b w:val="0"/>
                <w:bCs w:val="0"/>
                <w:sz w:val="16"/>
                <w:szCs w:val="16"/>
              </w:rPr>
            </w:pPr>
          </w:p>
        </w:tc>
        <w:tc>
          <w:tcPr>
            <w:tcW w:w="0" w:type="auto"/>
            <w:noWrap/>
            <w:hideMark/>
          </w:tcPr>
          <w:p w14:paraId="146D0D2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176</w:t>
            </w:r>
          </w:p>
        </w:tc>
        <w:tc>
          <w:tcPr>
            <w:tcW w:w="0" w:type="auto"/>
            <w:noWrap/>
          </w:tcPr>
          <w:p w14:paraId="369D495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Methanation conversion yield</w:t>
            </w:r>
          </w:p>
        </w:tc>
        <w:tc>
          <w:tcPr>
            <w:tcW w:w="0" w:type="auto"/>
            <w:noWrap/>
          </w:tcPr>
          <w:p w14:paraId="4B13315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C</w:t>
            </w:r>
          </w:p>
        </w:tc>
        <w:tc>
          <w:tcPr>
            <w:tcW w:w="0" w:type="auto"/>
            <w:noWrap/>
          </w:tcPr>
          <w:p w14:paraId="3A59EE2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95%</w:t>
            </w:r>
          </w:p>
        </w:tc>
        <w:tc>
          <w:tcPr>
            <w:tcW w:w="0" w:type="auto"/>
            <w:noWrap/>
          </w:tcPr>
          <w:p w14:paraId="2711B2B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92-98%</w:t>
            </w:r>
          </w:p>
        </w:tc>
      </w:tr>
      <w:tr w:rsidR="00732C76" w:rsidRPr="006670F8" w14:paraId="0B28B341"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9A8198F" w14:textId="77777777" w:rsidR="00732C76" w:rsidRPr="006670F8" w:rsidRDefault="00732C76" w:rsidP="00447F21">
            <w:pPr>
              <w:rPr>
                <w:b w:val="0"/>
                <w:bCs w:val="0"/>
                <w:sz w:val="16"/>
                <w:szCs w:val="16"/>
              </w:rPr>
            </w:pPr>
          </w:p>
        </w:tc>
        <w:tc>
          <w:tcPr>
            <w:tcW w:w="0" w:type="auto"/>
            <w:noWrap/>
            <w:hideMark/>
          </w:tcPr>
          <w:p w14:paraId="30E9465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177</w:t>
            </w:r>
          </w:p>
        </w:tc>
        <w:tc>
          <w:tcPr>
            <w:tcW w:w="0" w:type="auto"/>
            <w:noWrap/>
          </w:tcPr>
          <w:p w14:paraId="003B29D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Methanation outlet losses</w:t>
            </w:r>
          </w:p>
        </w:tc>
        <w:tc>
          <w:tcPr>
            <w:tcW w:w="0" w:type="auto"/>
            <w:noWrap/>
          </w:tcPr>
          <w:p w14:paraId="78C1724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out</w:t>
            </w:r>
          </w:p>
        </w:tc>
        <w:tc>
          <w:tcPr>
            <w:tcW w:w="0" w:type="auto"/>
            <w:noWrap/>
          </w:tcPr>
          <w:p w14:paraId="3049DEB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w:t>
            </w:r>
          </w:p>
        </w:tc>
        <w:tc>
          <w:tcPr>
            <w:tcW w:w="0" w:type="auto"/>
            <w:noWrap/>
          </w:tcPr>
          <w:p w14:paraId="1CF2014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0-1%</w:t>
            </w:r>
          </w:p>
        </w:tc>
      </w:tr>
      <w:tr w:rsidR="00732C76" w:rsidRPr="006670F8" w14:paraId="7DB5CB41"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37174A5" w14:textId="77777777" w:rsidR="00732C76" w:rsidRPr="006670F8" w:rsidRDefault="00732C76" w:rsidP="00447F21">
            <w:pPr>
              <w:rPr>
                <w:b w:val="0"/>
                <w:bCs w:val="0"/>
                <w:sz w:val="16"/>
                <w:szCs w:val="16"/>
              </w:rPr>
            </w:pPr>
          </w:p>
        </w:tc>
        <w:tc>
          <w:tcPr>
            <w:tcW w:w="0" w:type="auto"/>
            <w:noWrap/>
            <w:hideMark/>
          </w:tcPr>
          <w:p w14:paraId="2294A1F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178</w:t>
            </w:r>
          </w:p>
        </w:tc>
        <w:tc>
          <w:tcPr>
            <w:tcW w:w="0" w:type="auto"/>
            <w:noWrap/>
          </w:tcPr>
          <w:p w14:paraId="3B16CAF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Methanation electricity, GA</w:t>
            </w:r>
          </w:p>
        </w:tc>
        <w:tc>
          <w:tcPr>
            <w:tcW w:w="0" w:type="auto"/>
            <w:noWrap/>
          </w:tcPr>
          <w:p w14:paraId="747522B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kWh.kg</w:t>
            </w:r>
            <w:r w:rsidRPr="006670F8">
              <w:rPr>
                <w:sz w:val="16"/>
                <w:szCs w:val="16"/>
                <w:vertAlign w:val="subscript"/>
              </w:rPr>
              <w:t>CH4</w:t>
            </w:r>
            <w:r w:rsidRPr="006670F8">
              <w:rPr>
                <w:sz w:val="16"/>
                <w:szCs w:val="16"/>
                <w:vertAlign w:val="superscript"/>
              </w:rPr>
              <w:t>-1</w:t>
            </w:r>
          </w:p>
        </w:tc>
        <w:tc>
          <w:tcPr>
            <w:tcW w:w="0" w:type="auto"/>
            <w:noWrap/>
          </w:tcPr>
          <w:p w14:paraId="4CC1E78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1.24</w:t>
            </w:r>
          </w:p>
        </w:tc>
        <w:tc>
          <w:tcPr>
            <w:tcW w:w="0" w:type="auto"/>
            <w:noWrap/>
          </w:tcPr>
          <w:p w14:paraId="45DB00A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1-10</w:t>
            </w:r>
          </w:p>
        </w:tc>
      </w:tr>
      <w:tr w:rsidR="00732C76" w:rsidRPr="006670F8" w14:paraId="754C410E" w14:textId="77777777" w:rsidTr="008C451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vMerge/>
            <w:hideMark/>
          </w:tcPr>
          <w:p w14:paraId="424377B8" w14:textId="77777777" w:rsidR="00732C76" w:rsidRPr="006670F8" w:rsidRDefault="00732C76" w:rsidP="00447F21">
            <w:pPr>
              <w:rPr>
                <w:b w:val="0"/>
                <w:bCs w:val="0"/>
                <w:sz w:val="16"/>
                <w:szCs w:val="16"/>
              </w:rPr>
            </w:pPr>
          </w:p>
        </w:tc>
        <w:tc>
          <w:tcPr>
            <w:tcW w:w="0" w:type="auto"/>
            <w:noWrap/>
            <w:hideMark/>
          </w:tcPr>
          <w:p w14:paraId="3154B87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179</w:t>
            </w:r>
          </w:p>
        </w:tc>
        <w:tc>
          <w:tcPr>
            <w:tcW w:w="0" w:type="auto"/>
            <w:noWrap/>
          </w:tcPr>
          <w:p w14:paraId="1A35994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Methanation electricity, AD</w:t>
            </w:r>
          </w:p>
        </w:tc>
        <w:tc>
          <w:tcPr>
            <w:tcW w:w="0" w:type="auto"/>
            <w:noWrap/>
          </w:tcPr>
          <w:p w14:paraId="15460FC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HHVin</w:t>
            </w:r>
          </w:p>
        </w:tc>
        <w:tc>
          <w:tcPr>
            <w:tcW w:w="0" w:type="auto"/>
            <w:noWrap/>
          </w:tcPr>
          <w:p w14:paraId="3BD8677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1.1%</w:t>
            </w:r>
          </w:p>
        </w:tc>
        <w:tc>
          <w:tcPr>
            <w:tcW w:w="0" w:type="auto"/>
            <w:noWrap/>
          </w:tcPr>
          <w:p w14:paraId="7805103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1.0-1.4%</w:t>
            </w:r>
          </w:p>
        </w:tc>
      </w:tr>
      <w:tr w:rsidR="00732C76" w:rsidRPr="006670F8" w14:paraId="65314256" w14:textId="77777777" w:rsidTr="00C00E3A">
        <w:trPr>
          <w:trHeight w:val="290"/>
        </w:trPr>
        <w:tc>
          <w:tcPr>
            <w:cnfStyle w:val="001000000000" w:firstRow="0" w:lastRow="0" w:firstColumn="1" w:lastColumn="0" w:oddVBand="0" w:evenVBand="0" w:oddHBand="0" w:evenHBand="0" w:firstRowFirstColumn="0" w:firstRowLastColumn="0" w:lastRowFirstColumn="0" w:lastRowLastColumn="0"/>
            <w:tcW w:w="0" w:type="auto"/>
            <w:vMerge w:val="restart"/>
            <w:textDirection w:val="btLr"/>
            <w:hideMark/>
          </w:tcPr>
          <w:p w14:paraId="0968BB16" w14:textId="77777777" w:rsidR="00732C76" w:rsidRPr="006670F8" w:rsidRDefault="00732C76" w:rsidP="00C00E3A">
            <w:pPr>
              <w:jc w:val="center"/>
              <w:rPr>
                <w:b w:val="0"/>
                <w:bCs w:val="0"/>
                <w:sz w:val="16"/>
                <w:szCs w:val="16"/>
              </w:rPr>
            </w:pPr>
            <w:r w:rsidRPr="006670F8">
              <w:rPr>
                <w:sz w:val="16"/>
                <w:szCs w:val="16"/>
              </w:rPr>
              <w:t>Specific to gasification</w:t>
            </w:r>
          </w:p>
        </w:tc>
        <w:tc>
          <w:tcPr>
            <w:tcW w:w="0" w:type="auto"/>
            <w:noWrap/>
            <w:hideMark/>
          </w:tcPr>
          <w:p w14:paraId="11DDFE5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180</w:t>
            </w:r>
          </w:p>
        </w:tc>
        <w:tc>
          <w:tcPr>
            <w:tcW w:w="0" w:type="auto"/>
            <w:noWrap/>
          </w:tcPr>
          <w:p w14:paraId="0C73A7D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Dryer thermal efficiency</w:t>
            </w:r>
          </w:p>
        </w:tc>
        <w:tc>
          <w:tcPr>
            <w:tcW w:w="0" w:type="auto"/>
            <w:noWrap/>
          </w:tcPr>
          <w:p w14:paraId="4BFB11E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MJ</w:t>
            </w:r>
          </w:p>
        </w:tc>
        <w:tc>
          <w:tcPr>
            <w:tcW w:w="0" w:type="auto"/>
            <w:noWrap/>
          </w:tcPr>
          <w:p w14:paraId="79EB0EE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90%</w:t>
            </w:r>
          </w:p>
        </w:tc>
        <w:tc>
          <w:tcPr>
            <w:tcW w:w="0" w:type="auto"/>
            <w:noWrap/>
          </w:tcPr>
          <w:p w14:paraId="49A8A0E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85-95%</w:t>
            </w:r>
          </w:p>
        </w:tc>
      </w:tr>
      <w:tr w:rsidR="00732C76" w:rsidRPr="006670F8" w14:paraId="2608720F"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DCAD295" w14:textId="77777777" w:rsidR="00732C76" w:rsidRPr="006670F8" w:rsidRDefault="00732C76" w:rsidP="00447F21">
            <w:pPr>
              <w:rPr>
                <w:b w:val="0"/>
                <w:bCs w:val="0"/>
                <w:sz w:val="16"/>
                <w:szCs w:val="16"/>
              </w:rPr>
            </w:pPr>
          </w:p>
        </w:tc>
        <w:tc>
          <w:tcPr>
            <w:tcW w:w="0" w:type="auto"/>
            <w:noWrap/>
            <w:hideMark/>
          </w:tcPr>
          <w:p w14:paraId="58FD62D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181</w:t>
            </w:r>
          </w:p>
        </w:tc>
        <w:tc>
          <w:tcPr>
            <w:tcW w:w="0" w:type="auto"/>
            <w:noWrap/>
          </w:tcPr>
          <w:p w14:paraId="0BC59B3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Syngas CHP, power efficiency</w:t>
            </w:r>
          </w:p>
        </w:tc>
        <w:tc>
          <w:tcPr>
            <w:tcW w:w="0" w:type="auto"/>
            <w:noWrap/>
          </w:tcPr>
          <w:p w14:paraId="36E1316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LHV</w:t>
            </w:r>
          </w:p>
        </w:tc>
        <w:tc>
          <w:tcPr>
            <w:tcW w:w="0" w:type="auto"/>
            <w:noWrap/>
          </w:tcPr>
          <w:p w14:paraId="7831FA4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35%</w:t>
            </w:r>
          </w:p>
        </w:tc>
        <w:tc>
          <w:tcPr>
            <w:tcW w:w="0" w:type="auto"/>
            <w:noWrap/>
          </w:tcPr>
          <w:p w14:paraId="305ACA1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30-40%</w:t>
            </w:r>
          </w:p>
        </w:tc>
      </w:tr>
      <w:tr w:rsidR="00732C76" w:rsidRPr="006670F8" w14:paraId="6462A600"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D0C73C8" w14:textId="77777777" w:rsidR="00732C76" w:rsidRPr="006670F8" w:rsidRDefault="00732C76" w:rsidP="00447F21">
            <w:pPr>
              <w:rPr>
                <w:b w:val="0"/>
                <w:bCs w:val="0"/>
                <w:sz w:val="16"/>
                <w:szCs w:val="16"/>
              </w:rPr>
            </w:pPr>
          </w:p>
        </w:tc>
        <w:tc>
          <w:tcPr>
            <w:tcW w:w="0" w:type="auto"/>
            <w:noWrap/>
            <w:hideMark/>
          </w:tcPr>
          <w:p w14:paraId="51C27A5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182</w:t>
            </w:r>
          </w:p>
        </w:tc>
        <w:tc>
          <w:tcPr>
            <w:tcW w:w="0" w:type="auto"/>
            <w:noWrap/>
          </w:tcPr>
          <w:p w14:paraId="2CDBA49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Syngas CHP, heat efficiency</w:t>
            </w:r>
          </w:p>
        </w:tc>
        <w:tc>
          <w:tcPr>
            <w:tcW w:w="0" w:type="auto"/>
            <w:noWrap/>
          </w:tcPr>
          <w:p w14:paraId="0146C21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LHV</w:t>
            </w:r>
          </w:p>
        </w:tc>
        <w:tc>
          <w:tcPr>
            <w:tcW w:w="0" w:type="auto"/>
            <w:noWrap/>
          </w:tcPr>
          <w:p w14:paraId="12901EB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45%</w:t>
            </w:r>
          </w:p>
        </w:tc>
        <w:tc>
          <w:tcPr>
            <w:tcW w:w="0" w:type="auto"/>
            <w:noWrap/>
          </w:tcPr>
          <w:p w14:paraId="3DF7BEE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40-50%</w:t>
            </w:r>
          </w:p>
        </w:tc>
      </w:tr>
      <w:tr w:rsidR="00732C76" w:rsidRPr="006670F8" w14:paraId="748C702A"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7873181" w14:textId="77777777" w:rsidR="00732C76" w:rsidRPr="006670F8" w:rsidRDefault="00732C76" w:rsidP="00447F21">
            <w:pPr>
              <w:rPr>
                <w:b w:val="0"/>
                <w:bCs w:val="0"/>
                <w:sz w:val="16"/>
                <w:szCs w:val="16"/>
              </w:rPr>
            </w:pPr>
          </w:p>
        </w:tc>
        <w:tc>
          <w:tcPr>
            <w:tcW w:w="0" w:type="auto"/>
            <w:noWrap/>
            <w:hideMark/>
          </w:tcPr>
          <w:p w14:paraId="5883041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183</w:t>
            </w:r>
          </w:p>
        </w:tc>
        <w:tc>
          <w:tcPr>
            <w:tcW w:w="0" w:type="auto"/>
            <w:noWrap/>
          </w:tcPr>
          <w:p w14:paraId="3540EB9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Gasification stage electricity</w:t>
            </w:r>
          </w:p>
        </w:tc>
        <w:tc>
          <w:tcPr>
            <w:tcW w:w="0" w:type="auto"/>
            <w:noWrap/>
          </w:tcPr>
          <w:p w14:paraId="169A64F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kWh.t</w:t>
            </w:r>
            <w:r w:rsidRPr="006670F8">
              <w:rPr>
                <w:sz w:val="16"/>
                <w:szCs w:val="16"/>
                <w:vertAlign w:val="subscript"/>
              </w:rPr>
              <w:t>DM</w:t>
            </w:r>
            <w:r w:rsidRPr="006670F8">
              <w:rPr>
                <w:sz w:val="16"/>
                <w:szCs w:val="16"/>
                <w:vertAlign w:val="superscript"/>
              </w:rPr>
              <w:t>-1</w:t>
            </w:r>
          </w:p>
        </w:tc>
        <w:tc>
          <w:tcPr>
            <w:tcW w:w="0" w:type="auto"/>
            <w:noWrap/>
          </w:tcPr>
          <w:p w14:paraId="3C1FDCD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180</w:t>
            </w:r>
          </w:p>
        </w:tc>
        <w:tc>
          <w:tcPr>
            <w:tcW w:w="0" w:type="auto"/>
            <w:noWrap/>
          </w:tcPr>
          <w:p w14:paraId="2D6771F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100-650</w:t>
            </w:r>
          </w:p>
        </w:tc>
      </w:tr>
      <w:tr w:rsidR="00732C76" w:rsidRPr="006670F8" w14:paraId="5466DDEC"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AB7EE1F" w14:textId="77777777" w:rsidR="00732C76" w:rsidRPr="006670F8" w:rsidRDefault="00732C76" w:rsidP="00447F21">
            <w:pPr>
              <w:rPr>
                <w:b w:val="0"/>
                <w:bCs w:val="0"/>
                <w:sz w:val="16"/>
                <w:szCs w:val="16"/>
              </w:rPr>
            </w:pPr>
          </w:p>
        </w:tc>
        <w:tc>
          <w:tcPr>
            <w:tcW w:w="0" w:type="auto"/>
            <w:noWrap/>
            <w:hideMark/>
          </w:tcPr>
          <w:p w14:paraId="0D3706A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184</w:t>
            </w:r>
          </w:p>
        </w:tc>
        <w:tc>
          <w:tcPr>
            <w:tcW w:w="0" w:type="auto"/>
            <w:noWrap/>
          </w:tcPr>
          <w:p w14:paraId="130659D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Pr>
                <w:b/>
                <w:sz w:val="16"/>
                <w:szCs w:val="16"/>
              </w:rPr>
              <w:t>Syn</w:t>
            </w:r>
            <w:r w:rsidRPr="006670F8">
              <w:rPr>
                <w:b/>
                <w:sz w:val="16"/>
                <w:szCs w:val="16"/>
              </w:rPr>
              <w:t>gas cleaning losses</w:t>
            </w:r>
          </w:p>
        </w:tc>
        <w:tc>
          <w:tcPr>
            <w:tcW w:w="0" w:type="auto"/>
            <w:noWrap/>
          </w:tcPr>
          <w:p w14:paraId="75B1FAB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out</w:t>
            </w:r>
          </w:p>
        </w:tc>
        <w:tc>
          <w:tcPr>
            <w:tcW w:w="0" w:type="auto"/>
            <w:noWrap/>
          </w:tcPr>
          <w:p w14:paraId="47EBA48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w:t>
            </w:r>
          </w:p>
        </w:tc>
        <w:tc>
          <w:tcPr>
            <w:tcW w:w="0" w:type="auto"/>
            <w:noWrap/>
          </w:tcPr>
          <w:p w14:paraId="3614BB6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0-1%</w:t>
            </w:r>
          </w:p>
        </w:tc>
      </w:tr>
      <w:tr w:rsidR="00732C76" w:rsidRPr="006670F8" w14:paraId="4D11A5CD"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95C8FB6" w14:textId="77777777" w:rsidR="00732C76" w:rsidRPr="006670F8" w:rsidRDefault="00732C76" w:rsidP="00447F21">
            <w:pPr>
              <w:rPr>
                <w:b w:val="0"/>
                <w:bCs w:val="0"/>
                <w:sz w:val="16"/>
                <w:szCs w:val="16"/>
              </w:rPr>
            </w:pPr>
          </w:p>
        </w:tc>
        <w:tc>
          <w:tcPr>
            <w:tcW w:w="0" w:type="auto"/>
            <w:noWrap/>
            <w:hideMark/>
          </w:tcPr>
          <w:p w14:paraId="3F01FEF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185</w:t>
            </w:r>
          </w:p>
        </w:tc>
        <w:tc>
          <w:tcPr>
            <w:tcW w:w="0" w:type="auto"/>
            <w:noWrap/>
          </w:tcPr>
          <w:p w14:paraId="4A9E953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Gaschar increase in maize yield</w:t>
            </w:r>
          </w:p>
        </w:tc>
        <w:tc>
          <w:tcPr>
            <w:tcW w:w="0" w:type="auto"/>
            <w:noWrap/>
          </w:tcPr>
          <w:p w14:paraId="40CEDF6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yield</w:t>
            </w:r>
          </w:p>
        </w:tc>
        <w:tc>
          <w:tcPr>
            <w:tcW w:w="0" w:type="auto"/>
            <w:noWrap/>
          </w:tcPr>
          <w:p w14:paraId="5B5E5C3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28%</w:t>
            </w:r>
          </w:p>
        </w:tc>
        <w:tc>
          <w:tcPr>
            <w:tcW w:w="0" w:type="auto"/>
            <w:noWrap/>
          </w:tcPr>
          <w:p w14:paraId="4E05BC3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0-28%</w:t>
            </w:r>
          </w:p>
        </w:tc>
      </w:tr>
      <w:tr w:rsidR="00732C76" w:rsidRPr="006670F8" w14:paraId="50F726A4"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91288EF" w14:textId="77777777" w:rsidR="00732C76" w:rsidRPr="006670F8" w:rsidRDefault="00732C76" w:rsidP="00447F21">
            <w:pPr>
              <w:rPr>
                <w:b w:val="0"/>
                <w:bCs w:val="0"/>
                <w:sz w:val="16"/>
                <w:szCs w:val="16"/>
              </w:rPr>
            </w:pPr>
          </w:p>
        </w:tc>
        <w:tc>
          <w:tcPr>
            <w:tcW w:w="0" w:type="auto"/>
            <w:noWrap/>
            <w:hideMark/>
          </w:tcPr>
          <w:p w14:paraId="171BFC0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186</w:t>
            </w:r>
          </w:p>
        </w:tc>
        <w:tc>
          <w:tcPr>
            <w:tcW w:w="0" w:type="auto"/>
            <w:noWrap/>
          </w:tcPr>
          <w:p w14:paraId="27A0BC7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Gaschar increase in wheat yield</w:t>
            </w:r>
          </w:p>
        </w:tc>
        <w:tc>
          <w:tcPr>
            <w:tcW w:w="0" w:type="auto"/>
            <w:noWrap/>
          </w:tcPr>
          <w:p w14:paraId="5C6BCB5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yield</w:t>
            </w:r>
          </w:p>
        </w:tc>
        <w:tc>
          <w:tcPr>
            <w:tcW w:w="0" w:type="auto"/>
            <w:noWrap/>
          </w:tcPr>
          <w:p w14:paraId="2E65CBB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14%</w:t>
            </w:r>
          </w:p>
        </w:tc>
        <w:tc>
          <w:tcPr>
            <w:tcW w:w="0" w:type="auto"/>
            <w:noWrap/>
          </w:tcPr>
          <w:p w14:paraId="1243E00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0-14%</w:t>
            </w:r>
          </w:p>
        </w:tc>
      </w:tr>
      <w:tr w:rsidR="00732C76" w:rsidRPr="006670F8" w14:paraId="64B68241"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4924C34" w14:textId="77777777" w:rsidR="00732C76" w:rsidRPr="006670F8" w:rsidRDefault="00732C76" w:rsidP="00447F21">
            <w:pPr>
              <w:rPr>
                <w:b w:val="0"/>
                <w:bCs w:val="0"/>
                <w:sz w:val="16"/>
                <w:szCs w:val="16"/>
              </w:rPr>
            </w:pPr>
          </w:p>
        </w:tc>
        <w:tc>
          <w:tcPr>
            <w:tcW w:w="0" w:type="auto"/>
            <w:noWrap/>
            <w:hideMark/>
          </w:tcPr>
          <w:p w14:paraId="6B822C9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187</w:t>
            </w:r>
          </w:p>
        </w:tc>
        <w:tc>
          <w:tcPr>
            <w:tcW w:w="0" w:type="auto"/>
            <w:noWrap/>
          </w:tcPr>
          <w:p w14:paraId="7BF4DA6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Gaschar application</w:t>
            </w:r>
            <w:r>
              <w:rPr>
                <w:b/>
                <w:sz w:val="16"/>
                <w:szCs w:val="16"/>
              </w:rPr>
              <w:t xml:space="preserve"> density</w:t>
            </w:r>
          </w:p>
        </w:tc>
        <w:tc>
          <w:tcPr>
            <w:tcW w:w="0" w:type="auto"/>
            <w:noWrap/>
          </w:tcPr>
          <w:p w14:paraId="7B6B2A2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proofErr w:type="gramStart"/>
            <w:r w:rsidRPr="006670F8">
              <w:rPr>
                <w:sz w:val="16"/>
                <w:szCs w:val="16"/>
              </w:rPr>
              <w:t>t</w:t>
            </w:r>
            <w:r w:rsidRPr="006670F8">
              <w:rPr>
                <w:sz w:val="16"/>
                <w:szCs w:val="16"/>
                <w:vertAlign w:val="subscript"/>
              </w:rPr>
              <w:t>ww</w:t>
            </w:r>
            <w:r w:rsidRPr="006670F8">
              <w:rPr>
                <w:sz w:val="16"/>
                <w:szCs w:val="16"/>
              </w:rPr>
              <w:t>.ha</w:t>
            </w:r>
            <w:proofErr w:type="gramEnd"/>
            <w:r w:rsidRPr="006670F8">
              <w:rPr>
                <w:sz w:val="16"/>
                <w:szCs w:val="16"/>
                <w:vertAlign w:val="superscript"/>
              </w:rPr>
              <w:t>-1</w:t>
            </w:r>
          </w:p>
        </w:tc>
        <w:tc>
          <w:tcPr>
            <w:tcW w:w="0" w:type="auto"/>
            <w:noWrap/>
          </w:tcPr>
          <w:p w14:paraId="593E30A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w:t>
            </w:r>
          </w:p>
        </w:tc>
        <w:tc>
          <w:tcPr>
            <w:tcW w:w="0" w:type="auto"/>
            <w:noWrap/>
          </w:tcPr>
          <w:p w14:paraId="41DD5FF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1-20</w:t>
            </w:r>
          </w:p>
        </w:tc>
      </w:tr>
      <w:tr w:rsidR="00732C76" w:rsidRPr="006670F8" w14:paraId="6C1B0088"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8AFF26C" w14:textId="77777777" w:rsidR="00732C76" w:rsidRPr="006670F8" w:rsidRDefault="00732C76" w:rsidP="00447F21">
            <w:pPr>
              <w:rPr>
                <w:b w:val="0"/>
                <w:bCs w:val="0"/>
                <w:sz w:val="16"/>
                <w:szCs w:val="16"/>
              </w:rPr>
            </w:pPr>
          </w:p>
        </w:tc>
        <w:tc>
          <w:tcPr>
            <w:tcW w:w="0" w:type="auto"/>
            <w:noWrap/>
            <w:hideMark/>
          </w:tcPr>
          <w:p w14:paraId="20F3E7E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188</w:t>
            </w:r>
          </w:p>
        </w:tc>
        <w:tc>
          <w:tcPr>
            <w:tcW w:w="0" w:type="auto"/>
            <w:noWrap/>
          </w:tcPr>
          <w:p w14:paraId="4814A4D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Gaschar decrease in N</w:t>
            </w:r>
            <w:r w:rsidRPr="006670F8">
              <w:rPr>
                <w:b/>
                <w:sz w:val="16"/>
                <w:szCs w:val="16"/>
                <w:vertAlign w:val="subscript"/>
              </w:rPr>
              <w:t>2</w:t>
            </w:r>
            <w:r w:rsidRPr="006670F8">
              <w:rPr>
                <w:b/>
                <w:sz w:val="16"/>
                <w:szCs w:val="16"/>
              </w:rPr>
              <w:t>O emissions</w:t>
            </w:r>
          </w:p>
        </w:tc>
        <w:tc>
          <w:tcPr>
            <w:tcW w:w="0" w:type="auto"/>
            <w:noWrap/>
          </w:tcPr>
          <w:p w14:paraId="5B04CC1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N2O</w:t>
            </w:r>
          </w:p>
        </w:tc>
        <w:tc>
          <w:tcPr>
            <w:tcW w:w="0" w:type="auto"/>
            <w:noWrap/>
          </w:tcPr>
          <w:p w14:paraId="621624C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30%</w:t>
            </w:r>
          </w:p>
        </w:tc>
        <w:tc>
          <w:tcPr>
            <w:tcW w:w="0" w:type="auto"/>
            <w:noWrap/>
          </w:tcPr>
          <w:p w14:paraId="068D0C3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0-30%</w:t>
            </w:r>
          </w:p>
        </w:tc>
      </w:tr>
      <w:tr w:rsidR="00732C76" w:rsidRPr="006670F8" w14:paraId="11D80939" w14:textId="77777777" w:rsidTr="008C451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vMerge/>
            <w:hideMark/>
          </w:tcPr>
          <w:p w14:paraId="62F05E16" w14:textId="77777777" w:rsidR="00732C76" w:rsidRPr="006670F8" w:rsidRDefault="00732C76" w:rsidP="00447F21">
            <w:pPr>
              <w:rPr>
                <w:b w:val="0"/>
                <w:bCs w:val="0"/>
                <w:sz w:val="16"/>
                <w:szCs w:val="16"/>
              </w:rPr>
            </w:pPr>
          </w:p>
        </w:tc>
        <w:tc>
          <w:tcPr>
            <w:tcW w:w="0" w:type="auto"/>
            <w:noWrap/>
            <w:hideMark/>
          </w:tcPr>
          <w:p w14:paraId="3A56556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189</w:t>
            </w:r>
          </w:p>
        </w:tc>
        <w:tc>
          <w:tcPr>
            <w:tcW w:w="0" w:type="auto"/>
            <w:noWrap/>
          </w:tcPr>
          <w:p w14:paraId="1D17EB8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Gaschar C loss, 100 years</w:t>
            </w:r>
          </w:p>
        </w:tc>
        <w:tc>
          <w:tcPr>
            <w:tcW w:w="0" w:type="auto"/>
            <w:noWrap/>
          </w:tcPr>
          <w:p w14:paraId="39B24A1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C</w:t>
            </w:r>
          </w:p>
        </w:tc>
        <w:tc>
          <w:tcPr>
            <w:tcW w:w="0" w:type="auto"/>
            <w:noWrap/>
          </w:tcPr>
          <w:p w14:paraId="07D238B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50%</w:t>
            </w:r>
          </w:p>
        </w:tc>
        <w:tc>
          <w:tcPr>
            <w:tcW w:w="0" w:type="auto"/>
            <w:noWrap/>
          </w:tcPr>
          <w:p w14:paraId="26D699D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3-96%</w:t>
            </w:r>
          </w:p>
        </w:tc>
      </w:tr>
      <w:tr w:rsidR="00732C76" w:rsidRPr="006670F8" w14:paraId="3355AA20" w14:textId="77777777" w:rsidTr="00C00E3A">
        <w:trPr>
          <w:trHeight w:val="290"/>
        </w:trPr>
        <w:tc>
          <w:tcPr>
            <w:cnfStyle w:val="001000000000" w:firstRow="0" w:lastRow="0" w:firstColumn="1" w:lastColumn="0" w:oddVBand="0" w:evenVBand="0" w:oddHBand="0" w:evenHBand="0" w:firstRowFirstColumn="0" w:firstRowLastColumn="0" w:lastRowFirstColumn="0" w:lastRowLastColumn="0"/>
            <w:tcW w:w="0" w:type="auto"/>
            <w:vMerge w:val="restart"/>
            <w:textDirection w:val="btLr"/>
            <w:hideMark/>
          </w:tcPr>
          <w:p w14:paraId="27E693D2" w14:textId="77777777" w:rsidR="00732C76" w:rsidRPr="006670F8" w:rsidRDefault="00732C76" w:rsidP="00C00E3A">
            <w:pPr>
              <w:jc w:val="center"/>
              <w:rPr>
                <w:b w:val="0"/>
                <w:bCs w:val="0"/>
                <w:sz w:val="16"/>
                <w:szCs w:val="16"/>
              </w:rPr>
            </w:pPr>
            <w:r w:rsidRPr="006670F8">
              <w:rPr>
                <w:sz w:val="16"/>
                <w:szCs w:val="16"/>
              </w:rPr>
              <w:t>Specific to direct combustion</w:t>
            </w:r>
          </w:p>
        </w:tc>
        <w:tc>
          <w:tcPr>
            <w:tcW w:w="0" w:type="auto"/>
            <w:noWrap/>
            <w:hideMark/>
          </w:tcPr>
          <w:p w14:paraId="53C1970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190</w:t>
            </w:r>
          </w:p>
        </w:tc>
        <w:tc>
          <w:tcPr>
            <w:tcW w:w="0" w:type="auto"/>
            <w:noWrap/>
          </w:tcPr>
          <w:p w14:paraId="44CC138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Pr>
                <w:b/>
                <w:sz w:val="16"/>
                <w:szCs w:val="16"/>
              </w:rPr>
              <w:t>Primary crop residues (</w:t>
            </w:r>
            <w:r w:rsidRPr="006670F8">
              <w:rPr>
                <w:b/>
                <w:sz w:val="16"/>
                <w:szCs w:val="16"/>
              </w:rPr>
              <w:t>PCR</w:t>
            </w:r>
            <w:r>
              <w:rPr>
                <w:b/>
                <w:sz w:val="16"/>
                <w:szCs w:val="16"/>
              </w:rPr>
              <w:t>)</w:t>
            </w:r>
            <w:r w:rsidRPr="006670F8">
              <w:rPr>
                <w:b/>
                <w:sz w:val="16"/>
                <w:szCs w:val="16"/>
              </w:rPr>
              <w:t xml:space="preserve"> Combustion factor</w:t>
            </w:r>
          </w:p>
        </w:tc>
        <w:tc>
          <w:tcPr>
            <w:tcW w:w="0" w:type="auto"/>
            <w:noWrap/>
          </w:tcPr>
          <w:p w14:paraId="6415108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p>
        </w:tc>
        <w:tc>
          <w:tcPr>
            <w:tcW w:w="0" w:type="auto"/>
            <w:noWrap/>
          </w:tcPr>
          <w:p w14:paraId="172814F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0.85</w:t>
            </w:r>
          </w:p>
        </w:tc>
        <w:tc>
          <w:tcPr>
            <w:tcW w:w="0" w:type="auto"/>
            <w:noWrap/>
          </w:tcPr>
          <w:p w14:paraId="77B9F0B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0.8-0.9</w:t>
            </w:r>
          </w:p>
        </w:tc>
      </w:tr>
      <w:tr w:rsidR="00732C76" w:rsidRPr="006670F8" w14:paraId="768ECF55"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86C6643" w14:textId="77777777" w:rsidR="00732C76" w:rsidRPr="006670F8" w:rsidRDefault="00732C76" w:rsidP="00447F21">
            <w:pPr>
              <w:rPr>
                <w:b w:val="0"/>
                <w:bCs w:val="0"/>
                <w:sz w:val="16"/>
                <w:szCs w:val="16"/>
              </w:rPr>
            </w:pPr>
          </w:p>
        </w:tc>
        <w:tc>
          <w:tcPr>
            <w:tcW w:w="0" w:type="auto"/>
            <w:noWrap/>
            <w:hideMark/>
          </w:tcPr>
          <w:p w14:paraId="719C13F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191</w:t>
            </w:r>
          </w:p>
        </w:tc>
        <w:tc>
          <w:tcPr>
            <w:tcW w:w="0" w:type="auto"/>
            <w:noWrap/>
          </w:tcPr>
          <w:p w14:paraId="0BB7063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PCR CO</w:t>
            </w:r>
            <w:r w:rsidRPr="006670F8">
              <w:rPr>
                <w:b/>
                <w:sz w:val="16"/>
                <w:szCs w:val="16"/>
                <w:vertAlign w:val="subscript"/>
              </w:rPr>
              <w:t>2</w:t>
            </w:r>
          </w:p>
        </w:tc>
        <w:tc>
          <w:tcPr>
            <w:tcW w:w="0" w:type="auto"/>
            <w:noWrap/>
          </w:tcPr>
          <w:p w14:paraId="0775F58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kgCO</w:t>
            </w:r>
            <w:proofErr w:type="gramStart"/>
            <w:r w:rsidRPr="006670F8">
              <w:rPr>
                <w:sz w:val="16"/>
                <w:szCs w:val="16"/>
                <w:vertAlign w:val="subscript"/>
              </w:rPr>
              <w:t>2</w:t>
            </w:r>
            <w:r w:rsidRPr="006670F8">
              <w:rPr>
                <w:sz w:val="16"/>
                <w:szCs w:val="16"/>
              </w:rPr>
              <w:t xml:space="preserve"> .</w:t>
            </w:r>
            <w:proofErr w:type="gramEnd"/>
            <w:r w:rsidRPr="006670F8">
              <w:rPr>
                <w:sz w:val="16"/>
                <w:szCs w:val="16"/>
              </w:rPr>
              <w:t xml:space="preserve"> </w:t>
            </w:r>
            <w:r w:rsidRPr="006670F8">
              <w:rPr>
                <w:sz w:val="16"/>
                <w:szCs w:val="16"/>
                <w:lang w:val="es-419"/>
              </w:rPr>
              <w:t>kg</w:t>
            </w:r>
            <w:r w:rsidRPr="006670F8">
              <w:rPr>
                <w:sz w:val="16"/>
                <w:szCs w:val="16"/>
                <w:vertAlign w:val="subscript"/>
                <w:lang w:val="es-419"/>
              </w:rPr>
              <w:t>DM</w:t>
            </w:r>
            <w:r w:rsidRPr="006670F8">
              <w:rPr>
                <w:sz w:val="16"/>
                <w:szCs w:val="16"/>
                <w:vertAlign w:val="superscript"/>
                <w:lang w:val="es-419"/>
              </w:rPr>
              <w:t>-1</w:t>
            </w:r>
          </w:p>
        </w:tc>
        <w:tc>
          <w:tcPr>
            <w:tcW w:w="0" w:type="auto"/>
            <w:noWrap/>
          </w:tcPr>
          <w:p w14:paraId="5357E59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1.515</w:t>
            </w:r>
          </w:p>
        </w:tc>
        <w:tc>
          <w:tcPr>
            <w:tcW w:w="0" w:type="auto"/>
            <w:noWrap/>
          </w:tcPr>
          <w:p w14:paraId="6E0FFDF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1.338-1.692</w:t>
            </w:r>
          </w:p>
        </w:tc>
      </w:tr>
      <w:tr w:rsidR="00732C76" w:rsidRPr="006670F8" w14:paraId="647DD04A"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FB4F194" w14:textId="77777777" w:rsidR="00732C76" w:rsidRPr="006670F8" w:rsidRDefault="00732C76" w:rsidP="00447F21">
            <w:pPr>
              <w:rPr>
                <w:b w:val="0"/>
                <w:bCs w:val="0"/>
                <w:sz w:val="16"/>
                <w:szCs w:val="16"/>
              </w:rPr>
            </w:pPr>
          </w:p>
        </w:tc>
        <w:tc>
          <w:tcPr>
            <w:tcW w:w="0" w:type="auto"/>
            <w:noWrap/>
            <w:hideMark/>
          </w:tcPr>
          <w:p w14:paraId="3BA4A4C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192</w:t>
            </w:r>
          </w:p>
        </w:tc>
        <w:tc>
          <w:tcPr>
            <w:tcW w:w="0" w:type="auto"/>
            <w:noWrap/>
          </w:tcPr>
          <w:p w14:paraId="3652B40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PCR NO</w:t>
            </w:r>
            <w:r w:rsidRPr="006670F8">
              <w:rPr>
                <w:b/>
                <w:sz w:val="16"/>
                <w:szCs w:val="16"/>
                <w:vertAlign w:val="subscript"/>
              </w:rPr>
              <w:t>x</w:t>
            </w:r>
          </w:p>
        </w:tc>
        <w:tc>
          <w:tcPr>
            <w:tcW w:w="0" w:type="auto"/>
            <w:noWrap/>
          </w:tcPr>
          <w:p w14:paraId="1DD201F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proofErr w:type="gramStart"/>
            <w:r w:rsidRPr="006670F8">
              <w:rPr>
                <w:sz w:val="16"/>
                <w:szCs w:val="16"/>
              </w:rPr>
              <w:t>kgNO</w:t>
            </w:r>
            <w:r w:rsidRPr="006670F8">
              <w:rPr>
                <w:sz w:val="16"/>
                <w:szCs w:val="16"/>
                <w:vertAlign w:val="subscript"/>
              </w:rPr>
              <w:t xml:space="preserve">x </w:t>
            </w:r>
            <w:r w:rsidRPr="006670F8">
              <w:rPr>
                <w:sz w:val="16"/>
                <w:szCs w:val="16"/>
              </w:rPr>
              <w:t>.</w:t>
            </w:r>
            <w:proofErr w:type="gramEnd"/>
            <w:r w:rsidRPr="006670F8">
              <w:rPr>
                <w:sz w:val="16"/>
                <w:szCs w:val="16"/>
              </w:rPr>
              <w:t xml:space="preserve"> </w:t>
            </w:r>
            <w:r w:rsidRPr="006670F8">
              <w:rPr>
                <w:sz w:val="16"/>
                <w:szCs w:val="16"/>
                <w:lang w:val="es-419"/>
              </w:rPr>
              <w:t>kg</w:t>
            </w:r>
            <w:r w:rsidRPr="006670F8">
              <w:rPr>
                <w:sz w:val="16"/>
                <w:szCs w:val="16"/>
                <w:vertAlign w:val="subscript"/>
                <w:lang w:val="es-419"/>
              </w:rPr>
              <w:t>DM</w:t>
            </w:r>
            <w:r w:rsidRPr="006670F8">
              <w:rPr>
                <w:sz w:val="16"/>
                <w:szCs w:val="16"/>
                <w:vertAlign w:val="superscript"/>
                <w:lang w:val="es-419"/>
              </w:rPr>
              <w:t>-1</w:t>
            </w:r>
          </w:p>
        </w:tc>
        <w:tc>
          <w:tcPr>
            <w:tcW w:w="0" w:type="auto"/>
            <w:noWrap/>
          </w:tcPr>
          <w:p w14:paraId="1CA1E66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0.0023</w:t>
            </w:r>
          </w:p>
        </w:tc>
        <w:tc>
          <w:tcPr>
            <w:tcW w:w="0" w:type="auto"/>
            <w:noWrap/>
          </w:tcPr>
          <w:p w14:paraId="0A11B5F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0.0018-0.0027</w:t>
            </w:r>
          </w:p>
        </w:tc>
      </w:tr>
      <w:tr w:rsidR="00732C76" w:rsidRPr="006670F8" w14:paraId="25FBF449"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9AC9CBF" w14:textId="77777777" w:rsidR="00732C76" w:rsidRPr="006670F8" w:rsidRDefault="00732C76" w:rsidP="00447F21">
            <w:pPr>
              <w:rPr>
                <w:b w:val="0"/>
                <w:bCs w:val="0"/>
                <w:sz w:val="16"/>
                <w:szCs w:val="16"/>
              </w:rPr>
            </w:pPr>
          </w:p>
        </w:tc>
        <w:tc>
          <w:tcPr>
            <w:tcW w:w="0" w:type="auto"/>
            <w:noWrap/>
            <w:hideMark/>
          </w:tcPr>
          <w:p w14:paraId="7E061A8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193</w:t>
            </w:r>
          </w:p>
        </w:tc>
        <w:tc>
          <w:tcPr>
            <w:tcW w:w="0" w:type="auto"/>
            <w:noWrap/>
          </w:tcPr>
          <w:p w14:paraId="4B33E63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PCRCO</w:t>
            </w:r>
          </w:p>
        </w:tc>
        <w:tc>
          <w:tcPr>
            <w:tcW w:w="0" w:type="auto"/>
            <w:noWrap/>
          </w:tcPr>
          <w:p w14:paraId="2114732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proofErr w:type="gramStart"/>
            <w:r w:rsidRPr="006670F8">
              <w:rPr>
                <w:sz w:val="16"/>
                <w:szCs w:val="16"/>
              </w:rPr>
              <w:t>kgCO .</w:t>
            </w:r>
            <w:proofErr w:type="gramEnd"/>
            <w:r w:rsidRPr="006670F8">
              <w:rPr>
                <w:sz w:val="16"/>
                <w:szCs w:val="16"/>
              </w:rPr>
              <w:t xml:space="preserve"> </w:t>
            </w:r>
            <w:r w:rsidRPr="006670F8">
              <w:rPr>
                <w:sz w:val="16"/>
                <w:szCs w:val="16"/>
                <w:lang w:val="es-419"/>
              </w:rPr>
              <w:t>kg</w:t>
            </w:r>
            <w:r w:rsidRPr="006670F8">
              <w:rPr>
                <w:sz w:val="16"/>
                <w:szCs w:val="16"/>
                <w:vertAlign w:val="subscript"/>
                <w:lang w:val="es-419"/>
              </w:rPr>
              <w:t>DM</w:t>
            </w:r>
            <w:r w:rsidRPr="006670F8">
              <w:rPr>
                <w:sz w:val="16"/>
                <w:szCs w:val="16"/>
                <w:vertAlign w:val="superscript"/>
                <w:lang w:val="es-419"/>
              </w:rPr>
              <w:t>-1</w:t>
            </w:r>
          </w:p>
        </w:tc>
        <w:tc>
          <w:tcPr>
            <w:tcW w:w="0" w:type="auto"/>
            <w:noWrap/>
          </w:tcPr>
          <w:p w14:paraId="2891589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0.06596</w:t>
            </w:r>
          </w:p>
        </w:tc>
        <w:tc>
          <w:tcPr>
            <w:tcW w:w="0" w:type="auto"/>
            <w:noWrap/>
          </w:tcPr>
          <w:p w14:paraId="6B01252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0.0388-0.0987</w:t>
            </w:r>
          </w:p>
        </w:tc>
      </w:tr>
      <w:tr w:rsidR="00732C76" w:rsidRPr="006670F8" w14:paraId="385D48CC"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DD74C31" w14:textId="77777777" w:rsidR="00732C76" w:rsidRPr="006670F8" w:rsidRDefault="00732C76" w:rsidP="00447F21">
            <w:pPr>
              <w:rPr>
                <w:b w:val="0"/>
                <w:bCs w:val="0"/>
                <w:sz w:val="16"/>
                <w:szCs w:val="16"/>
              </w:rPr>
            </w:pPr>
          </w:p>
        </w:tc>
        <w:tc>
          <w:tcPr>
            <w:tcW w:w="0" w:type="auto"/>
            <w:noWrap/>
            <w:hideMark/>
          </w:tcPr>
          <w:p w14:paraId="5792CC1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194</w:t>
            </w:r>
          </w:p>
        </w:tc>
        <w:tc>
          <w:tcPr>
            <w:tcW w:w="0" w:type="auto"/>
            <w:noWrap/>
          </w:tcPr>
          <w:p w14:paraId="35AB80F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PCR SO</w:t>
            </w:r>
            <w:r w:rsidRPr="006670F8">
              <w:rPr>
                <w:b/>
                <w:sz w:val="16"/>
                <w:szCs w:val="16"/>
                <w:vertAlign w:val="subscript"/>
              </w:rPr>
              <w:t>x</w:t>
            </w:r>
          </w:p>
        </w:tc>
        <w:tc>
          <w:tcPr>
            <w:tcW w:w="0" w:type="auto"/>
            <w:noWrap/>
          </w:tcPr>
          <w:p w14:paraId="0F7F66F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proofErr w:type="gramStart"/>
            <w:r w:rsidRPr="006670F8">
              <w:rPr>
                <w:sz w:val="16"/>
                <w:szCs w:val="16"/>
              </w:rPr>
              <w:t>kgSO</w:t>
            </w:r>
            <w:r w:rsidRPr="006670F8">
              <w:rPr>
                <w:sz w:val="16"/>
                <w:szCs w:val="16"/>
                <w:vertAlign w:val="subscript"/>
              </w:rPr>
              <w:t>x</w:t>
            </w:r>
            <w:r w:rsidRPr="006670F8">
              <w:rPr>
                <w:sz w:val="16"/>
                <w:szCs w:val="16"/>
              </w:rPr>
              <w:t xml:space="preserve"> .</w:t>
            </w:r>
            <w:proofErr w:type="gramEnd"/>
            <w:r w:rsidRPr="006670F8">
              <w:rPr>
                <w:sz w:val="16"/>
                <w:szCs w:val="16"/>
              </w:rPr>
              <w:t xml:space="preserve"> </w:t>
            </w:r>
            <w:r w:rsidRPr="006670F8">
              <w:rPr>
                <w:sz w:val="16"/>
                <w:szCs w:val="16"/>
                <w:lang w:val="es-419"/>
              </w:rPr>
              <w:t>kg</w:t>
            </w:r>
            <w:r w:rsidRPr="006670F8">
              <w:rPr>
                <w:sz w:val="16"/>
                <w:szCs w:val="16"/>
                <w:vertAlign w:val="subscript"/>
                <w:lang w:val="es-419"/>
              </w:rPr>
              <w:t>DM</w:t>
            </w:r>
            <w:r w:rsidRPr="006670F8">
              <w:rPr>
                <w:sz w:val="16"/>
                <w:szCs w:val="16"/>
                <w:vertAlign w:val="superscript"/>
                <w:lang w:val="es-419"/>
              </w:rPr>
              <w:t>-1</w:t>
            </w:r>
          </w:p>
        </w:tc>
        <w:tc>
          <w:tcPr>
            <w:tcW w:w="0" w:type="auto"/>
            <w:noWrap/>
          </w:tcPr>
          <w:p w14:paraId="259CCB8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0.00032</w:t>
            </w:r>
          </w:p>
        </w:tc>
        <w:tc>
          <w:tcPr>
            <w:tcW w:w="0" w:type="auto"/>
            <w:noWrap/>
          </w:tcPr>
          <w:p w14:paraId="0B3982D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0.0001-0.0005</w:t>
            </w:r>
          </w:p>
        </w:tc>
      </w:tr>
      <w:tr w:rsidR="00732C76" w:rsidRPr="006670F8" w14:paraId="35158EDB"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DBE9A04" w14:textId="77777777" w:rsidR="00732C76" w:rsidRPr="006670F8" w:rsidRDefault="00732C76" w:rsidP="00447F21">
            <w:pPr>
              <w:rPr>
                <w:b w:val="0"/>
                <w:bCs w:val="0"/>
                <w:sz w:val="16"/>
                <w:szCs w:val="16"/>
              </w:rPr>
            </w:pPr>
          </w:p>
        </w:tc>
        <w:tc>
          <w:tcPr>
            <w:tcW w:w="0" w:type="auto"/>
            <w:noWrap/>
            <w:hideMark/>
          </w:tcPr>
          <w:p w14:paraId="4427787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195</w:t>
            </w:r>
          </w:p>
        </w:tc>
        <w:tc>
          <w:tcPr>
            <w:tcW w:w="0" w:type="auto"/>
            <w:noWrap/>
          </w:tcPr>
          <w:p w14:paraId="39459EE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 xml:space="preserve">PCR </w:t>
            </w:r>
            <w:r>
              <w:rPr>
                <w:b/>
                <w:sz w:val="16"/>
                <w:szCs w:val="16"/>
              </w:rPr>
              <w:t>Total suspended particles (</w:t>
            </w:r>
            <w:r w:rsidRPr="006670F8">
              <w:rPr>
                <w:b/>
                <w:sz w:val="16"/>
                <w:szCs w:val="16"/>
              </w:rPr>
              <w:t>TSP</w:t>
            </w:r>
            <w:r>
              <w:rPr>
                <w:b/>
                <w:sz w:val="16"/>
                <w:szCs w:val="16"/>
              </w:rPr>
              <w:t>)</w:t>
            </w:r>
          </w:p>
        </w:tc>
        <w:tc>
          <w:tcPr>
            <w:tcW w:w="0" w:type="auto"/>
            <w:noWrap/>
          </w:tcPr>
          <w:p w14:paraId="3EED37A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proofErr w:type="gramStart"/>
            <w:r w:rsidRPr="006670F8">
              <w:rPr>
                <w:sz w:val="16"/>
                <w:szCs w:val="16"/>
              </w:rPr>
              <w:t>kgTSP .</w:t>
            </w:r>
            <w:proofErr w:type="gramEnd"/>
            <w:r w:rsidRPr="006670F8">
              <w:rPr>
                <w:sz w:val="16"/>
                <w:szCs w:val="16"/>
              </w:rPr>
              <w:t xml:space="preserve"> </w:t>
            </w:r>
            <w:r w:rsidRPr="006670F8">
              <w:rPr>
                <w:sz w:val="16"/>
                <w:szCs w:val="16"/>
                <w:lang w:val="es-419"/>
              </w:rPr>
              <w:t>kg</w:t>
            </w:r>
            <w:r w:rsidRPr="006670F8">
              <w:rPr>
                <w:sz w:val="16"/>
                <w:szCs w:val="16"/>
                <w:vertAlign w:val="subscript"/>
                <w:lang w:val="es-419"/>
              </w:rPr>
              <w:t>DM</w:t>
            </w:r>
            <w:r w:rsidRPr="006670F8">
              <w:rPr>
                <w:sz w:val="16"/>
                <w:szCs w:val="16"/>
                <w:vertAlign w:val="superscript"/>
                <w:lang w:val="es-419"/>
              </w:rPr>
              <w:t>-1</w:t>
            </w:r>
          </w:p>
        </w:tc>
        <w:tc>
          <w:tcPr>
            <w:tcW w:w="0" w:type="auto"/>
            <w:noWrap/>
          </w:tcPr>
          <w:p w14:paraId="2D7C6BD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0.0063</w:t>
            </w:r>
          </w:p>
        </w:tc>
        <w:tc>
          <w:tcPr>
            <w:tcW w:w="0" w:type="auto"/>
            <w:noWrap/>
          </w:tcPr>
          <w:p w14:paraId="1942DC9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0.0058-0.0078</w:t>
            </w:r>
          </w:p>
        </w:tc>
      </w:tr>
      <w:tr w:rsidR="00732C76" w:rsidRPr="006670F8" w14:paraId="417B00AF"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7164705" w14:textId="77777777" w:rsidR="00732C76" w:rsidRPr="006670F8" w:rsidRDefault="00732C76" w:rsidP="00447F21">
            <w:pPr>
              <w:rPr>
                <w:b w:val="0"/>
                <w:bCs w:val="0"/>
                <w:sz w:val="16"/>
                <w:szCs w:val="16"/>
              </w:rPr>
            </w:pPr>
          </w:p>
        </w:tc>
        <w:tc>
          <w:tcPr>
            <w:tcW w:w="0" w:type="auto"/>
            <w:noWrap/>
            <w:hideMark/>
          </w:tcPr>
          <w:p w14:paraId="4CAF4E0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196</w:t>
            </w:r>
          </w:p>
        </w:tc>
        <w:tc>
          <w:tcPr>
            <w:tcW w:w="0" w:type="auto"/>
            <w:noWrap/>
          </w:tcPr>
          <w:p w14:paraId="7C5139C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PCR PM</w:t>
            </w:r>
            <w:r w:rsidRPr="006670F8">
              <w:rPr>
                <w:b/>
                <w:sz w:val="16"/>
                <w:szCs w:val="16"/>
                <w:vertAlign w:val="subscript"/>
              </w:rPr>
              <w:t>10</w:t>
            </w:r>
          </w:p>
        </w:tc>
        <w:tc>
          <w:tcPr>
            <w:tcW w:w="0" w:type="auto"/>
            <w:noWrap/>
          </w:tcPr>
          <w:p w14:paraId="5321B1C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kgPM</w:t>
            </w:r>
            <w:proofErr w:type="gramStart"/>
            <w:r w:rsidRPr="006670F8">
              <w:rPr>
                <w:sz w:val="16"/>
                <w:szCs w:val="16"/>
                <w:vertAlign w:val="subscript"/>
              </w:rPr>
              <w:t>10</w:t>
            </w:r>
            <w:r w:rsidRPr="006670F8">
              <w:rPr>
                <w:sz w:val="16"/>
                <w:szCs w:val="16"/>
              </w:rPr>
              <w:t xml:space="preserve"> .</w:t>
            </w:r>
            <w:proofErr w:type="gramEnd"/>
            <w:r w:rsidRPr="006670F8">
              <w:rPr>
                <w:sz w:val="16"/>
                <w:szCs w:val="16"/>
              </w:rPr>
              <w:t xml:space="preserve"> </w:t>
            </w:r>
            <w:r w:rsidRPr="006670F8">
              <w:rPr>
                <w:sz w:val="16"/>
                <w:szCs w:val="16"/>
                <w:lang w:val="es-419"/>
              </w:rPr>
              <w:t>kg</w:t>
            </w:r>
            <w:r w:rsidRPr="006670F8">
              <w:rPr>
                <w:sz w:val="16"/>
                <w:szCs w:val="16"/>
                <w:vertAlign w:val="subscript"/>
                <w:lang w:val="es-419"/>
              </w:rPr>
              <w:t>DM</w:t>
            </w:r>
            <w:r w:rsidRPr="006670F8">
              <w:rPr>
                <w:sz w:val="16"/>
                <w:szCs w:val="16"/>
                <w:vertAlign w:val="superscript"/>
                <w:lang w:val="es-419"/>
              </w:rPr>
              <w:t>-1</w:t>
            </w:r>
          </w:p>
        </w:tc>
        <w:tc>
          <w:tcPr>
            <w:tcW w:w="0" w:type="auto"/>
            <w:noWrap/>
          </w:tcPr>
          <w:p w14:paraId="4EAED5B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0.00622</w:t>
            </w:r>
          </w:p>
        </w:tc>
        <w:tc>
          <w:tcPr>
            <w:tcW w:w="0" w:type="auto"/>
            <w:noWrap/>
          </w:tcPr>
          <w:p w14:paraId="2449E24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0.0057-0.0077</w:t>
            </w:r>
          </w:p>
        </w:tc>
      </w:tr>
      <w:tr w:rsidR="00732C76" w:rsidRPr="006670F8" w14:paraId="6B3B424A"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6D5FE36" w14:textId="77777777" w:rsidR="00732C76" w:rsidRPr="006670F8" w:rsidRDefault="00732C76" w:rsidP="00447F21">
            <w:pPr>
              <w:rPr>
                <w:b w:val="0"/>
                <w:bCs w:val="0"/>
                <w:sz w:val="16"/>
                <w:szCs w:val="16"/>
              </w:rPr>
            </w:pPr>
          </w:p>
        </w:tc>
        <w:tc>
          <w:tcPr>
            <w:tcW w:w="0" w:type="auto"/>
            <w:noWrap/>
            <w:hideMark/>
          </w:tcPr>
          <w:p w14:paraId="7A861FC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197</w:t>
            </w:r>
          </w:p>
        </w:tc>
        <w:tc>
          <w:tcPr>
            <w:tcW w:w="0" w:type="auto"/>
            <w:noWrap/>
          </w:tcPr>
          <w:p w14:paraId="067DFE0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PCR PM</w:t>
            </w:r>
            <w:r w:rsidRPr="006670F8">
              <w:rPr>
                <w:b/>
                <w:sz w:val="16"/>
                <w:szCs w:val="16"/>
                <w:vertAlign w:val="subscript"/>
              </w:rPr>
              <w:t>2.5</w:t>
            </w:r>
          </w:p>
        </w:tc>
        <w:tc>
          <w:tcPr>
            <w:tcW w:w="0" w:type="auto"/>
            <w:noWrap/>
          </w:tcPr>
          <w:p w14:paraId="2A87C37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kgPM</w:t>
            </w:r>
            <w:r w:rsidRPr="006670F8">
              <w:rPr>
                <w:sz w:val="16"/>
                <w:szCs w:val="16"/>
                <w:vertAlign w:val="subscript"/>
              </w:rPr>
              <w:t>2.</w:t>
            </w:r>
            <w:proofErr w:type="gramStart"/>
            <w:r w:rsidRPr="006670F8">
              <w:rPr>
                <w:sz w:val="16"/>
                <w:szCs w:val="16"/>
                <w:vertAlign w:val="subscript"/>
              </w:rPr>
              <w:t xml:space="preserve">5 </w:t>
            </w:r>
            <w:r w:rsidRPr="006670F8">
              <w:rPr>
                <w:sz w:val="16"/>
                <w:szCs w:val="16"/>
              </w:rPr>
              <w:t>.</w:t>
            </w:r>
            <w:proofErr w:type="gramEnd"/>
            <w:r w:rsidRPr="006670F8">
              <w:rPr>
                <w:sz w:val="16"/>
                <w:szCs w:val="16"/>
              </w:rPr>
              <w:t xml:space="preserve"> </w:t>
            </w:r>
            <w:r w:rsidRPr="006670F8">
              <w:rPr>
                <w:sz w:val="16"/>
                <w:szCs w:val="16"/>
                <w:lang w:val="es-419"/>
              </w:rPr>
              <w:t>kg</w:t>
            </w:r>
            <w:r w:rsidRPr="006670F8">
              <w:rPr>
                <w:sz w:val="16"/>
                <w:szCs w:val="16"/>
                <w:vertAlign w:val="subscript"/>
                <w:lang w:val="es-419"/>
              </w:rPr>
              <w:t>DM</w:t>
            </w:r>
            <w:r w:rsidRPr="006670F8">
              <w:rPr>
                <w:sz w:val="16"/>
                <w:szCs w:val="16"/>
                <w:vertAlign w:val="superscript"/>
                <w:lang w:val="es-419"/>
              </w:rPr>
              <w:t>-1</w:t>
            </w:r>
          </w:p>
        </w:tc>
        <w:tc>
          <w:tcPr>
            <w:tcW w:w="0" w:type="auto"/>
            <w:noWrap/>
          </w:tcPr>
          <w:p w14:paraId="3561788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0.00594</w:t>
            </w:r>
          </w:p>
        </w:tc>
        <w:tc>
          <w:tcPr>
            <w:tcW w:w="0" w:type="auto"/>
            <w:noWrap/>
          </w:tcPr>
          <w:p w14:paraId="775AA36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0.0054-0.0074</w:t>
            </w:r>
          </w:p>
        </w:tc>
      </w:tr>
      <w:tr w:rsidR="00732C76" w:rsidRPr="006670F8" w14:paraId="0228B453"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B6B0099" w14:textId="77777777" w:rsidR="00732C76" w:rsidRPr="006670F8" w:rsidRDefault="00732C76" w:rsidP="00447F21">
            <w:pPr>
              <w:rPr>
                <w:b w:val="0"/>
                <w:bCs w:val="0"/>
                <w:sz w:val="16"/>
                <w:szCs w:val="16"/>
              </w:rPr>
            </w:pPr>
          </w:p>
        </w:tc>
        <w:tc>
          <w:tcPr>
            <w:tcW w:w="0" w:type="auto"/>
            <w:noWrap/>
            <w:hideMark/>
          </w:tcPr>
          <w:p w14:paraId="3302E73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198</w:t>
            </w:r>
          </w:p>
        </w:tc>
        <w:tc>
          <w:tcPr>
            <w:tcW w:w="0" w:type="auto"/>
            <w:noWrap/>
          </w:tcPr>
          <w:p w14:paraId="116C151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Pr>
                <w:b/>
                <w:sz w:val="16"/>
                <w:szCs w:val="16"/>
              </w:rPr>
              <w:t>Primary forestry residues (</w:t>
            </w:r>
            <w:r w:rsidRPr="006670F8">
              <w:rPr>
                <w:b/>
                <w:sz w:val="16"/>
                <w:szCs w:val="16"/>
              </w:rPr>
              <w:t>PFR</w:t>
            </w:r>
            <w:r>
              <w:rPr>
                <w:b/>
                <w:sz w:val="16"/>
                <w:szCs w:val="16"/>
              </w:rPr>
              <w:t>)</w:t>
            </w:r>
            <w:r w:rsidRPr="006670F8">
              <w:rPr>
                <w:b/>
                <w:sz w:val="16"/>
                <w:szCs w:val="16"/>
              </w:rPr>
              <w:t xml:space="preserve"> Combustion factor</w:t>
            </w:r>
          </w:p>
        </w:tc>
        <w:tc>
          <w:tcPr>
            <w:tcW w:w="0" w:type="auto"/>
            <w:noWrap/>
          </w:tcPr>
          <w:p w14:paraId="7A713E4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p>
        </w:tc>
        <w:tc>
          <w:tcPr>
            <w:tcW w:w="0" w:type="auto"/>
            <w:noWrap/>
          </w:tcPr>
          <w:p w14:paraId="657056A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0.62</w:t>
            </w:r>
          </w:p>
        </w:tc>
        <w:tc>
          <w:tcPr>
            <w:tcW w:w="0" w:type="auto"/>
            <w:noWrap/>
          </w:tcPr>
          <w:p w14:paraId="21BA465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0.5-0.74</w:t>
            </w:r>
          </w:p>
        </w:tc>
      </w:tr>
      <w:tr w:rsidR="00732C76" w:rsidRPr="006670F8" w14:paraId="6091ABA9"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E9A8348" w14:textId="77777777" w:rsidR="00732C76" w:rsidRPr="006670F8" w:rsidRDefault="00732C76" w:rsidP="00447F21">
            <w:pPr>
              <w:rPr>
                <w:b w:val="0"/>
                <w:bCs w:val="0"/>
                <w:sz w:val="16"/>
                <w:szCs w:val="16"/>
              </w:rPr>
            </w:pPr>
          </w:p>
        </w:tc>
        <w:tc>
          <w:tcPr>
            <w:tcW w:w="0" w:type="auto"/>
            <w:noWrap/>
            <w:hideMark/>
          </w:tcPr>
          <w:p w14:paraId="38AB44A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199</w:t>
            </w:r>
          </w:p>
        </w:tc>
        <w:tc>
          <w:tcPr>
            <w:tcW w:w="0" w:type="auto"/>
            <w:noWrap/>
          </w:tcPr>
          <w:p w14:paraId="1D7600B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PFR CO</w:t>
            </w:r>
            <w:r w:rsidRPr="006670F8">
              <w:rPr>
                <w:b/>
                <w:sz w:val="16"/>
                <w:szCs w:val="16"/>
                <w:vertAlign w:val="subscript"/>
              </w:rPr>
              <w:t>2</w:t>
            </w:r>
          </w:p>
        </w:tc>
        <w:tc>
          <w:tcPr>
            <w:tcW w:w="0" w:type="auto"/>
            <w:noWrap/>
          </w:tcPr>
          <w:p w14:paraId="5305D62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kgCO</w:t>
            </w:r>
            <w:proofErr w:type="gramStart"/>
            <w:r w:rsidRPr="006670F8">
              <w:rPr>
                <w:sz w:val="16"/>
                <w:szCs w:val="16"/>
                <w:vertAlign w:val="subscript"/>
              </w:rPr>
              <w:t>2</w:t>
            </w:r>
            <w:r w:rsidRPr="006670F8">
              <w:rPr>
                <w:sz w:val="16"/>
                <w:szCs w:val="16"/>
              </w:rPr>
              <w:t xml:space="preserve"> .</w:t>
            </w:r>
            <w:proofErr w:type="gramEnd"/>
            <w:r w:rsidRPr="006670F8">
              <w:rPr>
                <w:sz w:val="16"/>
                <w:szCs w:val="16"/>
              </w:rPr>
              <w:t xml:space="preserve"> </w:t>
            </w:r>
            <w:r w:rsidRPr="006670F8">
              <w:rPr>
                <w:sz w:val="16"/>
                <w:szCs w:val="16"/>
                <w:lang w:val="es-419"/>
              </w:rPr>
              <w:t>kg</w:t>
            </w:r>
            <w:r w:rsidRPr="006670F8">
              <w:rPr>
                <w:sz w:val="16"/>
                <w:szCs w:val="16"/>
                <w:vertAlign w:val="subscript"/>
                <w:lang w:val="es-419"/>
              </w:rPr>
              <w:t>DM</w:t>
            </w:r>
            <w:r w:rsidRPr="006670F8">
              <w:rPr>
                <w:sz w:val="16"/>
                <w:szCs w:val="16"/>
                <w:vertAlign w:val="superscript"/>
                <w:lang w:val="es-419"/>
              </w:rPr>
              <w:t>-1</w:t>
            </w:r>
          </w:p>
        </w:tc>
        <w:tc>
          <w:tcPr>
            <w:tcW w:w="0" w:type="auto"/>
            <w:noWrap/>
          </w:tcPr>
          <w:p w14:paraId="21F56B1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1.569</w:t>
            </w:r>
          </w:p>
        </w:tc>
        <w:tc>
          <w:tcPr>
            <w:tcW w:w="0" w:type="auto"/>
            <w:noWrap/>
          </w:tcPr>
          <w:p w14:paraId="5F1916E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1.438-1.7</w:t>
            </w:r>
          </w:p>
        </w:tc>
      </w:tr>
      <w:tr w:rsidR="00732C76" w:rsidRPr="006670F8" w14:paraId="02683E05"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F734E42" w14:textId="77777777" w:rsidR="00732C76" w:rsidRPr="006670F8" w:rsidRDefault="00732C76" w:rsidP="00447F21">
            <w:pPr>
              <w:rPr>
                <w:b w:val="0"/>
                <w:bCs w:val="0"/>
                <w:sz w:val="16"/>
                <w:szCs w:val="16"/>
              </w:rPr>
            </w:pPr>
          </w:p>
        </w:tc>
        <w:tc>
          <w:tcPr>
            <w:tcW w:w="0" w:type="auto"/>
            <w:noWrap/>
            <w:hideMark/>
          </w:tcPr>
          <w:p w14:paraId="158E07F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200</w:t>
            </w:r>
          </w:p>
        </w:tc>
        <w:tc>
          <w:tcPr>
            <w:tcW w:w="0" w:type="auto"/>
            <w:noWrap/>
          </w:tcPr>
          <w:p w14:paraId="04D4DF0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PFR CH</w:t>
            </w:r>
            <w:r w:rsidRPr="006670F8">
              <w:rPr>
                <w:b/>
                <w:sz w:val="16"/>
                <w:szCs w:val="16"/>
                <w:vertAlign w:val="subscript"/>
              </w:rPr>
              <w:t>4</w:t>
            </w:r>
          </w:p>
        </w:tc>
        <w:tc>
          <w:tcPr>
            <w:tcW w:w="0" w:type="auto"/>
            <w:noWrap/>
          </w:tcPr>
          <w:p w14:paraId="757D0E3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kgCH</w:t>
            </w:r>
            <w:proofErr w:type="gramStart"/>
            <w:r w:rsidRPr="006670F8">
              <w:rPr>
                <w:sz w:val="16"/>
                <w:szCs w:val="16"/>
                <w:vertAlign w:val="subscript"/>
              </w:rPr>
              <w:t>4</w:t>
            </w:r>
            <w:r w:rsidRPr="006670F8">
              <w:rPr>
                <w:sz w:val="16"/>
                <w:szCs w:val="16"/>
              </w:rPr>
              <w:t xml:space="preserve"> .</w:t>
            </w:r>
            <w:proofErr w:type="gramEnd"/>
            <w:r w:rsidRPr="006670F8">
              <w:rPr>
                <w:sz w:val="16"/>
                <w:szCs w:val="16"/>
              </w:rPr>
              <w:t xml:space="preserve"> </w:t>
            </w:r>
            <w:r w:rsidRPr="006670F8">
              <w:rPr>
                <w:sz w:val="16"/>
                <w:szCs w:val="16"/>
                <w:lang w:val="es-419"/>
              </w:rPr>
              <w:t>kg</w:t>
            </w:r>
            <w:r w:rsidRPr="006670F8">
              <w:rPr>
                <w:sz w:val="16"/>
                <w:szCs w:val="16"/>
                <w:vertAlign w:val="subscript"/>
                <w:lang w:val="es-419"/>
              </w:rPr>
              <w:t>DM</w:t>
            </w:r>
            <w:r w:rsidRPr="006670F8">
              <w:rPr>
                <w:sz w:val="16"/>
                <w:szCs w:val="16"/>
                <w:vertAlign w:val="superscript"/>
                <w:lang w:val="es-419"/>
              </w:rPr>
              <w:t>-1</w:t>
            </w:r>
          </w:p>
        </w:tc>
        <w:tc>
          <w:tcPr>
            <w:tcW w:w="0" w:type="auto"/>
            <w:noWrap/>
          </w:tcPr>
          <w:p w14:paraId="599866A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0.0047</w:t>
            </w:r>
          </w:p>
        </w:tc>
        <w:tc>
          <w:tcPr>
            <w:tcW w:w="0" w:type="auto"/>
            <w:noWrap/>
          </w:tcPr>
          <w:p w14:paraId="46A6A72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0.0028-0.0066</w:t>
            </w:r>
          </w:p>
        </w:tc>
      </w:tr>
      <w:tr w:rsidR="00732C76" w:rsidRPr="006670F8" w14:paraId="3F83024D"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4200308" w14:textId="77777777" w:rsidR="00732C76" w:rsidRPr="006670F8" w:rsidRDefault="00732C76" w:rsidP="00447F21">
            <w:pPr>
              <w:rPr>
                <w:b w:val="0"/>
                <w:bCs w:val="0"/>
                <w:sz w:val="16"/>
                <w:szCs w:val="16"/>
              </w:rPr>
            </w:pPr>
          </w:p>
        </w:tc>
        <w:tc>
          <w:tcPr>
            <w:tcW w:w="0" w:type="auto"/>
            <w:noWrap/>
            <w:hideMark/>
          </w:tcPr>
          <w:p w14:paraId="0B21331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201</w:t>
            </w:r>
          </w:p>
        </w:tc>
        <w:tc>
          <w:tcPr>
            <w:tcW w:w="0" w:type="auto"/>
            <w:noWrap/>
          </w:tcPr>
          <w:p w14:paraId="13B284A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PFR CO</w:t>
            </w:r>
          </w:p>
        </w:tc>
        <w:tc>
          <w:tcPr>
            <w:tcW w:w="0" w:type="auto"/>
            <w:noWrap/>
          </w:tcPr>
          <w:p w14:paraId="4296C49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proofErr w:type="gramStart"/>
            <w:r w:rsidRPr="006670F8">
              <w:rPr>
                <w:sz w:val="16"/>
                <w:szCs w:val="16"/>
              </w:rPr>
              <w:t>kgCO .</w:t>
            </w:r>
            <w:proofErr w:type="gramEnd"/>
            <w:r w:rsidRPr="006670F8">
              <w:rPr>
                <w:sz w:val="16"/>
                <w:szCs w:val="16"/>
              </w:rPr>
              <w:t xml:space="preserve"> </w:t>
            </w:r>
            <w:r w:rsidRPr="006670F8">
              <w:rPr>
                <w:sz w:val="16"/>
                <w:szCs w:val="16"/>
                <w:lang w:val="es-419"/>
              </w:rPr>
              <w:t>kg</w:t>
            </w:r>
            <w:r w:rsidRPr="006670F8">
              <w:rPr>
                <w:sz w:val="16"/>
                <w:szCs w:val="16"/>
                <w:vertAlign w:val="subscript"/>
                <w:lang w:val="es-419"/>
              </w:rPr>
              <w:t>DM</w:t>
            </w:r>
            <w:r w:rsidRPr="006670F8">
              <w:rPr>
                <w:sz w:val="16"/>
                <w:szCs w:val="16"/>
                <w:vertAlign w:val="superscript"/>
                <w:lang w:val="es-419"/>
              </w:rPr>
              <w:t>-1</w:t>
            </w:r>
          </w:p>
        </w:tc>
        <w:tc>
          <w:tcPr>
            <w:tcW w:w="0" w:type="auto"/>
            <w:noWrap/>
          </w:tcPr>
          <w:p w14:paraId="2D00C63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0.107</w:t>
            </w:r>
          </w:p>
        </w:tc>
        <w:tc>
          <w:tcPr>
            <w:tcW w:w="0" w:type="auto"/>
            <w:noWrap/>
          </w:tcPr>
          <w:p w14:paraId="11C14BB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0.07-0.144</w:t>
            </w:r>
          </w:p>
        </w:tc>
      </w:tr>
      <w:tr w:rsidR="00732C76" w:rsidRPr="006670F8" w14:paraId="33EC1EDF"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FFC14BF" w14:textId="77777777" w:rsidR="00732C76" w:rsidRPr="006670F8" w:rsidRDefault="00732C76" w:rsidP="00447F21">
            <w:pPr>
              <w:rPr>
                <w:b w:val="0"/>
                <w:bCs w:val="0"/>
                <w:sz w:val="16"/>
                <w:szCs w:val="16"/>
              </w:rPr>
            </w:pPr>
          </w:p>
        </w:tc>
        <w:tc>
          <w:tcPr>
            <w:tcW w:w="0" w:type="auto"/>
            <w:noWrap/>
            <w:hideMark/>
          </w:tcPr>
          <w:p w14:paraId="24B4B5E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202</w:t>
            </w:r>
          </w:p>
        </w:tc>
        <w:tc>
          <w:tcPr>
            <w:tcW w:w="0" w:type="auto"/>
            <w:noWrap/>
          </w:tcPr>
          <w:p w14:paraId="43B2786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PFR NO</w:t>
            </w:r>
            <w:r w:rsidRPr="006670F8">
              <w:rPr>
                <w:b/>
                <w:sz w:val="16"/>
                <w:szCs w:val="16"/>
                <w:vertAlign w:val="subscript"/>
              </w:rPr>
              <w:t>x</w:t>
            </w:r>
          </w:p>
        </w:tc>
        <w:tc>
          <w:tcPr>
            <w:tcW w:w="0" w:type="auto"/>
            <w:noWrap/>
          </w:tcPr>
          <w:p w14:paraId="30C2682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proofErr w:type="gramStart"/>
            <w:r w:rsidRPr="006670F8">
              <w:rPr>
                <w:sz w:val="16"/>
                <w:szCs w:val="16"/>
              </w:rPr>
              <w:t>kgNO</w:t>
            </w:r>
            <w:r w:rsidRPr="006670F8">
              <w:rPr>
                <w:sz w:val="16"/>
                <w:szCs w:val="16"/>
                <w:vertAlign w:val="subscript"/>
              </w:rPr>
              <w:t xml:space="preserve">x </w:t>
            </w:r>
            <w:r w:rsidRPr="006670F8">
              <w:rPr>
                <w:sz w:val="16"/>
                <w:szCs w:val="16"/>
              </w:rPr>
              <w:t>.</w:t>
            </w:r>
            <w:proofErr w:type="gramEnd"/>
            <w:r w:rsidRPr="006670F8">
              <w:rPr>
                <w:sz w:val="16"/>
                <w:szCs w:val="16"/>
              </w:rPr>
              <w:t xml:space="preserve"> </w:t>
            </w:r>
            <w:r w:rsidRPr="006670F8">
              <w:rPr>
                <w:sz w:val="16"/>
                <w:szCs w:val="16"/>
                <w:lang w:val="es-419"/>
              </w:rPr>
              <w:t>kg</w:t>
            </w:r>
            <w:r w:rsidRPr="006670F8">
              <w:rPr>
                <w:sz w:val="16"/>
                <w:szCs w:val="16"/>
                <w:vertAlign w:val="subscript"/>
                <w:lang w:val="es-419"/>
              </w:rPr>
              <w:t>DM</w:t>
            </w:r>
            <w:r w:rsidRPr="006670F8">
              <w:rPr>
                <w:sz w:val="16"/>
                <w:szCs w:val="16"/>
                <w:vertAlign w:val="superscript"/>
                <w:lang w:val="es-419"/>
              </w:rPr>
              <w:t>-1</w:t>
            </w:r>
          </w:p>
        </w:tc>
        <w:tc>
          <w:tcPr>
            <w:tcW w:w="0" w:type="auto"/>
            <w:noWrap/>
          </w:tcPr>
          <w:p w14:paraId="2D2189D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0.003</w:t>
            </w:r>
          </w:p>
        </w:tc>
        <w:tc>
          <w:tcPr>
            <w:tcW w:w="0" w:type="auto"/>
            <w:noWrap/>
          </w:tcPr>
          <w:p w14:paraId="7AB2AEE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0.0016-0.0044</w:t>
            </w:r>
          </w:p>
        </w:tc>
      </w:tr>
      <w:tr w:rsidR="00732C76" w:rsidRPr="006670F8" w14:paraId="733427F6"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46913C7" w14:textId="77777777" w:rsidR="00732C76" w:rsidRPr="006670F8" w:rsidRDefault="00732C76" w:rsidP="00447F21">
            <w:pPr>
              <w:rPr>
                <w:b w:val="0"/>
                <w:bCs w:val="0"/>
                <w:sz w:val="16"/>
                <w:szCs w:val="16"/>
              </w:rPr>
            </w:pPr>
          </w:p>
        </w:tc>
        <w:tc>
          <w:tcPr>
            <w:tcW w:w="0" w:type="auto"/>
            <w:noWrap/>
            <w:hideMark/>
          </w:tcPr>
          <w:p w14:paraId="4E2866B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203</w:t>
            </w:r>
          </w:p>
        </w:tc>
        <w:tc>
          <w:tcPr>
            <w:tcW w:w="0" w:type="auto"/>
            <w:noWrap/>
          </w:tcPr>
          <w:p w14:paraId="7EF8BDB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PFR N</w:t>
            </w:r>
            <w:r w:rsidRPr="006670F8">
              <w:rPr>
                <w:b/>
                <w:sz w:val="16"/>
                <w:szCs w:val="16"/>
                <w:vertAlign w:val="subscript"/>
              </w:rPr>
              <w:t>2</w:t>
            </w:r>
            <w:r w:rsidRPr="006670F8">
              <w:rPr>
                <w:b/>
                <w:sz w:val="16"/>
                <w:szCs w:val="16"/>
              </w:rPr>
              <w:t>O</w:t>
            </w:r>
          </w:p>
        </w:tc>
        <w:tc>
          <w:tcPr>
            <w:tcW w:w="0" w:type="auto"/>
            <w:noWrap/>
          </w:tcPr>
          <w:p w14:paraId="2792E36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lang w:val="es-419"/>
              </w:rPr>
              <w:t>kgN</w:t>
            </w:r>
            <w:r w:rsidRPr="006670F8">
              <w:rPr>
                <w:sz w:val="16"/>
                <w:szCs w:val="16"/>
                <w:vertAlign w:val="subscript"/>
                <w:lang w:val="es-419"/>
              </w:rPr>
              <w:t>2</w:t>
            </w:r>
            <w:proofErr w:type="gramStart"/>
            <w:r w:rsidRPr="006670F8">
              <w:rPr>
                <w:sz w:val="16"/>
                <w:szCs w:val="16"/>
                <w:lang w:val="es-419"/>
              </w:rPr>
              <w:t>O .</w:t>
            </w:r>
            <w:proofErr w:type="gramEnd"/>
            <w:r w:rsidRPr="006670F8">
              <w:rPr>
                <w:sz w:val="16"/>
                <w:szCs w:val="16"/>
                <w:lang w:val="es-419"/>
              </w:rPr>
              <w:t xml:space="preserve"> kg</w:t>
            </w:r>
            <w:r w:rsidRPr="006670F8">
              <w:rPr>
                <w:sz w:val="16"/>
                <w:szCs w:val="16"/>
                <w:vertAlign w:val="subscript"/>
                <w:lang w:val="es-419"/>
              </w:rPr>
              <w:t>DM</w:t>
            </w:r>
            <w:r w:rsidRPr="006670F8">
              <w:rPr>
                <w:sz w:val="16"/>
                <w:szCs w:val="16"/>
                <w:vertAlign w:val="superscript"/>
                <w:lang w:val="es-419"/>
              </w:rPr>
              <w:t>-1</w:t>
            </w:r>
          </w:p>
        </w:tc>
        <w:tc>
          <w:tcPr>
            <w:tcW w:w="0" w:type="auto"/>
            <w:noWrap/>
          </w:tcPr>
          <w:p w14:paraId="492AE30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i/>
                <w:sz w:val="16"/>
                <w:szCs w:val="16"/>
              </w:rPr>
              <w:t>0.00026</w:t>
            </w:r>
          </w:p>
        </w:tc>
        <w:tc>
          <w:tcPr>
            <w:tcW w:w="0" w:type="auto"/>
            <w:noWrap/>
          </w:tcPr>
          <w:p w14:paraId="0D5439A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i/>
                <w:sz w:val="16"/>
                <w:szCs w:val="16"/>
              </w:rPr>
              <w:t>0.00019-0.00033</w:t>
            </w:r>
          </w:p>
        </w:tc>
      </w:tr>
      <w:tr w:rsidR="00732C76" w:rsidRPr="006670F8" w14:paraId="7576A1E5"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2EDEAF9" w14:textId="77777777" w:rsidR="00732C76" w:rsidRPr="006670F8" w:rsidRDefault="00732C76" w:rsidP="00447F21">
            <w:pPr>
              <w:rPr>
                <w:b w:val="0"/>
                <w:bCs w:val="0"/>
                <w:sz w:val="16"/>
                <w:szCs w:val="16"/>
              </w:rPr>
            </w:pPr>
          </w:p>
        </w:tc>
        <w:tc>
          <w:tcPr>
            <w:tcW w:w="0" w:type="auto"/>
            <w:noWrap/>
            <w:hideMark/>
          </w:tcPr>
          <w:p w14:paraId="6C5C2DC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204</w:t>
            </w:r>
          </w:p>
        </w:tc>
        <w:tc>
          <w:tcPr>
            <w:tcW w:w="0" w:type="auto"/>
            <w:noWrap/>
          </w:tcPr>
          <w:p w14:paraId="2755AEB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 xml:space="preserve">PFR Carbon sequestration </w:t>
            </w:r>
            <w:r>
              <w:rPr>
                <w:b/>
                <w:sz w:val="16"/>
                <w:szCs w:val="16"/>
              </w:rPr>
              <w:t>(un</w:t>
            </w:r>
            <w:r w:rsidRPr="006670F8">
              <w:rPr>
                <w:b/>
                <w:sz w:val="16"/>
                <w:szCs w:val="16"/>
              </w:rPr>
              <w:t>burn</w:t>
            </w:r>
            <w:r>
              <w:rPr>
                <w:b/>
                <w:sz w:val="16"/>
                <w:szCs w:val="16"/>
              </w:rPr>
              <w:t>ed fraction)</w:t>
            </w:r>
          </w:p>
        </w:tc>
        <w:tc>
          <w:tcPr>
            <w:tcW w:w="0" w:type="auto"/>
            <w:noWrap/>
          </w:tcPr>
          <w:p w14:paraId="1D1BB68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kgC.kgC</w:t>
            </w:r>
            <w:r w:rsidRPr="006670F8">
              <w:rPr>
                <w:sz w:val="16"/>
                <w:szCs w:val="16"/>
                <w:vertAlign w:val="subscript"/>
              </w:rPr>
              <w:t>tot</w:t>
            </w:r>
            <w:r w:rsidRPr="006670F8">
              <w:rPr>
                <w:sz w:val="16"/>
                <w:szCs w:val="16"/>
                <w:vertAlign w:val="superscript"/>
              </w:rPr>
              <w:t>-1</w:t>
            </w:r>
          </w:p>
        </w:tc>
        <w:tc>
          <w:tcPr>
            <w:tcW w:w="0" w:type="auto"/>
            <w:noWrap/>
          </w:tcPr>
          <w:p w14:paraId="4B357CE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w:t>
            </w:r>
          </w:p>
        </w:tc>
        <w:tc>
          <w:tcPr>
            <w:tcW w:w="0" w:type="auto"/>
            <w:noWrap/>
          </w:tcPr>
          <w:p w14:paraId="5E04B3E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0-10%</w:t>
            </w:r>
          </w:p>
        </w:tc>
      </w:tr>
      <w:tr w:rsidR="00732C76" w:rsidRPr="006670F8" w14:paraId="537D2191"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32DCD7E" w14:textId="77777777" w:rsidR="00732C76" w:rsidRPr="006670F8" w:rsidRDefault="00732C76" w:rsidP="00447F21">
            <w:pPr>
              <w:rPr>
                <w:b w:val="0"/>
                <w:bCs w:val="0"/>
                <w:sz w:val="16"/>
                <w:szCs w:val="16"/>
              </w:rPr>
            </w:pPr>
          </w:p>
        </w:tc>
        <w:tc>
          <w:tcPr>
            <w:tcW w:w="0" w:type="auto"/>
            <w:noWrap/>
            <w:hideMark/>
          </w:tcPr>
          <w:p w14:paraId="6F314BF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205</w:t>
            </w:r>
          </w:p>
        </w:tc>
        <w:tc>
          <w:tcPr>
            <w:tcW w:w="0" w:type="auto"/>
            <w:noWrap/>
          </w:tcPr>
          <w:p w14:paraId="513D145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Combustion pellet. electricity</w:t>
            </w:r>
          </w:p>
        </w:tc>
        <w:tc>
          <w:tcPr>
            <w:tcW w:w="0" w:type="auto"/>
            <w:noWrap/>
          </w:tcPr>
          <w:p w14:paraId="2F42D32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kWh.kg</w:t>
            </w:r>
            <w:r w:rsidRPr="006670F8">
              <w:rPr>
                <w:sz w:val="16"/>
                <w:szCs w:val="16"/>
                <w:vertAlign w:val="subscript"/>
              </w:rPr>
              <w:t>DM</w:t>
            </w:r>
            <w:r w:rsidRPr="006670F8">
              <w:rPr>
                <w:sz w:val="16"/>
                <w:szCs w:val="16"/>
                <w:vertAlign w:val="superscript"/>
              </w:rPr>
              <w:t>-1</w:t>
            </w:r>
          </w:p>
        </w:tc>
        <w:tc>
          <w:tcPr>
            <w:tcW w:w="0" w:type="auto"/>
            <w:noWrap/>
          </w:tcPr>
          <w:p w14:paraId="31AC69A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0.25</w:t>
            </w:r>
          </w:p>
        </w:tc>
        <w:tc>
          <w:tcPr>
            <w:tcW w:w="0" w:type="auto"/>
            <w:noWrap/>
          </w:tcPr>
          <w:p w14:paraId="3E5EBCC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0.225-0.275</w:t>
            </w:r>
          </w:p>
        </w:tc>
      </w:tr>
      <w:tr w:rsidR="00732C76" w:rsidRPr="006670F8" w14:paraId="6023BEEB"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27D9A83" w14:textId="77777777" w:rsidR="00732C76" w:rsidRPr="006670F8" w:rsidRDefault="00732C76" w:rsidP="00447F21">
            <w:pPr>
              <w:rPr>
                <w:b w:val="0"/>
                <w:bCs w:val="0"/>
                <w:sz w:val="16"/>
                <w:szCs w:val="16"/>
              </w:rPr>
            </w:pPr>
          </w:p>
        </w:tc>
        <w:tc>
          <w:tcPr>
            <w:tcW w:w="0" w:type="auto"/>
            <w:noWrap/>
            <w:hideMark/>
          </w:tcPr>
          <w:p w14:paraId="279D371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206</w:t>
            </w:r>
          </w:p>
        </w:tc>
        <w:tc>
          <w:tcPr>
            <w:tcW w:w="0" w:type="auto"/>
            <w:noWrap/>
          </w:tcPr>
          <w:p w14:paraId="5557E46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Combustion pellet. heat</w:t>
            </w:r>
          </w:p>
        </w:tc>
        <w:tc>
          <w:tcPr>
            <w:tcW w:w="0" w:type="auto"/>
            <w:noWrap/>
          </w:tcPr>
          <w:p w14:paraId="27E1E28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proofErr w:type="gramStart"/>
            <w:r w:rsidRPr="006670F8">
              <w:rPr>
                <w:sz w:val="16"/>
                <w:szCs w:val="16"/>
              </w:rPr>
              <w:t>MJ.kg</w:t>
            </w:r>
            <w:r w:rsidRPr="006670F8">
              <w:rPr>
                <w:sz w:val="16"/>
                <w:szCs w:val="16"/>
                <w:vertAlign w:val="subscript"/>
              </w:rPr>
              <w:t>water</w:t>
            </w:r>
            <w:proofErr w:type="gramEnd"/>
            <w:r w:rsidRPr="006670F8">
              <w:rPr>
                <w:sz w:val="16"/>
                <w:szCs w:val="16"/>
                <w:vertAlign w:val="superscript"/>
              </w:rPr>
              <w:t>-1</w:t>
            </w:r>
          </w:p>
        </w:tc>
        <w:tc>
          <w:tcPr>
            <w:tcW w:w="0" w:type="auto"/>
            <w:noWrap/>
          </w:tcPr>
          <w:p w14:paraId="1FBBA40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3.3</w:t>
            </w:r>
          </w:p>
        </w:tc>
        <w:tc>
          <w:tcPr>
            <w:tcW w:w="0" w:type="auto"/>
            <w:noWrap/>
          </w:tcPr>
          <w:p w14:paraId="7C90F56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2.97-3.63</w:t>
            </w:r>
          </w:p>
        </w:tc>
      </w:tr>
      <w:tr w:rsidR="00732C76" w:rsidRPr="006670F8" w14:paraId="5A165C17"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6602E49" w14:textId="77777777" w:rsidR="00732C76" w:rsidRPr="006670F8" w:rsidRDefault="00732C76" w:rsidP="00447F21">
            <w:pPr>
              <w:rPr>
                <w:b w:val="0"/>
                <w:bCs w:val="0"/>
                <w:sz w:val="16"/>
                <w:szCs w:val="16"/>
              </w:rPr>
            </w:pPr>
          </w:p>
        </w:tc>
        <w:tc>
          <w:tcPr>
            <w:tcW w:w="0" w:type="auto"/>
            <w:noWrap/>
            <w:hideMark/>
          </w:tcPr>
          <w:p w14:paraId="42DC9C7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207</w:t>
            </w:r>
          </w:p>
        </w:tc>
        <w:tc>
          <w:tcPr>
            <w:tcW w:w="0" w:type="auto"/>
            <w:noWrap/>
          </w:tcPr>
          <w:p w14:paraId="246B0A9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 xml:space="preserve">Solid </w:t>
            </w:r>
            <w:r>
              <w:rPr>
                <w:b/>
                <w:sz w:val="16"/>
                <w:szCs w:val="16"/>
              </w:rPr>
              <w:t xml:space="preserve">fuel </w:t>
            </w:r>
            <w:r w:rsidRPr="006670F8">
              <w:rPr>
                <w:b/>
                <w:sz w:val="16"/>
                <w:szCs w:val="16"/>
              </w:rPr>
              <w:t>CHP power efficiency</w:t>
            </w:r>
          </w:p>
        </w:tc>
        <w:tc>
          <w:tcPr>
            <w:tcW w:w="0" w:type="auto"/>
            <w:noWrap/>
          </w:tcPr>
          <w:p w14:paraId="39825E1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HHV</w:t>
            </w:r>
          </w:p>
        </w:tc>
        <w:tc>
          <w:tcPr>
            <w:tcW w:w="0" w:type="auto"/>
            <w:noWrap/>
          </w:tcPr>
          <w:p w14:paraId="5961196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22%</w:t>
            </w:r>
          </w:p>
        </w:tc>
        <w:tc>
          <w:tcPr>
            <w:tcW w:w="0" w:type="auto"/>
            <w:noWrap/>
          </w:tcPr>
          <w:p w14:paraId="7D19992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18-26%</w:t>
            </w:r>
          </w:p>
        </w:tc>
      </w:tr>
      <w:tr w:rsidR="00732C76" w:rsidRPr="006670F8" w14:paraId="651D4C5C"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6D7CB3A" w14:textId="77777777" w:rsidR="00732C76" w:rsidRPr="006670F8" w:rsidRDefault="00732C76" w:rsidP="00447F21">
            <w:pPr>
              <w:rPr>
                <w:b w:val="0"/>
                <w:bCs w:val="0"/>
                <w:sz w:val="16"/>
                <w:szCs w:val="16"/>
              </w:rPr>
            </w:pPr>
          </w:p>
        </w:tc>
        <w:tc>
          <w:tcPr>
            <w:tcW w:w="0" w:type="auto"/>
            <w:noWrap/>
            <w:hideMark/>
          </w:tcPr>
          <w:p w14:paraId="3F9C46F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208</w:t>
            </w:r>
          </w:p>
        </w:tc>
        <w:tc>
          <w:tcPr>
            <w:tcW w:w="0" w:type="auto"/>
            <w:noWrap/>
          </w:tcPr>
          <w:p w14:paraId="695C265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 xml:space="preserve">Solid </w:t>
            </w:r>
            <w:r>
              <w:rPr>
                <w:b/>
                <w:sz w:val="16"/>
                <w:szCs w:val="16"/>
              </w:rPr>
              <w:t xml:space="preserve">fuel </w:t>
            </w:r>
            <w:r w:rsidRPr="006670F8">
              <w:rPr>
                <w:b/>
                <w:sz w:val="16"/>
                <w:szCs w:val="16"/>
              </w:rPr>
              <w:t>CHP heat efficiency</w:t>
            </w:r>
          </w:p>
        </w:tc>
        <w:tc>
          <w:tcPr>
            <w:tcW w:w="0" w:type="auto"/>
            <w:noWrap/>
          </w:tcPr>
          <w:p w14:paraId="0F38781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HHV</w:t>
            </w:r>
          </w:p>
        </w:tc>
        <w:tc>
          <w:tcPr>
            <w:tcW w:w="0" w:type="auto"/>
            <w:noWrap/>
          </w:tcPr>
          <w:p w14:paraId="04637D3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70%</w:t>
            </w:r>
          </w:p>
        </w:tc>
        <w:tc>
          <w:tcPr>
            <w:tcW w:w="0" w:type="auto"/>
            <w:noWrap/>
          </w:tcPr>
          <w:p w14:paraId="77C8958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60-78%</w:t>
            </w:r>
          </w:p>
        </w:tc>
      </w:tr>
      <w:tr w:rsidR="00732C76" w:rsidRPr="006670F8" w14:paraId="3D69BC08"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0074A0D" w14:textId="77777777" w:rsidR="00732C76" w:rsidRPr="006670F8" w:rsidRDefault="00732C76" w:rsidP="00447F21">
            <w:pPr>
              <w:rPr>
                <w:b w:val="0"/>
                <w:bCs w:val="0"/>
                <w:sz w:val="16"/>
                <w:szCs w:val="16"/>
              </w:rPr>
            </w:pPr>
          </w:p>
        </w:tc>
        <w:tc>
          <w:tcPr>
            <w:tcW w:w="0" w:type="auto"/>
            <w:noWrap/>
            <w:hideMark/>
          </w:tcPr>
          <w:p w14:paraId="22B0AC6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209</w:t>
            </w:r>
          </w:p>
        </w:tc>
        <w:tc>
          <w:tcPr>
            <w:tcW w:w="0" w:type="auto"/>
            <w:noWrap/>
          </w:tcPr>
          <w:p w14:paraId="6ED23FB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 xml:space="preserve">Solid </w:t>
            </w:r>
            <w:r>
              <w:rPr>
                <w:b/>
                <w:sz w:val="16"/>
                <w:szCs w:val="16"/>
              </w:rPr>
              <w:t xml:space="preserve">fuel </w:t>
            </w:r>
            <w:r w:rsidRPr="006670F8">
              <w:rPr>
                <w:b/>
                <w:sz w:val="16"/>
                <w:szCs w:val="16"/>
              </w:rPr>
              <w:t>CHP electricity requirements</w:t>
            </w:r>
          </w:p>
        </w:tc>
        <w:tc>
          <w:tcPr>
            <w:tcW w:w="0" w:type="auto"/>
            <w:noWrap/>
          </w:tcPr>
          <w:p w14:paraId="12E3ED1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kWh.t</w:t>
            </w:r>
            <w:r w:rsidRPr="006670F8">
              <w:rPr>
                <w:sz w:val="16"/>
                <w:szCs w:val="16"/>
                <w:vertAlign w:val="subscript"/>
              </w:rPr>
              <w:t>ww</w:t>
            </w:r>
            <w:r w:rsidRPr="006670F8">
              <w:rPr>
                <w:sz w:val="16"/>
                <w:szCs w:val="16"/>
                <w:vertAlign w:val="superscript"/>
              </w:rPr>
              <w:t>-1</w:t>
            </w:r>
          </w:p>
        </w:tc>
        <w:tc>
          <w:tcPr>
            <w:tcW w:w="0" w:type="auto"/>
            <w:noWrap/>
          </w:tcPr>
          <w:p w14:paraId="4D0C0E8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100</w:t>
            </w:r>
          </w:p>
        </w:tc>
        <w:tc>
          <w:tcPr>
            <w:tcW w:w="0" w:type="auto"/>
            <w:noWrap/>
          </w:tcPr>
          <w:p w14:paraId="62965C8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65-162</w:t>
            </w:r>
          </w:p>
        </w:tc>
      </w:tr>
      <w:tr w:rsidR="00732C76" w:rsidRPr="006670F8" w14:paraId="01D39099"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C5F4FD5" w14:textId="77777777" w:rsidR="00732C76" w:rsidRPr="006670F8" w:rsidRDefault="00732C76" w:rsidP="00447F21">
            <w:pPr>
              <w:rPr>
                <w:b w:val="0"/>
                <w:bCs w:val="0"/>
                <w:sz w:val="16"/>
                <w:szCs w:val="16"/>
              </w:rPr>
            </w:pPr>
          </w:p>
        </w:tc>
        <w:tc>
          <w:tcPr>
            <w:tcW w:w="0" w:type="auto"/>
            <w:noWrap/>
            <w:hideMark/>
          </w:tcPr>
          <w:p w14:paraId="0F86587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210</w:t>
            </w:r>
          </w:p>
        </w:tc>
        <w:tc>
          <w:tcPr>
            <w:tcW w:w="0" w:type="auto"/>
            <w:noWrap/>
          </w:tcPr>
          <w:p w14:paraId="2FFC04D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Incineration activated carbon</w:t>
            </w:r>
            <w:r>
              <w:rPr>
                <w:b/>
                <w:sz w:val="16"/>
                <w:szCs w:val="16"/>
              </w:rPr>
              <w:t xml:space="preserve"> consumption</w:t>
            </w:r>
          </w:p>
        </w:tc>
        <w:tc>
          <w:tcPr>
            <w:tcW w:w="0" w:type="auto"/>
            <w:noWrap/>
          </w:tcPr>
          <w:p w14:paraId="7252E73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kg.t</w:t>
            </w:r>
            <w:r w:rsidRPr="006670F8">
              <w:rPr>
                <w:sz w:val="16"/>
                <w:szCs w:val="16"/>
                <w:vertAlign w:val="subscript"/>
              </w:rPr>
              <w:t>ww</w:t>
            </w:r>
            <w:r w:rsidRPr="006670F8">
              <w:rPr>
                <w:sz w:val="16"/>
                <w:szCs w:val="16"/>
                <w:vertAlign w:val="superscript"/>
              </w:rPr>
              <w:t>-1</w:t>
            </w:r>
          </w:p>
        </w:tc>
        <w:tc>
          <w:tcPr>
            <w:tcW w:w="0" w:type="auto"/>
            <w:noWrap/>
          </w:tcPr>
          <w:p w14:paraId="717C7EB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w:t>
            </w:r>
          </w:p>
        </w:tc>
        <w:tc>
          <w:tcPr>
            <w:tcW w:w="0" w:type="auto"/>
            <w:noWrap/>
          </w:tcPr>
          <w:p w14:paraId="501647F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0.63-1.48</w:t>
            </w:r>
          </w:p>
        </w:tc>
      </w:tr>
      <w:tr w:rsidR="00732C76" w:rsidRPr="006670F8" w14:paraId="1B9C2E46"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C5EE419" w14:textId="77777777" w:rsidR="00732C76" w:rsidRPr="006670F8" w:rsidRDefault="00732C76" w:rsidP="00447F21">
            <w:pPr>
              <w:rPr>
                <w:b w:val="0"/>
                <w:bCs w:val="0"/>
                <w:sz w:val="16"/>
                <w:szCs w:val="16"/>
              </w:rPr>
            </w:pPr>
          </w:p>
        </w:tc>
        <w:tc>
          <w:tcPr>
            <w:tcW w:w="0" w:type="auto"/>
            <w:noWrap/>
            <w:hideMark/>
          </w:tcPr>
          <w:p w14:paraId="4F61547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211</w:t>
            </w:r>
          </w:p>
        </w:tc>
        <w:tc>
          <w:tcPr>
            <w:tcW w:w="0" w:type="auto"/>
            <w:noWrap/>
          </w:tcPr>
          <w:p w14:paraId="63F36C9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Incineration activated ammonia</w:t>
            </w:r>
            <w:r>
              <w:rPr>
                <w:b/>
                <w:sz w:val="16"/>
                <w:szCs w:val="16"/>
              </w:rPr>
              <w:t xml:space="preserve"> consumption</w:t>
            </w:r>
          </w:p>
        </w:tc>
        <w:tc>
          <w:tcPr>
            <w:tcW w:w="0" w:type="auto"/>
            <w:noWrap/>
          </w:tcPr>
          <w:p w14:paraId="0C98EE1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kg.t</w:t>
            </w:r>
            <w:r w:rsidRPr="006670F8">
              <w:rPr>
                <w:sz w:val="16"/>
                <w:szCs w:val="16"/>
                <w:vertAlign w:val="subscript"/>
              </w:rPr>
              <w:t>ww</w:t>
            </w:r>
            <w:r w:rsidRPr="006670F8">
              <w:rPr>
                <w:sz w:val="16"/>
                <w:szCs w:val="16"/>
                <w:vertAlign w:val="superscript"/>
              </w:rPr>
              <w:t>-1</w:t>
            </w:r>
          </w:p>
        </w:tc>
        <w:tc>
          <w:tcPr>
            <w:tcW w:w="0" w:type="auto"/>
            <w:noWrap/>
          </w:tcPr>
          <w:p w14:paraId="61F3968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1.5</w:t>
            </w:r>
          </w:p>
        </w:tc>
        <w:tc>
          <w:tcPr>
            <w:tcW w:w="0" w:type="auto"/>
            <w:noWrap/>
          </w:tcPr>
          <w:p w14:paraId="58E31B5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1-2.9</w:t>
            </w:r>
          </w:p>
        </w:tc>
      </w:tr>
      <w:tr w:rsidR="00732C76" w:rsidRPr="006670F8" w14:paraId="2A1EDC4C"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1A7F537" w14:textId="77777777" w:rsidR="00732C76" w:rsidRPr="006670F8" w:rsidRDefault="00732C76" w:rsidP="00447F21">
            <w:pPr>
              <w:rPr>
                <w:b w:val="0"/>
                <w:bCs w:val="0"/>
                <w:sz w:val="16"/>
                <w:szCs w:val="16"/>
              </w:rPr>
            </w:pPr>
          </w:p>
        </w:tc>
        <w:tc>
          <w:tcPr>
            <w:tcW w:w="0" w:type="auto"/>
            <w:noWrap/>
            <w:hideMark/>
          </w:tcPr>
          <w:p w14:paraId="33772B4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212</w:t>
            </w:r>
          </w:p>
        </w:tc>
        <w:tc>
          <w:tcPr>
            <w:tcW w:w="0" w:type="auto"/>
            <w:noWrap/>
          </w:tcPr>
          <w:p w14:paraId="7DC32225" w14:textId="77777777" w:rsidR="00732C76" w:rsidRPr="00E64BEF"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Incineration CaCO</w:t>
            </w:r>
            <w:r w:rsidRPr="006670F8">
              <w:rPr>
                <w:b/>
                <w:sz w:val="16"/>
                <w:szCs w:val="16"/>
                <w:vertAlign w:val="subscript"/>
              </w:rPr>
              <w:t>3</w:t>
            </w:r>
            <w:r>
              <w:rPr>
                <w:b/>
                <w:sz w:val="16"/>
                <w:szCs w:val="16"/>
              </w:rPr>
              <w:t xml:space="preserve"> consumption</w:t>
            </w:r>
          </w:p>
        </w:tc>
        <w:tc>
          <w:tcPr>
            <w:tcW w:w="0" w:type="auto"/>
            <w:noWrap/>
          </w:tcPr>
          <w:p w14:paraId="4201D4D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kg.t</w:t>
            </w:r>
            <w:r w:rsidRPr="006670F8">
              <w:rPr>
                <w:sz w:val="16"/>
                <w:szCs w:val="16"/>
                <w:vertAlign w:val="subscript"/>
              </w:rPr>
              <w:t>ww</w:t>
            </w:r>
            <w:r w:rsidRPr="006670F8">
              <w:rPr>
                <w:sz w:val="16"/>
                <w:szCs w:val="16"/>
                <w:vertAlign w:val="superscript"/>
              </w:rPr>
              <w:t>-1</w:t>
            </w:r>
          </w:p>
        </w:tc>
        <w:tc>
          <w:tcPr>
            <w:tcW w:w="0" w:type="auto"/>
            <w:noWrap/>
          </w:tcPr>
          <w:p w14:paraId="5B4FD9A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w:t>
            </w:r>
          </w:p>
        </w:tc>
        <w:tc>
          <w:tcPr>
            <w:tcW w:w="0" w:type="auto"/>
            <w:noWrap/>
          </w:tcPr>
          <w:p w14:paraId="215DE4C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4-11.9</w:t>
            </w:r>
          </w:p>
        </w:tc>
      </w:tr>
      <w:tr w:rsidR="00732C76" w:rsidRPr="006670F8" w14:paraId="66ECDCFB"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CF60AF3" w14:textId="77777777" w:rsidR="00732C76" w:rsidRPr="006670F8" w:rsidRDefault="00732C76" w:rsidP="00447F21">
            <w:pPr>
              <w:rPr>
                <w:b w:val="0"/>
                <w:bCs w:val="0"/>
                <w:sz w:val="16"/>
                <w:szCs w:val="16"/>
              </w:rPr>
            </w:pPr>
          </w:p>
        </w:tc>
        <w:tc>
          <w:tcPr>
            <w:tcW w:w="0" w:type="auto"/>
            <w:noWrap/>
            <w:hideMark/>
          </w:tcPr>
          <w:p w14:paraId="060F071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213</w:t>
            </w:r>
          </w:p>
        </w:tc>
        <w:tc>
          <w:tcPr>
            <w:tcW w:w="0" w:type="auto"/>
            <w:noWrap/>
          </w:tcPr>
          <w:p w14:paraId="098FA5BF" w14:textId="77777777" w:rsidR="00732C76" w:rsidRPr="00E64BEF"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 xml:space="preserve">Incineration </w:t>
            </w:r>
            <w:proofErr w:type="gramStart"/>
            <w:r w:rsidRPr="006670F8">
              <w:rPr>
                <w:b/>
                <w:sz w:val="16"/>
                <w:szCs w:val="16"/>
              </w:rPr>
              <w:t>Ca(</w:t>
            </w:r>
            <w:proofErr w:type="gramEnd"/>
            <w:r w:rsidRPr="006670F8">
              <w:rPr>
                <w:b/>
                <w:sz w:val="16"/>
                <w:szCs w:val="16"/>
              </w:rPr>
              <w:t>OH)</w:t>
            </w:r>
            <w:r w:rsidRPr="006670F8">
              <w:rPr>
                <w:b/>
                <w:sz w:val="16"/>
                <w:szCs w:val="16"/>
                <w:vertAlign w:val="subscript"/>
              </w:rPr>
              <w:t>2</w:t>
            </w:r>
            <w:r>
              <w:rPr>
                <w:b/>
                <w:sz w:val="16"/>
                <w:szCs w:val="16"/>
              </w:rPr>
              <w:t xml:space="preserve"> consumption</w:t>
            </w:r>
          </w:p>
        </w:tc>
        <w:tc>
          <w:tcPr>
            <w:tcW w:w="0" w:type="auto"/>
            <w:noWrap/>
          </w:tcPr>
          <w:p w14:paraId="66D6403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kg.t</w:t>
            </w:r>
            <w:r w:rsidRPr="006670F8">
              <w:rPr>
                <w:sz w:val="16"/>
                <w:szCs w:val="16"/>
                <w:vertAlign w:val="subscript"/>
              </w:rPr>
              <w:t>ww</w:t>
            </w:r>
            <w:r w:rsidRPr="006670F8">
              <w:rPr>
                <w:sz w:val="16"/>
                <w:szCs w:val="16"/>
                <w:vertAlign w:val="superscript"/>
              </w:rPr>
              <w:t>-1</w:t>
            </w:r>
          </w:p>
        </w:tc>
        <w:tc>
          <w:tcPr>
            <w:tcW w:w="0" w:type="auto"/>
            <w:noWrap/>
          </w:tcPr>
          <w:p w14:paraId="44696D4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w:t>
            </w:r>
          </w:p>
        </w:tc>
        <w:tc>
          <w:tcPr>
            <w:tcW w:w="0" w:type="auto"/>
            <w:noWrap/>
          </w:tcPr>
          <w:p w14:paraId="1B92B9C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0.3-10</w:t>
            </w:r>
          </w:p>
        </w:tc>
      </w:tr>
      <w:tr w:rsidR="00732C76" w:rsidRPr="006670F8" w14:paraId="3253DE2E" w14:textId="77777777" w:rsidTr="008C451C">
        <w:trPr>
          <w:trHeight w:val="300"/>
        </w:trPr>
        <w:tc>
          <w:tcPr>
            <w:cnfStyle w:val="001000000000" w:firstRow="0" w:lastRow="0" w:firstColumn="1" w:lastColumn="0" w:oddVBand="0" w:evenVBand="0" w:oddHBand="0" w:evenHBand="0" w:firstRowFirstColumn="0" w:firstRowLastColumn="0" w:lastRowFirstColumn="0" w:lastRowLastColumn="0"/>
            <w:tcW w:w="0" w:type="auto"/>
            <w:vMerge/>
            <w:hideMark/>
          </w:tcPr>
          <w:p w14:paraId="27E6680B" w14:textId="77777777" w:rsidR="00732C76" w:rsidRPr="006670F8" w:rsidRDefault="00732C76" w:rsidP="00447F21">
            <w:pPr>
              <w:rPr>
                <w:b w:val="0"/>
                <w:bCs w:val="0"/>
                <w:sz w:val="16"/>
                <w:szCs w:val="16"/>
              </w:rPr>
            </w:pPr>
          </w:p>
        </w:tc>
        <w:tc>
          <w:tcPr>
            <w:tcW w:w="0" w:type="auto"/>
            <w:noWrap/>
            <w:hideMark/>
          </w:tcPr>
          <w:p w14:paraId="4D32463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214</w:t>
            </w:r>
          </w:p>
        </w:tc>
        <w:tc>
          <w:tcPr>
            <w:tcW w:w="0" w:type="auto"/>
            <w:noWrap/>
          </w:tcPr>
          <w:p w14:paraId="1CBB714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Incineration NaOH</w:t>
            </w:r>
            <w:r>
              <w:rPr>
                <w:b/>
                <w:sz w:val="16"/>
                <w:szCs w:val="16"/>
              </w:rPr>
              <w:t xml:space="preserve"> consumption</w:t>
            </w:r>
          </w:p>
        </w:tc>
        <w:tc>
          <w:tcPr>
            <w:tcW w:w="0" w:type="auto"/>
            <w:noWrap/>
          </w:tcPr>
          <w:p w14:paraId="5DF4D84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kg.t</w:t>
            </w:r>
            <w:r w:rsidRPr="006670F8">
              <w:rPr>
                <w:sz w:val="16"/>
                <w:szCs w:val="16"/>
                <w:vertAlign w:val="subscript"/>
              </w:rPr>
              <w:t>ww</w:t>
            </w:r>
            <w:r w:rsidRPr="006670F8">
              <w:rPr>
                <w:sz w:val="16"/>
                <w:szCs w:val="16"/>
                <w:vertAlign w:val="superscript"/>
              </w:rPr>
              <w:t>-1</w:t>
            </w:r>
          </w:p>
        </w:tc>
        <w:tc>
          <w:tcPr>
            <w:tcW w:w="0" w:type="auto"/>
            <w:noWrap/>
          </w:tcPr>
          <w:p w14:paraId="151AEE5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1.2</w:t>
            </w:r>
          </w:p>
        </w:tc>
        <w:tc>
          <w:tcPr>
            <w:tcW w:w="0" w:type="auto"/>
            <w:noWrap/>
          </w:tcPr>
          <w:p w14:paraId="45358C4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0.2-2.6</w:t>
            </w:r>
          </w:p>
        </w:tc>
      </w:tr>
      <w:tr w:rsidR="00732C76" w:rsidRPr="006670F8" w14:paraId="290DC2DF" w14:textId="77777777" w:rsidTr="00C00E3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val="restart"/>
            <w:textDirection w:val="btLr"/>
            <w:hideMark/>
          </w:tcPr>
          <w:p w14:paraId="567F68BF" w14:textId="77777777" w:rsidR="00732C76" w:rsidRPr="006670F8" w:rsidRDefault="00732C76" w:rsidP="00C00E3A">
            <w:pPr>
              <w:jc w:val="center"/>
              <w:rPr>
                <w:b w:val="0"/>
                <w:bCs w:val="0"/>
                <w:sz w:val="16"/>
                <w:szCs w:val="16"/>
              </w:rPr>
            </w:pPr>
            <w:r w:rsidRPr="006670F8">
              <w:rPr>
                <w:sz w:val="16"/>
                <w:szCs w:val="16"/>
              </w:rPr>
              <w:t>Specific to composting</w:t>
            </w:r>
          </w:p>
        </w:tc>
        <w:tc>
          <w:tcPr>
            <w:tcW w:w="0" w:type="auto"/>
            <w:noWrap/>
            <w:hideMark/>
          </w:tcPr>
          <w:p w14:paraId="70E23FA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215</w:t>
            </w:r>
          </w:p>
        </w:tc>
        <w:tc>
          <w:tcPr>
            <w:tcW w:w="0" w:type="auto"/>
            <w:noWrap/>
          </w:tcPr>
          <w:p w14:paraId="32B0C27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 xml:space="preserve">Electricity </w:t>
            </w:r>
            <w:r>
              <w:rPr>
                <w:b/>
                <w:sz w:val="16"/>
                <w:szCs w:val="16"/>
              </w:rPr>
              <w:t xml:space="preserve">requirements </w:t>
            </w:r>
            <w:r w:rsidRPr="006670F8">
              <w:rPr>
                <w:b/>
                <w:sz w:val="16"/>
                <w:szCs w:val="16"/>
              </w:rPr>
              <w:t>sorting/depackaging</w:t>
            </w:r>
          </w:p>
        </w:tc>
        <w:tc>
          <w:tcPr>
            <w:tcW w:w="0" w:type="auto"/>
            <w:noWrap/>
          </w:tcPr>
          <w:p w14:paraId="4220E5C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kWh.t</w:t>
            </w:r>
            <w:r w:rsidRPr="006670F8">
              <w:rPr>
                <w:sz w:val="16"/>
                <w:szCs w:val="16"/>
                <w:vertAlign w:val="subscript"/>
              </w:rPr>
              <w:t>ww</w:t>
            </w:r>
            <w:r w:rsidRPr="006670F8">
              <w:rPr>
                <w:sz w:val="16"/>
                <w:szCs w:val="16"/>
                <w:vertAlign w:val="superscript"/>
              </w:rPr>
              <w:t>-1</w:t>
            </w:r>
          </w:p>
        </w:tc>
        <w:tc>
          <w:tcPr>
            <w:tcW w:w="0" w:type="auto"/>
            <w:noWrap/>
          </w:tcPr>
          <w:p w14:paraId="031C1D5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36.5</w:t>
            </w:r>
          </w:p>
        </w:tc>
        <w:tc>
          <w:tcPr>
            <w:tcW w:w="0" w:type="auto"/>
            <w:noWrap/>
          </w:tcPr>
          <w:p w14:paraId="689EA43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29.2-43.8</w:t>
            </w:r>
          </w:p>
        </w:tc>
      </w:tr>
      <w:tr w:rsidR="00732C76" w:rsidRPr="006670F8" w14:paraId="5546119A"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FF9B20B" w14:textId="77777777" w:rsidR="00732C76" w:rsidRPr="006670F8" w:rsidRDefault="00732C76" w:rsidP="00447F21">
            <w:pPr>
              <w:rPr>
                <w:b w:val="0"/>
                <w:bCs w:val="0"/>
                <w:sz w:val="16"/>
                <w:szCs w:val="16"/>
              </w:rPr>
            </w:pPr>
          </w:p>
        </w:tc>
        <w:tc>
          <w:tcPr>
            <w:tcW w:w="0" w:type="auto"/>
            <w:noWrap/>
            <w:hideMark/>
          </w:tcPr>
          <w:p w14:paraId="792FF8F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216</w:t>
            </w:r>
          </w:p>
        </w:tc>
        <w:tc>
          <w:tcPr>
            <w:tcW w:w="0" w:type="auto"/>
            <w:noWrap/>
          </w:tcPr>
          <w:p w14:paraId="406F9CB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Composting unit per input</w:t>
            </w:r>
          </w:p>
        </w:tc>
        <w:tc>
          <w:tcPr>
            <w:tcW w:w="0" w:type="auto"/>
            <w:noWrap/>
          </w:tcPr>
          <w:p w14:paraId="14DCB35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unit.t</w:t>
            </w:r>
            <w:r w:rsidRPr="006670F8">
              <w:rPr>
                <w:sz w:val="16"/>
                <w:szCs w:val="16"/>
                <w:vertAlign w:val="subscript"/>
              </w:rPr>
              <w:t>ww</w:t>
            </w:r>
            <w:r w:rsidRPr="006670F8">
              <w:rPr>
                <w:sz w:val="16"/>
                <w:szCs w:val="16"/>
                <w:vertAlign w:val="superscript"/>
              </w:rPr>
              <w:t>-1</w:t>
            </w:r>
          </w:p>
        </w:tc>
        <w:tc>
          <w:tcPr>
            <w:tcW w:w="0" w:type="auto"/>
            <w:noWrap/>
          </w:tcPr>
          <w:p w14:paraId="71D8B85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3.3E</w:t>
            </w:r>
            <w:r w:rsidRPr="006670F8">
              <w:rPr>
                <w:sz w:val="16"/>
                <w:szCs w:val="16"/>
                <w:vertAlign w:val="superscript"/>
              </w:rPr>
              <w:t>-8</w:t>
            </w:r>
          </w:p>
        </w:tc>
        <w:tc>
          <w:tcPr>
            <w:tcW w:w="0" w:type="auto"/>
            <w:noWrap/>
          </w:tcPr>
          <w:p w14:paraId="2223DF9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7.4E</w:t>
            </w:r>
            <w:r w:rsidRPr="006670F8">
              <w:rPr>
                <w:sz w:val="16"/>
                <w:szCs w:val="16"/>
                <w:vertAlign w:val="superscript"/>
              </w:rPr>
              <w:t>-9</w:t>
            </w:r>
            <w:r w:rsidRPr="006670F8">
              <w:rPr>
                <w:sz w:val="16"/>
                <w:szCs w:val="16"/>
              </w:rPr>
              <w:t>-3.3E</w:t>
            </w:r>
            <w:r w:rsidRPr="006670F8">
              <w:rPr>
                <w:sz w:val="16"/>
                <w:szCs w:val="16"/>
                <w:vertAlign w:val="superscript"/>
              </w:rPr>
              <w:t>-8</w:t>
            </w:r>
          </w:p>
        </w:tc>
      </w:tr>
      <w:tr w:rsidR="00732C76" w:rsidRPr="006670F8" w14:paraId="76EDA894"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C1E280B" w14:textId="77777777" w:rsidR="00732C76" w:rsidRPr="006670F8" w:rsidRDefault="00732C76" w:rsidP="00447F21">
            <w:pPr>
              <w:rPr>
                <w:b w:val="0"/>
                <w:bCs w:val="0"/>
                <w:sz w:val="16"/>
                <w:szCs w:val="16"/>
              </w:rPr>
            </w:pPr>
          </w:p>
        </w:tc>
        <w:tc>
          <w:tcPr>
            <w:tcW w:w="0" w:type="auto"/>
            <w:noWrap/>
            <w:hideMark/>
          </w:tcPr>
          <w:p w14:paraId="2BF32BC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217</w:t>
            </w:r>
          </w:p>
        </w:tc>
        <w:tc>
          <w:tcPr>
            <w:tcW w:w="0" w:type="auto"/>
            <w:noWrap/>
          </w:tcPr>
          <w:p w14:paraId="2AE4306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Compost VS degradation</w:t>
            </w:r>
          </w:p>
        </w:tc>
        <w:tc>
          <w:tcPr>
            <w:tcW w:w="0" w:type="auto"/>
            <w:noWrap/>
          </w:tcPr>
          <w:p w14:paraId="0F221D4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VS</w:t>
            </w:r>
          </w:p>
        </w:tc>
        <w:tc>
          <w:tcPr>
            <w:tcW w:w="0" w:type="auto"/>
            <w:noWrap/>
          </w:tcPr>
          <w:p w14:paraId="2ACA5E0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70%</w:t>
            </w:r>
          </w:p>
        </w:tc>
        <w:tc>
          <w:tcPr>
            <w:tcW w:w="0" w:type="auto"/>
            <w:noWrap/>
          </w:tcPr>
          <w:p w14:paraId="3084EFB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62-83.5%</w:t>
            </w:r>
          </w:p>
        </w:tc>
      </w:tr>
      <w:tr w:rsidR="00732C76" w:rsidRPr="006670F8" w14:paraId="3F1399EB"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6693931" w14:textId="77777777" w:rsidR="00732C76" w:rsidRPr="006670F8" w:rsidRDefault="00732C76" w:rsidP="00447F21">
            <w:pPr>
              <w:rPr>
                <w:b w:val="0"/>
                <w:bCs w:val="0"/>
                <w:sz w:val="16"/>
                <w:szCs w:val="16"/>
              </w:rPr>
            </w:pPr>
          </w:p>
        </w:tc>
        <w:tc>
          <w:tcPr>
            <w:tcW w:w="0" w:type="auto"/>
            <w:noWrap/>
            <w:hideMark/>
          </w:tcPr>
          <w:p w14:paraId="5DC3D75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218</w:t>
            </w:r>
          </w:p>
        </w:tc>
        <w:tc>
          <w:tcPr>
            <w:tcW w:w="0" w:type="auto"/>
            <w:noWrap/>
          </w:tcPr>
          <w:p w14:paraId="3D298DA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Compost N degradation</w:t>
            </w:r>
          </w:p>
        </w:tc>
        <w:tc>
          <w:tcPr>
            <w:tcW w:w="0" w:type="auto"/>
            <w:noWrap/>
          </w:tcPr>
          <w:p w14:paraId="7E2B55F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N</w:t>
            </w:r>
          </w:p>
        </w:tc>
        <w:tc>
          <w:tcPr>
            <w:tcW w:w="0" w:type="auto"/>
            <w:noWrap/>
          </w:tcPr>
          <w:p w14:paraId="5F8CF37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51%</w:t>
            </w:r>
          </w:p>
        </w:tc>
        <w:tc>
          <w:tcPr>
            <w:tcW w:w="0" w:type="auto"/>
            <w:noWrap/>
          </w:tcPr>
          <w:p w14:paraId="3D63F75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38.5-71%</w:t>
            </w:r>
          </w:p>
        </w:tc>
      </w:tr>
      <w:tr w:rsidR="00732C76" w:rsidRPr="006670F8" w14:paraId="629EB520"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E04AEC0" w14:textId="77777777" w:rsidR="00732C76" w:rsidRPr="006670F8" w:rsidRDefault="00732C76" w:rsidP="00447F21">
            <w:pPr>
              <w:rPr>
                <w:b w:val="0"/>
                <w:bCs w:val="0"/>
                <w:sz w:val="16"/>
                <w:szCs w:val="16"/>
              </w:rPr>
            </w:pPr>
          </w:p>
        </w:tc>
        <w:tc>
          <w:tcPr>
            <w:tcW w:w="0" w:type="auto"/>
            <w:noWrap/>
            <w:hideMark/>
          </w:tcPr>
          <w:p w14:paraId="44B0E88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219</w:t>
            </w:r>
          </w:p>
        </w:tc>
        <w:tc>
          <w:tcPr>
            <w:tcW w:w="0" w:type="auto"/>
            <w:noWrap/>
          </w:tcPr>
          <w:p w14:paraId="51D612C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Compost CH</w:t>
            </w:r>
            <w:r w:rsidRPr="006670F8">
              <w:rPr>
                <w:b/>
                <w:sz w:val="16"/>
                <w:szCs w:val="16"/>
                <w:vertAlign w:val="subscript"/>
              </w:rPr>
              <w:t>4</w:t>
            </w:r>
            <w:r w:rsidRPr="006670F8">
              <w:rPr>
                <w:b/>
                <w:sz w:val="16"/>
                <w:szCs w:val="16"/>
              </w:rPr>
              <w:t>-C emissions</w:t>
            </w:r>
          </w:p>
        </w:tc>
        <w:tc>
          <w:tcPr>
            <w:tcW w:w="0" w:type="auto"/>
            <w:noWrap/>
          </w:tcPr>
          <w:p w14:paraId="1C9C61C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C_deg</w:t>
            </w:r>
          </w:p>
        </w:tc>
        <w:tc>
          <w:tcPr>
            <w:tcW w:w="0" w:type="auto"/>
            <w:noWrap/>
          </w:tcPr>
          <w:p w14:paraId="365FA2D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w:t>
            </w:r>
          </w:p>
        </w:tc>
        <w:tc>
          <w:tcPr>
            <w:tcW w:w="0" w:type="auto"/>
            <w:noWrap/>
          </w:tcPr>
          <w:p w14:paraId="0DF7485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0.2-3%</w:t>
            </w:r>
          </w:p>
        </w:tc>
      </w:tr>
      <w:tr w:rsidR="00732C76" w:rsidRPr="006670F8" w14:paraId="409AFBB6"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D977B11" w14:textId="77777777" w:rsidR="00732C76" w:rsidRPr="006670F8" w:rsidRDefault="00732C76" w:rsidP="00447F21">
            <w:pPr>
              <w:rPr>
                <w:b w:val="0"/>
                <w:bCs w:val="0"/>
                <w:sz w:val="16"/>
                <w:szCs w:val="16"/>
              </w:rPr>
            </w:pPr>
          </w:p>
        </w:tc>
        <w:tc>
          <w:tcPr>
            <w:tcW w:w="0" w:type="auto"/>
            <w:noWrap/>
            <w:hideMark/>
          </w:tcPr>
          <w:p w14:paraId="3759315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220</w:t>
            </w:r>
          </w:p>
        </w:tc>
        <w:tc>
          <w:tcPr>
            <w:tcW w:w="0" w:type="auto"/>
            <w:noWrap/>
          </w:tcPr>
          <w:p w14:paraId="73C69B5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Compost N</w:t>
            </w:r>
            <w:r w:rsidRPr="006670F8">
              <w:rPr>
                <w:b/>
                <w:sz w:val="16"/>
                <w:szCs w:val="16"/>
                <w:vertAlign w:val="subscript"/>
              </w:rPr>
              <w:t>2</w:t>
            </w:r>
            <w:r w:rsidRPr="006670F8">
              <w:rPr>
                <w:b/>
                <w:sz w:val="16"/>
                <w:szCs w:val="16"/>
              </w:rPr>
              <w:t>O-N emissions</w:t>
            </w:r>
          </w:p>
        </w:tc>
        <w:tc>
          <w:tcPr>
            <w:tcW w:w="0" w:type="auto"/>
            <w:noWrap/>
          </w:tcPr>
          <w:p w14:paraId="25413B8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N_deg</w:t>
            </w:r>
          </w:p>
        </w:tc>
        <w:tc>
          <w:tcPr>
            <w:tcW w:w="0" w:type="auto"/>
            <w:noWrap/>
          </w:tcPr>
          <w:p w14:paraId="52969B3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1.4%</w:t>
            </w:r>
          </w:p>
        </w:tc>
        <w:tc>
          <w:tcPr>
            <w:tcW w:w="0" w:type="auto"/>
            <w:noWrap/>
          </w:tcPr>
          <w:p w14:paraId="76CD64A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0-1.8%</w:t>
            </w:r>
          </w:p>
        </w:tc>
      </w:tr>
      <w:tr w:rsidR="00732C76" w:rsidRPr="006670F8" w14:paraId="598A5683"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4B75301" w14:textId="77777777" w:rsidR="00732C76" w:rsidRPr="006670F8" w:rsidRDefault="00732C76" w:rsidP="00447F21">
            <w:pPr>
              <w:rPr>
                <w:b w:val="0"/>
                <w:bCs w:val="0"/>
                <w:sz w:val="16"/>
                <w:szCs w:val="16"/>
              </w:rPr>
            </w:pPr>
          </w:p>
        </w:tc>
        <w:tc>
          <w:tcPr>
            <w:tcW w:w="0" w:type="auto"/>
            <w:noWrap/>
            <w:hideMark/>
          </w:tcPr>
          <w:p w14:paraId="57F817B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221</w:t>
            </w:r>
          </w:p>
        </w:tc>
        <w:tc>
          <w:tcPr>
            <w:tcW w:w="0" w:type="auto"/>
            <w:noWrap/>
          </w:tcPr>
          <w:p w14:paraId="63B1C25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Compost N</w:t>
            </w:r>
            <w:r w:rsidRPr="006670F8">
              <w:rPr>
                <w:b/>
                <w:sz w:val="16"/>
                <w:szCs w:val="16"/>
                <w:vertAlign w:val="subscript"/>
              </w:rPr>
              <w:t>2</w:t>
            </w:r>
            <w:r w:rsidRPr="006670F8">
              <w:rPr>
                <w:b/>
                <w:sz w:val="16"/>
                <w:szCs w:val="16"/>
              </w:rPr>
              <w:t>-N emissions</w:t>
            </w:r>
          </w:p>
        </w:tc>
        <w:tc>
          <w:tcPr>
            <w:tcW w:w="0" w:type="auto"/>
            <w:noWrap/>
          </w:tcPr>
          <w:p w14:paraId="3579195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N_deg</w:t>
            </w:r>
          </w:p>
        </w:tc>
        <w:tc>
          <w:tcPr>
            <w:tcW w:w="0" w:type="auto"/>
            <w:noWrap/>
          </w:tcPr>
          <w:p w14:paraId="01CDC5A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w:t>
            </w:r>
          </w:p>
        </w:tc>
        <w:tc>
          <w:tcPr>
            <w:tcW w:w="0" w:type="auto"/>
            <w:noWrap/>
          </w:tcPr>
          <w:p w14:paraId="4E2416C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0.1-3.2%</w:t>
            </w:r>
          </w:p>
        </w:tc>
      </w:tr>
      <w:tr w:rsidR="00732C76" w:rsidRPr="006670F8" w14:paraId="615D396E"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B25D35B" w14:textId="77777777" w:rsidR="00732C76" w:rsidRPr="006670F8" w:rsidRDefault="00732C76" w:rsidP="00447F21">
            <w:pPr>
              <w:rPr>
                <w:b w:val="0"/>
                <w:bCs w:val="0"/>
                <w:sz w:val="16"/>
                <w:szCs w:val="16"/>
              </w:rPr>
            </w:pPr>
          </w:p>
        </w:tc>
        <w:tc>
          <w:tcPr>
            <w:tcW w:w="0" w:type="auto"/>
            <w:noWrap/>
            <w:hideMark/>
          </w:tcPr>
          <w:p w14:paraId="652A15E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222</w:t>
            </w:r>
          </w:p>
        </w:tc>
        <w:tc>
          <w:tcPr>
            <w:tcW w:w="0" w:type="auto"/>
            <w:noWrap/>
          </w:tcPr>
          <w:p w14:paraId="1A96786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Compost water content</w:t>
            </w:r>
          </w:p>
        </w:tc>
        <w:tc>
          <w:tcPr>
            <w:tcW w:w="0" w:type="auto"/>
            <w:noWrap/>
          </w:tcPr>
          <w:p w14:paraId="199630E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ww</w:t>
            </w:r>
          </w:p>
        </w:tc>
        <w:tc>
          <w:tcPr>
            <w:tcW w:w="0" w:type="auto"/>
            <w:noWrap/>
          </w:tcPr>
          <w:p w14:paraId="31DF092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70.5%</w:t>
            </w:r>
          </w:p>
        </w:tc>
        <w:tc>
          <w:tcPr>
            <w:tcW w:w="0" w:type="auto"/>
            <w:noWrap/>
          </w:tcPr>
          <w:p w14:paraId="546FD57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65-77%</w:t>
            </w:r>
          </w:p>
        </w:tc>
      </w:tr>
      <w:tr w:rsidR="00732C76" w:rsidRPr="006670F8" w14:paraId="5354EA82"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0710CD3" w14:textId="77777777" w:rsidR="00732C76" w:rsidRPr="006670F8" w:rsidRDefault="00732C76" w:rsidP="00447F21">
            <w:pPr>
              <w:rPr>
                <w:b w:val="0"/>
                <w:bCs w:val="0"/>
                <w:sz w:val="16"/>
                <w:szCs w:val="16"/>
              </w:rPr>
            </w:pPr>
          </w:p>
        </w:tc>
        <w:tc>
          <w:tcPr>
            <w:tcW w:w="0" w:type="auto"/>
            <w:noWrap/>
            <w:hideMark/>
          </w:tcPr>
          <w:p w14:paraId="1C05C8A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223</w:t>
            </w:r>
          </w:p>
        </w:tc>
        <w:tc>
          <w:tcPr>
            <w:tcW w:w="0" w:type="auto"/>
            <w:noWrap/>
          </w:tcPr>
          <w:p w14:paraId="24EF8BE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Compost CO-C emissions</w:t>
            </w:r>
          </w:p>
        </w:tc>
        <w:tc>
          <w:tcPr>
            <w:tcW w:w="0" w:type="auto"/>
            <w:noWrap/>
          </w:tcPr>
          <w:p w14:paraId="14D60F1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C_deg</w:t>
            </w:r>
          </w:p>
        </w:tc>
        <w:tc>
          <w:tcPr>
            <w:tcW w:w="0" w:type="auto"/>
            <w:noWrap/>
          </w:tcPr>
          <w:p w14:paraId="730D520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0.34%</w:t>
            </w:r>
          </w:p>
        </w:tc>
        <w:tc>
          <w:tcPr>
            <w:tcW w:w="0" w:type="auto"/>
            <w:noWrap/>
          </w:tcPr>
          <w:p w14:paraId="61108F4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0-0.34%</w:t>
            </w:r>
          </w:p>
        </w:tc>
      </w:tr>
      <w:tr w:rsidR="00732C76" w:rsidRPr="006670F8" w14:paraId="030673EA"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BB57003" w14:textId="77777777" w:rsidR="00732C76" w:rsidRPr="006670F8" w:rsidRDefault="00732C76" w:rsidP="00447F21">
            <w:pPr>
              <w:rPr>
                <w:b w:val="0"/>
                <w:bCs w:val="0"/>
                <w:sz w:val="16"/>
                <w:szCs w:val="16"/>
              </w:rPr>
            </w:pPr>
          </w:p>
        </w:tc>
        <w:tc>
          <w:tcPr>
            <w:tcW w:w="0" w:type="auto"/>
            <w:noWrap/>
            <w:hideMark/>
          </w:tcPr>
          <w:p w14:paraId="7A972DC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224</w:t>
            </w:r>
          </w:p>
        </w:tc>
        <w:tc>
          <w:tcPr>
            <w:tcW w:w="0" w:type="auto"/>
            <w:noWrap/>
          </w:tcPr>
          <w:p w14:paraId="14C433E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Composting leaching</w:t>
            </w:r>
          </w:p>
        </w:tc>
        <w:tc>
          <w:tcPr>
            <w:tcW w:w="0" w:type="auto"/>
            <w:noWrap/>
          </w:tcPr>
          <w:p w14:paraId="46076A6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L</w:t>
            </w:r>
            <w:r w:rsidRPr="00E64BEF">
              <w:rPr>
                <w:sz w:val="16"/>
                <w:szCs w:val="16"/>
                <w:vertAlign w:val="subscript"/>
              </w:rPr>
              <w:t>leaching</w:t>
            </w:r>
            <w:r w:rsidRPr="006670F8">
              <w:rPr>
                <w:sz w:val="16"/>
                <w:szCs w:val="16"/>
              </w:rPr>
              <w:t>.t</w:t>
            </w:r>
            <w:r w:rsidRPr="006670F8">
              <w:rPr>
                <w:sz w:val="16"/>
                <w:szCs w:val="16"/>
                <w:vertAlign w:val="subscript"/>
              </w:rPr>
              <w:t>ww</w:t>
            </w:r>
            <w:r w:rsidRPr="006670F8">
              <w:rPr>
                <w:sz w:val="16"/>
                <w:szCs w:val="16"/>
                <w:vertAlign w:val="superscript"/>
              </w:rPr>
              <w:t>-1</w:t>
            </w:r>
          </w:p>
        </w:tc>
        <w:tc>
          <w:tcPr>
            <w:tcW w:w="0" w:type="auto"/>
            <w:noWrap/>
          </w:tcPr>
          <w:p w14:paraId="2589AA3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238</w:t>
            </w:r>
          </w:p>
        </w:tc>
        <w:tc>
          <w:tcPr>
            <w:tcW w:w="0" w:type="auto"/>
            <w:noWrap/>
          </w:tcPr>
          <w:p w14:paraId="2D53CDA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0-238</w:t>
            </w:r>
          </w:p>
        </w:tc>
      </w:tr>
      <w:tr w:rsidR="00732C76" w:rsidRPr="006670F8" w14:paraId="4DF4164A"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9999A79" w14:textId="77777777" w:rsidR="00732C76" w:rsidRPr="006670F8" w:rsidRDefault="00732C76" w:rsidP="00447F21">
            <w:pPr>
              <w:rPr>
                <w:b w:val="0"/>
                <w:bCs w:val="0"/>
                <w:sz w:val="16"/>
                <w:szCs w:val="16"/>
              </w:rPr>
            </w:pPr>
          </w:p>
        </w:tc>
        <w:tc>
          <w:tcPr>
            <w:tcW w:w="0" w:type="auto"/>
            <w:noWrap/>
            <w:hideMark/>
          </w:tcPr>
          <w:p w14:paraId="04C7CBD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225</w:t>
            </w:r>
          </w:p>
        </w:tc>
        <w:tc>
          <w:tcPr>
            <w:tcW w:w="0" w:type="auto"/>
            <w:noWrap/>
          </w:tcPr>
          <w:p w14:paraId="7FE46E5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Biofilters N</w:t>
            </w:r>
            <w:r w:rsidRPr="006670F8">
              <w:rPr>
                <w:b/>
                <w:sz w:val="16"/>
                <w:szCs w:val="16"/>
                <w:vertAlign w:val="subscript"/>
              </w:rPr>
              <w:t>2</w:t>
            </w:r>
            <w:r w:rsidRPr="006670F8">
              <w:rPr>
                <w:b/>
                <w:sz w:val="16"/>
                <w:szCs w:val="16"/>
              </w:rPr>
              <w:t>O</w:t>
            </w:r>
            <w:r>
              <w:rPr>
                <w:b/>
                <w:sz w:val="16"/>
                <w:szCs w:val="16"/>
              </w:rPr>
              <w:t xml:space="preserve"> emissions reduction</w:t>
            </w:r>
          </w:p>
        </w:tc>
        <w:tc>
          <w:tcPr>
            <w:tcW w:w="0" w:type="auto"/>
            <w:noWrap/>
          </w:tcPr>
          <w:p w14:paraId="796AF5D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N20</w:t>
            </w:r>
          </w:p>
        </w:tc>
        <w:tc>
          <w:tcPr>
            <w:tcW w:w="0" w:type="auto"/>
            <w:noWrap/>
          </w:tcPr>
          <w:p w14:paraId="1767513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w:t>
            </w:r>
          </w:p>
        </w:tc>
        <w:tc>
          <w:tcPr>
            <w:tcW w:w="0" w:type="auto"/>
            <w:noWrap/>
          </w:tcPr>
          <w:p w14:paraId="71A47A4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0-90%</w:t>
            </w:r>
          </w:p>
        </w:tc>
      </w:tr>
      <w:tr w:rsidR="00732C76" w:rsidRPr="006670F8" w14:paraId="33EAAE7E"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807F1B9" w14:textId="77777777" w:rsidR="00732C76" w:rsidRPr="006670F8" w:rsidRDefault="00732C76" w:rsidP="00447F21">
            <w:pPr>
              <w:rPr>
                <w:b w:val="0"/>
                <w:bCs w:val="0"/>
                <w:sz w:val="16"/>
                <w:szCs w:val="16"/>
              </w:rPr>
            </w:pPr>
          </w:p>
        </w:tc>
        <w:tc>
          <w:tcPr>
            <w:tcW w:w="0" w:type="auto"/>
            <w:noWrap/>
            <w:hideMark/>
          </w:tcPr>
          <w:p w14:paraId="53D0FBB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226</w:t>
            </w:r>
          </w:p>
        </w:tc>
        <w:tc>
          <w:tcPr>
            <w:tcW w:w="0" w:type="auto"/>
            <w:noWrap/>
          </w:tcPr>
          <w:p w14:paraId="13551CC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Biofilters CH</w:t>
            </w:r>
            <w:r w:rsidRPr="006670F8">
              <w:rPr>
                <w:b/>
                <w:sz w:val="16"/>
                <w:szCs w:val="16"/>
                <w:vertAlign w:val="subscript"/>
              </w:rPr>
              <w:t>4</w:t>
            </w:r>
            <w:r w:rsidRPr="006670F8">
              <w:rPr>
                <w:b/>
                <w:sz w:val="16"/>
                <w:szCs w:val="16"/>
              </w:rPr>
              <w:t xml:space="preserve"> </w:t>
            </w:r>
            <w:r>
              <w:rPr>
                <w:b/>
                <w:sz w:val="16"/>
                <w:szCs w:val="16"/>
              </w:rPr>
              <w:t>emissions reduction</w:t>
            </w:r>
          </w:p>
        </w:tc>
        <w:tc>
          <w:tcPr>
            <w:tcW w:w="0" w:type="auto"/>
            <w:noWrap/>
          </w:tcPr>
          <w:p w14:paraId="433CF55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CH4</w:t>
            </w:r>
          </w:p>
        </w:tc>
        <w:tc>
          <w:tcPr>
            <w:tcW w:w="0" w:type="auto"/>
            <w:noWrap/>
          </w:tcPr>
          <w:p w14:paraId="149C497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95%</w:t>
            </w:r>
          </w:p>
        </w:tc>
        <w:tc>
          <w:tcPr>
            <w:tcW w:w="0" w:type="auto"/>
            <w:noWrap/>
          </w:tcPr>
          <w:p w14:paraId="4ABC468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33-99.9%</w:t>
            </w:r>
          </w:p>
        </w:tc>
      </w:tr>
      <w:tr w:rsidR="00732C76" w:rsidRPr="006670F8" w14:paraId="6A3F12C0"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D34DE81" w14:textId="77777777" w:rsidR="00732C76" w:rsidRPr="006670F8" w:rsidRDefault="00732C76" w:rsidP="00447F21">
            <w:pPr>
              <w:rPr>
                <w:b w:val="0"/>
                <w:bCs w:val="0"/>
                <w:sz w:val="16"/>
                <w:szCs w:val="16"/>
              </w:rPr>
            </w:pPr>
          </w:p>
        </w:tc>
        <w:tc>
          <w:tcPr>
            <w:tcW w:w="0" w:type="auto"/>
            <w:noWrap/>
            <w:hideMark/>
          </w:tcPr>
          <w:p w14:paraId="0048E6B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227</w:t>
            </w:r>
          </w:p>
        </w:tc>
        <w:tc>
          <w:tcPr>
            <w:tcW w:w="0" w:type="auto"/>
            <w:noWrap/>
          </w:tcPr>
          <w:p w14:paraId="07C6B00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Composting diesel</w:t>
            </w:r>
          </w:p>
        </w:tc>
        <w:tc>
          <w:tcPr>
            <w:tcW w:w="0" w:type="auto"/>
            <w:noWrap/>
          </w:tcPr>
          <w:p w14:paraId="6C5BB7F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L.t</w:t>
            </w:r>
            <w:r w:rsidRPr="006670F8">
              <w:rPr>
                <w:sz w:val="16"/>
                <w:szCs w:val="16"/>
                <w:vertAlign w:val="subscript"/>
              </w:rPr>
              <w:t>ww</w:t>
            </w:r>
            <w:r w:rsidRPr="006670F8">
              <w:rPr>
                <w:sz w:val="16"/>
                <w:szCs w:val="16"/>
                <w:vertAlign w:val="superscript"/>
              </w:rPr>
              <w:t>-1</w:t>
            </w:r>
          </w:p>
        </w:tc>
        <w:tc>
          <w:tcPr>
            <w:tcW w:w="0" w:type="auto"/>
            <w:noWrap/>
          </w:tcPr>
          <w:p w14:paraId="15AD422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w:t>
            </w:r>
          </w:p>
        </w:tc>
        <w:tc>
          <w:tcPr>
            <w:tcW w:w="0" w:type="auto"/>
            <w:noWrap/>
          </w:tcPr>
          <w:p w14:paraId="32CFD58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0.7-3</w:t>
            </w:r>
          </w:p>
        </w:tc>
      </w:tr>
      <w:tr w:rsidR="00732C76" w:rsidRPr="006670F8" w14:paraId="5F8304AE"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0BF3BE0" w14:textId="77777777" w:rsidR="00732C76" w:rsidRPr="006670F8" w:rsidRDefault="00732C76" w:rsidP="00447F21">
            <w:pPr>
              <w:rPr>
                <w:b w:val="0"/>
                <w:bCs w:val="0"/>
                <w:sz w:val="16"/>
                <w:szCs w:val="16"/>
              </w:rPr>
            </w:pPr>
          </w:p>
        </w:tc>
        <w:tc>
          <w:tcPr>
            <w:tcW w:w="0" w:type="auto"/>
            <w:noWrap/>
            <w:hideMark/>
          </w:tcPr>
          <w:p w14:paraId="1368B7F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228</w:t>
            </w:r>
          </w:p>
        </w:tc>
        <w:tc>
          <w:tcPr>
            <w:tcW w:w="0" w:type="auto"/>
            <w:noWrap/>
          </w:tcPr>
          <w:p w14:paraId="33669CC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Composting electricity</w:t>
            </w:r>
          </w:p>
        </w:tc>
        <w:tc>
          <w:tcPr>
            <w:tcW w:w="0" w:type="auto"/>
            <w:noWrap/>
          </w:tcPr>
          <w:p w14:paraId="0298750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kWh.t</w:t>
            </w:r>
            <w:r w:rsidRPr="006670F8">
              <w:rPr>
                <w:sz w:val="16"/>
                <w:szCs w:val="16"/>
                <w:vertAlign w:val="subscript"/>
              </w:rPr>
              <w:t>ww</w:t>
            </w:r>
            <w:r w:rsidRPr="006670F8">
              <w:rPr>
                <w:sz w:val="16"/>
                <w:szCs w:val="16"/>
                <w:vertAlign w:val="superscript"/>
              </w:rPr>
              <w:t>-1</w:t>
            </w:r>
          </w:p>
        </w:tc>
        <w:tc>
          <w:tcPr>
            <w:tcW w:w="0" w:type="auto"/>
            <w:noWrap/>
          </w:tcPr>
          <w:p w14:paraId="2DCE4A0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47</w:t>
            </w:r>
          </w:p>
        </w:tc>
        <w:tc>
          <w:tcPr>
            <w:tcW w:w="0" w:type="auto"/>
            <w:noWrap/>
          </w:tcPr>
          <w:p w14:paraId="5DFA1EF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40-60</w:t>
            </w:r>
          </w:p>
        </w:tc>
      </w:tr>
      <w:tr w:rsidR="00732C76" w:rsidRPr="006670F8" w14:paraId="048694C4"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0577954" w14:textId="77777777" w:rsidR="00732C76" w:rsidRPr="006670F8" w:rsidRDefault="00732C76" w:rsidP="00447F21">
            <w:pPr>
              <w:rPr>
                <w:b w:val="0"/>
                <w:bCs w:val="0"/>
                <w:sz w:val="16"/>
                <w:szCs w:val="16"/>
              </w:rPr>
            </w:pPr>
          </w:p>
        </w:tc>
        <w:tc>
          <w:tcPr>
            <w:tcW w:w="0" w:type="auto"/>
            <w:noWrap/>
            <w:hideMark/>
          </w:tcPr>
          <w:p w14:paraId="76D6577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229</w:t>
            </w:r>
          </w:p>
        </w:tc>
        <w:tc>
          <w:tcPr>
            <w:tcW w:w="0" w:type="auto"/>
            <w:noWrap/>
          </w:tcPr>
          <w:p w14:paraId="17E75DA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Compost terpens emissions</w:t>
            </w:r>
          </w:p>
        </w:tc>
        <w:tc>
          <w:tcPr>
            <w:tcW w:w="0" w:type="auto"/>
            <w:noWrap/>
          </w:tcPr>
          <w:p w14:paraId="2200CAA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proofErr w:type="gramStart"/>
            <w:r w:rsidRPr="006670F8">
              <w:rPr>
                <w:sz w:val="16"/>
                <w:szCs w:val="16"/>
              </w:rPr>
              <w:t>kg.kg</w:t>
            </w:r>
            <w:r w:rsidRPr="006670F8">
              <w:rPr>
                <w:sz w:val="16"/>
                <w:szCs w:val="16"/>
                <w:vertAlign w:val="subscript"/>
              </w:rPr>
              <w:t>ww</w:t>
            </w:r>
            <w:proofErr w:type="gramEnd"/>
            <w:r w:rsidRPr="006670F8">
              <w:rPr>
                <w:sz w:val="16"/>
                <w:szCs w:val="16"/>
                <w:vertAlign w:val="superscript"/>
              </w:rPr>
              <w:t>-1</w:t>
            </w:r>
          </w:p>
        </w:tc>
        <w:tc>
          <w:tcPr>
            <w:tcW w:w="0" w:type="auto"/>
            <w:noWrap/>
          </w:tcPr>
          <w:p w14:paraId="136A38B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1.2E</w:t>
            </w:r>
            <w:r w:rsidRPr="006670F8">
              <w:rPr>
                <w:sz w:val="16"/>
                <w:szCs w:val="16"/>
                <w:vertAlign w:val="superscript"/>
              </w:rPr>
              <w:t>-6</w:t>
            </w:r>
          </w:p>
        </w:tc>
        <w:tc>
          <w:tcPr>
            <w:tcW w:w="0" w:type="auto"/>
            <w:noWrap/>
          </w:tcPr>
          <w:p w14:paraId="6D0F719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9.8E</w:t>
            </w:r>
            <w:r w:rsidRPr="006670F8">
              <w:rPr>
                <w:sz w:val="16"/>
                <w:szCs w:val="16"/>
                <w:vertAlign w:val="superscript"/>
              </w:rPr>
              <w:t>-7</w:t>
            </w:r>
            <w:r w:rsidRPr="006670F8">
              <w:rPr>
                <w:sz w:val="16"/>
                <w:szCs w:val="16"/>
              </w:rPr>
              <w:t>-1.5E</w:t>
            </w:r>
            <w:r w:rsidRPr="006670F8">
              <w:rPr>
                <w:sz w:val="16"/>
                <w:szCs w:val="16"/>
                <w:vertAlign w:val="superscript"/>
              </w:rPr>
              <w:t>-6</w:t>
            </w:r>
          </w:p>
        </w:tc>
      </w:tr>
      <w:tr w:rsidR="00732C76" w:rsidRPr="006670F8" w14:paraId="27D0642F"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A05D914" w14:textId="77777777" w:rsidR="00732C76" w:rsidRPr="006670F8" w:rsidRDefault="00732C76" w:rsidP="00447F21">
            <w:pPr>
              <w:rPr>
                <w:b w:val="0"/>
                <w:bCs w:val="0"/>
                <w:sz w:val="16"/>
                <w:szCs w:val="16"/>
              </w:rPr>
            </w:pPr>
          </w:p>
        </w:tc>
        <w:tc>
          <w:tcPr>
            <w:tcW w:w="0" w:type="auto"/>
            <w:noWrap/>
            <w:hideMark/>
          </w:tcPr>
          <w:p w14:paraId="0D659EB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230</w:t>
            </w:r>
          </w:p>
        </w:tc>
        <w:tc>
          <w:tcPr>
            <w:tcW w:w="0" w:type="auto"/>
            <w:noWrap/>
          </w:tcPr>
          <w:p w14:paraId="0E87CDF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Compost H</w:t>
            </w:r>
            <w:r w:rsidRPr="006670F8">
              <w:rPr>
                <w:b/>
                <w:sz w:val="16"/>
                <w:szCs w:val="16"/>
                <w:vertAlign w:val="subscript"/>
              </w:rPr>
              <w:t>2</w:t>
            </w:r>
            <w:r w:rsidRPr="006670F8">
              <w:rPr>
                <w:b/>
                <w:sz w:val="16"/>
                <w:szCs w:val="16"/>
              </w:rPr>
              <w:t>S emissions</w:t>
            </w:r>
          </w:p>
        </w:tc>
        <w:tc>
          <w:tcPr>
            <w:tcW w:w="0" w:type="auto"/>
            <w:noWrap/>
          </w:tcPr>
          <w:p w14:paraId="0AF6637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proofErr w:type="gramStart"/>
            <w:r w:rsidRPr="006670F8">
              <w:rPr>
                <w:sz w:val="16"/>
                <w:szCs w:val="16"/>
              </w:rPr>
              <w:t>kg.kg</w:t>
            </w:r>
            <w:r w:rsidRPr="006670F8">
              <w:rPr>
                <w:sz w:val="16"/>
                <w:szCs w:val="16"/>
                <w:vertAlign w:val="subscript"/>
              </w:rPr>
              <w:t>ww</w:t>
            </w:r>
            <w:proofErr w:type="gramEnd"/>
            <w:r w:rsidRPr="006670F8">
              <w:rPr>
                <w:sz w:val="16"/>
                <w:szCs w:val="16"/>
                <w:vertAlign w:val="superscript"/>
              </w:rPr>
              <w:t>-1</w:t>
            </w:r>
          </w:p>
        </w:tc>
        <w:tc>
          <w:tcPr>
            <w:tcW w:w="0" w:type="auto"/>
            <w:noWrap/>
          </w:tcPr>
          <w:p w14:paraId="2953809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1.9E</w:t>
            </w:r>
            <w:r w:rsidRPr="006670F8">
              <w:rPr>
                <w:sz w:val="16"/>
                <w:szCs w:val="16"/>
                <w:vertAlign w:val="superscript"/>
              </w:rPr>
              <w:t>-7</w:t>
            </w:r>
          </w:p>
        </w:tc>
        <w:tc>
          <w:tcPr>
            <w:tcW w:w="0" w:type="auto"/>
            <w:noWrap/>
          </w:tcPr>
          <w:p w14:paraId="0377D91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1.5E</w:t>
            </w:r>
            <w:r w:rsidRPr="006670F8">
              <w:rPr>
                <w:sz w:val="16"/>
                <w:szCs w:val="16"/>
                <w:vertAlign w:val="superscript"/>
              </w:rPr>
              <w:t>-7</w:t>
            </w:r>
            <w:r w:rsidRPr="006670F8">
              <w:rPr>
                <w:sz w:val="16"/>
                <w:szCs w:val="16"/>
              </w:rPr>
              <w:t>-2.3E</w:t>
            </w:r>
            <w:r w:rsidRPr="006670F8">
              <w:rPr>
                <w:sz w:val="16"/>
                <w:szCs w:val="16"/>
                <w:vertAlign w:val="superscript"/>
              </w:rPr>
              <w:t>-7</w:t>
            </w:r>
          </w:p>
        </w:tc>
      </w:tr>
      <w:tr w:rsidR="00732C76" w:rsidRPr="006670F8" w14:paraId="73ADCB97"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0A01939" w14:textId="77777777" w:rsidR="00732C76" w:rsidRPr="006670F8" w:rsidRDefault="00732C76" w:rsidP="00447F21">
            <w:pPr>
              <w:rPr>
                <w:b w:val="0"/>
                <w:bCs w:val="0"/>
                <w:sz w:val="16"/>
                <w:szCs w:val="16"/>
              </w:rPr>
            </w:pPr>
          </w:p>
        </w:tc>
        <w:tc>
          <w:tcPr>
            <w:tcW w:w="0" w:type="auto"/>
            <w:noWrap/>
            <w:hideMark/>
          </w:tcPr>
          <w:p w14:paraId="18F4516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231</w:t>
            </w:r>
          </w:p>
        </w:tc>
        <w:tc>
          <w:tcPr>
            <w:tcW w:w="0" w:type="auto"/>
            <w:noWrap/>
          </w:tcPr>
          <w:p w14:paraId="6FE306D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Compost NH</w:t>
            </w:r>
            <w:r w:rsidRPr="006670F8">
              <w:rPr>
                <w:b/>
                <w:sz w:val="16"/>
                <w:szCs w:val="16"/>
                <w:vertAlign w:val="subscript"/>
              </w:rPr>
              <w:t>3</w:t>
            </w:r>
            <w:r>
              <w:rPr>
                <w:b/>
                <w:sz w:val="16"/>
                <w:szCs w:val="16"/>
              </w:rPr>
              <w:t>-N</w:t>
            </w:r>
            <w:r w:rsidRPr="006670F8">
              <w:rPr>
                <w:b/>
                <w:sz w:val="16"/>
                <w:szCs w:val="16"/>
              </w:rPr>
              <w:t xml:space="preserve"> volatization</w:t>
            </w:r>
          </w:p>
        </w:tc>
        <w:tc>
          <w:tcPr>
            <w:tcW w:w="0" w:type="auto"/>
            <w:noWrap/>
          </w:tcPr>
          <w:p w14:paraId="738AADE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N</w:t>
            </w:r>
          </w:p>
        </w:tc>
        <w:tc>
          <w:tcPr>
            <w:tcW w:w="0" w:type="auto"/>
            <w:noWrap/>
          </w:tcPr>
          <w:p w14:paraId="2A3E4AE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w:t>
            </w:r>
          </w:p>
        </w:tc>
        <w:tc>
          <w:tcPr>
            <w:tcW w:w="0" w:type="auto"/>
            <w:noWrap/>
          </w:tcPr>
          <w:p w14:paraId="32CCBE5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0-1%</w:t>
            </w:r>
          </w:p>
        </w:tc>
      </w:tr>
      <w:tr w:rsidR="00732C76" w:rsidRPr="006670F8" w14:paraId="04C0A666"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D685976" w14:textId="77777777" w:rsidR="00732C76" w:rsidRPr="006670F8" w:rsidRDefault="00732C76" w:rsidP="00447F21">
            <w:pPr>
              <w:rPr>
                <w:b w:val="0"/>
                <w:bCs w:val="0"/>
                <w:sz w:val="16"/>
                <w:szCs w:val="16"/>
              </w:rPr>
            </w:pPr>
          </w:p>
        </w:tc>
        <w:tc>
          <w:tcPr>
            <w:tcW w:w="0" w:type="auto"/>
            <w:noWrap/>
            <w:hideMark/>
          </w:tcPr>
          <w:p w14:paraId="573CFC9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232</w:t>
            </w:r>
          </w:p>
        </w:tc>
        <w:tc>
          <w:tcPr>
            <w:tcW w:w="0" w:type="auto"/>
            <w:noWrap/>
          </w:tcPr>
          <w:p w14:paraId="59B2853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B</w:t>
            </w:r>
            <w:r w:rsidRPr="006670F8">
              <w:rPr>
                <w:b/>
                <w:sz w:val="16"/>
                <w:szCs w:val="16"/>
                <w:vertAlign w:val="subscript"/>
              </w:rPr>
              <w:t>0</w:t>
            </w:r>
            <w:r w:rsidRPr="006670F8">
              <w:rPr>
                <w:b/>
                <w:sz w:val="16"/>
                <w:szCs w:val="16"/>
              </w:rPr>
              <w:t xml:space="preserve"> mature compost</w:t>
            </w:r>
          </w:p>
        </w:tc>
        <w:tc>
          <w:tcPr>
            <w:tcW w:w="0" w:type="auto"/>
            <w:noWrap/>
          </w:tcPr>
          <w:p w14:paraId="30AD8BD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m</w:t>
            </w:r>
            <w:r w:rsidRPr="006670F8">
              <w:rPr>
                <w:sz w:val="16"/>
                <w:szCs w:val="16"/>
                <w:vertAlign w:val="superscript"/>
              </w:rPr>
              <w:t>3</w:t>
            </w:r>
            <w:r w:rsidRPr="006670F8">
              <w:rPr>
                <w:sz w:val="16"/>
                <w:szCs w:val="16"/>
                <w:vertAlign w:val="subscript"/>
              </w:rPr>
              <w:t>CH4</w:t>
            </w:r>
            <w:r w:rsidRPr="006670F8">
              <w:rPr>
                <w:sz w:val="16"/>
                <w:szCs w:val="16"/>
              </w:rPr>
              <w:t>.kg</w:t>
            </w:r>
            <w:r w:rsidRPr="006670F8">
              <w:rPr>
                <w:sz w:val="16"/>
                <w:szCs w:val="16"/>
                <w:vertAlign w:val="subscript"/>
              </w:rPr>
              <w:t>VS</w:t>
            </w:r>
            <w:r w:rsidRPr="006670F8">
              <w:rPr>
                <w:sz w:val="16"/>
                <w:szCs w:val="16"/>
                <w:vertAlign w:val="superscript"/>
              </w:rPr>
              <w:t>-1</w:t>
            </w:r>
          </w:p>
        </w:tc>
        <w:tc>
          <w:tcPr>
            <w:tcW w:w="0" w:type="auto"/>
            <w:noWrap/>
          </w:tcPr>
          <w:p w14:paraId="0CD9759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0.3</w:t>
            </w:r>
          </w:p>
        </w:tc>
        <w:tc>
          <w:tcPr>
            <w:tcW w:w="0" w:type="auto"/>
            <w:noWrap/>
          </w:tcPr>
          <w:p w14:paraId="0D800EB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0.2-0.4</w:t>
            </w:r>
          </w:p>
        </w:tc>
      </w:tr>
      <w:tr w:rsidR="00732C76" w:rsidRPr="006670F8" w14:paraId="523ED435"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DBC4176" w14:textId="77777777" w:rsidR="00732C76" w:rsidRPr="006670F8" w:rsidRDefault="00732C76" w:rsidP="00447F21">
            <w:pPr>
              <w:rPr>
                <w:b w:val="0"/>
                <w:bCs w:val="0"/>
                <w:sz w:val="16"/>
                <w:szCs w:val="16"/>
              </w:rPr>
            </w:pPr>
          </w:p>
        </w:tc>
        <w:tc>
          <w:tcPr>
            <w:tcW w:w="0" w:type="auto"/>
            <w:noWrap/>
            <w:hideMark/>
          </w:tcPr>
          <w:p w14:paraId="6A2844B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233</w:t>
            </w:r>
          </w:p>
        </w:tc>
        <w:tc>
          <w:tcPr>
            <w:tcW w:w="0" w:type="auto"/>
            <w:noWrap/>
          </w:tcPr>
          <w:p w14:paraId="25E16CF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Compost storage CO</w:t>
            </w:r>
            <w:r w:rsidRPr="006670F8">
              <w:rPr>
                <w:b/>
                <w:sz w:val="16"/>
                <w:szCs w:val="16"/>
                <w:vertAlign w:val="subscript"/>
              </w:rPr>
              <w:t>2</w:t>
            </w:r>
            <w:r w:rsidRPr="006670F8">
              <w:rPr>
                <w:b/>
                <w:sz w:val="16"/>
                <w:szCs w:val="16"/>
              </w:rPr>
              <w:t>-C emissions</w:t>
            </w:r>
          </w:p>
        </w:tc>
        <w:tc>
          <w:tcPr>
            <w:tcW w:w="0" w:type="auto"/>
            <w:noWrap/>
          </w:tcPr>
          <w:p w14:paraId="541DE79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kgCO</w:t>
            </w:r>
            <w:proofErr w:type="gramStart"/>
            <w:r w:rsidRPr="006670F8">
              <w:rPr>
                <w:sz w:val="16"/>
                <w:szCs w:val="16"/>
                <w:vertAlign w:val="subscript"/>
              </w:rPr>
              <w:t>2</w:t>
            </w:r>
            <w:r w:rsidRPr="006670F8">
              <w:rPr>
                <w:sz w:val="16"/>
                <w:szCs w:val="16"/>
              </w:rPr>
              <w:t xml:space="preserve"> .</w:t>
            </w:r>
            <w:proofErr w:type="gramEnd"/>
            <w:r w:rsidRPr="006670F8">
              <w:rPr>
                <w:sz w:val="16"/>
                <w:szCs w:val="16"/>
              </w:rPr>
              <w:t xml:space="preserve"> kgCH</w:t>
            </w:r>
            <w:r w:rsidRPr="006670F8">
              <w:rPr>
                <w:sz w:val="16"/>
                <w:szCs w:val="16"/>
                <w:vertAlign w:val="subscript"/>
              </w:rPr>
              <w:t>4</w:t>
            </w:r>
            <w:r w:rsidRPr="006670F8">
              <w:rPr>
                <w:sz w:val="16"/>
                <w:szCs w:val="16"/>
                <w:vertAlign w:val="superscript"/>
              </w:rPr>
              <w:t>-1</w:t>
            </w:r>
          </w:p>
        </w:tc>
        <w:tc>
          <w:tcPr>
            <w:tcW w:w="0" w:type="auto"/>
            <w:noWrap/>
          </w:tcPr>
          <w:p w14:paraId="1A4A7DF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w:t>
            </w:r>
          </w:p>
        </w:tc>
        <w:tc>
          <w:tcPr>
            <w:tcW w:w="0" w:type="auto"/>
            <w:noWrap/>
          </w:tcPr>
          <w:p w14:paraId="36CF856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1.8-2.2</w:t>
            </w:r>
          </w:p>
        </w:tc>
      </w:tr>
      <w:tr w:rsidR="00732C76" w:rsidRPr="006670F8" w14:paraId="5928769F"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F5FC9C6" w14:textId="77777777" w:rsidR="00732C76" w:rsidRPr="006670F8" w:rsidRDefault="00732C76" w:rsidP="00447F21">
            <w:pPr>
              <w:rPr>
                <w:b w:val="0"/>
                <w:bCs w:val="0"/>
                <w:sz w:val="16"/>
                <w:szCs w:val="16"/>
              </w:rPr>
            </w:pPr>
          </w:p>
        </w:tc>
        <w:tc>
          <w:tcPr>
            <w:tcW w:w="0" w:type="auto"/>
            <w:noWrap/>
            <w:hideMark/>
          </w:tcPr>
          <w:p w14:paraId="28CC869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234</w:t>
            </w:r>
          </w:p>
        </w:tc>
        <w:tc>
          <w:tcPr>
            <w:tcW w:w="0" w:type="auto"/>
            <w:noWrap/>
          </w:tcPr>
          <w:p w14:paraId="4953807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Compost carbon sequestration</w:t>
            </w:r>
          </w:p>
        </w:tc>
        <w:tc>
          <w:tcPr>
            <w:tcW w:w="0" w:type="auto"/>
            <w:noWrap/>
          </w:tcPr>
          <w:p w14:paraId="2374C8A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kg</w:t>
            </w:r>
            <w:r w:rsidRPr="006670F8">
              <w:rPr>
                <w:sz w:val="16"/>
                <w:szCs w:val="16"/>
                <w:vertAlign w:val="subscript"/>
              </w:rPr>
              <w:t>C.</w:t>
            </w:r>
            <w:r w:rsidRPr="006670F8">
              <w:rPr>
                <w:sz w:val="16"/>
                <w:szCs w:val="16"/>
              </w:rPr>
              <w:t>kg</w:t>
            </w:r>
            <w:r w:rsidRPr="006670F8">
              <w:rPr>
                <w:sz w:val="16"/>
                <w:szCs w:val="16"/>
                <w:vertAlign w:val="subscript"/>
              </w:rPr>
              <w:t>Ctot</w:t>
            </w:r>
            <w:r w:rsidRPr="006670F8">
              <w:rPr>
                <w:sz w:val="16"/>
                <w:szCs w:val="16"/>
                <w:vertAlign w:val="superscript"/>
              </w:rPr>
              <w:t>-1</w:t>
            </w:r>
          </w:p>
        </w:tc>
        <w:tc>
          <w:tcPr>
            <w:tcW w:w="0" w:type="auto"/>
            <w:noWrap/>
          </w:tcPr>
          <w:p w14:paraId="52434E1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w:t>
            </w:r>
          </w:p>
        </w:tc>
        <w:tc>
          <w:tcPr>
            <w:tcW w:w="0" w:type="auto"/>
            <w:noWrap/>
          </w:tcPr>
          <w:p w14:paraId="7B17BFD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0-10%</w:t>
            </w:r>
          </w:p>
        </w:tc>
      </w:tr>
      <w:tr w:rsidR="00732C76" w:rsidRPr="006670F8" w14:paraId="593D1533"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05B9CFD" w14:textId="77777777" w:rsidR="00732C76" w:rsidRPr="006670F8" w:rsidRDefault="00732C76" w:rsidP="00447F21">
            <w:pPr>
              <w:rPr>
                <w:b w:val="0"/>
                <w:bCs w:val="0"/>
                <w:sz w:val="16"/>
                <w:szCs w:val="16"/>
              </w:rPr>
            </w:pPr>
          </w:p>
        </w:tc>
        <w:tc>
          <w:tcPr>
            <w:tcW w:w="0" w:type="auto"/>
            <w:noWrap/>
            <w:hideMark/>
          </w:tcPr>
          <w:p w14:paraId="55A2469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235</w:t>
            </w:r>
          </w:p>
        </w:tc>
        <w:tc>
          <w:tcPr>
            <w:tcW w:w="0" w:type="auto"/>
            <w:noWrap/>
          </w:tcPr>
          <w:p w14:paraId="4D7BD16C" w14:textId="77777777" w:rsidR="00732C76" w:rsidRPr="00E64BEF"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Compost k</w:t>
            </w:r>
            <w:r w:rsidRPr="006670F8">
              <w:rPr>
                <w:b/>
                <w:sz w:val="16"/>
                <w:szCs w:val="16"/>
                <w:vertAlign w:val="subscript"/>
              </w:rPr>
              <w:t>min</w:t>
            </w:r>
            <w:r>
              <w:rPr>
                <w:b/>
                <w:sz w:val="16"/>
                <w:szCs w:val="16"/>
              </w:rPr>
              <w:t xml:space="preserve"> (Nitrogen mineralization rate)</w:t>
            </w:r>
          </w:p>
        </w:tc>
        <w:tc>
          <w:tcPr>
            <w:tcW w:w="0" w:type="auto"/>
            <w:noWrap/>
          </w:tcPr>
          <w:p w14:paraId="221E030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Norg</w:t>
            </w:r>
          </w:p>
        </w:tc>
        <w:tc>
          <w:tcPr>
            <w:tcW w:w="0" w:type="auto"/>
            <w:noWrap/>
          </w:tcPr>
          <w:p w14:paraId="7467523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35%</w:t>
            </w:r>
          </w:p>
        </w:tc>
        <w:tc>
          <w:tcPr>
            <w:tcW w:w="0" w:type="auto"/>
            <w:noWrap/>
          </w:tcPr>
          <w:p w14:paraId="3AC957E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10-35%</w:t>
            </w:r>
          </w:p>
        </w:tc>
      </w:tr>
      <w:tr w:rsidR="00732C76" w:rsidRPr="006670F8" w14:paraId="0F9BC18B"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76323CA" w14:textId="77777777" w:rsidR="00732C76" w:rsidRPr="006670F8" w:rsidRDefault="00732C76" w:rsidP="00447F21">
            <w:pPr>
              <w:rPr>
                <w:b w:val="0"/>
                <w:bCs w:val="0"/>
                <w:sz w:val="16"/>
                <w:szCs w:val="16"/>
              </w:rPr>
            </w:pPr>
          </w:p>
        </w:tc>
        <w:tc>
          <w:tcPr>
            <w:tcW w:w="0" w:type="auto"/>
            <w:noWrap/>
            <w:hideMark/>
          </w:tcPr>
          <w:p w14:paraId="5160C33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236</w:t>
            </w:r>
          </w:p>
        </w:tc>
        <w:tc>
          <w:tcPr>
            <w:tcW w:w="0" w:type="auto"/>
            <w:noWrap/>
          </w:tcPr>
          <w:p w14:paraId="082CFB3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Compost MFE-P</w:t>
            </w:r>
          </w:p>
        </w:tc>
        <w:tc>
          <w:tcPr>
            <w:tcW w:w="0" w:type="auto"/>
            <w:noWrap/>
          </w:tcPr>
          <w:p w14:paraId="40AEC46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P</w:t>
            </w:r>
          </w:p>
        </w:tc>
        <w:tc>
          <w:tcPr>
            <w:tcW w:w="0" w:type="auto"/>
            <w:noWrap/>
          </w:tcPr>
          <w:p w14:paraId="0BB15F3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90%</w:t>
            </w:r>
          </w:p>
        </w:tc>
        <w:tc>
          <w:tcPr>
            <w:tcW w:w="0" w:type="auto"/>
            <w:noWrap/>
          </w:tcPr>
          <w:p w14:paraId="2E9E728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80-100%</w:t>
            </w:r>
          </w:p>
        </w:tc>
      </w:tr>
      <w:tr w:rsidR="00732C76" w:rsidRPr="006670F8" w14:paraId="20326344" w14:textId="77777777" w:rsidTr="008C451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vMerge/>
            <w:hideMark/>
          </w:tcPr>
          <w:p w14:paraId="655C9C94" w14:textId="77777777" w:rsidR="00732C76" w:rsidRPr="006670F8" w:rsidRDefault="00732C76" w:rsidP="00447F21">
            <w:pPr>
              <w:rPr>
                <w:b w:val="0"/>
                <w:bCs w:val="0"/>
                <w:sz w:val="16"/>
                <w:szCs w:val="16"/>
              </w:rPr>
            </w:pPr>
          </w:p>
        </w:tc>
        <w:tc>
          <w:tcPr>
            <w:tcW w:w="0" w:type="auto"/>
            <w:noWrap/>
            <w:hideMark/>
          </w:tcPr>
          <w:p w14:paraId="2CEFC49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237</w:t>
            </w:r>
          </w:p>
        </w:tc>
        <w:tc>
          <w:tcPr>
            <w:tcW w:w="0" w:type="auto"/>
            <w:noWrap/>
          </w:tcPr>
          <w:p w14:paraId="055695A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Compost MFE-K</w:t>
            </w:r>
          </w:p>
        </w:tc>
        <w:tc>
          <w:tcPr>
            <w:tcW w:w="0" w:type="auto"/>
            <w:noWrap/>
          </w:tcPr>
          <w:p w14:paraId="65B6E5C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K</w:t>
            </w:r>
          </w:p>
        </w:tc>
        <w:tc>
          <w:tcPr>
            <w:tcW w:w="0" w:type="auto"/>
            <w:noWrap/>
          </w:tcPr>
          <w:p w14:paraId="3498F3A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90%</w:t>
            </w:r>
          </w:p>
        </w:tc>
        <w:tc>
          <w:tcPr>
            <w:tcW w:w="0" w:type="auto"/>
            <w:noWrap/>
          </w:tcPr>
          <w:p w14:paraId="6AC8460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80-100%</w:t>
            </w:r>
          </w:p>
        </w:tc>
      </w:tr>
      <w:tr w:rsidR="00732C76" w:rsidRPr="006670F8" w14:paraId="2839650E" w14:textId="77777777" w:rsidTr="00C00E3A">
        <w:trPr>
          <w:trHeight w:val="290"/>
        </w:trPr>
        <w:tc>
          <w:tcPr>
            <w:cnfStyle w:val="001000000000" w:firstRow="0" w:lastRow="0" w:firstColumn="1" w:lastColumn="0" w:oddVBand="0" w:evenVBand="0" w:oddHBand="0" w:evenHBand="0" w:firstRowFirstColumn="0" w:firstRowLastColumn="0" w:lastRowFirstColumn="0" w:lastRowLastColumn="0"/>
            <w:tcW w:w="0" w:type="auto"/>
            <w:vMerge w:val="restart"/>
            <w:noWrap/>
            <w:textDirection w:val="btLr"/>
            <w:hideMark/>
          </w:tcPr>
          <w:p w14:paraId="4816E585" w14:textId="77777777" w:rsidR="00732C76" w:rsidRPr="006670F8" w:rsidRDefault="00732C76" w:rsidP="00C00E3A">
            <w:pPr>
              <w:jc w:val="center"/>
              <w:rPr>
                <w:b w:val="0"/>
                <w:bCs w:val="0"/>
                <w:sz w:val="16"/>
                <w:szCs w:val="16"/>
              </w:rPr>
            </w:pPr>
            <w:r w:rsidRPr="006670F8">
              <w:rPr>
                <w:sz w:val="16"/>
                <w:szCs w:val="16"/>
              </w:rPr>
              <w:t>Specific to decay on land</w:t>
            </w:r>
          </w:p>
        </w:tc>
        <w:tc>
          <w:tcPr>
            <w:tcW w:w="0" w:type="auto"/>
            <w:noWrap/>
            <w:hideMark/>
          </w:tcPr>
          <w:p w14:paraId="316FF38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238</w:t>
            </w:r>
          </w:p>
        </w:tc>
        <w:tc>
          <w:tcPr>
            <w:tcW w:w="0" w:type="auto"/>
            <w:noWrap/>
          </w:tcPr>
          <w:p w14:paraId="2EDEAEE7" w14:textId="2D5A2ED3"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E64BEF">
              <w:rPr>
                <w:b/>
                <w:i/>
                <w:sz w:val="16"/>
                <w:szCs w:val="16"/>
              </w:rPr>
              <w:t>In-situ</w:t>
            </w:r>
            <w:r>
              <w:rPr>
                <w:b/>
                <w:sz w:val="16"/>
                <w:szCs w:val="16"/>
              </w:rPr>
              <w:t xml:space="preserve"> decay, n</w:t>
            </w:r>
            <w:r w:rsidRPr="006670F8">
              <w:rPr>
                <w:b/>
                <w:sz w:val="16"/>
                <w:szCs w:val="16"/>
              </w:rPr>
              <w:t>on-arable land</w:t>
            </w:r>
            <w:r>
              <w:rPr>
                <w:b/>
                <w:sz w:val="16"/>
                <w:szCs w:val="16"/>
              </w:rPr>
              <w:t>,</w:t>
            </w:r>
            <w:r w:rsidRPr="006670F8">
              <w:rPr>
                <w:b/>
                <w:sz w:val="16"/>
                <w:szCs w:val="16"/>
              </w:rPr>
              <w:t xml:space="preserve"> EF CH</w:t>
            </w:r>
            <w:r w:rsidRPr="006670F8">
              <w:rPr>
                <w:b/>
                <w:sz w:val="16"/>
                <w:szCs w:val="16"/>
                <w:vertAlign w:val="subscript"/>
              </w:rPr>
              <w:t>4</w:t>
            </w:r>
            <w:r w:rsidRPr="006670F8">
              <w:rPr>
                <w:b/>
                <w:sz w:val="16"/>
                <w:szCs w:val="16"/>
              </w:rPr>
              <w:t xml:space="preserve"> decay</w:t>
            </w:r>
            <w:r w:rsidR="00C00E3A" w:rsidRPr="00C00E3A">
              <w:rPr>
                <w:b/>
                <w:sz w:val="16"/>
                <w:szCs w:val="16"/>
                <w:vertAlign w:val="superscript"/>
              </w:rPr>
              <w:t>*</w:t>
            </w:r>
          </w:p>
        </w:tc>
        <w:tc>
          <w:tcPr>
            <w:tcW w:w="0" w:type="auto"/>
            <w:noWrap/>
          </w:tcPr>
          <w:p w14:paraId="2FE8AF7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kgCH</w:t>
            </w:r>
            <w:r w:rsidRPr="006670F8">
              <w:rPr>
                <w:sz w:val="16"/>
                <w:szCs w:val="16"/>
                <w:vertAlign w:val="subscript"/>
              </w:rPr>
              <w:t>4-</w:t>
            </w:r>
            <w:proofErr w:type="gramStart"/>
            <w:r w:rsidRPr="006670F8">
              <w:rPr>
                <w:sz w:val="16"/>
                <w:szCs w:val="16"/>
                <w:vertAlign w:val="subscript"/>
              </w:rPr>
              <w:t>C</w:t>
            </w:r>
            <w:r w:rsidRPr="006670F8">
              <w:rPr>
                <w:sz w:val="16"/>
                <w:szCs w:val="16"/>
              </w:rPr>
              <w:t>.kg</w:t>
            </w:r>
            <w:r w:rsidRPr="006670F8">
              <w:rPr>
                <w:sz w:val="16"/>
                <w:szCs w:val="16"/>
                <w:vertAlign w:val="subscript"/>
              </w:rPr>
              <w:t>C</w:t>
            </w:r>
            <w:proofErr w:type="gramEnd"/>
            <w:r w:rsidRPr="006670F8">
              <w:rPr>
                <w:sz w:val="16"/>
                <w:szCs w:val="16"/>
                <w:vertAlign w:val="superscript"/>
              </w:rPr>
              <w:t>-1</w:t>
            </w:r>
          </w:p>
        </w:tc>
        <w:tc>
          <w:tcPr>
            <w:tcW w:w="0" w:type="auto"/>
            <w:noWrap/>
          </w:tcPr>
          <w:p w14:paraId="0CA0DA2D" w14:textId="46F95E38"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w:t>
            </w:r>
            <w:r w:rsidR="00C00E3A">
              <w:rPr>
                <w:sz w:val="16"/>
                <w:szCs w:val="16"/>
              </w:rPr>
              <w:t>0002</w:t>
            </w:r>
          </w:p>
        </w:tc>
        <w:tc>
          <w:tcPr>
            <w:tcW w:w="0" w:type="auto"/>
            <w:noWrap/>
          </w:tcPr>
          <w:p w14:paraId="11DEB7AF" w14:textId="01899469"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w:t>
            </w:r>
            <w:r w:rsidR="00C00E3A">
              <w:rPr>
                <w:sz w:val="16"/>
                <w:szCs w:val="16"/>
              </w:rPr>
              <w:t>.00002-0.01</w:t>
            </w:r>
          </w:p>
        </w:tc>
      </w:tr>
      <w:tr w:rsidR="00732C76" w:rsidRPr="006670F8" w14:paraId="3ECEB4A0"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CE69191" w14:textId="77777777" w:rsidR="00732C76" w:rsidRPr="006670F8" w:rsidRDefault="00732C76" w:rsidP="00447F21">
            <w:pPr>
              <w:rPr>
                <w:b w:val="0"/>
                <w:bCs w:val="0"/>
                <w:sz w:val="16"/>
                <w:szCs w:val="16"/>
              </w:rPr>
            </w:pPr>
          </w:p>
        </w:tc>
        <w:tc>
          <w:tcPr>
            <w:tcW w:w="0" w:type="auto"/>
            <w:noWrap/>
            <w:hideMark/>
          </w:tcPr>
          <w:p w14:paraId="746B4C7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239</w:t>
            </w:r>
          </w:p>
        </w:tc>
        <w:tc>
          <w:tcPr>
            <w:tcW w:w="0" w:type="auto"/>
            <w:noWrap/>
          </w:tcPr>
          <w:p w14:paraId="5360E3BE" w14:textId="77C32306"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lang w:val="fr-FR"/>
              </w:rPr>
            </w:pPr>
            <w:r w:rsidRPr="006670F8">
              <w:rPr>
                <w:b/>
                <w:sz w:val="16"/>
                <w:szCs w:val="16"/>
                <w:lang w:val="fr-FR"/>
              </w:rPr>
              <w:t>Carbon sequestration</w:t>
            </w:r>
            <w:r>
              <w:rPr>
                <w:b/>
                <w:sz w:val="16"/>
                <w:szCs w:val="16"/>
                <w:lang w:val="fr-FR"/>
              </w:rPr>
              <w:t xml:space="preserve"> </w:t>
            </w:r>
            <w:r w:rsidRPr="00E64BEF">
              <w:rPr>
                <w:b/>
                <w:i/>
                <w:sz w:val="16"/>
                <w:szCs w:val="16"/>
              </w:rPr>
              <w:t>In-situ</w:t>
            </w:r>
            <w:r w:rsidRPr="006670F8">
              <w:rPr>
                <w:b/>
                <w:sz w:val="16"/>
                <w:szCs w:val="16"/>
                <w:lang w:val="fr-FR"/>
              </w:rPr>
              <w:t>, non-arable land</w:t>
            </w:r>
            <w:r w:rsidR="00C00E3A" w:rsidRPr="00C00E3A">
              <w:rPr>
                <w:b/>
                <w:sz w:val="16"/>
                <w:szCs w:val="16"/>
                <w:vertAlign w:val="superscript"/>
                <w:lang w:val="fr-FR"/>
              </w:rPr>
              <w:t>*</w:t>
            </w:r>
          </w:p>
        </w:tc>
        <w:tc>
          <w:tcPr>
            <w:tcW w:w="0" w:type="auto"/>
            <w:noWrap/>
          </w:tcPr>
          <w:p w14:paraId="470DD58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kg</w:t>
            </w:r>
            <w:r w:rsidRPr="006670F8">
              <w:rPr>
                <w:sz w:val="16"/>
                <w:szCs w:val="16"/>
                <w:vertAlign w:val="subscript"/>
              </w:rPr>
              <w:t>C.</w:t>
            </w:r>
            <w:r w:rsidRPr="006670F8">
              <w:rPr>
                <w:sz w:val="16"/>
                <w:szCs w:val="16"/>
              </w:rPr>
              <w:t>kg</w:t>
            </w:r>
            <w:r w:rsidRPr="006670F8">
              <w:rPr>
                <w:sz w:val="16"/>
                <w:szCs w:val="16"/>
                <w:vertAlign w:val="subscript"/>
              </w:rPr>
              <w:t>Ctot</w:t>
            </w:r>
            <w:r w:rsidRPr="006670F8">
              <w:rPr>
                <w:sz w:val="16"/>
                <w:szCs w:val="16"/>
                <w:vertAlign w:val="superscript"/>
              </w:rPr>
              <w:t>-1</w:t>
            </w:r>
          </w:p>
        </w:tc>
        <w:tc>
          <w:tcPr>
            <w:tcW w:w="0" w:type="auto"/>
            <w:noWrap/>
          </w:tcPr>
          <w:p w14:paraId="78C660C7" w14:textId="5E1DAC8B" w:rsidR="00732C76" w:rsidRPr="006670F8" w:rsidRDefault="00C00E3A" w:rsidP="00447F21">
            <w:pPr>
              <w:cnfStyle w:val="000000100000" w:firstRow="0" w:lastRow="0" w:firstColumn="0" w:lastColumn="0" w:oddVBand="0" w:evenVBand="0" w:oddHBand="1" w:evenHBand="0" w:firstRowFirstColumn="0" w:firstRowLastColumn="0" w:lastRowFirstColumn="0" w:lastRowLastColumn="0"/>
              <w:rPr>
                <w:b/>
                <w:sz w:val="16"/>
                <w:szCs w:val="16"/>
              </w:rPr>
            </w:pPr>
            <w:r>
              <w:rPr>
                <w:sz w:val="16"/>
                <w:szCs w:val="16"/>
              </w:rPr>
              <w:t>2</w:t>
            </w:r>
            <w:r w:rsidR="00732C76" w:rsidRPr="006670F8">
              <w:rPr>
                <w:sz w:val="16"/>
                <w:szCs w:val="16"/>
              </w:rPr>
              <w:t>%</w:t>
            </w:r>
          </w:p>
        </w:tc>
        <w:tc>
          <w:tcPr>
            <w:tcW w:w="0" w:type="auto"/>
            <w:noWrap/>
          </w:tcPr>
          <w:p w14:paraId="6D7BBB5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0%-10%</w:t>
            </w:r>
          </w:p>
        </w:tc>
      </w:tr>
      <w:tr w:rsidR="00C00E3A" w:rsidRPr="006670F8" w14:paraId="178E8785"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AF424A3" w14:textId="77777777" w:rsidR="00C00E3A" w:rsidRPr="006670F8" w:rsidRDefault="00C00E3A" w:rsidP="00C00E3A">
            <w:pPr>
              <w:rPr>
                <w:b w:val="0"/>
                <w:bCs w:val="0"/>
                <w:sz w:val="16"/>
                <w:szCs w:val="16"/>
              </w:rPr>
            </w:pPr>
          </w:p>
        </w:tc>
        <w:tc>
          <w:tcPr>
            <w:tcW w:w="0" w:type="auto"/>
            <w:noWrap/>
            <w:hideMark/>
          </w:tcPr>
          <w:p w14:paraId="232E31C5" w14:textId="77777777" w:rsidR="00C00E3A" w:rsidRPr="006670F8" w:rsidRDefault="00C00E3A" w:rsidP="00C00E3A">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240</w:t>
            </w:r>
          </w:p>
        </w:tc>
        <w:tc>
          <w:tcPr>
            <w:tcW w:w="0" w:type="auto"/>
            <w:noWrap/>
          </w:tcPr>
          <w:p w14:paraId="3E382104" w14:textId="6A9084E8" w:rsidR="00C00E3A" w:rsidRPr="00C00E3A" w:rsidRDefault="00C00E3A" w:rsidP="00C00E3A">
            <w:pPr>
              <w:cnfStyle w:val="000000000000" w:firstRow="0" w:lastRow="0" w:firstColumn="0" w:lastColumn="0" w:oddVBand="0" w:evenVBand="0" w:oddHBand="0" w:evenHBand="0" w:firstRowFirstColumn="0" w:firstRowLastColumn="0" w:lastRowFirstColumn="0" w:lastRowLastColumn="0"/>
              <w:rPr>
                <w:b/>
                <w:bCs/>
                <w:sz w:val="16"/>
                <w:szCs w:val="16"/>
              </w:rPr>
            </w:pPr>
            <w:r w:rsidRPr="00E64BEF">
              <w:rPr>
                <w:b/>
                <w:i/>
                <w:sz w:val="16"/>
                <w:szCs w:val="16"/>
              </w:rPr>
              <w:t>In-situ</w:t>
            </w:r>
            <w:r>
              <w:rPr>
                <w:b/>
                <w:sz w:val="16"/>
                <w:szCs w:val="16"/>
              </w:rPr>
              <w:t xml:space="preserve"> decay,</w:t>
            </w:r>
            <w:r w:rsidRPr="006670F8">
              <w:rPr>
                <w:b/>
                <w:sz w:val="16"/>
                <w:szCs w:val="16"/>
              </w:rPr>
              <w:t xml:space="preserve"> </w:t>
            </w:r>
            <w:r>
              <w:rPr>
                <w:b/>
                <w:sz w:val="16"/>
                <w:szCs w:val="16"/>
              </w:rPr>
              <w:t>a</w:t>
            </w:r>
            <w:r w:rsidRPr="006670F8">
              <w:rPr>
                <w:b/>
                <w:sz w:val="16"/>
                <w:szCs w:val="16"/>
              </w:rPr>
              <w:t>rable land EF CH</w:t>
            </w:r>
            <w:r w:rsidRPr="006670F8">
              <w:rPr>
                <w:b/>
                <w:sz w:val="16"/>
                <w:szCs w:val="16"/>
                <w:vertAlign w:val="subscript"/>
              </w:rPr>
              <w:t>4</w:t>
            </w:r>
            <w:r w:rsidRPr="006670F8">
              <w:rPr>
                <w:b/>
                <w:sz w:val="16"/>
                <w:szCs w:val="16"/>
              </w:rPr>
              <w:t xml:space="preserve"> decay</w:t>
            </w:r>
            <w:r w:rsidRPr="00C00E3A">
              <w:rPr>
                <w:b/>
                <w:sz w:val="16"/>
                <w:szCs w:val="16"/>
                <w:vertAlign w:val="superscript"/>
              </w:rPr>
              <w:t>*</w:t>
            </w:r>
          </w:p>
        </w:tc>
        <w:tc>
          <w:tcPr>
            <w:tcW w:w="0" w:type="auto"/>
            <w:noWrap/>
          </w:tcPr>
          <w:p w14:paraId="0A57771D" w14:textId="77777777" w:rsidR="00C00E3A" w:rsidRPr="006670F8" w:rsidRDefault="00C00E3A" w:rsidP="00C00E3A">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kgCH</w:t>
            </w:r>
            <w:r w:rsidRPr="006670F8">
              <w:rPr>
                <w:sz w:val="16"/>
                <w:szCs w:val="16"/>
                <w:vertAlign w:val="subscript"/>
              </w:rPr>
              <w:t>4-</w:t>
            </w:r>
            <w:proofErr w:type="gramStart"/>
            <w:r w:rsidRPr="006670F8">
              <w:rPr>
                <w:sz w:val="16"/>
                <w:szCs w:val="16"/>
                <w:vertAlign w:val="subscript"/>
              </w:rPr>
              <w:t>C</w:t>
            </w:r>
            <w:r w:rsidRPr="006670F8">
              <w:rPr>
                <w:sz w:val="16"/>
                <w:szCs w:val="16"/>
              </w:rPr>
              <w:t>.kg</w:t>
            </w:r>
            <w:r w:rsidRPr="006670F8">
              <w:rPr>
                <w:sz w:val="16"/>
                <w:szCs w:val="16"/>
                <w:vertAlign w:val="subscript"/>
              </w:rPr>
              <w:t>C</w:t>
            </w:r>
            <w:proofErr w:type="gramEnd"/>
            <w:r w:rsidRPr="006670F8">
              <w:rPr>
                <w:sz w:val="16"/>
                <w:szCs w:val="16"/>
                <w:vertAlign w:val="superscript"/>
              </w:rPr>
              <w:t>-1</w:t>
            </w:r>
          </w:p>
        </w:tc>
        <w:tc>
          <w:tcPr>
            <w:tcW w:w="0" w:type="auto"/>
            <w:noWrap/>
          </w:tcPr>
          <w:p w14:paraId="58815326" w14:textId="2815B423" w:rsidR="00C00E3A" w:rsidRPr="006670F8" w:rsidRDefault="00C00E3A" w:rsidP="00C00E3A">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w:t>
            </w:r>
            <w:r>
              <w:rPr>
                <w:sz w:val="16"/>
                <w:szCs w:val="16"/>
              </w:rPr>
              <w:t>0002</w:t>
            </w:r>
          </w:p>
        </w:tc>
        <w:tc>
          <w:tcPr>
            <w:tcW w:w="0" w:type="auto"/>
            <w:noWrap/>
          </w:tcPr>
          <w:p w14:paraId="745FBACF" w14:textId="690E1DF5" w:rsidR="00C00E3A" w:rsidRPr="006670F8" w:rsidRDefault="00C00E3A" w:rsidP="00C00E3A">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w:t>
            </w:r>
            <w:r>
              <w:rPr>
                <w:sz w:val="16"/>
                <w:szCs w:val="16"/>
              </w:rPr>
              <w:t>.005</w:t>
            </w:r>
          </w:p>
        </w:tc>
      </w:tr>
      <w:tr w:rsidR="00732C76" w:rsidRPr="006670F8" w14:paraId="51670AA0"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1F1B795" w14:textId="77777777" w:rsidR="00732C76" w:rsidRPr="006670F8" w:rsidRDefault="00732C76" w:rsidP="00447F21">
            <w:pPr>
              <w:rPr>
                <w:b w:val="0"/>
                <w:bCs w:val="0"/>
                <w:sz w:val="16"/>
                <w:szCs w:val="16"/>
              </w:rPr>
            </w:pPr>
          </w:p>
        </w:tc>
        <w:tc>
          <w:tcPr>
            <w:tcW w:w="0" w:type="auto"/>
            <w:noWrap/>
            <w:hideMark/>
          </w:tcPr>
          <w:p w14:paraId="411CA6C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241</w:t>
            </w:r>
          </w:p>
        </w:tc>
        <w:tc>
          <w:tcPr>
            <w:tcW w:w="0" w:type="auto"/>
            <w:noWrap/>
          </w:tcPr>
          <w:p w14:paraId="0337A78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EF NH</w:t>
            </w:r>
            <w:r w:rsidRPr="006670F8">
              <w:rPr>
                <w:b/>
                <w:sz w:val="16"/>
                <w:szCs w:val="16"/>
                <w:vertAlign w:val="subscript"/>
              </w:rPr>
              <w:t>3</w:t>
            </w:r>
            <w:r w:rsidRPr="006670F8">
              <w:rPr>
                <w:b/>
                <w:sz w:val="16"/>
                <w:szCs w:val="16"/>
              </w:rPr>
              <w:t>-N biosolids</w:t>
            </w:r>
          </w:p>
        </w:tc>
        <w:tc>
          <w:tcPr>
            <w:tcW w:w="0" w:type="auto"/>
            <w:noWrap/>
          </w:tcPr>
          <w:p w14:paraId="092250C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TAN</w:t>
            </w:r>
          </w:p>
        </w:tc>
        <w:tc>
          <w:tcPr>
            <w:tcW w:w="0" w:type="auto"/>
            <w:noWrap/>
          </w:tcPr>
          <w:p w14:paraId="0481329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50%</w:t>
            </w:r>
          </w:p>
        </w:tc>
        <w:tc>
          <w:tcPr>
            <w:tcW w:w="0" w:type="auto"/>
            <w:noWrap/>
          </w:tcPr>
          <w:p w14:paraId="6B7DBA7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35%-65%</w:t>
            </w:r>
          </w:p>
        </w:tc>
      </w:tr>
      <w:tr w:rsidR="00732C76" w:rsidRPr="006670F8" w14:paraId="69D7E68B"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90F7343" w14:textId="77777777" w:rsidR="00732C76" w:rsidRPr="006670F8" w:rsidRDefault="00732C76" w:rsidP="00447F21">
            <w:pPr>
              <w:rPr>
                <w:b w:val="0"/>
                <w:bCs w:val="0"/>
                <w:sz w:val="16"/>
                <w:szCs w:val="16"/>
              </w:rPr>
            </w:pPr>
          </w:p>
        </w:tc>
        <w:tc>
          <w:tcPr>
            <w:tcW w:w="0" w:type="auto"/>
            <w:noWrap/>
            <w:hideMark/>
          </w:tcPr>
          <w:p w14:paraId="60C5DB0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242</w:t>
            </w:r>
          </w:p>
        </w:tc>
        <w:tc>
          <w:tcPr>
            <w:tcW w:w="0" w:type="auto"/>
            <w:noWrap/>
          </w:tcPr>
          <w:p w14:paraId="2171A2E5" w14:textId="0F543544"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Carbon sequestration, arable land</w:t>
            </w:r>
            <w:r w:rsidR="00C00E3A" w:rsidRPr="00C00E3A">
              <w:rPr>
                <w:b/>
                <w:sz w:val="16"/>
                <w:szCs w:val="16"/>
                <w:vertAlign w:val="superscript"/>
              </w:rPr>
              <w:t>*</w:t>
            </w:r>
          </w:p>
        </w:tc>
        <w:tc>
          <w:tcPr>
            <w:tcW w:w="0" w:type="auto"/>
            <w:noWrap/>
          </w:tcPr>
          <w:p w14:paraId="1F82F9D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kg</w:t>
            </w:r>
            <w:r w:rsidRPr="006670F8">
              <w:rPr>
                <w:sz w:val="16"/>
                <w:szCs w:val="16"/>
                <w:vertAlign w:val="subscript"/>
              </w:rPr>
              <w:t>C.</w:t>
            </w:r>
            <w:r w:rsidRPr="006670F8">
              <w:rPr>
                <w:sz w:val="16"/>
                <w:szCs w:val="16"/>
              </w:rPr>
              <w:t>kg</w:t>
            </w:r>
            <w:r w:rsidRPr="006670F8">
              <w:rPr>
                <w:sz w:val="16"/>
                <w:szCs w:val="16"/>
                <w:vertAlign w:val="subscript"/>
              </w:rPr>
              <w:t>Ctot</w:t>
            </w:r>
            <w:r w:rsidRPr="006670F8">
              <w:rPr>
                <w:sz w:val="16"/>
                <w:szCs w:val="16"/>
                <w:vertAlign w:val="superscript"/>
              </w:rPr>
              <w:t>-1</w:t>
            </w:r>
          </w:p>
        </w:tc>
        <w:tc>
          <w:tcPr>
            <w:tcW w:w="0" w:type="auto"/>
            <w:noWrap/>
          </w:tcPr>
          <w:p w14:paraId="7EB888D8" w14:textId="0A64E1C8" w:rsidR="00732C76" w:rsidRPr="006670F8" w:rsidRDefault="00C00E3A" w:rsidP="00447F21">
            <w:pPr>
              <w:cnfStyle w:val="000000000000" w:firstRow="0" w:lastRow="0" w:firstColumn="0" w:lastColumn="0" w:oddVBand="0" w:evenVBand="0" w:oddHBand="0" w:evenHBand="0" w:firstRowFirstColumn="0" w:firstRowLastColumn="0" w:lastRowFirstColumn="0" w:lastRowLastColumn="0"/>
              <w:rPr>
                <w:b/>
                <w:sz w:val="16"/>
                <w:szCs w:val="16"/>
              </w:rPr>
            </w:pPr>
            <w:r>
              <w:rPr>
                <w:sz w:val="16"/>
                <w:szCs w:val="16"/>
              </w:rPr>
              <w:t>0.5</w:t>
            </w:r>
            <w:r w:rsidR="00732C76" w:rsidRPr="006670F8">
              <w:rPr>
                <w:sz w:val="16"/>
                <w:szCs w:val="16"/>
              </w:rPr>
              <w:t>%</w:t>
            </w:r>
          </w:p>
        </w:tc>
        <w:tc>
          <w:tcPr>
            <w:tcW w:w="0" w:type="auto"/>
            <w:noWrap/>
          </w:tcPr>
          <w:p w14:paraId="0866C673" w14:textId="6C0DB0CD" w:rsidR="00732C76" w:rsidRPr="006670F8" w:rsidRDefault="00C00E3A" w:rsidP="00447F21">
            <w:pPr>
              <w:cnfStyle w:val="000000000000" w:firstRow="0" w:lastRow="0" w:firstColumn="0" w:lastColumn="0" w:oddVBand="0" w:evenVBand="0" w:oddHBand="0" w:evenHBand="0" w:firstRowFirstColumn="0" w:firstRowLastColumn="0" w:lastRowFirstColumn="0" w:lastRowLastColumn="0"/>
              <w:rPr>
                <w:b/>
                <w:sz w:val="16"/>
                <w:szCs w:val="16"/>
              </w:rPr>
            </w:pPr>
            <w:r>
              <w:rPr>
                <w:sz w:val="16"/>
                <w:szCs w:val="16"/>
              </w:rPr>
              <w:t>-(1</w:t>
            </w:r>
            <w:r w:rsidR="00732C76" w:rsidRPr="006670F8">
              <w:rPr>
                <w:sz w:val="16"/>
                <w:szCs w:val="16"/>
              </w:rPr>
              <w:t>%</w:t>
            </w:r>
            <w:r>
              <w:rPr>
                <w:sz w:val="16"/>
                <w:szCs w:val="16"/>
              </w:rPr>
              <w:t>)</w:t>
            </w:r>
            <w:r w:rsidR="00732C76" w:rsidRPr="006670F8">
              <w:rPr>
                <w:sz w:val="16"/>
                <w:szCs w:val="16"/>
              </w:rPr>
              <w:t>-2%</w:t>
            </w:r>
          </w:p>
        </w:tc>
      </w:tr>
      <w:tr w:rsidR="00732C76" w:rsidRPr="006670F8" w14:paraId="0B09E4F3"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AB44840" w14:textId="77777777" w:rsidR="00732C76" w:rsidRPr="006670F8" w:rsidRDefault="00732C76" w:rsidP="00447F21">
            <w:pPr>
              <w:rPr>
                <w:b w:val="0"/>
                <w:bCs w:val="0"/>
                <w:sz w:val="16"/>
                <w:szCs w:val="16"/>
              </w:rPr>
            </w:pPr>
          </w:p>
        </w:tc>
        <w:tc>
          <w:tcPr>
            <w:tcW w:w="0" w:type="auto"/>
            <w:noWrap/>
            <w:hideMark/>
          </w:tcPr>
          <w:p w14:paraId="11448C5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243</w:t>
            </w:r>
          </w:p>
        </w:tc>
        <w:tc>
          <w:tcPr>
            <w:tcW w:w="0" w:type="auto"/>
            <w:noWrap/>
          </w:tcPr>
          <w:p w14:paraId="0DC92F04" w14:textId="5B26FD8A" w:rsidR="00732C76" w:rsidRPr="00C00E3A"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 xml:space="preserve">MFE-P decay </w:t>
            </w:r>
            <w:r w:rsidR="00C00E3A">
              <w:rPr>
                <w:b/>
                <w:sz w:val="16"/>
                <w:szCs w:val="16"/>
              </w:rPr>
              <w:t>crop residues</w:t>
            </w:r>
            <w:r w:rsidR="00C00E3A" w:rsidRPr="00C00E3A">
              <w:rPr>
                <w:b/>
                <w:sz w:val="16"/>
                <w:szCs w:val="16"/>
                <w:vertAlign w:val="superscript"/>
              </w:rPr>
              <w:t>*</w:t>
            </w:r>
          </w:p>
        </w:tc>
        <w:tc>
          <w:tcPr>
            <w:tcW w:w="0" w:type="auto"/>
            <w:noWrap/>
          </w:tcPr>
          <w:p w14:paraId="7A1D698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P</w:t>
            </w:r>
          </w:p>
        </w:tc>
        <w:tc>
          <w:tcPr>
            <w:tcW w:w="0" w:type="auto"/>
            <w:noWrap/>
          </w:tcPr>
          <w:p w14:paraId="5565EE94" w14:textId="6904DB2B" w:rsidR="00732C76" w:rsidRPr="006670F8" w:rsidRDefault="00C00E3A" w:rsidP="00447F21">
            <w:pPr>
              <w:cnfStyle w:val="000000100000" w:firstRow="0" w:lastRow="0" w:firstColumn="0" w:lastColumn="0" w:oddVBand="0" w:evenVBand="0" w:oddHBand="1" w:evenHBand="0" w:firstRowFirstColumn="0" w:firstRowLastColumn="0" w:lastRowFirstColumn="0" w:lastRowLastColumn="0"/>
              <w:rPr>
                <w:b/>
                <w:sz w:val="16"/>
                <w:szCs w:val="16"/>
              </w:rPr>
            </w:pPr>
            <w:r>
              <w:rPr>
                <w:sz w:val="16"/>
                <w:szCs w:val="16"/>
              </w:rPr>
              <w:t>8</w:t>
            </w:r>
            <w:r w:rsidR="00732C76" w:rsidRPr="006670F8">
              <w:rPr>
                <w:sz w:val="16"/>
                <w:szCs w:val="16"/>
              </w:rPr>
              <w:t>0%</w:t>
            </w:r>
          </w:p>
        </w:tc>
        <w:tc>
          <w:tcPr>
            <w:tcW w:w="0" w:type="auto"/>
            <w:noWrap/>
          </w:tcPr>
          <w:p w14:paraId="427E86E5" w14:textId="3F9B387D" w:rsidR="00732C76" w:rsidRPr="006670F8" w:rsidRDefault="00C00E3A" w:rsidP="00447F21">
            <w:pPr>
              <w:cnfStyle w:val="000000100000" w:firstRow="0" w:lastRow="0" w:firstColumn="0" w:lastColumn="0" w:oddVBand="0" w:evenVBand="0" w:oddHBand="1" w:evenHBand="0" w:firstRowFirstColumn="0" w:firstRowLastColumn="0" w:lastRowFirstColumn="0" w:lastRowLastColumn="0"/>
              <w:rPr>
                <w:b/>
                <w:sz w:val="16"/>
                <w:szCs w:val="16"/>
              </w:rPr>
            </w:pPr>
            <w:r>
              <w:rPr>
                <w:sz w:val="16"/>
                <w:szCs w:val="16"/>
              </w:rPr>
              <w:t>8</w:t>
            </w:r>
            <w:r w:rsidR="00732C76" w:rsidRPr="006670F8">
              <w:rPr>
                <w:sz w:val="16"/>
                <w:szCs w:val="16"/>
              </w:rPr>
              <w:t>0%-</w:t>
            </w:r>
            <w:r>
              <w:rPr>
                <w:sz w:val="16"/>
                <w:szCs w:val="16"/>
              </w:rPr>
              <w:t>10</w:t>
            </w:r>
            <w:r w:rsidR="00732C76" w:rsidRPr="006670F8">
              <w:rPr>
                <w:sz w:val="16"/>
                <w:szCs w:val="16"/>
              </w:rPr>
              <w:t>0%</w:t>
            </w:r>
          </w:p>
        </w:tc>
      </w:tr>
      <w:tr w:rsidR="00732C76" w:rsidRPr="006670F8" w14:paraId="3674D9D6"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5A0E505" w14:textId="77777777" w:rsidR="00732C76" w:rsidRPr="006670F8" w:rsidRDefault="00732C76" w:rsidP="00447F21">
            <w:pPr>
              <w:rPr>
                <w:b w:val="0"/>
                <w:bCs w:val="0"/>
                <w:sz w:val="16"/>
                <w:szCs w:val="16"/>
              </w:rPr>
            </w:pPr>
          </w:p>
        </w:tc>
        <w:tc>
          <w:tcPr>
            <w:tcW w:w="0" w:type="auto"/>
            <w:noWrap/>
            <w:hideMark/>
          </w:tcPr>
          <w:p w14:paraId="587EA0C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244</w:t>
            </w:r>
          </w:p>
        </w:tc>
        <w:tc>
          <w:tcPr>
            <w:tcW w:w="0" w:type="auto"/>
            <w:noWrap/>
          </w:tcPr>
          <w:p w14:paraId="0CEA8900" w14:textId="01D96E81" w:rsidR="00732C76" w:rsidRPr="00C00E3A"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 xml:space="preserve">MFE-K decay </w:t>
            </w:r>
            <w:r w:rsidR="00C00E3A">
              <w:rPr>
                <w:b/>
                <w:sz w:val="16"/>
                <w:szCs w:val="16"/>
              </w:rPr>
              <w:t>crop residues</w:t>
            </w:r>
            <w:r w:rsidR="00C00E3A" w:rsidRPr="00C00E3A">
              <w:rPr>
                <w:b/>
                <w:sz w:val="16"/>
                <w:szCs w:val="16"/>
                <w:vertAlign w:val="superscript"/>
              </w:rPr>
              <w:t>*</w:t>
            </w:r>
          </w:p>
        </w:tc>
        <w:tc>
          <w:tcPr>
            <w:tcW w:w="0" w:type="auto"/>
            <w:noWrap/>
          </w:tcPr>
          <w:p w14:paraId="1C9679E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K</w:t>
            </w:r>
          </w:p>
        </w:tc>
        <w:tc>
          <w:tcPr>
            <w:tcW w:w="0" w:type="auto"/>
            <w:noWrap/>
          </w:tcPr>
          <w:p w14:paraId="53CF4F89" w14:textId="4153C96A" w:rsidR="00732C76" w:rsidRPr="006670F8" w:rsidRDefault="00C00E3A" w:rsidP="00447F21">
            <w:pPr>
              <w:cnfStyle w:val="000000000000" w:firstRow="0" w:lastRow="0" w:firstColumn="0" w:lastColumn="0" w:oddVBand="0" w:evenVBand="0" w:oddHBand="0" w:evenHBand="0" w:firstRowFirstColumn="0" w:firstRowLastColumn="0" w:lastRowFirstColumn="0" w:lastRowLastColumn="0"/>
              <w:rPr>
                <w:b/>
                <w:sz w:val="16"/>
                <w:szCs w:val="16"/>
              </w:rPr>
            </w:pPr>
            <w:r>
              <w:rPr>
                <w:sz w:val="16"/>
                <w:szCs w:val="16"/>
              </w:rPr>
              <w:t>8</w:t>
            </w:r>
            <w:r w:rsidR="00732C76" w:rsidRPr="006670F8">
              <w:rPr>
                <w:sz w:val="16"/>
                <w:szCs w:val="16"/>
              </w:rPr>
              <w:t>0%</w:t>
            </w:r>
          </w:p>
        </w:tc>
        <w:tc>
          <w:tcPr>
            <w:tcW w:w="0" w:type="auto"/>
            <w:noWrap/>
          </w:tcPr>
          <w:p w14:paraId="532B1296" w14:textId="439C3841" w:rsidR="00732C76" w:rsidRPr="006670F8" w:rsidRDefault="00C00E3A" w:rsidP="00447F21">
            <w:pPr>
              <w:cnfStyle w:val="000000000000" w:firstRow="0" w:lastRow="0" w:firstColumn="0" w:lastColumn="0" w:oddVBand="0" w:evenVBand="0" w:oddHBand="0" w:evenHBand="0" w:firstRowFirstColumn="0" w:firstRowLastColumn="0" w:lastRowFirstColumn="0" w:lastRowLastColumn="0"/>
              <w:rPr>
                <w:b/>
                <w:sz w:val="16"/>
                <w:szCs w:val="16"/>
              </w:rPr>
            </w:pPr>
            <w:r>
              <w:rPr>
                <w:sz w:val="16"/>
                <w:szCs w:val="16"/>
              </w:rPr>
              <w:t>8</w:t>
            </w:r>
            <w:r w:rsidR="00732C76" w:rsidRPr="006670F8">
              <w:rPr>
                <w:sz w:val="16"/>
                <w:szCs w:val="16"/>
              </w:rPr>
              <w:t>0%-</w:t>
            </w:r>
            <w:r>
              <w:rPr>
                <w:sz w:val="16"/>
                <w:szCs w:val="16"/>
              </w:rPr>
              <w:t>10</w:t>
            </w:r>
            <w:r w:rsidR="00732C76" w:rsidRPr="006670F8">
              <w:rPr>
                <w:sz w:val="16"/>
                <w:szCs w:val="16"/>
              </w:rPr>
              <w:t>0%</w:t>
            </w:r>
          </w:p>
        </w:tc>
      </w:tr>
      <w:tr w:rsidR="00732C76" w:rsidRPr="006670F8" w14:paraId="11FBDDBD"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BD5BC50" w14:textId="77777777" w:rsidR="00732C76" w:rsidRPr="006670F8" w:rsidRDefault="00732C76" w:rsidP="00447F21">
            <w:pPr>
              <w:rPr>
                <w:b w:val="0"/>
                <w:bCs w:val="0"/>
                <w:sz w:val="16"/>
                <w:szCs w:val="16"/>
              </w:rPr>
            </w:pPr>
          </w:p>
        </w:tc>
        <w:tc>
          <w:tcPr>
            <w:tcW w:w="0" w:type="auto"/>
            <w:noWrap/>
            <w:hideMark/>
          </w:tcPr>
          <w:p w14:paraId="11A60D2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245</w:t>
            </w:r>
          </w:p>
        </w:tc>
        <w:tc>
          <w:tcPr>
            <w:tcW w:w="0" w:type="auto"/>
            <w:noWrap/>
          </w:tcPr>
          <w:p w14:paraId="2A542F1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Ploughing diesel</w:t>
            </w:r>
          </w:p>
        </w:tc>
        <w:tc>
          <w:tcPr>
            <w:tcW w:w="0" w:type="auto"/>
            <w:noWrap/>
          </w:tcPr>
          <w:p w14:paraId="7A9F8AF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proofErr w:type="gramStart"/>
            <w:r w:rsidRPr="006670F8">
              <w:rPr>
                <w:sz w:val="16"/>
                <w:szCs w:val="16"/>
              </w:rPr>
              <w:t>kg.ha</w:t>
            </w:r>
            <w:proofErr w:type="gramEnd"/>
            <w:r w:rsidRPr="006670F8">
              <w:rPr>
                <w:sz w:val="16"/>
                <w:szCs w:val="16"/>
                <w:vertAlign w:val="superscript"/>
              </w:rPr>
              <w:t>-1</w:t>
            </w:r>
          </w:p>
        </w:tc>
        <w:tc>
          <w:tcPr>
            <w:tcW w:w="0" w:type="auto"/>
            <w:noWrap/>
          </w:tcPr>
          <w:p w14:paraId="55A2874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5.292</w:t>
            </w:r>
          </w:p>
        </w:tc>
        <w:tc>
          <w:tcPr>
            <w:tcW w:w="0" w:type="auto"/>
            <w:noWrap/>
          </w:tcPr>
          <w:p w14:paraId="572DC56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5-7.5</w:t>
            </w:r>
          </w:p>
        </w:tc>
      </w:tr>
      <w:tr w:rsidR="00732C76" w:rsidRPr="006670F8" w14:paraId="0F5B9FF7"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67647CC" w14:textId="77777777" w:rsidR="00732C76" w:rsidRPr="006670F8" w:rsidRDefault="00732C76" w:rsidP="00447F21">
            <w:pPr>
              <w:rPr>
                <w:b w:val="0"/>
                <w:bCs w:val="0"/>
                <w:sz w:val="16"/>
                <w:szCs w:val="16"/>
              </w:rPr>
            </w:pPr>
          </w:p>
        </w:tc>
        <w:tc>
          <w:tcPr>
            <w:tcW w:w="0" w:type="auto"/>
            <w:noWrap/>
            <w:hideMark/>
          </w:tcPr>
          <w:p w14:paraId="02AD101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246</w:t>
            </w:r>
          </w:p>
        </w:tc>
        <w:tc>
          <w:tcPr>
            <w:tcW w:w="0" w:type="auto"/>
            <w:noWrap/>
          </w:tcPr>
          <w:p w14:paraId="444DFD1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Manure NH</w:t>
            </w:r>
            <w:r w:rsidRPr="006670F8">
              <w:rPr>
                <w:b/>
                <w:sz w:val="16"/>
                <w:szCs w:val="16"/>
                <w:vertAlign w:val="subscript"/>
              </w:rPr>
              <w:t>3</w:t>
            </w:r>
            <w:r w:rsidRPr="006670F8">
              <w:rPr>
                <w:b/>
                <w:sz w:val="16"/>
                <w:szCs w:val="16"/>
              </w:rPr>
              <w:t>-N (EF indoor storage)</w:t>
            </w:r>
          </w:p>
        </w:tc>
        <w:tc>
          <w:tcPr>
            <w:tcW w:w="0" w:type="auto"/>
            <w:noWrap/>
          </w:tcPr>
          <w:p w14:paraId="7EF26B6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TAN</w:t>
            </w:r>
          </w:p>
        </w:tc>
        <w:tc>
          <w:tcPr>
            <w:tcW w:w="0" w:type="auto"/>
            <w:noWrap/>
          </w:tcPr>
          <w:p w14:paraId="350FA41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10%</w:t>
            </w:r>
          </w:p>
        </w:tc>
        <w:tc>
          <w:tcPr>
            <w:tcW w:w="0" w:type="auto"/>
            <w:noWrap/>
          </w:tcPr>
          <w:p w14:paraId="3417C7E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8%-19%</w:t>
            </w:r>
          </w:p>
        </w:tc>
      </w:tr>
      <w:tr w:rsidR="00732C76" w:rsidRPr="006670F8" w14:paraId="3F017AC2"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9147410" w14:textId="77777777" w:rsidR="00732C76" w:rsidRPr="006670F8" w:rsidRDefault="00732C76" w:rsidP="00447F21">
            <w:pPr>
              <w:rPr>
                <w:b w:val="0"/>
                <w:bCs w:val="0"/>
                <w:sz w:val="16"/>
                <w:szCs w:val="16"/>
              </w:rPr>
            </w:pPr>
          </w:p>
        </w:tc>
        <w:tc>
          <w:tcPr>
            <w:tcW w:w="0" w:type="auto"/>
            <w:noWrap/>
            <w:hideMark/>
          </w:tcPr>
          <w:p w14:paraId="30B55F8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247</w:t>
            </w:r>
          </w:p>
        </w:tc>
        <w:tc>
          <w:tcPr>
            <w:tcW w:w="0" w:type="auto"/>
            <w:noWrap/>
          </w:tcPr>
          <w:p w14:paraId="391EB67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Manure B</w:t>
            </w:r>
            <w:r w:rsidRPr="006670F8">
              <w:rPr>
                <w:b/>
                <w:sz w:val="16"/>
                <w:szCs w:val="16"/>
                <w:vertAlign w:val="subscript"/>
              </w:rPr>
              <w:t>0</w:t>
            </w:r>
            <w:r w:rsidRPr="006670F8">
              <w:rPr>
                <w:b/>
                <w:sz w:val="16"/>
                <w:szCs w:val="16"/>
              </w:rPr>
              <w:t xml:space="preserve"> (TMP)</w:t>
            </w:r>
          </w:p>
        </w:tc>
        <w:tc>
          <w:tcPr>
            <w:tcW w:w="0" w:type="auto"/>
            <w:noWrap/>
          </w:tcPr>
          <w:p w14:paraId="6A4A560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m</w:t>
            </w:r>
            <w:r w:rsidRPr="006670F8">
              <w:rPr>
                <w:sz w:val="16"/>
                <w:szCs w:val="16"/>
                <w:vertAlign w:val="superscript"/>
              </w:rPr>
              <w:t>3</w:t>
            </w:r>
            <w:r w:rsidRPr="006670F8">
              <w:rPr>
                <w:sz w:val="16"/>
                <w:szCs w:val="16"/>
                <w:vertAlign w:val="subscript"/>
              </w:rPr>
              <w:t>CH4.</w:t>
            </w:r>
            <w:r w:rsidRPr="006670F8">
              <w:rPr>
                <w:sz w:val="16"/>
                <w:szCs w:val="16"/>
              </w:rPr>
              <w:t>kg</w:t>
            </w:r>
            <w:r w:rsidRPr="006670F8">
              <w:rPr>
                <w:sz w:val="16"/>
                <w:szCs w:val="16"/>
                <w:vertAlign w:val="subscript"/>
              </w:rPr>
              <w:t>VS</w:t>
            </w:r>
            <w:r w:rsidRPr="006670F8">
              <w:rPr>
                <w:sz w:val="16"/>
                <w:szCs w:val="16"/>
                <w:vertAlign w:val="superscript"/>
              </w:rPr>
              <w:t>-1</w:t>
            </w:r>
          </w:p>
        </w:tc>
        <w:tc>
          <w:tcPr>
            <w:tcW w:w="0" w:type="auto"/>
            <w:noWrap/>
          </w:tcPr>
          <w:p w14:paraId="40D26AB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0.21</w:t>
            </w:r>
          </w:p>
        </w:tc>
        <w:tc>
          <w:tcPr>
            <w:tcW w:w="0" w:type="auto"/>
            <w:noWrap/>
          </w:tcPr>
          <w:p w14:paraId="635495B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0.18-0.24</w:t>
            </w:r>
          </w:p>
        </w:tc>
      </w:tr>
      <w:tr w:rsidR="00732C76" w:rsidRPr="006670F8" w14:paraId="44F20676"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6CF2B0F" w14:textId="77777777" w:rsidR="00732C76" w:rsidRPr="006670F8" w:rsidRDefault="00732C76" w:rsidP="00447F21">
            <w:pPr>
              <w:rPr>
                <w:b w:val="0"/>
                <w:bCs w:val="0"/>
                <w:sz w:val="16"/>
                <w:szCs w:val="16"/>
              </w:rPr>
            </w:pPr>
          </w:p>
        </w:tc>
        <w:tc>
          <w:tcPr>
            <w:tcW w:w="0" w:type="auto"/>
            <w:noWrap/>
            <w:hideMark/>
          </w:tcPr>
          <w:p w14:paraId="44B3BC5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248</w:t>
            </w:r>
          </w:p>
        </w:tc>
        <w:tc>
          <w:tcPr>
            <w:tcW w:w="0" w:type="auto"/>
            <w:noWrap/>
          </w:tcPr>
          <w:p w14:paraId="3E4CF99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Manure</w:t>
            </w:r>
            <w:r>
              <w:rPr>
                <w:b/>
                <w:sz w:val="16"/>
                <w:szCs w:val="16"/>
              </w:rPr>
              <w:t xml:space="preserve"> methane conversion factor</w:t>
            </w:r>
            <w:r w:rsidRPr="006670F8">
              <w:rPr>
                <w:b/>
                <w:sz w:val="16"/>
                <w:szCs w:val="16"/>
              </w:rPr>
              <w:t xml:space="preserve"> </w:t>
            </w:r>
            <w:r>
              <w:rPr>
                <w:b/>
                <w:sz w:val="16"/>
                <w:szCs w:val="16"/>
              </w:rPr>
              <w:t>(</w:t>
            </w:r>
            <w:r w:rsidRPr="006670F8">
              <w:rPr>
                <w:b/>
                <w:sz w:val="16"/>
                <w:szCs w:val="16"/>
              </w:rPr>
              <w:t>MCF</w:t>
            </w:r>
            <w:r>
              <w:rPr>
                <w:b/>
                <w:sz w:val="16"/>
                <w:szCs w:val="16"/>
              </w:rPr>
              <w:t>), storage</w:t>
            </w:r>
          </w:p>
        </w:tc>
        <w:tc>
          <w:tcPr>
            <w:tcW w:w="0" w:type="auto"/>
            <w:noWrap/>
          </w:tcPr>
          <w:p w14:paraId="2A0F371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TMP</w:t>
            </w:r>
          </w:p>
        </w:tc>
        <w:tc>
          <w:tcPr>
            <w:tcW w:w="0" w:type="auto"/>
            <w:noWrap/>
          </w:tcPr>
          <w:p w14:paraId="24C08FF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4%</w:t>
            </w:r>
          </w:p>
        </w:tc>
        <w:tc>
          <w:tcPr>
            <w:tcW w:w="0" w:type="auto"/>
            <w:noWrap/>
          </w:tcPr>
          <w:p w14:paraId="0A60F70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2%-5%</w:t>
            </w:r>
          </w:p>
        </w:tc>
      </w:tr>
      <w:tr w:rsidR="00732C76" w:rsidRPr="006670F8" w14:paraId="7F29E1B5"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3EEAFD1" w14:textId="77777777" w:rsidR="00732C76" w:rsidRPr="006670F8" w:rsidRDefault="00732C76" w:rsidP="00447F21">
            <w:pPr>
              <w:rPr>
                <w:b w:val="0"/>
                <w:bCs w:val="0"/>
                <w:sz w:val="16"/>
                <w:szCs w:val="16"/>
              </w:rPr>
            </w:pPr>
          </w:p>
        </w:tc>
        <w:tc>
          <w:tcPr>
            <w:tcW w:w="0" w:type="auto"/>
            <w:noWrap/>
            <w:hideMark/>
          </w:tcPr>
          <w:p w14:paraId="46DB9B5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249</w:t>
            </w:r>
          </w:p>
        </w:tc>
        <w:tc>
          <w:tcPr>
            <w:tcW w:w="0" w:type="auto"/>
            <w:noWrap/>
          </w:tcPr>
          <w:p w14:paraId="71E2940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Manure N</w:t>
            </w:r>
            <w:r w:rsidRPr="006670F8">
              <w:rPr>
                <w:b/>
                <w:sz w:val="16"/>
                <w:szCs w:val="16"/>
                <w:vertAlign w:val="subscript"/>
              </w:rPr>
              <w:t>2</w:t>
            </w:r>
            <w:r w:rsidRPr="006670F8">
              <w:rPr>
                <w:b/>
                <w:sz w:val="16"/>
                <w:szCs w:val="16"/>
              </w:rPr>
              <w:t>O-N direct (EF1)</w:t>
            </w:r>
            <w:r>
              <w:rPr>
                <w:b/>
                <w:sz w:val="16"/>
                <w:szCs w:val="16"/>
              </w:rPr>
              <w:t>, storage</w:t>
            </w:r>
          </w:p>
        </w:tc>
        <w:tc>
          <w:tcPr>
            <w:tcW w:w="0" w:type="auto"/>
            <w:noWrap/>
          </w:tcPr>
          <w:p w14:paraId="1C56627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kgN</w:t>
            </w:r>
            <w:r w:rsidRPr="006670F8">
              <w:rPr>
                <w:sz w:val="16"/>
                <w:szCs w:val="16"/>
                <w:vertAlign w:val="subscript"/>
              </w:rPr>
              <w:t>2</w:t>
            </w:r>
            <w:r w:rsidRPr="006670F8">
              <w:rPr>
                <w:sz w:val="16"/>
                <w:szCs w:val="16"/>
              </w:rPr>
              <w:t>O</w:t>
            </w:r>
            <w:r w:rsidRPr="006670F8">
              <w:rPr>
                <w:sz w:val="16"/>
                <w:szCs w:val="16"/>
                <w:vertAlign w:val="subscript"/>
              </w:rPr>
              <w:t>-</w:t>
            </w:r>
            <w:proofErr w:type="gramStart"/>
            <w:r w:rsidRPr="006670F8">
              <w:rPr>
                <w:sz w:val="16"/>
                <w:szCs w:val="16"/>
                <w:vertAlign w:val="subscript"/>
              </w:rPr>
              <w:t>N.</w:t>
            </w:r>
            <w:r w:rsidRPr="006670F8">
              <w:rPr>
                <w:sz w:val="16"/>
                <w:szCs w:val="16"/>
              </w:rPr>
              <w:t>kg</w:t>
            </w:r>
            <w:r w:rsidRPr="006670F8">
              <w:rPr>
                <w:sz w:val="16"/>
                <w:szCs w:val="16"/>
                <w:vertAlign w:val="subscript"/>
              </w:rPr>
              <w:t>N</w:t>
            </w:r>
            <w:proofErr w:type="gramEnd"/>
            <w:r w:rsidRPr="006670F8">
              <w:rPr>
                <w:sz w:val="16"/>
                <w:szCs w:val="16"/>
                <w:vertAlign w:val="superscript"/>
              </w:rPr>
              <w:t>-1</w:t>
            </w:r>
          </w:p>
        </w:tc>
        <w:tc>
          <w:tcPr>
            <w:tcW w:w="0" w:type="auto"/>
            <w:noWrap/>
          </w:tcPr>
          <w:p w14:paraId="390CE58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0.0075</w:t>
            </w:r>
          </w:p>
        </w:tc>
        <w:tc>
          <w:tcPr>
            <w:tcW w:w="0" w:type="auto"/>
            <w:noWrap/>
          </w:tcPr>
          <w:p w14:paraId="3ECDFB2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0.005-0.01</w:t>
            </w:r>
          </w:p>
        </w:tc>
      </w:tr>
      <w:tr w:rsidR="00732C76" w:rsidRPr="006670F8" w14:paraId="2EC8DD04"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4C4E055" w14:textId="77777777" w:rsidR="00732C76" w:rsidRPr="006670F8" w:rsidRDefault="00732C76" w:rsidP="00447F21">
            <w:pPr>
              <w:rPr>
                <w:b w:val="0"/>
                <w:bCs w:val="0"/>
                <w:sz w:val="16"/>
                <w:szCs w:val="16"/>
              </w:rPr>
            </w:pPr>
          </w:p>
        </w:tc>
        <w:tc>
          <w:tcPr>
            <w:tcW w:w="0" w:type="auto"/>
            <w:noWrap/>
            <w:hideMark/>
          </w:tcPr>
          <w:p w14:paraId="0FDECED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250</w:t>
            </w:r>
          </w:p>
        </w:tc>
        <w:tc>
          <w:tcPr>
            <w:tcW w:w="0" w:type="auto"/>
            <w:noWrap/>
          </w:tcPr>
          <w:p w14:paraId="71B2875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Manure NH</w:t>
            </w:r>
            <w:r w:rsidRPr="006670F8">
              <w:rPr>
                <w:b/>
                <w:sz w:val="16"/>
                <w:szCs w:val="16"/>
                <w:vertAlign w:val="subscript"/>
              </w:rPr>
              <w:t>3</w:t>
            </w:r>
            <w:r w:rsidRPr="006670F8">
              <w:rPr>
                <w:b/>
                <w:sz w:val="16"/>
                <w:szCs w:val="16"/>
              </w:rPr>
              <w:t>-N (EF outdoor storage)</w:t>
            </w:r>
          </w:p>
        </w:tc>
        <w:tc>
          <w:tcPr>
            <w:tcW w:w="0" w:type="auto"/>
            <w:noWrap/>
          </w:tcPr>
          <w:p w14:paraId="68FE0D8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TAN</w:t>
            </w:r>
          </w:p>
        </w:tc>
        <w:tc>
          <w:tcPr>
            <w:tcW w:w="0" w:type="auto"/>
            <w:noWrap/>
          </w:tcPr>
          <w:p w14:paraId="7559216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37%</w:t>
            </w:r>
          </w:p>
        </w:tc>
        <w:tc>
          <w:tcPr>
            <w:tcW w:w="0" w:type="auto"/>
            <w:noWrap/>
          </w:tcPr>
          <w:p w14:paraId="7763127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27%-53%</w:t>
            </w:r>
          </w:p>
        </w:tc>
      </w:tr>
      <w:tr w:rsidR="00732C76" w:rsidRPr="006670F8" w14:paraId="7749CC86"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AD39E52" w14:textId="77777777" w:rsidR="00732C76" w:rsidRPr="006670F8" w:rsidRDefault="00732C76" w:rsidP="00447F21">
            <w:pPr>
              <w:rPr>
                <w:b w:val="0"/>
                <w:bCs w:val="0"/>
                <w:sz w:val="16"/>
                <w:szCs w:val="16"/>
              </w:rPr>
            </w:pPr>
          </w:p>
        </w:tc>
        <w:tc>
          <w:tcPr>
            <w:tcW w:w="0" w:type="auto"/>
            <w:noWrap/>
            <w:hideMark/>
          </w:tcPr>
          <w:p w14:paraId="536D8EA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251</w:t>
            </w:r>
          </w:p>
        </w:tc>
        <w:tc>
          <w:tcPr>
            <w:tcW w:w="0" w:type="auto"/>
            <w:noWrap/>
          </w:tcPr>
          <w:p w14:paraId="2D064EA6" w14:textId="77777777" w:rsidR="00732C76" w:rsidRPr="00215FC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215FC8">
              <w:rPr>
                <w:b/>
                <w:sz w:val="16"/>
                <w:szCs w:val="16"/>
              </w:rPr>
              <w:t>Manure NO</w:t>
            </w:r>
            <w:r w:rsidRPr="00215FC8">
              <w:rPr>
                <w:b/>
                <w:sz w:val="16"/>
                <w:szCs w:val="16"/>
                <w:vertAlign w:val="subscript"/>
              </w:rPr>
              <w:t>3</w:t>
            </w:r>
            <w:r w:rsidRPr="00215FC8">
              <w:rPr>
                <w:b/>
                <w:sz w:val="16"/>
                <w:szCs w:val="16"/>
              </w:rPr>
              <w:t>-N (EF land</w:t>
            </w:r>
            <w:r>
              <w:rPr>
                <w:b/>
                <w:sz w:val="16"/>
                <w:szCs w:val="16"/>
              </w:rPr>
              <w:t>)</w:t>
            </w:r>
          </w:p>
        </w:tc>
        <w:tc>
          <w:tcPr>
            <w:tcW w:w="0" w:type="auto"/>
            <w:noWrap/>
          </w:tcPr>
          <w:p w14:paraId="6603EFB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Ntot</w:t>
            </w:r>
          </w:p>
        </w:tc>
        <w:tc>
          <w:tcPr>
            <w:tcW w:w="0" w:type="auto"/>
            <w:noWrap/>
          </w:tcPr>
          <w:p w14:paraId="400F851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12%</w:t>
            </w:r>
          </w:p>
        </w:tc>
        <w:tc>
          <w:tcPr>
            <w:tcW w:w="0" w:type="auto"/>
            <w:noWrap/>
          </w:tcPr>
          <w:p w14:paraId="2E72704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10%-15%</w:t>
            </w:r>
          </w:p>
        </w:tc>
      </w:tr>
      <w:tr w:rsidR="00732C76" w:rsidRPr="006670F8" w14:paraId="5B8C033D"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5381921" w14:textId="77777777" w:rsidR="00732C76" w:rsidRPr="006670F8" w:rsidRDefault="00732C76" w:rsidP="00447F21">
            <w:pPr>
              <w:rPr>
                <w:b w:val="0"/>
                <w:bCs w:val="0"/>
                <w:sz w:val="16"/>
                <w:szCs w:val="16"/>
              </w:rPr>
            </w:pPr>
          </w:p>
        </w:tc>
        <w:tc>
          <w:tcPr>
            <w:tcW w:w="0" w:type="auto"/>
            <w:noWrap/>
            <w:hideMark/>
          </w:tcPr>
          <w:p w14:paraId="3428E8E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252</w:t>
            </w:r>
          </w:p>
        </w:tc>
        <w:tc>
          <w:tcPr>
            <w:tcW w:w="0" w:type="auto"/>
            <w:noWrap/>
          </w:tcPr>
          <w:p w14:paraId="207C68B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Manure NH</w:t>
            </w:r>
            <w:r w:rsidRPr="006670F8">
              <w:rPr>
                <w:b/>
                <w:sz w:val="16"/>
                <w:szCs w:val="16"/>
                <w:vertAlign w:val="subscript"/>
              </w:rPr>
              <w:t>3</w:t>
            </w:r>
            <w:r w:rsidRPr="006670F8">
              <w:rPr>
                <w:b/>
                <w:sz w:val="16"/>
                <w:szCs w:val="16"/>
              </w:rPr>
              <w:t>-N (EF land)</w:t>
            </w:r>
          </w:p>
        </w:tc>
        <w:tc>
          <w:tcPr>
            <w:tcW w:w="0" w:type="auto"/>
            <w:noWrap/>
          </w:tcPr>
          <w:p w14:paraId="5FCA438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TAN</w:t>
            </w:r>
          </w:p>
        </w:tc>
        <w:tc>
          <w:tcPr>
            <w:tcW w:w="0" w:type="auto"/>
            <w:noWrap/>
          </w:tcPr>
          <w:p w14:paraId="6D8D15A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71%</w:t>
            </w:r>
          </w:p>
        </w:tc>
        <w:tc>
          <w:tcPr>
            <w:tcW w:w="0" w:type="auto"/>
            <w:noWrap/>
          </w:tcPr>
          <w:p w14:paraId="588403A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68%-79%</w:t>
            </w:r>
          </w:p>
        </w:tc>
      </w:tr>
      <w:tr w:rsidR="00732C76" w:rsidRPr="006670F8" w14:paraId="144387C2"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5652D81" w14:textId="77777777" w:rsidR="00732C76" w:rsidRPr="006670F8" w:rsidRDefault="00732C76" w:rsidP="00447F21">
            <w:pPr>
              <w:rPr>
                <w:b w:val="0"/>
                <w:bCs w:val="0"/>
                <w:sz w:val="16"/>
                <w:szCs w:val="16"/>
              </w:rPr>
            </w:pPr>
          </w:p>
        </w:tc>
        <w:tc>
          <w:tcPr>
            <w:tcW w:w="0" w:type="auto"/>
            <w:noWrap/>
            <w:hideMark/>
          </w:tcPr>
          <w:p w14:paraId="358F686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253</w:t>
            </w:r>
          </w:p>
        </w:tc>
        <w:tc>
          <w:tcPr>
            <w:tcW w:w="0" w:type="auto"/>
            <w:noWrap/>
          </w:tcPr>
          <w:p w14:paraId="59A44C1F" w14:textId="0E14E229"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Carbon sequestration, manure</w:t>
            </w:r>
            <w:r w:rsidR="00C00E3A" w:rsidRPr="00C00E3A">
              <w:rPr>
                <w:b/>
                <w:sz w:val="16"/>
                <w:szCs w:val="16"/>
                <w:vertAlign w:val="superscript"/>
                <w:lang w:val="fr-FR"/>
              </w:rPr>
              <w:t>*</w:t>
            </w:r>
          </w:p>
        </w:tc>
        <w:tc>
          <w:tcPr>
            <w:tcW w:w="0" w:type="auto"/>
            <w:noWrap/>
          </w:tcPr>
          <w:p w14:paraId="0F0916E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kg</w:t>
            </w:r>
            <w:r w:rsidRPr="006670F8">
              <w:rPr>
                <w:sz w:val="16"/>
                <w:szCs w:val="16"/>
                <w:vertAlign w:val="subscript"/>
              </w:rPr>
              <w:t>C.</w:t>
            </w:r>
            <w:r w:rsidRPr="006670F8">
              <w:rPr>
                <w:sz w:val="16"/>
                <w:szCs w:val="16"/>
              </w:rPr>
              <w:t>kg</w:t>
            </w:r>
            <w:r w:rsidRPr="006670F8">
              <w:rPr>
                <w:sz w:val="16"/>
                <w:szCs w:val="16"/>
                <w:vertAlign w:val="subscript"/>
              </w:rPr>
              <w:t>Ctot</w:t>
            </w:r>
            <w:r w:rsidRPr="006670F8">
              <w:rPr>
                <w:sz w:val="16"/>
                <w:szCs w:val="16"/>
                <w:vertAlign w:val="superscript"/>
              </w:rPr>
              <w:t>-1</w:t>
            </w:r>
          </w:p>
        </w:tc>
        <w:tc>
          <w:tcPr>
            <w:tcW w:w="0" w:type="auto"/>
            <w:noWrap/>
          </w:tcPr>
          <w:p w14:paraId="6AC08D5B" w14:textId="3BA46E1B" w:rsidR="00732C76" w:rsidRPr="006670F8" w:rsidRDefault="00C00E3A" w:rsidP="00447F21">
            <w:pPr>
              <w:cnfStyle w:val="000000100000" w:firstRow="0" w:lastRow="0" w:firstColumn="0" w:lastColumn="0" w:oddVBand="0" w:evenVBand="0" w:oddHBand="1" w:evenHBand="0" w:firstRowFirstColumn="0" w:firstRowLastColumn="0" w:lastRowFirstColumn="0" w:lastRowLastColumn="0"/>
              <w:rPr>
                <w:b/>
                <w:sz w:val="16"/>
                <w:szCs w:val="16"/>
              </w:rPr>
            </w:pPr>
            <w:r>
              <w:rPr>
                <w:sz w:val="16"/>
                <w:szCs w:val="16"/>
              </w:rPr>
              <w:t>0.5</w:t>
            </w:r>
            <w:r w:rsidR="00732C76" w:rsidRPr="006670F8">
              <w:rPr>
                <w:sz w:val="16"/>
                <w:szCs w:val="16"/>
              </w:rPr>
              <w:t>%</w:t>
            </w:r>
          </w:p>
        </w:tc>
        <w:tc>
          <w:tcPr>
            <w:tcW w:w="0" w:type="auto"/>
            <w:noWrap/>
          </w:tcPr>
          <w:p w14:paraId="77FBDC68" w14:textId="315E69FD" w:rsidR="00732C76" w:rsidRPr="006670F8" w:rsidRDefault="00C00E3A" w:rsidP="00447F21">
            <w:pPr>
              <w:cnfStyle w:val="000000100000" w:firstRow="0" w:lastRow="0" w:firstColumn="0" w:lastColumn="0" w:oddVBand="0" w:evenVBand="0" w:oddHBand="1" w:evenHBand="0" w:firstRowFirstColumn="0" w:firstRowLastColumn="0" w:lastRowFirstColumn="0" w:lastRowLastColumn="0"/>
              <w:rPr>
                <w:b/>
                <w:sz w:val="16"/>
                <w:szCs w:val="16"/>
              </w:rPr>
            </w:pPr>
            <w:r>
              <w:rPr>
                <w:sz w:val="16"/>
                <w:szCs w:val="16"/>
              </w:rPr>
              <w:t>(-1</w:t>
            </w:r>
            <w:r w:rsidR="00732C76" w:rsidRPr="006670F8">
              <w:rPr>
                <w:sz w:val="16"/>
                <w:szCs w:val="16"/>
              </w:rPr>
              <w:t>%</w:t>
            </w:r>
            <w:r>
              <w:rPr>
                <w:sz w:val="16"/>
                <w:szCs w:val="16"/>
              </w:rPr>
              <w:t>)</w:t>
            </w:r>
            <w:r w:rsidR="00732C76" w:rsidRPr="006670F8">
              <w:rPr>
                <w:sz w:val="16"/>
                <w:szCs w:val="16"/>
              </w:rPr>
              <w:t>-2%</w:t>
            </w:r>
          </w:p>
        </w:tc>
      </w:tr>
      <w:tr w:rsidR="00732C76" w:rsidRPr="006670F8" w14:paraId="538F4CE5"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DBBC842" w14:textId="77777777" w:rsidR="00732C76" w:rsidRPr="006670F8" w:rsidRDefault="00732C76" w:rsidP="00447F21">
            <w:pPr>
              <w:rPr>
                <w:b w:val="0"/>
                <w:bCs w:val="0"/>
                <w:sz w:val="16"/>
                <w:szCs w:val="16"/>
              </w:rPr>
            </w:pPr>
          </w:p>
        </w:tc>
        <w:tc>
          <w:tcPr>
            <w:tcW w:w="0" w:type="auto"/>
            <w:noWrap/>
            <w:hideMark/>
          </w:tcPr>
          <w:p w14:paraId="27FE815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254</w:t>
            </w:r>
          </w:p>
        </w:tc>
        <w:tc>
          <w:tcPr>
            <w:tcW w:w="0" w:type="auto"/>
            <w:noWrap/>
          </w:tcPr>
          <w:p w14:paraId="69B3C548" w14:textId="5234EACD"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MFE-P manure</w:t>
            </w:r>
            <w:r w:rsidR="00C00E3A" w:rsidRPr="00C00E3A">
              <w:rPr>
                <w:b/>
                <w:sz w:val="16"/>
                <w:szCs w:val="16"/>
                <w:vertAlign w:val="superscript"/>
                <w:lang w:val="fr-FR"/>
              </w:rPr>
              <w:t>*</w:t>
            </w:r>
          </w:p>
        </w:tc>
        <w:tc>
          <w:tcPr>
            <w:tcW w:w="0" w:type="auto"/>
            <w:noWrap/>
          </w:tcPr>
          <w:p w14:paraId="30A4589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P</w:t>
            </w:r>
          </w:p>
        </w:tc>
        <w:tc>
          <w:tcPr>
            <w:tcW w:w="0" w:type="auto"/>
            <w:noWrap/>
          </w:tcPr>
          <w:p w14:paraId="2BE74EE1" w14:textId="50FD6EFD" w:rsidR="00732C76" w:rsidRPr="006670F8" w:rsidRDefault="00C00E3A" w:rsidP="00447F21">
            <w:pPr>
              <w:cnfStyle w:val="000000000000" w:firstRow="0" w:lastRow="0" w:firstColumn="0" w:lastColumn="0" w:oddVBand="0" w:evenVBand="0" w:oddHBand="0" w:evenHBand="0" w:firstRowFirstColumn="0" w:firstRowLastColumn="0" w:lastRowFirstColumn="0" w:lastRowLastColumn="0"/>
              <w:rPr>
                <w:b/>
                <w:sz w:val="16"/>
                <w:szCs w:val="16"/>
              </w:rPr>
            </w:pPr>
            <w:r>
              <w:rPr>
                <w:sz w:val="16"/>
                <w:szCs w:val="16"/>
              </w:rPr>
              <w:t>85</w:t>
            </w:r>
            <w:r w:rsidR="00732C76" w:rsidRPr="006670F8">
              <w:rPr>
                <w:sz w:val="16"/>
                <w:szCs w:val="16"/>
              </w:rPr>
              <w:t>%</w:t>
            </w:r>
          </w:p>
        </w:tc>
        <w:tc>
          <w:tcPr>
            <w:tcW w:w="0" w:type="auto"/>
            <w:noWrap/>
          </w:tcPr>
          <w:p w14:paraId="63C9E627" w14:textId="3C9F82FC" w:rsidR="00732C76" w:rsidRPr="006670F8" w:rsidRDefault="00C00E3A" w:rsidP="00447F21">
            <w:pPr>
              <w:cnfStyle w:val="000000000000" w:firstRow="0" w:lastRow="0" w:firstColumn="0" w:lastColumn="0" w:oddVBand="0" w:evenVBand="0" w:oddHBand="0" w:evenHBand="0" w:firstRowFirstColumn="0" w:firstRowLastColumn="0" w:lastRowFirstColumn="0" w:lastRowLastColumn="0"/>
              <w:rPr>
                <w:b/>
                <w:sz w:val="16"/>
                <w:szCs w:val="16"/>
              </w:rPr>
            </w:pPr>
            <w:r>
              <w:rPr>
                <w:sz w:val="16"/>
                <w:szCs w:val="16"/>
              </w:rPr>
              <w:t>65</w:t>
            </w:r>
            <w:r w:rsidR="00732C76" w:rsidRPr="006670F8">
              <w:rPr>
                <w:sz w:val="16"/>
                <w:szCs w:val="16"/>
              </w:rPr>
              <w:t>%-</w:t>
            </w:r>
            <w:r>
              <w:rPr>
                <w:sz w:val="16"/>
                <w:szCs w:val="16"/>
              </w:rPr>
              <w:t>10</w:t>
            </w:r>
            <w:r w:rsidR="00732C76" w:rsidRPr="006670F8">
              <w:rPr>
                <w:sz w:val="16"/>
                <w:szCs w:val="16"/>
              </w:rPr>
              <w:t>0%</w:t>
            </w:r>
          </w:p>
        </w:tc>
      </w:tr>
      <w:tr w:rsidR="00732C76" w:rsidRPr="006670F8" w14:paraId="193FA43D"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B85C828" w14:textId="77777777" w:rsidR="00732C76" w:rsidRPr="006670F8" w:rsidRDefault="00732C76" w:rsidP="00447F21">
            <w:pPr>
              <w:rPr>
                <w:b w:val="0"/>
                <w:bCs w:val="0"/>
                <w:sz w:val="16"/>
                <w:szCs w:val="16"/>
              </w:rPr>
            </w:pPr>
          </w:p>
        </w:tc>
        <w:tc>
          <w:tcPr>
            <w:tcW w:w="0" w:type="auto"/>
            <w:noWrap/>
            <w:hideMark/>
          </w:tcPr>
          <w:p w14:paraId="165C6DA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255</w:t>
            </w:r>
          </w:p>
        </w:tc>
        <w:tc>
          <w:tcPr>
            <w:tcW w:w="0" w:type="auto"/>
            <w:noWrap/>
          </w:tcPr>
          <w:p w14:paraId="72E6EE8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Slurry NH</w:t>
            </w:r>
            <w:r w:rsidRPr="006670F8">
              <w:rPr>
                <w:b/>
                <w:sz w:val="16"/>
                <w:szCs w:val="16"/>
                <w:vertAlign w:val="subscript"/>
              </w:rPr>
              <w:t>3</w:t>
            </w:r>
            <w:r w:rsidRPr="006670F8">
              <w:rPr>
                <w:b/>
                <w:sz w:val="16"/>
                <w:szCs w:val="16"/>
              </w:rPr>
              <w:t>-N (EF indoor storage)</w:t>
            </w:r>
          </w:p>
        </w:tc>
        <w:tc>
          <w:tcPr>
            <w:tcW w:w="0" w:type="auto"/>
            <w:noWrap/>
          </w:tcPr>
          <w:p w14:paraId="205911C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TAN</w:t>
            </w:r>
          </w:p>
        </w:tc>
        <w:tc>
          <w:tcPr>
            <w:tcW w:w="0" w:type="auto"/>
            <w:noWrap/>
          </w:tcPr>
          <w:p w14:paraId="140CA2D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18%</w:t>
            </w:r>
          </w:p>
        </w:tc>
        <w:tc>
          <w:tcPr>
            <w:tcW w:w="0" w:type="auto"/>
            <w:noWrap/>
          </w:tcPr>
          <w:p w14:paraId="43CFE2E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9%-24%</w:t>
            </w:r>
          </w:p>
        </w:tc>
      </w:tr>
      <w:tr w:rsidR="00732C76" w:rsidRPr="006670F8" w14:paraId="541BBA28"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98C6B1D" w14:textId="77777777" w:rsidR="00732C76" w:rsidRPr="006670F8" w:rsidRDefault="00732C76" w:rsidP="00447F21">
            <w:pPr>
              <w:rPr>
                <w:b w:val="0"/>
                <w:bCs w:val="0"/>
                <w:sz w:val="16"/>
                <w:szCs w:val="16"/>
              </w:rPr>
            </w:pPr>
          </w:p>
        </w:tc>
        <w:tc>
          <w:tcPr>
            <w:tcW w:w="0" w:type="auto"/>
            <w:noWrap/>
            <w:hideMark/>
          </w:tcPr>
          <w:p w14:paraId="5AF5FEC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256</w:t>
            </w:r>
          </w:p>
        </w:tc>
        <w:tc>
          <w:tcPr>
            <w:tcW w:w="0" w:type="auto"/>
            <w:noWrap/>
          </w:tcPr>
          <w:p w14:paraId="2A3C819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Slurry B</w:t>
            </w:r>
            <w:r w:rsidRPr="006670F8">
              <w:rPr>
                <w:b/>
                <w:sz w:val="16"/>
                <w:szCs w:val="16"/>
                <w:vertAlign w:val="subscript"/>
              </w:rPr>
              <w:t>0</w:t>
            </w:r>
            <w:r w:rsidRPr="006670F8">
              <w:rPr>
                <w:b/>
                <w:sz w:val="16"/>
                <w:szCs w:val="16"/>
              </w:rPr>
              <w:t xml:space="preserve"> (TMP)</w:t>
            </w:r>
          </w:p>
        </w:tc>
        <w:tc>
          <w:tcPr>
            <w:tcW w:w="0" w:type="auto"/>
            <w:noWrap/>
          </w:tcPr>
          <w:p w14:paraId="6E457C5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m</w:t>
            </w:r>
            <w:r w:rsidRPr="006670F8">
              <w:rPr>
                <w:sz w:val="16"/>
                <w:szCs w:val="16"/>
                <w:vertAlign w:val="superscript"/>
              </w:rPr>
              <w:t>3</w:t>
            </w:r>
            <w:r w:rsidRPr="006670F8">
              <w:rPr>
                <w:sz w:val="16"/>
                <w:szCs w:val="16"/>
                <w:vertAlign w:val="subscript"/>
              </w:rPr>
              <w:t>CH4.</w:t>
            </w:r>
            <w:r w:rsidRPr="006670F8">
              <w:rPr>
                <w:sz w:val="16"/>
                <w:szCs w:val="16"/>
              </w:rPr>
              <w:t>kg</w:t>
            </w:r>
            <w:r w:rsidRPr="006670F8">
              <w:rPr>
                <w:sz w:val="16"/>
                <w:szCs w:val="16"/>
                <w:vertAlign w:val="subscript"/>
              </w:rPr>
              <w:t>VS</w:t>
            </w:r>
            <w:r w:rsidRPr="006670F8">
              <w:rPr>
                <w:sz w:val="16"/>
                <w:szCs w:val="16"/>
                <w:vertAlign w:val="superscript"/>
              </w:rPr>
              <w:t>-1</w:t>
            </w:r>
          </w:p>
        </w:tc>
        <w:tc>
          <w:tcPr>
            <w:tcW w:w="0" w:type="auto"/>
            <w:noWrap/>
          </w:tcPr>
          <w:p w14:paraId="7AC0E03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0.21</w:t>
            </w:r>
          </w:p>
        </w:tc>
        <w:tc>
          <w:tcPr>
            <w:tcW w:w="0" w:type="auto"/>
            <w:noWrap/>
          </w:tcPr>
          <w:p w14:paraId="54657A9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0.18-0.24</w:t>
            </w:r>
          </w:p>
        </w:tc>
      </w:tr>
      <w:tr w:rsidR="00732C76" w:rsidRPr="006670F8" w14:paraId="2E1CEFD5"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6C17430" w14:textId="77777777" w:rsidR="00732C76" w:rsidRPr="006670F8" w:rsidRDefault="00732C76" w:rsidP="00447F21">
            <w:pPr>
              <w:rPr>
                <w:b w:val="0"/>
                <w:bCs w:val="0"/>
                <w:sz w:val="16"/>
                <w:szCs w:val="16"/>
              </w:rPr>
            </w:pPr>
          </w:p>
        </w:tc>
        <w:tc>
          <w:tcPr>
            <w:tcW w:w="0" w:type="auto"/>
            <w:noWrap/>
            <w:hideMark/>
          </w:tcPr>
          <w:p w14:paraId="06931F3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257</w:t>
            </w:r>
          </w:p>
        </w:tc>
        <w:tc>
          <w:tcPr>
            <w:tcW w:w="0" w:type="auto"/>
            <w:noWrap/>
          </w:tcPr>
          <w:p w14:paraId="5522642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Slurry MCF</w:t>
            </w:r>
          </w:p>
        </w:tc>
        <w:tc>
          <w:tcPr>
            <w:tcW w:w="0" w:type="auto"/>
            <w:noWrap/>
          </w:tcPr>
          <w:p w14:paraId="2368920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TMP</w:t>
            </w:r>
          </w:p>
        </w:tc>
        <w:tc>
          <w:tcPr>
            <w:tcW w:w="0" w:type="auto"/>
            <w:noWrap/>
          </w:tcPr>
          <w:p w14:paraId="7DB6949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39%</w:t>
            </w:r>
          </w:p>
        </w:tc>
        <w:tc>
          <w:tcPr>
            <w:tcW w:w="0" w:type="auto"/>
            <w:noWrap/>
          </w:tcPr>
          <w:p w14:paraId="606F6FB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37%-41%</w:t>
            </w:r>
          </w:p>
        </w:tc>
      </w:tr>
      <w:tr w:rsidR="00732C76" w:rsidRPr="006670F8" w14:paraId="17CE3C21"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72994FF" w14:textId="77777777" w:rsidR="00732C76" w:rsidRPr="006670F8" w:rsidRDefault="00732C76" w:rsidP="00447F21">
            <w:pPr>
              <w:rPr>
                <w:b w:val="0"/>
                <w:bCs w:val="0"/>
                <w:sz w:val="16"/>
                <w:szCs w:val="16"/>
              </w:rPr>
            </w:pPr>
          </w:p>
        </w:tc>
        <w:tc>
          <w:tcPr>
            <w:tcW w:w="0" w:type="auto"/>
            <w:noWrap/>
            <w:hideMark/>
          </w:tcPr>
          <w:p w14:paraId="0145D39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258</w:t>
            </w:r>
          </w:p>
        </w:tc>
        <w:tc>
          <w:tcPr>
            <w:tcW w:w="0" w:type="auto"/>
            <w:noWrap/>
          </w:tcPr>
          <w:p w14:paraId="6ED29F8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Slurry CH</w:t>
            </w:r>
            <w:r w:rsidRPr="006670F8">
              <w:rPr>
                <w:b/>
                <w:sz w:val="16"/>
                <w:szCs w:val="16"/>
                <w:vertAlign w:val="subscript"/>
              </w:rPr>
              <w:t xml:space="preserve">4 </w:t>
            </w:r>
            <w:r>
              <w:rPr>
                <w:b/>
                <w:sz w:val="16"/>
                <w:szCs w:val="16"/>
              </w:rPr>
              <w:t xml:space="preserve">land </w:t>
            </w:r>
            <w:r w:rsidRPr="006670F8">
              <w:rPr>
                <w:b/>
                <w:sz w:val="16"/>
                <w:szCs w:val="16"/>
              </w:rPr>
              <w:t>emissions reduction</w:t>
            </w:r>
            <w:r>
              <w:rPr>
                <w:b/>
                <w:sz w:val="16"/>
                <w:szCs w:val="16"/>
              </w:rPr>
              <w:t xml:space="preserve"> (technology)</w:t>
            </w:r>
          </w:p>
        </w:tc>
        <w:tc>
          <w:tcPr>
            <w:tcW w:w="0" w:type="auto"/>
            <w:noWrap/>
          </w:tcPr>
          <w:p w14:paraId="213F7BF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CH4</w:t>
            </w:r>
          </w:p>
        </w:tc>
        <w:tc>
          <w:tcPr>
            <w:tcW w:w="0" w:type="auto"/>
            <w:noWrap/>
          </w:tcPr>
          <w:p w14:paraId="1B83FB2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0.4</w:t>
            </w:r>
          </w:p>
        </w:tc>
        <w:tc>
          <w:tcPr>
            <w:tcW w:w="0" w:type="auto"/>
            <w:noWrap/>
          </w:tcPr>
          <w:p w14:paraId="31474FD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0.25-0.5</w:t>
            </w:r>
          </w:p>
        </w:tc>
      </w:tr>
      <w:tr w:rsidR="00732C76" w:rsidRPr="006670F8" w14:paraId="6023FF8F"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DE575BC" w14:textId="77777777" w:rsidR="00732C76" w:rsidRPr="006670F8" w:rsidRDefault="00732C76" w:rsidP="00447F21">
            <w:pPr>
              <w:rPr>
                <w:b w:val="0"/>
                <w:bCs w:val="0"/>
                <w:sz w:val="16"/>
                <w:szCs w:val="16"/>
              </w:rPr>
            </w:pPr>
          </w:p>
        </w:tc>
        <w:tc>
          <w:tcPr>
            <w:tcW w:w="0" w:type="auto"/>
            <w:noWrap/>
            <w:hideMark/>
          </w:tcPr>
          <w:p w14:paraId="46E28C8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259</w:t>
            </w:r>
          </w:p>
        </w:tc>
        <w:tc>
          <w:tcPr>
            <w:tcW w:w="0" w:type="auto"/>
            <w:noWrap/>
          </w:tcPr>
          <w:p w14:paraId="7C36121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Slurry N</w:t>
            </w:r>
            <w:r w:rsidRPr="006670F8">
              <w:rPr>
                <w:b/>
                <w:sz w:val="16"/>
                <w:szCs w:val="16"/>
                <w:vertAlign w:val="subscript"/>
              </w:rPr>
              <w:t>2</w:t>
            </w:r>
            <w:r w:rsidRPr="006670F8">
              <w:rPr>
                <w:b/>
                <w:sz w:val="16"/>
                <w:szCs w:val="16"/>
              </w:rPr>
              <w:t>O-N direct (EF1)</w:t>
            </w:r>
          </w:p>
        </w:tc>
        <w:tc>
          <w:tcPr>
            <w:tcW w:w="0" w:type="auto"/>
            <w:noWrap/>
          </w:tcPr>
          <w:p w14:paraId="4160467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kgN</w:t>
            </w:r>
            <w:r w:rsidRPr="006670F8">
              <w:rPr>
                <w:sz w:val="16"/>
                <w:szCs w:val="16"/>
                <w:vertAlign w:val="subscript"/>
              </w:rPr>
              <w:t>2</w:t>
            </w:r>
            <w:r w:rsidRPr="006670F8">
              <w:rPr>
                <w:sz w:val="16"/>
                <w:szCs w:val="16"/>
              </w:rPr>
              <w:t>O</w:t>
            </w:r>
            <w:r w:rsidRPr="006670F8">
              <w:rPr>
                <w:sz w:val="16"/>
                <w:szCs w:val="16"/>
                <w:vertAlign w:val="subscript"/>
              </w:rPr>
              <w:t>-</w:t>
            </w:r>
            <w:proofErr w:type="gramStart"/>
            <w:r w:rsidRPr="006670F8">
              <w:rPr>
                <w:sz w:val="16"/>
                <w:szCs w:val="16"/>
                <w:vertAlign w:val="subscript"/>
              </w:rPr>
              <w:t>N.</w:t>
            </w:r>
            <w:r w:rsidRPr="006670F8">
              <w:rPr>
                <w:sz w:val="16"/>
                <w:szCs w:val="16"/>
              </w:rPr>
              <w:t>kg</w:t>
            </w:r>
            <w:r w:rsidRPr="006670F8">
              <w:rPr>
                <w:sz w:val="16"/>
                <w:szCs w:val="16"/>
                <w:vertAlign w:val="subscript"/>
              </w:rPr>
              <w:t>N</w:t>
            </w:r>
            <w:proofErr w:type="gramEnd"/>
            <w:r w:rsidRPr="006670F8">
              <w:rPr>
                <w:sz w:val="16"/>
                <w:szCs w:val="16"/>
                <w:vertAlign w:val="superscript"/>
              </w:rPr>
              <w:t>-1</w:t>
            </w:r>
          </w:p>
        </w:tc>
        <w:tc>
          <w:tcPr>
            <w:tcW w:w="0" w:type="auto"/>
            <w:noWrap/>
          </w:tcPr>
          <w:p w14:paraId="257CC5F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0.005</w:t>
            </w:r>
          </w:p>
        </w:tc>
        <w:tc>
          <w:tcPr>
            <w:tcW w:w="0" w:type="auto"/>
            <w:noWrap/>
          </w:tcPr>
          <w:p w14:paraId="3EC329B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0.005-0.01</w:t>
            </w:r>
          </w:p>
        </w:tc>
      </w:tr>
      <w:tr w:rsidR="00732C76" w:rsidRPr="006670F8" w14:paraId="63C9F7EE"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01005FC" w14:textId="77777777" w:rsidR="00732C76" w:rsidRPr="006670F8" w:rsidRDefault="00732C76" w:rsidP="00447F21">
            <w:pPr>
              <w:rPr>
                <w:b w:val="0"/>
                <w:bCs w:val="0"/>
                <w:sz w:val="16"/>
                <w:szCs w:val="16"/>
              </w:rPr>
            </w:pPr>
          </w:p>
        </w:tc>
        <w:tc>
          <w:tcPr>
            <w:tcW w:w="0" w:type="auto"/>
            <w:noWrap/>
            <w:hideMark/>
          </w:tcPr>
          <w:p w14:paraId="61C28A1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260</w:t>
            </w:r>
          </w:p>
        </w:tc>
        <w:tc>
          <w:tcPr>
            <w:tcW w:w="0" w:type="auto"/>
            <w:noWrap/>
          </w:tcPr>
          <w:p w14:paraId="7F392DC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Slurry NH</w:t>
            </w:r>
            <w:r w:rsidRPr="006670F8">
              <w:rPr>
                <w:b/>
                <w:sz w:val="16"/>
                <w:szCs w:val="16"/>
                <w:vertAlign w:val="subscript"/>
              </w:rPr>
              <w:t>3</w:t>
            </w:r>
            <w:r w:rsidRPr="006670F8">
              <w:rPr>
                <w:b/>
                <w:sz w:val="16"/>
                <w:szCs w:val="16"/>
              </w:rPr>
              <w:t>-N (EF outdoor storage)</w:t>
            </w:r>
          </w:p>
        </w:tc>
        <w:tc>
          <w:tcPr>
            <w:tcW w:w="0" w:type="auto"/>
            <w:noWrap/>
          </w:tcPr>
          <w:p w14:paraId="4F9E5B2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TAN</w:t>
            </w:r>
          </w:p>
        </w:tc>
        <w:tc>
          <w:tcPr>
            <w:tcW w:w="0" w:type="auto"/>
            <w:noWrap/>
          </w:tcPr>
          <w:p w14:paraId="091BA6A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34%</w:t>
            </w:r>
          </w:p>
        </w:tc>
        <w:tc>
          <w:tcPr>
            <w:tcW w:w="0" w:type="auto"/>
            <w:noWrap/>
          </w:tcPr>
          <w:p w14:paraId="04D468E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20%-53%</w:t>
            </w:r>
          </w:p>
        </w:tc>
      </w:tr>
      <w:tr w:rsidR="00732C76" w:rsidRPr="006670F8" w14:paraId="523A3BB6"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6394944" w14:textId="77777777" w:rsidR="00732C76" w:rsidRPr="006670F8" w:rsidRDefault="00732C76" w:rsidP="00447F21">
            <w:pPr>
              <w:rPr>
                <w:b w:val="0"/>
                <w:bCs w:val="0"/>
                <w:sz w:val="16"/>
                <w:szCs w:val="16"/>
              </w:rPr>
            </w:pPr>
          </w:p>
        </w:tc>
        <w:tc>
          <w:tcPr>
            <w:tcW w:w="0" w:type="auto"/>
            <w:noWrap/>
            <w:hideMark/>
          </w:tcPr>
          <w:p w14:paraId="6EBC8D7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261</w:t>
            </w:r>
          </w:p>
        </w:tc>
        <w:tc>
          <w:tcPr>
            <w:tcW w:w="0" w:type="auto"/>
            <w:noWrap/>
          </w:tcPr>
          <w:p w14:paraId="528B1CC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Slurry NO</w:t>
            </w:r>
            <w:r w:rsidRPr="006670F8">
              <w:rPr>
                <w:b/>
                <w:sz w:val="16"/>
                <w:szCs w:val="16"/>
                <w:vertAlign w:val="subscript"/>
              </w:rPr>
              <w:t>3</w:t>
            </w:r>
            <w:r w:rsidRPr="006670F8">
              <w:rPr>
                <w:b/>
                <w:sz w:val="16"/>
                <w:szCs w:val="16"/>
              </w:rPr>
              <w:t>-N</w:t>
            </w:r>
          </w:p>
        </w:tc>
        <w:tc>
          <w:tcPr>
            <w:tcW w:w="0" w:type="auto"/>
            <w:noWrap/>
          </w:tcPr>
          <w:p w14:paraId="3DDC4B3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Ntot</w:t>
            </w:r>
          </w:p>
        </w:tc>
        <w:tc>
          <w:tcPr>
            <w:tcW w:w="0" w:type="auto"/>
            <w:noWrap/>
          </w:tcPr>
          <w:p w14:paraId="473E9B6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12%</w:t>
            </w:r>
          </w:p>
        </w:tc>
        <w:tc>
          <w:tcPr>
            <w:tcW w:w="0" w:type="auto"/>
            <w:noWrap/>
          </w:tcPr>
          <w:p w14:paraId="47DBB1A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10%-15%</w:t>
            </w:r>
          </w:p>
        </w:tc>
      </w:tr>
      <w:tr w:rsidR="00732C76" w:rsidRPr="006670F8" w14:paraId="7EAE3CA5"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F11A73C" w14:textId="77777777" w:rsidR="00732C76" w:rsidRPr="006670F8" w:rsidRDefault="00732C76" w:rsidP="00447F21">
            <w:pPr>
              <w:rPr>
                <w:b w:val="0"/>
                <w:bCs w:val="0"/>
                <w:sz w:val="16"/>
                <w:szCs w:val="16"/>
              </w:rPr>
            </w:pPr>
          </w:p>
        </w:tc>
        <w:tc>
          <w:tcPr>
            <w:tcW w:w="0" w:type="auto"/>
            <w:noWrap/>
            <w:hideMark/>
          </w:tcPr>
          <w:p w14:paraId="034974C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262</w:t>
            </w:r>
          </w:p>
        </w:tc>
        <w:tc>
          <w:tcPr>
            <w:tcW w:w="0" w:type="auto"/>
            <w:noWrap/>
          </w:tcPr>
          <w:p w14:paraId="3411B0D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Slurry NH</w:t>
            </w:r>
            <w:r w:rsidRPr="006670F8">
              <w:rPr>
                <w:b/>
                <w:sz w:val="16"/>
                <w:szCs w:val="16"/>
                <w:vertAlign w:val="subscript"/>
              </w:rPr>
              <w:t>3</w:t>
            </w:r>
            <w:r w:rsidRPr="006670F8">
              <w:rPr>
                <w:b/>
                <w:sz w:val="16"/>
                <w:szCs w:val="16"/>
              </w:rPr>
              <w:t xml:space="preserve"> reduction factor</w:t>
            </w:r>
          </w:p>
        </w:tc>
        <w:tc>
          <w:tcPr>
            <w:tcW w:w="0" w:type="auto"/>
            <w:noWrap/>
          </w:tcPr>
          <w:p w14:paraId="25B8F01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NH3</w:t>
            </w:r>
          </w:p>
        </w:tc>
        <w:tc>
          <w:tcPr>
            <w:tcW w:w="0" w:type="auto"/>
            <w:noWrap/>
          </w:tcPr>
          <w:p w14:paraId="42DF424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50%</w:t>
            </w:r>
          </w:p>
        </w:tc>
        <w:tc>
          <w:tcPr>
            <w:tcW w:w="0" w:type="auto"/>
            <w:noWrap/>
          </w:tcPr>
          <w:p w14:paraId="09FE5FC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30%-70%</w:t>
            </w:r>
          </w:p>
        </w:tc>
      </w:tr>
      <w:tr w:rsidR="00732C76" w:rsidRPr="006670F8" w14:paraId="304A67D2"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7D598BD6" w14:textId="77777777" w:rsidR="00732C76" w:rsidRPr="006670F8" w:rsidRDefault="00732C76" w:rsidP="00447F21">
            <w:pPr>
              <w:rPr>
                <w:b w:val="0"/>
                <w:bCs w:val="0"/>
                <w:sz w:val="16"/>
                <w:szCs w:val="16"/>
              </w:rPr>
            </w:pPr>
          </w:p>
        </w:tc>
        <w:tc>
          <w:tcPr>
            <w:tcW w:w="0" w:type="auto"/>
            <w:noWrap/>
            <w:hideMark/>
          </w:tcPr>
          <w:p w14:paraId="6F56815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263</w:t>
            </w:r>
          </w:p>
        </w:tc>
        <w:tc>
          <w:tcPr>
            <w:tcW w:w="0" w:type="auto"/>
            <w:noWrap/>
          </w:tcPr>
          <w:p w14:paraId="64AD808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Sludge spreading distance</w:t>
            </w:r>
          </w:p>
        </w:tc>
        <w:tc>
          <w:tcPr>
            <w:tcW w:w="0" w:type="auto"/>
            <w:noWrap/>
          </w:tcPr>
          <w:p w14:paraId="6F29DB9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km</w:t>
            </w:r>
          </w:p>
        </w:tc>
        <w:tc>
          <w:tcPr>
            <w:tcW w:w="0" w:type="auto"/>
            <w:noWrap/>
          </w:tcPr>
          <w:p w14:paraId="33D93FE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21.5</w:t>
            </w:r>
          </w:p>
        </w:tc>
        <w:tc>
          <w:tcPr>
            <w:tcW w:w="0" w:type="auto"/>
            <w:noWrap/>
          </w:tcPr>
          <w:p w14:paraId="3075BFC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5-40</w:t>
            </w:r>
          </w:p>
        </w:tc>
      </w:tr>
      <w:tr w:rsidR="00732C76" w:rsidRPr="006670F8" w14:paraId="41088FE8"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17D9DCF" w14:textId="77777777" w:rsidR="00732C76" w:rsidRPr="006670F8" w:rsidRDefault="00732C76" w:rsidP="00447F21">
            <w:pPr>
              <w:rPr>
                <w:b w:val="0"/>
                <w:bCs w:val="0"/>
                <w:sz w:val="16"/>
                <w:szCs w:val="16"/>
              </w:rPr>
            </w:pPr>
          </w:p>
        </w:tc>
        <w:tc>
          <w:tcPr>
            <w:tcW w:w="0" w:type="auto"/>
            <w:noWrap/>
            <w:hideMark/>
          </w:tcPr>
          <w:p w14:paraId="3B1BE2B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264</w:t>
            </w:r>
          </w:p>
        </w:tc>
        <w:tc>
          <w:tcPr>
            <w:tcW w:w="0" w:type="auto"/>
            <w:noWrap/>
          </w:tcPr>
          <w:p w14:paraId="37D5827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N</w:t>
            </w:r>
            <w:r w:rsidRPr="006670F8">
              <w:rPr>
                <w:b/>
                <w:sz w:val="16"/>
                <w:szCs w:val="16"/>
                <w:vertAlign w:val="subscript"/>
              </w:rPr>
              <w:t>2</w:t>
            </w:r>
            <w:r w:rsidRPr="006670F8">
              <w:rPr>
                <w:b/>
                <w:sz w:val="16"/>
                <w:szCs w:val="16"/>
              </w:rPr>
              <w:t>O emissions reject water</w:t>
            </w:r>
          </w:p>
        </w:tc>
        <w:tc>
          <w:tcPr>
            <w:tcW w:w="0" w:type="auto"/>
            <w:noWrap/>
          </w:tcPr>
          <w:p w14:paraId="14FBC07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Ntot</w:t>
            </w:r>
          </w:p>
        </w:tc>
        <w:tc>
          <w:tcPr>
            <w:tcW w:w="0" w:type="auto"/>
            <w:noWrap/>
          </w:tcPr>
          <w:p w14:paraId="1914556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0.3%</w:t>
            </w:r>
          </w:p>
        </w:tc>
        <w:tc>
          <w:tcPr>
            <w:tcW w:w="0" w:type="auto"/>
            <w:noWrap/>
          </w:tcPr>
          <w:p w14:paraId="3C1D09A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0.2%-1.0%</w:t>
            </w:r>
          </w:p>
        </w:tc>
      </w:tr>
      <w:tr w:rsidR="00732C76" w:rsidRPr="006670F8" w14:paraId="1286D9F3"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0858643" w14:textId="77777777" w:rsidR="00732C76" w:rsidRPr="006670F8" w:rsidRDefault="00732C76" w:rsidP="00447F21">
            <w:pPr>
              <w:rPr>
                <w:b w:val="0"/>
                <w:bCs w:val="0"/>
                <w:sz w:val="16"/>
                <w:szCs w:val="16"/>
              </w:rPr>
            </w:pPr>
          </w:p>
        </w:tc>
        <w:tc>
          <w:tcPr>
            <w:tcW w:w="0" w:type="auto"/>
            <w:noWrap/>
            <w:hideMark/>
          </w:tcPr>
          <w:p w14:paraId="1D7C56B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265</w:t>
            </w:r>
          </w:p>
        </w:tc>
        <w:tc>
          <w:tcPr>
            <w:tcW w:w="0" w:type="auto"/>
            <w:noWrap/>
          </w:tcPr>
          <w:p w14:paraId="4616671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Sludge N</w:t>
            </w:r>
            <w:r w:rsidRPr="006670F8">
              <w:rPr>
                <w:b/>
                <w:sz w:val="16"/>
                <w:szCs w:val="16"/>
                <w:vertAlign w:val="subscript"/>
              </w:rPr>
              <w:t>2</w:t>
            </w:r>
            <w:r w:rsidRPr="006670F8">
              <w:rPr>
                <w:b/>
                <w:sz w:val="16"/>
                <w:szCs w:val="16"/>
              </w:rPr>
              <w:t>O-N direct (EF1)</w:t>
            </w:r>
          </w:p>
        </w:tc>
        <w:tc>
          <w:tcPr>
            <w:tcW w:w="0" w:type="auto"/>
            <w:noWrap/>
          </w:tcPr>
          <w:p w14:paraId="647CE74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kgN</w:t>
            </w:r>
            <w:r w:rsidRPr="006670F8">
              <w:rPr>
                <w:sz w:val="16"/>
                <w:szCs w:val="16"/>
                <w:vertAlign w:val="subscript"/>
              </w:rPr>
              <w:t>2</w:t>
            </w:r>
            <w:r w:rsidRPr="006670F8">
              <w:rPr>
                <w:sz w:val="16"/>
                <w:szCs w:val="16"/>
              </w:rPr>
              <w:t>O</w:t>
            </w:r>
            <w:r w:rsidRPr="006670F8">
              <w:rPr>
                <w:sz w:val="16"/>
                <w:szCs w:val="16"/>
                <w:vertAlign w:val="subscript"/>
              </w:rPr>
              <w:t>-</w:t>
            </w:r>
            <w:proofErr w:type="gramStart"/>
            <w:r w:rsidRPr="006670F8">
              <w:rPr>
                <w:sz w:val="16"/>
                <w:szCs w:val="16"/>
                <w:vertAlign w:val="subscript"/>
              </w:rPr>
              <w:t>N.</w:t>
            </w:r>
            <w:r w:rsidRPr="006670F8">
              <w:rPr>
                <w:sz w:val="16"/>
                <w:szCs w:val="16"/>
              </w:rPr>
              <w:t>kg</w:t>
            </w:r>
            <w:r w:rsidRPr="006670F8">
              <w:rPr>
                <w:sz w:val="16"/>
                <w:szCs w:val="16"/>
                <w:vertAlign w:val="subscript"/>
              </w:rPr>
              <w:t>N</w:t>
            </w:r>
            <w:proofErr w:type="gramEnd"/>
            <w:r w:rsidRPr="006670F8">
              <w:rPr>
                <w:sz w:val="16"/>
                <w:szCs w:val="16"/>
                <w:vertAlign w:val="superscript"/>
              </w:rPr>
              <w:t>-1</w:t>
            </w:r>
          </w:p>
        </w:tc>
        <w:tc>
          <w:tcPr>
            <w:tcW w:w="0" w:type="auto"/>
            <w:noWrap/>
          </w:tcPr>
          <w:p w14:paraId="26C281B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0.01</w:t>
            </w:r>
          </w:p>
        </w:tc>
        <w:tc>
          <w:tcPr>
            <w:tcW w:w="0" w:type="auto"/>
            <w:noWrap/>
          </w:tcPr>
          <w:p w14:paraId="0EF61B6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0.001-0.035</w:t>
            </w:r>
          </w:p>
        </w:tc>
      </w:tr>
      <w:tr w:rsidR="00732C76" w:rsidRPr="006670F8" w14:paraId="64B886E9"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A63FF57" w14:textId="77777777" w:rsidR="00732C76" w:rsidRPr="006670F8" w:rsidRDefault="00732C76" w:rsidP="00447F21">
            <w:pPr>
              <w:rPr>
                <w:b w:val="0"/>
                <w:bCs w:val="0"/>
                <w:sz w:val="16"/>
                <w:szCs w:val="16"/>
              </w:rPr>
            </w:pPr>
          </w:p>
        </w:tc>
        <w:tc>
          <w:tcPr>
            <w:tcW w:w="0" w:type="auto"/>
            <w:noWrap/>
            <w:hideMark/>
          </w:tcPr>
          <w:p w14:paraId="4947920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266</w:t>
            </w:r>
          </w:p>
        </w:tc>
        <w:tc>
          <w:tcPr>
            <w:tcW w:w="0" w:type="auto"/>
            <w:noWrap/>
          </w:tcPr>
          <w:p w14:paraId="59BB210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Sludge NO</w:t>
            </w:r>
            <w:r w:rsidRPr="006670F8">
              <w:rPr>
                <w:b/>
                <w:sz w:val="16"/>
                <w:szCs w:val="16"/>
                <w:vertAlign w:val="subscript"/>
              </w:rPr>
              <w:t>3</w:t>
            </w:r>
            <w:r w:rsidRPr="006670F8">
              <w:rPr>
                <w:b/>
                <w:sz w:val="16"/>
                <w:szCs w:val="16"/>
              </w:rPr>
              <w:t>-N, groundwater</w:t>
            </w:r>
          </w:p>
        </w:tc>
        <w:tc>
          <w:tcPr>
            <w:tcW w:w="0" w:type="auto"/>
            <w:noWrap/>
          </w:tcPr>
          <w:p w14:paraId="7AEF636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Ntot</w:t>
            </w:r>
          </w:p>
        </w:tc>
        <w:tc>
          <w:tcPr>
            <w:tcW w:w="0" w:type="auto"/>
            <w:noWrap/>
          </w:tcPr>
          <w:p w14:paraId="4CC67B4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18%</w:t>
            </w:r>
          </w:p>
        </w:tc>
        <w:tc>
          <w:tcPr>
            <w:tcW w:w="0" w:type="auto"/>
            <w:noWrap/>
          </w:tcPr>
          <w:p w14:paraId="7573560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11%-25%</w:t>
            </w:r>
          </w:p>
        </w:tc>
      </w:tr>
      <w:tr w:rsidR="00732C76" w:rsidRPr="006670F8" w14:paraId="5AF70981"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61C8B5D" w14:textId="77777777" w:rsidR="00732C76" w:rsidRPr="006670F8" w:rsidRDefault="00732C76" w:rsidP="00447F21">
            <w:pPr>
              <w:rPr>
                <w:b w:val="0"/>
                <w:bCs w:val="0"/>
                <w:sz w:val="16"/>
                <w:szCs w:val="16"/>
              </w:rPr>
            </w:pPr>
          </w:p>
        </w:tc>
        <w:tc>
          <w:tcPr>
            <w:tcW w:w="0" w:type="auto"/>
            <w:noWrap/>
            <w:hideMark/>
          </w:tcPr>
          <w:p w14:paraId="601B25C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267</w:t>
            </w:r>
          </w:p>
        </w:tc>
        <w:tc>
          <w:tcPr>
            <w:tcW w:w="0" w:type="auto"/>
            <w:noWrap/>
          </w:tcPr>
          <w:p w14:paraId="0C854FF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Sludge NO</w:t>
            </w:r>
            <w:r w:rsidRPr="006670F8">
              <w:rPr>
                <w:b/>
                <w:sz w:val="16"/>
                <w:szCs w:val="16"/>
                <w:vertAlign w:val="subscript"/>
              </w:rPr>
              <w:t>3</w:t>
            </w:r>
            <w:r w:rsidRPr="006670F8">
              <w:rPr>
                <w:b/>
                <w:sz w:val="16"/>
                <w:szCs w:val="16"/>
              </w:rPr>
              <w:t>-N, surface</w:t>
            </w:r>
            <w:r>
              <w:rPr>
                <w:b/>
                <w:sz w:val="16"/>
                <w:szCs w:val="16"/>
              </w:rPr>
              <w:t xml:space="preserve"> water</w:t>
            </w:r>
          </w:p>
        </w:tc>
        <w:tc>
          <w:tcPr>
            <w:tcW w:w="0" w:type="auto"/>
            <w:noWrap/>
          </w:tcPr>
          <w:p w14:paraId="71585B5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Ntot</w:t>
            </w:r>
          </w:p>
        </w:tc>
        <w:tc>
          <w:tcPr>
            <w:tcW w:w="0" w:type="auto"/>
            <w:noWrap/>
          </w:tcPr>
          <w:p w14:paraId="65B4F87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w:t>
            </w:r>
          </w:p>
        </w:tc>
        <w:tc>
          <w:tcPr>
            <w:tcW w:w="0" w:type="auto"/>
            <w:noWrap/>
          </w:tcPr>
          <w:p w14:paraId="6AABC6D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0%-19%</w:t>
            </w:r>
          </w:p>
        </w:tc>
      </w:tr>
      <w:tr w:rsidR="00732C76" w:rsidRPr="006670F8" w14:paraId="36DF322C"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23481F0" w14:textId="77777777" w:rsidR="00732C76" w:rsidRPr="006670F8" w:rsidRDefault="00732C76" w:rsidP="00447F21">
            <w:pPr>
              <w:rPr>
                <w:b w:val="0"/>
                <w:bCs w:val="0"/>
                <w:sz w:val="16"/>
                <w:szCs w:val="16"/>
              </w:rPr>
            </w:pPr>
          </w:p>
        </w:tc>
        <w:tc>
          <w:tcPr>
            <w:tcW w:w="0" w:type="auto"/>
            <w:noWrap/>
            <w:hideMark/>
          </w:tcPr>
          <w:p w14:paraId="4369B97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268</w:t>
            </w:r>
          </w:p>
        </w:tc>
        <w:tc>
          <w:tcPr>
            <w:tcW w:w="0" w:type="auto"/>
            <w:noWrap/>
          </w:tcPr>
          <w:p w14:paraId="49FDE06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Sludge CH</w:t>
            </w:r>
            <w:r w:rsidRPr="006670F8">
              <w:rPr>
                <w:b/>
                <w:sz w:val="16"/>
                <w:szCs w:val="16"/>
                <w:vertAlign w:val="subscript"/>
              </w:rPr>
              <w:t xml:space="preserve">4 </w:t>
            </w:r>
            <w:r w:rsidRPr="006670F8">
              <w:rPr>
                <w:b/>
                <w:sz w:val="16"/>
                <w:szCs w:val="16"/>
              </w:rPr>
              <w:t>emissions</w:t>
            </w:r>
          </w:p>
        </w:tc>
        <w:tc>
          <w:tcPr>
            <w:tcW w:w="0" w:type="auto"/>
            <w:noWrap/>
          </w:tcPr>
          <w:p w14:paraId="2B97A4A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kgCH</w:t>
            </w:r>
            <w:r w:rsidRPr="006670F8">
              <w:rPr>
                <w:sz w:val="16"/>
                <w:szCs w:val="16"/>
                <w:vertAlign w:val="subscript"/>
              </w:rPr>
              <w:t>4-</w:t>
            </w:r>
            <w:proofErr w:type="gramStart"/>
            <w:r w:rsidRPr="006670F8">
              <w:rPr>
                <w:sz w:val="16"/>
                <w:szCs w:val="16"/>
                <w:vertAlign w:val="subscript"/>
              </w:rPr>
              <w:t>C</w:t>
            </w:r>
            <w:r w:rsidRPr="006670F8">
              <w:rPr>
                <w:sz w:val="16"/>
                <w:szCs w:val="16"/>
              </w:rPr>
              <w:t>.kg</w:t>
            </w:r>
            <w:r w:rsidRPr="006670F8">
              <w:rPr>
                <w:sz w:val="16"/>
                <w:szCs w:val="16"/>
                <w:vertAlign w:val="subscript"/>
              </w:rPr>
              <w:t>C</w:t>
            </w:r>
            <w:proofErr w:type="gramEnd"/>
            <w:r w:rsidRPr="006670F8">
              <w:rPr>
                <w:sz w:val="16"/>
                <w:szCs w:val="16"/>
                <w:vertAlign w:val="superscript"/>
              </w:rPr>
              <w:t>-1</w:t>
            </w:r>
          </w:p>
        </w:tc>
        <w:tc>
          <w:tcPr>
            <w:tcW w:w="0" w:type="auto"/>
            <w:noWrap/>
          </w:tcPr>
          <w:p w14:paraId="739408C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0.0001</w:t>
            </w:r>
          </w:p>
        </w:tc>
        <w:tc>
          <w:tcPr>
            <w:tcW w:w="0" w:type="auto"/>
            <w:noWrap/>
          </w:tcPr>
          <w:p w14:paraId="1120EAD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0-0.002</w:t>
            </w:r>
          </w:p>
        </w:tc>
      </w:tr>
      <w:tr w:rsidR="00732C76" w:rsidRPr="006670F8" w14:paraId="2B37D484"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B948E90" w14:textId="77777777" w:rsidR="00732C76" w:rsidRPr="006670F8" w:rsidRDefault="00732C76" w:rsidP="00447F21">
            <w:pPr>
              <w:rPr>
                <w:b w:val="0"/>
                <w:bCs w:val="0"/>
                <w:sz w:val="16"/>
                <w:szCs w:val="16"/>
              </w:rPr>
            </w:pPr>
          </w:p>
        </w:tc>
        <w:tc>
          <w:tcPr>
            <w:tcW w:w="0" w:type="auto"/>
            <w:noWrap/>
            <w:hideMark/>
          </w:tcPr>
          <w:p w14:paraId="7D2DF63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269</w:t>
            </w:r>
          </w:p>
        </w:tc>
        <w:tc>
          <w:tcPr>
            <w:tcW w:w="0" w:type="auto"/>
            <w:noWrap/>
          </w:tcPr>
          <w:p w14:paraId="674B75E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Carbon sequestration, sludge</w:t>
            </w:r>
          </w:p>
        </w:tc>
        <w:tc>
          <w:tcPr>
            <w:tcW w:w="0" w:type="auto"/>
            <w:noWrap/>
          </w:tcPr>
          <w:p w14:paraId="54F6AAD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kg</w:t>
            </w:r>
            <w:r w:rsidRPr="006670F8">
              <w:rPr>
                <w:sz w:val="16"/>
                <w:szCs w:val="16"/>
                <w:vertAlign w:val="subscript"/>
              </w:rPr>
              <w:t>C.</w:t>
            </w:r>
            <w:r w:rsidRPr="006670F8">
              <w:rPr>
                <w:sz w:val="16"/>
                <w:szCs w:val="16"/>
              </w:rPr>
              <w:t>kg</w:t>
            </w:r>
            <w:r w:rsidRPr="006670F8">
              <w:rPr>
                <w:sz w:val="16"/>
                <w:szCs w:val="16"/>
                <w:vertAlign w:val="subscript"/>
              </w:rPr>
              <w:t>Ctot</w:t>
            </w:r>
            <w:r w:rsidRPr="006670F8">
              <w:rPr>
                <w:sz w:val="16"/>
                <w:szCs w:val="16"/>
                <w:vertAlign w:val="superscript"/>
              </w:rPr>
              <w:t>-1</w:t>
            </w:r>
          </w:p>
        </w:tc>
        <w:tc>
          <w:tcPr>
            <w:tcW w:w="0" w:type="auto"/>
            <w:noWrap/>
          </w:tcPr>
          <w:p w14:paraId="160482A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w:t>
            </w:r>
          </w:p>
        </w:tc>
        <w:tc>
          <w:tcPr>
            <w:tcW w:w="0" w:type="auto"/>
            <w:noWrap/>
          </w:tcPr>
          <w:p w14:paraId="4614E8E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0-4.9%</w:t>
            </w:r>
          </w:p>
        </w:tc>
      </w:tr>
      <w:tr w:rsidR="00732C76" w:rsidRPr="006670F8" w14:paraId="44A5E205"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7E08354" w14:textId="77777777" w:rsidR="00732C76" w:rsidRPr="006670F8" w:rsidRDefault="00732C76" w:rsidP="00447F21">
            <w:pPr>
              <w:rPr>
                <w:b w:val="0"/>
                <w:bCs w:val="0"/>
                <w:sz w:val="16"/>
                <w:szCs w:val="16"/>
              </w:rPr>
            </w:pPr>
          </w:p>
        </w:tc>
        <w:tc>
          <w:tcPr>
            <w:tcW w:w="0" w:type="auto"/>
            <w:noWrap/>
            <w:hideMark/>
          </w:tcPr>
          <w:p w14:paraId="1B1AE9E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270</w:t>
            </w:r>
          </w:p>
        </w:tc>
        <w:tc>
          <w:tcPr>
            <w:tcW w:w="0" w:type="auto"/>
            <w:noWrap/>
          </w:tcPr>
          <w:p w14:paraId="728C528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Sludge P emissions</w:t>
            </w:r>
          </w:p>
        </w:tc>
        <w:tc>
          <w:tcPr>
            <w:tcW w:w="0" w:type="auto"/>
            <w:noWrap/>
          </w:tcPr>
          <w:p w14:paraId="0C47F34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P</w:t>
            </w:r>
          </w:p>
        </w:tc>
        <w:tc>
          <w:tcPr>
            <w:tcW w:w="0" w:type="auto"/>
            <w:noWrap/>
          </w:tcPr>
          <w:p w14:paraId="3F4D58B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2.2%</w:t>
            </w:r>
          </w:p>
        </w:tc>
        <w:tc>
          <w:tcPr>
            <w:tcW w:w="0" w:type="auto"/>
            <w:noWrap/>
          </w:tcPr>
          <w:p w14:paraId="15504CF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1.0-5.0%</w:t>
            </w:r>
          </w:p>
        </w:tc>
      </w:tr>
      <w:tr w:rsidR="00732C76" w:rsidRPr="006670F8" w14:paraId="6741F47C"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ADCB36F" w14:textId="77777777" w:rsidR="00732C76" w:rsidRPr="006670F8" w:rsidRDefault="00732C76" w:rsidP="00447F21">
            <w:pPr>
              <w:rPr>
                <w:b w:val="0"/>
                <w:bCs w:val="0"/>
                <w:sz w:val="16"/>
                <w:szCs w:val="16"/>
              </w:rPr>
            </w:pPr>
          </w:p>
        </w:tc>
        <w:tc>
          <w:tcPr>
            <w:tcW w:w="0" w:type="auto"/>
            <w:noWrap/>
            <w:hideMark/>
          </w:tcPr>
          <w:p w14:paraId="6FDC661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271</w:t>
            </w:r>
          </w:p>
        </w:tc>
        <w:tc>
          <w:tcPr>
            <w:tcW w:w="0" w:type="auto"/>
            <w:noWrap/>
          </w:tcPr>
          <w:p w14:paraId="7545661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MFE-K sludge</w:t>
            </w:r>
          </w:p>
        </w:tc>
        <w:tc>
          <w:tcPr>
            <w:tcW w:w="0" w:type="auto"/>
            <w:noWrap/>
          </w:tcPr>
          <w:p w14:paraId="026B0D6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K</w:t>
            </w:r>
          </w:p>
        </w:tc>
        <w:tc>
          <w:tcPr>
            <w:tcW w:w="0" w:type="auto"/>
            <w:noWrap/>
          </w:tcPr>
          <w:p w14:paraId="5FEECC9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80%</w:t>
            </w:r>
          </w:p>
        </w:tc>
        <w:tc>
          <w:tcPr>
            <w:tcW w:w="0" w:type="auto"/>
            <w:noWrap/>
          </w:tcPr>
          <w:p w14:paraId="672A927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67-93%</w:t>
            </w:r>
          </w:p>
        </w:tc>
      </w:tr>
      <w:tr w:rsidR="00732C76" w:rsidRPr="006670F8" w14:paraId="0C4BE21C" w14:textId="77777777" w:rsidTr="008C451C">
        <w:trPr>
          <w:trHeight w:val="300"/>
        </w:trPr>
        <w:tc>
          <w:tcPr>
            <w:cnfStyle w:val="001000000000" w:firstRow="0" w:lastRow="0" w:firstColumn="1" w:lastColumn="0" w:oddVBand="0" w:evenVBand="0" w:oddHBand="0" w:evenHBand="0" w:firstRowFirstColumn="0" w:firstRowLastColumn="0" w:lastRowFirstColumn="0" w:lastRowLastColumn="0"/>
            <w:tcW w:w="0" w:type="auto"/>
            <w:vMerge/>
            <w:hideMark/>
          </w:tcPr>
          <w:p w14:paraId="684D32A7" w14:textId="77777777" w:rsidR="00732C76" w:rsidRPr="006670F8" w:rsidRDefault="00732C76" w:rsidP="00447F21">
            <w:pPr>
              <w:rPr>
                <w:b w:val="0"/>
                <w:bCs w:val="0"/>
                <w:sz w:val="16"/>
                <w:szCs w:val="16"/>
              </w:rPr>
            </w:pPr>
          </w:p>
        </w:tc>
        <w:tc>
          <w:tcPr>
            <w:tcW w:w="0" w:type="auto"/>
            <w:noWrap/>
            <w:hideMark/>
          </w:tcPr>
          <w:p w14:paraId="749D294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272</w:t>
            </w:r>
          </w:p>
        </w:tc>
        <w:tc>
          <w:tcPr>
            <w:tcW w:w="0" w:type="auto"/>
            <w:noWrap/>
          </w:tcPr>
          <w:p w14:paraId="4C4659B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MFE-P sludge</w:t>
            </w:r>
          </w:p>
        </w:tc>
        <w:tc>
          <w:tcPr>
            <w:tcW w:w="0" w:type="auto"/>
            <w:noWrap/>
          </w:tcPr>
          <w:p w14:paraId="41EDC81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P</w:t>
            </w:r>
          </w:p>
        </w:tc>
        <w:tc>
          <w:tcPr>
            <w:tcW w:w="0" w:type="auto"/>
            <w:noWrap/>
          </w:tcPr>
          <w:p w14:paraId="5A21A35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80%</w:t>
            </w:r>
          </w:p>
        </w:tc>
        <w:tc>
          <w:tcPr>
            <w:tcW w:w="0" w:type="auto"/>
            <w:noWrap/>
          </w:tcPr>
          <w:p w14:paraId="57845F6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67-93%</w:t>
            </w:r>
          </w:p>
        </w:tc>
      </w:tr>
      <w:tr w:rsidR="00732C76" w:rsidRPr="006670F8" w14:paraId="7BEB77A8" w14:textId="77777777" w:rsidTr="00C00E3A">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val="restart"/>
            <w:noWrap/>
            <w:textDirection w:val="btLr"/>
            <w:hideMark/>
          </w:tcPr>
          <w:p w14:paraId="562E05CA" w14:textId="77777777" w:rsidR="00732C76" w:rsidRPr="006670F8" w:rsidRDefault="00732C76" w:rsidP="00C00E3A">
            <w:pPr>
              <w:jc w:val="center"/>
              <w:rPr>
                <w:b w:val="0"/>
                <w:bCs w:val="0"/>
                <w:sz w:val="16"/>
                <w:szCs w:val="16"/>
              </w:rPr>
            </w:pPr>
            <w:r w:rsidRPr="006670F8">
              <w:rPr>
                <w:sz w:val="16"/>
                <w:szCs w:val="16"/>
              </w:rPr>
              <w:t>Specific to green biorefinery</w:t>
            </w:r>
          </w:p>
        </w:tc>
        <w:tc>
          <w:tcPr>
            <w:tcW w:w="0" w:type="auto"/>
            <w:noWrap/>
            <w:hideMark/>
          </w:tcPr>
          <w:p w14:paraId="3EA10A5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273</w:t>
            </w:r>
          </w:p>
        </w:tc>
        <w:tc>
          <w:tcPr>
            <w:tcW w:w="0" w:type="auto"/>
            <w:noWrap/>
          </w:tcPr>
          <w:p w14:paraId="4317BF3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Washing water</w:t>
            </w:r>
          </w:p>
        </w:tc>
        <w:tc>
          <w:tcPr>
            <w:tcW w:w="0" w:type="auto"/>
            <w:noWrap/>
          </w:tcPr>
          <w:p w14:paraId="01109A7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m</w:t>
            </w:r>
            <w:r w:rsidRPr="006670F8">
              <w:rPr>
                <w:sz w:val="16"/>
                <w:szCs w:val="16"/>
                <w:vertAlign w:val="superscript"/>
              </w:rPr>
              <w:t>3</w:t>
            </w:r>
            <w:r w:rsidRPr="006670F8">
              <w:rPr>
                <w:sz w:val="16"/>
                <w:szCs w:val="16"/>
              </w:rPr>
              <w:t>.t</w:t>
            </w:r>
            <w:r w:rsidRPr="006670F8">
              <w:rPr>
                <w:sz w:val="16"/>
                <w:szCs w:val="16"/>
                <w:vertAlign w:val="subscript"/>
              </w:rPr>
              <w:t>ww</w:t>
            </w:r>
            <w:r w:rsidRPr="006670F8">
              <w:rPr>
                <w:sz w:val="16"/>
                <w:szCs w:val="16"/>
                <w:vertAlign w:val="superscript"/>
              </w:rPr>
              <w:t>-1</w:t>
            </w:r>
          </w:p>
        </w:tc>
        <w:tc>
          <w:tcPr>
            <w:tcW w:w="0" w:type="auto"/>
            <w:noWrap/>
          </w:tcPr>
          <w:p w14:paraId="7502CB7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33</w:t>
            </w:r>
          </w:p>
        </w:tc>
        <w:tc>
          <w:tcPr>
            <w:tcW w:w="0" w:type="auto"/>
            <w:noWrap/>
          </w:tcPr>
          <w:p w14:paraId="0744F80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12-87</w:t>
            </w:r>
          </w:p>
        </w:tc>
      </w:tr>
      <w:tr w:rsidR="00732C76" w:rsidRPr="006670F8" w14:paraId="0AB3C5B5"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35A6FCE" w14:textId="77777777" w:rsidR="00732C76" w:rsidRPr="006670F8" w:rsidRDefault="00732C76" w:rsidP="00447F21">
            <w:pPr>
              <w:rPr>
                <w:b w:val="0"/>
                <w:bCs w:val="0"/>
                <w:sz w:val="16"/>
                <w:szCs w:val="16"/>
              </w:rPr>
            </w:pPr>
          </w:p>
        </w:tc>
        <w:tc>
          <w:tcPr>
            <w:tcW w:w="0" w:type="auto"/>
            <w:noWrap/>
            <w:hideMark/>
          </w:tcPr>
          <w:p w14:paraId="0F7FEA6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274</w:t>
            </w:r>
          </w:p>
        </w:tc>
        <w:tc>
          <w:tcPr>
            <w:tcW w:w="0" w:type="auto"/>
            <w:noWrap/>
          </w:tcPr>
          <w:p w14:paraId="395076F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Irrigation replacement</w:t>
            </w:r>
          </w:p>
        </w:tc>
        <w:tc>
          <w:tcPr>
            <w:tcW w:w="0" w:type="auto"/>
            <w:noWrap/>
          </w:tcPr>
          <w:p w14:paraId="5EEFC94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p>
        </w:tc>
        <w:tc>
          <w:tcPr>
            <w:tcW w:w="0" w:type="auto"/>
            <w:noWrap/>
          </w:tcPr>
          <w:p w14:paraId="300883F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50%</w:t>
            </w:r>
          </w:p>
        </w:tc>
        <w:tc>
          <w:tcPr>
            <w:tcW w:w="0" w:type="auto"/>
            <w:noWrap/>
          </w:tcPr>
          <w:p w14:paraId="51BAEA1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0-100%</w:t>
            </w:r>
          </w:p>
        </w:tc>
      </w:tr>
      <w:tr w:rsidR="00732C76" w:rsidRPr="006670F8" w14:paraId="470423F3"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DB47790" w14:textId="77777777" w:rsidR="00732C76" w:rsidRPr="006670F8" w:rsidRDefault="00732C76" w:rsidP="00447F21">
            <w:pPr>
              <w:rPr>
                <w:b w:val="0"/>
                <w:bCs w:val="0"/>
                <w:sz w:val="16"/>
                <w:szCs w:val="16"/>
              </w:rPr>
            </w:pPr>
          </w:p>
        </w:tc>
        <w:tc>
          <w:tcPr>
            <w:tcW w:w="0" w:type="auto"/>
            <w:noWrap/>
            <w:hideMark/>
          </w:tcPr>
          <w:p w14:paraId="7F5B9BB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275</w:t>
            </w:r>
          </w:p>
        </w:tc>
        <w:tc>
          <w:tcPr>
            <w:tcW w:w="0" w:type="auto"/>
            <w:noWrap/>
          </w:tcPr>
          <w:p w14:paraId="787285F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Maceration electricity</w:t>
            </w:r>
            <w:r>
              <w:rPr>
                <w:b/>
                <w:sz w:val="16"/>
                <w:szCs w:val="16"/>
              </w:rPr>
              <w:t xml:space="preserve"> requirements</w:t>
            </w:r>
          </w:p>
        </w:tc>
        <w:tc>
          <w:tcPr>
            <w:tcW w:w="0" w:type="auto"/>
            <w:noWrap/>
          </w:tcPr>
          <w:p w14:paraId="5C8B1D2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kWh.t</w:t>
            </w:r>
            <w:r>
              <w:rPr>
                <w:sz w:val="16"/>
                <w:szCs w:val="16"/>
                <w:vertAlign w:val="subscript"/>
              </w:rPr>
              <w:t>green_juice</w:t>
            </w:r>
            <w:r w:rsidRPr="006670F8">
              <w:rPr>
                <w:sz w:val="16"/>
                <w:szCs w:val="16"/>
                <w:vertAlign w:val="superscript"/>
              </w:rPr>
              <w:t>-1</w:t>
            </w:r>
          </w:p>
        </w:tc>
        <w:tc>
          <w:tcPr>
            <w:tcW w:w="0" w:type="auto"/>
            <w:noWrap/>
          </w:tcPr>
          <w:p w14:paraId="5FE9CD0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4.1</w:t>
            </w:r>
          </w:p>
        </w:tc>
        <w:tc>
          <w:tcPr>
            <w:tcW w:w="0" w:type="auto"/>
            <w:noWrap/>
          </w:tcPr>
          <w:p w14:paraId="276ACB4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2.8-8.3</w:t>
            </w:r>
          </w:p>
        </w:tc>
      </w:tr>
      <w:tr w:rsidR="00732C76" w:rsidRPr="006670F8" w14:paraId="32B3CAC0"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4E408FB" w14:textId="77777777" w:rsidR="00732C76" w:rsidRPr="006670F8" w:rsidRDefault="00732C76" w:rsidP="00447F21">
            <w:pPr>
              <w:rPr>
                <w:b w:val="0"/>
                <w:bCs w:val="0"/>
                <w:sz w:val="16"/>
                <w:szCs w:val="16"/>
              </w:rPr>
            </w:pPr>
          </w:p>
        </w:tc>
        <w:tc>
          <w:tcPr>
            <w:tcW w:w="0" w:type="auto"/>
            <w:noWrap/>
            <w:hideMark/>
          </w:tcPr>
          <w:p w14:paraId="3B3947A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276</w:t>
            </w:r>
          </w:p>
        </w:tc>
        <w:tc>
          <w:tcPr>
            <w:tcW w:w="0" w:type="auto"/>
            <w:noWrap/>
          </w:tcPr>
          <w:p w14:paraId="1F7E633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Screw-press electricity</w:t>
            </w:r>
            <w:r>
              <w:rPr>
                <w:b/>
                <w:sz w:val="16"/>
                <w:szCs w:val="16"/>
              </w:rPr>
              <w:t xml:space="preserve"> requirements</w:t>
            </w:r>
          </w:p>
        </w:tc>
        <w:tc>
          <w:tcPr>
            <w:tcW w:w="0" w:type="auto"/>
            <w:noWrap/>
          </w:tcPr>
          <w:p w14:paraId="4EB088B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kWh.t</w:t>
            </w:r>
            <w:r>
              <w:rPr>
                <w:sz w:val="16"/>
                <w:szCs w:val="16"/>
                <w:vertAlign w:val="subscript"/>
              </w:rPr>
              <w:t>green_juice</w:t>
            </w:r>
            <w:r w:rsidRPr="006670F8">
              <w:rPr>
                <w:sz w:val="16"/>
                <w:szCs w:val="16"/>
                <w:vertAlign w:val="superscript"/>
              </w:rPr>
              <w:t>-1</w:t>
            </w:r>
          </w:p>
        </w:tc>
        <w:tc>
          <w:tcPr>
            <w:tcW w:w="0" w:type="auto"/>
            <w:noWrap/>
          </w:tcPr>
          <w:p w14:paraId="6579077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3.4</w:t>
            </w:r>
          </w:p>
        </w:tc>
        <w:tc>
          <w:tcPr>
            <w:tcW w:w="0" w:type="auto"/>
            <w:noWrap/>
          </w:tcPr>
          <w:p w14:paraId="6F1FD17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2.3-4.5</w:t>
            </w:r>
          </w:p>
        </w:tc>
      </w:tr>
      <w:tr w:rsidR="00732C76" w:rsidRPr="006670F8" w14:paraId="7C24DC48"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675FFCB" w14:textId="77777777" w:rsidR="00732C76" w:rsidRPr="006670F8" w:rsidRDefault="00732C76" w:rsidP="00447F21">
            <w:pPr>
              <w:rPr>
                <w:b w:val="0"/>
                <w:bCs w:val="0"/>
                <w:sz w:val="16"/>
                <w:szCs w:val="16"/>
              </w:rPr>
            </w:pPr>
          </w:p>
        </w:tc>
        <w:tc>
          <w:tcPr>
            <w:tcW w:w="0" w:type="auto"/>
            <w:noWrap/>
            <w:hideMark/>
          </w:tcPr>
          <w:p w14:paraId="67E2D2A1"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277</w:t>
            </w:r>
          </w:p>
        </w:tc>
        <w:tc>
          <w:tcPr>
            <w:tcW w:w="0" w:type="auto"/>
            <w:noWrap/>
          </w:tcPr>
          <w:p w14:paraId="03B75A0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Protein recovery in green juice</w:t>
            </w:r>
          </w:p>
        </w:tc>
        <w:tc>
          <w:tcPr>
            <w:tcW w:w="0" w:type="auto"/>
            <w:noWrap/>
          </w:tcPr>
          <w:p w14:paraId="2C06B6A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proteins</w:t>
            </w:r>
          </w:p>
        </w:tc>
        <w:tc>
          <w:tcPr>
            <w:tcW w:w="0" w:type="auto"/>
            <w:noWrap/>
          </w:tcPr>
          <w:p w14:paraId="189B2B1F"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36%</w:t>
            </w:r>
          </w:p>
        </w:tc>
        <w:tc>
          <w:tcPr>
            <w:tcW w:w="0" w:type="auto"/>
            <w:noWrap/>
          </w:tcPr>
          <w:p w14:paraId="13D20C0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16-69%</w:t>
            </w:r>
          </w:p>
        </w:tc>
      </w:tr>
      <w:tr w:rsidR="00732C76" w:rsidRPr="006670F8" w14:paraId="5C2B4D7F"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D23B1A4" w14:textId="77777777" w:rsidR="00732C76" w:rsidRPr="006670F8" w:rsidRDefault="00732C76" w:rsidP="00447F21">
            <w:pPr>
              <w:rPr>
                <w:b w:val="0"/>
                <w:bCs w:val="0"/>
                <w:sz w:val="16"/>
                <w:szCs w:val="16"/>
              </w:rPr>
            </w:pPr>
          </w:p>
        </w:tc>
        <w:tc>
          <w:tcPr>
            <w:tcW w:w="0" w:type="auto"/>
            <w:noWrap/>
            <w:hideMark/>
          </w:tcPr>
          <w:p w14:paraId="4D62A13E"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278</w:t>
            </w:r>
          </w:p>
        </w:tc>
        <w:tc>
          <w:tcPr>
            <w:tcW w:w="0" w:type="auto"/>
            <w:noWrap/>
          </w:tcPr>
          <w:p w14:paraId="5BD097F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Lipids recovery in green juice</w:t>
            </w:r>
          </w:p>
        </w:tc>
        <w:tc>
          <w:tcPr>
            <w:tcW w:w="0" w:type="auto"/>
            <w:noWrap/>
          </w:tcPr>
          <w:p w14:paraId="6C63EE9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lipids</w:t>
            </w:r>
          </w:p>
        </w:tc>
        <w:tc>
          <w:tcPr>
            <w:tcW w:w="0" w:type="auto"/>
            <w:noWrap/>
          </w:tcPr>
          <w:p w14:paraId="50C6338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22%</w:t>
            </w:r>
          </w:p>
        </w:tc>
        <w:tc>
          <w:tcPr>
            <w:tcW w:w="0" w:type="auto"/>
            <w:noWrap/>
          </w:tcPr>
          <w:p w14:paraId="5EB4E11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18-59%</w:t>
            </w:r>
          </w:p>
        </w:tc>
      </w:tr>
      <w:tr w:rsidR="00732C76" w:rsidRPr="006670F8" w14:paraId="224C9857"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448F8CD" w14:textId="77777777" w:rsidR="00732C76" w:rsidRPr="006670F8" w:rsidRDefault="00732C76" w:rsidP="00447F21">
            <w:pPr>
              <w:rPr>
                <w:b w:val="0"/>
                <w:bCs w:val="0"/>
                <w:sz w:val="16"/>
                <w:szCs w:val="16"/>
              </w:rPr>
            </w:pPr>
          </w:p>
        </w:tc>
        <w:tc>
          <w:tcPr>
            <w:tcW w:w="0" w:type="auto"/>
            <w:noWrap/>
            <w:hideMark/>
          </w:tcPr>
          <w:p w14:paraId="7E7D870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279</w:t>
            </w:r>
          </w:p>
        </w:tc>
        <w:tc>
          <w:tcPr>
            <w:tcW w:w="0" w:type="auto"/>
            <w:noWrap/>
          </w:tcPr>
          <w:p w14:paraId="30B1ADA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Soluble carbs recovery in green juice</w:t>
            </w:r>
          </w:p>
        </w:tc>
        <w:tc>
          <w:tcPr>
            <w:tcW w:w="0" w:type="auto"/>
            <w:noWrap/>
          </w:tcPr>
          <w:p w14:paraId="2B5F8343"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solubles</w:t>
            </w:r>
          </w:p>
        </w:tc>
        <w:tc>
          <w:tcPr>
            <w:tcW w:w="0" w:type="auto"/>
            <w:noWrap/>
          </w:tcPr>
          <w:p w14:paraId="0A3B5F8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40%</w:t>
            </w:r>
          </w:p>
        </w:tc>
        <w:tc>
          <w:tcPr>
            <w:tcW w:w="0" w:type="auto"/>
            <w:noWrap/>
          </w:tcPr>
          <w:p w14:paraId="22CCB51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15-70%</w:t>
            </w:r>
          </w:p>
        </w:tc>
      </w:tr>
      <w:tr w:rsidR="00732C76" w:rsidRPr="006670F8" w14:paraId="4736BD73"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6F7CF8AD" w14:textId="77777777" w:rsidR="00732C76" w:rsidRPr="006670F8" w:rsidRDefault="00732C76" w:rsidP="00447F21">
            <w:pPr>
              <w:rPr>
                <w:b w:val="0"/>
                <w:bCs w:val="0"/>
                <w:sz w:val="16"/>
                <w:szCs w:val="16"/>
              </w:rPr>
            </w:pPr>
          </w:p>
        </w:tc>
        <w:tc>
          <w:tcPr>
            <w:tcW w:w="0" w:type="auto"/>
            <w:noWrap/>
            <w:hideMark/>
          </w:tcPr>
          <w:p w14:paraId="285CF218"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280</w:t>
            </w:r>
          </w:p>
        </w:tc>
        <w:tc>
          <w:tcPr>
            <w:tcW w:w="0" w:type="auto"/>
            <w:noWrap/>
          </w:tcPr>
          <w:p w14:paraId="10C05644"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Hemicellulose recovery in green juice</w:t>
            </w:r>
          </w:p>
        </w:tc>
        <w:tc>
          <w:tcPr>
            <w:tcW w:w="0" w:type="auto"/>
            <w:noWrap/>
          </w:tcPr>
          <w:p w14:paraId="3DBA367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hemicel.</w:t>
            </w:r>
          </w:p>
        </w:tc>
        <w:tc>
          <w:tcPr>
            <w:tcW w:w="0" w:type="auto"/>
            <w:noWrap/>
          </w:tcPr>
          <w:p w14:paraId="2BC90D5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15%</w:t>
            </w:r>
          </w:p>
        </w:tc>
        <w:tc>
          <w:tcPr>
            <w:tcW w:w="0" w:type="auto"/>
            <w:noWrap/>
          </w:tcPr>
          <w:p w14:paraId="5B11715C"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10-19%</w:t>
            </w:r>
          </w:p>
        </w:tc>
      </w:tr>
      <w:tr w:rsidR="00732C76" w:rsidRPr="006670F8" w14:paraId="0918325F"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A0EB541" w14:textId="77777777" w:rsidR="00732C76" w:rsidRPr="006670F8" w:rsidRDefault="00732C76" w:rsidP="00447F21">
            <w:pPr>
              <w:rPr>
                <w:b w:val="0"/>
                <w:bCs w:val="0"/>
                <w:sz w:val="16"/>
                <w:szCs w:val="16"/>
              </w:rPr>
            </w:pPr>
          </w:p>
        </w:tc>
        <w:tc>
          <w:tcPr>
            <w:tcW w:w="0" w:type="auto"/>
            <w:noWrap/>
            <w:hideMark/>
          </w:tcPr>
          <w:p w14:paraId="414C353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281</w:t>
            </w:r>
          </w:p>
        </w:tc>
        <w:tc>
          <w:tcPr>
            <w:tcW w:w="0" w:type="auto"/>
            <w:noWrap/>
          </w:tcPr>
          <w:p w14:paraId="23A3289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Ashes recovery in green juice</w:t>
            </w:r>
          </w:p>
        </w:tc>
        <w:tc>
          <w:tcPr>
            <w:tcW w:w="0" w:type="auto"/>
            <w:noWrap/>
          </w:tcPr>
          <w:p w14:paraId="45593B5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ashes</w:t>
            </w:r>
          </w:p>
        </w:tc>
        <w:tc>
          <w:tcPr>
            <w:tcW w:w="0" w:type="auto"/>
            <w:noWrap/>
          </w:tcPr>
          <w:p w14:paraId="0B465692"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46%</w:t>
            </w:r>
          </w:p>
        </w:tc>
        <w:tc>
          <w:tcPr>
            <w:tcW w:w="0" w:type="auto"/>
            <w:noWrap/>
          </w:tcPr>
          <w:p w14:paraId="2473C9F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22-59%</w:t>
            </w:r>
          </w:p>
        </w:tc>
      </w:tr>
      <w:tr w:rsidR="00732C76" w:rsidRPr="006670F8" w14:paraId="60435B6B"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05122FC" w14:textId="77777777" w:rsidR="00732C76" w:rsidRPr="006670F8" w:rsidRDefault="00732C76" w:rsidP="00447F21">
            <w:pPr>
              <w:rPr>
                <w:b w:val="0"/>
                <w:bCs w:val="0"/>
                <w:sz w:val="16"/>
                <w:szCs w:val="16"/>
              </w:rPr>
            </w:pPr>
          </w:p>
        </w:tc>
        <w:tc>
          <w:tcPr>
            <w:tcW w:w="0" w:type="auto"/>
            <w:noWrap/>
            <w:hideMark/>
          </w:tcPr>
          <w:p w14:paraId="43B7C11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282</w:t>
            </w:r>
          </w:p>
        </w:tc>
        <w:tc>
          <w:tcPr>
            <w:tcW w:w="0" w:type="auto"/>
            <w:noWrap/>
          </w:tcPr>
          <w:p w14:paraId="7B76606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Fibers recovery in green juice</w:t>
            </w:r>
          </w:p>
        </w:tc>
        <w:tc>
          <w:tcPr>
            <w:tcW w:w="0" w:type="auto"/>
            <w:noWrap/>
          </w:tcPr>
          <w:p w14:paraId="075D0C4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fibers</w:t>
            </w:r>
          </w:p>
        </w:tc>
        <w:tc>
          <w:tcPr>
            <w:tcW w:w="0" w:type="auto"/>
            <w:noWrap/>
          </w:tcPr>
          <w:p w14:paraId="17AC2CB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3%</w:t>
            </w:r>
          </w:p>
        </w:tc>
        <w:tc>
          <w:tcPr>
            <w:tcW w:w="0" w:type="auto"/>
            <w:noWrap/>
          </w:tcPr>
          <w:p w14:paraId="433B980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1-19%</w:t>
            </w:r>
          </w:p>
        </w:tc>
      </w:tr>
      <w:tr w:rsidR="00732C76" w:rsidRPr="006670F8" w14:paraId="4131AFAD"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1316F7C8" w14:textId="77777777" w:rsidR="00732C76" w:rsidRPr="006670F8" w:rsidRDefault="00732C76" w:rsidP="00447F21">
            <w:pPr>
              <w:rPr>
                <w:b w:val="0"/>
                <w:bCs w:val="0"/>
                <w:sz w:val="16"/>
                <w:szCs w:val="16"/>
              </w:rPr>
            </w:pPr>
          </w:p>
        </w:tc>
        <w:tc>
          <w:tcPr>
            <w:tcW w:w="0" w:type="auto"/>
            <w:noWrap/>
            <w:hideMark/>
          </w:tcPr>
          <w:p w14:paraId="732C7A5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283</w:t>
            </w:r>
          </w:p>
        </w:tc>
        <w:tc>
          <w:tcPr>
            <w:tcW w:w="0" w:type="auto"/>
            <w:noWrap/>
          </w:tcPr>
          <w:p w14:paraId="0C5D33EB"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P recovery in green juice</w:t>
            </w:r>
          </w:p>
        </w:tc>
        <w:tc>
          <w:tcPr>
            <w:tcW w:w="0" w:type="auto"/>
            <w:noWrap/>
          </w:tcPr>
          <w:p w14:paraId="6E9D84B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P</w:t>
            </w:r>
          </w:p>
        </w:tc>
        <w:tc>
          <w:tcPr>
            <w:tcW w:w="0" w:type="auto"/>
            <w:noWrap/>
          </w:tcPr>
          <w:p w14:paraId="2BF9C2E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61%</w:t>
            </w:r>
          </w:p>
        </w:tc>
        <w:tc>
          <w:tcPr>
            <w:tcW w:w="0" w:type="auto"/>
            <w:noWrap/>
          </w:tcPr>
          <w:p w14:paraId="27B761D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44-67%</w:t>
            </w:r>
          </w:p>
        </w:tc>
      </w:tr>
      <w:tr w:rsidR="00732C76" w:rsidRPr="006670F8" w14:paraId="2D6560FC"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A2D64A1" w14:textId="77777777" w:rsidR="00732C76" w:rsidRPr="006670F8" w:rsidRDefault="00732C76" w:rsidP="00447F21">
            <w:pPr>
              <w:rPr>
                <w:b w:val="0"/>
                <w:bCs w:val="0"/>
                <w:sz w:val="16"/>
                <w:szCs w:val="16"/>
              </w:rPr>
            </w:pPr>
          </w:p>
        </w:tc>
        <w:tc>
          <w:tcPr>
            <w:tcW w:w="0" w:type="auto"/>
            <w:noWrap/>
            <w:hideMark/>
          </w:tcPr>
          <w:p w14:paraId="2A7A33B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284</w:t>
            </w:r>
          </w:p>
        </w:tc>
        <w:tc>
          <w:tcPr>
            <w:tcW w:w="0" w:type="auto"/>
            <w:noWrap/>
          </w:tcPr>
          <w:p w14:paraId="2D1F4C1A"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K recovery in green juice</w:t>
            </w:r>
          </w:p>
        </w:tc>
        <w:tc>
          <w:tcPr>
            <w:tcW w:w="0" w:type="auto"/>
            <w:noWrap/>
          </w:tcPr>
          <w:p w14:paraId="24B739A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K</w:t>
            </w:r>
          </w:p>
        </w:tc>
        <w:tc>
          <w:tcPr>
            <w:tcW w:w="0" w:type="auto"/>
            <w:noWrap/>
          </w:tcPr>
          <w:p w14:paraId="242B2B4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64%</w:t>
            </w:r>
          </w:p>
        </w:tc>
        <w:tc>
          <w:tcPr>
            <w:tcW w:w="0" w:type="auto"/>
            <w:noWrap/>
          </w:tcPr>
          <w:p w14:paraId="2727654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57-78%</w:t>
            </w:r>
          </w:p>
        </w:tc>
      </w:tr>
      <w:tr w:rsidR="00732C76" w:rsidRPr="006670F8" w14:paraId="070D54EA"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546779E" w14:textId="77777777" w:rsidR="00732C76" w:rsidRPr="006670F8" w:rsidRDefault="00732C76" w:rsidP="00447F21">
            <w:pPr>
              <w:rPr>
                <w:b w:val="0"/>
                <w:bCs w:val="0"/>
                <w:sz w:val="16"/>
                <w:szCs w:val="16"/>
              </w:rPr>
            </w:pPr>
          </w:p>
        </w:tc>
        <w:tc>
          <w:tcPr>
            <w:tcW w:w="0" w:type="auto"/>
            <w:noWrap/>
            <w:hideMark/>
          </w:tcPr>
          <w:p w14:paraId="1B67BA9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285</w:t>
            </w:r>
          </w:p>
        </w:tc>
        <w:tc>
          <w:tcPr>
            <w:tcW w:w="0" w:type="auto"/>
            <w:noWrap/>
          </w:tcPr>
          <w:p w14:paraId="756E3D0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Heat for protein coaggulation</w:t>
            </w:r>
          </w:p>
        </w:tc>
        <w:tc>
          <w:tcPr>
            <w:tcW w:w="0" w:type="auto"/>
            <w:noWrap/>
          </w:tcPr>
          <w:p w14:paraId="2127E6E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rFonts w:cs="Times New Roman"/>
                <w:sz w:val="16"/>
                <w:szCs w:val="16"/>
              </w:rPr>
              <w:t>MJ.t</w:t>
            </w:r>
            <w:r w:rsidRPr="006670F8">
              <w:rPr>
                <w:rFonts w:cs="Times New Roman"/>
                <w:sz w:val="16"/>
                <w:szCs w:val="16"/>
                <w:vertAlign w:val="subscript"/>
              </w:rPr>
              <w:t>ww</w:t>
            </w:r>
            <w:r w:rsidRPr="006670F8">
              <w:rPr>
                <w:rFonts w:cs="Times New Roman"/>
                <w:sz w:val="16"/>
                <w:szCs w:val="16"/>
                <w:vertAlign w:val="superscript"/>
              </w:rPr>
              <w:t>-1</w:t>
            </w:r>
          </w:p>
        </w:tc>
        <w:tc>
          <w:tcPr>
            <w:tcW w:w="0" w:type="auto"/>
            <w:noWrap/>
          </w:tcPr>
          <w:p w14:paraId="12D2BA3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270</w:t>
            </w:r>
          </w:p>
        </w:tc>
        <w:tc>
          <w:tcPr>
            <w:tcW w:w="0" w:type="auto"/>
            <w:noWrap/>
          </w:tcPr>
          <w:p w14:paraId="393D7DBC"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252-294</w:t>
            </w:r>
          </w:p>
        </w:tc>
      </w:tr>
      <w:tr w:rsidR="00732C76" w:rsidRPr="006670F8" w14:paraId="2067AD31"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57F50A7" w14:textId="77777777" w:rsidR="00732C76" w:rsidRPr="006670F8" w:rsidRDefault="00732C76" w:rsidP="00447F21">
            <w:pPr>
              <w:rPr>
                <w:b w:val="0"/>
                <w:bCs w:val="0"/>
                <w:sz w:val="16"/>
                <w:szCs w:val="16"/>
              </w:rPr>
            </w:pPr>
          </w:p>
        </w:tc>
        <w:tc>
          <w:tcPr>
            <w:tcW w:w="0" w:type="auto"/>
            <w:noWrap/>
            <w:hideMark/>
          </w:tcPr>
          <w:p w14:paraId="2045E0A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286</w:t>
            </w:r>
          </w:p>
        </w:tc>
        <w:tc>
          <w:tcPr>
            <w:tcW w:w="0" w:type="auto"/>
            <w:noWrap/>
          </w:tcPr>
          <w:p w14:paraId="33C7185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Protein separation electricity</w:t>
            </w:r>
          </w:p>
        </w:tc>
        <w:tc>
          <w:tcPr>
            <w:tcW w:w="0" w:type="auto"/>
            <w:noWrap/>
          </w:tcPr>
          <w:p w14:paraId="77FCAC1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kWh.t</w:t>
            </w:r>
            <w:r w:rsidRPr="006670F8">
              <w:rPr>
                <w:sz w:val="16"/>
                <w:szCs w:val="16"/>
                <w:vertAlign w:val="subscript"/>
              </w:rPr>
              <w:t>ww</w:t>
            </w:r>
            <w:r w:rsidRPr="006670F8">
              <w:rPr>
                <w:sz w:val="16"/>
                <w:szCs w:val="16"/>
                <w:vertAlign w:val="superscript"/>
              </w:rPr>
              <w:t>-1</w:t>
            </w:r>
          </w:p>
        </w:tc>
        <w:tc>
          <w:tcPr>
            <w:tcW w:w="0" w:type="auto"/>
            <w:noWrap/>
          </w:tcPr>
          <w:p w14:paraId="3364132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w:t>
            </w:r>
          </w:p>
        </w:tc>
        <w:tc>
          <w:tcPr>
            <w:tcW w:w="0" w:type="auto"/>
            <w:noWrap/>
          </w:tcPr>
          <w:p w14:paraId="213F9C9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1.4-11.1</w:t>
            </w:r>
          </w:p>
        </w:tc>
      </w:tr>
      <w:tr w:rsidR="00732C76" w:rsidRPr="006670F8" w14:paraId="72D65EF0"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446C0432" w14:textId="77777777" w:rsidR="00732C76" w:rsidRPr="006670F8" w:rsidRDefault="00732C76" w:rsidP="00447F21">
            <w:pPr>
              <w:rPr>
                <w:b w:val="0"/>
                <w:bCs w:val="0"/>
                <w:sz w:val="16"/>
                <w:szCs w:val="16"/>
              </w:rPr>
            </w:pPr>
          </w:p>
        </w:tc>
        <w:tc>
          <w:tcPr>
            <w:tcW w:w="0" w:type="auto"/>
            <w:noWrap/>
            <w:hideMark/>
          </w:tcPr>
          <w:p w14:paraId="7EE9D25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287</w:t>
            </w:r>
          </w:p>
        </w:tc>
        <w:tc>
          <w:tcPr>
            <w:tcW w:w="0" w:type="auto"/>
            <w:noWrap/>
          </w:tcPr>
          <w:p w14:paraId="6B38690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Protein recovery in green pellet</w:t>
            </w:r>
          </w:p>
        </w:tc>
        <w:tc>
          <w:tcPr>
            <w:tcW w:w="0" w:type="auto"/>
            <w:noWrap/>
          </w:tcPr>
          <w:p w14:paraId="6E229F7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proteins</w:t>
            </w:r>
          </w:p>
        </w:tc>
        <w:tc>
          <w:tcPr>
            <w:tcW w:w="0" w:type="auto"/>
            <w:noWrap/>
          </w:tcPr>
          <w:p w14:paraId="414B80CD"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50%</w:t>
            </w:r>
          </w:p>
        </w:tc>
        <w:tc>
          <w:tcPr>
            <w:tcW w:w="0" w:type="auto"/>
            <w:noWrap/>
          </w:tcPr>
          <w:p w14:paraId="08990EB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30-90%</w:t>
            </w:r>
          </w:p>
        </w:tc>
      </w:tr>
      <w:tr w:rsidR="00732C76" w:rsidRPr="006670F8" w14:paraId="30D45F3D"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250522F0" w14:textId="77777777" w:rsidR="00732C76" w:rsidRPr="006670F8" w:rsidRDefault="00732C76" w:rsidP="00447F21">
            <w:pPr>
              <w:rPr>
                <w:b w:val="0"/>
                <w:bCs w:val="0"/>
                <w:sz w:val="16"/>
                <w:szCs w:val="16"/>
              </w:rPr>
            </w:pPr>
          </w:p>
        </w:tc>
        <w:tc>
          <w:tcPr>
            <w:tcW w:w="0" w:type="auto"/>
            <w:noWrap/>
            <w:hideMark/>
          </w:tcPr>
          <w:p w14:paraId="511A0D81"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288</w:t>
            </w:r>
          </w:p>
        </w:tc>
        <w:tc>
          <w:tcPr>
            <w:tcW w:w="0" w:type="auto"/>
            <w:noWrap/>
          </w:tcPr>
          <w:p w14:paraId="6F84F02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Ashes recovery in green pellet</w:t>
            </w:r>
          </w:p>
        </w:tc>
        <w:tc>
          <w:tcPr>
            <w:tcW w:w="0" w:type="auto"/>
            <w:noWrap/>
          </w:tcPr>
          <w:p w14:paraId="59FE8773"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ashes</w:t>
            </w:r>
          </w:p>
        </w:tc>
        <w:tc>
          <w:tcPr>
            <w:tcW w:w="0" w:type="auto"/>
            <w:noWrap/>
          </w:tcPr>
          <w:p w14:paraId="149F1AE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15%</w:t>
            </w:r>
          </w:p>
        </w:tc>
        <w:tc>
          <w:tcPr>
            <w:tcW w:w="0" w:type="auto"/>
            <w:noWrap/>
          </w:tcPr>
          <w:p w14:paraId="36D8A8E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13-50%</w:t>
            </w:r>
          </w:p>
        </w:tc>
      </w:tr>
      <w:tr w:rsidR="00732C76" w:rsidRPr="006670F8" w14:paraId="21385DC5"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E567F46" w14:textId="77777777" w:rsidR="00732C76" w:rsidRPr="006670F8" w:rsidRDefault="00732C76" w:rsidP="00447F21">
            <w:pPr>
              <w:rPr>
                <w:b w:val="0"/>
                <w:bCs w:val="0"/>
                <w:sz w:val="16"/>
                <w:szCs w:val="16"/>
              </w:rPr>
            </w:pPr>
          </w:p>
        </w:tc>
        <w:tc>
          <w:tcPr>
            <w:tcW w:w="0" w:type="auto"/>
            <w:noWrap/>
            <w:hideMark/>
          </w:tcPr>
          <w:p w14:paraId="375D91A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289</w:t>
            </w:r>
          </w:p>
        </w:tc>
        <w:tc>
          <w:tcPr>
            <w:tcW w:w="0" w:type="auto"/>
            <w:noWrap/>
          </w:tcPr>
          <w:p w14:paraId="1BA95264"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Soluble carbs recovery in green pellet</w:t>
            </w:r>
          </w:p>
        </w:tc>
        <w:tc>
          <w:tcPr>
            <w:tcW w:w="0" w:type="auto"/>
            <w:noWrap/>
          </w:tcPr>
          <w:p w14:paraId="49CA8BF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solubles</w:t>
            </w:r>
          </w:p>
        </w:tc>
        <w:tc>
          <w:tcPr>
            <w:tcW w:w="0" w:type="auto"/>
            <w:noWrap/>
          </w:tcPr>
          <w:p w14:paraId="7A67463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21%</w:t>
            </w:r>
          </w:p>
        </w:tc>
        <w:tc>
          <w:tcPr>
            <w:tcW w:w="0" w:type="auto"/>
            <w:noWrap/>
          </w:tcPr>
          <w:p w14:paraId="66FD5F28"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5-36%</w:t>
            </w:r>
          </w:p>
        </w:tc>
      </w:tr>
      <w:tr w:rsidR="00732C76" w:rsidRPr="006670F8" w14:paraId="40379ABD"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0A72190C" w14:textId="77777777" w:rsidR="00732C76" w:rsidRPr="006670F8" w:rsidRDefault="00732C76" w:rsidP="00447F21">
            <w:pPr>
              <w:rPr>
                <w:b w:val="0"/>
                <w:bCs w:val="0"/>
                <w:sz w:val="16"/>
                <w:szCs w:val="16"/>
              </w:rPr>
            </w:pPr>
          </w:p>
        </w:tc>
        <w:tc>
          <w:tcPr>
            <w:tcW w:w="0" w:type="auto"/>
            <w:noWrap/>
            <w:hideMark/>
          </w:tcPr>
          <w:p w14:paraId="5637A9F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290</w:t>
            </w:r>
          </w:p>
        </w:tc>
        <w:tc>
          <w:tcPr>
            <w:tcW w:w="0" w:type="auto"/>
            <w:noWrap/>
          </w:tcPr>
          <w:p w14:paraId="308042F2"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Fibers recovery in green pellet</w:t>
            </w:r>
          </w:p>
        </w:tc>
        <w:tc>
          <w:tcPr>
            <w:tcW w:w="0" w:type="auto"/>
            <w:noWrap/>
          </w:tcPr>
          <w:p w14:paraId="43950C10"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fibers</w:t>
            </w:r>
          </w:p>
        </w:tc>
        <w:tc>
          <w:tcPr>
            <w:tcW w:w="0" w:type="auto"/>
            <w:noWrap/>
          </w:tcPr>
          <w:p w14:paraId="47FCACF6"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28%</w:t>
            </w:r>
          </w:p>
        </w:tc>
        <w:tc>
          <w:tcPr>
            <w:tcW w:w="0" w:type="auto"/>
            <w:noWrap/>
          </w:tcPr>
          <w:p w14:paraId="43842977"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5-90%</w:t>
            </w:r>
          </w:p>
        </w:tc>
      </w:tr>
      <w:tr w:rsidR="00732C76" w:rsidRPr="006670F8" w14:paraId="4BF04F3E" w14:textId="77777777" w:rsidTr="008C451C">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30381CB4" w14:textId="77777777" w:rsidR="00732C76" w:rsidRPr="006670F8" w:rsidRDefault="00732C76" w:rsidP="00447F21">
            <w:pPr>
              <w:rPr>
                <w:b w:val="0"/>
                <w:bCs w:val="0"/>
                <w:sz w:val="16"/>
                <w:szCs w:val="16"/>
              </w:rPr>
            </w:pPr>
          </w:p>
        </w:tc>
        <w:tc>
          <w:tcPr>
            <w:tcW w:w="0" w:type="auto"/>
            <w:noWrap/>
            <w:hideMark/>
          </w:tcPr>
          <w:p w14:paraId="73B1E94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291</w:t>
            </w:r>
          </w:p>
        </w:tc>
        <w:tc>
          <w:tcPr>
            <w:tcW w:w="0" w:type="auto"/>
            <w:noWrap/>
          </w:tcPr>
          <w:p w14:paraId="0B4F1200"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Water recovery in green pellet</w:t>
            </w:r>
          </w:p>
        </w:tc>
        <w:tc>
          <w:tcPr>
            <w:tcW w:w="0" w:type="auto"/>
            <w:noWrap/>
          </w:tcPr>
          <w:p w14:paraId="73724F4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water</w:t>
            </w:r>
          </w:p>
        </w:tc>
        <w:tc>
          <w:tcPr>
            <w:tcW w:w="0" w:type="auto"/>
            <w:noWrap/>
          </w:tcPr>
          <w:p w14:paraId="03596437"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10%</w:t>
            </w:r>
          </w:p>
        </w:tc>
        <w:tc>
          <w:tcPr>
            <w:tcW w:w="0" w:type="auto"/>
            <w:noWrap/>
          </w:tcPr>
          <w:p w14:paraId="176655A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5-15%</w:t>
            </w:r>
          </w:p>
        </w:tc>
      </w:tr>
      <w:tr w:rsidR="00732C76" w:rsidRPr="006670F8" w14:paraId="4F060F56" w14:textId="77777777" w:rsidTr="008C451C">
        <w:trPr>
          <w:trHeight w:val="290"/>
        </w:trPr>
        <w:tc>
          <w:tcPr>
            <w:cnfStyle w:val="001000000000" w:firstRow="0" w:lastRow="0" w:firstColumn="1" w:lastColumn="0" w:oddVBand="0" w:evenVBand="0" w:oddHBand="0" w:evenHBand="0" w:firstRowFirstColumn="0" w:firstRowLastColumn="0" w:lastRowFirstColumn="0" w:lastRowLastColumn="0"/>
            <w:tcW w:w="0" w:type="auto"/>
            <w:vMerge/>
            <w:hideMark/>
          </w:tcPr>
          <w:p w14:paraId="5D1CCF1E" w14:textId="77777777" w:rsidR="00732C76" w:rsidRPr="006670F8" w:rsidRDefault="00732C76" w:rsidP="00447F21">
            <w:pPr>
              <w:rPr>
                <w:b w:val="0"/>
                <w:bCs w:val="0"/>
                <w:sz w:val="16"/>
                <w:szCs w:val="16"/>
              </w:rPr>
            </w:pPr>
          </w:p>
        </w:tc>
        <w:tc>
          <w:tcPr>
            <w:tcW w:w="0" w:type="auto"/>
            <w:noWrap/>
            <w:hideMark/>
          </w:tcPr>
          <w:p w14:paraId="3542AAAF"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bCs/>
                <w:sz w:val="16"/>
                <w:szCs w:val="16"/>
              </w:rPr>
              <w:t>292</w:t>
            </w:r>
          </w:p>
        </w:tc>
        <w:tc>
          <w:tcPr>
            <w:tcW w:w="0" w:type="auto"/>
            <w:noWrap/>
          </w:tcPr>
          <w:p w14:paraId="599ACDEB"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bCs/>
                <w:sz w:val="16"/>
                <w:szCs w:val="16"/>
              </w:rPr>
            </w:pPr>
            <w:r w:rsidRPr="006670F8">
              <w:rPr>
                <w:b/>
                <w:sz w:val="16"/>
                <w:szCs w:val="16"/>
              </w:rPr>
              <w:t>Green pellet digestibility</w:t>
            </w:r>
          </w:p>
        </w:tc>
        <w:tc>
          <w:tcPr>
            <w:tcW w:w="0" w:type="auto"/>
            <w:noWrap/>
          </w:tcPr>
          <w:p w14:paraId="22DAA21D"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OM</w:t>
            </w:r>
          </w:p>
        </w:tc>
        <w:tc>
          <w:tcPr>
            <w:tcW w:w="0" w:type="auto"/>
            <w:noWrap/>
          </w:tcPr>
          <w:p w14:paraId="388A0209"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75%</w:t>
            </w:r>
          </w:p>
        </w:tc>
        <w:tc>
          <w:tcPr>
            <w:tcW w:w="0" w:type="auto"/>
            <w:noWrap/>
          </w:tcPr>
          <w:p w14:paraId="217CE265" w14:textId="77777777" w:rsidR="00732C76" w:rsidRPr="006670F8" w:rsidRDefault="00732C76" w:rsidP="00447F21">
            <w:pPr>
              <w:cnfStyle w:val="000000000000" w:firstRow="0" w:lastRow="0" w:firstColumn="0" w:lastColumn="0" w:oddVBand="0" w:evenVBand="0" w:oddHBand="0" w:evenHBand="0" w:firstRowFirstColumn="0" w:firstRowLastColumn="0" w:lastRowFirstColumn="0" w:lastRowLastColumn="0"/>
              <w:rPr>
                <w:b/>
                <w:sz w:val="16"/>
                <w:szCs w:val="16"/>
              </w:rPr>
            </w:pPr>
            <w:r w:rsidRPr="006670F8">
              <w:rPr>
                <w:sz w:val="16"/>
                <w:szCs w:val="16"/>
              </w:rPr>
              <w:t>50-85%</w:t>
            </w:r>
          </w:p>
        </w:tc>
      </w:tr>
      <w:tr w:rsidR="00732C76" w:rsidRPr="006670F8" w14:paraId="1C88E5B0" w14:textId="77777777" w:rsidTr="008C451C">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vMerge/>
            <w:hideMark/>
          </w:tcPr>
          <w:p w14:paraId="36873D7F" w14:textId="77777777" w:rsidR="00732C76" w:rsidRPr="006670F8" w:rsidRDefault="00732C76" w:rsidP="00447F21">
            <w:pPr>
              <w:rPr>
                <w:b w:val="0"/>
                <w:bCs w:val="0"/>
                <w:sz w:val="16"/>
                <w:szCs w:val="16"/>
              </w:rPr>
            </w:pPr>
          </w:p>
        </w:tc>
        <w:tc>
          <w:tcPr>
            <w:tcW w:w="0" w:type="auto"/>
            <w:noWrap/>
            <w:hideMark/>
          </w:tcPr>
          <w:p w14:paraId="7D4EF026"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bCs/>
                <w:sz w:val="16"/>
                <w:szCs w:val="16"/>
              </w:rPr>
              <w:t>293</w:t>
            </w:r>
          </w:p>
        </w:tc>
        <w:tc>
          <w:tcPr>
            <w:tcW w:w="0" w:type="auto"/>
            <w:noWrap/>
          </w:tcPr>
          <w:p w14:paraId="585FD8CA"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bCs/>
                <w:sz w:val="16"/>
                <w:szCs w:val="16"/>
              </w:rPr>
            </w:pPr>
            <w:r w:rsidRPr="006670F8">
              <w:rPr>
                <w:b/>
                <w:sz w:val="16"/>
                <w:szCs w:val="16"/>
              </w:rPr>
              <w:t>Press</w:t>
            </w:r>
            <w:r>
              <w:rPr>
                <w:b/>
                <w:sz w:val="16"/>
                <w:szCs w:val="16"/>
              </w:rPr>
              <w:t>-</w:t>
            </w:r>
            <w:r w:rsidRPr="006670F8">
              <w:rPr>
                <w:b/>
                <w:sz w:val="16"/>
                <w:szCs w:val="16"/>
              </w:rPr>
              <w:t>pulp digestibility</w:t>
            </w:r>
          </w:p>
        </w:tc>
        <w:tc>
          <w:tcPr>
            <w:tcW w:w="0" w:type="auto"/>
            <w:noWrap/>
          </w:tcPr>
          <w:p w14:paraId="700CA84E"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w:t>
            </w:r>
            <w:r w:rsidRPr="006670F8">
              <w:rPr>
                <w:sz w:val="16"/>
                <w:szCs w:val="16"/>
                <w:vertAlign w:val="subscript"/>
              </w:rPr>
              <w:t>OM</w:t>
            </w:r>
          </w:p>
        </w:tc>
        <w:tc>
          <w:tcPr>
            <w:tcW w:w="0" w:type="auto"/>
            <w:noWrap/>
          </w:tcPr>
          <w:p w14:paraId="30A199E5"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65%</w:t>
            </w:r>
          </w:p>
        </w:tc>
        <w:tc>
          <w:tcPr>
            <w:tcW w:w="0" w:type="auto"/>
            <w:noWrap/>
          </w:tcPr>
          <w:p w14:paraId="4299ACD9" w14:textId="77777777" w:rsidR="00732C76" w:rsidRPr="006670F8" w:rsidRDefault="00732C76" w:rsidP="00447F21">
            <w:pPr>
              <w:cnfStyle w:val="000000100000" w:firstRow="0" w:lastRow="0" w:firstColumn="0" w:lastColumn="0" w:oddVBand="0" w:evenVBand="0" w:oddHBand="1" w:evenHBand="0" w:firstRowFirstColumn="0" w:firstRowLastColumn="0" w:lastRowFirstColumn="0" w:lastRowLastColumn="0"/>
              <w:rPr>
                <w:b/>
                <w:sz w:val="16"/>
                <w:szCs w:val="16"/>
              </w:rPr>
            </w:pPr>
            <w:r w:rsidRPr="006670F8">
              <w:rPr>
                <w:sz w:val="16"/>
                <w:szCs w:val="16"/>
              </w:rPr>
              <w:t>60-70%</w:t>
            </w:r>
          </w:p>
        </w:tc>
      </w:tr>
    </w:tbl>
    <w:p w14:paraId="7E761C5E" w14:textId="28BD2744" w:rsidR="003D157D" w:rsidRPr="009F5743" w:rsidRDefault="009F5743" w:rsidP="003D157D">
      <w:pPr>
        <w:rPr>
          <w:sz w:val="18"/>
          <w:szCs w:val="18"/>
          <w:lang w:eastAsia="ko-KR"/>
        </w:rPr>
      </w:pPr>
      <w:r w:rsidRPr="009F5743">
        <w:rPr>
          <w:sz w:val="18"/>
          <w:szCs w:val="18"/>
          <w:vertAlign w:val="superscript"/>
          <w:lang w:eastAsia="ko-KR"/>
        </w:rPr>
        <w:t>*</w:t>
      </w:r>
      <w:r w:rsidRPr="009F5743">
        <w:rPr>
          <w:sz w:val="18"/>
          <w:szCs w:val="18"/>
          <w:lang w:eastAsia="ko-KR"/>
        </w:rPr>
        <w:t xml:space="preserve">: </w:t>
      </w:r>
      <w:r>
        <w:rPr>
          <w:sz w:val="18"/>
          <w:szCs w:val="18"/>
          <w:lang w:eastAsia="ko-KR"/>
        </w:rPr>
        <w:t>values displayed as</w:t>
      </w:r>
      <w:r w:rsidR="007B5B6D">
        <w:rPr>
          <w:sz w:val="18"/>
          <w:szCs w:val="18"/>
          <w:lang w:eastAsia="ko-KR"/>
        </w:rPr>
        <w:t xml:space="preserve"> in</w:t>
      </w:r>
      <w:r>
        <w:rPr>
          <w:sz w:val="18"/>
          <w:szCs w:val="18"/>
          <w:lang w:eastAsia="ko-KR"/>
        </w:rPr>
        <w:t xml:space="preserve"> Javourez </w:t>
      </w:r>
      <w:r w:rsidRPr="000C6C37">
        <w:rPr>
          <w:sz w:val="18"/>
          <w:szCs w:val="18"/>
          <w:lang w:eastAsia="ko-KR"/>
        </w:rPr>
        <w:t>et al., (202</w:t>
      </w:r>
      <w:r w:rsidR="000C6C37" w:rsidRPr="000C6C37">
        <w:rPr>
          <w:sz w:val="18"/>
          <w:szCs w:val="18"/>
          <w:lang w:eastAsia="ko-KR"/>
        </w:rPr>
        <w:t>4</w:t>
      </w:r>
      <w:r w:rsidRPr="000C6C37">
        <w:rPr>
          <w:sz w:val="18"/>
          <w:szCs w:val="18"/>
          <w:lang w:eastAsia="ko-KR"/>
        </w:rPr>
        <w:t>)</w:t>
      </w:r>
      <w:r w:rsidRPr="000C6C37">
        <w:rPr>
          <w:sz w:val="18"/>
          <w:szCs w:val="18"/>
          <w:lang w:eastAsia="ko-KR"/>
        </w:rPr>
        <w:fldChar w:fldCharType="begin"/>
      </w:r>
      <w:r w:rsidR="00827449">
        <w:rPr>
          <w:sz w:val="18"/>
          <w:szCs w:val="18"/>
          <w:lang w:eastAsia="ko-KR"/>
        </w:rPr>
        <w:instrText xml:space="preserve"> ADDIN ZOTERO_ITEM CSL_CITATION {"citationID":"av919qlrdq","properties":{"formattedCitation":"\\super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Pr="000C6C37">
        <w:rPr>
          <w:sz w:val="18"/>
          <w:szCs w:val="18"/>
          <w:lang w:eastAsia="ko-KR"/>
        </w:rPr>
        <w:fldChar w:fldCharType="separate"/>
      </w:r>
      <w:r w:rsidR="00942782" w:rsidRPr="000C6C37">
        <w:rPr>
          <w:rFonts w:ascii="Calibri" w:hAnsi="Calibri" w:cs="Calibri"/>
          <w:sz w:val="18"/>
          <w:szCs w:val="24"/>
          <w:vertAlign w:val="superscript"/>
        </w:rPr>
        <w:t>1</w:t>
      </w:r>
      <w:r w:rsidRPr="000C6C37">
        <w:rPr>
          <w:sz w:val="18"/>
          <w:szCs w:val="18"/>
          <w:lang w:eastAsia="ko-KR"/>
        </w:rPr>
        <w:fldChar w:fldCharType="end"/>
      </w:r>
      <w:r w:rsidRPr="000C6C37">
        <w:rPr>
          <w:sz w:val="18"/>
          <w:szCs w:val="18"/>
          <w:lang w:eastAsia="ko-KR"/>
        </w:rPr>
        <w:t xml:space="preserve"> (France</w:t>
      </w:r>
      <w:r>
        <w:rPr>
          <w:sz w:val="18"/>
          <w:szCs w:val="18"/>
          <w:lang w:eastAsia="ko-KR"/>
        </w:rPr>
        <w:t xml:space="preserve">-scale average values), but values used </w:t>
      </w:r>
      <w:r w:rsidR="007B5B6D">
        <w:rPr>
          <w:sz w:val="18"/>
          <w:szCs w:val="18"/>
          <w:lang w:eastAsia="ko-KR"/>
        </w:rPr>
        <w:t>for scaling implications (</w:t>
      </w:r>
      <w:r w:rsidR="007B5B6D" w:rsidRPr="007B5B6D">
        <w:rPr>
          <w:b/>
          <w:sz w:val="18"/>
          <w:szCs w:val="18"/>
          <w:lang w:eastAsia="ko-KR"/>
        </w:rPr>
        <w:t xml:space="preserve">section </w:t>
      </w:r>
      <w:r w:rsidR="00C913E1">
        <w:rPr>
          <w:b/>
          <w:sz w:val="18"/>
          <w:szCs w:val="18"/>
          <w:lang w:eastAsia="ko-KR"/>
        </w:rPr>
        <w:t xml:space="preserve">SI. </w:t>
      </w:r>
      <w:r w:rsidR="007B5B6D" w:rsidRPr="007B5B6D">
        <w:rPr>
          <w:b/>
          <w:sz w:val="18"/>
          <w:szCs w:val="18"/>
          <w:lang w:eastAsia="ko-KR"/>
        </w:rPr>
        <w:t>4.6 of the main manuscript</w:t>
      </w:r>
      <w:r w:rsidR="007B5B6D">
        <w:rPr>
          <w:sz w:val="18"/>
          <w:szCs w:val="18"/>
          <w:lang w:eastAsia="ko-KR"/>
        </w:rPr>
        <w:t>) were</w:t>
      </w:r>
      <w:r>
        <w:rPr>
          <w:sz w:val="18"/>
          <w:szCs w:val="18"/>
          <w:lang w:eastAsia="ko-KR"/>
        </w:rPr>
        <w:t xml:space="preserve"> taken as displayed in the PhD thesis manuscrip</w:t>
      </w:r>
      <w:r w:rsidRPr="009F5743">
        <w:rPr>
          <w:sz w:val="18"/>
          <w:szCs w:val="18"/>
          <w:lang w:eastAsia="ko-KR"/>
        </w:rPr>
        <w:t>t</w:t>
      </w:r>
      <w:r w:rsidRPr="009F5743">
        <w:rPr>
          <w:sz w:val="18"/>
          <w:szCs w:val="18"/>
          <w:lang w:eastAsia="ko-KR"/>
        </w:rPr>
        <w:fldChar w:fldCharType="begin"/>
      </w:r>
      <w:r w:rsidR="003057AD">
        <w:rPr>
          <w:sz w:val="18"/>
          <w:szCs w:val="18"/>
          <w:lang w:eastAsia="ko-KR"/>
        </w:rPr>
        <w:instrText xml:space="preserve"> ADDIN ZOTERO_ITEM CSL_CITATION {"citationID":"a15705tkq1u","properties":{"formattedCitation":"\\super 352\\nosupersub{}","plainCitation":"352","noteIndex":0},"citationItems":[{"id":14134,"uris":["http://zotero.org/users/6423791/items/LU22SWNL"],"itemData":{"id":14134,"type":"thesis","event-place":"Toulouse","genre":"PhD","language":"fr","number-of-pages":"555","publisher":"INSA Toulouse","publisher-place":"Toulouse","source":"Root","title":"Transforming residual biomass into food and feed, towards an LCA optimization platform","URL":"https://dataverse.callisto.calmip.univ-toulouse.fr/dataset.xhtml?persistentId=doi:10.48531/JBRU.CALMIP/6NIPVB","author":[{"family":"Javourez","given":"U."}],"accessed":{"date-parts":[["2023",5,16]]},"issued":{"date-parts":[["2023",2,28]]}}}],"schema":"https://github.com/citation-style-language/schema/raw/master/csl-citation.json"} </w:instrText>
      </w:r>
      <w:r w:rsidRPr="009F5743">
        <w:rPr>
          <w:sz w:val="18"/>
          <w:szCs w:val="18"/>
          <w:lang w:eastAsia="ko-KR"/>
        </w:rPr>
        <w:fldChar w:fldCharType="separate"/>
      </w:r>
      <w:r w:rsidR="003057AD" w:rsidRPr="003057AD">
        <w:rPr>
          <w:rFonts w:ascii="Calibri" w:hAnsi="Calibri" w:cs="Calibri"/>
          <w:sz w:val="18"/>
          <w:szCs w:val="24"/>
          <w:vertAlign w:val="superscript"/>
        </w:rPr>
        <w:t>352</w:t>
      </w:r>
      <w:r w:rsidRPr="009F5743">
        <w:rPr>
          <w:sz w:val="18"/>
          <w:szCs w:val="18"/>
          <w:lang w:eastAsia="ko-KR"/>
        </w:rPr>
        <w:fldChar w:fldCharType="end"/>
      </w:r>
      <w:r>
        <w:rPr>
          <w:sz w:val="18"/>
          <w:szCs w:val="18"/>
          <w:lang w:eastAsia="ko-KR"/>
        </w:rPr>
        <w:t xml:space="preserve"> (larger range to capture potential local conditions pedoclimatic outliers, as the functional unit is per unit ton of input stream).  </w:t>
      </w:r>
    </w:p>
    <w:p w14:paraId="15DD828C" w14:textId="77777777" w:rsidR="005B25AB" w:rsidRDefault="005B25AB">
      <w:pPr>
        <w:rPr>
          <w:rFonts w:eastAsia="BatangChe" w:cs="Angsana New"/>
          <w:bCs/>
          <w:kern w:val="2"/>
          <w:szCs w:val="20"/>
          <w:lang w:eastAsia="ko-KR"/>
        </w:rPr>
      </w:pPr>
      <w:r>
        <w:rPr>
          <w:b/>
        </w:rPr>
        <w:br w:type="page"/>
      </w:r>
    </w:p>
    <w:p w14:paraId="3CB018FD" w14:textId="77777777" w:rsidR="005B25AB" w:rsidRPr="005B25AB" w:rsidRDefault="005B25AB" w:rsidP="005B25AB">
      <w:pPr>
        <w:pStyle w:val="Lgende"/>
        <w:jc w:val="both"/>
        <w:rPr>
          <w:b w:val="0"/>
          <w:sz w:val="22"/>
        </w:rPr>
      </w:pPr>
    </w:p>
    <w:p w14:paraId="59D2AF7D" w14:textId="4DEA72C9" w:rsidR="005B25AB" w:rsidRDefault="005B25AB" w:rsidP="00942782">
      <w:pPr>
        <w:pStyle w:val="Lgende"/>
        <w:jc w:val="left"/>
      </w:pPr>
      <w:bookmarkStart w:id="443" w:name="_Ref144914465"/>
      <w:bookmarkStart w:id="444" w:name="_Toc151967988"/>
      <w:r w:rsidRPr="005B25AB">
        <w:t xml:space="preserve">Table SI. </w:t>
      </w:r>
      <w:r>
        <w:fldChar w:fldCharType="begin"/>
      </w:r>
      <w:r w:rsidRPr="005B25AB">
        <w:instrText xml:space="preserve"> SEQ Table_SI. \* ARABIC </w:instrText>
      </w:r>
      <w:r>
        <w:fldChar w:fldCharType="separate"/>
      </w:r>
      <w:r w:rsidR="00F25F8C">
        <w:rPr>
          <w:noProof/>
        </w:rPr>
        <w:t>104</w:t>
      </w:r>
      <w:r>
        <w:fldChar w:fldCharType="end"/>
      </w:r>
      <w:bookmarkEnd w:id="443"/>
      <w:r>
        <w:t xml:space="preserve"> – Influence of parameters on the different pathways</w:t>
      </w:r>
      <w:bookmarkEnd w:id="444"/>
    </w:p>
    <w:tbl>
      <w:tblPr>
        <w:tblStyle w:val="Tableausimple4"/>
        <w:tblW w:w="0" w:type="auto"/>
        <w:tblLook w:val="04A0" w:firstRow="1" w:lastRow="0" w:firstColumn="1" w:lastColumn="0" w:noHBand="0" w:noVBand="1"/>
      </w:tblPr>
      <w:tblGrid>
        <w:gridCol w:w="474"/>
        <w:gridCol w:w="474"/>
        <w:gridCol w:w="476"/>
        <w:gridCol w:w="478"/>
        <w:gridCol w:w="478"/>
        <w:gridCol w:w="478"/>
        <w:gridCol w:w="478"/>
        <w:gridCol w:w="478"/>
        <w:gridCol w:w="478"/>
        <w:gridCol w:w="478"/>
        <w:gridCol w:w="478"/>
        <w:gridCol w:w="478"/>
        <w:gridCol w:w="478"/>
        <w:gridCol w:w="478"/>
        <w:gridCol w:w="478"/>
        <w:gridCol w:w="478"/>
        <w:gridCol w:w="478"/>
        <w:gridCol w:w="478"/>
        <w:gridCol w:w="478"/>
      </w:tblGrid>
      <w:tr w:rsidR="005B25AB" w:rsidRPr="00A6515E" w14:paraId="1558153C" w14:textId="77777777" w:rsidTr="005B25AB">
        <w:trPr>
          <w:cnfStyle w:val="100000000000" w:firstRow="1" w:lastRow="0" w:firstColumn="0" w:lastColumn="0" w:oddVBand="0" w:evenVBand="0" w:oddHBand="0"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474" w:type="dxa"/>
            <w:noWrap/>
            <w:hideMark/>
          </w:tcPr>
          <w:p w14:paraId="03D72D3E" w14:textId="77777777" w:rsidR="005B25AB" w:rsidRPr="00A6515E" w:rsidRDefault="005B25AB" w:rsidP="003D157D">
            <w:pPr>
              <w:rPr>
                <w:b w:val="0"/>
                <w:szCs w:val="18"/>
              </w:rPr>
            </w:pPr>
          </w:p>
        </w:tc>
        <w:tc>
          <w:tcPr>
            <w:tcW w:w="474" w:type="dxa"/>
            <w:noWrap/>
            <w:hideMark/>
          </w:tcPr>
          <w:p w14:paraId="70EF5067"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bCs w:val="0"/>
                <w:szCs w:val="18"/>
              </w:rPr>
            </w:pPr>
            <w:r w:rsidRPr="00A6515E">
              <w:rPr>
                <w:szCs w:val="18"/>
              </w:rPr>
              <w:t>n°</w:t>
            </w:r>
          </w:p>
        </w:tc>
        <w:tc>
          <w:tcPr>
            <w:tcW w:w="476" w:type="dxa"/>
            <w:noWrap/>
            <w:textDirection w:val="btLr"/>
            <w:hideMark/>
          </w:tcPr>
          <w:p w14:paraId="27EC780E" w14:textId="77777777" w:rsidR="005B25AB" w:rsidRPr="00A6515E" w:rsidRDefault="005B25AB" w:rsidP="003D157D">
            <w:pPr>
              <w:ind w:left="113" w:right="113"/>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CF</w:t>
            </w:r>
          </w:p>
        </w:tc>
        <w:tc>
          <w:tcPr>
            <w:tcW w:w="478" w:type="dxa"/>
            <w:noWrap/>
            <w:textDirection w:val="btLr"/>
            <w:hideMark/>
          </w:tcPr>
          <w:p w14:paraId="35C675A5" w14:textId="77777777" w:rsidR="005B25AB" w:rsidRPr="00A6515E" w:rsidRDefault="005B25AB" w:rsidP="003D157D">
            <w:pPr>
              <w:ind w:left="113" w:right="113"/>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GB_AD</w:t>
            </w:r>
          </w:p>
        </w:tc>
        <w:tc>
          <w:tcPr>
            <w:tcW w:w="478" w:type="dxa"/>
            <w:noWrap/>
            <w:textDirection w:val="btLr"/>
            <w:hideMark/>
          </w:tcPr>
          <w:p w14:paraId="199C1C80" w14:textId="77777777" w:rsidR="005B25AB" w:rsidRPr="00A6515E" w:rsidRDefault="005B25AB" w:rsidP="003D157D">
            <w:pPr>
              <w:ind w:left="113" w:right="113"/>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GB_rough</w:t>
            </w:r>
          </w:p>
        </w:tc>
        <w:tc>
          <w:tcPr>
            <w:tcW w:w="478" w:type="dxa"/>
            <w:noWrap/>
            <w:textDirection w:val="btLr"/>
            <w:hideMark/>
          </w:tcPr>
          <w:p w14:paraId="14FE2103" w14:textId="77777777" w:rsidR="005B25AB" w:rsidRPr="00A6515E" w:rsidRDefault="005B25AB" w:rsidP="003D157D">
            <w:pPr>
              <w:ind w:left="113" w:right="113"/>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GB_myco</w:t>
            </w:r>
          </w:p>
        </w:tc>
        <w:tc>
          <w:tcPr>
            <w:tcW w:w="478" w:type="dxa"/>
            <w:noWrap/>
            <w:textDirection w:val="btLr"/>
            <w:hideMark/>
          </w:tcPr>
          <w:p w14:paraId="744520A4" w14:textId="77777777" w:rsidR="005B25AB" w:rsidRPr="00A6515E" w:rsidRDefault="005B25AB" w:rsidP="003D157D">
            <w:pPr>
              <w:ind w:left="113" w:right="113"/>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BSF</w:t>
            </w:r>
          </w:p>
        </w:tc>
        <w:tc>
          <w:tcPr>
            <w:tcW w:w="478" w:type="dxa"/>
            <w:noWrap/>
            <w:textDirection w:val="btLr"/>
            <w:hideMark/>
          </w:tcPr>
          <w:p w14:paraId="1B022865" w14:textId="77777777" w:rsidR="005B25AB" w:rsidRPr="00A6515E" w:rsidRDefault="005B25AB" w:rsidP="003D157D">
            <w:pPr>
              <w:ind w:left="113" w:right="113"/>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SSF</w:t>
            </w:r>
          </w:p>
        </w:tc>
        <w:tc>
          <w:tcPr>
            <w:tcW w:w="478" w:type="dxa"/>
            <w:noWrap/>
            <w:textDirection w:val="btLr"/>
            <w:hideMark/>
          </w:tcPr>
          <w:p w14:paraId="3CD46510" w14:textId="77777777" w:rsidR="005B25AB" w:rsidRPr="00A6515E" w:rsidRDefault="005B25AB" w:rsidP="003D157D">
            <w:pPr>
              <w:ind w:left="113" w:right="113"/>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MYCO</w:t>
            </w:r>
          </w:p>
        </w:tc>
        <w:tc>
          <w:tcPr>
            <w:tcW w:w="478" w:type="dxa"/>
            <w:noWrap/>
            <w:textDirection w:val="btLr"/>
            <w:hideMark/>
          </w:tcPr>
          <w:p w14:paraId="3B35DD65" w14:textId="77777777" w:rsidR="005B25AB" w:rsidRPr="00A6515E" w:rsidRDefault="005B25AB" w:rsidP="003D157D">
            <w:pPr>
              <w:ind w:left="113" w:right="113"/>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MP_AD</w:t>
            </w:r>
          </w:p>
        </w:tc>
        <w:tc>
          <w:tcPr>
            <w:tcW w:w="478" w:type="dxa"/>
            <w:noWrap/>
            <w:textDirection w:val="btLr"/>
            <w:hideMark/>
          </w:tcPr>
          <w:p w14:paraId="1C7B4994" w14:textId="77777777" w:rsidR="005B25AB" w:rsidRPr="00A6515E" w:rsidRDefault="005B25AB" w:rsidP="003D157D">
            <w:pPr>
              <w:ind w:left="113" w:right="113"/>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MP_GA</w:t>
            </w:r>
          </w:p>
        </w:tc>
        <w:tc>
          <w:tcPr>
            <w:tcW w:w="478" w:type="dxa"/>
            <w:noWrap/>
            <w:textDirection w:val="btLr"/>
            <w:hideMark/>
          </w:tcPr>
          <w:p w14:paraId="40C27D18" w14:textId="77777777" w:rsidR="005B25AB" w:rsidRPr="00A6515E" w:rsidRDefault="005B25AB" w:rsidP="003D157D">
            <w:pPr>
              <w:ind w:left="113" w:right="113"/>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AD</w:t>
            </w:r>
          </w:p>
        </w:tc>
        <w:tc>
          <w:tcPr>
            <w:tcW w:w="478" w:type="dxa"/>
            <w:noWrap/>
            <w:textDirection w:val="btLr"/>
            <w:hideMark/>
          </w:tcPr>
          <w:p w14:paraId="0045E2C1" w14:textId="77777777" w:rsidR="005B25AB" w:rsidRPr="00A6515E" w:rsidRDefault="005B25AB" w:rsidP="003D157D">
            <w:pPr>
              <w:ind w:left="113" w:right="113"/>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GA</w:t>
            </w:r>
          </w:p>
        </w:tc>
        <w:tc>
          <w:tcPr>
            <w:tcW w:w="478" w:type="dxa"/>
            <w:noWrap/>
            <w:textDirection w:val="btLr"/>
            <w:hideMark/>
          </w:tcPr>
          <w:p w14:paraId="1418C235" w14:textId="77777777" w:rsidR="005B25AB" w:rsidRPr="00A6515E" w:rsidRDefault="005B25AB" w:rsidP="003D157D">
            <w:pPr>
              <w:ind w:left="113" w:right="113"/>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DIR_CHP</w:t>
            </w:r>
          </w:p>
        </w:tc>
        <w:tc>
          <w:tcPr>
            <w:tcW w:w="478" w:type="dxa"/>
            <w:noWrap/>
            <w:textDirection w:val="btLr"/>
            <w:hideMark/>
          </w:tcPr>
          <w:p w14:paraId="14DF38A9" w14:textId="77777777" w:rsidR="005B25AB" w:rsidRPr="00A6515E" w:rsidRDefault="005B25AB" w:rsidP="003D157D">
            <w:pPr>
              <w:ind w:left="113" w:right="113"/>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Heat</w:t>
            </w:r>
          </w:p>
        </w:tc>
        <w:tc>
          <w:tcPr>
            <w:tcW w:w="478" w:type="dxa"/>
            <w:noWrap/>
            <w:textDirection w:val="btLr"/>
            <w:hideMark/>
          </w:tcPr>
          <w:p w14:paraId="528D5F3A" w14:textId="77777777" w:rsidR="005B25AB" w:rsidRPr="00A6515E" w:rsidRDefault="005B25AB" w:rsidP="003D157D">
            <w:pPr>
              <w:ind w:left="113" w:right="113"/>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Burn</w:t>
            </w:r>
          </w:p>
        </w:tc>
        <w:tc>
          <w:tcPr>
            <w:tcW w:w="478" w:type="dxa"/>
            <w:noWrap/>
            <w:textDirection w:val="btLr"/>
            <w:hideMark/>
          </w:tcPr>
          <w:p w14:paraId="148B0A12" w14:textId="77777777" w:rsidR="005B25AB" w:rsidRPr="00A6515E" w:rsidRDefault="005B25AB" w:rsidP="003D157D">
            <w:pPr>
              <w:ind w:left="113" w:right="113"/>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Compost</w:t>
            </w:r>
          </w:p>
        </w:tc>
        <w:tc>
          <w:tcPr>
            <w:tcW w:w="478" w:type="dxa"/>
            <w:noWrap/>
            <w:textDirection w:val="btLr"/>
            <w:hideMark/>
          </w:tcPr>
          <w:p w14:paraId="350E23F7" w14:textId="77777777" w:rsidR="005B25AB" w:rsidRPr="00A6515E" w:rsidRDefault="005B25AB" w:rsidP="003D157D">
            <w:pPr>
              <w:ind w:left="113" w:right="113"/>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Spread</w:t>
            </w:r>
          </w:p>
        </w:tc>
        <w:tc>
          <w:tcPr>
            <w:tcW w:w="478" w:type="dxa"/>
            <w:noWrap/>
            <w:textDirection w:val="btLr"/>
            <w:hideMark/>
          </w:tcPr>
          <w:p w14:paraId="7A8682E2" w14:textId="77777777" w:rsidR="005B25AB" w:rsidRPr="00A6515E" w:rsidRDefault="005B25AB" w:rsidP="003D157D">
            <w:pPr>
              <w:ind w:left="113" w:right="113"/>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Decay</w:t>
            </w:r>
          </w:p>
        </w:tc>
      </w:tr>
      <w:tr w:rsidR="005B25AB" w:rsidRPr="00A6515E" w14:paraId="40478D9E" w14:textId="77777777" w:rsidTr="005B25A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val="restart"/>
            <w:noWrap/>
            <w:textDirection w:val="btLr"/>
            <w:hideMark/>
          </w:tcPr>
          <w:p w14:paraId="6F335F75" w14:textId="77777777" w:rsidR="005B25AB" w:rsidRPr="00A6515E" w:rsidRDefault="005B25AB" w:rsidP="003D157D">
            <w:pPr>
              <w:rPr>
                <w:b w:val="0"/>
                <w:bCs w:val="0"/>
                <w:szCs w:val="18"/>
              </w:rPr>
            </w:pPr>
            <w:r w:rsidRPr="00A6515E">
              <w:rPr>
                <w:szCs w:val="18"/>
              </w:rPr>
              <w:t>Transportation</w:t>
            </w:r>
          </w:p>
        </w:tc>
        <w:tc>
          <w:tcPr>
            <w:tcW w:w="474" w:type="dxa"/>
            <w:noWrap/>
            <w:hideMark/>
          </w:tcPr>
          <w:p w14:paraId="20E2025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w:t>
            </w:r>
          </w:p>
        </w:tc>
        <w:tc>
          <w:tcPr>
            <w:tcW w:w="476" w:type="dxa"/>
            <w:noWrap/>
            <w:hideMark/>
          </w:tcPr>
          <w:p w14:paraId="1980A0B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76A36A6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635889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7EC527D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C959AF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266394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66AFA93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BFB6FB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7F94C9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1FC34F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388C82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173C45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13FB8E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4A4A54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B661D5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78160F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9709D1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0133679E" w14:textId="77777777" w:rsidTr="005B25AB">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1410AF75" w14:textId="77777777" w:rsidR="005B25AB" w:rsidRPr="00A6515E" w:rsidRDefault="005B25AB" w:rsidP="003D157D">
            <w:pPr>
              <w:rPr>
                <w:b w:val="0"/>
                <w:bCs w:val="0"/>
                <w:szCs w:val="18"/>
              </w:rPr>
            </w:pPr>
          </w:p>
        </w:tc>
        <w:tc>
          <w:tcPr>
            <w:tcW w:w="474" w:type="dxa"/>
            <w:noWrap/>
            <w:hideMark/>
          </w:tcPr>
          <w:p w14:paraId="5F27D2C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w:t>
            </w:r>
          </w:p>
        </w:tc>
        <w:tc>
          <w:tcPr>
            <w:tcW w:w="476" w:type="dxa"/>
            <w:noWrap/>
            <w:hideMark/>
          </w:tcPr>
          <w:p w14:paraId="15CEDE4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3C31775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50BD58D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0B062E7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07303B9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606B76A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15B3101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117C7FF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7046297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4EB22C1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452A1D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1165D2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200DB5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5EC671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93B8AD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C4A176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1706DD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0D385E86" w14:textId="77777777" w:rsidTr="005B25A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2C1AD205" w14:textId="77777777" w:rsidR="005B25AB" w:rsidRPr="00A6515E" w:rsidRDefault="005B25AB" w:rsidP="003D157D">
            <w:pPr>
              <w:rPr>
                <w:b w:val="0"/>
                <w:bCs w:val="0"/>
                <w:szCs w:val="18"/>
              </w:rPr>
            </w:pPr>
          </w:p>
        </w:tc>
        <w:tc>
          <w:tcPr>
            <w:tcW w:w="474" w:type="dxa"/>
            <w:noWrap/>
            <w:hideMark/>
          </w:tcPr>
          <w:p w14:paraId="1BF7D77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3</w:t>
            </w:r>
          </w:p>
        </w:tc>
        <w:tc>
          <w:tcPr>
            <w:tcW w:w="476" w:type="dxa"/>
            <w:noWrap/>
            <w:hideMark/>
          </w:tcPr>
          <w:p w14:paraId="0E10F64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3BC523C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4F95B0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D26B8D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18F10D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3886BD8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2422F78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6C7EFB6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E7FF7A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6E4BF1D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28AC0B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500F27A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707049E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ECF9A1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D56BA9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234238E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E8EF42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53690981" w14:textId="77777777" w:rsidTr="005B25AB">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468EE790" w14:textId="77777777" w:rsidR="005B25AB" w:rsidRPr="00A6515E" w:rsidRDefault="005B25AB" w:rsidP="003D157D">
            <w:pPr>
              <w:rPr>
                <w:b w:val="0"/>
                <w:bCs w:val="0"/>
                <w:szCs w:val="18"/>
              </w:rPr>
            </w:pPr>
          </w:p>
        </w:tc>
        <w:tc>
          <w:tcPr>
            <w:tcW w:w="474" w:type="dxa"/>
            <w:noWrap/>
            <w:hideMark/>
          </w:tcPr>
          <w:p w14:paraId="7356519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4</w:t>
            </w:r>
          </w:p>
        </w:tc>
        <w:tc>
          <w:tcPr>
            <w:tcW w:w="476" w:type="dxa"/>
            <w:noWrap/>
            <w:hideMark/>
          </w:tcPr>
          <w:p w14:paraId="5184ABE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69C3909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0E8FACC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38E33A2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003B0CC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46574D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33F904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88EE2E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4CA3ECD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7C2F3E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1D13333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4A19AF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6C25CC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96E2BD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294A00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ACB62D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079AA99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0101F5CE" w14:textId="77777777" w:rsidTr="005B25A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7F9E792B" w14:textId="77777777" w:rsidR="005B25AB" w:rsidRPr="00A6515E" w:rsidRDefault="005B25AB" w:rsidP="003D157D">
            <w:pPr>
              <w:rPr>
                <w:b w:val="0"/>
                <w:bCs w:val="0"/>
                <w:szCs w:val="18"/>
              </w:rPr>
            </w:pPr>
          </w:p>
        </w:tc>
        <w:tc>
          <w:tcPr>
            <w:tcW w:w="474" w:type="dxa"/>
            <w:noWrap/>
            <w:hideMark/>
          </w:tcPr>
          <w:p w14:paraId="7D9B689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5</w:t>
            </w:r>
          </w:p>
        </w:tc>
        <w:tc>
          <w:tcPr>
            <w:tcW w:w="476" w:type="dxa"/>
            <w:noWrap/>
            <w:hideMark/>
          </w:tcPr>
          <w:p w14:paraId="4E097B4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5CCBDCD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3E4E45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F1910E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FAA87A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C23A0D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DDDF2E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6BD6F5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C658FD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2F4BCAC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9AFEDF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3D481DB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12A946F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314DFE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2DF71A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6117AC0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42F2DE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482D4688" w14:textId="77777777" w:rsidTr="005B25AB">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433F9A5B" w14:textId="77777777" w:rsidR="005B25AB" w:rsidRPr="00A6515E" w:rsidRDefault="005B25AB" w:rsidP="003D157D">
            <w:pPr>
              <w:rPr>
                <w:b w:val="0"/>
                <w:bCs w:val="0"/>
                <w:szCs w:val="18"/>
              </w:rPr>
            </w:pPr>
          </w:p>
        </w:tc>
        <w:tc>
          <w:tcPr>
            <w:tcW w:w="474" w:type="dxa"/>
            <w:noWrap/>
            <w:hideMark/>
          </w:tcPr>
          <w:p w14:paraId="7A11699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6</w:t>
            </w:r>
          </w:p>
        </w:tc>
        <w:tc>
          <w:tcPr>
            <w:tcW w:w="476" w:type="dxa"/>
            <w:noWrap/>
            <w:hideMark/>
          </w:tcPr>
          <w:p w14:paraId="090C33E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342EDB7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4A520F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DEE964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508B10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97C6E6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5A5225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B2430A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66BAC4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BBD9E7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475710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87D268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43BE9D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9871DB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F8D022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1F985CE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32FB48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027B304B" w14:textId="77777777" w:rsidTr="005B25A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0BF79EAF" w14:textId="77777777" w:rsidR="005B25AB" w:rsidRPr="00A6515E" w:rsidRDefault="005B25AB" w:rsidP="003D157D">
            <w:pPr>
              <w:rPr>
                <w:b w:val="0"/>
                <w:bCs w:val="0"/>
                <w:szCs w:val="18"/>
              </w:rPr>
            </w:pPr>
          </w:p>
        </w:tc>
        <w:tc>
          <w:tcPr>
            <w:tcW w:w="474" w:type="dxa"/>
            <w:noWrap/>
            <w:hideMark/>
          </w:tcPr>
          <w:p w14:paraId="358F59C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7</w:t>
            </w:r>
          </w:p>
        </w:tc>
        <w:tc>
          <w:tcPr>
            <w:tcW w:w="476" w:type="dxa"/>
            <w:noWrap/>
            <w:hideMark/>
          </w:tcPr>
          <w:p w14:paraId="57749FC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3021953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367351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96D0E8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7D2E99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2159426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855CB8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E6EC16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9FE7CE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309DC9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C607BA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C75682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F286A2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C7DC59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012271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33738E0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31B899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224AF7B9" w14:textId="77777777" w:rsidTr="005B25AB">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4AF86238" w14:textId="77777777" w:rsidR="005B25AB" w:rsidRPr="00A6515E" w:rsidRDefault="005B25AB" w:rsidP="003D157D">
            <w:pPr>
              <w:rPr>
                <w:b w:val="0"/>
                <w:bCs w:val="0"/>
                <w:szCs w:val="18"/>
              </w:rPr>
            </w:pPr>
          </w:p>
        </w:tc>
        <w:tc>
          <w:tcPr>
            <w:tcW w:w="474" w:type="dxa"/>
            <w:noWrap/>
            <w:hideMark/>
          </w:tcPr>
          <w:p w14:paraId="35DCE84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8</w:t>
            </w:r>
          </w:p>
        </w:tc>
        <w:tc>
          <w:tcPr>
            <w:tcW w:w="476" w:type="dxa"/>
            <w:noWrap/>
            <w:hideMark/>
          </w:tcPr>
          <w:p w14:paraId="76C86FF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027B639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2A7849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F97A48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78F949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A43BAD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362E80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46C10F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0D28A4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80E828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FB2679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A3D9B1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873D63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7EEEB90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73C22D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9119D6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3D01F3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2D9C1F1F" w14:textId="77777777" w:rsidTr="005B25A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310E2D27" w14:textId="77777777" w:rsidR="005B25AB" w:rsidRPr="00A6515E" w:rsidRDefault="005B25AB" w:rsidP="003D157D">
            <w:pPr>
              <w:rPr>
                <w:b w:val="0"/>
                <w:bCs w:val="0"/>
                <w:szCs w:val="18"/>
              </w:rPr>
            </w:pPr>
          </w:p>
        </w:tc>
        <w:tc>
          <w:tcPr>
            <w:tcW w:w="474" w:type="dxa"/>
            <w:noWrap/>
            <w:hideMark/>
          </w:tcPr>
          <w:p w14:paraId="07E70CC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9</w:t>
            </w:r>
          </w:p>
        </w:tc>
        <w:tc>
          <w:tcPr>
            <w:tcW w:w="476" w:type="dxa"/>
            <w:noWrap/>
            <w:hideMark/>
          </w:tcPr>
          <w:p w14:paraId="45E31A4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347498D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817878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9B64A3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148E3B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4539F0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708529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5563C0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849E76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6404FB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C3ED06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0CE171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D57FFF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44031B7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642812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0624B0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5E42CE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2AACCCA0" w14:textId="77777777" w:rsidTr="005B25AB">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5962B1C4" w14:textId="77777777" w:rsidR="005B25AB" w:rsidRPr="00A6515E" w:rsidRDefault="005B25AB" w:rsidP="003D157D">
            <w:pPr>
              <w:rPr>
                <w:b w:val="0"/>
                <w:bCs w:val="0"/>
                <w:szCs w:val="18"/>
              </w:rPr>
            </w:pPr>
          </w:p>
        </w:tc>
        <w:tc>
          <w:tcPr>
            <w:tcW w:w="474" w:type="dxa"/>
            <w:noWrap/>
            <w:hideMark/>
          </w:tcPr>
          <w:p w14:paraId="3A4A8D5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10</w:t>
            </w:r>
          </w:p>
        </w:tc>
        <w:tc>
          <w:tcPr>
            <w:tcW w:w="476" w:type="dxa"/>
            <w:noWrap/>
            <w:hideMark/>
          </w:tcPr>
          <w:p w14:paraId="591BF91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213109E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7155D57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04EBC57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64037B1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496DE4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ADB16D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2086BC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381CAA0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EB3D9D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14B8B3E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CDB1BA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CC0DB5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DAB743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5974DF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8977FC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570D0CB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73DBEC23" w14:textId="77777777" w:rsidTr="005B25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4" w:type="dxa"/>
            <w:vMerge/>
            <w:hideMark/>
          </w:tcPr>
          <w:p w14:paraId="4232E64C" w14:textId="77777777" w:rsidR="005B25AB" w:rsidRPr="00A6515E" w:rsidRDefault="005B25AB" w:rsidP="003D157D">
            <w:pPr>
              <w:rPr>
                <w:b w:val="0"/>
                <w:bCs w:val="0"/>
                <w:szCs w:val="18"/>
              </w:rPr>
            </w:pPr>
          </w:p>
        </w:tc>
        <w:tc>
          <w:tcPr>
            <w:tcW w:w="474" w:type="dxa"/>
            <w:noWrap/>
            <w:hideMark/>
          </w:tcPr>
          <w:p w14:paraId="35B9D91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11</w:t>
            </w:r>
          </w:p>
        </w:tc>
        <w:tc>
          <w:tcPr>
            <w:tcW w:w="476" w:type="dxa"/>
            <w:noWrap/>
            <w:hideMark/>
          </w:tcPr>
          <w:p w14:paraId="35C9F4E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1FC5794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5CA11B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417C9B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7FA3538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37C7D27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07E1B4B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78DF6F2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EB829B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A25701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94A83B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AACD1E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2FCBE5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51EF78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00AF3C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F36C4D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329C0F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1E980877" w14:textId="77777777" w:rsidTr="005B25AB">
        <w:trPr>
          <w:trHeight w:val="290"/>
        </w:trPr>
        <w:tc>
          <w:tcPr>
            <w:cnfStyle w:val="001000000000" w:firstRow="0" w:lastRow="0" w:firstColumn="1" w:lastColumn="0" w:oddVBand="0" w:evenVBand="0" w:oddHBand="0" w:evenHBand="0" w:firstRowFirstColumn="0" w:firstRowLastColumn="0" w:lastRowFirstColumn="0" w:lastRowLastColumn="0"/>
            <w:tcW w:w="474" w:type="dxa"/>
            <w:vMerge w:val="restart"/>
            <w:noWrap/>
            <w:textDirection w:val="btLr"/>
            <w:hideMark/>
          </w:tcPr>
          <w:p w14:paraId="56FEEDF5" w14:textId="77777777" w:rsidR="005B25AB" w:rsidRPr="00A6515E" w:rsidRDefault="005B25AB" w:rsidP="003D157D">
            <w:pPr>
              <w:rPr>
                <w:b w:val="0"/>
                <w:bCs w:val="0"/>
                <w:szCs w:val="18"/>
              </w:rPr>
            </w:pPr>
            <w:r w:rsidRPr="00A6515E">
              <w:rPr>
                <w:szCs w:val="18"/>
              </w:rPr>
              <w:t>Generic process parameters</w:t>
            </w:r>
          </w:p>
        </w:tc>
        <w:tc>
          <w:tcPr>
            <w:tcW w:w="474" w:type="dxa"/>
            <w:noWrap/>
            <w:hideMark/>
          </w:tcPr>
          <w:p w14:paraId="0CFBA87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12</w:t>
            </w:r>
          </w:p>
        </w:tc>
        <w:tc>
          <w:tcPr>
            <w:tcW w:w="476" w:type="dxa"/>
            <w:noWrap/>
            <w:hideMark/>
          </w:tcPr>
          <w:p w14:paraId="2D7BD77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0305ED7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572A92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6AD0BB6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4B234A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39B13E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0F5877D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FF9450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8DAB91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9FACDF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5BC622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70F7CA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82E6C8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8078BE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48E201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B71D4A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8F8747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0B4FA57E" w14:textId="77777777" w:rsidTr="005B25A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498988E8" w14:textId="77777777" w:rsidR="005B25AB" w:rsidRPr="00A6515E" w:rsidRDefault="005B25AB" w:rsidP="003D157D">
            <w:pPr>
              <w:rPr>
                <w:b w:val="0"/>
                <w:bCs w:val="0"/>
                <w:szCs w:val="18"/>
              </w:rPr>
            </w:pPr>
          </w:p>
        </w:tc>
        <w:tc>
          <w:tcPr>
            <w:tcW w:w="474" w:type="dxa"/>
            <w:noWrap/>
            <w:hideMark/>
          </w:tcPr>
          <w:p w14:paraId="3C5617A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13</w:t>
            </w:r>
          </w:p>
        </w:tc>
        <w:tc>
          <w:tcPr>
            <w:tcW w:w="476" w:type="dxa"/>
            <w:noWrap/>
            <w:hideMark/>
          </w:tcPr>
          <w:p w14:paraId="4DD646A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306208A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BF1E1A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496AA35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B098BD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845756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7BB64EF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BFFD29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03FA12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41575D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65750F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EC9D79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061919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A1BAC9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2BA03E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534EBA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A41D9D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56A3123F" w14:textId="77777777" w:rsidTr="005B25AB">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098C7AB7" w14:textId="77777777" w:rsidR="005B25AB" w:rsidRPr="00A6515E" w:rsidRDefault="005B25AB" w:rsidP="003D157D">
            <w:pPr>
              <w:rPr>
                <w:b w:val="0"/>
                <w:bCs w:val="0"/>
                <w:szCs w:val="18"/>
              </w:rPr>
            </w:pPr>
          </w:p>
        </w:tc>
        <w:tc>
          <w:tcPr>
            <w:tcW w:w="474" w:type="dxa"/>
            <w:noWrap/>
            <w:hideMark/>
          </w:tcPr>
          <w:p w14:paraId="6D4C6AD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14</w:t>
            </w:r>
          </w:p>
        </w:tc>
        <w:tc>
          <w:tcPr>
            <w:tcW w:w="476" w:type="dxa"/>
            <w:noWrap/>
            <w:hideMark/>
          </w:tcPr>
          <w:p w14:paraId="27AB81F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79A59BB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152F9F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474D68B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FB69CA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BA495A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140DD93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2522F7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5F42CC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366462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59D1B2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728A09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CA54B0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C3CD9D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57CBAD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D19498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E26EEC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13E544CA" w14:textId="77777777" w:rsidTr="005B25A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48FFDF71" w14:textId="77777777" w:rsidR="005B25AB" w:rsidRPr="00A6515E" w:rsidRDefault="005B25AB" w:rsidP="003D157D">
            <w:pPr>
              <w:rPr>
                <w:b w:val="0"/>
                <w:bCs w:val="0"/>
                <w:szCs w:val="18"/>
              </w:rPr>
            </w:pPr>
          </w:p>
        </w:tc>
        <w:tc>
          <w:tcPr>
            <w:tcW w:w="474" w:type="dxa"/>
            <w:noWrap/>
            <w:hideMark/>
          </w:tcPr>
          <w:p w14:paraId="1B2BC2C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15</w:t>
            </w:r>
          </w:p>
        </w:tc>
        <w:tc>
          <w:tcPr>
            <w:tcW w:w="476" w:type="dxa"/>
            <w:noWrap/>
            <w:hideMark/>
          </w:tcPr>
          <w:p w14:paraId="78DB0B4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064C803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FE01E6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3FABCB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525AE6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619FEED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F9BB1D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3031E6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9B1912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C1A998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3809C6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7FCAC0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361550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806B88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4E17FC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9F0281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D3E238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3368EEDB" w14:textId="77777777" w:rsidTr="005B25AB">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5D8CB7F2" w14:textId="77777777" w:rsidR="005B25AB" w:rsidRPr="00A6515E" w:rsidRDefault="005B25AB" w:rsidP="003D157D">
            <w:pPr>
              <w:rPr>
                <w:b w:val="0"/>
                <w:bCs w:val="0"/>
                <w:szCs w:val="18"/>
              </w:rPr>
            </w:pPr>
          </w:p>
        </w:tc>
        <w:tc>
          <w:tcPr>
            <w:tcW w:w="474" w:type="dxa"/>
            <w:noWrap/>
            <w:hideMark/>
          </w:tcPr>
          <w:p w14:paraId="7A79B27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16</w:t>
            </w:r>
          </w:p>
        </w:tc>
        <w:tc>
          <w:tcPr>
            <w:tcW w:w="476" w:type="dxa"/>
            <w:noWrap/>
            <w:hideMark/>
          </w:tcPr>
          <w:p w14:paraId="29BFE96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426AD9F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183954C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6A76A4B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649A10C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05830F7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FF437C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70C529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1ECA26E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4C434BE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CC3AA8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972773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754D90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D164C5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B7B6FE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98204D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C01280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502838B6" w14:textId="77777777" w:rsidTr="005B25A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5BA01362" w14:textId="77777777" w:rsidR="005B25AB" w:rsidRPr="00A6515E" w:rsidRDefault="005B25AB" w:rsidP="003D157D">
            <w:pPr>
              <w:rPr>
                <w:b w:val="0"/>
                <w:bCs w:val="0"/>
                <w:szCs w:val="18"/>
              </w:rPr>
            </w:pPr>
          </w:p>
        </w:tc>
        <w:tc>
          <w:tcPr>
            <w:tcW w:w="474" w:type="dxa"/>
            <w:noWrap/>
            <w:hideMark/>
          </w:tcPr>
          <w:p w14:paraId="27148FE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17</w:t>
            </w:r>
          </w:p>
        </w:tc>
        <w:tc>
          <w:tcPr>
            <w:tcW w:w="476" w:type="dxa"/>
            <w:noWrap/>
            <w:hideMark/>
          </w:tcPr>
          <w:p w14:paraId="5AE1BA6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20B8FCA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3C24AF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7FC2E8E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36ECE6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CF0F41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42D1433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10C709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5493CD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5B0874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042BA4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AF24AC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C2BAB9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2622D3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B6CCE9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83EB1F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83DA67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1EC3FD93" w14:textId="77777777" w:rsidTr="005B25AB">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32148645" w14:textId="77777777" w:rsidR="005B25AB" w:rsidRPr="00A6515E" w:rsidRDefault="005B25AB" w:rsidP="003D157D">
            <w:pPr>
              <w:rPr>
                <w:b w:val="0"/>
                <w:bCs w:val="0"/>
                <w:szCs w:val="18"/>
              </w:rPr>
            </w:pPr>
          </w:p>
        </w:tc>
        <w:tc>
          <w:tcPr>
            <w:tcW w:w="474" w:type="dxa"/>
            <w:noWrap/>
            <w:hideMark/>
          </w:tcPr>
          <w:p w14:paraId="586FCAF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18</w:t>
            </w:r>
          </w:p>
        </w:tc>
        <w:tc>
          <w:tcPr>
            <w:tcW w:w="476" w:type="dxa"/>
            <w:noWrap/>
            <w:hideMark/>
          </w:tcPr>
          <w:p w14:paraId="53CA9E5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1F29D21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26E803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0438D9F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40E2CA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ED4A3D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3E9D60E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69AEE4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0B3353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60E482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CF264F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A185A6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351193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941B0E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82D01F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1B1051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F1C610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78D7492F" w14:textId="77777777" w:rsidTr="005B25A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5FE3BFAD" w14:textId="77777777" w:rsidR="005B25AB" w:rsidRPr="00A6515E" w:rsidRDefault="005B25AB" w:rsidP="003D157D">
            <w:pPr>
              <w:rPr>
                <w:b w:val="0"/>
                <w:bCs w:val="0"/>
                <w:szCs w:val="18"/>
              </w:rPr>
            </w:pPr>
          </w:p>
        </w:tc>
        <w:tc>
          <w:tcPr>
            <w:tcW w:w="474" w:type="dxa"/>
            <w:noWrap/>
            <w:hideMark/>
          </w:tcPr>
          <w:p w14:paraId="3F3D306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19</w:t>
            </w:r>
          </w:p>
        </w:tc>
        <w:tc>
          <w:tcPr>
            <w:tcW w:w="476" w:type="dxa"/>
            <w:noWrap/>
            <w:hideMark/>
          </w:tcPr>
          <w:p w14:paraId="2977CAF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73B2723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FD4BE4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3F94DEB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D32124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4F37C1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5BED545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AC8F4A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A5E983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A023EE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3335A3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417C77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F4C0CE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396D5C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C93019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EAFD0D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9EBDF0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2D24737C" w14:textId="77777777" w:rsidTr="005B25AB">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761F7AC5" w14:textId="77777777" w:rsidR="005B25AB" w:rsidRPr="00A6515E" w:rsidRDefault="005B25AB" w:rsidP="003D157D">
            <w:pPr>
              <w:rPr>
                <w:b w:val="0"/>
                <w:bCs w:val="0"/>
                <w:szCs w:val="18"/>
              </w:rPr>
            </w:pPr>
          </w:p>
        </w:tc>
        <w:tc>
          <w:tcPr>
            <w:tcW w:w="474" w:type="dxa"/>
            <w:noWrap/>
            <w:hideMark/>
          </w:tcPr>
          <w:p w14:paraId="30B5CA9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20</w:t>
            </w:r>
          </w:p>
        </w:tc>
        <w:tc>
          <w:tcPr>
            <w:tcW w:w="476" w:type="dxa"/>
            <w:noWrap/>
            <w:hideMark/>
          </w:tcPr>
          <w:p w14:paraId="4929891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597C7AA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77AA0A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5671F8C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D623A3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C60523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463E896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82A1FA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30CADA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86E6F5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FB1C1E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169AE3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E4C426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E9C308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8FE6CF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3A7AD0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2A5C93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7B9BFC3" w14:textId="77777777" w:rsidTr="005B25A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6A6F1A3D" w14:textId="77777777" w:rsidR="005B25AB" w:rsidRPr="00A6515E" w:rsidRDefault="005B25AB" w:rsidP="003D157D">
            <w:pPr>
              <w:rPr>
                <w:b w:val="0"/>
                <w:bCs w:val="0"/>
                <w:szCs w:val="18"/>
              </w:rPr>
            </w:pPr>
          </w:p>
        </w:tc>
        <w:tc>
          <w:tcPr>
            <w:tcW w:w="474" w:type="dxa"/>
            <w:noWrap/>
            <w:hideMark/>
          </w:tcPr>
          <w:p w14:paraId="434E7DD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21</w:t>
            </w:r>
          </w:p>
        </w:tc>
        <w:tc>
          <w:tcPr>
            <w:tcW w:w="476" w:type="dxa"/>
            <w:noWrap/>
            <w:hideMark/>
          </w:tcPr>
          <w:p w14:paraId="353F49B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57FD02A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05B611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CA961F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91FFEB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B7AD4E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5246340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A47AEE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B0E18D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6DB645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9A549F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512E22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07A6A6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34FC2E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5F53CE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C2E8F6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141788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1430D489" w14:textId="77777777" w:rsidTr="005B25AB">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5BFE8B2F" w14:textId="77777777" w:rsidR="005B25AB" w:rsidRPr="00A6515E" w:rsidRDefault="005B25AB" w:rsidP="003D157D">
            <w:pPr>
              <w:rPr>
                <w:b w:val="0"/>
                <w:bCs w:val="0"/>
                <w:szCs w:val="18"/>
              </w:rPr>
            </w:pPr>
          </w:p>
        </w:tc>
        <w:tc>
          <w:tcPr>
            <w:tcW w:w="474" w:type="dxa"/>
            <w:noWrap/>
            <w:hideMark/>
          </w:tcPr>
          <w:p w14:paraId="4F2E60C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22</w:t>
            </w:r>
          </w:p>
        </w:tc>
        <w:tc>
          <w:tcPr>
            <w:tcW w:w="476" w:type="dxa"/>
            <w:noWrap/>
            <w:hideMark/>
          </w:tcPr>
          <w:p w14:paraId="41431F1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470D623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77CD6A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B43B13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EF3529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7B3639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480136D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1A1571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59681F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A04C98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4B52AD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5398DA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BFB991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E2C7F9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C26955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F3C4F9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7C6798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7F25A58E" w14:textId="77777777" w:rsidTr="005B25A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305650EE" w14:textId="77777777" w:rsidR="005B25AB" w:rsidRPr="00A6515E" w:rsidRDefault="005B25AB" w:rsidP="003D157D">
            <w:pPr>
              <w:rPr>
                <w:b w:val="0"/>
                <w:bCs w:val="0"/>
                <w:szCs w:val="18"/>
              </w:rPr>
            </w:pPr>
          </w:p>
        </w:tc>
        <w:tc>
          <w:tcPr>
            <w:tcW w:w="474" w:type="dxa"/>
            <w:noWrap/>
            <w:hideMark/>
          </w:tcPr>
          <w:p w14:paraId="7A6B870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23</w:t>
            </w:r>
          </w:p>
        </w:tc>
        <w:tc>
          <w:tcPr>
            <w:tcW w:w="476" w:type="dxa"/>
            <w:noWrap/>
            <w:hideMark/>
          </w:tcPr>
          <w:p w14:paraId="0A28568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488C9FC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5D9B51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C04DE2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01CADA0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E1C0FC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596CE3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3572F5C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64C3B8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5934D4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F097ED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A536E8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DC3C68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AA4C7B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E8EB60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3EA491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E02DEA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2E3E0357" w14:textId="77777777" w:rsidTr="005B25AB">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624D2B99" w14:textId="77777777" w:rsidR="005B25AB" w:rsidRPr="00A6515E" w:rsidRDefault="005B25AB" w:rsidP="003D157D">
            <w:pPr>
              <w:rPr>
                <w:b w:val="0"/>
                <w:bCs w:val="0"/>
                <w:szCs w:val="18"/>
              </w:rPr>
            </w:pPr>
          </w:p>
        </w:tc>
        <w:tc>
          <w:tcPr>
            <w:tcW w:w="474" w:type="dxa"/>
            <w:noWrap/>
            <w:hideMark/>
          </w:tcPr>
          <w:p w14:paraId="458E85E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24</w:t>
            </w:r>
          </w:p>
        </w:tc>
        <w:tc>
          <w:tcPr>
            <w:tcW w:w="476" w:type="dxa"/>
            <w:noWrap/>
            <w:hideMark/>
          </w:tcPr>
          <w:p w14:paraId="07B3589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065A6DC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63130D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82CB7D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695DBB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E1A09A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7F19BF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AF9516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49B5EF1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63A1D7D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2E30DF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B9B2D3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B22A68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B5BFD3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30EBF5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7D0211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6921BB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2252722F" w14:textId="77777777" w:rsidTr="005B25A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1C12DB80" w14:textId="77777777" w:rsidR="005B25AB" w:rsidRPr="00A6515E" w:rsidRDefault="005B25AB" w:rsidP="003D157D">
            <w:pPr>
              <w:rPr>
                <w:b w:val="0"/>
                <w:bCs w:val="0"/>
                <w:szCs w:val="18"/>
              </w:rPr>
            </w:pPr>
          </w:p>
        </w:tc>
        <w:tc>
          <w:tcPr>
            <w:tcW w:w="474" w:type="dxa"/>
            <w:noWrap/>
            <w:hideMark/>
          </w:tcPr>
          <w:p w14:paraId="1A7B8E8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25</w:t>
            </w:r>
          </w:p>
        </w:tc>
        <w:tc>
          <w:tcPr>
            <w:tcW w:w="476" w:type="dxa"/>
            <w:noWrap/>
            <w:hideMark/>
          </w:tcPr>
          <w:p w14:paraId="1116858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280DCC1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45B306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95B982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9EA1D9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57DED8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B0DBB9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8E36DF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57FFA20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04F8EBC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C7ABC7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B9DD6E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14A77C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0E1933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8D965D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725DB0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2506C2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6408D2D7" w14:textId="77777777" w:rsidTr="005B25AB">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4FF33044" w14:textId="77777777" w:rsidR="005B25AB" w:rsidRPr="00A6515E" w:rsidRDefault="005B25AB" w:rsidP="003D157D">
            <w:pPr>
              <w:rPr>
                <w:b w:val="0"/>
                <w:bCs w:val="0"/>
                <w:szCs w:val="18"/>
              </w:rPr>
            </w:pPr>
          </w:p>
        </w:tc>
        <w:tc>
          <w:tcPr>
            <w:tcW w:w="474" w:type="dxa"/>
            <w:noWrap/>
            <w:hideMark/>
          </w:tcPr>
          <w:p w14:paraId="3F8F8D9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26</w:t>
            </w:r>
          </w:p>
        </w:tc>
        <w:tc>
          <w:tcPr>
            <w:tcW w:w="476" w:type="dxa"/>
            <w:noWrap/>
            <w:hideMark/>
          </w:tcPr>
          <w:p w14:paraId="0137175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3986733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5FFCBD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13B025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FD6AA4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94FA02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EBF550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D2DC01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5F2FF8D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4E69538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9B52CB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68152C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A52790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8F9295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9B4438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3905A9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3F0B2D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06C69216" w14:textId="77777777" w:rsidTr="005B25A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418D76EB" w14:textId="77777777" w:rsidR="005B25AB" w:rsidRPr="00A6515E" w:rsidRDefault="005B25AB" w:rsidP="003D157D">
            <w:pPr>
              <w:rPr>
                <w:b w:val="0"/>
                <w:bCs w:val="0"/>
                <w:szCs w:val="18"/>
              </w:rPr>
            </w:pPr>
          </w:p>
        </w:tc>
        <w:tc>
          <w:tcPr>
            <w:tcW w:w="474" w:type="dxa"/>
            <w:noWrap/>
            <w:hideMark/>
          </w:tcPr>
          <w:p w14:paraId="6B17F60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27</w:t>
            </w:r>
          </w:p>
        </w:tc>
        <w:tc>
          <w:tcPr>
            <w:tcW w:w="476" w:type="dxa"/>
            <w:noWrap/>
            <w:hideMark/>
          </w:tcPr>
          <w:p w14:paraId="1146508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518BE06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E2C79F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B504C4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228A2AC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99749D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BF79BA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551A855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757A659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7398763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AFD3CC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01296A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42A937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068B77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C532BA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DBE237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2648EC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7826B15A" w14:textId="77777777" w:rsidTr="005B25AB">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0ADEFA09" w14:textId="77777777" w:rsidR="005B25AB" w:rsidRPr="00A6515E" w:rsidRDefault="005B25AB" w:rsidP="003D157D">
            <w:pPr>
              <w:rPr>
                <w:b w:val="0"/>
                <w:bCs w:val="0"/>
                <w:szCs w:val="18"/>
              </w:rPr>
            </w:pPr>
          </w:p>
        </w:tc>
        <w:tc>
          <w:tcPr>
            <w:tcW w:w="474" w:type="dxa"/>
            <w:noWrap/>
            <w:hideMark/>
          </w:tcPr>
          <w:p w14:paraId="272AECE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28</w:t>
            </w:r>
          </w:p>
        </w:tc>
        <w:tc>
          <w:tcPr>
            <w:tcW w:w="476" w:type="dxa"/>
            <w:noWrap/>
            <w:hideMark/>
          </w:tcPr>
          <w:p w14:paraId="34CF5E9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126DA12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2CD03A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E12025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73F1D52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F8AD61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C440EB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49F46A1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4096499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60914AB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0ED39A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7C9CBA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397B06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D56F8E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C9739B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08EEB9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5F1CBD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2037BF99" w14:textId="77777777" w:rsidTr="005B25A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7F6EC240" w14:textId="77777777" w:rsidR="005B25AB" w:rsidRPr="00A6515E" w:rsidRDefault="005B25AB" w:rsidP="003D157D">
            <w:pPr>
              <w:rPr>
                <w:b w:val="0"/>
                <w:bCs w:val="0"/>
                <w:szCs w:val="18"/>
              </w:rPr>
            </w:pPr>
          </w:p>
        </w:tc>
        <w:tc>
          <w:tcPr>
            <w:tcW w:w="474" w:type="dxa"/>
            <w:noWrap/>
            <w:hideMark/>
          </w:tcPr>
          <w:p w14:paraId="571F1B7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29</w:t>
            </w:r>
          </w:p>
        </w:tc>
        <w:tc>
          <w:tcPr>
            <w:tcW w:w="476" w:type="dxa"/>
            <w:noWrap/>
            <w:hideMark/>
          </w:tcPr>
          <w:p w14:paraId="5F6E8F8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2F86322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A3F97E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4B4460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12F02A3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290D42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928ABC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1852943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330CA7D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078EF2B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12021EA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765E29F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57D691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7344D6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C8B146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E9BA4E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4118C1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7D94F2D8" w14:textId="77777777" w:rsidTr="005B25AB">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15BE0C61" w14:textId="77777777" w:rsidR="005B25AB" w:rsidRPr="00A6515E" w:rsidRDefault="005B25AB" w:rsidP="003D157D">
            <w:pPr>
              <w:rPr>
                <w:b w:val="0"/>
                <w:bCs w:val="0"/>
                <w:szCs w:val="18"/>
              </w:rPr>
            </w:pPr>
          </w:p>
        </w:tc>
        <w:tc>
          <w:tcPr>
            <w:tcW w:w="474" w:type="dxa"/>
            <w:noWrap/>
            <w:hideMark/>
          </w:tcPr>
          <w:p w14:paraId="36ED96C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30</w:t>
            </w:r>
          </w:p>
        </w:tc>
        <w:tc>
          <w:tcPr>
            <w:tcW w:w="476" w:type="dxa"/>
            <w:noWrap/>
            <w:hideMark/>
          </w:tcPr>
          <w:p w14:paraId="53BDB98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3082CE6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53509E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EC9BD8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1C77EED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0131E1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8769D6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3981E0C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4698C9A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6E7D98B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359488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7341248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5246BE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14C2A6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2036EB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8BB05E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9DF10D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CB514F1" w14:textId="77777777" w:rsidTr="005B25A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56354F44" w14:textId="77777777" w:rsidR="005B25AB" w:rsidRPr="00A6515E" w:rsidRDefault="005B25AB" w:rsidP="003D157D">
            <w:pPr>
              <w:rPr>
                <w:b w:val="0"/>
                <w:bCs w:val="0"/>
                <w:szCs w:val="18"/>
              </w:rPr>
            </w:pPr>
          </w:p>
        </w:tc>
        <w:tc>
          <w:tcPr>
            <w:tcW w:w="474" w:type="dxa"/>
            <w:noWrap/>
            <w:hideMark/>
          </w:tcPr>
          <w:p w14:paraId="562EB4D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31</w:t>
            </w:r>
          </w:p>
        </w:tc>
        <w:tc>
          <w:tcPr>
            <w:tcW w:w="476" w:type="dxa"/>
            <w:noWrap/>
            <w:hideMark/>
          </w:tcPr>
          <w:p w14:paraId="58DCDE2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2C4402B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8282FC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8BE636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4AF7318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83468E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DA943B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4198204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041BC26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37FDA52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18B500A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72E64DA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083DAA6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40BE136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6FAE07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181CF6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BFDA52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6CC330C7" w14:textId="77777777" w:rsidTr="005B25AB">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79F14A99" w14:textId="77777777" w:rsidR="005B25AB" w:rsidRPr="00A6515E" w:rsidRDefault="005B25AB" w:rsidP="003D157D">
            <w:pPr>
              <w:rPr>
                <w:b w:val="0"/>
                <w:bCs w:val="0"/>
                <w:szCs w:val="18"/>
              </w:rPr>
            </w:pPr>
          </w:p>
        </w:tc>
        <w:tc>
          <w:tcPr>
            <w:tcW w:w="474" w:type="dxa"/>
            <w:noWrap/>
            <w:hideMark/>
          </w:tcPr>
          <w:p w14:paraId="38C7C2E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32</w:t>
            </w:r>
          </w:p>
        </w:tc>
        <w:tc>
          <w:tcPr>
            <w:tcW w:w="476" w:type="dxa"/>
            <w:noWrap/>
            <w:hideMark/>
          </w:tcPr>
          <w:p w14:paraId="628CBA0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4BC8D15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214D98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4EA6D8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078D18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60BCB3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D7FD14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B8C518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1120A5D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2C874EB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5DE2ECD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65A4B65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AF4175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12F9E5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AD9A19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A198DC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160E1C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7C11F389" w14:textId="77777777" w:rsidTr="005B25A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17332670" w14:textId="77777777" w:rsidR="005B25AB" w:rsidRPr="00A6515E" w:rsidRDefault="005B25AB" w:rsidP="003D157D">
            <w:pPr>
              <w:rPr>
                <w:b w:val="0"/>
                <w:bCs w:val="0"/>
                <w:szCs w:val="18"/>
              </w:rPr>
            </w:pPr>
          </w:p>
        </w:tc>
        <w:tc>
          <w:tcPr>
            <w:tcW w:w="474" w:type="dxa"/>
            <w:noWrap/>
            <w:hideMark/>
          </w:tcPr>
          <w:p w14:paraId="2056545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33</w:t>
            </w:r>
          </w:p>
        </w:tc>
        <w:tc>
          <w:tcPr>
            <w:tcW w:w="476" w:type="dxa"/>
            <w:noWrap/>
            <w:hideMark/>
          </w:tcPr>
          <w:p w14:paraId="2AEEED5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2B140AF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AF619F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E502B2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3495012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535A7B5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13B166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62D6ED5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A5C1BD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AA4DCE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1BB3C9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70F7EC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87FC56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8C3E45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E1BD01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C0B178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092D56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3D97090B" w14:textId="77777777" w:rsidTr="005B25AB">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57B8B92B" w14:textId="77777777" w:rsidR="005B25AB" w:rsidRPr="00A6515E" w:rsidRDefault="005B25AB" w:rsidP="003D157D">
            <w:pPr>
              <w:rPr>
                <w:b w:val="0"/>
                <w:bCs w:val="0"/>
                <w:szCs w:val="18"/>
              </w:rPr>
            </w:pPr>
          </w:p>
        </w:tc>
        <w:tc>
          <w:tcPr>
            <w:tcW w:w="474" w:type="dxa"/>
            <w:noWrap/>
            <w:hideMark/>
          </w:tcPr>
          <w:p w14:paraId="64A47DC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34</w:t>
            </w:r>
          </w:p>
        </w:tc>
        <w:tc>
          <w:tcPr>
            <w:tcW w:w="476" w:type="dxa"/>
            <w:noWrap/>
            <w:hideMark/>
          </w:tcPr>
          <w:p w14:paraId="1579853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71F7A37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446A69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5725FB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6FD0219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EA66E3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1DECFE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0BDBADC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5A6C71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A2FC93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6472E5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3CA17B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AFC022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0EC2B2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F4030A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C96C34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ECDF0A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2AB3E8DD" w14:textId="77777777" w:rsidTr="005B25A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6642CFEC" w14:textId="77777777" w:rsidR="005B25AB" w:rsidRPr="00A6515E" w:rsidRDefault="005B25AB" w:rsidP="003D157D">
            <w:pPr>
              <w:rPr>
                <w:b w:val="0"/>
                <w:bCs w:val="0"/>
                <w:szCs w:val="18"/>
              </w:rPr>
            </w:pPr>
          </w:p>
        </w:tc>
        <w:tc>
          <w:tcPr>
            <w:tcW w:w="474" w:type="dxa"/>
            <w:noWrap/>
            <w:hideMark/>
          </w:tcPr>
          <w:p w14:paraId="2C2F844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35</w:t>
            </w:r>
          </w:p>
        </w:tc>
        <w:tc>
          <w:tcPr>
            <w:tcW w:w="476" w:type="dxa"/>
            <w:noWrap/>
            <w:hideMark/>
          </w:tcPr>
          <w:p w14:paraId="35F24EB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2BC2A1C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64C59E0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0C4C054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5B73380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E38559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237F91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85BB79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319F7D6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4E9A4C2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10676FE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6B3D73B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F8D428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93DB8B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FE41A8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CD9680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B79CCD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3D0AB485" w14:textId="77777777" w:rsidTr="005B25AB">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52F925D3" w14:textId="77777777" w:rsidR="005B25AB" w:rsidRPr="00A6515E" w:rsidRDefault="005B25AB" w:rsidP="003D157D">
            <w:pPr>
              <w:rPr>
                <w:b w:val="0"/>
                <w:bCs w:val="0"/>
                <w:szCs w:val="18"/>
              </w:rPr>
            </w:pPr>
          </w:p>
        </w:tc>
        <w:tc>
          <w:tcPr>
            <w:tcW w:w="474" w:type="dxa"/>
            <w:noWrap/>
            <w:hideMark/>
          </w:tcPr>
          <w:p w14:paraId="3B2CEAB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36</w:t>
            </w:r>
          </w:p>
        </w:tc>
        <w:tc>
          <w:tcPr>
            <w:tcW w:w="476" w:type="dxa"/>
            <w:noWrap/>
            <w:hideMark/>
          </w:tcPr>
          <w:p w14:paraId="4534566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03E2850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4173E4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ABE167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970D52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8AE380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EA8058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EE8496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055EEC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BB739C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F2FE16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AE623A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9F36AC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5A553B3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2CCEF9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B113CF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F5BBA6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1E5352D1" w14:textId="77777777" w:rsidTr="005B25A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4" w:type="dxa"/>
            <w:vMerge/>
            <w:hideMark/>
          </w:tcPr>
          <w:p w14:paraId="5EBC2782" w14:textId="77777777" w:rsidR="005B25AB" w:rsidRPr="00A6515E" w:rsidRDefault="005B25AB" w:rsidP="003D157D">
            <w:pPr>
              <w:rPr>
                <w:b w:val="0"/>
                <w:bCs w:val="0"/>
                <w:szCs w:val="18"/>
              </w:rPr>
            </w:pPr>
          </w:p>
        </w:tc>
        <w:tc>
          <w:tcPr>
            <w:tcW w:w="474" w:type="dxa"/>
            <w:noWrap/>
            <w:hideMark/>
          </w:tcPr>
          <w:p w14:paraId="7344943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37</w:t>
            </w:r>
          </w:p>
        </w:tc>
        <w:tc>
          <w:tcPr>
            <w:tcW w:w="476" w:type="dxa"/>
            <w:noWrap/>
            <w:hideMark/>
          </w:tcPr>
          <w:p w14:paraId="28F71B1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2AD5EBE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BC72A5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2B06BB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55219ED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5D7FAB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9B94EE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65152F1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8BC552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C1BA42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B75C7C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07E2C7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37D490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686712A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543F96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BC3784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4E9F47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bl>
    <w:p w14:paraId="7D9CE580" w14:textId="77777777" w:rsidR="005B25AB" w:rsidRDefault="005B25AB" w:rsidP="005B25AB"/>
    <w:tbl>
      <w:tblPr>
        <w:tblStyle w:val="Tableausimple4"/>
        <w:tblW w:w="0" w:type="auto"/>
        <w:tblLook w:val="04A0" w:firstRow="1" w:lastRow="0" w:firstColumn="1" w:lastColumn="0" w:noHBand="0" w:noVBand="1"/>
      </w:tblPr>
      <w:tblGrid>
        <w:gridCol w:w="474"/>
        <w:gridCol w:w="474"/>
        <w:gridCol w:w="476"/>
        <w:gridCol w:w="478"/>
        <w:gridCol w:w="478"/>
        <w:gridCol w:w="478"/>
        <w:gridCol w:w="478"/>
        <w:gridCol w:w="478"/>
        <w:gridCol w:w="478"/>
        <w:gridCol w:w="478"/>
        <w:gridCol w:w="478"/>
        <w:gridCol w:w="478"/>
        <w:gridCol w:w="478"/>
        <w:gridCol w:w="478"/>
        <w:gridCol w:w="478"/>
        <w:gridCol w:w="478"/>
        <w:gridCol w:w="478"/>
        <w:gridCol w:w="478"/>
        <w:gridCol w:w="478"/>
      </w:tblGrid>
      <w:tr w:rsidR="005B25AB" w:rsidRPr="00A6515E" w14:paraId="69DDA512" w14:textId="77777777" w:rsidTr="003D157D">
        <w:trPr>
          <w:cnfStyle w:val="100000000000" w:firstRow="1" w:lastRow="0" w:firstColumn="0" w:lastColumn="0" w:oddVBand="0" w:evenVBand="0" w:oddHBand="0" w:evenHBand="0" w:firstRowFirstColumn="0" w:firstRowLastColumn="0" w:lastRowFirstColumn="0" w:lastRowLastColumn="0"/>
          <w:trHeight w:val="824"/>
        </w:trPr>
        <w:tc>
          <w:tcPr>
            <w:cnfStyle w:val="001000000000" w:firstRow="0" w:lastRow="0" w:firstColumn="1" w:lastColumn="0" w:oddVBand="0" w:evenVBand="0" w:oddHBand="0" w:evenHBand="0" w:firstRowFirstColumn="0" w:firstRowLastColumn="0" w:lastRowFirstColumn="0" w:lastRowLastColumn="0"/>
            <w:tcW w:w="490" w:type="dxa"/>
            <w:textDirection w:val="btLr"/>
          </w:tcPr>
          <w:p w14:paraId="071D6DF1" w14:textId="77777777" w:rsidR="005B25AB" w:rsidRPr="00A6515E" w:rsidRDefault="005B25AB" w:rsidP="003D157D">
            <w:pPr>
              <w:rPr>
                <w:szCs w:val="18"/>
              </w:rPr>
            </w:pPr>
          </w:p>
        </w:tc>
        <w:tc>
          <w:tcPr>
            <w:tcW w:w="490" w:type="dxa"/>
            <w:noWrap/>
          </w:tcPr>
          <w:p w14:paraId="0F0F7592"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bCs w:val="0"/>
                <w:szCs w:val="18"/>
              </w:rPr>
            </w:pPr>
            <w:r w:rsidRPr="00A6515E">
              <w:rPr>
                <w:szCs w:val="18"/>
              </w:rPr>
              <w:t>n°</w:t>
            </w:r>
          </w:p>
        </w:tc>
        <w:tc>
          <w:tcPr>
            <w:tcW w:w="492" w:type="dxa"/>
            <w:noWrap/>
            <w:textDirection w:val="btLr"/>
          </w:tcPr>
          <w:p w14:paraId="5F1E0C4C"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bCs w:val="0"/>
                <w:szCs w:val="18"/>
              </w:rPr>
            </w:pPr>
            <w:r w:rsidRPr="00A6515E">
              <w:rPr>
                <w:szCs w:val="18"/>
              </w:rPr>
              <w:t>CF</w:t>
            </w:r>
          </w:p>
        </w:tc>
        <w:tc>
          <w:tcPr>
            <w:tcW w:w="495" w:type="dxa"/>
            <w:noWrap/>
            <w:textDirection w:val="btLr"/>
          </w:tcPr>
          <w:p w14:paraId="1ECAAA89"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GB_AD</w:t>
            </w:r>
          </w:p>
        </w:tc>
        <w:tc>
          <w:tcPr>
            <w:tcW w:w="495" w:type="dxa"/>
            <w:noWrap/>
            <w:textDirection w:val="btLr"/>
          </w:tcPr>
          <w:p w14:paraId="5FFD04F6"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GB_rough</w:t>
            </w:r>
          </w:p>
        </w:tc>
        <w:tc>
          <w:tcPr>
            <w:tcW w:w="496" w:type="dxa"/>
            <w:noWrap/>
            <w:textDirection w:val="btLr"/>
          </w:tcPr>
          <w:p w14:paraId="08B43E3E"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GB_myco</w:t>
            </w:r>
          </w:p>
        </w:tc>
        <w:tc>
          <w:tcPr>
            <w:tcW w:w="496" w:type="dxa"/>
            <w:noWrap/>
            <w:textDirection w:val="btLr"/>
          </w:tcPr>
          <w:p w14:paraId="05C48115"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BSF</w:t>
            </w:r>
          </w:p>
        </w:tc>
        <w:tc>
          <w:tcPr>
            <w:tcW w:w="496" w:type="dxa"/>
            <w:noWrap/>
            <w:textDirection w:val="btLr"/>
          </w:tcPr>
          <w:p w14:paraId="5E98AAB7"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SSF</w:t>
            </w:r>
          </w:p>
        </w:tc>
        <w:tc>
          <w:tcPr>
            <w:tcW w:w="496" w:type="dxa"/>
            <w:noWrap/>
            <w:textDirection w:val="btLr"/>
          </w:tcPr>
          <w:p w14:paraId="21DA0F24"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MYCO</w:t>
            </w:r>
          </w:p>
        </w:tc>
        <w:tc>
          <w:tcPr>
            <w:tcW w:w="496" w:type="dxa"/>
            <w:noWrap/>
            <w:textDirection w:val="btLr"/>
          </w:tcPr>
          <w:p w14:paraId="458397B1"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MP_AD</w:t>
            </w:r>
          </w:p>
        </w:tc>
        <w:tc>
          <w:tcPr>
            <w:tcW w:w="496" w:type="dxa"/>
            <w:noWrap/>
            <w:textDirection w:val="btLr"/>
          </w:tcPr>
          <w:p w14:paraId="645F434E"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MP_GA</w:t>
            </w:r>
          </w:p>
        </w:tc>
        <w:tc>
          <w:tcPr>
            <w:tcW w:w="496" w:type="dxa"/>
            <w:noWrap/>
            <w:textDirection w:val="btLr"/>
          </w:tcPr>
          <w:p w14:paraId="35A5F7A8"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AD</w:t>
            </w:r>
          </w:p>
        </w:tc>
        <w:tc>
          <w:tcPr>
            <w:tcW w:w="496" w:type="dxa"/>
            <w:noWrap/>
            <w:textDirection w:val="btLr"/>
          </w:tcPr>
          <w:p w14:paraId="3B1AA639"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GA</w:t>
            </w:r>
          </w:p>
        </w:tc>
        <w:tc>
          <w:tcPr>
            <w:tcW w:w="496" w:type="dxa"/>
            <w:noWrap/>
            <w:textDirection w:val="btLr"/>
          </w:tcPr>
          <w:p w14:paraId="0867A969"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DIR_CHP</w:t>
            </w:r>
          </w:p>
        </w:tc>
        <w:tc>
          <w:tcPr>
            <w:tcW w:w="496" w:type="dxa"/>
            <w:noWrap/>
            <w:textDirection w:val="btLr"/>
          </w:tcPr>
          <w:p w14:paraId="0BDAC650"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Heat</w:t>
            </w:r>
          </w:p>
        </w:tc>
        <w:tc>
          <w:tcPr>
            <w:tcW w:w="496" w:type="dxa"/>
            <w:noWrap/>
            <w:textDirection w:val="btLr"/>
          </w:tcPr>
          <w:p w14:paraId="62F6A222"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Burn</w:t>
            </w:r>
          </w:p>
        </w:tc>
        <w:tc>
          <w:tcPr>
            <w:tcW w:w="496" w:type="dxa"/>
            <w:noWrap/>
            <w:textDirection w:val="btLr"/>
          </w:tcPr>
          <w:p w14:paraId="2AB6DF99"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Compost</w:t>
            </w:r>
          </w:p>
        </w:tc>
        <w:tc>
          <w:tcPr>
            <w:tcW w:w="496" w:type="dxa"/>
            <w:noWrap/>
            <w:textDirection w:val="btLr"/>
          </w:tcPr>
          <w:p w14:paraId="44ACC3FA"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Spread</w:t>
            </w:r>
          </w:p>
        </w:tc>
        <w:tc>
          <w:tcPr>
            <w:tcW w:w="496" w:type="dxa"/>
            <w:noWrap/>
            <w:textDirection w:val="btLr"/>
          </w:tcPr>
          <w:p w14:paraId="32E72E08"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Decay</w:t>
            </w:r>
          </w:p>
        </w:tc>
      </w:tr>
      <w:tr w:rsidR="005B25AB" w:rsidRPr="00A6515E" w14:paraId="134A9EA6"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90" w:type="dxa"/>
            <w:vMerge w:val="restart"/>
            <w:textDirection w:val="btLr"/>
            <w:hideMark/>
          </w:tcPr>
          <w:p w14:paraId="77129E45" w14:textId="77777777" w:rsidR="005B25AB" w:rsidRPr="00A6515E" w:rsidRDefault="005B25AB" w:rsidP="003D157D">
            <w:pPr>
              <w:rPr>
                <w:b w:val="0"/>
                <w:bCs w:val="0"/>
                <w:szCs w:val="18"/>
              </w:rPr>
            </w:pPr>
            <w:r w:rsidRPr="00A6515E">
              <w:rPr>
                <w:szCs w:val="18"/>
              </w:rPr>
              <w:t>Generic land emission factors</w:t>
            </w:r>
          </w:p>
        </w:tc>
        <w:tc>
          <w:tcPr>
            <w:tcW w:w="490" w:type="dxa"/>
            <w:noWrap/>
            <w:hideMark/>
          </w:tcPr>
          <w:p w14:paraId="204EAB2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38</w:t>
            </w:r>
          </w:p>
        </w:tc>
        <w:tc>
          <w:tcPr>
            <w:tcW w:w="492" w:type="dxa"/>
            <w:noWrap/>
            <w:hideMark/>
          </w:tcPr>
          <w:p w14:paraId="0508311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95" w:type="dxa"/>
            <w:noWrap/>
            <w:hideMark/>
          </w:tcPr>
          <w:p w14:paraId="2650DF6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5" w:type="dxa"/>
            <w:noWrap/>
            <w:hideMark/>
          </w:tcPr>
          <w:p w14:paraId="07966EC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31244FF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591B71E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0CED318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29147D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A7D76A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5A3E521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3E12B2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10406FD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30FB00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BE0A80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499EF5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307F2F8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1A4E0E0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3F7C014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r>
      <w:tr w:rsidR="005B25AB" w:rsidRPr="00A6515E" w14:paraId="7472A530"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90" w:type="dxa"/>
            <w:vMerge/>
            <w:hideMark/>
          </w:tcPr>
          <w:p w14:paraId="30B4F835" w14:textId="77777777" w:rsidR="005B25AB" w:rsidRPr="00A6515E" w:rsidRDefault="005B25AB" w:rsidP="003D157D">
            <w:pPr>
              <w:rPr>
                <w:b w:val="0"/>
                <w:bCs w:val="0"/>
                <w:szCs w:val="18"/>
              </w:rPr>
            </w:pPr>
          </w:p>
        </w:tc>
        <w:tc>
          <w:tcPr>
            <w:tcW w:w="490" w:type="dxa"/>
            <w:noWrap/>
            <w:hideMark/>
          </w:tcPr>
          <w:p w14:paraId="29A2E20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39</w:t>
            </w:r>
          </w:p>
        </w:tc>
        <w:tc>
          <w:tcPr>
            <w:tcW w:w="492" w:type="dxa"/>
            <w:noWrap/>
            <w:hideMark/>
          </w:tcPr>
          <w:p w14:paraId="68C6A33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95" w:type="dxa"/>
            <w:noWrap/>
            <w:hideMark/>
          </w:tcPr>
          <w:p w14:paraId="276FC84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5" w:type="dxa"/>
            <w:noWrap/>
            <w:hideMark/>
          </w:tcPr>
          <w:p w14:paraId="0662083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9E2961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4A6298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594336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185C17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35B458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F86087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4002D6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5D99BC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83A34A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C03B5B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55E809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5784EF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37B1ED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55B23A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56E7853D"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90" w:type="dxa"/>
            <w:vMerge/>
            <w:hideMark/>
          </w:tcPr>
          <w:p w14:paraId="6D380A23" w14:textId="77777777" w:rsidR="005B25AB" w:rsidRPr="00A6515E" w:rsidRDefault="005B25AB" w:rsidP="003D157D">
            <w:pPr>
              <w:rPr>
                <w:b w:val="0"/>
                <w:bCs w:val="0"/>
                <w:szCs w:val="18"/>
              </w:rPr>
            </w:pPr>
          </w:p>
        </w:tc>
        <w:tc>
          <w:tcPr>
            <w:tcW w:w="490" w:type="dxa"/>
            <w:noWrap/>
            <w:hideMark/>
          </w:tcPr>
          <w:p w14:paraId="19E9C98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40</w:t>
            </w:r>
          </w:p>
        </w:tc>
        <w:tc>
          <w:tcPr>
            <w:tcW w:w="492" w:type="dxa"/>
            <w:noWrap/>
            <w:hideMark/>
          </w:tcPr>
          <w:p w14:paraId="38E5917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95" w:type="dxa"/>
            <w:noWrap/>
            <w:hideMark/>
          </w:tcPr>
          <w:p w14:paraId="5A0A765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5" w:type="dxa"/>
            <w:noWrap/>
            <w:hideMark/>
          </w:tcPr>
          <w:p w14:paraId="5E6BE2D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6BE950A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70C70F1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F9C01F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F0505C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EBB65F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36441AF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DCC165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49826E9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BDA308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C83E34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AB25AB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474F863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50DD7E8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5C4B7C2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r>
      <w:tr w:rsidR="005B25AB" w:rsidRPr="00A6515E" w14:paraId="0DB819B0"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90" w:type="dxa"/>
            <w:vMerge/>
            <w:hideMark/>
          </w:tcPr>
          <w:p w14:paraId="0AEF6C86" w14:textId="77777777" w:rsidR="005B25AB" w:rsidRPr="00A6515E" w:rsidRDefault="005B25AB" w:rsidP="003D157D">
            <w:pPr>
              <w:rPr>
                <w:b w:val="0"/>
                <w:bCs w:val="0"/>
                <w:szCs w:val="18"/>
              </w:rPr>
            </w:pPr>
          </w:p>
        </w:tc>
        <w:tc>
          <w:tcPr>
            <w:tcW w:w="490" w:type="dxa"/>
            <w:noWrap/>
            <w:hideMark/>
          </w:tcPr>
          <w:p w14:paraId="1E2311B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41</w:t>
            </w:r>
          </w:p>
        </w:tc>
        <w:tc>
          <w:tcPr>
            <w:tcW w:w="492" w:type="dxa"/>
            <w:noWrap/>
            <w:hideMark/>
          </w:tcPr>
          <w:p w14:paraId="426B8CC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95" w:type="dxa"/>
            <w:noWrap/>
            <w:hideMark/>
          </w:tcPr>
          <w:p w14:paraId="3305367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5" w:type="dxa"/>
            <w:noWrap/>
            <w:hideMark/>
          </w:tcPr>
          <w:p w14:paraId="6A08451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5A4F112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26517C1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1F12CC1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F2D1FC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1289AF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3DCEAE4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CFFE56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4011836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AEBDDF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5AF1FC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A61EC7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49B9FB7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7EF089F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6CEAFB5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r>
      <w:tr w:rsidR="005B25AB" w:rsidRPr="00A6515E" w14:paraId="53A8DC9A"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90" w:type="dxa"/>
            <w:vMerge/>
            <w:hideMark/>
          </w:tcPr>
          <w:p w14:paraId="6ABE1E85" w14:textId="77777777" w:rsidR="005B25AB" w:rsidRPr="00A6515E" w:rsidRDefault="005B25AB" w:rsidP="003D157D">
            <w:pPr>
              <w:rPr>
                <w:b w:val="0"/>
                <w:bCs w:val="0"/>
                <w:szCs w:val="18"/>
              </w:rPr>
            </w:pPr>
          </w:p>
        </w:tc>
        <w:tc>
          <w:tcPr>
            <w:tcW w:w="490" w:type="dxa"/>
            <w:noWrap/>
            <w:hideMark/>
          </w:tcPr>
          <w:p w14:paraId="1AA5CD4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42</w:t>
            </w:r>
          </w:p>
        </w:tc>
        <w:tc>
          <w:tcPr>
            <w:tcW w:w="492" w:type="dxa"/>
            <w:noWrap/>
            <w:hideMark/>
          </w:tcPr>
          <w:p w14:paraId="65BFF08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95" w:type="dxa"/>
            <w:noWrap/>
            <w:hideMark/>
          </w:tcPr>
          <w:p w14:paraId="0F7B7AE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5" w:type="dxa"/>
            <w:noWrap/>
            <w:hideMark/>
          </w:tcPr>
          <w:p w14:paraId="0F26E68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6266B77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199A063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44ED0A4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4AF21C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DAF91A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3374978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AE4FAC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5D7609C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462BEF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B44B3C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5B13C3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B601E4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3175DC1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118919A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r>
      <w:tr w:rsidR="005B25AB" w:rsidRPr="00A6515E" w14:paraId="35C9C31D"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90" w:type="dxa"/>
            <w:vMerge/>
            <w:hideMark/>
          </w:tcPr>
          <w:p w14:paraId="1023D2BF" w14:textId="77777777" w:rsidR="005B25AB" w:rsidRPr="00A6515E" w:rsidRDefault="005B25AB" w:rsidP="003D157D">
            <w:pPr>
              <w:rPr>
                <w:b w:val="0"/>
                <w:bCs w:val="0"/>
                <w:szCs w:val="18"/>
              </w:rPr>
            </w:pPr>
          </w:p>
        </w:tc>
        <w:tc>
          <w:tcPr>
            <w:tcW w:w="490" w:type="dxa"/>
            <w:noWrap/>
            <w:hideMark/>
          </w:tcPr>
          <w:p w14:paraId="495891D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43</w:t>
            </w:r>
          </w:p>
        </w:tc>
        <w:tc>
          <w:tcPr>
            <w:tcW w:w="492" w:type="dxa"/>
            <w:noWrap/>
            <w:hideMark/>
          </w:tcPr>
          <w:p w14:paraId="65E00EF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95" w:type="dxa"/>
            <w:noWrap/>
            <w:hideMark/>
          </w:tcPr>
          <w:p w14:paraId="5FAB117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5" w:type="dxa"/>
            <w:noWrap/>
            <w:hideMark/>
          </w:tcPr>
          <w:p w14:paraId="40C9E61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1C8D9EE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00150E5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42D4931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01CF2D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19CFCC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1E99E35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0B2546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245D7D5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19E3EB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ED97AC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8470A6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86674B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0D98A13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336E9EA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r>
      <w:tr w:rsidR="005B25AB" w:rsidRPr="00A6515E" w14:paraId="4FC0A290"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90" w:type="dxa"/>
            <w:vMerge/>
            <w:hideMark/>
          </w:tcPr>
          <w:p w14:paraId="184F03D5" w14:textId="77777777" w:rsidR="005B25AB" w:rsidRPr="00A6515E" w:rsidRDefault="005B25AB" w:rsidP="003D157D">
            <w:pPr>
              <w:rPr>
                <w:b w:val="0"/>
                <w:bCs w:val="0"/>
                <w:szCs w:val="18"/>
              </w:rPr>
            </w:pPr>
          </w:p>
        </w:tc>
        <w:tc>
          <w:tcPr>
            <w:tcW w:w="490" w:type="dxa"/>
            <w:noWrap/>
            <w:hideMark/>
          </w:tcPr>
          <w:p w14:paraId="2A52C31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44</w:t>
            </w:r>
          </w:p>
        </w:tc>
        <w:tc>
          <w:tcPr>
            <w:tcW w:w="492" w:type="dxa"/>
            <w:noWrap/>
            <w:hideMark/>
          </w:tcPr>
          <w:p w14:paraId="44142D5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95" w:type="dxa"/>
            <w:noWrap/>
            <w:hideMark/>
          </w:tcPr>
          <w:p w14:paraId="551C3B7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5" w:type="dxa"/>
            <w:noWrap/>
            <w:hideMark/>
          </w:tcPr>
          <w:p w14:paraId="372254C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B1ACBC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E09673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19C895F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F2E3CC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BDDCD5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71C88C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CB74CD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F0B060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4F3306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094D4F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8BB7AC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B62C73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778254E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5E00621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r>
      <w:tr w:rsidR="005B25AB" w:rsidRPr="00A6515E" w14:paraId="3C4EC800"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90" w:type="dxa"/>
            <w:vMerge/>
            <w:hideMark/>
          </w:tcPr>
          <w:p w14:paraId="2C2958B6" w14:textId="77777777" w:rsidR="005B25AB" w:rsidRPr="00A6515E" w:rsidRDefault="005B25AB" w:rsidP="003D157D">
            <w:pPr>
              <w:rPr>
                <w:b w:val="0"/>
                <w:bCs w:val="0"/>
                <w:szCs w:val="18"/>
              </w:rPr>
            </w:pPr>
          </w:p>
        </w:tc>
        <w:tc>
          <w:tcPr>
            <w:tcW w:w="490" w:type="dxa"/>
            <w:noWrap/>
            <w:hideMark/>
          </w:tcPr>
          <w:p w14:paraId="493D154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45</w:t>
            </w:r>
          </w:p>
        </w:tc>
        <w:tc>
          <w:tcPr>
            <w:tcW w:w="492" w:type="dxa"/>
            <w:noWrap/>
            <w:hideMark/>
          </w:tcPr>
          <w:p w14:paraId="4765685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95" w:type="dxa"/>
            <w:noWrap/>
            <w:hideMark/>
          </w:tcPr>
          <w:p w14:paraId="1860592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5" w:type="dxa"/>
            <w:noWrap/>
            <w:hideMark/>
          </w:tcPr>
          <w:p w14:paraId="4349D41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25A277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7A7A63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559F699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FA3854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F3CB51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6FBBA9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233575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6AAFF9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91D4E2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44B1A0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032A12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15C9BB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68CDEFA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F6FBA6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D5406B1"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90" w:type="dxa"/>
            <w:vMerge/>
            <w:hideMark/>
          </w:tcPr>
          <w:p w14:paraId="355B85E3" w14:textId="77777777" w:rsidR="005B25AB" w:rsidRPr="00A6515E" w:rsidRDefault="005B25AB" w:rsidP="003D157D">
            <w:pPr>
              <w:rPr>
                <w:b w:val="0"/>
                <w:bCs w:val="0"/>
                <w:szCs w:val="18"/>
              </w:rPr>
            </w:pPr>
          </w:p>
        </w:tc>
        <w:tc>
          <w:tcPr>
            <w:tcW w:w="490" w:type="dxa"/>
            <w:noWrap/>
            <w:hideMark/>
          </w:tcPr>
          <w:p w14:paraId="132C1FC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46</w:t>
            </w:r>
          </w:p>
        </w:tc>
        <w:tc>
          <w:tcPr>
            <w:tcW w:w="492" w:type="dxa"/>
            <w:noWrap/>
            <w:hideMark/>
          </w:tcPr>
          <w:p w14:paraId="1ECC8FC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95" w:type="dxa"/>
            <w:noWrap/>
            <w:hideMark/>
          </w:tcPr>
          <w:p w14:paraId="28B4A7C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5" w:type="dxa"/>
            <w:noWrap/>
            <w:hideMark/>
          </w:tcPr>
          <w:p w14:paraId="35943E2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3212A0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A54EE9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2751A6E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27C4DE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5C4441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5743B2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70D7AF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B3339F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74453B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34D2F4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31CC5A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1D6D33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79708B2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6D97A2F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02B6FF88" w14:textId="77777777" w:rsidTr="003D157D">
        <w:trPr>
          <w:trHeight w:val="300"/>
        </w:trPr>
        <w:tc>
          <w:tcPr>
            <w:cnfStyle w:val="001000000000" w:firstRow="0" w:lastRow="0" w:firstColumn="1" w:lastColumn="0" w:oddVBand="0" w:evenVBand="0" w:oddHBand="0" w:evenHBand="0" w:firstRowFirstColumn="0" w:firstRowLastColumn="0" w:lastRowFirstColumn="0" w:lastRowLastColumn="0"/>
            <w:tcW w:w="490" w:type="dxa"/>
            <w:vMerge/>
            <w:hideMark/>
          </w:tcPr>
          <w:p w14:paraId="4B91A538" w14:textId="77777777" w:rsidR="005B25AB" w:rsidRPr="00A6515E" w:rsidRDefault="005B25AB" w:rsidP="003D157D">
            <w:pPr>
              <w:rPr>
                <w:b w:val="0"/>
                <w:bCs w:val="0"/>
                <w:szCs w:val="18"/>
              </w:rPr>
            </w:pPr>
          </w:p>
        </w:tc>
        <w:tc>
          <w:tcPr>
            <w:tcW w:w="490" w:type="dxa"/>
            <w:noWrap/>
            <w:hideMark/>
          </w:tcPr>
          <w:p w14:paraId="2D7C24F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47</w:t>
            </w:r>
          </w:p>
        </w:tc>
        <w:tc>
          <w:tcPr>
            <w:tcW w:w="492" w:type="dxa"/>
            <w:noWrap/>
            <w:hideMark/>
          </w:tcPr>
          <w:p w14:paraId="0EA4015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95" w:type="dxa"/>
            <w:noWrap/>
            <w:hideMark/>
          </w:tcPr>
          <w:p w14:paraId="44D40AA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5" w:type="dxa"/>
            <w:noWrap/>
            <w:hideMark/>
          </w:tcPr>
          <w:p w14:paraId="15A943F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19A052E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36989C3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17AEBED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5DBAFB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7F1047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7445A5F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EFCF96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39F9BED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D1A00D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99EF25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1C3392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974C00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1EF76FC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5874D8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2AE4C55A"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90" w:type="dxa"/>
            <w:vMerge w:val="restart"/>
            <w:shd w:val="clear" w:color="auto" w:fill="auto"/>
            <w:noWrap/>
            <w:textDirection w:val="btLr"/>
            <w:hideMark/>
          </w:tcPr>
          <w:p w14:paraId="4175A7B3" w14:textId="77777777" w:rsidR="005B25AB" w:rsidRPr="00A6515E" w:rsidRDefault="005B25AB" w:rsidP="003D157D">
            <w:pPr>
              <w:rPr>
                <w:b w:val="0"/>
                <w:bCs w:val="0"/>
                <w:szCs w:val="18"/>
              </w:rPr>
            </w:pPr>
            <w:r>
              <w:rPr>
                <w:szCs w:val="18"/>
              </w:rPr>
              <w:t>Specific to solid fermentation</w:t>
            </w:r>
          </w:p>
        </w:tc>
        <w:tc>
          <w:tcPr>
            <w:tcW w:w="490" w:type="dxa"/>
            <w:noWrap/>
            <w:hideMark/>
          </w:tcPr>
          <w:p w14:paraId="59AF46B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48</w:t>
            </w:r>
          </w:p>
        </w:tc>
        <w:tc>
          <w:tcPr>
            <w:tcW w:w="492" w:type="dxa"/>
            <w:noWrap/>
            <w:hideMark/>
          </w:tcPr>
          <w:p w14:paraId="343885F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95" w:type="dxa"/>
            <w:noWrap/>
            <w:hideMark/>
          </w:tcPr>
          <w:p w14:paraId="77772F8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5" w:type="dxa"/>
            <w:noWrap/>
            <w:hideMark/>
          </w:tcPr>
          <w:p w14:paraId="3266A0F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638E3D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F8981F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94C299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49E5452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B99B55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2CEA6D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CE3770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D59F0C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E75F23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DD9A9C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2531EE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9D5FF3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1AD367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D0EC69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2F99C0F5"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90" w:type="dxa"/>
            <w:vMerge/>
            <w:shd w:val="clear" w:color="auto" w:fill="auto"/>
            <w:hideMark/>
          </w:tcPr>
          <w:p w14:paraId="2573E045" w14:textId="77777777" w:rsidR="005B25AB" w:rsidRPr="00A6515E" w:rsidRDefault="005B25AB" w:rsidP="003D157D">
            <w:pPr>
              <w:rPr>
                <w:b w:val="0"/>
                <w:bCs w:val="0"/>
                <w:szCs w:val="18"/>
              </w:rPr>
            </w:pPr>
          </w:p>
        </w:tc>
        <w:tc>
          <w:tcPr>
            <w:tcW w:w="490" w:type="dxa"/>
            <w:noWrap/>
            <w:hideMark/>
          </w:tcPr>
          <w:p w14:paraId="696F70F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49</w:t>
            </w:r>
          </w:p>
        </w:tc>
        <w:tc>
          <w:tcPr>
            <w:tcW w:w="492" w:type="dxa"/>
            <w:noWrap/>
            <w:hideMark/>
          </w:tcPr>
          <w:p w14:paraId="734E5D0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95" w:type="dxa"/>
            <w:noWrap/>
            <w:hideMark/>
          </w:tcPr>
          <w:p w14:paraId="2054659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5" w:type="dxa"/>
            <w:noWrap/>
            <w:hideMark/>
          </w:tcPr>
          <w:p w14:paraId="60CAD9D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11370C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1DA8F8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8C13D4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2859BE9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5F0837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6EF337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195EC3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F92E1B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0EA72D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D43720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F7A2F9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D7F89E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0DAD7B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69224C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71E4DDE1"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90" w:type="dxa"/>
            <w:vMerge/>
            <w:shd w:val="clear" w:color="auto" w:fill="auto"/>
            <w:hideMark/>
          </w:tcPr>
          <w:p w14:paraId="388C489A" w14:textId="77777777" w:rsidR="005B25AB" w:rsidRPr="00A6515E" w:rsidRDefault="005B25AB" w:rsidP="003D157D">
            <w:pPr>
              <w:rPr>
                <w:b w:val="0"/>
                <w:bCs w:val="0"/>
                <w:szCs w:val="18"/>
              </w:rPr>
            </w:pPr>
          </w:p>
        </w:tc>
        <w:tc>
          <w:tcPr>
            <w:tcW w:w="490" w:type="dxa"/>
            <w:noWrap/>
            <w:hideMark/>
          </w:tcPr>
          <w:p w14:paraId="78CA0E5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50</w:t>
            </w:r>
          </w:p>
        </w:tc>
        <w:tc>
          <w:tcPr>
            <w:tcW w:w="492" w:type="dxa"/>
            <w:noWrap/>
            <w:hideMark/>
          </w:tcPr>
          <w:p w14:paraId="7A95FE7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95" w:type="dxa"/>
            <w:noWrap/>
            <w:hideMark/>
          </w:tcPr>
          <w:p w14:paraId="6751199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5" w:type="dxa"/>
            <w:noWrap/>
            <w:hideMark/>
          </w:tcPr>
          <w:p w14:paraId="2D4F8C6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FC9F70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216967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796512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7CB438C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8F334E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541A9F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322EC2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DC9A80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C40AA1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7C9935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B253A0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E2F1F5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0D1301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42E5E4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3FCB3F75"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90" w:type="dxa"/>
            <w:vMerge/>
            <w:shd w:val="clear" w:color="auto" w:fill="auto"/>
            <w:hideMark/>
          </w:tcPr>
          <w:p w14:paraId="7420F121" w14:textId="77777777" w:rsidR="005B25AB" w:rsidRPr="00A6515E" w:rsidRDefault="005B25AB" w:rsidP="003D157D">
            <w:pPr>
              <w:rPr>
                <w:b w:val="0"/>
                <w:bCs w:val="0"/>
                <w:szCs w:val="18"/>
              </w:rPr>
            </w:pPr>
          </w:p>
        </w:tc>
        <w:tc>
          <w:tcPr>
            <w:tcW w:w="490" w:type="dxa"/>
            <w:noWrap/>
            <w:hideMark/>
          </w:tcPr>
          <w:p w14:paraId="2ECF6A8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51</w:t>
            </w:r>
          </w:p>
        </w:tc>
        <w:tc>
          <w:tcPr>
            <w:tcW w:w="492" w:type="dxa"/>
            <w:noWrap/>
            <w:hideMark/>
          </w:tcPr>
          <w:p w14:paraId="6635F03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95" w:type="dxa"/>
            <w:noWrap/>
            <w:hideMark/>
          </w:tcPr>
          <w:p w14:paraId="3E4E4D6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5" w:type="dxa"/>
            <w:noWrap/>
            <w:hideMark/>
          </w:tcPr>
          <w:p w14:paraId="5CFBF17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86BFB1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18B668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BEA5C4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38E40CF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FD1C6B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DC0CDF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8AA701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D9C249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A355C4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C22B17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9FF049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760C17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5EAE88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FE7EF1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25B1944F"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90" w:type="dxa"/>
            <w:vMerge/>
            <w:shd w:val="clear" w:color="auto" w:fill="auto"/>
            <w:hideMark/>
          </w:tcPr>
          <w:p w14:paraId="734E5500" w14:textId="77777777" w:rsidR="005B25AB" w:rsidRPr="00A6515E" w:rsidRDefault="005B25AB" w:rsidP="003D157D">
            <w:pPr>
              <w:rPr>
                <w:b w:val="0"/>
                <w:bCs w:val="0"/>
                <w:szCs w:val="18"/>
              </w:rPr>
            </w:pPr>
          </w:p>
        </w:tc>
        <w:tc>
          <w:tcPr>
            <w:tcW w:w="490" w:type="dxa"/>
            <w:noWrap/>
            <w:hideMark/>
          </w:tcPr>
          <w:p w14:paraId="1F1FD79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52</w:t>
            </w:r>
          </w:p>
        </w:tc>
        <w:tc>
          <w:tcPr>
            <w:tcW w:w="492" w:type="dxa"/>
            <w:noWrap/>
            <w:hideMark/>
          </w:tcPr>
          <w:p w14:paraId="239F6A3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95" w:type="dxa"/>
            <w:noWrap/>
            <w:hideMark/>
          </w:tcPr>
          <w:p w14:paraId="35B9B09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5" w:type="dxa"/>
            <w:noWrap/>
            <w:hideMark/>
          </w:tcPr>
          <w:p w14:paraId="2FB7918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057B72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019057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AF4757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1F4AFCA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ACC0CE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118D40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08A50D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54CAC4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97963D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0F8700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5EF4BA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835667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3A78F5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E32960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0F66CAFD"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90" w:type="dxa"/>
            <w:vMerge/>
            <w:shd w:val="clear" w:color="auto" w:fill="auto"/>
            <w:hideMark/>
          </w:tcPr>
          <w:p w14:paraId="28935C90" w14:textId="77777777" w:rsidR="005B25AB" w:rsidRPr="00A6515E" w:rsidRDefault="005B25AB" w:rsidP="003D157D">
            <w:pPr>
              <w:rPr>
                <w:b w:val="0"/>
                <w:bCs w:val="0"/>
                <w:szCs w:val="18"/>
              </w:rPr>
            </w:pPr>
          </w:p>
        </w:tc>
        <w:tc>
          <w:tcPr>
            <w:tcW w:w="490" w:type="dxa"/>
            <w:noWrap/>
            <w:hideMark/>
          </w:tcPr>
          <w:p w14:paraId="3852CD3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53</w:t>
            </w:r>
          </w:p>
        </w:tc>
        <w:tc>
          <w:tcPr>
            <w:tcW w:w="492" w:type="dxa"/>
            <w:noWrap/>
            <w:hideMark/>
          </w:tcPr>
          <w:p w14:paraId="5B96923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95" w:type="dxa"/>
            <w:noWrap/>
            <w:hideMark/>
          </w:tcPr>
          <w:p w14:paraId="3A74116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5" w:type="dxa"/>
            <w:noWrap/>
            <w:hideMark/>
          </w:tcPr>
          <w:p w14:paraId="11CCC34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76C8EB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AAB584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A672B6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22F91FC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A44FDD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3CA23A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CC77B2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BCBDF0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7371BC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831892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F6720D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263AE2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51BC92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601D57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3D81D32C"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90" w:type="dxa"/>
            <w:vMerge/>
            <w:shd w:val="clear" w:color="auto" w:fill="auto"/>
            <w:hideMark/>
          </w:tcPr>
          <w:p w14:paraId="75860B72" w14:textId="77777777" w:rsidR="005B25AB" w:rsidRPr="00A6515E" w:rsidRDefault="005B25AB" w:rsidP="003D157D">
            <w:pPr>
              <w:rPr>
                <w:b w:val="0"/>
                <w:bCs w:val="0"/>
                <w:szCs w:val="18"/>
              </w:rPr>
            </w:pPr>
          </w:p>
        </w:tc>
        <w:tc>
          <w:tcPr>
            <w:tcW w:w="490" w:type="dxa"/>
            <w:noWrap/>
            <w:hideMark/>
          </w:tcPr>
          <w:p w14:paraId="327215D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54</w:t>
            </w:r>
          </w:p>
        </w:tc>
        <w:tc>
          <w:tcPr>
            <w:tcW w:w="492" w:type="dxa"/>
            <w:noWrap/>
            <w:hideMark/>
          </w:tcPr>
          <w:p w14:paraId="5DBBC11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95" w:type="dxa"/>
            <w:noWrap/>
            <w:hideMark/>
          </w:tcPr>
          <w:p w14:paraId="06EAE10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5" w:type="dxa"/>
            <w:noWrap/>
            <w:hideMark/>
          </w:tcPr>
          <w:p w14:paraId="7BC87FD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5DC7BC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686192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17FB10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7AB82F4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6FB157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973E33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DE1163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F1E164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0492A3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1E4341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AAF99E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DB0A95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D5DF1D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8144AA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60D5B033"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90" w:type="dxa"/>
            <w:vMerge/>
            <w:shd w:val="clear" w:color="auto" w:fill="auto"/>
            <w:hideMark/>
          </w:tcPr>
          <w:p w14:paraId="388F106F" w14:textId="77777777" w:rsidR="005B25AB" w:rsidRPr="00A6515E" w:rsidRDefault="005B25AB" w:rsidP="003D157D">
            <w:pPr>
              <w:rPr>
                <w:b w:val="0"/>
                <w:bCs w:val="0"/>
                <w:szCs w:val="18"/>
              </w:rPr>
            </w:pPr>
          </w:p>
        </w:tc>
        <w:tc>
          <w:tcPr>
            <w:tcW w:w="490" w:type="dxa"/>
            <w:noWrap/>
            <w:hideMark/>
          </w:tcPr>
          <w:p w14:paraId="637636C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55</w:t>
            </w:r>
          </w:p>
        </w:tc>
        <w:tc>
          <w:tcPr>
            <w:tcW w:w="492" w:type="dxa"/>
            <w:noWrap/>
            <w:hideMark/>
          </w:tcPr>
          <w:p w14:paraId="49217DC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95" w:type="dxa"/>
            <w:noWrap/>
            <w:hideMark/>
          </w:tcPr>
          <w:p w14:paraId="24E3790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5" w:type="dxa"/>
            <w:noWrap/>
            <w:hideMark/>
          </w:tcPr>
          <w:p w14:paraId="45A63EA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5BD9ED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682D38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3FAAC5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42B1DFC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CE2467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FB5D1B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D3A4F5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1018C0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364B0F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8E5F32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8AF2AC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309639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A3F953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44D342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09018F8"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90" w:type="dxa"/>
            <w:vMerge/>
            <w:shd w:val="clear" w:color="auto" w:fill="auto"/>
            <w:hideMark/>
          </w:tcPr>
          <w:p w14:paraId="00D5890C" w14:textId="77777777" w:rsidR="005B25AB" w:rsidRPr="00A6515E" w:rsidRDefault="005B25AB" w:rsidP="003D157D">
            <w:pPr>
              <w:rPr>
                <w:b w:val="0"/>
                <w:bCs w:val="0"/>
                <w:szCs w:val="18"/>
              </w:rPr>
            </w:pPr>
          </w:p>
        </w:tc>
        <w:tc>
          <w:tcPr>
            <w:tcW w:w="490" w:type="dxa"/>
            <w:noWrap/>
            <w:hideMark/>
          </w:tcPr>
          <w:p w14:paraId="1AF72FC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56</w:t>
            </w:r>
          </w:p>
        </w:tc>
        <w:tc>
          <w:tcPr>
            <w:tcW w:w="492" w:type="dxa"/>
            <w:noWrap/>
            <w:hideMark/>
          </w:tcPr>
          <w:p w14:paraId="17F0DBC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95" w:type="dxa"/>
            <w:noWrap/>
            <w:hideMark/>
          </w:tcPr>
          <w:p w14:paraId="0E2B672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5" w:type="dxa"/>
            <w:noWrap/>
            <w:hideMark/>
          </w:tcPr>
          <w:p w14:paraId="321FF6F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F51B2F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C4A7D8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0BED8E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14932BA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CFF299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3EB8A5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E2697C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998756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8DD6D7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1BCBDF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0D0FA8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C29188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F9E4E4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72CE66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7CE51075"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90" w:type="dxa"/>
            <w:vMerge/>
            <w:shd w:val="clear" w:color="auto" w:fill="auto"/>
            <w:hideMark/>
          </w:tcPr>
          <w:p w14:paraId="131ABF3C" w14:textId="77777777" w:rsidR="005B25AB" w:rsidRPr="00A6515E" w:rsidRDefault="005B25AB" w:rsidP="003D157D">
            <w:pPr>
              <w:rPr>
                <w:b w:val="0"/>
                <w:bCs w:val="0"/>
                <w:szCs w:val="18"/>
              </w:rPr>
            </w:pPr>
          </w:p>
        </w:tc>
        <w:tc>
          <w:tcPr>
            <w:tcW w:w="490" w:type="dxa"/>
            <w:noWrap/>
            <w:hideMark/>
          </w:tcPr>
          <w:p w14:paraId="04270BC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57</w:t>
            </w:r>
          </w:p>
        </w:tc>
        <w:tc>
          <w:tcPr>
            <w:tcW w:w="492" w:type="dxa"/>
            <w:noWrap/>
            <w:hideMark/>
          </w:tcPr>
          <w:p w14:paraId="68FCC1B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95" w:type="dxa"/>
            <w:noWrap/>
            <w:hideMark/>
          </w:tcPr>
          <w:p w14:paraId="43A0683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5" w:type="dxa"/>
            <w:noWrap/>
            <w:hideMark/>
          </w:tcPr>
          <w:p w14:paraId="7BC9EA0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C24F52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0DD998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057D15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5407F09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FA6D12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DB3041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7B092F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C01DDF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EAC882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BF0D22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0BC129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A2209A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6D8A9C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0F6F36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5865C4F4"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90" w:type="dxa"/>
            <w:vMerge/>
            <w:shd w:val="clear" w:color="auto" w:fill="auto"/>
            <w:hideMark/>
          </w:tcPr>
          <w:p w14:paraId="7AB5485E" w14:textId="77777777" w:rsidR="005B25AB" w:rsidRPr="00A6515E" w:rsidRDefault="005B25AB" w:rsidP="003D157D">
            <w:pPr>
              <w:rPr>
                <w:b w:val="0"/>
                <w:bCs w:val="0"/>
                <w:szCs w:val="18"/>
              </w:rPr>
            </w:pPr>
          </w:p>
        </w:tc>
        <w:tc>
          <w:tcPr>
            <w:tcW w:w="490" w:type="dxa"/>
            <w:noWrap/>
            <w:hideMark/>
          </w:tcPr>
          <w:p w14:paraId="17A645B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58</w:t>
            </w:r>
          </w:p>
        </w:tc>
        <w:tc>
          <w:tcPr>
            <w:tcW w:w="492" w:type="dxa"/>
            <w:noWrap/>
            <w:hideMark/>
          </w:tcPr>
          <w:p w14:paraId="60CC87C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95" w:type="dxa"/>
            <w:noWrap/>
            <w:hideMark/>
          </w:tcPr>
          <w:p w14:paraId="21815CB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5" w:type="dxa"/>
            <w:noWrap/>
            <w:hideMark/>
          </w:tcPr>
          <w:p w14:paraId="7ACDE11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7422E8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1003AA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0D7D0D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4272D73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AB6308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A7111B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EC2B0A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DFF5EC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8E3614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61836C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9FAB43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1E114E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2EB90C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21CDD6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001E8020"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90" w:type="dxa"/>
            <w:vMerge/>
            <w:shd w:val="clear" w:color="auto" w:fill="auto"/>
            <w:hideMark/>
          </w:tcPr>
          <w:p w14:paraId="5341A213" w14:textId="77777777" w:rsidR="005B25AB" w:rsidRPr="00A6515E" w:rsidRDefault="005B25AB" w:rsidP="003D157D">
            <w:pPr>
              <w:rPr>
                <w:b w:val="0"/>
                <w:bCs w:val="0"/>
                <w:szCs w:val="18"/>
              </w:rPr>
            </w:pPr>
          </w:p>
        </w:tc>
        <w:tc>
          <w:tcPr>
            <w:tcW w:w="490" w:type="dxa"/>
            <w:noWrap/>
            <w:hideMark/>
          </w:tcPr>
          <w:p w14:paraId="17F3A02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59</w:t>
            </w:r>
          </w:p>
        </w:tc>
        <w:tc>
          <w:tcPr>
            <w:tcW w:w="492" w:type="dxa"/>
            <w:noWrap/>
            <w:hideMark/>
          </w:tcPr>
          <w:p w14:paraId="7853A53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95" w:type="dxa"/>
            <w:noWrap/>
            <w:hideMark/>
          </w:tcPr>
          <w:p w14:paraId="3BF575B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5" w:type="dxa"/>
            <w:noWrap/>
            <w:hideMark/>
          </w:tcPr>
          <w:p w14:paraId="52B28FD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7448C6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BCA79A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1AA8EC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37354E1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30115A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BA79C7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829D53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7E6BA3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981974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B9588D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2AE5D5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640B5C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B89F92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727E23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49B08ADF"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90" w:type="dxa"/>
            <w:vMerge/>
            <w:shd w:val="clear" w:color="auto" w:fill="auto"/>
            <w:hideMark/>
          </w:tcPr>
          <w:p w14:paraId="2D25EFD1" w14:textId="77777777" w:rsidR="005B25AB" w:rsidRPr="00A6515E" w:rsidRDefault="005B25AB" w:rsidP="003D157D">
            <w:pPr>
              <w:rPr>
                <w:b w:val="0"/>
                <w:bCs w:val="0"/>
                <w:szCs w:val="18"/>
              </w:rPr>
            </w:pPr>
          </w:p>
        </w:tc>
        <w:tc>
          <w:tcPr>
            <w:tcW w:w="490" w:type="dxa"/>
            <w:noWrap/>
            <w:hideMark/>
          </w:tcPr>
          <w:p w14:paraId="236DF48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60</w:t>
            </w:r>
          </w:p>
        </w:tc>
        <w:tc>
          <w:tcPr>
            <w:tcW w:w="492" w:type="dxa"/>
            <w:noWrap/>
            <w:hideMark/>
          </w:tcPr>
          <w:p w14:paraId="4C49B6F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95" w:type="dxa"/>
            <w:noWrap/>
            <w:hideMark/>
          </w:tcPr>
          <w:p w14:paraId="42FD84E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5" w:type="dxa"/>
            <w:noWrap/>
            <w:hideMark/>
          </w:tcPr>
          <w:p w14:paraId="12E0D4A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64B0E1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868792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AFB824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1DC122A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55C14B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892E64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699F88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BE13E9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B2B335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35DA6E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AD920D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6CED7F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83FE72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694E8B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6E5649E6"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90" w:type="dxa"/>
            <w:vMerge/>
            <w:shd w:val="clear" w:color="auto" w:fill="auto"/>
            <w:hideMark/>
          </w:tcPr>
          <w:p w14:paraId="14CC777D" w14:textId="77777777" w:rsidR="005B25AB" w:rsidRPr="00A6515E" w:rsidRDefault="005B25AB" w:rsidP="003D157D">
            <w:pPr>
              <w:rPr>
                <w:b w:val="0"/>
                <w:bCs w:val="0"/>
                <w:szCs w:val="18"/>
              </w:rPr>
            </w:pPr>
          </w:p>
        </w:tc>
        <w:tc>
          <w:tcPr>
            <w:tcW w:w="490" w:type="dxa"/>
            <w:noWrap/>
            <w:hideMark/>
          </w:tcPr>
          <w:p w14:paraId="0310AE2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61</w:t>
            </w:r>
          </w:p>
        </w:tc>
        <w:tc>
          <w:tcPr>
            <w:tcW w:w="492" w:type="dxa"/>
            <w:noWrap/>
            <w:hideMark/>
          </w:tcPr>
          <w:p w14:paraId="31F613C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95" w:type="dxa"/>
            <w:noWrap/>
            <w:hideMark/>
          </w:tcPr>
          <w:p w14:paraId="48611AE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5" w:type="dxa"/>
            <w:noWrap/>
            <w:hideMark/>
          </w:tcPr>
          <w:p w14:paraId="5050D79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86BC25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90BD24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58E067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349AF0E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7198AF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9F4070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1BEA2A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973F92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12B18E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D6627E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316DE8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F62DD2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ECBA07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4D72FE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00EB6221"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90" w:type="dxa"/>
            <w:vMerge/>
            <w:shd w:val="clear" w:color="auto" w:fill="auto"/>
            <w:hideMark/>
          </w:tcPr>
          <w:p w14:paraId="7F5DDC3C" w14:textId="77777777" w:rsidR="005B25AB" w:rsidRPr="00A6515E" w:rsidRDefault="005B25AB" w:rsidP="003D157D">
            <w:pPr>
              <w:rPr>
                <w:b w:val="0"/>
                <w:bCs w:val="0"/>
                <w:szCs w:val="18"/>
              </w:rPr>
            </w:pPr>
          </w:p>
        </w:tc>
        <w:tc>
          <w:tcPr>
            <w:tcW w:w="490" w:type="dxa"/>
            <w:noWrap/>
            <w:hideMark/>
          </w:tcPr>
          <w:p w14:paraId="4ED6E85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62</w:t>
            </w:r>
          </w:p>
        </w:tc>
        <w:tc>
          <w:tcPr>
            <w:tcW w:w="492" w:type="dxa"/>
            <w:noWrap/>
            <w:hideMark/>
          </w:tcPr>
          <w:p w14:paraId="259C969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95" w:type="dxa"/>
            <w:noWrap/>
            <w:hideMark/>
          </w:tcPr>
          <w:p w14:paraId="034A0D2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5" w:type="dxa"/>
            <w:noWrap/>
            <w:hideMark/>
          </w:tcPr>
          <w:p w14:paraId="4AE7530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76926C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801C57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7001A0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69F43FA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A3C0A0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C5A304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AFBA77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353F0C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6498BE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E89669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832E11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2F1140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59A3BF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8FC44E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30F2FA54" w14:textId="77777777" w:rsidTr="003D157D">
        <w:trPr>
          <w:trHeight w:val="300"/>
        </w:trPr>
        <w:tc>
          <w:tcPr>
            <w:cnfStyle w:val="001000000000" w:firstRow="0" w:lastRow="0" w:firstColumn="1" w:lastColumn="0" w:oddVBand="0" w:evenVBand="0" w:oddHBand="0" w:evenHBand="0" w:firstRowFirstColumn="0" w:firstRowLastColumn="0" w:lastRowFirstColumn="0" w:lastRowLastColumn="0"/>
            <w:tcW w:w="490" w:type="dxa"/>
            <w:vMerge/>
            <w:shd w:val="clear" w:color="auto" w:fill="auto"/>
            <w:hideMark/>
          </w:tcPr>
          <w:p w14:paraId="61203F2A" w14:textId="77777777" w:rsidR="005B25AB" w:rsidRPr="00A6515E" w:rsidRDefault="005B25AB" w:rsidP="003D157D">
            <w:pPr>
              <w:rPr>
                <w:b w:val="0"/>
                <w:bCs w:val="0"/>
                <w:szCs w:val="18"/>
              </w:rPr>
            </w:pPr>
          </w:p>
        </w:tc>
        <w:tc>
          <w:tcPr>
            <w:tcW w:w="490" w:type="dxa"/>
            <w:noWrap/>
            <w:hideMark/>
          </w:tcPr>
          <w:p w14:paraId="2D240A6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63</w:t>
            </w:r>
          </w:p>
        </w:tc>
        <w:tc>
          <w:tcPr>
            <w:tcW w:w="492" w:type="dxa"/>
            <w:noWrap/>
            <w:hideMark/>
          </w:tcPr>
          <w:p w14:paraId="5AB0A03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95" w:type="dxa"/>
            <w:noWrap/>
            <w:hideMark/>
          </w:tcPr>
          <w:p w14:paraId="44FEFC5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5" w:type="dxa"/>
            <w:noWrap/>
            <w:hideMark/>
          </w:tcPr>
          <w:p w14:paraId="0522EBA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7B6FD9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22AA1B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88A642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603156B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FD8211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17B3AB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F87540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5AF14B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8BB82A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C8F50D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11E7AE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95E3F3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FAD1E5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F72C4C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D1BDC13"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90" w:type="dxa"/>
            <w:vMerge w:val="restart"/>
            <w:noWrap/>
            <w:textDirection w:val="btLr"/>
            <w:hideMark/>
          </w:tcPr>
          <w:p w14:paraId="747A36AA" w14:textId="77777777" w:rsidR="005B25AB" w:rsidRPr="00A6515E" w:rsidRDefault="005B25AB" w:rsidP="003D157D">
            <w:pPr>
              <w:rPr>
                <w:b w:val="0"/>
                <w:bCs w:val="0"/>
                <w:szCs w:val="18"/>
              </w:rPr>
            </w:pPr>
            <w:r>
              <w:rPr>
                <w:szCs w:val="18"/>
              </w:rPr>
              <w:t>Specific to i</w:t>
            </w:r>
            <w:r w:rsidRPr="00A6515E">
              <w:rPr>
                <w:szCs w:val="18"/>
              </w:rPr>
              <w:t>nsects farming</w:t>
            </w:r>
          </w:p>
        </w:tc>
        <w:tc>
          <w:tcPr>
            <w:tcW w:w="490" w:type="dxa"/>
            <w:noWrap/>
            <w:hideMark/>
          </w:tcPr>
          <w:p w14:paraId="0F9002E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64</w:t>
            </w:r>
          </w:p>
        </w:tc>
        <w:tc>
          <w:tcPr>
            <w:tcW w:w="492" w:type="dxa"/>
            <w:noWrap/>
            <w:hideMark/>
          </w:tcPr>
          <w:p w14:paraId="22CC4E8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95" w:type="dxa"/>
            <w:noWrap/>
            <w:hideMark/>
          </w:tcPr>
          <w:p w14:paraId="12ED7F7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5" w:type="dxa"/>
            <w:noWrap/>
            <w:hideMark/>
          </w:tcPr>
          <w:p w14:paraId="3C40AE3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868124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B9109C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3630D9A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B1BBFA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294428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CC9459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07F275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9160A8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D9DCA0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95C869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DA37DF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4230D1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FB93DC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08518F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57239E3A"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90" w:type="dxa"/>
            <w:vMerge/>
            <w:shd w:val="clear" w:color="auto" w:fill="F2F2F2" w:themeFill="background1" w:themeFillShade="F2"/>
            <w:hideMark/>
          </w:tcPr>
          <w:p w14:paraId="60D6BA03" w14:textId="77777777" w:rsidR="005B25AB" w:rsidRPr="00A6515E" w:rsidRDefault="005B25AB" w:rsidP="003D157D">
            <w:pPr>
              <w:rPr>
                <w:b w:val="0"/>
                <w:bCs w:val="0"/>
                <w:szCs w:val="18"/>
              </w:rPr>
            </w:pPr>
          </w:p>
        </w:tc>
        <w:tc>
          <w:tcPr>
            <w:tcW w:w="490" w:type="dxa"/>
            <w:noWrap/>
            <w:hideMark/>
          </w:tcPr>
          <w:p w14:paraId="28AB01B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65</w:t>
            </w:r>
          </w:p>
        </w:tc>
        <w:tc>
          <w:tcPr>
            <w:tcW w:w="492" w:type="dxa"/>
            <w:noWrap/>
            <w:hideMark/>
          </w:tcPr>
          <w:p w14:paraId="436CE62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95" w:type="dxa"/>
            <w:noWrap/>
            <w:hideMark/>
          </w:tcPr>
          <w:p w14:paraId="43C5390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5" w:type="dxa"/>
            <w:noWrap/>
            <w:hideMark/>
          </w:tcPr>
          <w:p w14:paraId="0028E45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BCC6C3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C6063E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08E6838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E513C6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D87B54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A43426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1577E2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48F66F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C6F33C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1215B4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7B7059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35F1DA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30112F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B41674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530EC4F"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90" w:type="dxa"/>
            <w:vMerge/>
            <w:hideMark/>
          </w:tcPr>
          <w:p w14:paraId="0C7A00F3" w14:textId="77777777" w:rsidR="005B25AB" w:rsidRPr="00A6515E" w:rsidRDefault="005B25AB" w:rsidP="003D157D">
            <w:pPr>
              <w:rPr>
                <w:b w:val="0"/>
                <w:bCs w:val="0"/>
                <w:szCs w:val="18"/>
              </w:rPr>
            </w:pPr>
          </w:p>
        </w:tc>
        <w:tc>
          <w:tcPr>
            <w:tcW w:w="490" w:type="dxa"/>
            <w:noWrap/>
            <w:hideMark/>
          </w:tcPr>
          <w:p w14:paraId="3F8310A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66</w:t>
            </w:r>
          </w:p>
        </w:tc>
        <w:tc>
          <w:tcPr>
            <w:tcW w:w="492" w:type="dxa"/>
            <w:noWrap/>
            <w:hideMark/>
          </w:tcPr>
          <w:p w14:paraId="22223D6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95" w:type="dxa"/>
            <w:noWrap/>
            <w:hideMark/>
          </w:tcPr>
          <w:p w14:paraId="169B038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5" w:type="dxa"/>
            <w:noWrap/>
            <w:hideMark/>
          </w:tcPr>
          <w:p w14:paraId="53E3C4E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40506B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FDE800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05E3651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FA8F7B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0333C3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898ACB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426D9E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1830CB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B8BF4D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33BC71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750F2E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782667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0A112E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E5F32E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38992CCB"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90" w:type="dxa"/>
            <w:vMerge/>
            <w:shd w:val="clear" w:color="auto" w:fill="F2F2F2" w:themeFill="background1" w:themeFillShade="F2"/>
            <w:hideMark/>
          </w:tcPr>
          <w:p w14:paraId="20E68BEF" w14:textId="77777777" w:rsidR="005B25AB" w:rsidRPr="00A6515E" w:rsidRDefault="005B25AB" w:rsidP="003D157D">
            <w:pPr>
              <w:rPr>
                <w:b w:val="0"/>
                <w:bCs w:val="0"/>
                <w:szCs w:val="18"/>
              </w:rPr>
            </w:pPr>
          </w:p>
        </w:tc>
        <w:tc>
          <w:tcPr>
            <w:tcW w:w="490" w:type="dxa"/>
            <w:noWrap/>
            <w:hideMark/>
          </w:tcPr>
          <w:p w14:paraId="4793259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67</w:t>
            </w:r>
          </w:p>
        </w:tc>
        <w:tc>
          <w:tcPr>
            <w:tcW w:w="492" w:type="dxa"/>
            <w:noWrap/>
            <w:hideMark/>
          </w:tcPr>
          <w:p w14:paraId="7316F76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95" w:type="dxa"/>
            <w:noWrap/>
            <w:hideMark/>
          </w:tcPr>
          <w:p w14:paraId="531E6F4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5" w:type="dxa"/>
            <w:noWrap/>
            <w:hideMark/>
          </w:tcPr>
          <w:p w14:paraId="519EF10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9922A6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772AC5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654A01B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3306BD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3A7322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03C3B2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1B6A62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711159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575F92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9E428F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104061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26B487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8C81DC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02C252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3C590ACB"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90" w:type="dxa"/>
            <w:vMerge/>
            <w:hideMark/>
          </w:tcPr>
          <w:p w14:paraId="67583E5D" w14:textId="77777777" w:rsidR="005B25AB" w:rsidRPr="00A6515E" w:rsidRDefault="005B25AB" w:rsidP="003D157D">
            <w:pPr>
              <w:rPr>
                <w:b w:val="0"/>
                <w:bCs w:val="0"/>
                <w:szCs w:val="18"/>
              </w:rPr>
            </w:pPr>
          </w:p>
        </w:tc>
        <w:tc>
          <w:tcPr>
            <w:tcW w:w="490" w:type="dxa"/>
            <w:noWrap/>
            <w:hideMark/>
          </w:tcPr>
          <w:p w14:paraId="3F5D5D1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68</w:t>
            </w:r>
          </w:p>
        </w:tc>
        <w:tc>
          <w:tcPr>
            <w:tcW w:w="492" w:type="dxa"/>
            <w:noWrap/>
            <w:hideMark/>
          </w:tcPr>
          <w:p w14:paraId="7BC9E78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95" w:type="dxa"/>
            <w:noWrap/>
            <w:hideMark/>
          </w:tcPr>
          <w:p w14:paraId="0BC3A5D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5" w:type="dxa"/>
            <w:noWrap/>
            <w:hideMark/>
          </w:tcPr>
          <w:p w14:paraId="6BBD2E4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3A5FE9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225A12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18A53AE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5D0831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B40AE9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B75BB8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EA8159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150285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B27F17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66718A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C28AD6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F905AB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FF5480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FD9A9E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5BD46B68"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90" w:type="dxa"/>
            <w:vMerge/>
            <w:shd w:val="clear" w:color="auto" w:fill="F2F2F2" w:themeFill="background1" w:themeFillShade="F2"/>
            <w:hideMark/>
          </w:tcPr>
          <w:p w14:paraId="3EFFE6D6" w14:textId="77777777" w:rsidR="005B25AB" w:rsidRPr="00A6515E" w:rsidRDefault="005B25AB" w:rsidP="003D157D">
            <w:pPr>
              <w:rPr>
                <w:b w:val="0"/>
                <w:bCs w:val="0"/>
                <w:szCs w:val="18"/>
              </w:rPr>
            </w:pPr>
          </w:p>
        </w:tc>
        <w:tc>
          <w:tcPr>
            <w:tcW w:w="490" w:type="dxa"/>
            <w:noWrap/>
            <w:hideMark/>
          </w:tcPr>
          <w:p w14:paraId="7A47787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69</w:t>
            </w:r>
          </w:p>
        </w:tc>
        <w:tc>
          <w:tcPr>
            <w:tcW w:w="492" w:type="dxa"/>
            <w:noWrap/>
            <w:hideMark/>
          </w:tcPr>
          <w:p w14:paraId="22E4FCB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95" w:type="dxa"/>
            <w:noWrap/>
            <w:hideMark/>
          </w:tcPr>
          <w:p w14:paraId="45C0CF9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5" w:type="dxa"/>
            <w:noWrap/>
            <w:hideMark/>
          </w:tcPr>
          <w:p w14:paraId="10E8305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6934FB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C65548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66698CD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A4D42A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1043C5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A8ADC4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C32268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AFCE2F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29D199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FEC991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2B9E74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0E9E25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79DC84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B19120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3A459B31"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90" w:type="dxa"/>
            <w:vMerge/>
            <w:hideMark/>
          </w:tcPr>
          <w:p w14:paraId="7F2953B6" w14:textId="77777777" w:rsidR="005B25AB" w:rsidRPr="00A6515E" w:rsidRDefault="005B25AB" w:rsidP="003D157D">
            <w:pPr>
              <w:rPr>
                <w:b w:val="0"/>
                <w:bCs w:val="0"/>
                <w:szCs w:val="18"/>
              </w:rPr>
            </w:pPr>
          </w:p>
        </w:tc>
        <w:tc>
          <w:tcPr>
            <w:tcW w:w="490" w:type="dxa"/>
            <w:noWrap/>
            <w:hideMark/>
          </w:tcPr>
          <w:p w14:paraId="6F7D72A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70</w:t>
            </w:r>
          </w:p>
        </w:tc>
        <w:tc>
          <w:tcPr>
            <w:tcW w:w="492" w:type="dxa"/>
            <w:noWrap/>
            <w:hideMark/>
          </w:tcPr>
          <w:p w14:paraId="3AA3CB6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95" w:type="dxa"/>
            <w:noWrap/>
            <w:hideMark/>
          </w:tcPr>
          <w:p w14:paraId="38C00A5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5" w:type="dxa"/>
            <w:noWrap/>
            <w:hideMark/>
          </w:tcPr>
          <w:p w14:paraId="3A58604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B71522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568EF3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55ADFD6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EDF2BF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2A66A8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550FDE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F2875D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E3E399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434000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9F263A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2E6370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4DA630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9151E9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A44538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1D28EB67"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90" w:type="dxa"/>
            <w:vMerge/>
            <w:shd w:val="clear" w:color="auto" w:fill="F2F2F2" w:themeFill="background1" w:themeFillShade="F2"/>
            <w:hideMark/>
          </w:tcPr>
          <w:p w14:paraId="1B5F7A46" w14:textId="77777777" w:rsidR="005B25AB" w:rsidRPr="00A6515E" w:rsidRDefault="005B25AB" w:rsidP="003D157D">
            <w:pPr>
              <w:rPr>
                <w:b w:val="0"/>
                <w:bCs w:val="0"/>
                <w:szCs w:val="18"/>
              </w:rPr>
            </w:pPr>
          </w:p>
        </w:tc>
        <w:tc>
          <w:tcPr>
            <w:tcW w:w="490" w:type="dxa"/>
            <w:noWrap/>
            <w:hideMark/>
          </w:tcPr>
          <w:p w14:paraId="38E2903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71</w:t>
            </w:r>
          </w:p>
        </w:tc>
        <w:tc>
          <w:tcPr>
            <w:tcW w:w="492" w:type="dxa"/>
            <w:noWrap/>
            <w:hideMark/>
          </w:tcPr>
          <w:p w14:paraId="66C478E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95" w:type="dxa"/>
            <w:noWrap/>
            <w:hideMark/>
          </w:tcPr>
          <w:p w14:paraId="1A603D9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5" w:type="dxa"/>
            <w:noWrap/>
            <w:hideMark/>
          </w:tcPr>
          <w:p w14:paraId="7926CE3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0C245C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7FC0B3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3B46CC4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61728A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17EF08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DDF03F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FA759F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234418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9C2091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3E2C02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CF225A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09B6C2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5920BD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EDDC70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751E8751"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90" w:type="dxa"/>
            <w:vMerge/>
            <w:hideMark/>
          </w:tcPr>
          <w:p w14:paraId="45DB8723" w14:textId="77777777" w:rsidR="005B25AB" w:rsidRPr="00A6515E" w:rsidRDefault="005B25AB" w:rsidP="003D157D">
            <w:pPr>
              <w:rPr>
                <w:b w:val="0"/>
                <w:bCs w:val="0"/>
                <w:szCs w:val="18"/>
              </w:rPr>
            </w:pPr>
          </w:p>
        </w:tc>
        <w:tc>
          <w:tcPr>
            <w:tcW w:w="490" w:type="dxa"/>
            <w:noWrap/>
            <w:hideMark/>
          </w:tcPr>
          <w:p w14:paraId="11DC36D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72</w:t>
            </w:r>
          </w:p>
        </w:tc>
        <w:tc>
          <w:tcPr>
            <w:tcW w:w="492" w:type="dxa"/>
            <w:noWrap/>
            <w:hideMark/>
          </w:tcPr>
          <w:p w14:paraId="482F8F0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95" w:type="dxa"/>
            <w:noWrap/>
            <w:hideMark/>
          </w:tcPr>
          <w:p w14:paraId="638E9B4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5" w:type="dxa"/>
            <w:noWrap/>
            <w:hideMark/>
          </w:tcPr>
          <w:p w14:paraId="70E7617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793AD7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772526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77D0C8E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FB7633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966EC9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C8FE12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6BD961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234EDE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3971A5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6DB807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DDCFAF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194175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94F4C9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2398E8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081E350A"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90" w:type="dxa"/>
            <w:vMerge/>
            <w:shd w:val="clear" w:color="auto" w:fill="F2F2F2" w:themeFill="background1" w:themeFillShade="F2"/>
            <w:hideMark/>
          </w:tcPr>
          <w:p w14:paraId="2F3A354D" w14:textId="77777777" w:rsidR="005B25AB" w:rsidRPr="00A6515E" w:rsidRDefault="005B25AB" w:rsidP="003D157D">
            <w:pPr>
              <w:rPr>
                <w:b w:val="0"/>
                <w:bCs w:val="0"/>
                <w:szCs w:val="18"/>
              </w:rPr>
            </w:pPr>
          </w:p>
        </w:tc>
        <w:tc>
          <w:tcPr>
            <w:tcW w:w="490" w:type="dxa"/>
            <w:noWrap/>
            <w:hideMark/>
          </w:tcPr>
          <w:p w14:paraId="671B93B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73</w:t>
            </w:r>
          </w:p>
        </w:tc>
        <w:tc>
          <w:tcPr>
            <w:tcW w:w="492" w:type="dxa"/>
            <w:noWrap/>
            <w:hideMark/>
          </w:tcPr>
          <w:p w14:paraId="27FF2EB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95" w:type="dxa"/>
            <w:noWrap/>
            <w:hideMark/>
          </w:tcPr>
          <w:p w14:paraId="03B0351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5" w:type="dxa"/>
            <w:noWrap/>
            <w:hideMark/>
          </w:tcPr>
          <w:p w14:paraId="19F2856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7F5BC6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948B2E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7503FD5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51AE01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313214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FF07B9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7C2C8D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69FD0B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C17235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5EB3D48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3EC94D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6178BA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0551CF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C4542B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522EFA2F"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90" w:type="dxa"/>
            <w:vMerge/>
            <w:hideMark/>
          </w:tcPr>
          <w:p w14:paraId="09E57529" w14:textId="77777777" w:rsidR="005B25AB" w:rsidRPr="00A6515E" w:rsidRDefault="005B25AB" w:rsidP="003D157D">
            <w:pPr>
              <w:rPr>
                <w:b w:val="0"/>
                <w:bCs w:val="0"/>
                <w:szCs w:val="18"/>
              </w:rPr>
            </w:pPr>
          </w:p>
        </w:tc>
        <w:tc>
          <w:tcPr>
            <w:tcW w:w="490" w:type="dxa"/>
            <w:noWrap/>
            <w:hideMark/>
          </w:tcPr>
          <w:p w14:paraId="42CC660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74</w:t>
            </w:r>
          </w:p>
        </w:tc>
        <w:tc>
          <w:tcPr>
            <w:tcW w:w="492" w:type="dxa"/>
            <w:noWrap/>
            <w:hideMark/>
          </w:tcPr>
          <w:p w14:paraId="36732D5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95" w:type="dxa"/>
            <w:noWrap/>
            <w:hideMark/>
          </w:tcPr>
          <w:p w14:paraId="7B9EC2F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5" w:type="dxa"/>
            <w:noWrap/>
            <w:hideMark/>
          </w:tcPr>
          <w:p w14:paraId="14AB24B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4ACABB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F43810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0BB9368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B6D4B7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AF58C3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0912093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3F7F23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A134DF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1A3DD5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466F4B2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6A36E1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6C2338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3409CF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0D2630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529EC050"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90" w:type="dxa"/>
            <w:vMerge/>
            <w:shd w:val="clear" w:color="auto" w:fill="F2F2F2" w:themeFill="background1" w:themeFillShade="F2"/>
            <w:hideMark/>
          </w:tcPr>
          <w:p w14:paraId="6F40BEB4" w14:textId="77777777" w:rsidR="005B25AB" w:rsidRPr="00A6515E" w:rsidRDefault="005B25AB" w:rsidP="003D157D">
            <w:pPr>
              <w:rPr>
                <w:b w:val="0"/>
                <w:bCs w:val="0"/>
                <w:szCs w:val="18"/>
              </w:rPr>
            </w:pPr>
          </w:p>
        </w:tc>
        <w:tc>
          <w:tcPr>
            <w:tcW w:w="490" w:type="dxa"/>
            <w:noWrap/>
            <w:hideMark/>
          </w:tcPr>
          <w:p w14:paraId="21E0F33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75</w:t>
            </w:r>
          </w:p>
        </w:tc>
        <w:tc>
          <w:tcPr>
            <w:tcW w:w="492" w:type="dxa"/>
            <w:noWrap/>
            <w:hideMark/>
          </w:tcPr>
          <w:p w14:paraId="4DDFF16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95" w:type="dxa"/>
            <w:noWrap/>
            <w:hideMark/>
          </w:tcPr>
          <w:p w14:paraId="233BF30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5" w:type="dxa"/>
            <w:noWrap/>
            <w:hideMark/>
          </w:tcPr>
          <w:p w14:paraId="4DE61BE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FC8F25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B04C3E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70DC2A6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95418D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A4B004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A5742E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0AF0D0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692E52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C6F25A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F04288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7D9360A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9EF43C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B07046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73FB8B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701BCC0"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90" w:type="dxa"/>
            <w:vMerge/>
            <w:hideMark/>
          </w:tcPr>
          <w:p w14:paraId="2F44A9DC" w14:textId="77777777" w:rsidR="005B25AB" w:rsidRPr="00A6515E" w:rsidRDefault="005B25AB" w:rsidP="003D157D">
            <w:pPr>
              <w:rPr>
                <w:b w:val="0"/>
                <w:bCs w:val="0"/>
                <w:szCs w:val="18"/>
              </w:rPr>
            </w:pPr>
          </w:p>
        </w:tc>
        <w:tc>
          <w:tcPr>
            <w:tcW w:w="490" w:type="dxa"/>
            <w:noWrap/>
            <w:hideMark/>
          </w:tcPr>
          <w:p w14:paraId="78352CD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76</w:t>
            </w:r>
          </w:p>
        </w:tc>
        <w:tc>
          <w:tcPr>
            <w:tcW w:w="492" w:type="dxa"/>
            <w:noWrap/>
            <w:hideMark/>
          </w:tcPr>
          <w:p w14:paraId="2B07399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95" w:type="dxa"/>
            <w:noWrap/>
            <w:hideMark/>
          </w:tcPr>
          <w:p w14:paraId="4F38E99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5" w:type="dxa"/>
            <w:noWrap/>
            <w:hideMark/>
          </w:tcPr>
          <w:p w14:paraId="55650A6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04C3FF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83EFC4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96" w:type="dxa"/>
            <w:noWrap/>
            <w:hideMark/>
          </w:tcPr>
          <w:p w14:paraId="13616BA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B6B345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AC4C00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6908C4F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1079C09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9DEB19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5F50631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9F67D1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702AA2D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EB6F69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3C1FC87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96" w:type="dxa"/>
            <w:noWrap/>
            <w:hideMark/>
          </w:tcPr>
          <w:p w14:paraId="2A5A587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569E6482"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90" w:type="dxa"/>
            <w:vMerge/>
            <w:shd w:val="clear" w:color="auto" w:fill="F2F2F2" w:themeFill="background1" w:themeFillShade="F2"/>
            <w:hideMark/>
          </w:tcPr>
          <w:p w14:paraId="48B30FEE" w14:textId="77777777" w:rsidR="005B25AB" w:rsidRPr="00A6515E" w:rsidRDefault="005B25AB" w:rsidP="003D157D">
            <w:pPr>
              <w:rPr>
                <w:b w:val="0"/>
                <w:bCs w:val="0"/>
                <w:szCs w:val="18"/>
              </w:rPr>
            </w:pPr>
          </w:p>
        </w:tc>
        <w:tc>
          <w:tcPr>
            <w:tcW w:w="490" w:type="dxa"/>
            <w:noWrap/>
            <w:hideMark/>
          </w:tcPr>
          <w:p w14:paraId="1876F2C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77</w:t>
            </w:r>
          </w:p>
        </w:tc>
        <w:tc>
          <w:tcPr>
            <w:tcW w:w="492" w:type="dxa"/>
            <w:noWrap/>
            <w:hideMark/>
          </w:tcPr>
          <w:p w14:paraId="264D9E6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95" w:type="dxa"/>
            <w:noWrap/>
            <w:hideMark/>
          </w:tcPr>
          <w:p w14:paraId="0AC2BFE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5" w:type="dxa"/>
            <w:noWrap/>
            <w:hideMark/>
          </w:tcPr>
          <w:p w14:paraId="6C486BF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161B56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C79C4F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96" w:type="dxa"/>
            <w:noWrap/>
            <w:hideMark/>
          </w:tcPr>
          <w:p w14:paraId="3686955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41D1C3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BD0B82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136B81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B4236F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4643299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99FAF3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1E10D82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073FF7A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3C0B913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22CEA78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96" w:type="dxa"/>
            <w:noWrap/>
            <w:hideMark/>
          </w:tcPr>
          <w:p w14:paraId="6CFD908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bl>
    <w:p w14:paraId="1582A493" w14:textId="77777777" w:rsidR="005B25AB" w:rsidRDefault="005B25AB" w:rsidP="005B25AB"/>
    <w:p w14:paraId="4FF04A9B" w14:textId="77777777" w:rsidR="005B25AB" w:rsidRDefault="005B25AB" w:rsidP="005B25AB">
      <w:r>
        <w:br w:type="page"/>
      </w:r>
    </w:p>
    <w:tbl>
      <w:tblPr>
        <w:tblStyle w:val="Tableausimple4"/>
        <w:tblW w:w="5000" w:type="pct"/>
        <w:tblLook w:val="04A0" w:firstRow="1" w:lastRow="0" w:firstColumn="1" w:lastColumn="0" w:noHBand="0" w:noVBand="1"/>
      </w:tblPr>
      <w:tblGrid>
        <w:gridCol w:w="449"/>
        <w:gridCol w:w="490"/>
        <w:gridCol w:w="475"/>
        <w:gridCol w:w="477"/>
        <w:gridCol w:w="479"/>
        <w:gridCol w:w="477"/>
        <w:gridCol w:w="477"/>
        <w:gridCol w:w="479"/>
        <w:gridCol w:w="479"/>
        <w:gridCol w:w="479"/>
        <w:gridCol w:w="479"/>
        <w:gridCol w:w="479"/>
        <w:gridCol w:w="479"/>
        <w:gridCol w:w="479"/>
        <w:gridCol w:w="479"/>
        <w:gridCol w:w="479"/>
        <w:gridCol w:w="479"/>
        <w:gridCol w:w="479"/>
        <w:gridCol w:w="479"/>
      </w:tblGrid>
      <w:tr w:rsidR="005B25AB" w:rsidRPr="00A6515E" w14:paraId="446F5AF3" w14:textId="77777777" w:rsidTr="003D157D">
        <w:trPr>
          <w:cnfStyle w:val="100000000000" w:firstRow="1" w:lastRow="0" w:firstColumn="0" w:lastColumn="0" w:oddVBand="0" w:evenVBand="0" w:oddHBand="0" w:evenHBand="0" w:firstRowFirstColumn="0" w:firstRowLastColumn="0" w:lastRowFirstColumn="0" w:lastRowLastColumn="0"/>
          <w:trHeight w:val="824"/>
        </w:trPr>
        <w:tc>
          <w:tcPr>
            <w:cnfStyle w:val="001000000000" w:firstRow="0" w:lastRow="0" w:firstColumn="1" w:lastColumn="0" w:oddVBand="0" w:evenVBand="0" w:oddHBand="0" w:evenHBand="0" w:firstRowFirstColumn="0" w:firstRowLastColumn="0" w:lastRowFirstColumn="0" w:lastRowLastColumn="0"/>
            <w:tcW w:w="246" w:type="pct"/>
          </w:tcPr>
          <w:p w14:paraId="506B06C8" w14:textId="77777777" w:rsidR="005B25AB" w:rsidRPr="00A6515E" w:rsidRDefault="005B25AB" w:rsidP="003D157D">
            <w:pPr>
              <w:rPr>
                <w:b w:val="0"/>
                <w:bCs w:val="0"/>
                <w:szCs w:val="18"/>
              </w:rPr>
            </w:pPr>
          </w:p>
        </w:tc>
        <w:tc>
          <w:tcPr>
            <w:tcW w:w="270" w:type="pct"/>
            <w:noWrap/>
          </w:tcPr>
          <w:p w14:paraId="34F004C4"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szCs w:val="18"/>
              </w:rPr>
            </w:pPr>
            <w:r w:rsidRPr="00A6515E">
              <w:rPr>
                <w:szCs w:val="18"/>
              </w:rPr>
              <w:t>n°</w:t>
            </w:r>
          </w:p>
        </w:tc>
        <w:tc>
          <w:tcPr>
            <w:tcW w:w="262" w:type="pct"/>
            <w:noWrap/>
            <w:textDirection w:val="btLr"/>
          </w:tcPr>
          <w:p w14:paraId="76F3B26F"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bCs w:val="0"/>
                <w:szCs w:val="18"/>
              </w:rPr>
            </w:pPr>
            <w:r w:rsidRPr="00A6515E">
              <w:rPr>
                <w:szCs w:val="18"/>
              </w:rPr>
              <w:t>CF</w:t>
            </w:r>
          </w:p>
        </w:tc>
        <w:tc>
          <w:tcPr>
            <w:tcW w:w="263" w:type="pct"/>
            <w:noWrap/>
            <w:textDirection w:val="btLr"/>
          </w:tcPr>
          <w:p w14:paraId="7E11475A"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GB_AD</w:t>
            </w:r>
          </w:p>
        </w:tc>
        <w:tc>
          <w:tcPr>
            <w:tcW w:w="264" w:type="pct"/>
            <w:noWrap/>
            <w:textDirection w:val="btLr"/>
          </w:tcPr>
          <w:p w14:paraId="77EB51C9"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GB_rough</w:t>
            </w:r>
          </w:p>
        </w:tc>
        <w:tc>
          <w:tcPr>
            <w:tcW w:w="263" w:type="pct"/>
            <w:noWrap/>
            <w:textDirection w:val="btLr"/>
          </w:tcPr>
          <w:p w14:paraId="19AD833C"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GB_myco</w:t>
            </w:r>
          </w:p>
        </w:tc>
        <w:tc>
          <w:tcPr>
            <w:tcW w:w="263" w:type="pct"/>
            <w:noWrap/>
            <w:textDirection w:val="btLr"/>
          </w:tcPr>
          <w:p w14:paraId="309047F9"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szCs w:val="18"/>
              </w:rPr>
            </w:pPr>
            <w:r w:rsidRPr="00A6515E">
              <w:rPr>
                <w:szCs w:val="18"/>
              </w:rPr>
              <w:t>BSF</w:t>
            </w:r>
          </w:p>
        </w:tc>
        <w:tc>
          <w:tcPr>
            <w:tcW w:w="264" w:type="pct"/>
            <w:noWrap/>
            <w:textDirection w:val="btLr"/>
          </w:tcPr>
          <w:p w14:paraId="2A25F79F"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SSF</w:t>
            </w:r>
          </w:p>
        </w:tc>
        <w:tc>
          <w:tcPr>
            <w:tcW w:w="264" w:type="pct"/>
            <w:noWrap/>
            <w:textDirection w:val="btLr"/>
          </w:tcPr>
          <w:p w14:paraId="0D995247"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MYCO</w:t>
            </w:r>
          </w:p>
        </w:tc>
        <w:tc>
          <w:tcPr>
            <w:tcW w:w="264" w:type="pct"/>
            <w:noWrap/>
            <w:textDirection w:val="btLr"/>
          </w:tcPr>
          <w:p w14:paraId="4DF61428"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MP_AD</w:t>
            </w:r>
          </w:p>
        </w:tc>
        <w:tc>
          <w:tcPr>
            <w:tcW w:w="264" w:type="pct"/>
            <w:noWrap/>
            <w:textDirection w:val="btLr"/>
          </w:tcPr>
          <w:p w14:paraId="74701C5E"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MP_GA</w:t>
            </w:r>
          </w:p>
        </w:tc>
        <w:tc>
          <w:tcPr>
            <w:tcW w:w="264" w:type="pct"/>
            <w:noWrap/>
            <w:textDirection w:val="btLr"/>
          </w:tcPr>
          <w:p w14:paraId="0BFD3A30"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AD</w:t>
            </w:r>
          </w:p>
        </w:tc>
        <w:tc>
          <w:tcPr>
            <w:tcW w:w="264" w:type="pct"/>
            <w:noWrap/>
            <w:textDirection w:val="btLr"/>
          </w:tcPr>
          <w:p w14:paraId="0CADF69E"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GA</w:t>
            </w:r>
          </w:p>
        </w:tc>
        <w:tc>
          <w:tcPr>
            <w:tcW w:w="264" w:type="pct"/>
            <w:noWrap/>
            <w:textDirection w:val="btLr"/>
          </w:tcPr>
          <w:p w14:paraId="08DAC133"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DIR_CHP</w:t>
            </w:r>
          </w:p>
        </w:tc>
        <w:tc>
          <w:tcPr>
            <w:tcW w:w="264" w:type="pct"/>
            <w:noWrap/>
            <w:textDirection w:val="btLr"/>
          </w:tcPr>
          <w:p w14:paraId="4B32850A"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Heat</w:t>
            </w:r>
          </w:p>
        </w:tc>
        <w:tc>
          <w:tcPr>
            <w:tcW w:w="264" w:type="pct"/>
            <w:noWrap/>
            <w:textDirection w:val="btLr"/>
          </w:tcPr>
          <w:p w14:paraId="6C269D5B"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Burn</w:t>
            </w:r>
          </w:p>
        </w:tc>
        <w:tc>
          <w:tcPr>
            <w:tcW w:w="264" w:type="pct"/>
            <w:noWrap/>
            <w:textDirection w:val="btLr"/>
          </w:tcPr>
          <w:p w14:paraId="206FAC43"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Compost</w:t>
            </w:r>
          </w:p>
        </w:tc>
        <w:tc>
          <w:tcPr>
            <w:tcW w:w="264" w:type="pct"/>
            <w:noWrap/>
            <w:textDirection w:val="btLr"/>
          </w:tcPr>
          <w:p w14:paraId="77305815"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Spread</w:t>
            </w:r>
          </w:p>
        </w:tc>
        <w:tc>
          <w:tcPr>
            <w:tcW w:w="264" w:type="pct"/>
            <w:noWrap/>
            <w:textDirection w:val="btLr"/>
          </w:tcPr>
          <w:p w14:paraId="14B0245A"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Decay</w:t>
            </w:r>
          </w:p>
        </w:tc>
      </w:tr>
      <w:tr w:rsidR="005B25AB" w:rsidRPr="00A6515E" w14:paraId="225445EE"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val="restart"/>
            <w:textDirection w:val="btLr"/>
            <w:hideMark/>
          </w:tcPr>
          <w:p w14:paraId="7F00F656" w14:textId="77777777" w:rsidR="005B25AB" w:rsidRPr="00A6515E" w:rsidRDefault="005B25AB" w:rsidP="003D157D">
            <w:pPr>
              <w:ind w:left="113" w:right="113"/>
              <w:rPr>
                <w:b w:val="0"/>
                <w:bCs w:val="0"/>
                <w:szCs w:val="18"/>
              </w:rPr>
            </w:pPr>
            <w:r>
              <w:rPr>
                <w:szCs w:val="18"/>
              </w:rPr>
              <w:t>Specific to i</w:t>
            </w:r>
            <w:r w:rsidRPr="00A6515E">
              <w:rPr>
                <w:szCs w:val="18"/>
              </w:rPr>
              <w:t>nsects farming</w:t>
            </w:r>
          </w:p>
        </w:tc>
        <w:tc>
          <w:tcPr>
            <w:tcW w:w="270" w:type="pct"/>
            <w:noWrap/>
            <w:hideMark/>
          </w:tcPr>
          <w:p w14:paraId="62F74E2E" w14:textId="77777777" w:rsidR="005B25AB" w:rsidRPr="007A30E2"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7A30E2">
              <w:rPr>
                <w:b/>
                <w:szCs w:val="18"/>
              </w:rPr>
              <w:t>78</w:t>
            </w:r>
          </w:p>
        </w:tc>
        <w:tc>
          <w:tcPr>
            <w:tcW w:w="262" w:type="pct"/>
            <w:noWrap/>
            <w:hideMark/>
          </w:tcPr>
          <w:p w14:paraId="447F2E2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5E1B4AA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80C3F3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8E0EFB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8588903" w14:textId="77777777" w:rsidR="005B25AB" w:rsidRPr="007A30E2"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7A30E2">
              <w:rPr>
                <w:b/>
                <w:szCs w:val="18"/>
              </w:rPr>
              <w:t>x</w:t>
            </w:r>
          </w:p>
        </w:tc>
        <w:tc>
          <w:tcPr>
            <w:tcW w:w="264" w:type="pct"/>
            <w:noWrap/>
            <w:hideMark/>
          </w:tcPr>
          <w:p w14:paraId="178CE98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3E84ED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22563A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F6DA7F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CD1401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29577C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B20953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C0A028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70FC5E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327954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097337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39D3DA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0AC1E0C6"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160B8FC2" w14:textId="77777777" w:rsidR="005B25AB" w:rsidRPr="00A6515E" w:rsidRDefault="005B25AB" w:rsidP="003D157D">
            <w:pPr>
              <w:rPr>
                <w:b w:val="0"/>
                <w:bCs w:val="0"/>
                <w:szCs w:val="18"/>
              </w:rPr>
            </w:pPr>
          </w:p>
        </w:tc>
        <w:tc>
          <w:tcPr>
            <w:tcW w:w="270" w:type="pct"/>
            <w:noWrap/>
            <w:hideMark/>
          </w:tcPr>
          <w:p w14:paraId="5496C63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79</w:t>
            </w:r>
          </w:p>
        </w:tc>
        <w:tc>
          <w:tcPr>
            <w:tcW w:w="262" w:type="pct"/>
            <w:noWrap/>
            <w:hideMark/>
          </w:tcPr>
          <w:p w14:paraId="373F036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07731F1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67CEC4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180623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544A15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04EE336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13734D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DF1D81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1FBE3F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7654D1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44AC3A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340609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7C65DE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00DCAC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C28F5E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A6F89C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40624E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4DB18BB6"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4AD8CA45" w14:textId="77777777" w:rsidR="005B25AB" w:rsidRPr="00A6515E" w:rsidRDefault="005B25AB" w:rsidP="003D157D">
            <w:pPr>
              <w:rPr>
                <w:b w:val="0"/>
                <w:bCs w:val="0"/>
                <w:szCs w:val="18"/>
              </w:rPr>
            </w:pPr>
          </w:p>
        </w:tc>
        <w:tc>
          <w:tcPr>
            <w:tcW w:w="270" w:type="pct"/>
            <w:noWrap/>
            <w:hideMark/>
          </w:tcPr>
          <w:p w14:paraId="79D497B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80</w:t>
            </w:r>
          </w:p>
        </w:tc>
        <w:tc>
          <w:tcPr>
            <w:tcW w:w="262" w:type="pct"/>
            <w:noWrap/>
            <w:hideMark/>
          </w:tcPr>
          <w:p w14:paraId="6BCC97A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22E3A62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26B26E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3C1215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32A1A1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5137E9B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90E6AB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9201E9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043086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6A57CE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5B599F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2DF54F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CCA89B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111844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80D438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FE39B4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9C8F6D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6266E060"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2F49B284" w14:textId="77777777" w:rsidR="005B25AB" w:rsidRPr="00A6515E" w:rsidRDefault="005B25AB" w:rsidP="003D157D">
            <w:pPr>
              <w:rPr>
                <w:b w:val="0"/>
                <w:bCs w:val="0"/>
                <w:szCs w:val="18"/>
              </w:rPr>
            </w:pPr>
          </w:p>
        </w:tc>
        <w:tc>
          <w:tcPr>
            <w:tcW w:w="270" w:type="pct"/>
            <w:noWrap/>
            <w:hideMark/>
          </w:tcPr>
          <w:p w14:paraId="39522CE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81</w:t>
            </w:r>
          </w:p>
        </w:tc>
        <w:tc>
          <w:tcPr>
            <w:tcW w:w="262" w:type="pct"/>
            <w:noWrap/>
            <w:hideMark/>
          </w:tcPr>
          <w:p w14:paraId="209231B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2389834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D7F3B0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508406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89B868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3185FF4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CA027A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71D329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62AA24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CA1167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AE80A2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2D97C9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C8D763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9FCC8C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1AFB8B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D4D007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E17CED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044F2EEB"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1FBAADA6" w14:textId="77777777" w:rsidR="005B25AB" w:rsidRPr="00A6515E" w:rsidRDefault="005B25AB" w:rsidP="003D157D">
            <w:pPr>
              <w:rPr>
                <w:b w:val="0"/>
                <w:bCs w:val="0"/>
                <w:szCs w:val="18"/>
              </w:rPr>
            </w:pPr>
          </w:p>
        </w:tc>
        <w:tc>
          <w:tcPr>
            <w:tcW w:w="270" w:type="pct"/>
            <w:noWrap/>
            <w:hideMark/>
          </w:tcPr>
          <w:p w14:paraId="57A48CE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82</w:t>
            </w:r>
          </w:p>
        </w:tc>
        <w:tc>
          <w:tcPr>
            <w:tcW w:w="262" w:type="pct"/>
            <w:noWrap/>
            <w:hideMark/>
          </w:tcPr>
          <w:p w14:paraId="5EBF2ED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677510F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11A027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DDE7F4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BC5A90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78F22A0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D4399D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571058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BEEBA3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06B324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B74237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18127A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2DB1E1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B1E2BD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F8424D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B85B78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3DD854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06CA7DB9"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6CC7A856" w14:textId="77777777" w:rsidR="005B25AB" w:rsidRPr="00A6515E" w:rsidRDefault="005B25AB" w:rsidP="003D157D">
            <w:pPr>
              <w:rPr>
                <w:b w:val="0"/>
                <w:bCs w:val="0"/>
                <w:szCs w:val="18"/>
              </w:rPr>
            </w:pPr>
          </w:p>
        </w:tc>
        <w:tc>
          <w:tcPr>
            <w:tcW w:w="270" w:type="pct"/>
            <w:noWrap/>
            <w:hideMark/>
          </w:tcPr>
          <w:p w14:paraId="4291E99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83</w:t>
            </w:r>
          </w:p>
        </w:tc>
        <w:tc>
          <w:tcPr>
            <w:tcW w:w="262" w:type="pct"/>
            <w:noWrap/>
            <w:hideMark/>
          </w:tcPr>
          <w:p w14:paraId="72BA697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746CFBD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406E3B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759BCC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8AB7F4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663E72A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4C0480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F972D1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5A8FC2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EDE649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4C601C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B3FBC3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72439E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3CF694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705BDE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2521D5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33D03D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8299C5D"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2145D17D" w14:textId="77777777" w:rsidR="005B25AB" w:rsidRPr="00A6515E" w:rsidRDefault="005B25AB" w:rsidP="003D157D">
            <w:pPr>
              <w:rPr>
                <w:b w:val="0"/>
                <w:bCs w:val="0"/>
                <w:szCs w:val="18"/>
              </w:rPr>
            </w:pPr>
          </w:p>
        </w:tc>
        <w:tc>
          <w:tcPr>
            <w:tcW w:w="270" w:type="pct"/>
            <w:noWrap/>
            <w:hideMark/>
          </w:tcPr>
          <w:p w14:paraId="0E82737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84</w:t>
            </w:r>
          </w:p>
        </w:tc>
        <w:tc>
          <w:tcPr>
            <w:tcW w:w="262" w:type="pct"/>
            <w:noWrap/>
            <w:hideMark/>
          </w:tcPr>
          <w:p w14:paraId="3D955C6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260694A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5820EE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982A94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4A40DB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14ADE21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DC68AC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4C7D88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1C9946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D4FB8B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66D46C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940158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A86DDD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2F88BD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419AD0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810551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59D21E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0518BAED"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1F607DA5" w14:textId="77777777" w:rsidR="005B25AB" w:rsidRPr="00A6515E" w:rsidRDefault="005B25AB" w:rsidP="003D157D">
            <w:pPr>
              <w:rPr>
                <w:b w:val="0"/>
                <w:bCs w:val="0"/>
                <w:szCs w:val="18"/>
              </w:rPr>
            </w:pPr>
          </w:p>
        </w:tc>
        <w:tc>
          <w:tcPr>
            <w:tcW w:w="270" w:type="pct"/>
            <w:noWrap/>
            <w:hideMark/>
          </w:tcPr>
          <w:p w14:paraId="53C0DEF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85</w:t>
            </w:r>
          </w:p>
        </w:tc>
        <w:tc>
          <w:tcPr>
            <w:tcW w:w="262" w:type="pct"/>
            <w:noWrap/>
            <w:hideMark/>
          </w:tcPr>
          <w:p w14:paraId="293649C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22BA0D6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6A1BAC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588511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99CD56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00B37A4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067CA6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8CD3AA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450A89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561987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C2278E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185ED5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9EE38B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30344E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F7681F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064E83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A2CD5F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16688921"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20C7BBF0" w14:textId="77777777" w:rsidR="005B25AB" w:rsidRPr="00A6515E" w:rsidRDefault="005B25AB" w:rsidP="003D157D">
            <w:pPr>
              <w:rPr>
                <w:b w:val="0"/>
                <w:bCs w:val="0"/>
                <w:szCs w:val="18"/>
              </w:rPr>
            </w:pPr>
          </w:p>
        </w:tc>
        <w:tc>
          <w:tcPr>
            <w:tcW w:w="270" w:type="pct"/>
            <w:noWrap/>
            <w:hideMark/>
          </w:tcPr>
          <w:p w14:paraId="2981B59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86</w:t>
            </w:r>
          </w:p>
        </w:tc>
        <w:tc>
          <w:tcPr>
            <w:tcW w:w="262" w:type="pct"/>
            <w:noWrap/>
            <w:hideMark/>
          </w:tcPr>
          <w:p w14:paraId="7021103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3F76FE9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310E7B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A95B4D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C485F4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2F7BC3D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A15E16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47530B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EDBBA5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E87B8C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7C86DB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F2664B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EF1B84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A36B3C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F9C10F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142CF1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B102BA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010DB064"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43618570" w14:textId="77777777" w:rsidR="005B25AB" w:rsidRPr="00A6515E" w:rsidRDefault="005B25AB" w:rsidP="003D157D">
            <w:pPr>
              <w:rPr>
                <w:b w:val="0"/>
                <w:bCs w:val="0"/>
                <w:szCs w:val="18"/>
              </w:rPr>
            </w:pPr>
          </w:p>
        </w:tc>
        <w:tc>
          <w:tcPr>
            <w:tcW w:w="270" w:type="pct"/>
            <w:noWrap/>
            <w:hideMark/>
          </w:tcPr>
          <w:p w14:paraId="0F48FA5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87</w:t>
            </w:r>
          </w:p>
        </w:tc>
        <w:tc>
          <w:tcPr>
            <w:tcW w:w="262" w:type="pct"/>
            <w:noWrap/>
            <w:hideMark/>
          </w:tcPr>
          <w:p w14:paraId="7DB8E7F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39A710E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940F7B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C6AFF7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FD8557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4953CE7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F25487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45A83E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F8414D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920F5C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08142B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9E9FAA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04239D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7B14D5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7F0B57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86F165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8B8B53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3C37D49E"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0534ADE5" w14:textId="77777777" w:rsidR="005B25AB" w:rsidRPr="00A6515E" w:rsidRDefault="005B25AB" w:rsidP="003D157D">
            <w:pPr>
              <w:rPr>
                <w:b w:val="0"/>
                <w:bCs w:val="0"/>
                <w:szCs w:val="18"/>
              </w:rPr>
            </w:pPr>
          </w:p>
        </w:tc>
        <w:tc>
          <w:tcPr>
            <w:tcW w:w="270" w:type="pct"/>
            <w:noWrap/>
            <w:hideMark/>
          </w:tcPr>
          <w:p w14:paraId="50FFDB3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88</w:t>
            </w:r>
          </w:p>
        </w:tc>
        <w:tc>
          <w:tcPr>
            <w:tcW w:w="262" w:type="pct"/>
            <w:noWrap/>
            <w:hideMark/>
          </w:tcPr>
          <w:p w14:paraId="0288EA9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599B3EE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3C9CEC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00FBB5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692877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4E62D28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033E5D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204CCD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D33DB6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974E33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43CDAC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DA176B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654C27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CB63E7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686CA8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C143D1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F79517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39C52939"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44E491AE" w14:textId="77777777" w:rsidR="005B25AB" w:rsidRPr="00A6515E" w:rsidRDefault="005B25AB" w:rsidP="003D157D">
            <w:pPr>
              <w:rPr>
                <w:b w:val="0"/>
                <w:bCs w:val="0"/>
                <w:szCs w:val="18"/>
              </w:rPr>
            </w:pPr>
          </w:p>
        </w:tc>
        <w:tc>
          <w:tcPr>
            <w:tcW w:w="270" w:type="pct"/>
            <w:noWrap/>
            <w:hideMark/>
          </w:tcPr>
          <w:p w14:paraId="0FB5A9B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89</w:t>
            </w:r>
          </w:p>
        </w:tc>
        <w:tc>
          <w:tcPr>
            <w:tcW w:w="262" w:type="pct"/>
            <w:noWrap/>
            <w:hideMark/>
          </w:tcPr>
          <w:p w14:paraId="473C7B5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76558D3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B17E03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E02228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2F29E5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10B1EDB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4F8509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53911B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969774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E123B9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C858E7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AB7271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F63C8F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2209DB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85053D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CAD6CC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433941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0811DCBA"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5BCB34A4" w14:textId="77777777" w:rsidR="005B25AB" w:rsidRPr="00A6515E" w:rsidRDefault="005B25AB" w:rsidP="003D157D">
            <w:pPr>
              <w:rPr>
                <w:b w:val="0"/>
                <w:bCs w:val="0"/>
                <w:szCs w:val="18"/>
              </w:rPr>
            </w:pPr>
          </w:p>
        </w:tc>
        <w:tc>
          <w:tcPr>
            <w:tcW w:w="270" w:type="pct"/>
            <w:noWrap/>
            <w:hideMark/>
          </w:tcPr>
          <w:p w14:paraId="1DAF559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90</w:t>
            </w:r>
          </w:p>
        </w:tc>
        <w:tc>
          <w:tcPr>
            <w:tcW w:w="262" w:type="pct"/>
            <w:noWrap/>
            <w:hideMark/>
          </w:tcPr>
          <w:p w14:paraId="6A74404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08D3A2C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A17F60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446F0B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08D8BD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0139F45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75FB3F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D87654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E44CDE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09D456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C7CF83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14AD70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F28163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FE8FA5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7D7FA6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3AEEAE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875BE4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482B6108"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304D75C2" w14:textId="77777777" w:rsidR="005B25AB" w:rsidRPr="00A6515E" w:rsidRDefault="005B25AB" w:rsidP="003D157D">
            <w:pPr>
              <w:rPr>
                <w:b w:val="0"/>
                <w:bCs w:val="0"/>
                <w:szCs w:val="18"/>
              </w:rPr>
            </w:pPr>
          </w:p>
        </w:tc>
        <w:tc>
          <w:tcPr>
            <w:tcW w:w="270" w:type="pct"/>
            <w:noWrap/>
            <w:hideMark/>
          </w:tcPr>
          <w:p w14:paraId="26AB511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91</w:t>
            </w:r>
          </w:p>
        </w:tc>
        <w:tc>
          <w:tcPr>
            <w:tcW w:w="262" w:type="pct"/>
            <w:noWrap/>
            <w:hideMark/>
          </w:tcPr>
          <w:p w14:paraId="1551DED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00DF3DB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F4E89B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306FAB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DCD28C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52A1C71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3606A3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4D6BEA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D5CF93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2D27A9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FB4EB9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ABF9EE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43FFEF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62493D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44921C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4A0EA3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C4618A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58BB8E3B" w14:textId="77777777" w:rsidTr="003D157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 w:type="pct"/>
            <w:vMerge/>
            <w:hideMark/>
          </w:tcPr>
          <w:p w14:paraId="43363E82" w14:textId="77777777" w:rsidR="005B25AB" w:rsidRPr="00A6515E" w:rsidRDefault="005B25AB" w:rsidP="003D157D">
            <w:pPr>
              <w:rPr>
                <w:b w:val="0"/>
                <w:bCs w:val="0"/>
                <w:szCs w:val="18"/>
              </w:rPr>
            </w:pPr>
          </w:p>
        </w:tc>
        <w:tc>
          <w:tcPr>
            <w:tcW w:w="270" w:type="pct"/>
            <w:noWrap/>
            <w:hideMark/>
          </w:tcPr>
          <w:p w14:paraId="1308C97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92</w:t>
            </w:r>
          </w:p>
        </w:tc>
        <w:tc>
          <w:tcPr>
            <w:tcW w:w="262" w:type="pct"/>
            <w:noWrap/>
            <w:hideMark/>
          </w:tcPr>
          <w:p w14:paraId="53256B3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5D8FE5E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4742B4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7AD4AD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E1DD4B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1976D89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F60A7D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A14EFA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039B04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02B935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2C14A4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C4A4F9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9DB511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DC3541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97D198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F48DB2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90B7CB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1D611BE9"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val="restart"/>
            <w:textDirection w:val="btLr"/>
            <w:hideMark/>
          </w:tcPr>
          <w:p w14:paraId="2E4C57E8" w14:textId="77777777" w:rsidR="005B25AB" w:rsidRPr="00A6515E" w:rsidRDefault="005B25AB" w:rsidP="003D157D">
            <w:pPr>
              <w:rPr>
                <w:b w:val="0"/>
                <w:bCs w:val="0"/>
                <w:szCs w:val="18"/>
              </w:rPr>
            </w:pPr>
            <w:r>
              <w:rPr>
                <w:szCs w:val="18"/>
              </w:rPr>
              <w:t>Specific to m</w:t>
            </w:r>
            <w:r w:rsidRPr="00A6515E">
              <w:rPr>
                <w:szCs w:val="18"/>
              </w:rPr>
              <w:t>ycoproteins production</w:t>
            </w:r>
          </w:p>
        </w:tc>
        <w:tc>
          <w:tcPr>
            <w:tcW w:w="270" w:type="pct"/>
            <w:noWrap/>
            <w:hideMark/>
          </w:tcPr>
          <w:p w14:paraId="41D53D6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93</w:t>
            </w:r>
          </w:p>
        </w:tc>
        <w:tc>
          <w:tcPr>
            <w:tcW w:w="262" w:type="pct"/>
            <w:noWrap/>
            <w:hideMark/>
          </w:tcPr>
          <w:p w14:paraId="2CA1049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3838DCF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8826CC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E935E0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368B805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0C8951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A0BEE9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46CC036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BAB27E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026F6E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1DACCE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1F4146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BBFCD1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82C007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B1AB18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A1996E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2C0113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50F0A8D3"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31788494" w14:textId="77777777" w:rsidR="005B25AB" w:rsidRPr="00A6515E" w:rsidRDefault="005B25AB" w:rsidP="003D157D">
            <w:pPr>
              <w:rPr>
                <w:b w:val="0"/>
                <w:bCs w:val="0"/>
                <w:szCs w:val="18"/>
              </w:rPr>
            </w:pPr>
          </w:p>
        </w:tc>
        <w:tc>
          <w:tcPr>
            <w:tcW w:w="270" w:type="pct"/>
            <w:noWrap/>
            <w:hideMark/>
          </w:tcPr>
          <w:p w14:paraId="7782DE7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94</w:t>
            </w:r>
          </w:p>
        </w:tc>
        <w:tc>
          <w:tcPr>
            <w:tcW w:w="262" w:type="pct"/>
            <w:noWrap/>
            <w:hideMark/>
          </w:tcPr>
          <w:p w14:paraId="729D0D4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0E13A12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21B3EB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A411C7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7EEDC6F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2F7B5E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408FD7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17F05C5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B13DA5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3ACEA5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BA5F8A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941B0C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826C6E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2A8C61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FC408B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E90373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DA2284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09A5E3C0"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3B898FED" w14:textId="77777777" w:rsidR="005B25AB" w:rsidRPr="00A6515E" w:rsidRDefault="005B25AB" w:rsidP="003D157D">
            <w:pPr>
              <w:rPr>
                <w:b w:val="0"/>
                <w:bCs w:val="0"/>
                <w:szCs w:val="18"/>
              </w:rPr>
            </w:pPr>
          </w:p>
        </w:tc>
        <w:tc>
          <w:tcPr>
            <w:tcW w:w="270" w:type="pct"/>
            <w:noWrap/>
            <w:hideMark/>
          </w:tcPr>
          <w:p w14:paraId="276358C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95</w:t>
            </w:r>
          </w:p>
        </w:tc>
        <w:tc>
          <w:tcPr>
            <w:tcW w:w="262" w:type="pct"/>
            <w:noWrap/>
            <w:hideMark/>
          </w:tcPr>
          <w:p w14:paraId="2952AB4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6381B7D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276359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BF2486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68CF945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E7BD6E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FEFEA4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61FC876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FE2745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D973C1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DE87D6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B1F530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BC0E40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1F881B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595F50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4E6887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B0E963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163E8DD7"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3C1EE476" w14:textId="77777777" w:rsidR="005B25AB" w:rsidRPr="00A6515E" w:rsidRDefault="005B25AB" w:rsidP="003D157D">
            <w:pPr>
              <w:rPr>
                <w:b w:val="0"/>
                <w:bCs w:val="0"/>
                <w:szCs w:val="18"/>
              </w:rPr>
            </w:pPr>
          </w:p>
        </w:tc>
        <w:tc>
          <w:tcPr>
            <w:tcW w:w="270" w:type="pct"/>
            <w:noWrap/>
            <w:hideMark/>
          </w:tcPr>
          <w:p w14:paraId="082F670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96</w:t>
            </w:r>
          </w:p>
        </w:tc>
        <w:tc>
          <w:tcPr>
            <w:tcW w:w="262" w:type="pct"/>
            <w:noWrap/>
            <w:hideMark/>
          </w:tcPr>
          <w:p w14:paraId="1D910B9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60760CE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BD9AF1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91FEA6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386FC5A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2FEBB3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161DAA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520DAA5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14D4AB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D38FAC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DFA182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E7EA62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BB81EC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181632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BC5A51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85C0A2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DFD374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42F4E019"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78D42BEC" w14:textId="77777777" w:rsidR="005B25AB" w:rsidRPr="00A6515E" w:rsidRDefault="005B25AB" w:rsidP="003D157D">
            <w:pPr>
              <w:rPr>
                <w:b w:val="0"/>
                <w:bCs w:val="0"/>
                <w:szCs w:val="18"/>
              </w:rPr>
            </w:pPr>
          </w:p>
        </w:tc>
        <w:tc>
          <w:tcPr>
            <w:tcW w:w="270" w:type="pct"/>
            <w:noWrap/>
            <w:hideMark/>
          </w:tcPr>
          <w:p w14:paraId="7EA5ED2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97</w:t>
            </w:r>
          </w:p>
        </w:tc>
        <w:tc>
          <w:tcPr>
            <w:tcW w:w="262" w:type="pct"/>
            <w:noWrap/>
            <w:hideMark/>
          </w:tcPr>
          <w:p w14:paraId="3E86D02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54EC0E7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EF3715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C5145A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34EA8A3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4C5125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75D231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0B19006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93051D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DC0A5A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2A0F8B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472BC5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0B0BF2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7A2420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6CC51A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7661DB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38F7E8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2DB25859"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4745F2A1" w14:textId="77777777" w:rsidR="005B25AB" w:rsidRPr="00A6515E" w:rsidRDefault="005B25AB" w:rsidP="003D157D">
            <w:pPr>
              <w:rPr>
                <w:b w:val="0"/>
                <w:bCs w:val="0"/>
                <w:szCs w:val="18"/>
              </w:rPr>
            </w:pPr>
          </w:p>
        </w:tc>
        <w:tc>
          <w:tcPr>
            <w:tcW w:w="270" w:type="pct"/>
            <w:noWrap/>
            <w:hideMark/>
          </w:tcPr>
          <w:p w14:paraId="6179D24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98</w:t>
            </w:r>
          </w:p>
        </w:tc>
        <w:tc>
          <w:tcPr>
            <w:tcW w:w="262" w:type="pct"/>
            <w:noWrap/>
            <w:hideMark/>
          </w:tcPr>
          <w:p w14:paraId="19847B5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0A7D272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E54D05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6CAC35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7BB50A7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B5F6EF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730DDC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38B8483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0B6958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79272E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84F814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D1F6DC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9C4A96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8A4343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E74846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708AD3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2E95D6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37474674"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2DF40CD3" w14:textId="77777777" w:rsidR="005B25AB" w:rsidRPr="00A6515E" w:rsidRDefault="005B25AB" w:rsidP="003D157D">
            <w:pPr>
              <w:rPr>
                <w:b w:val="0"/>
                <w:bCs w:val="0"/>
                <w:szCs w:val="18"/>
              </w:rPr>
            </w:pPr>
          </w:p>
        </w:tc>
        <w:tc>
          <w:tcPr>
            <w:tcW w:w="270" w:type="pct"/>
            <w:noWrap/>
            <w:hideMark/>
          </w:tcPr>
          <w:p w14:paraId="069CC0D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99</w:t>
            </w:r>
          </w:p>
        </w:tc>
        <w:tc>
          <w:tcPr>
            <w:tcW w:w="262" w:type="pct"/>
            <w:noWrap/>
            <w:hideMark/>
          </w:tcPr>
          <w:p w14:paraId="469F995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73CA0A7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8FFBCF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600110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7B9A7BE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090540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BF3E41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0682EB1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78211B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3EDBDE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29BBB8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B7738F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7D1114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A91B24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272336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22BB55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1D79A4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2F0D0AA8"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446698BF" w14:textId="77777777" w:rsidR="005B25AB" w:rsidRPr="00A6515E" w:rsidRDefault="005B25AB" w:rsidP="003D157D">
            <w:pPr>
              <w:rPr>
                <w:b w:val="0"/>
                <w:bCs w:val="0"/>
                <w:szCs w:val="18"/>
              </w:rPr>
            </w:pPr>
          </w:p>
        </w:tc>
        <w:tc>
          <w:tcPr>
            <w:tcW w:w="270" w:type="pct"/>
            <w:noWrap/>
            <w:hideMark/>
          </w:tcPr>
          <w:p w14:paraId="2EFEB19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100</w:t>
            </w:r>
          </w:p>
        </w:tc>
        <w:tc>
          <w:tcPr>
            <w:tcW w:w="262" w:type="pct"/>
            <w:noWrap/>
            <w:hideMark/>
          </w:tcPr>
          <w:p w14:paraId="7BF02F1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484B96D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6E792E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CFB49A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5F44C20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BD3D81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915AC8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0F882CC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62AAC8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E2A8A6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10C113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6FC701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D654D1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24C502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4AC343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D5B534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397BBD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258E051A"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225E9EAF" w14:textId="77777777" w:rsidR="005B25AB" w:rsidRPr="00A6515E" w:rsidRDefault="005B25AB" w:rsidP="003D157D">
            <w:pPr>
              <w:rPr>
                <w:b w:val="0"/>
                <w:bCs w:val="0"/>
                <w:szCs w:val="18"/>
              </w:rPr>
            </w:pPr>
          </w:p>
        </w:tc>
        <w:tc>
          <w:tcPr>
            <w:tcW w:w="270" w:type="pct"/>
            <w:noWrap/>
            <w:hideMark/>
          </w:tcPr>
          <w:p w14:paraId="22FA564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101</w:t>
            </w:r>
          </w:p>
        </w:tc>
        <w:tc>
          <w:tcPr>
            <w:tcW w:w="262" w:type="pct"/>
            <w:noWrap/>
            <w:hideMark/>
          </w:tcPr>
          <w:p w14:paraId="78CC85D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5937246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37B7B9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340842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7D1BA10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7FCFB2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F3C0C2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2DAB90E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9E2F27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27CA57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2E363E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87B45F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C38116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E009E9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8D00E1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0B8A9D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759A7F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788E4A00"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546683C5" w14:textId="77777777" w:rsidR="005B25AB" w:rsidRPr="00A6515E" w:rsidRDefault="005B25AB" w:rsidP="003D157D">
            <w:pPr>
              <w:rPr>
                <w:b w:val="0"/>
                <w:bCs w:val="0"/>
                <w:szCs w:val="18"/>
              </w:rPr>
            </w:pPr>
          </w:p>
        </w:tc>
        <w:tc>
          <w:tcPr>
            <w:tcW w:w="270" w:type="pct"/>
            <w:noWrap/>
            <w:hideMark/>
          </w:tcPr>
          <w:p w14:paraId="7BDA07C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102</w:t>
            </w:r>
          </w:p>
        </w:tc>
        <w:tc>
          <w:tcPr>
            <w:tcW w:w="262" w:type="pct"/>
            <w:noWrap/>
            <w:hideMark/>
          </w:tcPr>
          <w:p w14:paraId="7669A77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4E49C35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ED6BA7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EBD32D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0B55200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BBA7AE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C0A631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5587208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BF87C7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6CCBB4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738590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7BCF03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657183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648A0F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B54EDF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438FCD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9485FC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25D00066"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05B9C881" w14:textId="77777777" w:rsidR="005B25AB" w:rsidRPr="00A6515E" w:rsidRDefault="005B25AB" w:rsidP="003D157D">
            <w:pPr>
              <w:rPr>
                <w:b w:val="0"/>
                <w:bCs w:val="0"/>
                <w:szCs w:val="18"/>
              </w:rPr>
            </w:pPr>
          </w:p>
        </w:tc>
        <w:tc>
          <w:tcPr>
            <w:tcW w:w="270" w:type="pct"/>
            <w:noWrap/>
            <w:hideMark/>
          </w:tcPr>
          <w:p w14:paraId="434DC2E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103</w:t>
            </w:r>
          </w:p>
        </w:tc>
        <w:tc>
          <w:tcPr>
            <w:tcW w:w="262" w:type="pct"/>
            <w:noWrap/>
            <w:hideMark/>
          </w:tcPr>
          <w:p w14:paraId="193BAB3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2123D11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618579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EE4EA3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4EFAEA6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AFFF6E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8B06C5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433A013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34D046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CAFAFF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AFDDBC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7E4A38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9633EA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F674BC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8D2293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18417C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391A76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045170B8"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37AC04B3" w14:textId="77777777" w:rsidR="005B25AB" w:rsidRPr="00A6515E" w:rsidRDefault="005B25AB" w:rsidP="003D157D">
            <w:pPr>
              <w:rPr>
                <w:b w:val="0"/>
                <w:bCs w:val="0"/>
                <w:szCs w:val="18"/>
              </w:rPr>
            </w:pPr>
          </w:p>
        </w:tc>
        <w:tc>
          <w:tcPr>
            <w:tcW w:w="270" w:type="pct"/>
            <w:noWrap/>
            <w:hideMark/>
          </w:tcPr>
          <w:p w14:paraId="5D3D10F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104</w:t>
            </w:r>
          </w:p>
        </w:tc>
        <w:tc>
          <w:tcPr>
            <w:tcW w:w="262" w:type="pct"/>
            <w:noWrap/>
            <w:hideMark/>
          </w:tcPr>
          <w:p w14:paraId="0AC151B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3569905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DD3E4F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5031BB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534B025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FA67D2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11D2DE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477772E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C7FDC4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032CA9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792D62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72F559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DF3422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83D599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4A2A8B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F2FF49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DC6F27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374DD2E5"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435DE516" w14:textId="77777777" w:rsidR="005B25AB" w:rsidRPr="00A6515E" w:rsidRDefault="005B25AB" w:rsidP="003D157D">
            <w:pPr>
              <w:rPr>
                <w:b w:val="0"/>
                <w:bCs w:val="0"/>
                <w:szCs w:val="18"/>
              </w:rPr>
            </w:pPr>
          </w:p>
        </w:tc>
        <w:tc>
          <w:tcPr>
            <w:tcW w:w="270" w:type="pct"/>
            <w:noWrap/>
            <w:hideMark/>
          </w:tcPr>
          <w:p w14:paraId="042A573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105</w:t>
            </w:r>
          </w:p>
        </w:tc>
        <w:tc>
          <w:tcPr>
            <w:tcW w:w="262" w:type="pct"/>
            <w:noWrap/>
            <w:hideMark/>
          </w:tcPr>
          <w:p w14:paraId="67605A6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76790C9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CE3E6C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E191A8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541AF29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8D9BDB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44FB8B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416D6CB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DF173F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2FA946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21B62A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FA4352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996D6B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AB8901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57B7E4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DA7E95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DAFAB5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58A34550"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3FA0794D" w14:textId="77777777" w:rsidR="005B25AB" w:rsidRPr="00A6515E" w:rsidRDefault="005B25AB" w:rsidP="003D157D">
            <w:pPr>
              <w:rPr>
                <w:b w:val="0"/>
                <w:bCs w:val="0"/>
                <w:szCs w:val="18"/>
              </w:rPr>
            </w:pPr>
          </w:p>
        </w:tc>
        <w:tc>
          <w:tcPr>
            <w:tcW w:w="270" w:type="pct"/>
            <w:noWrap/>
            <w:hideMark/>
          </w:tcPr>
          <w:p w14:paraId="0A5A5E3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106</w:t>
            </w:r>
          </w:p>
        </w:tc>
        <w:tc>
          <w:tcPr>
            <w:tcW w:w="262" w:type="pct"/>
            <w:noWrap/>
            <w:hideMark/>
          </w:tcPr>
          <w:p w14:paraId="47DCEBE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0153A05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03A064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D0F131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565BCA5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A6DE7B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55EF9E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27A4C82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79FB92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58F6C2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A35039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ED76F2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9D006F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CA7AC0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77FB69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98D09F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2C4F2C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2AC622B7"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0AA6F9AA" w14:textId="77777777" w:rsidR="005B25AB" w:rsidRPr="00A6515E" w:rsidRDefault="005B25AB" w:rsidP="003D157D">
            <w:pPr>
              <w:rPr>
                <w:b w:val="0"/>
                <w:bCs w:val="0"/>
                <w:szCs w:val="18"/>
              </w:rPr>
            </w:pPr>
          </w:p>
        </w:tc>
        <w:tc>
          <w:tcPr>
            <w:tcW w:w="270" w:type="pct"/>
            <w:noWrap/>
            <w:hideMark/>
          </w:tcPr>
          <w:p w14:paraId="42C4B2F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107</w:t>
            </w:r>
          </w:p>
        </w:tc>
        <w:tc>
          <w:tcPr>
            <w:tcW w:w="262" w:type="pct"/>
            <w:noWrap/>
            <w:hideMark/>
          </w:tcPr>
          <w:p w14:paraId="0F11ACA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3418779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9B123F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BBE80F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26667EB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517028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EC9A22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385F991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68049F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2A351D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E868FC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B46786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9858FE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3EDBF1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2C8EE6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16FF5A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F3120D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35D4CB45"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0E2E7FF4" w14:textId="77777777" w:rsidR="005B25AB" w:rsidRPr="00A6515E" w:rsidRDefault="005B25AB" w:rsidP="003D157D">
            <w:pPr>
              <w:rPr>
                <w:b w:val="0"/>
                <w:bCs w:val="0"/>
                <w:szCs w:val="18"/>
              </w:rPr>
            </w:pPr>
          </w:p>
        </w:tc>
        <w:tc>
          <w:tcPr>
            <w:tcW w:w="270" w:type="pct"/>
            <w:noWrap/>
            <w:hideMark/>
          </w:tcPr>
          <w:p w14:paraId="28EF735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108</w:t>
            </w:r>
          </w:p>
        </w:tc>
        <w:tc>
          <w:tcPr>
            <w:tcW w:w="262" w:type="pct"/>
            <w:noWrap/>
            <w:hideMark/>
          </w:tcPr>
          <w:p w14:paraId="0528467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7525159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ABAC03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96DB16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03BED6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60F3D3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1AD4F8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30D116B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060F2B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24C7C4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B49485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568746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34601D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FC0481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E9AE87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7D5AB1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B12A87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2533AA42"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3F86F633" w14:textId="77777777" w:rsidR="005B25AB" w:rsidRPr="00A6515E" w:rsidRDefault="005B25AB" w:rsidP="003D157D">
            <w:pPr>
              <w:rPr>
                <w:b w:val="0"/>
                <w:bCs w:val="0"/>
                <w:szCs w:val="18"/>
              </w:rPr>
            </w:pPr>
          </w:p>
        </w:tc>
        <w:tc>
          <w:tcPr>
            <w:tcW w:w="270" w:type="pct"/>
            <w:noWrap/>
            <w:hideMark/>
          </w:tcPr>
          <w:p w14:paraId="379FDE1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109</w:t>
            </w:r>
          </w:p>
        </w:tc>
        <w:tc>
          <w:tcPr>
            <w:tcW w:w="262" w:type="pct"/>
            <w:noWrap/>
            <w:hideMark/>
          </w:tcPr>
          <w:p w14:paraId="0B17F0D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307F7C2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5CB2E1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EB462E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94402E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12F310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A79AC3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68D0BAC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A9A6DB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16FBDE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6D5182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80BF30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D76F93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844344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B96A51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D47612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66614A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54F07305"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4A175A0D" w14:textId="77777777" w:rsidR="005B25AB" w:rsidRPr="00A6515E" w:rsidRDefault="005B25AB" w:rsidP="003D157D">
            <w:pPr>
              <w:rPr>
                <w:b w:val="0"/>
                <w:bCs w:val="0"/>
                <w:szCs w:val="18"/>
              </w:rPr>
            </w:pPr>
          </w:p>
        </w:tc>
        <w:tc>
          <w:tcPr>
            <w:tcW w:w="270" w:type="pct"/>
            <w:noWrap/>
            <w:hideMark/>
          </w:tcPr>
          <w:p w14:paraId="7CE687C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110</w:t>
            </w:r>
          </w:p>
        </w:tc>
        <w:tc>
          <w:tcPr>
            <w:tcW w:w="262" w:type="pct"/>
            <w:noWrap/>
            <w:hideMark/>
          </w:tcPr>
          <w:p w14:paraId="32F3BC1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4B831C9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FEB9D3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CFB768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5FF561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F966E8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91BC18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18DD567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E4B63C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D3ED05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DCC2CF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CE5EDD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BE384A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26542F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1C6524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04F13C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4B6D40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7FFFB93C"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2779714B" w14:textId="77777777" w:rsidR="005B25AB" w:rsidRPr="00A6515E" w:rsidRDefault="005B25AB" w:rsidP="003D157D">
            <w:pPr>
              <w:rPr>
                <w:b w:val="0"/>
                <w:bCs w:val="0"/>
                <w:szCs w:val="18"/>
              </w:rPr>
            </w:pPr>
          </w:p>
        </w:tc>
        <w:tc>
          <w:tcPr>
            <w:tcW w:w="270" w:type="pct"/>
            <w:noWrap/>
            <w:hideMark/>
          </w:tcPr>
          <w:p w14:paraId="78FC01F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111</w:t>
            </w:r>
          </w:p>
        </w:tc>
        <w:tc>
          <w:tcPr>
            <w:tcW w:w="262" w:type="pct"/>
            <w:noWrap/>
            <w:hideMark/>
          </w:tcPr>
          <w:p w14:paraId="76E54C8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55B4EBF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8CD73B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CDD1F8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6A0F550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93E0FB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CECAF7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6F149B4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497043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0885AD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A12975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643DFC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4EBED8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A03CB3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E97531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E5BAB5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DC815F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356F916B"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1072339A" w14:textId="77777777" w:rsidR="005B25AB" w:rsidRPr="00A6515E" w:rsidRDefault="005B25AB" w:rsidP="003D157D">
            <w:pPr>
              <w:rPr>
                <w:b w:val="0"/>
                <w:bCs w:val="0"/>
                <w:szCs w:val="18"/>
              </w:rPr>
            </w:pPr>
          </w:p>
        </w:tc>
        <w:tc>
          <w:tcPr>
            <w:tcW w:w="270" w:type="pct"/>
            <w:noWrap/>
            <w:hideMark/>
          </w:tcPr>
          <w:p w14:paraId="083257B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112</w:t>
            </w:r>
          </w:p>
        </w:tc>
        <w:tc>
          <w:tcPr>
            <w:tcW w:w="262" w:type="pct"/>
            <w:noWrap/>
            <w:hideMark/>
          </w:tcPr>
          <w:p w14:paraId="0E5BC6E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71E9261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867FCD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85C1A9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3076476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49D83F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9DBB2B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2C64854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759CA5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AB515E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015D04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FE4F93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E393AE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496537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60CCD0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42171D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219DE3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2BAA2A76"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142A85C0" w14:textId="77777777" w:rsidR="005B25AB" w:rsidRPr="00A6515E" w:rsidRDefault="005B25AB" w:rsidP="003D157D">
            <w:pPr>
              <w:rPr>
                <w:b w:val="0"/>
                <w:bCs w:val="0"/>
                <w:szCs w:val="18"/>
              </w:rPr>
            </w:pPr>
          </w:p>
        </w:tc>
        <w:tc>
          <w:tcPr>
            <w:tcW w:w="270" w:type="pct"/>
            <w:noWrap/>
            <w:hideMark/>
          </w:tcPr>
          <w:p w14:paraId="3E59D2F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113</w:t>
            </w:r>
          </w:p>
        </w:tc>
        <w:tc>
          <w:tcPr>
            <w:tcW w:w="262" w:type="pct"/>
            <w:noWrap/>
            <w:hideMark/>
          </w:tcPr>
          <w:p w14:paraId="1700359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7E158B9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B9A267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3C22C4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4B2A38A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DCB23E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52C025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6463C09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1E1398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868B88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47AD2C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6F4F2A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E0F0DF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297E09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79030E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1B23B7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DA0C4C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16410F13"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3A2BC9BC" w14:textId="77777777" w:rsidR="005B25AB" w:rsidRPr="00A6515E" w:rsidRDefault="005B25AB" w:rsidP="003D157D">
            <w:pPr>
              <w:rPr>
                <w:b w:val="0"/>
                <w:bCs w:val="0"/>
                <w:szCs w:val="18"/>
              </w:rPr>
            </w:pPr>
          </w:p>
        </w:tc>
        <w:tc>
          <w:tcPr>
            <w:tcW w:w="270" w:type="pct"/>
            <w:noWrap/>
            <w:hideMark/>
          </w:tcPr>
          <w:p w14:paraId="3CE6F51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114</w:t>
            </w:r>
          </w:p>
        </w:tc>
        <w:tc>
          <w:tcPr>
            <w:tcW w:w="262" w:type="pct"/>
            <w:noWrap/>
            <w:hideMark/>
          </w:tcPr>
          <w:p w14:paraId="0355F56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13B4868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F98AFA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F9824C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3AC821E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AC9E14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DD34CE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4E3964E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ADFB90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3C8DD6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BE1F52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685EED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B28B7F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426ADB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AE217C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EB7C54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B18ECC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168197EC"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58EC11E2" w14:textId="77777777" w:rsidR="005B25AB" w:rsidRPr="00A6515E" w:rsidRDefault="005B25AB" w:rsidP="003D157D">
            <w:pPr>
              <w:rPr>
                <w:b w:val="0"/>
                <w:bCs w:val="0"/>
                <w:szCs w:val="18"/>
              </w:rPr>
            </w:pPr>
          </w:p>
        </w:tc>
        <w:tc>
          <w:tcPr>
            <w:tcW w:w="270" w:type="pct"/>
            <w:noWrap/>
            <w:hideMark/>
          </w:tcPr>
          <w:p w14:paraId="7376FDF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115</w:t>
            </w:r>
          </w:p>
        </w:tc>
        <w:tc>
          <w:tcPr>
            <w:tcW w:w="262" w:type="pct"/>
            <w:noWrap/>
            <w:hideMark/>
          </w:tcPr>
          <w:p w14:paraId="36F9D80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29E1629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68FA00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EFB2BB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54C82ED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EBAE75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34AF07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6CF8E87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3FAFD2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ECE2BD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673AD5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ECCE5D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59AA58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8CDE56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DE61EF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03FE52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E4775D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08D9824"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04ADFD4C" w14:textId="77777777" w:rsidR="005B25AB" w:rsidRPr="00A6515E" w:rsidRDefault="005B25AB" w:rsidP="003D157D">
            <w:pPr>
              <w:rPr>
                <w:b w:val="0"/>
                <w:bCs w:val="0"/>
                <w:szCs w:val="18"/>
              </w:rPr>
            </w:pPr>
          </w:p>
        </w:tc>
        <w:tc>
          <w:tcPr>
            <w:tcW w:w="270" w:type="pct"/>
            <w:noWrap/>
            <w:hideMark/>
          </w:tcPr>
          <w:p w14:paraId="21DB07C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116</w:t>
            </w:r>
          </w:p>
        </w:tc>
        <w:tc>
          <w:tcPr>
            <w:tcW w:w="262" w:type="pct"/>
            <w:noWrap/>
            <w:hideMark/>
          </w:tcPr>
          <w:p w14:paraId="6AC7305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769676E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55BB0E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99EE1B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4F46FC9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155A43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D88DC7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067FAEC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B61F75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85BA58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EE9A72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4BF243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3DE2F8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DD1E8B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8D9A7C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107057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56A781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13C084D1"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33129299" w14:textId="77777777" w:rsidR="005B25AB" w:rsidRPr="00A6515E" w:rsidRDefault="005B25AB" w:rsidP="003D157D">
            <w:pPr>
              <w:rPr>
                <w:b w:val="0"/>
                <w:bCs w:val="0"/>
                <w:szCs w:val="18"/>
              </w:rPr>
            </w:pPr>
          </w:p>
        </w:tc>
        <w:tc>
          <w:tcPr>
            <w:tcW w:w="270" w:type="pct"/>
            <w:noWrap/>
            <w:hideMark/>
          </w:tcPr>
          <w:p w14:paraId="6A8ED94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117</w:t>
            </w:r>
          </w:p>
        </w:tc>
        <w:tc>
          <w:tcPr>
            <w:tcW w:w="262" w:type="pct"/>
            <w:noWrap/>
            <w:hideMark/>
          </w:tcPr>
          <w:p w14:paraId="0532C05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0709253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4E4980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0A8119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5AB8972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68C0C0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5B59C3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5335DA3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400744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0797F8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01EB05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460DAD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2B7678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10AA92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107856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89654A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A3B65E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bl>
    <w:p w14:paraId="5BB4071D" w14:textId="77777777" w:rsidR="005B25AB" w:rsidRDefault="005B25AB" w:rsidP="005B25AB"/>
    <w:p w14:paraId="2481BE6D" w14:textId="77777777" w:rsidR="005B25AB" w:rsidRDefault="005B25AB" w:rsidP="005B25AB">
      <w:r>
        <w:br w:type="page"/>
      </w:r>
    </w:p>
    <w:tbl>
      <w:tblPr>
        <w:tblStyle w:val="Tableausimple4"/>
        <w:tblW w:w="5000" w:type="pct"/>
        <w:tblLook w:val="04A0" w:firstRow="1" w:lastRow="0" w:firstColumn="1" w:lastColumn="0" w:noHBand="0" w:noVBand="1"/>
      </w:tblPr>
      <w:tblGrid>
        <w:gridCol w:w="475"/>
        <w:gridCol w:w="491"/>
        <w:gridCol w:w="476"/>
        <w:gridCol w:w="477"/>
        <w:gridCol w:w="477"/>
        <w:gridCol w:w="477"/>
        <w:gridCol w:w="477"/>
        <w:gridCol w:w="477"/>
        <w:gridCol w:w="477"/>
        <w:gridCol w:w="477"/>
        <w:gridCol w:w="477"/>
        <w:gridCol w:w="477"/>
        <w:gridCol w:w="477"/>
        <w:gridCol w:w="477"/>
        <w:gridCol w:w="477"/>
        <w:gridCol w:w="477"/>
        <w:gridCol w:w="477"/>
        <w:gridCol w:w="477"/>
        <w:gridCol w:w="475"/>
      </w:tblGrid>
      <w:tr w:rsidR="005B25AB" w:rsidRPr="00A6515E" w14:paraId="550E46A4" w14:textId="77777777" w:rsidTr="003D157D">
        <w:trPr>
          <w:cnfStyle w:val="100000000000" w:firstRow="1" w:lastRow="0" w:firstColumn="0" w:lastColumn="0" w:oddVBand="0" w:evenVBand="0" w:oddHBand="0" w:evenHBand="0" w:firstRowFirstColumn="0" w:firstRowLastColumn="0" w:lastRowFirstColumn="0" w:lastRowLastColumn="0"/>
          <w:trHeight w:val="824"/>
        </w:trPr>
        <w:tc>
          <w:tcPr>
            <w:cnfStyle w:val="001000000000" w:firstRow="0" w:lastRow="0" w:firstColumn="1" w:lastColumn="0" w:oddVBand="0" w:evenVBand="0" w:oddHBand="0" w:evenHBand="0" w:firstRowFirstColumn="0" w:firstRowLastColumn="0" w:lastRowFirstColumn="0" w:lastRowLastColumn="0"/>
            <w:tcW w:w="261" w:type="pct"/>
          </w:tcPr>
          <w:p w14:paraId="20731BBD" w14:textId="77777777" w:rsidR="005B25AB" w:rsidRPr="00A6515E" w:rsidRDefault="005B25AB" w:rsidP="003D157D">
            <w:pPr>
              <w:rPr>
                <w:b w:val="0"/>
                <w:bCs w:val="0"/>
                <w:szCs w:val="18"/>
              </w:rPr>
            </w:pPr>
          </w:p>
        </w:tc>
        <w:tc>
          <w:tcPr>
            <w:tcW w:w="270" w:type="pct"/>
            <w:noWrap/>
          </w:tcPr>
          <w:p w14:paraId="7AFBE7B7" w14:textId="77777777" w:rsidR="005B25AB" w:rsidRPr="00E73DCD" w:rsidRDefault="005B25AB" w:rsidP="003D157D">
            <w:pPr>
              <w:cnfStyle w:val="100000000000" w:firstRow="1" w:lastRow="0" w:firstColumn="0" w:lastColumn="0" w:oddVBand="0" w:evenVBand="0" w:oddHBand="0" w:evenHBand="0" w:firstRowFirstColumn="0" w:firstRowLastColumn="0" w:lastRowFirstColumn="0" w:lastRowLastColumn="0"/>
              <w:rPr>
                <w:bCs w:val="0"/>
                <w:szCs w:val="18"/>
              </w:rPr>
            </w:pPr>
            <w:r w:rsidRPr="00A6515E">
              <w:rPr>
                <w:szCs w:val="18"/>
              </w:rPr>
              <w:t>n°</w:t>
            </w:r>
          </w:p>
        </w:tc>
        <w:tc>
          <w:tcPr>
            <w:tcW w:w="262" w:type="pct"/>
            <w:noWrap/>
            <w:textDirection w:val="btLr"/>
          </w:tcPr>
          <w:p w14:paraId="2CF55151" w14:textId="77777777" w:rsidR="005B25AB" w:rsidRPr="00E73DCD" w:rsidRDefault="005B25AB" w:rsidP="003D157D">
            <w:pPr>
              <w:cnfStyle w:val="100000000000" w:firstRow="1" w:lastRow="0" w:firstColumn="0" w:lastColumn="0" w:oddVBand="0" w:evenVBand="0" w:oddHBand="0" w:evenHBand="0" w:firstRowFirstColumn="0" w:firstRowLastColumn="0" w:lastRowFirstColumn="0" w:lastRowLastColumn="0"/>
              <w:rPr>
                <w:bCs w:val="0"/>
                <w:szCs w:val="18"/>
              </w:rPr>
            </w:pPr>
            <w:r w:rsidRPr="00A6515E">
              <w:rPr>
                <w:szCs w:val="18"/>
              </w:rPr>
              <w:t>CF</w:t>
            </w:r>
          </w:p>
        </w:tc>
        <w:tc>
          <w:tcPr>
            <w:tcW w:w="263" w:type="pct"/>
            <w:noWrap/>
            <w:textDirection w:val="btLr"/>
          </w:tcPr>
          <w:p w14:paraId="5A3D5163" w14:textId="77777777" w:rsidR="005B25AB" w:rsidRPr="00E73DCD" w:rsidRDefault="005B25AB" w:rsidP="003D157D">
            <w:pPr>
              <w:cnfStyle w:val="100000000000" w:firstRow="1" w:lastRow="0" w:firstColumn="0" w:lastColumn="0" w:oddVBand="0" w:evenVBand="0" w:oddHBand="0" w:evenHBand="0" w:firstRowFirstColumn="0" w:firstRowLastColumn="0" w:lastRowFirstColumn="0" w:lastRowLastColumn="0"/>
              <w:rPr>
                <w:szCs w:val="18"/>
              </w:rPr>
            </w:pPr>
            <w:r w:rsidRPr="00A6515E">
              <w:rPr>
                <w:szCs w:val="18"/>
              </w:rPr>
              <w:t>GB_AD</w:t>
            </w:r>
          </w:p>
        </w:tc>
        <w:tc>
          <w:tcPr>
            <w:tcW w:w="263" w:type="pct"/>
            <w:noWrap/>
            <w:textDirection w:val="btLr"/>
          </w:tcPr>
          <w:p w14:paraId="7D682F4F" w14:textId="77777777" w:rsidR="005B25AB" w:rsidRPr="00E73DCD" w:rsidRDefault="005B25AB" w:rsidP="003D157D">
            <w:pPr>
              <w:cnfStyle w:val="100000000000" w:firstRow="1" w:lastRow="0" w:firstColumn="0" w:lastColumn="0" w:oddVBand="0" w:evenVBand="0" w:oddHBand="0" w:evenHBand="0" w:firstRowFirstColumn="0" w:firstRowLastColumn="0" w:lastRowFirstColumn="0" w:lastRowLastColumn="0"/>
              <w:rPr>
                <w:szCs w:val="18"/>
              </w:rPr>
            </w:pPr>
            <w:r w:rsidRPr="00A6515E">
              <w:rPr>
                <w:szCs w:val="18"/>
              </w:rPr>
              <w:t>GB_rough</w:t>
            </w:r>
          </w:p>
        </w:tc>
        <w:tc>
          <w:tcPr>
            <w:tcW w:w="263" w:type="pct"/>
            <w:noWrap/>
            <w:textDirection w:val="btLr"/>
          </w:tcPr>
          <w:p w14:paraId="20EBDC91" w14:textId="77777777" w:rsidR="005B25AB" w:rsidRPr="00E73DCD" w:rsidRDefault="005B25AB" w:rsidP="003D157D">
            <w:pPr>
              <w:cnfStyle w:val="100000000000" w:firstRow="1" w:lastRow="0" w:firstColumn="0" w:lastColumn="0" w:oddVBand="0" w:evenVBand="0" w:oddHBand="0" w:evenHBand="0" w:firstRowFirstColumn="0" w:firstRowLastColumn="0" w:lastRowFirstColumn="0" w:lastRowLastColumn="0"/>
              <w:rPr>
                <w:szCs w:val="18"/>
              </w:rPr>
            </w:pPr>
            <w:r w:rsidRPr="00A6515E">
              <w:rPr>
                <w:szCs w:val="18"/>
              </w:rPr>
              <w:t>GB_myco</w:t>
            </w:r>
          </w:p>
        </w:tc>
        <w:tc>
          <w:tcPr>
            <w:tcW w:w="263" w:type="pct"/>
            <w:noWrap/>
            <w:textDirection w:val="btLr"/>
          </w:tcPr>
          <w:p w14:paraId="13796BB0" w14:textId="77777777" w:rsidR="005B25AB" w:rsidRPr="00E73DCD" w:rsidRDefault="005B25AB" w:rsidP="003D157D">
            <w:pPr>
              <w:cnfStyle w:val="100000000000" w:firstRow="1" w:lastRow="0" w:firstColumn="0" w:lastColumn="0" w:oddVBand="0" w:evenVBand="0" w:oddHBand="0" w:evenHBand="0" w:firstRowFirstColumn="0" w:firstRowLastColumn="0" w:lastRowFirstColumn="0" w:lastRowLastColumn="0"/>
              <w:rPr>
                <w:szCs w:val="18"/>
              </w:rPr>
            </w:pPr>
            <w:r w:rsidRPr="00A6515E">
              <w:rPr>
                <w:szCs w:val="18"/>
              </w:rPr>
              <w:t>BSF</w:t>
            </w:r>
          </w:p>
        </w:tc>
        <w:tc>
          <w:tcPr>
            <w:tcW w:w="263" w:type="pct"/>
            <w:noWrap/>
            <w:textDirection w:val="btLr"/>
          </w:tcPr>
          <w:p w14:paraId="3424FD94" w14:textId="77777777" w:rsidR="005B25AB" w:rsidRPr="00E73DCD" w:rsidRDefault="005B25AB" w:rsidP="003D157D">
            <w:pPr>
              <w:cnfStyle w:val="100000000000" w:firstRow="1" w:lastRow="0" w:firstColumn="0" w:lastColumn="0" w:oddVBand="0" w:evenVBand="0" w:oddHBand="0" w:evenHBand="0" w:firstRowFirstColumn="0" w:firstRowLastColumn="0" w:lastRowFirstColumn="0" w:lastRowLastColumn="0"/>
              <w:rPr>
                <w:szCs w:val="18"/>
              </w:rPr>
            </w:pPr>
            <w:r w:rsidRPr="00A6515E">
              <w:rPr>
                <w:szCs w:val="18"/>
              </w:rPr>
              <w:t>SSF</w:t>
            </w:r>
          </w:p>
        </w:tc>
        <w:tc>
          <w:tcPr>
            <w:tcW w:w="263" w:type="pct"/>
            <w:noWrap/>
            <w:textDirection w:val="btLr"/>
          </w:tcPr>
          <w:p w14:paraId="0A20EAEA" w14:textId="77777777" w:rsidR="005B25AB" w:rsidRPr="00E73DCD" w:rsidRDefault="005B25AB" w:rsidP="003D157D">
            <w:pPr>
              <w:cnfStyle w:val="100000000000" w:firstRow="1" w:lastRow="0" w:firstColumn="0" w:lastColumn="0" w:oddVBand="0" w:evenVBand="0" w:oddHBand="0" w:evenHBand="0" w:firstRowFirstColumn="0" w:firstRowLastColumn="0" w:lastRowFirstColumn="0" w:lastRowLastColumn="0"/>
              <w:rPr>
                <w:szCs w:val="18"/>
              </w:rPr>
            </w:pPr>
            <w:r w:rsidRPr="00A6515E">
              <w:rPr>
                <w:szCs w:val="18"/>
              </w:rPr>
              <w:t>MYCO</w:t>
            </w:r>
          </w:p>
        </w:tc>
        <w:tc>
          <w:tcPr>
            <w:tcW w:w="263" w:type="pct"/>
            <w:noWrap/>
            <w:textDirection w:val="btLr"/>
          </w:tcPr>
          <w:p w14:paraId="2BE0C5D0"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MP_AD</w:t>
            </w:r>
          </w:p>
        </w:tc>
        <w:tc>
          <w:tcPr>
            <w:tcW w:w="263" w:type="pct"/>
            <w:noWrap/>
            <w:textDirection w:val="btLr"/>
          </w:tcPr>
          <w:p w14:paraId="691175E1"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MP_GA</w:t>
            </w:r>
          </w:p>
        </w:tc>
        <w:tc>
          <w:tcPr>
            <w:tcW w:w="263" w:type="pct"/>
            <w:noWrap/>
            <w:textDirection w:val="btLr"/>
          </w:tcPr>
          <w:p w14:paraId="5DE43737"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AD</w:t>
            </w:r>
          </w:p>
        </w:tc>
        <w:tc>
          <w:tcPr>
            <w:tcW w:w="263" w:type="pct"/>
            <w:noWrap/>
            <w:textDirection w:val="btLr"/>
          </w:tcPr>
          <w:p w14:paraId="17272A33"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GA</w:t>
            </w:r>
          </w:p>
        </w:tc>
        <w:tc>
          <w:tcPr>
            <w:tcW w:w="263" w:type="pct"/>
            <w:noWrap/>
            <w:textDirection w:val="btLr"/>
          </w:tcPr>
          <w:p w14:paraId="548AAB9C"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DIR_CHP</w:t>
            </w:r>
          </w:p>
        </w:tc>
        <w:tc>
          <w:tcPr>
            <w:tcW w:w="263" w:type="pct"/>
            <w:noWrap/>
            <w:textDirection w:val="btLr"/>
          </w:tcPr>
          <w:p w14:paraId="66E66BA4"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Heat</w:t>
            </w:r>
          </w:p>
        </w:tc>
        <w:tc>
          <w:tcPr>
            <w:tcW w:w="263" w:type="pct"/>
            <w:noWrap/>
            <w:textDirection w:val="btLr"/>
          </w:tcPr>
          <w:p w14:paraId="30BC68F7"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Burn</w:t>
            </w:r>
          </w:p>
        </w:tc>
        <w:tc>
          <w:tcPr>
            <w:tcW w:w="263" w:type="pct"/>
            <w:noWrap/>
            <w:textDirection w:val="btLr"/>
          </w:tcPr>
          <w:p w14:paraId="4713A545"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Compost</w:t>
            </w:r>
          </w:p>
        </w:tc>
        <w:tc>
          <w:tcPr>
            <w:tcW w:w="263" w:type="pct"/>
            <w:noWrap/>
            <w:textDirection w:val="btLr"/>
          </w:tcPr>
          <w:p w14:paraId="57B8243A"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Spread</w:t>
            </w:r>
          </w:p>
        </w:tc>
        <w:tc>
          <w:tcPr>
            <w:tcW w:w="263" w:type="pct"/>
            <w:noWrap/>
            <w:textDirection w:val="btLr"/>
          </w:tcPr>
          <w:p w14:paraId="4E52AEF2"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Decay</w:t>
            </w:r>
          </w:p>
        </w:tc>
      </w:tr>
      <w:tr w:rsidR="005B25AB" w:rsidRPr="00A6515E" w14:paraId="67B81A1C"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61" w:type="pct"/>
            <w:vMerge w:val="restart"/>
            <w:shd w:val="clear" w:color="auto" w:fill="auto"/>
            <w:textDirection w:val="btLr"/>
            <w:hideMark/>
          </w:tcPr>
          <w:p w14:paraId="1FB8DB6B" w14:textId="77777777" w:rsidR="005B25AB" w:rsidRPr="00A6515E" w:rsidRDefault="005B25AB" w:rsidP="003D157D">
            <w:pPr>
              <w:ind w:left="113" w:right="113"/>
              <w:rPr>
                <w:b w:val="0"/>
                <w:bCs w:val="0"/>
                <w:szCs w:val="18"/>
              </w:rPr>
            </w:pPr>
          </w:p>
        </w:tc>
        <w:tc>
          <w:tcPr>
            <w:tcW w:w="270" w:type="pct"/>
            <w:noWrap/>
            <w:hideMark/>
          </w:tcPr>
          <w:p w14:paraId="11C6698C" w14:textId="77777777" w:rsidR="005B25AB" w:rsidRPr="00E73DCD"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E73DCD">
              <w:rPr>
                <w:b/>
                <w:bCs/>
                <w:szCs w:val="18"/>
              </w:rPr>
              <w:t>118</w:t>
            </w:r>
          </w:p>
        </w:tc>
        <w:tc>
          <w:tcPr>
            <w:tcW w:w="262" w:type="pct"/>
            <w:noWrap/>
            <w:hideMark/>
          </w:tcPr>
          <w:p w14:paraId="03CBD2E4" w14:textId="77777777" w:rsidR="005B25AB" w:rsidRPr="00E73DCD"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3D661CB1" w14:textId="77777777" w:rsidR="005B25AB" w:rsidRPr="00E73DCD"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1677E0E" w14:textId="77777777" w:rsidR="005B25AB" w:rsidRPr="00E73DCD"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A5BAB10" w14:textId="77777777" w:rsidR="005B25AB" w:rsidRPr="00E73DCD"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E73DCD">
              <w:rPr>
                <w:b/>
                <w:szCs w:val="18"/>
              </w:rPr>
              <w:t>x</w:t>
            </w:r>
          </w:p>
        </w:tc>
        <w:tc>
          <w:tcPr>
            <w:tcW w:w="263" w:type="pct"/>
            <w:noWrap/>
            <w:hideMark/>
          </w:tcPr>
          <w:p w14:paraId="39BE65B2" w14:textId="77777777" w:rsidR="005B25AB" w:rsidRPr="00E73DCD"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850322F" w14:textId="77777777" w:rsidR="005B25AB" w:rsidRPr="00E73DCD"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7A20AB8" w14:textId="77777777" w:rsidR="005B25AB" w:rsidRPr="00E73DCD"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E73DCD">
              <w:rPr>
                <w:b/>
                <w:szCs w:val="18"/>
              </w:rPr>
              <w:t>x</w:t>
            </w:r>
          </w:p>
        </w:tc>
        <w:tc>
          <w:tcPr>
            <w:tcW w:w="263" w:type="pct"/>
            <w:noWrap/>
            <w:hideMark/>
          </w:tcPr>
          <w:p w14:paraId="3E81FFE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C43DAB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22ACAD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EB3851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804F8F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1CF746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EB112B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A28EAF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ECA43A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091E2D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643D8A37"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61" w:type="pct"/>
            <w:vMerge/>
            <w:shd w:val="clear" w:color="auto" w:fill="auto"/>
            <w:hideMark/>
          </w:tcPr>
          <w:p w14:paraId="1CCE935E" w14:textId="77777777" w:rsidR="005B25AB" w:rsidRPr="00A6515E" w:rsidRDefault="005B25AB" w:rsidP="003D157D">
            <w:pPr>
              <w:rPr>
                <w:b w:val="0"/>
                <w:bCs w:val="0"/>
                <w:szCs w:val="18"/>
              </w:rPr>
            </w:pPr>
          </w:p>
        </w:tc>
        <w:tc>
          <w:tcPr>
            <w:tcW w:w="270" w:type="pct"/>
            <w:noWrap/>
            <w:hideMark/>
          </w:tcPr>
          <w:p w14:paraId="3BF845E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119</w:t>
            </w:r>
          </w:p>
        </w:tc>
        <w:tc>
          <w:tcPr>
            <w:tcW w:w="262" w:type="pct"/>
            <w:noWrap/>
            <w:hideMark/>
          </w:tcPr>
          <w:p w14:paraId="3E9E971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6516537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48C285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FF34E1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2408B29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CB6F3B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1B160B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5CD747A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9E3E9D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78DDA3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7F8F09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43248F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826E8F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7C49B3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C8318A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C563ED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3B5E5C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75769D47"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61" w:type="pct"/>
            <w:vMerge/>
            <w:shd w:val="clear" w:color="auto" w:fill="auto"/>
            <w:hideMark/>
          </w:tcPr>
          <w:p w14:paraId="27EC4848" w14:textId="77777777" w:rsidR="005B25AB" w:rsidRPr="00A6515E" w:rsidRDefault="005B25AB" w:rsidP="003D157D">
            <w:pPr>
              <w:rPr>
                <w:b w:val="0"/>
                <w:bCs w:val="0"/>
                <w:szCs w:val="18"/>
              </w:rPr>
            </w:pPr>
          </w:p>
        </w:tc>
        <w:tc>
          <w:tcPr>
            <w:tcW w:w="270" w:type="pct"/>
            <w:noWrap/>
            <w:hideMark/>
          </w:tcPr>
          <w:p w14:paraId="2E9DC60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120</w:t>
            </w:r>
          </w:p>
        </w:tc>
        <w:tc>
          <w:tcPr>
            <w:tcW w:w="262" w:type="pct"/>
            <w:noWrap/>
            <w:hideMark/>
          </w:tcPr>
          <w:p w14:paraId="75C1D1A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2794E3D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5F55F7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15B053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1BE4957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B4667F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710735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5D25E70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21CB07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1AB870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C68B6D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83A59A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18E1A7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399DC9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0B0376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34ABDF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56597A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474E3228"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61" w:type="pct"/>
            <w:vMerge/>
            <w:shd w:val="clear" w:color="auto" w:fill="auto"/>
            <w:hideMark/>
          </w:tcPr>
          <w:p w14:paraId="627CA9EC" w14:textId="77777777" w:rsidR="005B25AB" w:rsidRPr="00A6515E" w:rsidRDefault="005B25AB" w:rsidP="003D157D">
            <w:pPr>
              <w:rPr>
                <w:b w:val="0"/>
                <w:bCs w:val="0"/>
                <w:szCs w:val="18"/>
              </w:rPr>
            </w:pPr>
          </w:p>
        </w:tc>
        <w:tc>
          <w:tcPr>
            <w:tcW w:w="270" w:type="pct"/>
            <w:noWrap/>
            <w:hideMark/>
          </w:tcPr>
          <w:p w14:paraId="638FA9C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121</w:t>
            </w:r>
          </w:p>
        </w:tc>
        <w:tc>
          <w:tcPr>
            <w:tcW w:w="262" w:type="pct"/>
            <w:noWrap/>
            <w:hideMark/>
          </w:tcPr>
          <w:p w14:paraId="19706E5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0944D00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FEE462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30658A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0583DCA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EB3DDC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55044E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3371414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AE2A42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3BF3D3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A9C156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0EF34D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3CAFD1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D5B2A4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D729D7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110DC9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EEB635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7D3FEBD7"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61" w:type="pct"/>
            <w:vMerge/>
            <w:shd w:val="clear" w:color="auto" w:fill="auto"/>
            <w:hideMark/>
          </w:tcPr>
          <w:p w14:paraId="1DE6FB8E" w14:textId="77777777" w:rsidR="005B25AB" w:rsidRPr="00A6515E" w:rsidRDefault="005B25AB" w:rsidP="003D157D">
            <w:pPr>
              <w:rPr>
                <w:b w:val="0"/>
                <w:bCs w:val="0"/>
                <w:szCs w:val="18"/>
              </w:rPr>
            </w:pPr>
          </w:p>
        </w:tc>
        <w:tc>
          <w:tcPr>
            <w:tcW w:w="270" w:type="pct"/>
            <w:noWrap/>
            <w:hideMark/>
          </w:tcPr>
          <w:p w14:paraId="414D33F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122</w:t>
            </w:r>
          </w:p>
        </w:tc>
        <w:tc>
          <w:tcPr>
            <w:tcW w:w="262" w:type="pct"/>
            <w:noWrap/>
            <w:hideMark/>
          </w:tcPr>
          <w:p w14:paraId="49CEE86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21B6FD0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414E8A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12F227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84A257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F8C383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154BAA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3A8915A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811372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77CF06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F1FDCE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46ABEA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E209E4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464D79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BAEC47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AB5087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E1380C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52200EC5" w14:textId="77777777" w:rsidTr="003D157D">
        <w:trPr>
          <w:trHeight w:val="300"/>
        </w:trPr>
        <w:tc>
          <w:tcPr>
            <w:cnfStyle w:val="001000000000" w:firstRow="0" w:lastRow="0" w:firstColumn="1" w:lastColumn="0" w:oddVBand="0" w:evenVBand="0" w:oddHBand="0" w:evenHBand="0" w:firstRowFirstColumn="0" w:firstRowLastColumn="0" w:lastRowFirstColumn="0" w:lastRowLastColumn="0"/>
            <w:tcW w:w="261" w:type="pct"/>
            <w:vMerge/>
            <w:shd w:val="clear" w:color="auto" w:fill="auto"/>
            <w:hideMark/>
          </w:tcPr>
          <w:p w14:paraId="18479510" w14:textId="77777777" w:rsidR="005B25AB" w:rsidRPr="00A6515E" w:rsidRDefault="005B25AB" w:rsidP="003D157D">
            <w:pPr>
              <w:rPr>
                <w:b w:val="0"/>
                <w:bCs w:val="0"/>
                <w:szCs w:val="18"/>
              </w:rPr>
            </w:pPr>
          </w:p>
        </w:tc>
        <w:tc>
          <w:tcPr>
            <w:tcW w:w="270" w:type="pct"/>
            <w:noWrap/>
            <w:hideMark/>
          </w:tcPr>
          <w:p w14:paraId="0D2E475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123</w:t>
            </w:r>
          </w:p>
        </w:tc>
        <w:tc>
          <w:tcPr>
            <w:tcW w:w="262" w:type="pct"/>
            <w:noWrap/>
            <w:hideMark/>
          </w:tcPr>
          <w:p w14:paraId="4373240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333AEBF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67AB25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C180D5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1C3BD4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D42543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4A5BDF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05765E1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9036CC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3709D0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245F39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09F732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010691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09C88B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035F43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0E738C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17AE13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702D7992"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61" w:type="pct"/>
            <w:vMerge w:val="restart"/>
            <w:noWrap/>
            <w:textDirection w:val="btLr"/>
            <w:hideMark/>
          </w:tcPr>
          <w:p w14:paraId="32E37016" w14:textId="77777777" w:rsidR="005B25AB" w:rsidRPr="00A6515E" w:rsidRDefault="005B25AB" w:rsidP="003D157D">
            <w:pPr>
              <w:rPr>
                <w:b w:val="0"/>
                <w:bCs w:val="0"/>
                <w:szCs w:val="18"/>
              </w:rPr>
            </w:pPr>
            <w:r w:rsidRPr="00A6515E">
              <w:rPr>
                <w:szCs w:val="18"/>
              </w:rPr>
              <w:t>Microbial proteins production pathways</w:t>
            </w:r>
          </w:p>
        </w:tc>
        <w:tc>
          <w:tcPr>
            <w:tcW w:w="270" w:type="pct"/>
            <w:noWrap/>
            <w:hideMark/>
          </w:tcPr>
          <w:p w14:paraId="5A4FD1A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124</w:t>
            </w:r>
          </w:p>
        </w:tc>
        <w:tc>
          <w:tcPr>
            <w:tcW w:w="262" w:type="pct"/>
            <w:noWrap/>
            <w:hideMark/>
          </w:tcPr>
          <w:p w14:paraId="432A254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42E5883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AA8456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47B77E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FB4B48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27DD14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FD2091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7B302E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5983526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1DFDF8C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33D308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D7B5CC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0A3C8F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66170D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331C78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7C0A2D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434FF2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6A90EBF0"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61" w:type="pct"/>
            <w:vMerge/>
            <w:shd w:val="clear" w:color="auto" w:fill="F2F2F2" w:themeFill="background1" w:themeFillShade="F2"/>
            <w:hideMark/>
          </w:tcPr>
          <w:p w14:paraId="1B9DC04A" w14:textId="77777777" w:rsidR="005B25AB" w:rsidRPr="00A6515E" w:rsidRDefault="005B25AB" w:rsidP="003D157D">
            <w:pPr>
              <w:rPr>
                <w:b w:val="0"/>
                <w:bCs w:val="0"/>
                <w:szCs w:val="18"/>
              </w:rPr>
            </w:pPr>
          </w:p>
        </w:tc>
        <w:tc>
          <w:tcPr>
            <w:tcW w:w="270" w:type="pct"/>
            <w:noWrap/>
            <w:hideMark/>
          </w:tcPr>
          <w:p w14:paraId="0DE6A03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125</w:t>
            </w:r>
          </w:p>
        </w:tc>
        <w:tc>
          <w:tcPr>
            <w:tcW w:w="262" w:type="pct"/>
            <w:noWrap/>
            <w:hideMark/>
          </w:tcPr>
          <w:p w14:paraId="639E175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42F1E32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4A54A9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42BEF8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491ECD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D38785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A6D288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8B7854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737FBE6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06B8E45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E1DA75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2AA83F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296354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7870A1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29ABC7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53C1BB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DFFD4B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30081872"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61" w:type="pct"/>
            <w:vMerge/>
            <w:hideMark/>
          </w:tcPr>
          <w:p w14:paraId="54B84681" w14:textId="77777777" w:rsidR="005B25AB" w:rsidRPr="00A6515E" w:rsidRDefault="005B25AB" w:rsidP="003D157D">
            <w:pPr>
              <w:rPr>
                <w:b w:val="0"/>
                <w:bCs w:val="0"/>
                <w:szCs w:val="18"/>
              </w:rPr>
            </w:pPr>
          </w:p>
        </w:tc>
        <w:tc>
          <w:tcPr>
            <w:tcW w:w="270" w:type="pct"/>
            <w:noWrap/>
            <w:hideMark/>
          </w:tcPr>
          <w:p w14:paraId="3C75A76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126</w:t>
            </w:r>
          </w:p>
        </w:tc>
        <w:tc>
          <w:tcPr>
            <w:tcW w:w="262" w:type="pct"/>
            <w:noWrap/>
            <w:hideMark/>
          </w:tcPr>
          <w:p w14:paraId="08A4849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2A7EA09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6E2B81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2BDF76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CC9974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CBCEBE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6B32C2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2B28EB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6719F08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692E248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A3CC1B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7E12FF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4F9514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BAFB5B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EDBB5D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DDB594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2FC319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5C692BDF"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61" w:type="pct"/>
            <w:vMerge/>
            <w:shd w:val="clear" w:color="auto" w:fill="F2F2F2" w:themeFill="background1" w:themeFillShade="F2"/>
            <w:hideMark/>
          </w:tcPr>
          <w:p w14:paraId="419EA109" w14:textId="77777777" w:rsidR="005B25AB" w:rsidRPr="00A6515E" w:rsidRDefault="005B25AB" w:rsidP="003D157D">
            <w:pPr>
              <w:rPr>
                <w:b w:val="0"/>
                <w:bCs w:val="0"/>
                <w:szCs w:val="18"/>
              </w:rPr>
            </w:pPr>
          </w:p>
        </w:tc>
        <w:tc>
          <w:tcPr>
            <w:tcW w:w="270" w:type="pct"/>
            <w:noWrap/>
            <w:hideMark/>
          </w:tcPr>
          <w:p w14:paraId="7D94A50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127</w:t>
            </w:r>
          </w:p>
        </w:tc>
        <w:tc>
          <w:tcPr>
            <w:tcW w:w="262" w:type="pct"/>
            <w:noWrap/>
            <w:hideMark/>
          </w:tcPr>
          <w:p w14:paraId="4A8B86F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65C6473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2A5EDE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2A3AAB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BD9812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23DA9D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2AA493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9C6C8C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7A1123F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7E9D212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D0EBDF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999DDD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EE0040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3075D9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C9ECDB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346A72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8861F3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37BA263"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61" w:type="pct"/>
            <w:vMerge/>
            <w:hideMark/>
          </w:tcPr>
          <w:p w14:paraId="49C4EA25" w14:textId="77777777" w:rsidR="005B25AB" w:rsidRPr="00A6515E" w:rsidRDefault="005B25AB" w:rsidP="003D157D">
            <w:pPr>
              <w:rPr>
                <w:b w:val="0"/>
                <w:bCs w:val="0"/>
                <w:szCs w:val="18"/>
              </w:rPr>
            </w:pPr>
          </w:p>
        </w:tc>
        <w:tc>
          <w:tcPr>
            <w:tcW w:w="270" w:type="pct"/>
            <w:noWrap/>
            <w:hideMark/>
          </w:tcPr>
          <w:p w14:paraId="2257690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128</w:t>
            </w:r>
          </w:p>
        </w:tc>
        <w:tc>
          <w:tcPr>
            <w:tcW w:w="262" w:type="pct"/>
            <w:noWrap/>
            <w:hideMark/>
          </w:tcPr>
          <w:p w14:paraId="0E6423D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32C04FE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6C5B4A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9B0F1F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43F758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18BE1D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E63678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6881E0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7EF5E1C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39E2FE8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44AA70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EF7982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B9508B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F7CAB5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CC7599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6C5D0D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DE9F57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248A31B7"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61" w:type="pct"/>
            <w:vMerge/>
            <w:shd w:val="clear" w:color="auto" w:fill="F2F2F2" w:themeFill="background1" w:themeFillShade="F2"/>
            <w:hideMark/>
          </w:tcPr>
          <w:p w14:paraId="191191F9" w14:textId="77777777" w:rsidR="005B25AB" w:rsidRPr="00A6515E" w:rsidRDefault="005B25AB" w:rsidP="003D157D">
            <w:pPr>
              <w:rPr>
                <w:b w:val="0"/>
                <w:bCs w:val="0"/>
                <w:szCs w:val="18"/>
              </w:rPr>
            </w:pPr>
          </w:p>
        </w:tc>
        <w:tc>
          <w:tcPr>
            <w:tcW w:w="270" w:type="pct"/>
            <w:noWrap/>
            <w:hideMark/>
          </w:tcPr>
          <w:p w14:paraId="5219C76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129</w:t>
            </w:r>
          </w:p>
        </w:tc>
        <w:tc>
          <w:tcPr>
            <w:tcW w:w="262" w:type="pct"/>
            <w:noWrap/>
            <w:hideMark/>
          </w:tcPr>
          <w:p w14:paraId="4203EBB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2B7602B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953651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F5A4D8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65CAE3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C93ADE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88416F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E70FE1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0FD0400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433407B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E187E1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CA9782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C72E3B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E9750E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E0885B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7FD98D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6DE2DA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AC33157"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61" w:type="pct"/>
            <w:vMerge/>
            <w:hideMark/>
          </w:tcPr>
          <w:p w14:paraId="64A20F59" w14:textId="77777777" w:rsidR="005B25AB" w:rsidRPr="00A6515E" w:rsidRDefault="005B25AB" w:rsidP="003D157D">
            <w:pPr>
              <w:rPr>
                <w:b w:val="0"/>
                <w:bCs w:val="0"/>
                <w:szCs w:val="18"/>
              </w:rPr>
            </w:pPr>
          </w:p>
        </w:tc>
        <w:tc>
          <w:tcPr>
            <w:tcW w:w="270" w:type="pct"/>
            <w:noWrap/>
            <w:hideMark/>
          </w:tcPr>
          <w:p w14:paraId="3833A95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130</w:t>
            </w:r>
          </w:p>
        </w:tc>
        <w:tc>
          <w:tcPr>
            <w:tcW w:w="262" w:type="pct"/>
            <w:noWrap/>
            <w:hideMark/>
          </w:tcPr>
          <w:p w14:paraId="30F3560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0239117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25F7C1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42835E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5A7DA1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365BC8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0FD842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8C34CC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6764E66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24E8BAA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F4DE82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ACFABD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C00D74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74FE67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F49EA2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1A8C27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239497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3EF46951"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61" w:type="pct"/>
            <w:vMerge/>
            <w:shd w:val="clear" w:color="auto" w:fill="F2F2F2" w:themeFill="background1" w:themeFillShade="F2"/>
            <w:hideMark/>
          </w:tcPr>
          <w:p w14:paraId="5D48C6C6" w14:textId="77777777" w:rsidR="005B25AB" w:rsidRPr="00A6515E" w:rsidRDefault="005B25AB" w:rsidP="003D157D">
            <w:pPr>
              <w:rPr>
                <w:b w:val="0"/>
                <w:bCs w:val="0"/>
                <w:szCs w:val="18"/>
              </w:rPr>
            </w:pPr>
          </w:p>
        </w:tc>
        <w:tc>
          <w:tcPr>
            <w:tcW w:w="270" w:type="pct"/>
            <w:noWrap/>
            <w:hideMark/>
          </w:tcPr>
          <w:p w14:paraId="4BFE878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131</w:t>
            </w:r>
          </w:p>
        </w:tc>
        <w:tc>
          <w:tcPr>
            <w:tcW w:w="262" w:type="pct"/>
            <w:noWrap/>
            <w:hideMark/>
          </w:tcPr>
          <w:p w14:paraId="7EA2FC1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4DAE16A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AA91C0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4A60ED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193379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7C7DF7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9D4A2A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D7008D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7E10718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57E03C4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0747F5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0457AB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481264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9A6584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D9621A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396709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D6A380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25A18913"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61" w:type="pct"/>
            <w:vMerge/>
            <w:hideMark/>
          </w:tcPr>
          <w:p w14:paraId="41791D2B" w14:textId="77777777" w:rsidR="005B25AB" w:rsidRPr="00A6515E" w:rsidRDefault="005B25AB" w:rsidP="003D157D">
            <w:pPr>
              <w:rPr>
                <w:b w:val="0"/>
                <w:bCs w:val="0"/>
                <w:szCs w:val="18"/>
              </w:rPr>
            </w:pPr>
          </w:p>
        </w:tc>
        <w:tc>
          <w:tcPr>
            <w:tcW w:w="270" w:type="pct"/>
            <w:noWrap/>
            <w:hideMark/>
          </w:tcPr>
          <w:p w14:paraId="5E60E52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132</w:t>
            </w:r>
          </w:p>
        </w:tc>
        <w:tc>
          <w:tcPr>
            <w:tcW w:w="262" w:type="pct"/>
            <w:noWrap/>
            <w:hideMark/>
          </w:tcPr>
          <w:p w14:paraId="464487B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4E16B92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8C96F1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2B8D85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84F966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0490A3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D19A6E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C261F8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3D95407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21D6B95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59153F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34DF86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13F559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5C286E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2BDFC9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D913C2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7BD563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076E5612"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61" w:type="pct"/>
            <w:vMerge/>
            <w:shd w:val="clear" w:color="auto" w:fill="F2F2F2" w:themeFill="background1" w:themeFillShade="F2"/>
            <w:hideMark/>
          </w:tcPr>
          <w:p w14:paraId="41145281" w14:textId="77777777" w:rsidR="005B25AB" w:rsidRPr="00A6515E" w:rsidRDefault="005B25AB" w:rsidP="003D157D">
            <w:pPr>
              <w:rPr>
                <w:b w:val="0"/>
                <w:bCs w:val="0"/>
                <w:szCs w:val="18"/>
              </w:rPr>
            </w:pPr>
          </w:p>
        </w:tc>
        <w:tc>
          <w:tcPr>
            <w:tcW w:w="270" w:type="pct"/>
            <w:noWrap/>
            <w:hideMark/>
          </w:tcPr>
          <w:p w14:paraId="43ADE5F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133</w:t>
            </w:r>
          </w:p>
        </w:tc>
        <w:tc>
          <w:tcPr>
            <w:tcW w:w="262" w:type="pct"/>
            <w:noWrap/>
            <w:hideMark/>
          </w:tcPr>
          <w:p w14:paraId="015C436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4B924D8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6B5646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7DA7ED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441D93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D38347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042306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6485BB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10F2D25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4E7C5E8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4430B6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B1853C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F5263A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6C5518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AD5CF2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778277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78DD69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3E76652A"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61" w:type="pct"/>
            <w:vMerge/>
            <w:hideMark/>
          </w:tcPr>
          <w:p w14:paraId="2EE8A3A4" w14:textId="77777777" w:rsidR="005B25AB" w:rsidRPr="00A6515E" w:rsidRDefault="005B25AB" w:rsidP="003D157D">
            <w:pPr>
              <w:rPr>
                <w:b w:val="0"/>
                <w:bCs w:val="0"/>
                <w:szCs w:val="18"/>
              </w:rPr>
            </w:pPr>
          </w:p>
        </w:tc>
        <w:tc>
          <w:tcPr>
            <w:tcW w:w="270" w:type="pct"/>
            <w:noWrap/>
            <w:hideMark/>
          </w:tcPr>
          <w:p w14:paraId="2DDA9FC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134</w:t>
            </w:r>
          </w:p>
        </w:tc>
        <w:tc>
          <w:tcPr>
            <w:tcW w:w="262" w:type="pct"/>
            <w:noWrap/>
            <w:hideMark/>
          </w:tcPr>
          <w:p w14:paraId="3730369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4FA9FEA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79B9D1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7E76E2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47A8BD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C547D1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050CDF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6F9CC4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681D9F7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537ABD5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6BEA62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AF8B6B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286DCE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AD47F5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527655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367579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E98941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67212882"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61" w:type="pct"/>
            <w:vMerge/>
            <w:shd w:val="clear" w:color="auto" w:fill="F2F2F2" w:themeFill="background1" w:themeFillShade="F2"/>
            <w:hideMark/>
          </w:tcPr>
          <w:p w14:paraId="5F13CD41" w14:textId="77777777" w:rsidR="005B25AB" w:rsidRPr="00A6515E" w:rsidRDefault="005B25AB" w:rsidP="003D157D">
            <w:pPr>
              <w:rPr>
                <w:b w:val="0"/>
                <w:bCs w:val="0"/>
                <w:szCs w:val="18"/>
              </w:rPr>
            </w:pPr>
          </w:p>
        </w:tc>
        <w:tc>
          <w:tcPr>
            <w:tcW w:w="270" w:type="pct"/>
            <w:noWrap/>
            <w:hideMark/>
          </w:tcPr>
          <w:p w14:paraId="15B61E0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135</w:t>
            </w:r>
          </w:p>
        </w:tc>
        <w:tc>
          <w:tcPr>
            <w:tcW w:w="262" w:type="pct"/>
            <w:noWrap/>
            <w:hideMark/>
          </w:tcPr>
          <w:p w14:paraId="06AA4C6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4E41FA2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426E29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2CEAF3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E23AE7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9E8BF9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10B75F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FB8C08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0DBF897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08093C1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55368D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BE8FCA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432887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1AADEC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330668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2DB4AA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1CAAB7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09A0B0AE"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61" w:type="pct"/>
            <w:vMerge/>
            <w:hideMark/>
          </w:tcPr>
          <w:p w14:paraId="7E1BDE1C" w14:textId="77777777" w:rsidR="005B25AB" w:rsidRPr="00A6515E" w:rsidRDefault="005B25AB" w:rsidP="003D157D">
            <w:pPr>
              <w:rPr>
                <w:b w:val="0"/>
                <w:bCs w:val="0"/>
                <w:szCs w:val="18"/>
              </w:rPr>
            </w:pPr>
          </w:p>
        </w:tc>
        <w:tc>
          <w:tcPr>
            <w:tcW w:w="270" w:type="pct"/>
            <w:noWrap/>
            <w:hideMark/>
          </w:tcPr>
          <w:p w14:paraId="0E24E50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136</w:t>
            </w:r>
          </w:p>
        </w:tc>
        <w:tc>
          <w:tcPr>
            <w:tcW w:w="262" w:type="pct"/>
            <w:noWrap/>
            <w:hideMark/>
          </w:tcPr>
          <w:p w14:paraId="387376B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409D37C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A7167B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BA5C27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120F11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7CD03B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F14B54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87B8CA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16CEF7E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1D08EC4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A5C27D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C71661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565FA9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44B26D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21E7BA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67A4BD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CBC94A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5366AD6C"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61" w:type="pct"/>
            <w:vMerge/>
            <w:shd w:val="clear" w:color="auto" w:fill="F2F2F2" w:themeFill="background1" w:themeFillShade="F2"/>
            <w:hideMark/>
          </w:tcPr>
          <w:p w14:paraId="74A6B20A" w14:textId="77777777" w:rsidR="005B25AB" w:rsidRPr="00A6515E" w:rsidRDefault="005B25AB" w:rsidP="003D157D">
            <w:pPr>
              <w:rPr>
                <w:b w:val="0"/>
                <w:bCs w:val="0"/>
                <w:szCs w:val="18"/>
              </w:rPr>
            </w:pPr>
          </w:p>
        </w:tc>
        <w:tc>
          <w:tcPr>
            <w:tcW w:w="270" w:type="pct"/>
            <w:noWrap/>
            <w:hideMark/>
          </w:tcPr>
          <w:p w14:paraId="3A0917A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137</w:t>
            </w:r>
          </w:p>
        </w:tc>
        <w:tc>
          <w:tcPr>
            <w:tcW w:w="262" w:type="pct"/>
            <w:noWrap/>
            <w:hideMark/>
          </w:tcPr>
          <w:p w14:paraId="09DC47D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62BCE07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2FC1B8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CB821B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EF355D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831AF9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52AF9F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CC37F9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3301E8E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6B505F6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568AD7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BD366C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81BA5A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7AE058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A17D9E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0101B8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4FE1B3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3A8C874C"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61" w:type="pct"/>
            <w:vMerge/>
            <w:hideMark/>
          </w:tcPr>
          <w:p w14:paraId="2517FB1A" w14:textId="77777777" w:rsidR="005B25AB" w:rsidRPr="00A6515E" w:rsidRDefault="005B25AB" w:rsidP="003D157D">
            <w:pPr>
              <w:rPr>
                <w:b w:val="0"/>
                <w:bCs w:val="0"/>
                <w:szCs w:val="18"/>
              </w:rPr>
            </w:pPr>
          </w:p>
        </w:tc>
        <w:tc>
          <w:tcPr>
            <w:tcW w:w="270" w:type="pct"/>
            <w:noWrap/>
            <w:hideMark/>
          </w:tcPr>
          <w:p w14:paraId="2408D96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138</w:t>
            </w:r>
          </w:p>
        </w:tc>
        <w:tc>
          <w:tcPr>
            <w:tcW w:w="262" w:type="pct"/>
            <w:noWrap/>
            <w:hideMark/>
          </w:tcPr>
          <w:p w14:paraId="02883C4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3F7D21B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E82827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FD3965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33BB7F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50E2EB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C22F91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4BB0D0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06EF69F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29C0C07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2A51EC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39A87F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A5E059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40A229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3DDCA6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EABB40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C274B9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5D0D7F64"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61" w:type="pct"/>
            <w:vMerge/>
            <w:shd w:val="clear" w:color="auto" w:fill="F2F2F2" w:themeFill="background1" w:themeFillShade="F2"/>
            <w:hideMark/>
          </w:tcPr>
          <w:p w14:paraId="3C2F508B" w14:textId="77777777" w:rsidR="005B25AB" w:rsidRPr="00A6515E" w:rsidRDefault="005B25AB" w:rsidP="003D157D">
            <w:pPr>
              <w:rPr>
                <w:b w:val="0"/>
                <w:bCs w:val="0"/>
                <w:szCs w:val="18"/>
              </w:rPr>
            </w:pPr>
          </w:p>
        </w:tc>
        <w:tc>
          <w:tcPr>
            <w:tcW w:w="270" w:type="pct"/>
            <w:noWrap/>
            <w:hideMark/>
          </w:tcPr>
          <w:p w14:paraId="7E31A77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139</w:t>
            </w:r>
          </w:p>
        </w:tc>
        <w:tc>
          <w:tcPr>
            <w:tcW w:w="262" w:type="pct"/>
            <w:noWrap/>
            <w:hideMark/>
          </w:tcPr>
          <w:p w14:paraId="51F3025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72AE53D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4D2754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8EB1F4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F1AEC5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6EA66E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97A91D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E39005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7BCE649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37F5D90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D94029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233356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194FAF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B6C152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C73F04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6D4AFD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86B078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853DD31"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61" w:type="pct"/>
            <w:vMerge/>
            <w:hideMark/>
          </w:tcPr>
          <w:p w14:paraId="69DD10FE" w14:textId="77777777" w:rsidR="005B25AB" w:rsidRPr="00A6515E" w:rsidRDefault="005B25AB" w:rsidP="003D157D">
            <w:pPr>
              <w:rPr>
                <w:b w:val="0"/>
                <w:bCs w:val="0"/>
                <w:szCs w:val="18"/>
              </w:rPr>
            </w:pPr>
          </w:p>
        </w:tc>
        <w:tc>
          <w:tcPr>
            <w:tcW w:w="270" w:type="pct"/>
            <w:noWrap/>
            <w:hideMark/>
          </w:tcPr>
          <w:p w14:paraId="60E1CF2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140</w:t>
            </w:r>
          </w:p>
        </w:tc>
        <w:tc>
          <w:tcPr>
            <w:tcW w:w="262" w:type="pct"/>
            <w:noWrap/>
            <w:hideMark/>
          </w:tcPr>
          <w:p w14:paraId="51D577D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056451E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4A78F2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B2B520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7F7FE9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FEDB07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C98342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61685E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691CBE4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0EBD445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DF3E2E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0545FD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FEE274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E65BD0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010FD5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6D4105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0834DF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594221F1"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61" w:type="pct"/>
            <w:vMerge/>
            <w:shd w:val="clear" w:color="auto" w:fill="F2F2F2" w:themeFill="background1" w:themeFillShade="F2"/>
            <w:hideMark/>
          </w:tcPr>
          <w:p w14:paraId="74598B6C" w14:textId="77777777" w:rsidR="005B25AB" w:rsidRPr="00A6515E" w:rsidRDefault="005B25AB" w:rsidP="003D157D">
            <w:pPr>
              <w:rPr>
                <w:b w:val="0"/>
                <w:bCs w:val="0"/>
                <w:szCs w:val="18"/>
              </w:rPr>
            </w:pPr>
          </w:p>
        </w:tc>
        <w:tc>
          <w:tcPr>
            <w:tcW w:w="270" w:type="pct"/>
            <w:noWrap/>
            <w:hideMark/>
          </w:tcPr>
          <w:p w14:paraId="2A469A4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141</w:t>
            </w:r>
          </w:p>
        </w:tc>
        <w:tc>
          <w:tcPr>
            <w:tcW w:w="262" w:type="pct"/>
            <w:noWrap/>
            <w:hideMark/>
          </w:tcPr>
          <w:p w14:paraId="7199934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2BB4ADF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D82B12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9D3DA0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F5FE76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D3C4DD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D83875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9EB60E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05F1718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1A9D52A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078F89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5BE5482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60D690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B82936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B5E6F5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0E19BD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A256FE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3915D4BE"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61" w:type="pct"/>
            <w:vMerge/>
            <w:hideMark/>
          </w:tcPr>
          <w:p w14:paraId="591D0985" w14:textId="77777777" w:rsidR="005B25AB" w:rsidRPr="00A6515E" w:rsidRDefault="005B25AB" w:rsidP="003D157D">
            <w:pPr>
              <w:rPr>
                <w:b w:val="0"/>
                <w:bCs w:val="0"/>
                <w:szCs w:val="18"/>
              </w:rPr>
            </w:pPr>
          </w:p>
        </w:tc>
        <w:tc>
          <w:tcPr>
            <w:tcW w:w="270" w:type="pct"/>
            <w:noWrap/>
            <w:hideMark/>
          </w:tcPr>
          <w:p w14:paraId="4A030D8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142</w:t>
            </w:r>
          </w:p>
        </w:tc>
        <w:tc>
          <w:tcPr>
            <w:tcW w:w="262" w:type="pct"/>
            <w:noWrap/>
            <w:hideMark/>
          </w:tcPr>
          <w:p w14:paraId="722AE88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73287AB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2F94E8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147190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F97854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2E17C1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F62634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C87B4C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4D2ECDD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179ACC7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8A3405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19E7D8D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E759EE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15D904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D74F2F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A99111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D32989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55D10AD2"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61" w:type="pct"/>
            <w:vMerge/>
            <w:shd w:val="clear" w:color="auto" w:fill="F2F2F2" w:themeFill="background1" w:themeFillShade="F2"/>
            <w:hideMark/>
          </w:tcPr>
          <w:p w14:paraId="158F53B8" w14:textId="77777777" w:rsidR="005B25AB" w:rsidRPr="00A6515E" w:rsidRDefault="005B25AB" w:rsidP="003D157D">
            <w:pPr>
              <w:rPr>
                <w:b w:val="0"/>
                <w:bCs w:val="0"/>
                <w:szCs w:val="18"/>
              </w:rPr>
            </w:pPr>
          </w:p>
        </w:tc>
        <w:tc>
          <w:tcPr>
            <w:tcW w:w="270" w:type="pct"/>
            <w:noWrap/>
            <w:hideMark/>
          </w:tcPr>
          <w:p w14:paraId="368B736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143</w:t>
            </w:r>
          </w:p>
        </w:tc>
        <w:tc>
          <w:tcPr>
            <w:tcW w:w="262" w:type="pct"/>
            <w:noWrap/>
            <w:hideMark/>
          </w:tcPr>
          <w:p w14:paraId="1ED689F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27786D6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209CEA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D48B18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8CF8D5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D6E21C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51229E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4DE6A9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63AD183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028720F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50890E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4ABBA5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B18BD4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F230C1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E929A8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93F094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253D9A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3A3DCE6C"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61" w:type="pct"/>
            <w:vMerge/>
            <w:hideMark/>
          </w:tcPr>
          <w:p w14:paraId="4F98F481" w14:textId="77777777" w:rsidR="005B25AB" w:rsidRPr="00A6515E" w:rsidRDefault="005B25AB" w:rsidP="003D157D">
            <w:pPr>
              <w:rPr>
                <w:b w:val="0"/>
                <w:bCs w:val="0"/>
                <w:szCs w:val="18"/>
              </w:rPr>
            </w:pPr>
          </w:p>
        </w:tc>
        <w:tc>
          <w:tcPr>
            <w:tcW w:w="270" w:type="pct"/>
            <w:noWrap/>
            <w:hideMark/>
          </w:tcPr>
          <w:p w14:paraId="39E8C70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144</w:t>
            </w:r>
          </w:p>
        </w:tc>
        <w:tc>
          <w:tcPr>
            <w:tcW w:w="262" w:type="pct"/>
            <w:noWrap/>
            <w:hideMark/>
          </w:tcPr>
          <w:p w14:paraId="3227A93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3694594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431197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AAB821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0AA705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5A3A39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1C80C0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2836F5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075453C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491E989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5D1AD0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7E77C3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696582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0C08CC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5E5D2D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CD6311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025EE9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7B904BB1"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61" w:type="pct"/>
            <w:vMerge/>
            <w:shd w:val="clear" w:color="auto" w:fill="F2F2F2" w:themeFill="background1" w:themeFillShade="F2"/>
            <w:hideMark/>
          </w:tcPr>
          <w:p w14:paraId="7024E357" w14:textId="77777777" w:rsidR="005B25AB" w:rsidRPr="00A6515E" w:rsidRDefault="005B25AB" w:rsidP="003D157D">
            <w:pPr>
              <w:rPr>
                <w:b w:val="0"/>
                <w:bCs w:val="0"/>
                <w:szCs w:val="18"/>
              </w:rPr>
            </w:pPr>
          </w:p>
        </w:tc>
        <w:tc>
          <w:tcPr>
            <w:tcW w:w="270" w:type="pct"/>
            <w:noWrap/>
            <w:hideMark/>
          </w:tcPr>
          <w:p w14:paraId="5232863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145</w:t>
            </w:r>
          </w:p>
        </w:tc>
        <w:tc>
          <w:tcPr>
            <w:tcW w:w="262" w:type="pct"/>
            <w:noWrap/>
            <w:hideMark/>
          </w:tcPr>
          <w:p w14:paraId="77534DA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51D62A6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025704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751633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857B50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7C9BAE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113B0B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B7042C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2CBF0A1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37F2CB8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875E1B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D60F8C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C33E4D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DDF1F6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3C5038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825C3C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BD3E8A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421CFED"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61" w:type="pct"/>
            <w:vMerge/>
            <w:hideMark/>
          </w:tcPr>
          <w:p w14:paraId="69B4B205" w14:textId="77777777" w:rsidR="005B25AB" w:rsidRPr="00A6515E" w:rsidRDefault="005B25AB" w:rsidP="003D157D">
            <w:pPr>
              <w:rPr>
                <w:b w:val="0"/>
                <w:bCs w:val="0"/>
                <w:szCs w:val="18"/>
              </w:rPr>
            </w:pPr>
          </w:p>
        </w:tc>
        <w:tc>
          <w:tcPr>
            <w:tcW w:w="270" w:type="pct"/>
            <w:noWrap/>
            <w:hideMark/>
          </w:tcPr>
          <w:p w14:paraId="541E593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146</w:t>
            </w:r>
          </w:p>
        </w:tc>
        <w:tc>
          <w:tcPr>
            <w:tcW w:w="262" w:type="pct"/>
            <w:noWrap/>
            <w:hideMark/>
          </w:tcPr>
          <w:p w14:paraId="2B52307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0B19D44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8F2084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8346D1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E4B3CA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763301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33865C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5A6511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28820DF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205D929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0CCB17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7C13EE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B971CD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F3AB77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A9DACD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DFBC48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EAFAA3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52F4331D"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61" w:type="pct"/>
            <w:vMerge/>
            <w:shd w:val="clear" w:color="auto" w:fill="F2F2F2" w:themeFill="background1" w:themeFillShade="F2"/>
            <w:hideMark/>
          </w:tcPr>
          <w:p w14:paraId="0032B01C" w14:textId="77777777" w:rsidR="005B25AB" w:rsidRPr="00A6515E" w:rsidRDefault="005B25AB" w:rsidP="003D157D">
            <w:pPr>
              <w:rPr>
                <w:b w:val="0"/>
                <w:bCs w:val="0"/>
                <w:szCs w:val="18"/>
              </w:rPr>
            </w:pPr>
          </w:p>
        </w:tc>
        <w:tc>
          <w:tcPr>
            <w:tcW w:w="270" w:type="pct"/>
            <w:noWrap/>
            <w:hideMark/>
          </w:tcPr>
          <w:p w14:paraId="339AE31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147</w:t>
            </w:r>
          </w:p>
        </w:tc>
        <w:tc>
          <w:tcPr>
            <w:tcW w:w="262" w:type="pct"/>
            <w:noWrap/>
            <w:hideMark/>
          </w:tcPr>
          <w:p w14:paraId="58059BD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6A37F30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F73134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CB8874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E2A970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2F067C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BC9B8F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4C9079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1F34E01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4A85504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764CA8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0BA224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FC23FE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A1B7F9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BFA1CB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52D85E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E76E9C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5CD753EB" w14:textId="77777777" w:rsidTr="003D157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61" w:type="pct"/>
            <w:vMerge/>
            <w:hideMark/>
          </w:tcPr>
          <w:p w14:paraId="7D59D0F9" w14:textId="77777777" w:rsidR="005B25AB" w:rsidRPr="00A6515E" w:rsidRDefault="005B25AB" w:rsidP="003D157D">
            <w:pPr>
              <w:rPr>
                <w:b w:val="0"/>
                <w:bCs w:val="0"/>
                <w:szCs w:val="18"/>
              </w:rPr>
            </w:pPr>
          </w:p>
        </w:tc>
        <w:tc>
          <w:tcPr>
            <w:tcW w:w="270" w:type="pct"/>
            <w:noWrap/>
            <w:hideMark/>
          </w:tcPr>
          <w:p w14:paraId="79B2E0C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148</w:t>
            </w:r>
          </w:p>
        </w:tc>
        <w:tc>
          <w:tcPr>
            <w:tcW w:w="262" w:type="pct"/>
            <w:noWrap/>
            <w:hideMark/>
          </w:tcPr>
          <w:p w14:paraId="5E6744E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3ACA6A4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25C911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436208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B89BAD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DD1FA5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B7D977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C28DBD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3685B91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431B85B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1E5CB2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7B01CF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A54229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8C00C8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AAD01F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A321F2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FE2DA2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5194996A"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61" w:type="pct"/>
            <w:vMerge w:val="restart"/>
            <w:noWrap/>
            <w:textDirection w:val="btLr"/>
            <w:hideMark/>
          </w:tcPr>
          <w:p w14:paraId="4BBB4B17" w14:textId="77777777" w:rsidR="005B25AB" w:rsidRPr="00A6515E" w:rsidRDefault="005B25AB" w:rsidP="003D157D">
            <w:pPr>
              <w:rPr>
                <w:b w:val="0"/>
                <w:bCs w:val="0"/>
                <w:szCs w:val="18"/>
              </w:rPr>
            </w:pPr>
            <w:r>
              <w:rPr>
                <w:szCs w:val="18"/>
              </w:rPr>
              <w:t>Specific to a</w:t>
            </w:r>
            <w:r w:rsidRPr="00A6515E">
              <w:rPr>
                <w:szCs w:val="18"/>
              </w:rPr>
              <w:t>naer</w:t>
            </w:r>
            <w:r>
              <w:rPr>
                <w:szCs w:val="18"/>
              </w:rPr>
              <w:t>o</w:t>
            </w:r>
            <w:r w:rsidRPr="00A6515E">
              <w:rPr>
                <w:szCs w:val="18"/>
              </w:rPr>
              <w:t>b</w:t>
            </w:r>
            <w:r>
              <w:rPr>
                <w:szCs w:val="18"/>
              </w:rPr>
              <w:t>i</w:t>
            </w:r>
            <w:r w:rsidRPr="00A6515E">
              <w:rPr>
                <w:szCs w:val="18"/>
              </w:rPr>
              <w:t>c digestion</w:t>
            </w:r>
          </w:p>
        </w:tc>
        <w:tc>
          <w:tcPr>
            <w:tcW w:w="270" w:type="pct"/>
            <w:noWrap/>
            <w:hideMark/>
          </w:tcPr>
          <w:p w14:paraId="6B3CA0B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149</w:t>
            </w:r>
          </w:p>
        </w:tc>
        <w:tc>
          <w:tcPr>
            <w:tcW w:w="262" w:type="pct"/>
            <w:noWrap/>
            <w:hideMark/>
          </w:tcPr>
          <w:p w14:paraId="0FEDC9B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306077D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7FE1CDA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149AED5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168EDCB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1B663B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D1B903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5792F3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0514D3D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B0F421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6367FAB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709664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EA606B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25D630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3AD636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DCC42E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02FB73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3E0B6B2F"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61" w:type="pct"/>
            <w:vMerge/>
            <w:hideMark/>
          </w:tcPr>
          <w:p w14:paraId="4CCE4894" w14:textId="77777777" w:rsidR="005B25AB" w:rsidRPr="00A6515E" w:rsidRDefault="005B25AB" w:rsidP="003D157D">
            <w:pPr>
              <w:rPr>
                <w:b w:val="0"/>
                <w:bCs w:val="0"/>
                <w:szCs w:val="18"/>
              </w:rPr>
            </w:pPr>
          </w:p>
        </w:tc>
        <w:tc>
          <w:tcPr>
            <w:tcW w:w="270" w:type="pct"/>
            <w:noWrap/>
            <w:hideMark/>
          </w:tcPr>
          <w:p w14:paraId="20C3442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150</w:t>
            </w:r>
          </w:p>
        </w:tc>
        <w:tc>
          <w:tcPr>
            <w:tcW w:w="262" w:type="pct"/>
            <w:noWrap/>
            <w:hideMark/>
          </w:tcPr>
          <w:p w14:paraId="7E19BB8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3C3CB29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7F9D194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48DEEC3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2B18E1E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49F58A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018AA3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D4654E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3E33C46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301D2B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57FDC4F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D7B308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A02306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1075BC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2578C0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3A4842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96E785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60A37787"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61" w:type="pct"/>
            <w:vMerge/>
            <w:hideMark/>
          </w:tcPr>
          <w:p w14:paraId="571BD226" w14:textId="77777777" w:rsidR="005B25AB" w:rsidRPr="00A6515E" w:rsidRDefault="005B25AB" w:rsidP="003D157D">
            <w:pPr>
              <w:rPr>
                <w:b w:val="0"/>
                <w:bCs w:val="0"/>
                <w:szCs w:val="18"/>
              </w:rPr>
            </w:pPr>
          </w:p>
        </w:tc>
        <w:tc>
          <w:tcPr>
            <w:tcW w:w="270" w:type="pct"/>
            <w:noWrap/>
            <w:hideMark/>
          </w:tcPr>
          <w:p w14:paraId="6159E11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151</w:t>
            </w:r>
          </w:p>
        </w:tc>
        <w:tc>
          <w:tcPr>
            <w:tcW w:w="262" w:type="pct"/>
            <w:noWrap/>
            <w:hideMark/>
          </w:tcPr>
          <w:p w14:paraId="501DB8D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1F4865B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37723ED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34E1D4D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56AFE77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54ECCF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B1AF82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4AFB04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2309D2F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AEFBC7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6A1D7CB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8474D4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26B945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426FD1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6C81E4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63DF86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26FA89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9B0E810"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61" w:type="pct"/>
            <w:vMerge/>
            <w:hideMark/>
          </w:tcPr>
          <w:p w14:paraId="7A2D6B9A" w14:textId="77777777" w:rsidR="005B25AB" w:rsidRPr="00A6515E" w:rsidRDefault="005B25AB" w:rsidP="003D157D">
            <w:pPr>
              <w:rPr>
                <w:b w:val="0"/>
                <w:bCs w:val="0"/>
                <w:szCs w:val="18"/>
              </w:rPr>
            </w:pPr>
          </w:p>
        </w:tc>
        <w:tc>
          <w:tcPr>
            <w:tcW w:w="270" w:type="pct"/>
            <w:noWrap/>
            <w:hideMark/>
          </w:tcPr>
          <w:p w14:paraId="3B85F2E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152</w:t>
            </w:r>
          </w:p>
        </w:tc>
        <w:tc>
          <w:tcPr>
            <w:tcW w:w="262" w:type="pct"/>
            <w:noWrap/>
            <w:hideMark/>
          </w:tcPr>
          <w:p w14:paraId="1CC52AD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530A460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4C2DBAB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1161949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678F2E7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AF6667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9C6D2C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B900E0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207618A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D9D764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4CD0061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386A17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EECDE1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01026D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6AED8D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CC104E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3E4C04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70BE33E2"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61" w:type="pct"/>
            <w:vMerge/>
            <w:hideMark/>
          </w:tcPr>
          <w:p w14:paraId="42C39537" w14:textId="77777777" w:rsidR="005B25AB" w:rsidRPr="00A6515E" w:rsidRDefault="005B25AB" w:rsidP="003D157D">
            <w:pPr>
              <w:rPr>
                <w:b w:val="0"/>
                <w:bCs w:val="0"/>
                <w:szCs w:val="18"/>
              </w:rPr>
            </w:pPr>
          </w:p>
        </w:tc>
        <w:tc>
          <w:tcPr>
            <w:tcW w:w="270" w:type="pct"/>
            <w:noWrap/>
            <w:hideMark/>
          </w:tcPr>
          <w:p w14:paraId="64402BE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153</w:t>
            </w:r>
          </w:p>
        </w:tc>
        <w:tc>
          <w:tcPr>
            <w:tcW w:w="262" w:type="pct"/>
            <w:noWrap/>
            <w:hideMark/>
          </w:tcPr>
          <w:p w14:paraId="0CE2383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5D930E9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6DA284D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0ECE7CA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2291D39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F6EFA0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F7BDFB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E439B7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02B038D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D8064E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01AB7D2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AED61D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FCE532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95A351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4B4DA9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934095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C57009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0D747BE4"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61" w:type="pct"/>
            <w:vMerge/>
            <w:hideMark/>
          </w:tcPr>
          <w:p w14:paraId="4BD96A8C" w14:textId="77777777" w:rsidR="005B25AB" w:rsidRPr="00A6515E" w:rsidRDefault="005B25AB" w:rsidP="003D157D">
            <w:pPr>
              <w:rPr>
                <w:b w:val="0"/>
                <w:bCs w:val="0"/>
                <w:szCs w:val="18"/>
              </w:rPr>
            </w:pPr>
          </w:p>
        </w:tc>
        <w:tc>
          <w:tcPr>
            <w:tcW w:w="270" w:type="pct"/>
            <w:noWrap/>
            <w:hideMark/>
          </w:tcPr>
          <w:p w14:paraId="6ED96A0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154</w:t>
            </w:r>
          </w:p>
        </w:tc>
        <w:tc>
          <w:tcPr>
            <w:tcW w:w="262" w:type="pct"/>
            <w:noWrap/>
            <w:hideMark/>
          </w:tcPr>
          <w:p w14:paraId="25C5815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24FF7E3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7899996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379F290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6FF61AA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F69777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C18372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8083B0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1ECDDC1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A81B9B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3DBFA83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CA5C31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E3A132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4FDE29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AEA747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F8339F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852D9A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75198E1C"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61" w:type="pct"/>
            <w:vMerge/>
            <w:hideMark/>
          </w:tcPr>
          <w:p w14:paraId="48C1915A" w14:textId="77777777" w:rsidR="005B25AB" w:rsidRPr="00A6515E" w:rsidRDefault="005B25AB" w:rsidP="003D157D">
            <w:pPr>
              <w:rPr>
                <w:b w:val="0"/>
                <w:bCs w:val="0"/>
                <w:szCs w:val="18"/>
              </w:rPr>
            </w:pPr>
          </w:p>
        </w:tc>
        <w:tc>
          <w:tcPr>
            <w:tcW w:w="270" w:type="pct"/>
            <w:noWrap/>
            <w:hideMark/>
          </w:tcPr>
          <w:p w14:paraId="44F1F40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155</w:t>
            </w:r>
          </w:p>
        </w:tc>
        <w:tc>
          <w:tcPr>
            <w:tcW w:w="262" w:type="pct"/>
            <w:noWrap/>
            <w:hideMark/>
          </w:tcPr>
          <w:p w14:paraId="112B6B3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49BCD91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6CE07B4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7AE72B2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116FBD3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6BA50B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4B7CB6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A042F5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5D98605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9B5A82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08FFB36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49195A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02847A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45256F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5DE441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AE675A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63C5F1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5452BCEC"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61" w:type="pct"/>
            <w:vMerge/>
            <w:hideMark/>
          </w:tcPr>
          <w:p w14:paraId="706DB950" w14:textId="77777777" w:rsidR="005B25AB" w:rsidRPr="00A6515E" w:rsidRDefault="005B25AB" w:rsidP="003D157D">
            <w:pPr>
              <w:rPr>
                <w:b w:val="0"/>
                <w:bCs w:val="0"/>
                <w:szCs w:val="18"/>
              </w:rPr>
            </w:pPr>
          </w:p>
        </w:tc>
        <w:tc>
          <w:tcPr>
            <w:tcW w:w="270" w:type="pct"/>
            <w:noWrap/>
            <w:hideMark/>
          </w:tcPr>
          <w:p w14:paraId="3C6B16B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156</w:t>
            </w:r>
          </w:p>
        </w:tc>
        <w:tc>
          <w:tcPr>
            <w:tcW w:w="262" w:type="pct"/>
            <w:noWrap/>
            <w:hideMark/>
          </w:tcPr>
          <w:p w14:paraId="73525C0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3" w:type="pct"/>
            <w:noWrap/>
            <w:hideMark/>
          </w:tcPr>
          <w:p w14:paraId="39A1E05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1229765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5BAE2C5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43E8EB8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9A0DB5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B0C242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BD49E5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56CAB70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9DCA8D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614702E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C46F88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9B893F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910D3E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59D293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94311F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D14717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10367683"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61" w:type="pct"/>
            <w:vMerge/>
            <w:hideMark/>
          </w:tcPr>
          <w:p w14:paraId="052694E3" w14:textId="77777777" w:rsidR="005B25AB" w:rsidRPr="00A6515E" w:rsidRDefault="005B25AB" w:rsidP="003D157D">
            <w:pPr>
              <w:rPr>
                <w:b w:val="0"/>
                <w:bCs w:val="0"/>
                <w:szCs w:val="18"/>
              </w:rPr>
            </w:pPr>
          </w:p>
        </w:tc>
        <w:tc>
          <w:tcPr>
            <w:tcW w:w="270" w:type="pct"/>
            <w:noWrap/>
            <w:hideMark/>
          </w:tcPr>
          <w:p w14:paraId="342A723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157</w:t>
            </w:r>
          </w:p>
        </w:tc>
        <w:tc>
          <w:tcPr>
            <w:tcW w:w="262" w:type="pct"/>
            <w:noWrap/>
            <w:hideMark/>
          </w:tcPr>
          <w:p w14:paraId="5B6BEF0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3" w:type="pct"/>
            <w:noWrap/>
            <w:hideMark/>
          </w:tcPr>
          <w:p w14:paraId="56BE044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52B834F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7FD4177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0695B54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8585EB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135E72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BF25D4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1BF11B8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BBAB0E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1420C4F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830082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5B669C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20509C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654F55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4546FD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654045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bl>
    <w:p w14:paraId="146D4666" w14:textId="77777777" w:rsidR="005B25AB" w:rsidRDefault="005B25AB" w:rsidP="005B25AB"/>
    <w:p w14:paraId="3F32837B" w14:textId="77777777" w:rsidR="005B25AB" w:rsidRDefault="005B25AB" w:rsidP="005B25AB">
      <w:r>
        <w:br w:type="page"/>
      </w:r>
    </w:p>
    <w:tbl>
      <w:tblPr>
        <w:tblStyle w:val="Tableausimple4"/>
        <w:tblW w:w="5000" w:type="pct"/>
        <w:tblLook w:val="04A0" w:firstRow="1" w:lastRow="0" w:firstColumn="1" w:lastColumn="0" w:noHBand="0" w:noVBand="1"/>
      </w:tblPr>
      <w:tblGrid>
        <w:gridCol w:w="448"/>
        <w:gridCol w:w="490"/>
        <w:gridCol w:w="474"/>
        <w:gridCol w:w="479"/>
        <w:gridCol w:w="479"/>
        <w:gridCol w:w="477"/>
        <w:gridCol w:w="477"/>
        <w:gridCol w:w="479"/>
        <w:gridCol w:w="479"/>
        <w:gridCol w:w="479"/>
        <w:gridCol w:w="479"/>
        <w:gridCol w:w="479"/>
        <w:gridCol w:w="479"/>
        <w:gridCol w:w="479"/>
        <w:gridCol w:w="479"/>
        <w:gridCol w:w="479"/>
        <w:gridCol w:w="479"/>
        <w:gridCol w:w="479"/>
        <w:gridCol w:w="479"/>
      </w:tblGrid>
      <w:tr w:rsidR="005B25AB" w:rsidRPr="00A6515E" w14:paraId="02E92A42" w14:textId="77777777" w:rsidTr="003D157D">
        <w:trPr>
          <w:cnfStyle w:val="100000000000" w:firstRow="1" w:lastRow="0" w:firstColumn="0" w:lastColumn="0" w:oddVBand="0" w:evenVBand="0" w:oddHBand="0" w:evenHBand="0" w:firstRowFirstColumn="0" w:firstRowLastColumn="0" w:lastRowFirstColumn="0" w:lastRowLastColumn="0"/>
          <w:trHeight w:val="824"/>
        </w:trPr>
        <w:tc>
          <w:tcPr>
            <w:cnfStyle w:val="001000000000" w:firstRow="0" w:lastRow="0" w:firstColumn="1" w:lastColumn="0" w:oddVBand="0" w:evenVBand="0" w:oddHBand="0" w:evenHBand="0" w:firstRowFirstColumn="0" w:firstRowLastColumn="0" w:lastRowFirstColumn="0" w:lastRowLastColumn="0"/>
            <w:tcW w:w="246" w:type="pct"/>
            <w:textDirection w:val="btLr"/>
          </w:tcPr>
          <w:p w14:paraId="0FEAEA04" w14:textId="77777777" w:rsidR="005B25AB" w:rsidRDefault="005B25AB" w:rsidP="003D157D">
            <w:pPr>
              <w:ind w:left="113" w:right="113"/>
              <w:rPr>
                <w:szCs w:val="18"/>
              </w:rPr>
            </w:pPr>
          </w:p>
        </w:tc>
        <w:tc>
          <w:tcPr>
            <w:tcW w:w="269" w:type="pct"/>
            <w:noWrap/>
          </w:tcPr>
          <w:p w14:paraId="4220573F"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bCs w:val="0"/>
                <w:szCs w:val="18"/>
              </w:rPr>
            </w:pPr>
            <w:r w:rsidRPr="00A6515E">
              <w:rPr>
                <w:szCs w:val="18"/>
              </w:rPr>
              <w:t>n°</w:t>
            </w:r>
          </w:p>
        </w:tc>
        <w:tc>
          <w:tcPr>
            <w:tcW w:w="262" w:type="pct"/>
            <w:noWrap/>
            <w:textDirection w:val="btLr"/>
          </w:tcPr>
          <w:p w14:paraId="6DBFE3C6"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bCs w:val="0"/>
                <w:szCs w:val="18"/>
              </w:rPr>
            </w:pPr>
            <w:r w:rsidRPr="00A6515E">
              <w:rPr>
                <w:szCs w:val="18"/>
              </w:rPr>
              <w:t>CF</w:t>
            </w:r>
          </w:p>
        </w:tc>
        <w:tc>
          <w:tcPr>
            <w:tcW w:w="264" w:type="pct"/>
            <w:noWrap/>
            <w:textDirection w:val="btLr"/>
          </w:tcPr>
          <w:p w14:paraId="7592259A"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GB_AD</w:t>
            </w:r>
          </w:p>
        </w:tc>
        <w:tc>
          <w:tcPr>
            <w:tcW w:w="264" w:type="pct"/>
            <w:noWrap/>
            <w:textDirection w:val="btLr"/>
          </w:tcPr>
          <w:p w14:paraId="02B97CC2"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GB_rough</w:t>
            </w:r>
          </w:p>
        </w:tc>
        <w:tc>
          <w:tcPr>
            <w:tcW w:w="263" w:type="pct"/>
            <w:noWrap/>
            <w:textDirection w:val="btLr"/>
          </w:tcPr>
          <w:p w14:paraId="20F3E30A"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GB_myco</w:t>
            </w:r>
          </w:p>
        </w:tc>
        <w:tc>
          <w:tcPr>
            <w:tcW w:w="263" w:type="pct"/>
            <w:noWrap/>
            <w:textDirection w:val="btLr"/>
          </w:tcPr>
          <w:p w14:paraId="4759B1D4"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BSF</w:t>
            </w:r>
          </w:p>
        </w:tc>
        <w:tc>
          <w:tcPr>
            <w:tcW w:w="264" w:type="pct"/>
            <w:noWrap/>
            <w:textDirection w:val="btLr"/>
          </w:tcPr>
          <w:p w14:paraId="5707EF86"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SSF</w:t>
            </w:r>
          </w:p>
        </w:tc>
        <w:tc>
          <w:tcPr>
            <w:tcW w:w="264" w:type="pct"/>
            <w:noWrap/>
            <w:textDirection w:val="btLr"/>
          </w:tcPr>
          <w:p w14:paraId="667CDBE4"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MYCO</w:t>
            </w:r>
          </w:p>
        </w:tc>
        <w:tc>
          <w:tcPr>
            <w:tcW w:w="264" w:type="pct"/>
            <w:noWrap/>
            <w:textDirection w:val="btLr"/>
          </w:tcPr>
          <w:p w14:paraId="5F0CAF77"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MP_AD</w:t>
            </w:r>
          </w:p>
        </w:tc>
        <w:tc>
          <w:tcPr>
            <w:tcW w:w="264" w:type="pct"/>
            <w:noWrap/>
            <w:textDirection w:val="btLr"/>
          </w:tcPr>
          <w:p w14:paraId="04B448D1"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MP_GA</w:t>
            </w:r>
          </w:p>
        </w:tc>
        <w:tc>
          <w:tcPr>
            <w:tcW w:w="264" w:type="pct"/>
            <w:noWrap/>
            <w:textDirection w:val="btLr"/>
          </w:tcPr>
          <w:p w14:paraId="135A3293"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AD</w:t>
            </w:r>
          </w:p>
        </w:tc>
        <w:tc>
          <w:tcPr>
            <w:tcW w:w="264" w:type="pct"/>
            <w:noWrap/>
            <w:textDirection w:val="btLr"/>
          </w:tcPr>
          <w:p w14:paraId="0652F12C"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GA</w:t>
            </w:r>
          </w:p>
        </w:tc>
        <w:tc>
          <w:tcPr>
            <w:tcW w:w="264" w:type="pct"/>
            <w:noWrap/>
            <w:textDirection w:val="btLr"/>
          </w:tcPr>
          <w:p w14:paraId="36FAC834"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DIR_CHP</w:t>
            </w:r>
          </w:p>
        </w:tc>
        <w:tc>
          <w:tcPr>
            <w:tcW w:w="264" w:type="pct"/>
            <w:noWrap/>
            <w:textDirection w:val="btLr"/>
          </w:tcPr>
          <w:p w14:paraId="4DDF349A"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Heat</w:t>
            </w:r>
          </w:p>
        </w:tc>
        <w:tc>
          <w:tcPr>
            <w:tcW w:w="264" w:type="pct"/>
            <w:noWrap/>
            <w:textDirection w:val="btLr"/>
          </w:tcPr>
          <w:p w14:paraId="06F1DD41"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Burn</w:t>
            </w:r>
          </w:p>
        </w:tc>
        <w:tc>
          <w:tcPr>
            <w:tcW w:w="264" w:type="pct"/>
            <w:noWrap/>
            <w:textDirection w:val="btLr"/>
          </w:tcPr>
          <w:p w14:paraId="07C1A9E9"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Compost</w:t>
            </w:r>
          </w:p>
        </w:tc>
        <w:tc>
          <w:tcPr>
            <w:tcW w:w="264" w:type="pct"/>
            <w:noWrap/>
            <w:textDirection w:val="btLr"/>
          </w:tcPr>
          <w:p w14:paraId="2B9FF1F7"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Spread</w:t>
            </w:r>
          </w:p>
        </w:tc>
        <w:tc>
          <w:tcPr>
            <w:tcW w:w="264" w:type="pct"/>
            <w:noWrap/>
            <w:textDirection w:val="btLr"/>
          </w:tcPr>
          <w:p w14:paraId="32124B8D"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Decay</w:t>
            </w:r>
          </w:p>
        </w:tc>
      </w:tr>
      <w:tr w:rsidR="005B25AB" w:rsidRPr="00A6515E" w14:paraId="319672AD"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val="restart"/>
            <w:shd w:val="clear" w:color="auto" w:fill="FFFFFF" w:themeFill="background1"/>
            <w:textDirection w:val="btLr"/>
            <w:hideMark/>
          </w:tcPr>
          <w:p w14:paraId="4606C4C6" w14:textId="77777777" w:rsidR="005B25AB" w:rsidRPr="00A6515E" w:rsidRDefault="005B25AB" w:rsidP="003D157D">
            <w:pPr>
              <w:ind w:left="113" w:right="113"/>
              <w:rPr>
                <w:b w:val="0"/>
                <w:bCs w:val="0"/>
                <w:szCs w:val="18"/>
              </w:rPr>
            </w:pPr>
            <w:r>
              <w:rPr>
                <w:szCs w:val="18"/>
              </w:rPr>
              <w:t>Specific to a</w:t>
            </w:r>
            <w:r w:rsidRPr="00A6515E">
              <w:rPr>
                <w:szCs w:val="18"/>
              </w:rPr>
              <w:t>naer</w:t>
            </w:r>
            <w:r>
              <w:rPr>
                <w:szCs w:val="18"/>
              </w:rPr>
              <w:t>o</w:t>
            </w:r>
            <w:r w:rsidRPr="00A6515E">
              <w:rPr>
                <w:szCs w:val="18"/>
              </w:rPr>
              <w:t>b</w:t>
            </w:r>
            <w:r>
              <w:rPr>
                <w:szCs w:val="18"/>
              </w:rPr>
              <w:t>i</w:t>
            </w:r>
            <w:r w:rsidRPr="00A6515E">
              <w:rPr>
                <w:szCs w:val="18"/>
              </w:rPr>
              <w:t>c digestion</w:t>
            </w:r>
          </w:p>
        </w:tc>
        <w:tc>
          <w:tcPr>
            <w:tcW w:w="269" w:type="pct"/>
            <w:noWrap/>
            <w:hideMark/>
          </w:tcPr>
          <w:p w14:paraId="0CB7AC8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158</w:t>
            </w:r>
          </w:p>
        </w:tc>
        <w:tc>
          <w:tcPr>
            <w:tcW w:w="262" w:type="pct"/>
            <w:noWrap/>
            <w:hideMark/>
          </w:tcPr>
          <w:p w14:paraId="7D61DA2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2DFA1B3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6EF24D1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6083615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2B3A0A4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CA8AD5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E0FC0B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D6231E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1B20846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984C42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0564F5D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D38EAE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B97EAD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E1A2FC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DA792B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0B3B9D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9EE2F3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1A0BE531"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73BA2FEF" w14:textId="77777777" w:rsidR="005B25AB" w:rsidRPr="00A6515E" w:rsidRDefault="005B25AB" w:rsidP="003D157D">
            <w:pPr>
              <w:rPr>
                <w:b w:val="0"/>
                <w:bCs w:val="0"/>
                <w:szCs w:val="18"/>
              </w:rPr>
            </w:pPr>
          </w:p>
        </w:tc>
        <w:tc>
          <w:tcPr>
            <w:tcW w:w="269" w:type="pct"/>
            <w:noWrap/>
            <w:hideMark/>
          </w:tcPr>
          <w:p w14:paraId="48CDE2E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159</w:t>
            </w:r>
          </w:p>
        </w:tc>
        <w:tc>
          <w:tcPr>
            <w:tcW w:w="262" w:type="pct"/>
            <w:noWrap/>
            <w:hideMark/>
          </w:tcPr>
          <w:p w14:paraId="1D86942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4EEE8D0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30A474B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301DAAE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7D3147E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69FBA9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8C6E94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1F05D9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1D43ACB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846E00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620D085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905DA5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096AC5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F5EC3A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1839D2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131AF3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A1B07E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0256CDA7"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55645753" w14:textId="77777777" w:rsidR="005B25AB" w:rsidRPr="00A6515E" w:rsidRDefault="005B25AB" w:rsidP="003D157D">
            <w:pPr>
              <w:rPr>
                <w:b w:val="0"/>
                <w:bCs w:val="0"/>
                <w:szCs w:val="18"/>
              </w:rPr>
            </w:pPr>
          </w:p>
        </w:tc>
        <w:tc>
          <w:tcPr>
            <w:tcW w:w="269" w:type="pct"/>
            <w:noWrap/>
            <w:hideMark/>
          </w:tcPr>
          <w:p w14:paraId="0576F2C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160</w:t>
            </w:r>
          </w:p>
        </w:tc>
        <w:tc>
          <w:tcPr>
            <w:tcW w:w="262" w:type="pct"/>
            <w:noWrap/>
            <w:hideMark/>
          </w:tcPr>
          <w:p w14:paraId="3F4C9E2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795BFA2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5899C9D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1EE23FF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68BC92F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55DE17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D9FA21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01A42F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5A87EC2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B7C4A2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5A35587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B8EA93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AFE655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C839E7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0621FF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F71AC3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6E961B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5903797A"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571C322B" w14:textId="77777777" w:rsidR="005B25AB" w:rsidRPr="00A6515E" w:rsidRDefault="005B25AB" w:rsidP="003D157D">
            <w:pPr>
              <w:rPr>
                <w:b w:val="0"/>
                <w:bCs w:val="0"/>
                <w:szCs w:val="18"/>
              </w:rPr>
            </w:pPr>
          </w:p>
        </w:tc>
        <w:tc>
          <w:tcPr>
            <w:tcW w:w="269" w:type="pct"/>
            <w:noWrap/>
            <w:hideMark/>
          </w:tcPr>
          <w:p w14:paraId="6FBD85C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161</w:t>
            </w:r>
          </w:p>
        </w:tc>
        <w:tc>
          <w:tcPr>
            <w:tcW w:w="262" w:type="pct"/>
            <w:noWrap/>
            <w:hideMark/>
          </w:tcPr>
          <w:p w14:paraId="54C2BC5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4DC0890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6E56DF6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15C5AC9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5B7BEB6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C02F5F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8A2978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09C534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3834F72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2FAA44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447E17F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469E0C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CE0224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D8FF9A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76938C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AB53F6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64F3DD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CB0EDDC"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75583594" w14:textId="77777777" w:rsidR="005B25AB" w:rsidRPr="00A6515E" w:rsidRDefault="005B25AB" w:rsidP="003D157D">
            <w:pPr>
              <w:rPr>
                <w:b w:val="0"/>
                <w:bCs w:val="0"/>
                <w:szCs w:val="18"/>
              </w:rPr>
            </w:pPr>
          </w:p>
        </w:tc>
        <w:tc>
          <w:tcPr>
            <w:tcW w:w="269" w:type="pct"/>
            <w:noWrap/>
            <w:hideMark/>
          </w:tcPr>
          <w:p w14:paraId="540C5D0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162</w:t>
            </w:r>
          </w:p>
        </w:tc>
        <w:tc>
          <w:tcPr>
            <w:tcW w:w="262" w:type="pct"/>
            <w:noWrap/>
            <w:hideMark/>
          </w:tcPr>
          <w:p w14:paraId="795AF0A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30CFE9B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3346462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29FD5DB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78012DB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04499F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2D30DD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5C7CA8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4CB15E7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B8177E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40E2E5F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B9CFBE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07908E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E57C8B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8BC91F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538770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23A969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4F2ADD66"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5AA1EF2E" w14:textId="77777777" w:rsidR="005B25AB" w:rsidRPr="00A6515E" w:rsidRDefault="005B25AB" w:rsidP="003D157D">
            <w:pPr>
              <w:rPr>
                <w:b w:val="0"/>
                <w:bCs w:val="0"/>
                <w:szCs w:val="18"/>
              </w:rPr>
            </w:pPr>
          </w:p>
        </w:tc>
        <w:tc>
          <w:tcPr>
            <w:tcW w:w="269" w:type="pct"/>
            <w:noWrap/>
            <w:hideMark/>
          </w:tcPr>
          <w:p w14:paraId="1161A50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163</w:t>
            </w:r>
          </w:p>
        </w:tc>
        <w:tc>
          <w:tcPr>
            <w:tcW w:w="262" w:type="pct"/>
            <w:noWrap/>
            <w:hideMark/>
          </w:tcPr>
          <w:p w14:paraId="6A04FE4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5C9B792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5383B01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7E0699B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5E45343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FF0F75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A4D00B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7217D5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AD16A9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EF3C8F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5970E9C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BC5F09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3AB43D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C5591E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9CB10C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E4E7AA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3C5326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13992594"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3A7C7F4D" w14:textId="77777777" w:rsidR="005B25AB" w:rsidRPr="00A6515E" w:rsidRDefault="005B25AB" w:rsidP="003D157D">
            <w:pPr>
              <w:rPr>
                <w:b w:val="0"/>
                <w:bCs w:val="0"/>
                <w:szCs w:val="18"/>
              </w:rPr>
            </w:pPr>
          </w:p>
        </w:tc>
        <w:tc>
          <w:tcPr>
            <w:tcW w:w="269" w:type="pct"/>
            <w:noWrap/>
            <w:hideMark/>
          </w:tcPr>
          <w:p w14:paraId="552C805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164</w:t>
            </w:r>
          </w:p>
        </w:tc>
        <w:tc>
          <w:tcPr>
            <w:tcW w:w="262" w:type="pct"/>
            <w:noWrap/>
            <w:hideMark/>
          </w:tcPr>
          <w:p w14:paraId="2745765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2EDA639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0B2B6C3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1BE3B4C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099B099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BCCA54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4ED551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FE5DA9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000F75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01E1FA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3EAFEE2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E4F39E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06C816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DACE7E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D49EF4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86C2BA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8D3E23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2742D1CE"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754365F2" w14:textId="77777777" w:rsidR="005B25AB" w:rsidRPr="00A6515E" w:rsidRDefault="005B25AB" w:rsidP="003D157D">
            <w:pPr>
              <w:rPr>
                <w:b w:val="0"/>
                <w:bCs w:val="0"/>
                <w:szCs w:val="18"/>
              </w:rPr>
            </w:pPr>
          </w:p>
        </w:tc>
        <w:tc>
          <w:tcPr>
            <w:tcW w:w="269" w:type="pct"/>
            <w:noWrap/>
            <w:hideMark/>
          </w:tcPr>
          <w:p w14:paraId="35AAE42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165</w:t>
            </w:r>
          </w:p>
        </w:tc>
        <w:tc>
          <w:tcPr>
            <w:tcW w:w="262" w:type="pct"/>
            <w:noWrap/>
            <w:hideMark/>
          </w:tcPr>
          <w:p w14:paraId="7800AED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4D418C0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66A5114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6593ACF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3" w:type="pct"/>
            <w:noWrap/>
            <w:hideMark/>
          </w:tcPr>
          <w:p w14:paraId="6D60B04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157F82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6D8A26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FDB0AE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13E36A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AC4873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5084A9F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C7A3AA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829208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CD1277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EE4E7D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E9DE4B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A5C054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24337C90" w14:textId="77777777" w:rsidTr="003D157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497785FB" w14:textId="77777777" w:rsidR="005B25AB" w:rsidRPr="00A6515E" w:rsidRDefault="005B25AB" w:rsidP="003D157D">
            <w:pPr>
              <w:rPr>
                <w:b w:val="0"/>
                <w:bCs w:val="0"/>
                <w:szCs w:val="18"/>
              </w:rPr>
            </w:pPr>
          </w:p>
        </w:tc>
        <w:tc>
          <w:tcPr>
            <w:tcW w:w="269" w:type="pct"/>
            <w:noWrap/>
            <w:hideMark/>
          </w:tcPr>
          <w:p w14:paraId="095BC63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166</w:t>
            </w:r>
          </w:p>
        </w:tc>
        <w:tc>
          <w:tcPr>
            <w:tcW w:w="262" w:type="pct"/>
            <w:noWrap/>
            <w:hideMark/>
          </w:tcPr>
          <w:p w14:paraId="20D062F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75711A3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0F074ED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2668D4B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3" w:type="pct"/>
            <w:noWrap/>
            <w:hideMark/>
          </w:tcPr>
          <w:p w14:paraId="1EB644C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17A6D2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0B939B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CE9150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4D9643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2E5AF2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307D2E9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4D71B61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E62882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50D780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0C1E80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9EE2AD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0EDF74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288DCFC5"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val="restart"/>
            <w:shd w:val="clear" w:color="auto" w:fill="F2F2F2" w:themeFill="background1" w:themeFillShade="F2"/>
            <w:textDirection w:val="btLr"/>
            <w:hideMark/>
          </w:tcPr>
          <w:p w14:paraId="663E7521" w14:textId="77777777" w:rsidR="005B25AB" w:rsidRPr="00A6515E" w:rsidRDefault="005B25AB" w:rsidP="003D157D">
            <w:pPr>
              <w:rPr>
                <w:b w:val="0"/>
                <w:bCs w:val="0"/>
                <w:szCs w:val="18"/>
              </w:rPr>
            </w:pPr>
            <w:r>
              <w:rPr>
                <w:szCs w:val="18"/>
              </w:rPr>
              <w:t>Specific to gas post-treatment operations</w:t>
            </w:r>
          </w:p>
        </w:tc>
        <w:tc>
          <w:tcPr>
            <w:tcW w:w="269" w:type="pct"/>
            <w:noWrap/>
            <w:hideMark/>
          </w:tcPr>
          <w:p w14:paraId="0520648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167</w:t>
            </w:r>
          </w:p>
        </w:tc>
        <w:tc>
          <w:tcPr>
            <w:tcW w:w="262" w:type="pct"/>
            <w:noWrap/>
            <w:hideMark/>
          </w:tcPr>
          <w:p w14:paraId="46BC89D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4A0018C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0C35BD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1A62C6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F015BB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228053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45D26B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4A2E72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388A0D7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3329F3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811C6E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0D09982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41E645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CFC071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BA9D58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D7073E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E1B4E0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28B85C70"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63686F0A" w14:textId="77777777" w:rsidR="005B25AB" w:rsidRPr="00A6515E" w:rsidRDefault="005B25AB" w:rsidP="003D157D">
            <w:pPr>
              <w:rPr>
                <w:b w:val="0"/>
                <w:bCs w:val="0"/>
                <w:szCs w:val="18"/>
              </w:rPr>
            </w:pPr>
          </w:p>
        </w:tc>
        <w:tc>
          <w:tcPr>
            <w:tcW w:w="269" w:type="pct"/>
            <w:noWrap/>
            <w:hideMark/>
          </w:tcPr>
          <w:p w14:paraId="3878AE7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168</w:t>
            </w:r>
          </w:p>
        </w:tc>
        <w:tc>
          <w:tcPr>
            <w:tcW w:w="262" w:type="pct"/>
            <w:noWrap/>
            <w:hideMark/>
          </w:tcPr>
          <w:p w14:paraId="08CB0C2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709D77E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40E977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ED4838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9C66B5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C11DE2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483377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8F3686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2CFA378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63006F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B86EC1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121B41F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ABD4E0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B676B7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9917C0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D51132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A58B8D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5D71BEC0"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2F2F2" w:themeFill="background1" w:themeFillShade="F2"/>
            <w:hideMark/>
          </w:tcPr>
          <w:p w14:paraId="43BEF4FA" w14:textId="77777777" w:rsidR="005B25AB" w:rsidRPr="00A6515E" w:rsidRDefault="005B25AB" w:rsidP="003D157D">
            <w:pPr>
              <w:rPr>
                <w:b w:val="0"/>
                <w:bCs w:val="0"/>
                <w:szCs w:val="18"/>
              </w:rPr>
            </w:pPr>
          </w:p>
        </w:tc>
        <w:tc>
          <w:tcPr>
            <w:tcW w:w="269" w:type="pct"/>
            <w:noWrap/>
            <w:hideMark/>
          </w:tcPr>
          <w:p w14:paraId="0FC8EED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169</w:t>
            </w:r>
          </w:p>
        </w:tc>
        <w:tc>
          <w:tcPr>
            <w:tcW w:w="262" w:type="pct"/>
            <w:noWrap/>
            <w:hideMark/>
          </w:tcPr>
          <w:p w14:paraId="2A7E932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54E0271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6489B1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A726CE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2C82EC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4B6B0B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FA5B64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34E367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6A8CD61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7FEF0A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A63FB0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78A2481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4B52AB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534B8E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2A52FA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622286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774F89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7E8F6492"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6FAFBC5D" w14:textId="77777777" w:rsidR="005B25AB" w:rsidRPr="00A6515E" w:rsidRDefault="005B25AB" w:rsidP="003D157D">
            <w:pPr>
              <w:rPr>
                <w:b w:val="0"/>
                <w:bCs w:val="0"/>
                <w:szCs w:val="18"/>
              </w:rPr>
            </w:pPr>
          </w:p>
        </w:tc>
        <w:tc>
          <w:tcPr>
            <w:tcW w:w="269" w:type="pct"/>
            <w:noWrap/>
            <w:hideMark/>
          </w:tcPr>
          <w:p w14:paraId="43DA3C3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170</w:t>
            </w:r>
          </w:p>
        </w:tc>
        <w:tc>
          <w:tcPr>
            <w:tcW w:w="262" w:type="pct"/>
            <w:noWrap/>
            <w:hideMark/>
          </w:tcPr>
          <w:p w14:paraId="2644CA5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38136CE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C46D3E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43D39C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BDDC1A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55C3A3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E32B33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A1301C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6638083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EA0B09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5A2DBE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13DA36D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576590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8423E9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0688AB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59E501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5746D3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6E761DE4"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2F2F2" w:themeFill="background1" w:themeFillShade="F2"/>
            <w:hideMark/>
          </w:tcPr>
          <w:p w14:paraId="5E1223B5" w14:textId="77777777" w:rsidR="005B25AB" w:rsidRPr="00A6515E" w:rsidRDefault="005B25AB" w:rsidP="003D157D">
            <w:pPr>
              <w:rPr>
                <w:b w:val="0"/>
                <w:bCs w:val="0"/>
                <w:szCs w:val="18"/>
              </w:rPr>
            </w:pPr>
          </w:p>
        </w:tc>
        <w:tc>
          <w:tcPr>
            <w:tcW w:w="269" w:type="pct"/>
            <w:noWrap/>
            <w:hideMark/>
          </w:tcPr>
          <w:p w14:paraId="78F0BB8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171</w:t>
            </w:r>
          </w:p>
        </w:tc>
        <w:tc>
          <w:tcPr>
            <w:tcW w:w="262" w:type="pct"/>
            <w:noWrap/>
            <w:hideMark/>
          </w:tcPr>
          <w:p w14:paraId="4657360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1ABFD04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BA52C2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A9C76A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F813A0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B9D5DA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F1E30B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440025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66A7D65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FD6D40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F90ACC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6C41AD9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EACEBB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ADAD8E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8C06D4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92C7E8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AFEDD2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5DEE402B"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4465AB0A" w14:textId="77777777" w:rsidR="005B25AB" w:rsidRPr="00A6515E" w:rsidRDefault="005B25AB" w:rsidP="003D157D">
            <w:pPr>
              <w:rPr>
                <w:b w:val="0"/>
                <w:bCs w:val="0"/>
                <w:szCs w:val="18"/>
              </w:rPr>
            </w:pPr>
          </w:p>
        </w:tc>
        <w:tc>
          <w:tcPr>
            <w:tcW w:w="269" w:type="pct"/>
            <w:noWrap/>
            <w:hideMark/>
          </w:tcPr>
          <w:p w14:paraId="0B5F782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172</w:t>
            </w:r>
          </w:p>
        </w:tc>
        <w:tc>
          <w:tcPr>
            <w:tcW w:w="262" w:type="pct"/>
            <w:noWrap/>
            <w:hideMark/>
          </w:tcPr>
          <w:p w14:paraId="68920C2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45E8D15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FB2DD2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BDAFB0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ADC4D6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0921B7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033B2B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A5BE94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4311179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1C3E58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3498A2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47456AF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D252EB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67E0A0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C53AFC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18BE54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EE68E4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242874AD"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2F2F2" w:themeFill="background1" w:themeFillShade="F2"/>
            <w:hideMark/>
          </w:tcPr>
          <w:p w14:paraId="182098CD" w14:textId="77777777" w:rsidR="005B25AB" w:rsidRPr="00A6515E" w:rsidRDefault="005B25AB" w:rsidP="003D157D">
            <w:pPr>
              <w:rPr>
                <w:b w:val="0"/>
                <w:bCs w:val="0"/>
                <w:szCs w:val="18"/>
              </w:rPr>
            </w:pPr>
          </w:p>
        </w:tc>
        <w:tc>
          <w:tcPr>
            <w:tcW w:w="269" w:type="pct"/>
            <w:noWrap/>
            <w:hideMark/>
          </w:tcPr>
          <w:p w14:paraId="3592A88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173</w:t>
            </w:r>
          </w:p>
        </w:tc>
        <w:tc>
          <w:tcPr>
            <w:tcW w:w="262" w:type="pct"/>
            <w:noWrap/>
            <w:hideMark/>
          </w:tcPr>
          <w:p w14:paraId="5657CB0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0115E90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09863B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1363E9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90C2DB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343109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EE11AE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CD298F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06421AC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10A649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6C0D67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5EF020C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D26E0F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790452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4BAE86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1737AF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640EF4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11DCBA28"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3F10CA51" w14:textId="77777777" w:rsidR="005B25AB" w:rsidRPr="00A6515E" w:rsidRDefault="005B25AB" w:rsidP="003D157D">
            <w:pPr>
              <w:rPr>
                <w:b w:val="0"/>
                <w:bCs w:val="0"/>
                <w:szCs w:val="18"/>
              </w:rPr>
            </w:pPr>
          </w:p>
        </w:tc>
        <w:tc>
          <w:tcPr>
            <w:tcW w:w="269" w:type="pct"/>
            <w:noWrap/>
            <w:hideMark/>
          </w:tcPr>
          <w:p w14:paraId="022E6B7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174</w:t>
            </w:r>
          </w:p>
        </w:tc>
        <w:tc>
          <w:tcPr>
            <w:tcW w:w="262" w:type="pct"/>
            <w:noWrap/>
            <w:hideMark/>
          </w:tcPr>
          <w:p w14:paraId="49DE104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6723F97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A255FF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6E00AA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C05AD2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0D01D5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B015AB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E029B8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6514D9C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BF3F51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90F7ED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3281597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7520AE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1788C7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8B0AD0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CEBE26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0596DF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6226DA67"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2F2F2" w:themeFill="background1" w:themeFillShade="F2"/>
            <w:hideMark/>
          </w:tcPr>
          <w:p w14:paraId="5BDE5C0F" w14:textId="77777777" w:rsidR="005B25AB" w:rsidRPr="00A6515E" w:rsidRDefault="005B25AB" w:rsidP="003D157D">
            <w:pPr>
              <w:rPr>
                <w:b w:val="0"/>
                <w:bCs w:val="0"/>
                <w:szCs w:val="18"/>
              </w:rPr>
            </w:pPr>
          </w:p>
        </w:tc>
        <w:tc>
          <w:tcPr>
            <w:tcW w:w="269" w:type="pct"/>
            <w:noWrap/>
            <w:hideMark/>
          </w:tcPr>
          <w:p w14:paraId="7C7E88E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175</w:t>
            </w:r>
          </w:p>
        </w:tc>
        <w:tc>
          <w:tcPr>
            <w:tcW w:w="262" w:type="pct"/>
            <w:noWrap/>
            <w:hideMark/>
          </w:tcPr>
          <w:p w14:paraId="1D56335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0EFCB0E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F1A6F8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4351B9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470DE6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911E29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E2FE49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E619EB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1212CA3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5E483D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AA36DA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4AB1AA1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CD7A7E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84FFC9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F99F9E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114227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C7A7D5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1FE26EBE"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079587EC" w14:textId="77777777" w:rsidR="005B25AB" w:rsidRPr="00A6515E" w:rsidRDefault="005B25AB" w:rsidP="003D157D">
            <w:pPr>
              <w:rPr>
                <w:b w:val="0"/>
                <w:bCs w:val="0"/>
                <w:szCs w:val="18"/>
              </w:rPr>
            </w:pPr>
          </w:p>
        </w:tc>
        <w:tc>
          <w:tcPr>
            <w:tcW w:w="269" w:type="pct"/>
            <w:noWrap/>
            <w:hideMark/>
          </w:tcPr>
          <w:p w14:paraId="0E8C2EC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176</w:t>
            </w:r>
          </w:p>
        </w:tc>
        <w:tc>
          <w:tcPr>
            <w:tcW w:w="262" w:type="pct"/>
            <w:noWrap/>
            <w:hideMark/>
          </w:tcPr>
          <w:p w14:paraId="32EBF53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212B262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F63AAF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DA1B44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F8E8BC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A95CFF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0586C8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B47840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21A0E15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3F2073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70CD5A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726D325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232440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D68680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96BCA2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738274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048474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6C036187"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2F2F2" w:themeFill="background1" w:themeFillShade="F2"/>
            <w:hideMark/>
          </w:tcPr>
          <w:p w14:paraId="4CBF38AD" w14:textId="77777777" w:rsidR="005B25AB" w:rsidRPr="00A6515E" w:rsidRDefault="005B25AB" w:rsidP="003D157D">
            <w:pPr>
              <w:rPr>
                <w:b w:val="0"/>
                <w:bCs w:val="0"/>
                <w:szCs w:val="18"/>
              </w:rPr>
            </w:pPr>
          </w:p>
        </w:tc>
        <w:tc>
          <w:tcPr>
            <w:tcW w:w="269" w:type="pct"/>
            <w:noWrap/>
            <w:hideMark/>
          </w:tcPr>
          <w:p w14:paraId="5EEE33E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177</w:t>
            </w:r>
          </w:p>
        </w:tc>
        <w:tc>
          <w:tcPr>
            <w:tcW w:w="262" w:type="pct"/>
            <w:noWrap/>
            <w:hideMark/>
          </w:tcPr>
          <w:p w14:paraId="7349930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6899A41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939FE6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0E241C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303947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B63733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1480AF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3D903C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17732B5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8532D2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9F73A7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4C8B655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ABA85B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0A91E5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2FDCD6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DBE453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772D93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7A57C0F9"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58C15660" w14:textId="77777777" w:rsidR="005B25AB" w:rsidRPr="00A6515E" w:rsidRDefault="005B25AB" w:rsidP="003D157D">
            <w:pPr>
              <w:rPr>
                <w:b w:val="0"/>
                <w:bCs w:val="0"/>
                <w:szCs w:val="18"/>
              </w:rPr>
            </w:pPr>
          </w:p>
        </w:tc>
        <w:tc>
          <w:tcPr>
            <w:tcW w:w="269" w:type="pct"/>
            <w:noWrap/>
            <w:hideMark/>
          </w:tcPr>
          <w:p w14:paraId="0C1B951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178</w:t>
            </w:r>
          </w:p>
        </w:tc>
        <w:tc>
          <w:tcPr>
            <w:tcW w:w="262" w:type="pct"/>
            <w:noWrap/>
            <w:hideMark/>
          </w:tcPr>
          <w:p w14:paraId="193362A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635B9B1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C58E08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8AB40F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CE8F37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FD1EA7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31D7C5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D38525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4BC0F6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7DA6B70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FC9847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70EC27D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EC1561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A11B63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487EC0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D762A5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9436A7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26C42570" w14:textId="77777777" w:rsidTr="003D157D">
        <w:trPr>
          <w:trHeight w:val="30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2F2F2" w:themeFill="background1" w:themeFillShade="F2"/>
            <w:hideMark/>
          </w:tcPr>
          <w:p w14:paraId="139312AF" w14:textId="77777777" w:rsidR="005B25AB" w:rsidRPr="00A6515E" w:rsidRDefault="005B25AB" w:rsidP="003D157D">
            <w:pPr>
              <w:rPr>
                <w:b w:val="0"/>
                <w:bCs w:val="0"/>
                <w:szCs w:val="18"/>
              </w:rPr>
            </w:pPr>
          </w:p>
        </w:tc>
        <w:tc>
          <w:tcPr>
            <w:tcW w:w="269" w:type="pct"/>
            <w:noWrap/>
            <w:hideMark/>
          </w:tcPr>
          <w:p w14:paraId="0C4091B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179</w:t>
            </w:r>
          </w:p>
        </w:tc>
        <w:tc>
          <w:tcPr>
            <w:tcW w:w="262" w:type="pct"/>
            <w:noWrap/>
            <w:hideMark/>
          </w:tcPr>
          <w:p w14:paraId="2423515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79F4E02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2483F0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8A73AA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282C2B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D756F8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D436D2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EC00B7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0885F12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5818C9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5FA1B8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6FF9C4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71B488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CB9483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B15420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992AF4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B5C15F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74BEBF19"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val="restart"/>
            <w:shd w:val="clear" w:color="auto" w:fill="FFFFFF" w:themeFill="background1"/>
            <w:textDirection w:val="btLr"/>
            <w:hideMark/>
          </w:tcPr>
          <w:p w14:paraId="4DDCF8B4" w14:textId="77777777" w:rsidR="005B25AB" w:rsidRPr="00A6515E" w:rsidRDefault="005B25AB" w:rsidP="003D157D">
            <w:pPr>
              <w:rPr>
                <w:b w:val="0"/>
                <w:bCs w:val="0"/>
                <w:szCs w:val="18"/>
              </w:rPr>
            </w:pPr>
            <w:r>
              <w:rPr>
                <w:szCs w:val="18"/>
              </w:rPr>
              <w:t>Specific to gasification</w:t>
            </w:r>
          </w:p>
        </w:tc>
        <w:tc>
          <w:tcPr>
            <w:tcW w:w="269" w:type="pct"/>
            <w:noWrap/>
            <w:hideMark/>
          </w:tcPr>
          <w:p w14:paraId="313DE20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180</w:t>
            </w:r>
          </w:p>
        </w:tc>
        <w:tc>
          <w:tcPr>
            <w:tcW w:w="262" w:type="pct"/>
            <w:noWrap/>
            <w:hideMark/>
          </w:tcPr>
          <w:p w14:paraId="2E14780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624CECA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C1F62D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B1E9C7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065E92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0AD9E0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F9398B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C5621C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F5AE12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0C7D6E4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2FCD8E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791B30A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3272D3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0FF9FF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9A92EB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A71BD6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87B141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3118E800"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54B60EE1" w14:textId="77777777" w:rsidR="005B25AB" w:rsidRPr="00A6515E" w:rsidRDefault="005B25AB" w:rsidP="003D157D">
            <w:pPr>
              <w:rPr>
                <w:b w:val="0"/>
                <w:bCs w:val="0"/>
                <w:szCs w:val="18"/>
              </w:rPr>
            </w:pPr>
          </w:p>
        </w:tc>
        <w:tc>
          <w:tcPr>
            <w:tcW w:w="269" w:type="pct"/>
            <w:noWrap/>
            <w:hideMark/>
          </w:tcPr>
          <w:p w14:paraId="67659DA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181</w:t>
            </w:r>
          </w:p>
        </w:tc>
        <w:tc>
          <w:tcPr>
            <w:tcW w:w="262" w:type="pct"/>
            <w:noWrap/>
            <w:hideMark/>
          </w:tcPr>
          <w:p w14:paraId="405F3B8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207ACA8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1B7C6B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24F9DD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366495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619914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DE86EB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8EB8B3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F47994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8CF7D9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B1243C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76BE0F8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467057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F49621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D45380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382D09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C89E4B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02B55878"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23890A77" w14:textId="77777777" w:rsidR="005B25AB" w:rsidRPr="00A6515E" w:rsidRDefault="005B25AB" w:rsidP="003D157D">
            <w:pPr>
              <w:rPr>
                <w:b w:val="0"/>
                <w:bCs w:val="0"/>
                <w:szCs w:val="18"/>
              </w:rPr>
            </w:pPr>
          </w:p>
        </w:tc>
        <w:tc>
          <w:tcPr>
            <w:tcW w:w="269" w:type="pct"/>
            <w:noWrap/>
            <w:hideMark/>
          </w:tcPr>
          <w:p w14:paraId="5B632F2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182</w:t>
            </w:r>
          </w:p>
        </w:tc>
        <w:tc>
          <w:tcPr>
            <w:tcW w:w="262" w:type="pct"/>
            <w:noWrap/>
            <w:hideMark/>
          </w:tcPr>
          <w:p w14:paraId="0713CBC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1D7E1D8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A3FF51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2AAA23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71ED60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5068D0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75D63B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4C74E6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D17A6F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F6D8B7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88CAC2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67B6008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C4028F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471773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FF70B6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37DAF3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7B76BF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0615F604"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020FAB7F" w14:textId="77777777" w:rsidR="005B25AB" w:rsidRPr="00A6515E" w:rsidRDefault="005B25AB" w:rsidP="003D157D">
            <w:pPr>
              <w:rPr>
                <w:b w:val="0"/>
                <w:bCs w:val="0"/>
                <w:szCs w:val="18"/>
              </w:rPr>
            </w:pPr>
          </w:p>
        </w:tc>
        <w:tc>
          <w:tcPr>
            <w:tcW w:w="269" w:type="pct"/>
            <w:noWrap/>
            <w:hideMark/>
          </w:tcPr>
          <w:p w14:paraId="2E32C79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183</w:t>
            </w:r>
          </w:p>
        </w:tc>
        <w:tc>
          <w:tcPr>
            <w:tcW w:w="262" w:type="pct"/>
            <w:noWrap/>
            <w:hideMark/>
          </w:tcPr>
          <w:p w14:paraId="6D1F828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6CE0553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531A10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BFA799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3180BD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C8B43D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5B5ADC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5D860B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90339E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7BD027B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B9022B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6390D04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592E8C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FF8912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DE558D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28EEC0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000B46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2A5420D7"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138BB113" w14:textId="77777777" w:rsidR="005B25AB" w:rsidRPr="00A6515E" w:rsidRDefault="005B25AB" w:rsidP="003D157D">
            <w:pPr>
              <w:rPr>
                <w:b w:val="0"/>
                <w:bCs w:val="0"/>
                <w:szCs w:val="18"/>
              </w:rPr>
            </w:pPr>
          </w:p>
        </w:tc>
        <w:tc>
          <w:tcPr>
            <w:tcW w:w="269" w:type="pct"/>
            <w:noWrap/>
            <w:hideMark/>
          </w:tcPr>
          <w:p w14:paraId="7114F38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184</w:t>
            </w:r>
          </w:p>
        </w:tc>
        <w:tc>
          <w:tcPr>
            <w:tcW w:w="262" w:type="pct"/>
            <w:noWrap/>
            <w:hideMark/>
          </w:tcPr>
          <w:p w14:paraId="4BCF62C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6E0D32F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B68792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1FBD3B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4F5B61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157B3C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C9892E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448E8A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C116F9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73F2941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C277AF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51A4218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0A717C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548F28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A8E1EA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93BE50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9CE4C5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7BF2FE7E"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787CB384" w14:textId="77777777" w:rsidR="005B25AB" w:rsidRPr="00A6515E" w:rsidRDefault="005B25AB" w:rsidP="003D157D">
            <w:pPr>
              <w:rPr>
                <w:b w:val="0"/>
                <w:bCs w:val="0"/>
                <w:szCs w:val="18"/>
              </w:rPr>
            </w:pPr>
          </w:p>
        </w:tc>
        <w:tc>
          <w:tcPr>
            <w:tcW w:w="269" w:type="pct"/>
            <w:noWrap/>
            <w:hideMark/>
          </w:tcPr>
          <w:p w14:paraId="62FFBFD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185</w:t>
            </w:r>
          </w:p>
        </w:tc>
        <w:tc>
          <w:tcPr>
            <w:tcW w:w="262" w:type="pct"/>
            <w:noWrap/>
            <w:hideMark/>
          </w:tcPr>
          <w:p w14:paraId="08709DA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635D397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A7207E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3A6374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AA3A37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2C3E68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070778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5A65AB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9F4300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47E3197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E54C86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459970B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A85C6A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9234BB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A1C6AC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F39DA3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97656F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544A3998"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341A33E4" w14:textId="77777777" w:rsidR="005B25AB" w:rsidRPr="00A6515E" w:rsidRDefault="005B25AB" w:rsidP="003D157D">
            <w:pPr>
              <w:rPr>
                <w:b w:val="0"/>
                <w:bCs w:val="0"/>
                <w:szCs w:val="18"/>
              </w:rPr>
            </w:pPr>
          </w:p>
        </w:tc>
        <w:tc>
          <w:tcPr>
            <w:tcW w:w="269" w:type="pct"/>
            <w:noWrap/>
            <w:hideMark/>
          </w:tcPr>
          <w:p w14:paraId="6C457F1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186</w:t>
            </w:r>
          </w:p>
        </w:tc>
        <w:tc>
          <w:tcPr>
            <w:tcW w:w="262" w:type="pct"/>
            <w:noWrap/>
            <w:hideMark/>
          </w:tcPr>
          <w:p w14:paraId="4129068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5DEBF7A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088AB9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62CA01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9068E7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B9330B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8C1722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045953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87B392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6A4C478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B613FB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2CD62D5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F97397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784DE5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F53052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EF9769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3468AD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4BC6BAE5"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3E9058FB" w14:textId="77777777" w:rsidR="005B25AB" w:rsidRPr="00A6515E" w:rsidRDefault="005B25AB" w:rsidP="003D157D">
            <w:pPr>
              <w:rPr>
                <w:b w:val="0"/>
                <w:bCs w:val="0"/>
                <w:szCs w:val="18"/>
              </w:rPr>
            </w:pPr>
          </w:p>
        </w:tc>
        <w:tc>
          <w:tcPr>
            <w:tcW w:w="269" w:type="pct"/>
            <w:noWrap/>
            <w:hideMark/>
          </w:tcPr>
          <w:p w14:paraId="42B26A1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187</w:t>
            </w:r>
          </w:p>
        </w:tc>
        <w:tc>
          <w:tcPr>
            <w:tcW w:w="262" w:type="pct"/>
            <w:noWrap/>
            <w:hideMark/>
          </w:tcPr>
          <w:p w14:paraId="519C536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7537D9C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AAB695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CF4D66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7D1A58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0C8E94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6AA986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9A6273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63B945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76B6B74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AA116C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70F4766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D6E8B7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4E9CD8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87E271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AAE1A3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4304B5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7E03D319"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21FCB3D1" w14:textId="77777777" w:rsidR="005B25AB" w:rsidRPr="00A6515E" w:rsidRDefault="005B25AB" w:rsidP="003D157D">
            <w:pPr>
              <w:rPr>
                <w:b w:val="0"/>
                <w:bCs w:val="0"/>
                <w:szCs w:val="18"/>
              </w:rPr>
            </w:pPr>
          </w:p>
        </w:tc>
        <w:tc>
          <w:tcPr>
            <w:tcW w:w="269" w:type="pct"/>
            <w:noWrap/>
            <w:hideMark/>
          </w:tcPr>
          <w:p w14:paraId="768B1D7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188</w:t>
            </w:r>
          </w:p>
        </w:tc>
        <w:tc>
          <w:tcPr>
            <w:tcW w:w="262" w:type="pct"/>
            <w:noWrap/>
            <w:hideMark/>
          </w:tcPr>
          <w:p w14:paraId="51F6FF9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0BB8A3F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5771F9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60383B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FE04B6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ABAC04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96E832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FA9A36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9EF013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110E371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963D88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367679D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A2D6C9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BACF41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51CF89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379715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4FE620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0254D715" w14:textId="77777777" w:rsidTr="003D157D">
        <w:trPr>
          <w:trHeight w:val="30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73C6727F" w14:textId="77777777" w:rsidR="005B25AB" w:rsidRPr="00A6515E" w:rsidRDefault="005B25AB" w:rsidP="003D157D">
            <w:pPr>
              <w:rPr>
                <w:b w:val="0"/>
                <w:bCs w:val="0"/>
                <w:szCs w:val="18"/>
              </w:rPr>
            </w:pPr>
          </w:p>
        </w:tc>
        <w:tc>
          <w:tcPr>
            <w:tcW w:w="269" w:type="pct"/>
            <w:noWrap/>
            <w:hideMark/>
          </w:tcPr>
          <w:p w14:paraId="1F235B4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189</w:t>
            </w:r>
          </w:p>
        </w:tc>
        <w:tc>
          <w:tcPr>
            <w:tcW w:w="262" w:type="pct"/>
            <w:noWrap/>
            <w:hideMark/>
          </w:tcPr>
          <w:p w14:paraId="2A70ED3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494807B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B5D5AB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76EDB4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2DF0BB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1D1F62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EDCFB5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EA2922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DCE4E7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4EA60D9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3634CB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2381F40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B7C50B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B316CF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22D726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48AC83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B30987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23951CE"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val="restart"/>
            <w:textDirection w:val="btLr"/>
            <w:hideMark/>
          </w:tcPr>
          <w:p w14:paraId="0BCC04AB" w14:textId="77777777" w:rsidR="005B25AB" w:rsidRPr="00A6515E" w:rsidRDefault="005B25AB" w:rsidP="003D157D">
            <w:pPr>
              <w:rPr>
                <w:b w:val="0"/>
                <w:bCs w:val="0"/>
                <w:szCs w:val="18"/>
              </w:rPr>
            </w:pPr>
            <w:r>
              <w:rPr>
                <w:szCs w:val="18"/>
              </w:rPr>
              <w:t>Specific to direct combustion</w:t>
            </w:r>
          </w:p>
        </w:tc>
        <w:tc>
          <w:tcPr>
            <w:tcW w:w="269" w:type="pct"/>
            <w:noWrap/>
            <w:hideMark/>
          </w:tcPr>
          <w:p w14:paraId="2CDBC4E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190</w:t>
            </w:r>
          </w:p>
        </w:tc>
        <w:tc>
          <w:tcPr>
            <w:tcW w:w="262" w:type="pct"/>
            <w:noWrap/>
            <w:hideMark/>
          </w:tcPr>
          <w:p w14:paraId="061DA5E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3A72714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36FED7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7F5F9C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27AF67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24E2A8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BC1EA6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949C00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D5924E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FEAD4D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EF42B2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828322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91840A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276367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5C154D1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83BA34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2F4BE6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7760E067"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2F2F2" w:themeFill="background1" w:themeFillShade="F2"/>
            <w:hideMark/>
          </w:tcPr>
          <w:p w14:paraId="4C042440" w14:textId="77777777" w:rsidR="005B25AB" w:rsidRPr="00A6515E" w:rsidRDefault="005B25AB" w:rsidP="003D157D">
            <w:pPr>
              <w:rPr>
                <w:b w:val="0"/>
                <w:bCs w:val="0"/>
                <w:szCs w:val="18"/>
              </w:rPr>
            </w:pPr>
          </w:p>
        </w:tc>
        <w:tc>
          <w:tcPr>
            <w:tcW w:w="269" w:type="pct"/>
            <w:noWrap/>
            <w:hideMark/>
          </w:tcPr>
          <w:p w14:paraId="55EF91F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191</w:t>
            </w:r>
          </w:p>
        </w:tc>
        <w:tc>
          <w:tcPr>
            <w:tcW w:w="262" w:type="pct"/>
            <w:noWrap/>
            <w:hideMark/>
          </w:tcPr>
          <w:p w14:paraId="62BFFEC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7A9E2C2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10FAFE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1DCEAF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32E033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73DD23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9B61FC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AEF18E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19AFB2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1A211E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196E6F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526CC0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C6EC50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08A2B4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6FAB65C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D6BC64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AA3578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523F65A1"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5A8DC8E0" w14:textId="77777777" w:rsidR="005B25AB" w:rsidRPr="00A6515E" w:rsidRDefault="005B25AB" w:rsidP="003D157D">
            <w:pPr>
              <w:rPr>
                <w:b w:val="0"/>
                <w:bCs w:val="0"/>
                <w:szCs w:val="18"/>
              </w:rPr>
            </w:pPr>
          </w:p>
        </w:tc>
        <w:tc>
          <w:tcPr>
            <w:tcW w:w="269" w:type="pct"/>
            <w:noWrap/>
            <w:hideMark/>
          </w:tcPr>
          <w:p w14:paraId="0C60242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192</w:t>
            </w:r>
          </w:p>
        </w:tc>
        <w:tc>
          <w:tcPr>
            <w:tcW w:w="262" w:type="pct"/>
            <w:noWrap/>
            <w:hideMark/>
          </w:tcPr>
          <w:p w14:paraId="5F57996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3EA5B95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6C4617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6DD40F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11333D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8B91B6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05CCC6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31B708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EB8B95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FAB37B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684492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BF764C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CE26A6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517F2A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72C44A8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F6C0BC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F0D09D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55F25AA0"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2F2F2" w:themeFill="background1" w:themeFillShade="F2"/>
            <w:hideMark/>
          </w:tcPr>
          <w:p w14:paraId="652ABA3C" w14:textId="77777777" w:rsidR="005B25AB" w:rsidRPr="00A6515E" w:rsidRDefault="005B25AB" w:rsidP="003D157D">
            <w:pPr>
              <w:rPr>
                <w:b w:val="0"/>
                <w:bCs w:val="0"/>
                <w:szCs w:val="18"/>
              </w:rPr>
            </w:pPr>
          </w:p>
        </w:tc>
        <w:tc>
          <w:tcPr>
            <w:tcW w:w="269" w:type="pct"/>
            <w:noWrap/>
            <w:hideMark/>
          </w:tcPr>
          <w:p w14:paraId="33378D7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193</w:t>
            </w:r>
          </w:p>
        </w:tc>
        <w:tc>
          <w:tcPr>
            <w:tcW w:w="262" w:type="pct"/>
            <w:noWrap/>
            <w:hideMark/>
          </w:tcPr>
          <w:p w14:paraId="753A661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5C6A8C9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EA064C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A47240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63DCC3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BD0A2F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E07B12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824B29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2E4EB6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327BB5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64BBCA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291DCD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0D0F89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BDDC1A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655BEE4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2CFF66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F2B94A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0426A7E8"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4D8BA06A" w14:textId="77777777" w:rsidR="005B25AB" w:rsidRPr="00A6515E" w:rsidRDefault="005B25AB" w:rsidP="003D157D">
            <w:pPr>
              <w:rPr>
                <w:b w:val="0"/>
                <w:bCs w:val="0"/>
                <w:szCs w:val="18"/>
              </w:rPr>
            </w:pPr>
          </w:p>
        </w:tc>
        <w:tc>
          <w:tcPr>
            <w:tcW w:w="269" w:type="pct"/>
            <w:noWrap/>
            <w:hideMark/>
          </w:tcPr>
          <w:p w14:paraId="0095D8C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194</w:t>
            </w:r>
          </w:p>
        </w:tc>
        <w:tc>
          <w:tcPr>
            <w:tcW w:w="262" w:type="pct"/>
            <w:noWrap/>
            <w:hideMark/>
          </w:tcPr>
          <w:p w14:paraId="0FA91A3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655F690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84C131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985DCC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F72D22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2F5B7B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795467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4BC0C8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D3A839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8D645B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F3E4B6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3E0D13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2C625E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6A91EB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210BCF0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D126F7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74B05B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74D67B33"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2F2F2" w:themeFill="background1" w:themeFillShade="F2"/>
            <w:hideMark/>
          </w:tcPr>
          <w:p w14:paraId="5A0416C4" w14:textId="77777777" w:rsidR="005B25AB" w:rsidRPr="00A6515E" w:rsidRDefault="005B25AB" w:rsidP="003D157D">
            <w:pPr>
              <w:rPr>
                <w:b w:val="0"/>
                <w:bCs w:val="0"/>
                <w:szCs w:val="18"/>
              </w:rPr>
            </w:pPr>
          </w:p>
        </w:tc>
        <w:tc>
          <w:tcPr>
            <w:tcW w:w="269" w:type="pct"/>
            <w:noWrap/>
            <w:hideMark/>
          </w:tcPr>
          <w:p w14:paraId="69EA52D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195</w:t>
            </w:r>
          </w:p>
        </w:tc>
        <w:tc>
          <w:tcPr>
            <w:tcW w:w="262" w:type="pct"/>
            <w:noWrap/>
            <w:hideMark/>
          </w:tcPr>
          <w:p w14:paraId="5D78E2B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019D58F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C6A220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EA8C99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C49FFF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DEE0DD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0949EF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0A1FD6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1835CA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786E1E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C95A70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43562E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F20FE7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FCE989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43C164C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D44D4E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4A97AB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1EDE5C5A"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63414BDC" w14:textId="77777777" w:rsidR="005B25AB" w:rsidRPr="00A6515E" w:rsidRDefault="005B25AB" w:rsidP="003D157D">
            <w:pPr>
              <w:rPr>
                <w:b w:val="0"/>
                <w:bCs w:val="0"/>
                <w:szCs w:val="18"/>
              </w:rPr>
            </w:pPr>
          </w:p>
        </w:tc>
        <w:tc>
          <w:tcPr>
            <w:tcW w:w="269" w:type="pct"/>
            <w:noWrap/>
            <w:hideMark/>
          </w:tcPr>
          <w:p w14:paraId="5B082C5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196</w:t>
            </w:r>
          </w:p>
        </w:tc>
        <w:tc>
          <w:tcPr>
            <w:tcW w:w="262" w:type="pct"/>
            <w:noWrap/>
            <w:hideMark/>
          </w:tcPr>
          <w:p w14:paraId="6399AAE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193EE4B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CDA320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9BE0AA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AACDB1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45E544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1D40DD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F24007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331DB4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AB4E4D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8BAF31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70D09B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A3B2A3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AD0682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7838CC5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604824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606685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1DB52C89"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2F2F2" w:themeFill="background1" w:themeFillShade="F2"/>
            <w:hideMark/>
          </w:tcPr>
          <w:p w14:paraId="5389B4BF" w14:textId="77777777" w:rsidR="005B25AB" w:rsidRPr="00A6515E" w:rsidRDefault="005B25AB" w:rsidP="003D157D">
            <w:pPr>
              <w:rPr>
                <w:b w:val="0"/>
                <w:bCs w:val="0"/>
                <w:szCs w:val="18"/>
              </w:rPr>
            </w:pPr>
          </w:p>
        </w:tc>
        <w:tc>
          <w:tcPr>
            <w:tcW w:w="269" w:type="pct"/>
            <w:noWrap/>
            <w:hideMark/>
          </w:tcPr>
          <w:p w14:paraId="64E7EB3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197</w:t>
            </w:r>
          </w:p>
        </w:tc>
        <w:tc>
          <w:tcPr>
            <w:tcW w:w="262" w:type="pct"/>
            <w:noWrap/>
            <w:hideMark/>
          </w:tcPr>
          <w:p w14:paraId="3038538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7BEA6AF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B1673A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75F932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89C1B2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7CA698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B4043E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B78D9A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643412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D281CD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6E70E4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91C10D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4BEC76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5F5407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0CB6107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FA2377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D35A2D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bl>
    <w:p w14:paraId="4A7A451B" w14:textId="77777777" w:rsidR="005B25AB" w:rsidRDefault="005B25AB" w:rsidP="005B25AB"/>
    <w:p w14:paraId="4FBA05A2" w14:textId="77777777" w:rsidR="005B25AB" w:rsidRDefault="005B25AB" w:rsidP="005B25AB">
      <w:r>
        <w:br w:type="page"/>
      </w:r>
    </w:p>
    <w:tbl>
      <w:tblPr>
        <w:tblStyle w:val="Tableausimple4"/>
        <w:tblW w:w="5000" w:type="pct"/>
        <w:tblLook w:val="04A0" w:firstRow="1" w:lastRow="0" w:firstColumn="1" w:lastColumn="0" w:noHBand="0" w:noVBand="1"/>
      </w:tblPr>
      <w:tblGrid>
        <w:gridCol w:w="448"/>
        <w:gridCol w:w="490"/>
        <w:gridCol w:w="474"/>
        <w:gridCol w:w="479"/>
        <w:gridCol w:w="479"/>
        <w:gridCol w:w="477"/>
        <w:gridCol w:w="477"/>
        <w:gridCol w:w="479"/>
        <w:gridCol w:w="479"/>
        <w:gridCol w:w="479"/>
        <w:gridCol w:w="479"/>
        <w:gridCol w:w="479"/>
        <w:gridCol w:w="479"/>
        <w:gridCol w:w="479"/>
        <w:gridCol w:w="479"/>
        <w:gridCol w:w="479"/>
        <w:gridCol w:w="479"/>
        <w:gridCol w:w="479"/>
        <w:gridCol w:w="479"/>
      </w:tblGrid>
      <w:tr w:rsidR="005B25AB" w:rsidRPr="00A6515E" w14:paraId="1541C086" w14:textId="77777777" w:rsidTr="003D157D">
        <w:trPr>
          <w:cnfStyle w:val="100000000000" w:firstRow="1" w:lastRow="0" w:firstColumn="0" w:lastColumn="0" w:oddVBand="0" w:evenVBand="0" w:oddHBand="0" w:evenHBand="0" w:firstRowFirstColumn="0" w:firstRowLastColumn="0" w:lastRowFirstColumn="0" w:lastRowLastColumn="0"/>
          <w:trHeight w:val="824"/>
        </w:trPr>
        <w:tc>
          <w:tcPr>
            <w:cnfStyle w:val="001000000000" w:firstRow="0" w:lastRow="0" w:firstColumn="1" w:lastColumn="0" w:oddVBand="0" w:evenVBand="0" w:oddHBand="0" w:evenHBand="0" w:firstRowFirstColumn="0" w:firstRowLastColumn="0" w:lastRowFirstColumn="0" w:lastRowLastColumn="0"/>
            <w:tcW w:w="246" w:type="pct"/>
            <w:shd w:val="clear" w:color="auto" w:fill="FFFFFF" w:themeFill="background1"/>
            <w:textDirection w:val="btLr"/>
          </w:tcPr>
          <w:p w14:paraId="2E76F61D" w14:textId="77777777" w:rsidR="005B25AB" w:rsidRDefault="005B25AB" w:rsidP="003D157D">
            <w:pPr>
              <w:ind w:left="113" w:right="113"/>
              <w:rPr>
                <w:szCs w:val="18"/>
              </w:rPr>
            </w:pPr>
          </w:p>
        </w:tc>
        <w:tc>
          <w:tcPr>
            <w:tcW w:w="269" w:type="pct"/>
            <w:noWrap/>
          </w:tcPr>
          <w:p w14:paraId="24CC7D58"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bCs w:val="0"/>
                <w:szCs w:val="18"/>
              </w:rPr>
            </w:pPr>
            <w:r w:rsidRPr="00A6515E">
              <w:rPr>
                <w:szCs w:val="18"/>
              </w:rPr>
              <w:t>n°</w:t>
            </w:r>
          </w:p>
        </w:tc>
        <w:tc>
          <w:tcPr>
            <w:tcW w:w="262" w:type="pct"/>
            <w:noWrap/>
            <w:textDirection w:val="btLr"/>
          </w:tcPr>
          <w:p w14:paraId="53F16565"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bCs w:val="0"/>
                <w:szCs w:val="18"/>
              </w:rPr>
            </w:pPr>
            <w:r w:rsidRPr="00A6515E">
              <w:rPr>
                <w:szCs w:val="18"/>
              </w:rPr>
              <w:t>CF</w:t>
            </w:r>
          </w:p>
        </w:tc>
        <w:tc>
          <w:tcPr>
            <w:tcW w:w="264" w:type="pct"/>
            <w:noWrap/>
            <w:textDirection w:val="btLr"/>
          </w:tcPr>
          <w:p w14:paraId="6ECBB805"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GB_AD</w:t>
            </w:r>
          </w:p>
        </w:tc>
        <w:tc>
          <w:tcPr>
            <w:tcW w:w="264" w:type="pct"/>
            <w:noWrap/>
            <w:textDirection w:val="btLr"/>
          </w:tcPr>
          <w:p w14:paraId="185F79FA"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GB_rough</w:t>
            </w:r>
          </w:p>
        </w:tc>
        <w:tc>
          <w:tcPr>
            <w:tcW w:w="263" w:type="pct"/>
            <w:noWrap/>
            <w:textDirection w:val="btLr"/>
          </w:tcPr>
          <w:p w14:paraId="21D71D80"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GB_myco</w:t>
            </w:r>
          </w:p>
        </w:tc>
        <w:tc>
          <w:tcPr>
            <w:tcW w:w="263" w:type="pct"/>
            <w:noWrap/>
            <w:textDirection w:val="btLr"/>
          </w:tcPr>
          <w:p w14:paraId="54937B62"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BSF</w:t>
            </w:r>
          </w:p>
        </w:tc>
        <w:tc>
          <w:tcPr>
            <w:tcW w:w="264" w:type="pct"/>
            <w:noWrap/>
            <w:textDirection w:val="btLr"/>
          </w:tcPr>
          <w:p w14:paraId="38F14E2C"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SSF</w:t>
            </w:r>
          </w:p>
        </w:tc>
        <w:tc>
          <w:tcPr>
            <w:tcW w:w="264" w:type="pct"/>
            <w:noWrap/>
            <w:textDirection w:val="btLr"/>
          </w:tcPr>
          <w:p w14:paraId="1C50B338"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MYCO</w:t>
            </w:r>
          </w:p>
        </w:tc>
        <w:tc>
          <w:tcPr>
            <w:tcW w:w="264" w:type="pct"/>
            <w:noWrap/>
            <w:textDirection w:val="btLr"/>
          </w:tcPr>
          <w:p w14:paraId="5EF83EE3"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MP_AD</w:t>
            </w:r>
          </w:p>
        </w:tc>
        <w:tc>
          <w:tcPr>
            <w:tcW w:w="264" w:type="pct"/>
            <w:noWrap/>
            <w:textDirection w:val="btLr"/>
          </w:tcPr>
          <w:p w14:paraId="7491789B"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MP_GA</w:t>
            </w:r>
          </w:p>
        </w:tc>
        <w:tc>
          <w:tcPr>
            <w:tcW w:w="264" w:type="pct"/>
            <w:noWrap/>
            <w:textDirection w:val="btLr"/>
          </w:tcPr>
          <w:p w14:paraId="0BCCD2F7"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AD</w:t>
            </w:r>
          </w:p>
        </w:tc>
        <w:tc>
          <w:tcPr>
            <w:tcW w:w="264" w:type="pct"/>
            <w:noWrap/>
            <w:textDirection w:val="btLr"/>
          </w:tcPr>
          <w:p w14:paraId="4BC5FC8F"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GA</w:t>
            </w:r>
          </w:p>
        </w:tc>
        <w:tc>
          <w:tcPr>
            <w:tcW w:w="264" w:type="pct"/>
            <w:noWrap/>
            <w:textDirection w:val="btLr"/>
          </w:tcPr>
          <w:p w14:paraId="0576E7F3"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DIR_CHP</w:t>
            </w:r>
          </w:p>
        </w:tc>
        <w:tc>
          <w:tcPr>
            <w:tcW w:w="264" w:type="pct"/>
            <w:noWrap/>
            <w:textDirection w:val="btLr"/>
          </w:tcPr>
          <w:p w14:paraId="3DACFB44"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Heat</w:t>
            </w:r>
          </w:p>
        </w:tc>
        <w:tc>
          <w:tcPr>
            <w:tcW w:w="264" w:type="pct"/>
            <w:noWrap/>
            <w:textDirection w:val="btLr"/>
          </w:tcPr>
          <w:p w14:paraId="30303D11"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Burn</w:t>
            </w:r>
          </w:p>
        </w:tc>
        <w:tc>
          <w:tcPr>
            <w:tcW w:w="264" w:type="pct"/>
            <w:noWrap/>
            <w:textDirection w:val="btLr"/>
          </w:tcPr>
          <w:p w14:paraId="45A37517"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Compost</w:t>
            </w:r>
          </w:p>
        </w:tc>
        <w:tc>
          <w:tcPr>
            <w:tcW w:w="264" w:type="pct"/>
            <w:noWrap/>
            <w:textDirection w:val="btLr"/>
          </w:tcPr>
          <w:p w14:paraId="2ACFCAE0"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Spread</w:t>
            </w:r>
          </w:p>
        </w:tc>
        <w:tc>
          <w:tcPr>
            <w:tcW w:w="264" w:type="pct"/>
            <w:noWrap/>
            <w:textDirection w:val="btLr"/>
          </w:tcPr>
          <w:p w14:paraId="00A6ACD9"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Decay</w:t>
            </w:r>
          </w:p>
        </w:tc>
      </w:tr>
      <w:tr w:rsidR="005B25AB" w:rsidRPr="00A6515E" w14:paraId="6B54F8A2"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val="restart"/>
            <w:textDirection w:val="btLr"/>
            <w:hideMark/>
          </w:tcPr>
          <w:p w14:paraId="1683974C" w14:textId="77777777" w:rsidR="005B25AB" w:rsidRPr="00A6515E" w:rsidRDefault="005B25AB" w:rsidP="003D157D">
            <w:pPr>
              <w:ind w:left="113" w:right="113"/>
              <w:rPr>
                <w:b w:val="0"/>
                <w:bCs w:val="0"/>
                <w:szCs w:val="18"/>
              </w:rPr>
            </w:pPr>
            <w:r>
              <w:rPr>
                <w:szCs w:val="18"/>
              </w:rPr>
              <w:t>Specific to direct combustion</w:t>
            </w:r>
          </w:p>
        </w:tc>
        <w:tc>
          <w:tcPr>
            <w:tcW w:w="269" w:type="pct"/>
            <w:noWrap/>
            <w:hideMark/>
          </w:tcPr>
          <w:p w14:paraId="514FE99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198</w:t>
            </w:r>
          </w:p>
        </w:tc>
        <w:tc>
          <w:tcPr>
            <w:tcW w:w="262" w:type="pct"/>
            <w:noWrap/>
            <w:hideMark/>
          </w:tcPr>
          <w:p w14:paraId="01C0C65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5B85EB9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BAC06F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1939C3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6DD31E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ECFC2F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377F82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C77589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98D843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51563F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0A96AA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E6D53A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32FC08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9F8F89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2F65B01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B2055A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28249C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65C7ECA6"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2F2F2" w:themeFill="background1" w:themeFillShade="F2"/>
            <w:hideMark/>
          </w:tcPr>
          <w:p w14:paraId="35D35889" w14:textId="77777777" w:rsidR="005B25AB" w:rsidRPr="00A6515E" w:rsidRDefault="005B25AB" w:rsidP="003D157D">
            <w:pPr>
              <w:rPr>
                <w:b w:val="0"/>
                <w:bCs w:val="0"/>
                <w:szCs w:val="18"/>
              </w:rPr>
            </w:pPr>
          </w:p>
        </w:tc>
        <w:tc>
          <w:tcPr>
            <w:tcW w:w="269" w:type="pct"/>
            <w:noWrap/>
            <w:hideMark/>
          </w:tcPr>
          <w:p w14:paraId="07F8590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199</w:t>
            </w:r>
          </w:p>
        </w:tc>
        <w:tc>
          <w:tcPr>
            <w:tcW w:w="262" w:type="pct"/>
            <w:noWrap/>
            <w:hideMark/>
          </w:tcPr>
          <w:p w14:paraId="5D7B886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672BC53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53A5A0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A9C801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0EB632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148876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67F039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1B864E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A04F27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AD6068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FC4962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3C1F40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2BB3C1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3FCCA6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53EE4E1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8361B9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ECE921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29CC373B"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41CE8A26" w14:textId="77777777" w:rsidR="005B25AB" w:rsidRPr="00A6515E" w:rsidRDefault="005B25AB" w:rsidP="003D157D">
            <w:pPr>
              <w:rPr>
                <w:b w:val="0"/>
                <w:bCs w:val="0"/>
                <w:szCs w:val="18"/>
              </w:rPr>
            </w:pPr>
          </w:p>
        </w:tc>
        <w:tc>
          <w:tcPr>
            <w:tcW w:w="269" w:type="pct"/>
            <w:noWrap/>
            <w:hideMark/>
          </w:tcPr>
          <w:p w14:paraId="2B96B89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200</w:t>
            </w:r>
          </w:p>
        </w:tc>
        <w:tc>
          <w:tcPr>
            <w:tcW w:w="262" w:type="pct"/>
            <w:noWrap/>
            <w:hideMark/>
          </w:tcPr>
          <w:p w14:paraId="503411B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7899187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44C456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D10496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4DDCAD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BBB77B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1EB962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5EAEE6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0C9397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2AE7CB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AF38DA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C8E7F0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1AC52A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AEC07C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2BF3CDE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32E60D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5452C9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499CB476"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2F2F2" w:themeFill="background1" w:themeFillShade="F2"/>
            <w:hideMark/>
          </w:tcPr>
          <w:p w14:paraId="1A6FA9E1" w14:textId="77777777" w:rsidR="005B25AB" w:rsidRPr="00A6515E" w:rsidRDefault="005B25AB" w:rsidP="003D157D">
            <w:pPr>
              <w:rPr>
                <w:b w:val="0"/>
                <w:bCs w:val="0"/>
                <w:szCs w:val="18"/>
              </w:rPr>
            </w:pPr>
          </w:p>
        </w:tc>
        <w:tc>
          <w:tcPr>
            <w:tcW w:w="269" w:type="pct"/>
            <w:noWrap/>
            <w:hideMark/>
          </w:tcPr>
          <w:p w14:paraId="48D4CF3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201</w:t>
            </w:r>
          </w:p>
        </w:tc>
        <w:tc>
          <w:tcPr>
            <w:tcW w:w="262" w:type="pct"/>
            <w:noWrap/>
            <w:hideMark/>
          </w:tcPr>
          <w:p w14:paraId="271F415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751A427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B75320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A0D7CE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27C960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093B57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DA6C31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1984B0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A82884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CB2217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8BADC1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39A8D5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B2C14E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52B79E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6FF14AE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6D400B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E2B991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1E0A9254"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1BC3FA0C" w14:textId="77777777" w:rsidR="005B25AB" w:rsidRPr="00A6515E" w:rsidRDefault="005B25AB" w:rsidP="003D157D">
            <w:pPr>
              <w:rPr>
                <w:b w:val="0"/>
                <w:bCs w:val="0"/>
                <w:szCs w:val="18"/>
              </w:rPr>
            </w:pPr>
          </w:p>
        </w:tc>
        <w:tc>
          <w:tcPr>
            <w:tcW w:w="269" w:type="pct"/>
            <w:noWrap/>
            <w:hideMark/>
          </w:tcPr>
          <w:p w14:paraId="485C566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202</w:t>
            </w:r>
          </w:p>
        </w:tc>
        <w:tc>
          <w:tcPr>
            <w:tcW w:w="262" w:type="pct"/>
            <w:noWrap/>
            <w:hideMark/>
          </w:tcPr>
          <w:p w14:paraId="196BA88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522D073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47B212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22B389E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CBED16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F74AF9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A80224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0AF8DA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9DB132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47B32F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55FD51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87EFAF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A6EE29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AF7CDA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7F98E00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6D8138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A724D4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1504D238"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2F2F2" w:themeFill="background1" w:themeFillShade="F2"/>
            <w:hideMark/>
          </w:tcPr>
          <w:p w14:paraId="169C6095" w14:textId="77777777" w:rsidR="005B25AB" w:rsidRPr="00A6515E" w:rsidRDefault="005B25AB" w:rsidP="003D157D">
            <w:pPr>
              <w:rPr>
                <w:b w:val="0"/>
                <w:bCs w:val="0"/>
                <w:szCs w:val="18"/>
              </w:rPr>
            </w:pPr>
          </w:p>
        </w:tc>
        <w:tc>
          <w:tcPr>
            <w:tcW w:w="269" w:type="pct"/>
            <w:noWrap/>
            <w:hideMark/>
          </w:tcPr>
          <w:p w14:paraId="0831F33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203</w:t>
            </w:r>
          </w:p>
        </w:tc>
        <w:tc>
          <w:tcPr>
            <w:tcW w:w="262" w:type="pct"/>
            <w:noWrap/>
            <w:hideMark/>
          </w:tcPr>
          <w:p w14:paraId="7F4C82E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3547F1A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40D690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184277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5E9B60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1F7EE5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F7EB53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AFA579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0FE413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5180E1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6E1EDB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469390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3BDC08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190902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51F6109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7E7392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C88BE9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5BF80D8D"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750171A0" w14:textId="77777777" w:rsidR="005B25AB" w:rsidRPr="00A6515E" w:rsidRDefault="005B25AB" w:rsidP="003D157D">
            <w:pPr>
              <w:rPr>
                <w:b w:val="0"/>
                <w:bCs w:val="0"/>
                <w:szCs w:val="18"/>
              </w:rPr>
            </w:pPr>
          </w:p>
        </w:tc>
        <w:tc>
          <w:tcPr>
            <w:tcW w:w="269" w:type="pct"/>
            <w:noWrap/>
            <w:hideMark/>
          </w:tcPr>
          <w:p w14:paraId="53710BA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204</w:t>
            </w:r>
          </w:p>
        </w:tc>
        <w:tc>
          <w:tcPr>
            <w:tcW w:w="262" w:type="pct"/>
            <w:noWrap/>
            <w:hideMark/>
          </w:tcPr>
          <w:p w14:paraId="32D9ABC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639F2F5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CE895E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1CB31E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B456DD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1948B0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AA774C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5379DD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1AFB0C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C1E84E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9DEA43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D4E67D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3F33E4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5A853E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55A87EC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C15078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DCF122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20066A3C"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2F2F2" w:themeFill="background1" w:themeFillShade="F2"/>
            <w:hideMark/>
          </w:tcPr>
          <w:p w14:paraId="562CBA94" w14:textId="77777777" w:rsidR="005B25AB" w:rsidRPr="00A6515E" w:rsidRDefault="005B25AB" w:rsidP="003D157D">
            <w:pPr>
              <w:rPr>
                <w:b w:val="0"/>
                <w:bCs w:val="0"/>
                <w:szCs w:val="18"/>
              </w:rPr>
            </w:pPr>
          </w:p>
        </w:tc>
        <w:tc>
          <w:tcPr>
            <w:tcW w:w="269" w:type="pct"/>
            <w:noWrap/>
            <w:hideMark/>
          </w:tcPr>
          <w:p w14:paraId="0CFEB03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205</w:t>
            </w:r>
          </w:p>
        </w:tc>
        <w:tc>
          <w:tcPr>
            <w:tcW w:w="262" w:type="pct"/>
            <w:noWrap/>
            <w:hideMark/>
          </w:tcPr>
          <w:p w14:paraId="21BBB9E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39D8818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1EEF0D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69B24A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8DAEB4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17FA70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9379AE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53E3DD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FD794E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C796C4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93B459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1E8B5D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7952E8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012601A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A192D2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2E5AC0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0044CE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4A37B23"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31263FC9" w14:textId="77777777" w:rsidR="005B25AB" w:rsidRPr="00A6515E" w:rsidRDefault="005B25AB" w:rsidP="003D157D">
            <w:pPr>
              <w:rPr>
                <w:b w:val="0"/>
                <w:bCs w:val="0"/>
                <w:szCs w:val="18"/>
              </w:rPr>
            </w:pPr>
          </w:p>
        </w:tc>
        <w:tc>
          <w:tcPr>
            <w:tcW w:w="269" w:type="pct"/>
            <w:noWrap/>
            <w:hideMark/>
          </w:tcPr>
          <w:p w14:paraId="2369E08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206</w:t>
            </w:r>
          </w:p>
        </w:tc>
        <w:tc>
          <w:tcPr>
            <w:tcW w:w="262" w:type="pct"/>
            <w:noWrap/>
            <w:hideMark/>
          </w:tcPr>
          <w:p w14:paraId="2FD6909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55753DD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DD1D37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5AA7A2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81E43E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C1ECA4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443FBA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F1B516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60E945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85CAE6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69ABFF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9C342D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2E72ED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69FC723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4B6F48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9D000F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BC1CB5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71066AC9"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2F2F2" w:themeFill="background1" w:themeFillShade="F2"/>
            <w:hideMark/>
          </w:tcPr>
          <w:p w14:paraId="6EB7CB13" w14:textId="77777777" w:rsidR="005B25AB" w:rsidRPr="00A6515E" w:rsidRDefault="005B25AB" w:rsidP="003D157D">
            <w:pPr>
              <w:rPr>
                <w:b w:val="0"/>
                <w:bCs w:val="0"/>
                <w:szCs w:val="18"/>
              </w:rPr>
            </w:pPr>
          </w:p>
        </w:tc>
        <w:tc>
          <w:tcPr>
            <w:tcW w:w="269" w:type="pct"/>
            <w:noWrap/>
            <w:hideMark/>
          </w:tcPr>
          <w:p w14:paraId="1BF67E2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207</w:t>
            </w:r>
          </w:p>
        </w:tc>
        <w:tc>
          <w:tcPr>
            <w:tcW w:w="262" w:type="pct"/>
            <w:noWrap/>
            <w:hideMark/>
          </w:tcPr>
          <w:p w14:paraId="5A53824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50BAAAC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4364FD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2A2944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21F03B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ADF605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680056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85B4C4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18A2B2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CA6CF4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66A117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E2DA6B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3861827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FD64E6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B8B342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65C17A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605367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2B387FC1"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1E3B83C7" w14:textId="77777777" w:rsidR="005B25AB" w:rsidRPr="00A6515E" w:rsidRDefault="005B25AB" w:rsidP="003D157D">
            <w:pPr>
              <w:rPr>
                <w:b w:val="0"/>
                <w:bCs w:val="0"/>
                <w:szCs w:val="18"/>
              </w:rPr>
            </w:pPr>
          </w:p>
        </w:tc>
        <w:tc>
          <w:tcPr>
            <w:tcW w:w="269" w:type="pct"/>
            <w:noWrap/>
            <w:hideMark/>
          </w:tcPr>
          <w:p w14:paraId="6C3B2C5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208</w:t>
            </w:r>
          </w:p>
        </w:tc>
        <w:tc>
          <w:tcPr>
            <w:tcW w:w="262" w:type="pct"/>
            <w:noWrap/>
            <w:hideMark/>
          </w:tcPr>
          <w:p w14:paraId="3521685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5DAC9DF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2349D5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785DF0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5CB405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16FB65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5B35A6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C9F4A9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5FCD5A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F9E137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E5D3F8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A5AF79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6ED8EB5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2CA3FA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3F7CC3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4634EA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0CE08E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7BABB19A"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2F2F2" w:themeFill="background1" w:themeFillShade="F2"/>
            <w:hideMark/>
          </w:tcPr>
          <w:p w14:paraId="3189D014" w14:textId="77777777" w:rsidR="005B25AB" w:rsidRPr="00A6515E" w:rsidRDefault="005B25AB" w:rsidP="003D157D">
            <w:pPr>
              <w:rPr>
                <w:b w:val="0"/>
                <w:bCs w:val="0"/>
                <w:szCs w:val="18"/>
              </w:rPr>
            </w:pPr>
          </w:p>
        </w:tc>
        <w:tc>
          <w:tcPr>
            <w:tcW w:w="269" w:type="pct"/>
            <w:noWrap/>
            <w:hideMark/>
          </w:tcPr>
          <w:p w14:paraId="0F00554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209</w:t>
            </w:r>
          </w:p>
        </w:tc>
        <w:tc>
          <w:tcPr>
            <w:tcW w:w="262" w:type="pct"/>
            <w:noWrap/>
            <w:hideMark/>
          </w:tcPr>
          <w:p w14:paraId="1AD344C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3601650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E8E5B6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65509F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76BD4F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ED512B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F3AF4C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3CD666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9DDB39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9406B1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759687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C0A450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5107BBB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0B8697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DB1DC5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B5F73C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7E8DE7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2FDDB424"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04C9657F" w14:textId="77777777" w:rsidR="005B25AB" w:rsidRPr="00A6515E" w:rsidRDefault="005B25AB" w:rsidP="003D157D">
            <w:pPr>
              <w:rPr>
                <w:b w:val="0"/>
                <w:bCs w:val="0"/>
                <w:szCs w:val="18"/>
              </w:rPr>
            </w:pPr>
          </w:p>
        </w:tc>
        <w:tc>
          <w:tcPr>
            <w:tcW w:w="269" w:type="pct"/>
            <w:noWrap/>
            <w:hideMark/>
          </w:tcPr>
          <w:p w14:paraId="3D47790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210</w:t>
            </w:r>
          </w:p>
        </w:tc>
        <w:tc>
          <w:tcPr>
            <w:tcW w:w="262" w:type="pct"/>
            <w:noWrap/>
            <w:hideMark/>
          </w:tcPr>
          <w:p w14:paraId="79FBBF3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49E466F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A50046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AC5ACF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C8A9AB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C5E1D6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19B81E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5D2D08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395EC6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99B422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4467D8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F49B0C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79109AB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D0D1EA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B5DA5F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2B5B30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FA1DE6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35E45831"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2F2F2" w:themeFill="background1" w:themeFillShade="F2"/>
            <w:hideMark/>
          </w:tcPr>
          <w:p w14:paraId="67548ED6" w14:textId="77777777" w:rsidR="005B25AB" w:rsidRPr="00A6515E" w:rsidRDefault="005B25AB" w:rsidP="003D157D">
            <w:pPr>
              <w:rPr>
                <w:b w:val="0"/>
                <w:bCs w:val="0"/>
                <w:szCs w:val="18"/>
              </w:rPr>
            </w:pPr>
          </w:p>
        </w:tc>
        <w:tc>
          <w:tcPr>
            <w:tcW w:w="269" w:type="pct"/>
            <w:noWrap/>
            <w:hideMark/>
          </w:tcPr>
          <w:p w14:paraId="31F885B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211</w:t>
            </w:r>
          </w:p>
        </w:tc>
        <w:tc>
          <w:tcPr>
            <w:tcW w:w="262" w:type="pct"/>
            <w:noWrap/>
            <w:hideMark/>
          </w:tcPr>
          <w:p w14:paraId="262E1BB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51E90BD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47866A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A0751A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5D3B7F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644C80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7BAC42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304FA7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10A8F2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D23EEF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69455D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3AE3BE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4E3DC19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239D86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02F2FD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D4A6DA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B5E25F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4F153D6"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hideMark/>
          </w:tcPr>
          <w:p w14:paraId="14181E41" w14:textId="77777777" w:rsidR="005B25AB" w:rsidRPr="00A6515E" w:rsidRDefault="005B25AB" w:rsidP="003D157D">
            <w:pPr>
              <w:rPr>
                <w:b w:val="0"/>
                <w:bCs w:val="0"/>
                <w:szCs w:val="18"/>
              </w:rPr>
            </w:pPr>
          </w:p>
        </w:tc>
        <w:tc>
          <w:tcPr>
            <w:tcW w:w="269" w:type="pct"/>
            <w:noWrap/>
            <w:hideMark/>
          </w:tcPr>
          <w:p w14:paraId="7C4D5DE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212</w:t>
            </w:r>
          </w:p>
        </w:tc>
        <w:tc>
          <w:tcPr>
            <w:tcW w:w="262" w:type="pct"/>
            <w:noWrap/>
            <w:hideMark/>
          </w:tcPr>
          <w:p w14:paraId="3F18734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280A8D0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7D2495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955A1F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053291F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0175EE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BA1263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04361A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405ECB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2578A1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3596B2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86F6B4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2573C65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58D6E0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DC385C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0F0A8D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B8B2AA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1FE1B8B7"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2F2F2" w:themeFill="background1" w:themeFillShade="F2"/>
            <w:hideMark/>
          </w:tcPr>
          <w:p w14:paraId="192A37E6" w14:textId="77777777" w:rsidR="005B25AB" w:rsidRPr="00A6515E" w:rsidRDefault="005B25AB" w:rsidP="003D157D">
            <w:pPr>
              <w:rPr>
                <w:b w:val="0"/>
                <w:bCs w:val="0"/>
                <w:szCs w:val="18"/>
              </w:rPr>
            </w:pPr>
          </w:p>
        </w:tc>
        <w:tc>
          <w:tcPr>
            <w:tcW w:w="269" w:type="pct"/>
            <w:noWrap/>
            <w:hideMark/>
          </w:tcPr>
          <w:p w14:paraId="03AF2F6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213</w:t>
            </w:r>
          </w:p>
        </w:tc>
        <w:tc>
          <w:tcPr>
            <w:tcW w:w="262" w:type="pct"/>
            <w:noWrap/>
            <w:hideMark/>
          </w:tcPr>
          <w:p w14:paraId="72BA226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69C7057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32A634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C2E7C1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E5B897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8B6B2B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3F3E23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E392A0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20CFE5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7854BB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FB72AC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0F04EE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4E1012D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9AFA5F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27F934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341153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2D8527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3A2F04C6" w14:textId="77777777" w:rsidTr="003D157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6" w:type="pct"/>
            <w:vMerge/>
            <w:hideMark/>
          </w:tcPr>
          <w:p w14:paraId="31781182" w14:textId="77777777" w:rsidR="005B25AB" w:rsidRPr="00A6515E" w:rsidRDefault="005B25AB" w:rsidP="003D157D">
            <w:pPr>
              <w:rPr>
                <w:b w:val="0"/>
                <w:bCs w:val="0"/>
                <w:szCs w:val="18"/>
              </w:rPr>
            </w:pPr>
          </w:p>
        </w:tc>
        <w:tc>
          <w:tcPr>
            <w:tcW w:w="269" w:type="pct"/>
            <w:noWrap/>
            <w:hideMark/>
          </w:tcPr>
          <w:p w14:paraId="6644779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214</w:t>
            </w:r>
          </w:p>
        </w:tc>
        <w:tc>
          <w:tcPr>
            <w:tcW w:w="262" w:type="pct"/>
            <w:noWrap/>
            <w:hideMark/>
          </w:tcPr>
          <w:p w14:paraId="6BAC29F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46D2508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D6831A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1446DC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934ADB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4F9C69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D433DC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7A6EA3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9742CC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8E69E3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251831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C1F100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7EB5B97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C9A33C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2C014E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DEEDF0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FEFB63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72DAB6D4"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val="restart"/>
            <w:shd w:val="clear" w:color="auto" w:fill="FFFFFF" w:themeFill="background1"/>
            <w:textDirection w:val="btLr"/>
            <w:hideMark/>
          </w:tcPr>
          <w:p w14:paraId="38D6E5C3" w14:textId="77777777" w:rsidR="005B25AB" w:rsidRPr="00A6515E" w:rsidRDefault="005B25AB" w:rsidP="003D157D">
            <w:pPr>
              <w:rPr>
                <w:b w:val="0"/>
                <w:bCs w:val="0"/>
                <w:szCs w:val="18"/>
              </w:rPr>
            </w:pPr>
            <w:r>
              <w:rPr>
                <w:szCs w:val="18"/>
              </w:rPr>
              <w:t>Specific to composting</w:t>
            </w:r>
          </w:p>
        </w:tc>
        <w:tc>
          <w:tcPr>
            <w:tcW w:w="269" w:type="pct"/>
            <w:noWrap/>
            <w:hideMark/>
          </w:tcPr>
          <w:p w14:paraId="27394EC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215</w:t>
            </w:r>
          </w:p>
        </w:tc>
        <w:tc>
          <w:tcPr>
            <w:tcW w:w="262" w:type="pct"/>
            <w:noWrap/>
            <w:hideMark/>
          </w:tcPr>
          <w:p w14:paraId="5C8FA8B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0E495E5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FB3DC0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20C145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476133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0CD1B1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795654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95BFEF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94FF27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B15785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1B5F1E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C0D038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A4D342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ED5808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FB15B4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22081D6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C5C7AA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4EE1628F"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4BA4D282" w14:textId="77777777" w:rsidR="005B25AB" w:rsidRPr="00A6515E" w:rsidRDefault="005B25AB" w:rsidP="003D157D">
            <w:pPr>
              <w:rPr>
                <w:b w:val="0"/>
                <w:bCs w:val="0"/>
                <w:szCs w:val="18"/>
              </w:rPr>
            </w:pPr>
          </w:p>
        </w:tc>
        <w:tc>
          <w:tcPr>
            <w:tcW w:w="269" w:type="pct"/>
            <w:noWrap/>
            <w:hideMark/>
          </w:tcPr>
          <w:p w14:paraId="0D2CA9D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216</w:t>
            </w:r>
          </w:p>
        </w:tc>
        <w:tc>
          <w:tcPr>
            <w:tcW w:w="262" w:type="pct"/>
            <w:noWrap/>
            <w:hideMark/>
          </w:tcPr>
          <w:p w14:paraId="057D0E3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29978E7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641BC2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2DB27B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C8F564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1ED772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E00BDC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D7E48D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0BE865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8340CF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FE278B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E3E9AB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2C13C5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A34866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C1440F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500CCB4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5E009B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56B61A30"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378EE0D1" w14:textId="77777777" w:rsidR="005B25AB" w:rsidRPr="00A6515E" w:rsidRDefault="005B25AB" w:rsidP="003D157D">
            <w:pPr>
              <w:rPr>
                <w:b w:val="0"/>
                <w:bCs w:val="0"/>
                <w:szCs w:val="18"/>
              </w:rPr>
            </w:pPr>
          </w:p>
        </w:tc>
        <w:tc>
          <w:tcPr>
            <w:tcW w:w="269" w:type="pct"/>
            <w:noWrap/>
            <w:hideMark/>
          </w:tcPr>
          <w:p w14:paraId="7F5375B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217</w:t>
            </w:r>
          </w:p>
        </w:tc>
        <w:tc>
          <w:tcPr>
            <w:tcW w:w="262" w:type="pct"/>
            <w:noWrap/>
            <w:hideMark/>
          </w:tcPr>
          <w:p w14:paraId="3FD895E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72FB61E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0E7FAD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E8DEF6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62532B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C1714C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C84298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538D0D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FB1A56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D23F2B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723C94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2EC638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1B2421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E9EAB0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814CFC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017354F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08F5B8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2086773D"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23177CD4" w14:textId="77777777" w:rsidR="005B25AB" w:rsidRPr="00A6515E" w:rsidRDefault="005B25AB" w:rsidP="003D157D">
            <w:pPr>
              <w:rPr>
                <w:b w:val="0"/>
                <w:bCs w:val="0"/>
                <w:szCs w:val="18"/>
              </w:rPr>
            </w:pPr>
          </w:p>
        </w:tc>
        <w:tc>
          <w:tcPr>
            <w:tcW w:w="269" w:type="pct"/>
            <w:noWrap/>
            <w:hideMark/>
          </w:tcPr>
          <w:p w14:paraId="571C9F3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218</w:t>
            </w:r>
          </w:p>
        </w:tc>
        <w:tc>
          <w:tcPr>
            <w:tcW w:w="262" w:type="pct"/>
            <w:noWrap/>
            <w:hideMark/>
          </w:tcPr>
          <w:p w14:paraId="0015D94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613D44C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6841A7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4F78FF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8599BB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0B797C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E47183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877FAA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DD78CE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144F7D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DE409D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05A025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819059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2F87C5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1C6496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5EFAD8A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85719D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60010DE4"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619932DA" w14:textId="77777777" w:rsidR="005B25AB" w:rsidRPr="00A6515E" w:rsidRDefault="005B25AB" w:rsidP="003D157D">
            <w:pPr>
              <w:rPr>
                <w:b w:val="0"/>
                <w:bCs w:val="0"/>
                <w:szCs w:val="18"/>
              </w:rPr>
            </w:pPr>
          </w:p>
        </w:tc>
        <w:tc>
          <w:tcPr>
            <w:tcW w:w="269" w:type="pct"/>
            <w:noWrap/>
            <w:hideMark/>
          </w:tcPr>
          <w:p w14:paraId="4D40D14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219</w:t>
            </w:r>
          </w:p>
        </w:tc>
        <w:tc>
          <w:tcPr>
            <w:tcW w:w="262" w:type="pct"/>
            <w:noWrap/>
            <w:hideMark/>
          </w:tcPr>
          <w:p w14:paraId="4AA962D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5F41A7F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4D5DB7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B504BA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62740C9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91376B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ABE020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65FAAB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F24295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952845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DABA4A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CD819C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9616D8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9B3175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693AC9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0A50EEF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DECC9A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811C01E"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237ED832" w14:textId="77777777" w:rsidR="005B25AB" w:rsidRPr="00A6515E" w:rsidRDefault="005B25AB" w:rsidP="003D157D">
            <w:pPr>
              <w:rPr>
                <w:b w:val="0"/>
                <w:bCs w:val="0"/>
                <w:szCs w:val="18"/>
              </w:rPr>
            </w:pPr>
          </w:p>
        </w:tc>
        <w:tc>
          <w:tcPr>
            <w:tcW w:w="269" w:type="pct"/>
            <w:noWrap/>
            <w:hideMark/>
          </w:tcPr>
          <w:p w14:paraId="5438AD0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220</w:t>
            </w:r>
          </w:p>
        </w:tc>
        <w:tc>
          <w:tcPr>
            <w:tcW w:w="262" w:type="pct"/>
            <w:noWrap/>
            <w:hideMark/>
          </w:tcPr>
          <w:p w14:paraId="1D52246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734C6FB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666C4E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F9DA54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DDA147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2510A1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9FD699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9C910D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197BE0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562F08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FB27C4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D55A43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989298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E0AA9D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A232EE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72CAD61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A84147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59FE37DE"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0C042328" w14:textId="77777777" w:rsidR="005B25AB" w:rsidRPr="00A6515E" w:rsidRDefault="005B25AB" w:rsidP="003D157D">
            <w:pPr>
              <w:rPr>
                <w:b w:val="0"/>
                <w:bCs w:val="0"/>
                <w:szCs w:val="18"/>
              </w:rPr>
            </w:pPr>
          </w:p>
        </w:tc>
        <w:tc>
          <w:tcPr>
            <w:tcW w:w="269" w:type="pct"/>
            <w:noWrap/>
            <w:hideMark/>
          </w:tcPr>
          <w:p w14:paraId="15C56A5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221</w:t>
            </w:r>
          </w:p>
        </w:tc>
        <w:tc>
          <w:tcPr>
            <w:tcW w:w="262" w:type="pct"/>
            <w:noWrap/>
            <w:hideMark/>
          </w:tcPr>
          <w:p w14:paraId="518E011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4FCBEB7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D157C4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C4DFBF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6C8582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EEB6C3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8A3914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60886F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02F74F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7A73ED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62365E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709ED1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2D8995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A7E80B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21D6AA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2D90CDD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735E77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80459A2"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08B225DB" w14:textId="77777777" w:rsidR="005B25AB" w:rsidRPr="00A6515E" w:rsidRDefault="005B25AB" w:rsidP="003D157D">
            <w:pPr>
              <w:rPr>
                <w:b w:val="0"/>
                <w:bCs w:val="0"/>
                <w:szCs w:val="18"/>
              </w:rPr>
            </w:pPr>
          </w:p>
        </w:tc>
        <w:tc>
          <w:tcPr>
            <w:tcW w:w="269" w:type="pct"/>
            <w:noWrap/>
            <w:hideMark/>
          </w:tcPr>
          <w:p w14:paraId="3562ECB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222</w:t>
            </w:r>
          </w:p>
        </w:tc>
        <w:tc>
          <w:tcPr>
            <w:tcW w:w="262" w:type="pct"/>
            <w:noWrap/>
            <w:hideMark/>
          </w:tcPr>
          <w:p w14:paraId="2F2118F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23C8148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DC738A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ED4794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83DEEF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B044C2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EE9206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08D9CF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3CA648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67F518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D66A02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519B27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5DF18C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AC5621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1507B6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279BB62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BA6C5F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6F9A621B"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09EF86B4" w14:textId="77777777" w:rsidR="005B25AB" w:rsidRPr="00A6515E" w:rsidRDefault="005B25AB" w:rsidP="003D157D">
            <w:pPr>
              <w:rPr>
                <w:b w:val="0"/>
                <w:bCs w:val="0"/>
                <w:szCs w:val="18"/>
              </w:rPr>
            </w:pPr>
          </w:p>
        </w:tc>
        <w:tc>
          <w:tcPr>
            <w:tcW w:w="269" w:type="pct"/>
            <w:noWrap/>
            <w:hideMark/>
          </w:tcPr>
          <w:p w14:paraId="450F5B9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223</w:t>
            </w:r>
          </w:p>
        </w:tc>
        <w:tc>
          <w:tcPr>
            <w:tcW w:w="262" w:type="pct"/>
            <w:noWrap/>
            <w:hideMark/>
          </w:tcPr>
          <w:p w14:paraId="793A870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555AEE1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C6C940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C78198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677237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39919A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37ABC3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69376E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2463FF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C1170E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424226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948D23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9B63B8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F17CF3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F754AF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41C9EBB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A64298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03CBFC3"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10B29109" w14:textId="77777777" w:rsidR="005B25AB" w:rsidRPr="00A6515E" w:rsidRDefault="005B25AB" w:rsidP="003D157D">
            <w:pPr>
              <w:rPr>
                <w:b w:val="0"/>
                <w:bCs w:val="0"/>
                <w:szCs w:val="18"/>
              </w:rPr>
            </w:pPr>
          </w:p>
        </w:tc>
        <w:tc>
          <w:tcPr>
            <w:tcW w:w="269" w:type="pct"/>
            <w:noWrap/>
            <w:hideMark/>
          </w:tcPr>
          <w:p w14:paraId="2D72B70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224</w:t>
            </w:r>
          </w:p>
        </w:tc>
        <w:tc>
          <w:tcPr>
            <w:tcW w:w="262" w:type="pct"/>
            <w:noWrap/>
            <w:hideMark/>
          </w:tcPr>
          <w:p w14:paraId="24E52AB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06A482C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039CD0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47B835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16AC64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845364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240539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8D426E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DE5D56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5385D3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E5D7C9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381BD1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3400E7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B77054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011604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05A7A9E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C2E1DE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194E5E9E"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15958E2F" w14:textId="77777777" w:rsidR="005B25AB" w:rsidRPr="00A6515E" w:rsidRDefault="005B25AB" w:rsidP="003D157D">
            <w:pPr>
              <w:rPr>
                <w:b w:val="0"/>
                <w:bCs w:val="0"/>
                <w:szCs w:val="18"/>
              </w:rPr>
            </w:pPr>
          </w:p>
        </w:tc>
        <w:tc>
          <w:tcPr>
            <w:tcW w:w="269" w:type="pct"/>
            <w:noWrap/>
            <w:hideMark/>
          </w:tcPr>
          <w:p w14:paraId="257C5B9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225</w:t>
            </w:r>
          </w:p>
        </w:tc>
        <w:tc>
          <w:tcPr>
            <w:tcW w:w="262" w:type="pct"/>
            <w:noWrap/>
            <w:hideMark/>
          </w:tcPr>
          <w:p w14:paraId="2ED2AAB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62ECEA4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5E57D6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009257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9F058B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489688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67C1EB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2B44A1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98B6A3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4767E3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0D60E8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EF924F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70D022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918A93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220D0B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6FF4C51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C3ADD7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05F82A7C"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6E90A511" w14:textId="77777777" w:rsidR="005B25AB" w:rsidRPr="00A6515E" w:rsidRDefault="005B25AB" w:rsidP="003D157D">
            <w:pPr>
              <w:rPr>
                <w:b w:val="0"/>
                <w:bCs w:val="0"/>
                <w:szCs w:val="18"/>
              </w:rPr>
            </w:pPr>
          </w:p>
        </w:tc>
        <w:tc>
          <w:tcPr>
            <w:tcW w:w="269" w:type="pct"/>
            <w:noWrap/>
            <w:hideMark/>
          </w:tcPr>
          <w:p w14:paraId="3E197CE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226</w:t>
            </w:r>
          </w:p>
        </w:tc>
        <w:tc>
          <w:tcPr>
            <w:tcW w:w="262" w:type="pct"/>
            <w:noWrap/>
            <w:hideMark/>
          </w:tcPr>
          <w:p w14:paraId="72DA84C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4423FF9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40FFF2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4BCF5E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03189B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77DD8B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1EF17F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C77C09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9233FF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85A811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316067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F032A9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786E75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D6686D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14FDED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7023C34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70856D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3F8FBD3C"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1C828940" w14:textId="77777777" w:rsidR="005B25AB" w:rsidRPr="00A6515E" w:rsidRDefault="005B25AB" w:rsidP="003D157D">
            <w:pPr>
              <w:rPr>
                <w:b w:val="0"/>
                <w:bCs w:val="0"/>
                <w:szCs w:val="18"/>
              </w:rPr>
            </w:pPr>
          </w:p>
        </w:tc>
        <w:tc>
          <w:tcPr>
            <w:tcW w:w="269" w:type="pct"/>
            <w:noWrap/>
            <w:hideMark/>
          </w:tcPr>
          <w:p w14:paraId="56D82A8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227</w:t>
            </w:r>
          </w:p>
        </w:tc>
        <w:tc>
          <w:tcPr>
            <w:tcW w:w="262" w:type="pct"/>
            <w:noWrap/>
            <w:hideMark/>
          </w:tcPr>
          <w:p w14:paraId="3DE535F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1D534CC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FB502D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E3A29A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85CACB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65A68B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56FB02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8C4F40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6D264B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06DC45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E117ED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03AE98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F1D8C2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B9773A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C3D166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2E91387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4313A2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16BDE21F"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085B77F3" w14:textId="77777777" w:rsidR="005B25AB" w:rsidRPr="00A6515E" w:rsidRDefault="005B25AB" w:rsidP="003D157D">
            <w:pPr>
              <w:rPr>
                <w:b w:val="0"/>
                <w:bCs w:val="0"/>
                <w:szCs w:val="18"/>
              </w:rPr>
            </w:pPr>
          </w:p>
        </w:tc>
        <w:tc>
          <w:tcPr>
            <w:tcW w:w="269" w:type="pct"/>
            <w:noWrap/>
            <w:hideMark/>
          </w:tcPr>
          <w:p w14:paraId="38154DE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228</w:t>
            </w:r>
          </w:p>
        </w:tc>
        <w:tc>
          <w:tcPr>
            <w:tcW w:w="262" w:type="pct"/>
            <w:noWrap/>
            <w:hideMark/>
          </w:tcPr>
          <w:p w14:paraId="2459E88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283ABF4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0C851F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FFD6EC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88EF66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F8F6C7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C3FE62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A6DE58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50B20B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6F300E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3771B8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B68C47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D45033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B97FDA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0EA2EB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030E9D2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2B00BB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06C16E08"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0D986EB2" w14:textId="77777777" w:rsidR="005B25AB" w:rsidRPr="00A6515E" w:rsidRDefault="005B25AB" w:rsidP="003D157D">
            <w:pPr>
              <w:rPr>
                <w:b w:val="0"/>
                <w:bCs w:val="0"/>
                <w:szCs w:val="18"/>
              </w:rPr>
            </w:pPr>
          </w:p>
        </w:tc>
        <w:tc>
          <w:tcPr>
            <w:tcW w:w="269" w:type="pct"/>
            <w:noWrap/>
            <w:hideMark/>
          </w:tcPr>
          <w:p w14:paraId="2BDB555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229</w:t>
            </w:r>
          </w:p>
        </w:tc>
        <w:tc>
          <w:tcPr>
            <w:tcW w:w="262" w:type="pct"/>
            <w:noWrap/>
            <w:hideMark/>
          </w:tcPr>
          <w:p w14:paraId="1864D62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6F79365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826981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BA4DD1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EC3243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F51D9F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2233C6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CD148A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3DD3DE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99DB8B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2C320F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2D556B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D6C650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26B858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1EE14F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65A6EC7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FC9AB6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BF28E7F"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45A6D3B1" w14:textId="77777777" w:rsidR="005B25AB" w:rsidRPr="00A6515E" w:rsidRDefault="005B25AB" w:rsidP="003D157D">
            <w:pPr>
              <w:rPr>
                <w:b w:val="0"/>
                <w:bCs w:val="0"/>
                <w:szCs w:val="18"/>
              </w:rPr>
            </w:pPr>
          </w:p>
        </w:tc>
        <w:tc>
          <w:tcPr>
            <w:tcW w:w="269" w:type="pct"/>
            <w:noWrap/>
            <w:hideMark/>
          </w:tcPr>
          <w:p w14:paraId="2C13FC4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230</w:t>
            </w:r>
          </w:p>
        </w:tc>
        <w:tc>
          <w:tcPr>
            <w:tcW w:w="262" w:type="pct"/>
            <w:noWrap/>
            <w:hideMark/>
          </w:tcPr>
          <w:p w14:paraId="15C1F48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4CCDC1F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C9811E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0F3A29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5DB11BE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E88245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7E7ED8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78F797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633404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735447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190B2C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727F19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26CBBA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06892B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6D08F0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6A0B101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57671A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0782FCA8"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535189E2" w14:textId="77777777" w:rsidR="005B25AB" w:rsidRPr="00A6515E" w:rsidRDefault="005B25AB" w:rsidP="003D157D">
            <w:pPr>
              <w:rPr>
                <w:b w:val="0"/>
                <w:bCs w:val="0"/>
                <w:szCs w:val="18"/>
              </w:rPr>
            </w:pPr>
          </w:p>
        </w:tc>
        <w:tc>
          <w:tcPr>
            <w:tcW w:w="269" w:type="pct"/>
            <w:noWrap/>
            <w:hideMark/>
          </w:tcPr>
          <w:p w14:paraId="7A2384B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231</w:t>
            </w:r>
          </w:p>
        </w:tc>
        <w:tc>
          <w:tcPr>
            <w:tcW w:w="262" w:type="pct"/>
            <w:noWrap/>
            <w:hideMark/>
          </w:tcPr>
          <w:p w14:paraId="3FA7EDC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285997E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024492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5B16989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0CE96AC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1B2CA9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31291F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A778B6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72C997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507F49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D3E616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D2C6B0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C1238D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21A84E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E68E61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094FA9D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034754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2314AE5C"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47237BCB" w14:textId="77777777" w:rsidR="005B25AB" w:rsidRPr="00A6515E" w:rsidRDefault="005B25AB" w:rsidP="003D157D">
            <w:pPr>
              <w:rPr>
                <w:b w:val="0"/>
                <w:bCs w:val="0"/>
                <w:szCs w:val="18"/>
              </w:rPr>
            </w:pPr>
          </w:p>
        </w:tc>
        <w:tc>
          <w:tcPr>
            <w:tcW w:w="269" w:type="pct"/>
            <w:noWrap/>
            <w:hideMark/>
          </w:tcPr>
          <w:p w14:paraId="3750EE8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232</w:t>
            </w:r>
          </w:p>
        </w:tc>
        <w:tc>
          <w:tcPr>
            <w:tcW w:w="262" w:type="pct"/>
            <w:noWrap/>
            <w:hideMark/>
          </w:tcPr>
          <w:p w14:paraId="36DB1AA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0E99D38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E53D21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30B0324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285607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1D1FE6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018D0F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314712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245367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4482D0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0FF471A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FB92DA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E18F73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ED0145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FA99CC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48F0879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E8D702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2EC2C08E"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6B71D49D" w14:textId="77777777" w:rsidR="005B25AB" w:rsidRPr="00A6515E" w:rsidRDefault="005B25AB" w:rsidP="003D157D">
            <w:pPr>
              <w:rPr>
                <w:b w:val="0"/>
                <w:bCs w:val="0"/>
                <w:szCs w:val="18"/>
              </w:rPr>
            </w:pPr>
          </w:p>
        </w:tc>
        <w:tc>
          <w:tcPr>
            <w:tcW w:w="269" w:type="pct"/>
            <w:noWrap/>
            <w:hideMark/>
          </w:tcPr>
          <w:p w14:paraId="08F6790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233</w:t>
            </w:r>
          </w:p>
        </w:tc>
        <w:tc>
          <w:tcPr>
            <w:tcW w:w="262" w:type="pct"/>
            <w:noWrap/>
            <w:hideMark/>
          </w:tcPr>
          <w:p w14:paraId="728DF44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4AE0655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D9C7AA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71AD79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7BCCF9F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19F6C1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C01F6D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26732B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C11FDB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93EF76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FA6CEF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D5DABD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D9580F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B80558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55DC37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392027C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1A414E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A4F1058"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0061CAE0" w14:textId="77777777" w:rsidR="005B25AB" w:rsidRPr="00A6515E" w:rsidRDefault="005B25AB" w:rsidP="003D157D">
            <w:pPr>
              <w:rPr>
                <w:b w:val="0"/>
                <w:bCs w:val="0"/>
                <w:szCs w:val="18"/>
              </w:rPr>
            </w:pPr>
          </w:p>
        </w:tc>
        <w:tc>
          <w:tcPr>
            <w:tcW w:w="269" w:type="pct"/>
            <w:noWrap/>
            <w:hideMark/>
          </w:tcPr>
          <w:p w14:paraId="42B0AB3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234</w:t>
            </w:r>
          </w:p>
        </w:tc>
        <w:tc>
          <w:tcPr>
            <w:tcW w:w="262" w:type="pct"/>
            <w:noWrap/>
            <w:hideMark/>
          </w:tcPr>
          <w:p w14:paraId="0EA4835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58508C1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51AE0C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132E731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7801D45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93B835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B2A7EF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2854B16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4268BC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5CCC5C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BCB57F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2FBDE8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393C0E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65CF13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169E3F1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4FE64D9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513B483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3825327C"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7632E50B" w14:textId="77777777" w:rsidR="005B25AB" w:rsidRPr="00A6515E" w:rsidRDefault="005B25AB" w:rsidP="003D157D">
            <w:pPr>
              <w:rPr>
                <w:b w:val="0"/>
                <w:bCs w:val="0"/>
                <w:szCs w:val="18"/>
              </w:rPr>
            </w:pPr>
          </w:p>
        </w:tc>
        <w:tc>
          <w:tcPr>
            <w:tcW w:w="269" w:type="pct"/>
            <w:noWrap/>
            <w:hideMark/>
          </w:tcPr>
          <w:p w14:paraId="1989D87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235</w:t>
            </w:r>
          </w:p>
        </w:tc>
        <w:tc>
          <w:tcPr>
            <w:tcW w:w="262" w:type="pct"/>
            <w:noWrap/>
            <w:hideMark/>
          </w:tcPr>
          <w:p w14:paraId="58426F0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07A9331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1189B0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2800D19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427614A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7024A5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DEB496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66B745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635B26D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AEDDBE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5219DF9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45A2B5C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E24C06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2F5135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EF3E31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6D5BFE8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7D40C07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45B56C62"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060E8602" w14:textId="77777777" w:rsidR="005B25AB" w:rsidRPr="00A6515E" w:rsidRDefault="005B25AB" w:rsidP="003D157D">
            <w:pPr>
              <w:rPr>
                <w:b w:val="0"/>
                <w:bCs w:val="0"/>
                <w:szCs w:val="18"/>
              </w:rPr>
            </w:pPr>
          </w:p>
        </w:tc>
        <w:tc>
          <w:tcPr>
            <w:tcW w:w="269" w:type="pct"/>
            <w:noWrap/>
            <w:hideMark/>
          </w:tcPr>
          <w:p w14:paraId="7637AEB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236</w:t>
            </w:r>
          </w:p>
        </w:tc>
        <w:tc>
          <w:tcPr>
            <w:tcW w:w="262" w:type="pct"/>
            <w:noWrap/>
            <w:hideMark/>
          </w:tcPr>
          <w:p w14:paraId="5136F1A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264" w:type="pct"/>
            <w:noWrap/>
            <w:hideMark/>
          </w:tcPr>
          <w:p w14:paraId="43E19D0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15153E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680CC09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3" w:type="pct"/>
            <w:noWrap/>
            <w:hideMark/>
          </w:tcPr>
          <w:p w14:paraId="4C468FB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A0363C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F17810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3BE3BD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40B886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797C4ED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0EACC9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3AB8191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3A69B4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9A1026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60E55DE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264" w:type="pct"/>
            <w:noWrap/>
            <w:hideMark/>
          </w:tcPr>
          <w:p w14:paraId="5A4FCA1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264" w:type="pct"/>
            <w:noWrap/>
            <w:hideMark/>
          </w:tcPr>
          <w:p w14:paraId="4207F10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77529C83" w14:textId="77777777" w:rsidTr="003D157D">
        <w:trPr>
          <w:trHeight w:val="300"/>
        </w:trPr>
        <w:tc>
          <w:tcPr>
            <w:cnfStyle w:val="001000000000" w:firstRow="0" w:lastRow="0" w:firstColumn="1" w:lastColumn="0" w:oddVBand="0" w:evenVBand="0" w:oddHBand="0" w:evenHBand="0" w:firstRowFirstColumn="0" w:firstRowLastColumn="0" w:lastRowFirstColumn="0" w:lastRowLastColumn="0"/>
            <w:tcW w:w="246" w:type="pct"/>
            <w:vMerge/>
            <w:shd w:val="clear" w:color="auto" w:fill="FFFFFF" w:themeFill="background1"/>
            <w:hideMark/>
          </w:tcPr>
          <w:p w14:paraId="5C0BCE35" w14:textId="77777777" w:rsidR="005B25AB" w:rsidRPr="00A6515E" w:rsidRDefault="005B25AB" w:rsidP="003D157D">
            <w:pPr>
              <w:rPr>
                <w:b w:val="0"/>
                <w:bCs w:val="0"/>
                <w:szCs w:val="18"/>
              </w:rPr>
            </w:pPr>
          </w:p>
        </w:tc>
        <w:tc>
          <w:tcPr>
            <w:tcW w:w="269" w:type="pct"/>
            <w:noWrap/>
            <w:hideMark/>
          </w:tcPr>
          <w:p w14:paraId="4BF2A29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237</w:t>
            </w:r>
          </w:p>
        </w:tc>
        <w:tc>
          <w:tcPr>
            <w:tcW w:w="262" w:type="pct"/>
            <w:noWrap/>
            <w:hideMark/>
          </w:tcPr>
          <w:p w14:paraId="365464C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264" w:type="pct"/>
            <w:noWrap/>
            <w:hideMark/>
          </w:tcPr>
          <w:p w14:paraId="5EAC068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883652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33CB4EA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3" w:type="pct"/>
            <w:noWrap/>
            <w:hideMark/>
          </w:tcPr>
          <w:p w14:paraId="1995F25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87F46A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5C74ED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A28487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67136E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05419C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56EBE2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482324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31D0235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18E88E0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2C9CAE8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264" w:type="pct"/>
            <w:noWrap/>
            <w:hideMark/>
          </w:tcPr>
          <w:p w14:paraId="11E1508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264" w:type="pct"/>
            <w:noWrap/>
            <w:hideMark/>
          </w:tcPr>
          <w:p w14:paraId="0BDB4E2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bl>
    <w:p w14:paraId="374B4613" w14:textId="77777777" w:rsidR="005B25AB" w:rsidRDefault="005B25AB" w:rsidP="005B25AB"/>
    <w:p w14:paraId="5DCC23BD" w14:textId="77777777" w:rsidR="005B25AB" w:rsidRDefault="005B25AB" w:rsidP="005B25AB">
      <w:r>
        <w:br w:type="page"/>
      </w:r>
    </w:p>
    <w:tbl>
      <w:tblPr>
        <w:tblStyle w:val="Tableausimple4"/>
        <w:tblW w:w="0" w:type="auto"/>
        <w:tblLook w:val="04A0" w:firstRow="1" w:lastRow="0" w:firstColumn="1" w:lastColumn="0" w:noHBand="0" w:noVBand="1"/>
      </w:tblPr>
      <w:tblGrid>
        <w:gridCol w:w="474"/>
        <w:gridCol w:w="490"/>
        <w:gridCol w:w="476"/>
        <w:gridCol w:w="477"/>
        <w:gridCol w:w="477"/>
        <w:gridCol w:w="477"/>
        <w:gridCol w:w="477"/>
        <w:gridCol w:w="477"/>
        <w:gridCol w:w="477"/>
        <w:gridCol w:w="477"/>
        <w:gridCol w:w="477"/>
        <w:gridCol w:w="477"/>
        <w:gridCol w:w="477"/>
        <w:gridCol w:w="477"/>
        <w:gridCol w:w="477"/>
        <w:gridCol w:w="477"/>
        <w:gridCol w:w="477"/>
        <w:gridCol w:w="477"/>
        <w:gridCol w:w="477"/>
      </w:tblGrid>
      <w:tr w:rsidR="005B25AB" w:rsidRPr="00A6515E" w14:paraId="379DE140" w14:textId="77777777" w:rsidTr="003D157D">
        <w:trPr>
          <w:cnfStyle w:val="100000000000" w:firstRow="1" w:lastRow="0" w:firstColumn="0" w:lastColumn="0" w:oddVBand="0" w:evenVBand="0" w:oddHBand="0" w:evenHBand="0" w:firstRowFirstColumn="0" w:firstRowLastColumn="0" w:lastRowFirstColumn="0" w:lastRowLastColumn="0"/>
          <w:trHeight w:val="824"/>
        </w:trPr>
        <w:tc>
          <w:tcPr>
            <w:cnfStyle w:val="001000000000" w:firstRow="0" w:lastRow="0" w:firstColumn="1" w:lastColumn="0" w:oddVBand="0" w:evenVBand="0" w:oddHBand="0" w:evenHBand="0" w:firstRowFirstColumn="0" w:firstRowLastColumn="0" w:lastRowFirstColumn="0" w:lastRowLastColumn="0"/>
            <w:tcW w:w="474" w:type="dxa"/>
            <w:noWrap/>
            <w:textDirection w:val="btLr"/>
          </w:tcPr>
          <w:p w14:paraId="7B83E585" w14:textId="77777777" w:rsidR="005B25AB" w:rsidRDefault="005B25AB" w:rsidP="003D157D">
            <w:pPr>
              <w:rPr>
                <w:szCs w:val="18"/>
              </w:rPr>
            </w:pPr>
          </w:p>
        </w:tc>
        <w:tc>
          <w:tcPr>
            <w:tcW w:w="474" w:type="dxa"/>
            <w:noWrap/>
          </w:tcPr>
          <w:p w14:paraId="0E0913AF"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bCs w:val="0"/>
                <w:szCs w:val="18"/>
              </w:rPr>
            </w:pPr>
            <w:r w:rsidRPr="00A6515E">
              <w:rPr>
                <w:szCs w:val="18"/>
              </w:rPr>
              <w:t>n°</w:t>
            </w:r>
          </w:p>
        </w:tc>
        <w:tc>
          <w:tcPr>
            <w:tcW w:w="476" w:type="dxa"/>
            <w:noWrap/>
            <w:textDirection w:val="btLr"/>
          </w:tcPr>
          <w:p w14:paraId="0D44D780"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bCs w:val="0"/>
                <w:szCs w:val="18"/>
              </w:rPr>
            </w:pPr>
            <w:r w:rsidRPr="00A6515E">
              <w:rPr>
                <w:szCs w:val="18"/>
              </w:rPr>
              <w:t>CF</w:t>
            </w:r>
          </w:p>
        </w:tc>
        <w:tc>
          <w:tcPr>
            <w:tcW w:w="478" w:type="dxa"/>
            <w:noWrap/>
            <w:textDirection w:val="btLr"/>
          </w:tcPr>
          <w:p w14:paraId="250C0273"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GB_AD</w:t>
            </w:r>
          </w:p>
        </w:tc>
        <w:tc>
          <w:tcPr>
            <w:tcW w:w="478" w:type="dxa"/>
            <w:noWrap/>
            <w:textDirection w:val="btLr"/>
          </w:tcPr>
          <w:p w14:paraId="58C6AB0D"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GB_rough</w:t>
            </w:r>
          </w:p>
        </w:tc>
        <w:tc>
          <w:tcPr>
            <w:tcW w:w="478" w:type="dxa"/>
            <w:noWrap/>
            <w:textDirection w:val="btLr"/>
          </w:tcPr>
          <w:p w14:paraId="589CF12E"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GB_myco</w:t>
            </w:r>
          </w:p>
        </w:tc>
        <w:tc>
          <w:tcPr>
            <w:tcW w:w="478" w:type="dxa"/>
            <w:noWrap/>
            <w:textDirection w:val="btLr"/>
          </w:tcPr>
          <w:p w14:paraId="17DD5B4A"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BSF</w:t>
            </w:r>
          </w:p>
        </w:tc>
        <w:tc>
          <w:tcPr>
            <w:tcW w:w="478" w:type="dxa"/>
            <w:noWrap/>
            <w:textDirection w:val="btLr"/>
          </w:tcPr>
          <w:p w14:paraId="2203D6BD"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SSF</w:t>
            </w:r>
          </w:p>
        </w:tc>
        <w:tc>
          <w:tcPr>
            <w:tcW w:w="478" w:type="dxa"/>
            <w:noWrap/>
            <w:textDirection w:val="btLr"/>
          </w:tcPr>
          <w:p w14:paraId="0851D4A0"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MYCO</w:t>
            </w:r>
          </w:p>
        </w:tc>
        <w:tc>
          <w:tcPr>
            <w:tcW w:w="478" w:type="dxa"/>
            <w:noWrap/>
            <w:textDirection w:val="btLr"/>
          </w:tcPr>
          <w:p w14:paraId="4656A7EF"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MP_AD</w:t>
            </w:r>
          </w:p>
        </w:tc>
        <w:tc>
          <w:tcPr>
            <w:tcW w:w="478" w:type="dxa"/>
            <w:noWrap/>
            <w:textDirection w:val="btLr"/>
          </w:tcPr>
          <w:p w14:paraId="0575634E"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MP_GA</w:t>
            </w:r>
          </w:p>
        </w:tc>
        <w:tc>
          <w:tcPr>
            <w:tcW w:w="478" w:type="dxa"/>
            <w:noWrap/>
            <w:textDirection w:val="btLr"/>
          </w:tcPr>
          <w:p w14:paraId="036F54E5"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AD</w:t>
            </w:r>
          </w:p>
        </w:tc>
        <w:tc>
          <w:tcPr>
            <w:tcW w:w="478" w:type="dxa"/>
            <w:noWrap/>
            <w:textDirection w:val="btLr"/>
          </w:tcPr>
          <w:p w14:paraId="61189973"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GA</w:t>
            </w:r>
          </w:p>
        </w:tc>
        <w:tc>
          <w:tcPr>
            <w:tcW w:w="478" w:type="dxa"/>
            <w:noWrap/>
            <w:textDirection w:val="btLr"/>
          </w:tcPr>
          <w:p w14:paraId="07C3BCD4"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DIR_CHP</w:t>
            </w:r>
          </w:p>
        </w:tc>
        <w:tc>
          <w:tcPr>
            <w:tcW w:w="478" w:type="dxa"/>
            <w:noWrap/>
            <w:textDirection w:val="btLr"/>
          </w:tcPr>
          <w:p w14:paraId="7B2FC1A4"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Heat</w:t>
            </w:r>
          </w:p>
        </w:tc>
        <w:tc>
          <w:tcPr>
            <w:tcW w:w="478" w:type="dxa"/>
            <w:noWrap/>
            <w:textDirection w:val="btLr"/>
          </w:tcPr>
          <w:p w14:paraId="7224AC5B"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Burn</w:t>
            </w:r>
          </w:p>
        </w:tc>
        <w:tc>
          <w:tcPr>
            <w:tcW w:w="478" w:type="dxa"/>
            <w:noWrap/>
            <w:textDirection w:val="btLr"/>
          </w:tcPr>
          <w:p w14:paraId="03F521F6"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Compost</w:t>
            </w:r>
          </w:p>
        </w:tc>
        <w:tc>
          <w:tcPr>
            <w:tcW w:w="478" w:type="dxa"/>
            <w:noWrap/>
            <w:textDirection w:val="btLr"/>
          </w:tcPr>
          <w:p w14:paraId="6E249A6E"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Spread</w:t>
            </w:r>
          </w:p>
        </w:tc>
        <w:tc>
          <w:tcPr>
            <w:tcW w:w="478" w:type="dxa"/>
            <w:noWrap/>
            <w:textDirection w:val="btLr"/>
          </w:tcPr>
          <w:p w14:paraId="0D45536B"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Decay</w:t>
            </w:r>
          </w:p>
        </w:tc>
      </w:tr>
      <w:tr w:rsidR="005B25AB" w:rsidRPr="00A6515E" w14:paraId="44D4E43B"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val="restart"/>
            <w:noWrap/>
            <w:textDirection w:val="btLr"/>
            <w:hideMark/>
          </w:tcPr>
          <w:p w14:paraId="3ED722A0" w14:textId="77777777" w:rsidR="005B25AB" w:rsidRPr="00A6515E" w:rsidRDefault="005B25AB" w:rsidP="003D157D">
            <w:pPr>
              <w:rPr>
                <w:b w:val="0"/>
                <w:bCs w:val="0"/>
                <w:szCs w:val="18"/>
              </w:rPr>
            </w:pPr>
            <w:r>
              <w:rPr>
                <w:szCs w:val="18"/>
              </w:rPr>
              <w:t>Specific to decay on land</w:t>
            </w:r>
          </w:p>
        </w:tc>
        <w:tc>
          <w:tcPr>
            <w:tcW w:w="474" w:type="dxa"/>
            <w:noWrap/>
            <w:hideMark/>
          </w:tcPr>
          <w:p w14:paraId="5E582DD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238</w:t>
            </w:r>
          </w:p>
        </w:tc>
        <w:tc>
          <w:tcPr>
            <w:tcW w:w="476" w:type="dxa"/>
            <w:noWrap/>
            <w:hideMark/>
          </w:tcPr>
          <w:p w14:paraId="77E26EA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44BC2B0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1CB791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5F1677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91BCAC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A3E1C4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BCF217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444888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435C3B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DA2DB5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BC55C7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D7A16F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FD0606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80FBC6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7EBC1CB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1A6ECD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BD8522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r>
      <w:tr w:rsidR="005B25AB" w:rsidRPr="00A6515E" w14:paraId="121D0514"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36449682" w14:textId="77777777" w:rsidR="005B25AB" w:rsidRPr="00A6515E" w:rsidRDefault="005B25AB" w:rsidP="003D157D">
            <w:pPr>
              <w:rPr>
                <w:b w:val="0"/>
                <w:bCs w:val="0"/>
                <w:szCs w:val="18"/>
              </w:rPr>
            </w:pPr>
          </w:p>
        </w:tc>
        <w:tc>
          <w:tcPr>
            <w:tcW w:w="474" w:type="dxa"/>
            <w:noWrap/>
            <w:hideMark/>
          </w:tcPr>
          <w:p w14:paraId="004EC25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239</w:t>
            </w:r>
          </w:p>
        </w:tc>
        <w:tc>
          <w:tcPr>
            <w:tcW w:w="476" w:type="dxa"/>
            <w:noWrap/>
            <w:hideMark/>
          </w:tcPr>
          <w:p w14:paraId="688301A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04E4949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025D41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646C27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39EFA9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501396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B03A1F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5689AF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90E4F6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508C91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D16F9F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580D37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A3C9E5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2937F5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F882F1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683C8C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8B9FC9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r>
      <w:tr w:rsidR="005B25AB" w:rsidRPr="00A6515E" w14:paraId="411F4860"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7E58956C" w14:textId="77777777" w:rsidR="005B25AB" w:rsidRPr="00A6515E" w:rsidRDefault="005B25AB" w:rsidP="003D157D">
            <w:pPr>
              <w:rPr>
                <w:b w:val="0"/>
                <w:bCs w:val="0"/>
                <w:szCs w:val="18"/>
              </w:rPr>
            </w:pPr>
          </w:p>
        </w:tc>
        <w:tc>
          <w:tcPr>
            <w:tcW w:w="474" w:type="dxa"/>
            <w:noWrap/>
            <w:hideMark/>
          </w:tcPr>
          <w:p w14:paraId="2769432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240</w:t>
            </w:r>
          </w:p>
        </w:tc>
        <w:tc>
          <w:tcPr>
            <w:tcW w:w="476" w:type="dxa"/>
            <w:noWrap/>
            <w:hideMark/>
          </w:tcPr>
          <w:p w14:paraId="0C42E16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7CCDEDE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32CADA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40FC24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B9DF8D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6610E8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478100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D0B264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FC8F7F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BDDAE1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26BE59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053D83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B9A108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07878B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8BABE8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F2BD23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2F2BDF3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r>
      <w:tr w:rsidR="005B25AB" w:rsidRPr="00A6515E" w14:paraId="09514579"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68286D54" w14:textId="77777777" w:rsidR="005B25AB" w:rsidRPr="00A6515E" w:rsidRDefault="005B25AB" w:rsidP="003D157D">
            <w:pPr>
              <w:rPr>
                <w:b w:val="0"/>
                <w:bCs w:val="0"/>
                <w:szCs w:val="18"/>
              </w:rPr>
            </w:pPr>
          </w:p>
        </w:tc>
        <w:tc>
          <w:tcPr>
            <w:tcW w:w="474" w:type="dxa"/>
            <w:noWrap/>
            <w:hideMark/>
          </w:tcPr>
          <w:p w14:paraId="71F7234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241</w:t>
            </w:r>
          </w:p>
        </w:tc>
        <w:tc>
          <w:tcPr>
            <w:tcW w:w="476" w:type="dxa"/>
            <w:noWrap/>
            <w:hideMark/>
          </w:tcPr>
          <w:p w14:paraId="31114CF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7FC3327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E74E88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609A4D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B049FB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B6F4B3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7A5C89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E0C03A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DF4A7C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DD5918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53BC04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04C497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9AB6D1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084E5C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5707FC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7E3BA4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66D473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r>
      <w:tr w:rsidR="005B25AB" w:rsidRPr="00A6515E" w14:paraId="16440E82"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0DE2F38C" w14:textId="77777777" w:rsidR="005B25AB" w:rsidRPr="00A6515E" w:rsidRDefault="005B25AB" w:rsidP="003D157D">
            <w:pPr>
              <w:rPr>
                <w:b w:val="0"/>
                <w:bCs w:val="0"/>
                <w:szCs w:val="18"/>
              </w:rPr>
            </w:pPr>
          </w:p>
        </w:tc>
        <w:tc>
          <w:tcPr>
            <w:tcW w:w="474" w:type="dxa"/>
            <w:noWrap/>
            <w:hideMark/>
          </w:tcPr>
          <w:p w14:paraId="56A60B5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242</w:t>
            </w:r>
          </w:p>
        </w:tc>
        <w:tc>
          <w:tcPr>
            <w:tcW w:w="476" w:type="dxa"/>
            <w:noWrap/>
            <w:hideMark/>
          </w:tcPr>
          <w:p w14:paraId="3B0ECFE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424A474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69C51E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5FE8A6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110141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0E08B0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1436ED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300881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671037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89DC4E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7982E0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42BC24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DC7F22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AA0D6D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75FFEA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8B93E1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0590922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r>
      <w:tr w:rsidR="005B25AB" w:rsidRPr="00A6515E" w14:paraId="1F6B63C6"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4BED3C03" w14:textId="77777777" w:rsidR="005B25AB" w:rsidRPr="00A6515E" w:rsidRDefault="005B25AB" w:rsidP="003D157D">
            <w:pPr>
              <w:rPr>
                <w:b w:val="0"/>
                <w:bCs w:val="0"/>
                <w:szCs w:val="18"/>
              </w:rPr>
            </w:pPr>
          </w:p>
        </w:tc>
        <w:tc>
          <w:tcPr>
            <w:tcW w:w="474" w:type="dxa"/>
            <w:noWrap/>
            <w:hideMark/>
          </w:tcPr>
          <w:p w14:paraId="67240E1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243</w:t>
            </w:r>
          </w:p>
        </w:tc>
        <w:tc>
          <w:tcPr>
            <w:tcW w:w="476" w:type="dxa"/>
            <w:noWrap/>
            <w:hideMark/>
          </w:tcPr>
          <w:p w14:paraId="6D3C66E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4143DB9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34C3AD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E7A6E7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9EDEBE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780012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4B998F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F2D834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013502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FF6DBE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C602BB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07A587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0A165A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AC6E63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B7A596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FC43EF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06AFC02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r>
      <w:tr w:rsidR="005B25AB" w:rsidRPr="00A6515E" w14:paraId="23A3CAC7"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75DF60F8" w14:textId="77777777" w:rsidR="005B25AB" w:rsidRPr="00A6515E" w:rsidRDefault="005B25AB" w:rsidP="003D157D">
            <w:pPr>
              <w:rPr>
                <w:b w:val="0"/>
                <w:bCs w:val="0"/>
                <w:szCs w:val="18"/>
              </w:rPr>
            </w:pPr>
          </w:p>
        </w:tc>
        <w:tc>
          <w:tcPr>
            <w:tcW w:w="474" w:type="dxa"/>
            <w:noWrap/>
            <w:hideMark/>
          </w:tcPr>
          <w:p w14:paraId="1597F33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244</w:t>
            </w:r>
          </w:p>
        </w:tc>
        <w:tc>
          <w:tcPr>
            <w:tcW w:w="476" w:type="dxa"/>
            <w:noWrap/>
            <w:hideMark/>
          </w:tcPr>
          <w:p w14:paraId="015A7F3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07CE381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D4ABA8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6E288C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BA6E1B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C2D5B3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311449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880449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BD5485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0456E3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2A17BA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810DF4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A527E7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9C9C94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D3C3DB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B177FA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0F895C3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r>
      <w:tr w:rsidR="005B25AB" w:rsidRPr="00A6515E" w14:paraId="092594BF"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5DA7067D" w14:textId="77777777" w:rsidR="005B25AB" w:rsidRPr="00A6515E" w:rsidRDefault="005B25AB" w:rsidP="003D157D">
            <w:pPr>
              <w:rPr>
                <w:b w:val="0"/>
                <w:bCs w:val="0"/>
                <w:szCs w:val="18"/>
              </w:rPr>
            </w:pPr>
          </w:p>
        </w:tc>
        <w:tc>
          <w:tcPr>
            <w:tcW w:w="474" w:type="dxa"/>
            <w:noWrap/>
            <w:hideMark/>
          </w:tcPr>
          <w:p w14:paraId="6BB0CD3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245</w:t>
            </w:r>
          </w:p>
        </w:tc>
        <w:tc>
          <w:tcPr>
            <w:tcW w:w="476" w:type="dxa"/>
            <w:noWrap/>
            <w:hideMark/>
          </w:tcPr>
          <w:p w14:paraId="78BD8EB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1B191DA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D9396C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20BA3C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39733E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AAF159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9DCE2B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9F1F5D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271533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092F0A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025FD1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C6A784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B95F6D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32C74C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B88866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F98F94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AA00D2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r>
      <w:tr w:rsidR="005B25AB" w:rsidRPr="00A6515E" w14:paraId="1428FF30"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01C8155E" w14:textId="77777777" w:rsidR="005B25AB" w:rsidRPr="00A6515E" w:rsidRDefault="005B25AB" w:rsidP="003D157D">
            <w:pPr>
              <w:rPr>
                <w:b w:val="0"/>
                <w:bCs w:val="0"/>
                <w:szCs w:val="18"/>
              </w:rPr>
            </w:pPr>
          </w:p>
        </w:tc>
        <w:tc>
          <w:tcPr>
            <w:tcW w:w="474" w:type="dxa"/>
            <w:noWrap/>
            <w:hideMark/>
          </w:tcPr>
          <w:p w14:paraId="73E8708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246</w:t>
            </w:r>
          </w:p>
        </w:tc>
        <w:tc>
          <w:tcPr>
            <w:tcW w:w="476" w:type="dxa"/>
            <w:noWrap/>
            <w:hideMark/>
          </w:tcPr>
          <w:p w14:paraId="3732639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232328D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6E3890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20D2DE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EA6FEF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791045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160E5B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D5A2C7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769DDC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36CFD6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742D69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A2EA40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A57D6E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6DCD38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0ACD4C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16C19E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3B2BA36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5CCA42F0"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03D29A93" w14:textId="77777777" w:rsidR="005B25AB" w:rsidRPr="00A6515E" w:rsidRDefault="005B25AB" w:rsidP="003D157D">
            <w:pPr>
              <w:rPr>
                <w:b w:val="0"/>
                <w:bCs w:val="0"/>
                <w:szCs w:val="18"/>
              </w:rPr>
            </w:pPr>
          </w:p>
        </w:tc>
        <w:tc>
          <w:tcPr>
            <w:tcW w:w="474" w:type="dxa"/>
            <w:noWrap/>
            <w:hideMark/>
          </w:tcPr>
          <w:p w14:paraId="4180AD7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247</w:t>
            </w:r>
          </w:p>
        </w:tc>
        <w:tc>
          <w:tcPr>
            <w:tcW w:w="476" w:type="dxa"/>
            <w:noWrap/>
            <w:hideMark/>
          </w:tcPr>
          <w:p w14:paraId="008C046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1690B5A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895E59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996BFD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74A90B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29FA99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23A7E5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90CCF8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B83442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5DAE75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9E98D2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FDA0DB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B4D879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858733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448F57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DFD08E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0F4B74B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5E6DE839"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5676C794" w14:textId="77777777" w:rsidR="005B25AB" w:rsidRPr="00A6515E" w:rsidRDefault="005B25AB" w:rsidP="003D157D">
            <w:pPr>
              <w:rPr>
                <w:b w:val="0"/>
                <w:bCs w:val="0"/>
                <w:szCs w:val="18"/>
              </w:rPr>
            </w:pPr>
          </w:p>
        </w:tc>
        <w:tc>
          <w:tcPr>
            <w:tcW w:w="474" w:type="dxa"/>
            <w:noWrap/>
            <w:hideMark/>
          </w:tcPr>
          <w:p w14:paraId="25D3632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248</w:t>
            </w:r>
          </w:p>
        </w:tc>
        <w:tc>
          <w:tcPr>
            <w:tcW w:w="476" w:type="dxa"/>
            <w:noWrap/>
            <w:hideMark/>
          </w:tcPr>
          <w:p w14:paraId="3990196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682B416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E792D7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9D108C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34B04D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004EB8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7CC112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AB9E13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802376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81523C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E0A07D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1DCBE8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C86ADB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5C4245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0B41BE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89EC95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3E9E6AA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0EB15444"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3972B9F5" w14:textId="77777777" w:rsidR="005B25AB" w:rsidRPr="00A6515E" w:rsidRDefault="005B25AB" w:rsidP="003D157D">
            <w:pPr>
              <w:rPr>
                <w:b w:val="0"/>
                <w:bCs w:val="0"/>
                <w:szCs w:val="18"/>
              </w:rPr>
            </w:pPr>
          </w:p>
        </w:tc>
        <w:tc>
          <w:tcPr>
            <w:tcW w:w="474" w:type="dxa"/>
            <w:noWrap/>
            <w:hideMark/>
          </w:tcPr>
          <w:p w14:paraId="0154D16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249</w:t>
            </w:r>
          </w:p>
        </w:tc>
        <w:tc>
          <w:tcPr>
            <w:tcW w:w="476" w:type="dxa"/>
            <w:noWrap/>
            <w:hideMark/>
          </w:tcPr>
          <w:p w14:paraId="2DF16D3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21F80EA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456238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79E870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7AE7BD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BD0F92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AF46E5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E3AF46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6BDD3D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B74346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40AF25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300B44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D11B1A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AD86E8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C148F8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BD3E6A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4B441A4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47E247DC"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43FA5DD7" w14:textId="77777777" w:rsidR="005B25AB" w:rsidRPr="00A6515E" w:rsidRDefault="005B25AB" w:rsidP="003D157D">
            <w:pPr>
              <w:rPr>
                <w:b w:val="0"/>
                <w:bCs w:val="0"/>
                <w:szCs w:val="18"/>
              </w:rPr>
            </w:pPr>
          </w:p>
        </w:tc>
        <w:tc>
          <w:tcPr>
            <w:tcW w:w="474" w:type="dxa"/>
            <w:noWrap/>
            <w:hideMark/>
          </w:tcPr>
          <w:p w14:paraId="76EED03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250</w:t>
            </w:r>
          </w:p>
        </w:tc>
        <w:tc>
          <w:tcPr>
            <w:tcW w:w="476" w:type="dxa"/>
            <w:noWrap/>
            <w:hideMark/>
          </w:tcPr>
          <w:p w14:paraId="42B73A1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0A3BF89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9BCA53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51A886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5EF4FA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8CE8B2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6BD7C2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E5109B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5ED61C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ECCFC0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8ECEE6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483EF0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4754C5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2FF527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80A9DE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A58937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331F03D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02F81E4B"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4EEBA215" w14:textId="77777777" w:rsidR="005B25AB" w:rsidRPr="00A6515E" w:rsidRDefault="005B25AB" w:rsidP="003D157D">
            <w:pPr>
              <w:rPr>
                <w:b w:val="0"/>
                <w:bCs w:val="0"/>
                <w:szCs w:val="18"/>
              </w:rPr>
            </w:pPr>
          </w:p>
        </w:tc>
        <w:tc>
          <w:tcPr>
            <w:tcW w:w="474" w:type="dxa"/>
            <w:noWrap/>
            <w:hideMark/>
          </w:tcPr>
          <w:p w14:paraId="40B5CD5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251</w:t>
            </w:r>
          </w:p>
        </w:tc>
        <w:tc>
          <w:tcPr>
            <w:tcW w:w="476" w:type="dxa"/>
            <w:noWrap/>
            <w:hideMark/>
          </w:tcPr>
          <w:p w14:paraId="1992F73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3622E1C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33D7A1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881D7E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844125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6800BC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952089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B20ADE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FBD167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414BED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AEAC4A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B87267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ADC71D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608E6B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E8762E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AE9234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0CFA8CC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5D52B6C9"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03AECEDC" w14:textId="77777777" w:rsidR="005B25AB" w:rsidRPr="00A6515E" w:rsidRDefault="005B25AB" w:rsidP="003D157D">
            <w:pPr>
              <w:rPr>
                <w:b w:val="0"/>
                <w:bCs w:val="0"/>
                <w:szCs w:val="18"/>
              </w:rPr>
            </w:pPr>
          </w:p>
        </w:tc>
        <w:tc>
          <w:tcPr>
            <w:tcW w:w="474" w:type="dxa"/>
            <w:noWrap/>
            <w:hideMark/>
          </w:tcPr>
          <w:p w14:paraId="6442767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252</w:t>
            </w:r>
          </w:p>
        </w:tc>
        <w:tc>
          <w:tcPr>
            <w:tcW w:w="476" w:type="dxa"/>
            <w:noWrap/>
            <w:hideMark/>
          </w:tcPr>
          <w:p w14:paraId="64C7619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4FF82C3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EC4D03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F75659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5C80D6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6B617C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2BC245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6C9C8D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6298C6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2FD52F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B65BDD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9313D6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10D266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088228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1A1635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76CF9B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7AB3C32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6665A80E"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493B3488" w14:textId="77777777" w:rsidR="005B25AB" w:rsidRPr="00A6515E" w:rsidRDefault="005B25AB" w:rsidP="003D157D">
            <w:pPr>
              <w:rPr>
                <w:b w:val="0"/>
                <w:bCs w:val="0"/>
                <w:szCs w:val="18"/>
              </w:rPr>
            </w:pPr>
          </w:p>
        </w:tc>
        <w:tc>
          <w:tcPr>
            <w:tcW w:w="474" w:type="dxa"/>
            <w:noWrap/>
            <w:hideMark/>
          </w:tcPr>
          <w:p w14:paraId="7F5B146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253</w:t>
            </w:r>
          </w:p>
        </w:tc>
        <w:tc>
          <w:tcPr>
            <w:tcW w:w="476" w:type="dxa"/>
            <w:noWrap/>
            <w:hideMark/>
          </w:tcPr>
          <w:p w14:paraId="6429B84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2F909E4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A14824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FD7978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CDC911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4B7465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6137FB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5170A6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FF6445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5A7B4C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DCF694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907601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AFF8B7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895EDA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ACA296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8A4490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3192C39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2A9D3603"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64ED1021" w14:textId="77777777" w:rsidR="005B25AB" w:rsidRPr="00A6515E" w:rsidRDefault="005B25AB" w:rsidP="003D157D">
            <w:pPr>
              <w:rPr>
                <w:b w:val="0"/>
                <w:bCs w:val="0"/>
                <w:szCs w:val="18"/>
              </w:rPr>
            </w:pPr>
          </w:p>
        </w:tc>
        <w:tc>
          <w:tcPr>
            <w:tcW w:w="474" w:type="dxa"/>
            <w:noWrap/>
            <w:hideMark/>
          </w:tcPr>
          <w:p w14:paraId="7590A32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254</w:t>
            </w:r>
          </w:p>
        </w:tc>
        <w:tc>
          <w:tcPr>
            <w:tcW w:w="476" w:type="dxa"/>
            <w:noWrap/>
            <w:hideMark/>
          </w:tcPr>
          <w:p w14:paraId="48D0990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058AF39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EB09A9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82844F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BE9851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8A40F1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8E3944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DBB9CF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18091C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C65836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D6E762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1B7CCD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33A856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71BF7A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6F9004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98CCDF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29C5F6E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6F256F99"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6C2DD8DE" w14:textId="77777777" w:rsidR="005B25AB" w:rsidRPr="00A6515E" w:rsidRDefault="005B25AB" w:rsidP="003D157D">
            <w:pPr>
              <w:rPr>
                <w:b w:val="0"/>
                <w:bCs w:val="0"/>
                <w:szCs w:val="18"/>
              </w:rPr>
            </w:pPr>
          </w:p>
        </w:tc>
        <w:tc>
          <w:tcPr>
            <w:tcW w:w="474" w:type="dxa"/>
            <w:noWrap/>
            <w:hideMark/>
          </w:tcPr>
          <w:p w14:paraId="35E5BD4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255</w:t>
            </w:r>
          </w:p>
        </w:tc>
        <w:tc>
          <w:tcPr>
            <w:tcW w:w="476" w:type="dxa"/>
            <w:noWrap/>
            <w:hideMark/>
          </w:tcPr>
          <w:p w14:paraId="499C082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01F2214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0F286F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3308F1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8EE62A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C4AD5A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DF3BB6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A69B77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4B0F22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345ACE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307471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93E9B5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1DA209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82206D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C6E58B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04DCB0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7371C87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1406E544"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0A373B18" w14:textId="77777777" w:rsidR="005B25AB" w:rsidRPr="00A6515E" w:rsidRDefault="005B25AB" w:rsidP="003D157D">
            <w:pPr>
              <w:rPr>
                <w:b w:val="0"/>
                <w:bCs w:val="0"/>
                <w:szCs w:val="18"/>
              </w:rPr>
            </w:pPr>
          </w:p>
        </w:tc>
        <w:tc>
          <w:tcPr>
            <w:tcW w:w="474" w:type="dxa"/>
            <w:noWrap/>
            <w:hideMark/>
          </w:tcPr>
          <w:p w14:paraId="03E2BA9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256</w:t>
            </w:r>
          </w:p>
        </w:tc>
        <w:tc>
          <w:tcPr>
            <w:tcW w:w="476" w:type="dxa"/>
            <w:noWrap/>
            <w:hideMark/>
          </w:tcPr>
          <w:p w14:paraId="2C1D3FD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7928220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3AD71F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FF9859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285E30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563EF0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5D64ED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99C544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D59A8B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3A96F0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61572D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FE3F31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6F1370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ED915E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92A439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570D24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243EB08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2511F85C"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67961A59" w14:textId="77777777" w:rsidR="005B25AB" w:rsidRPr="00A6515E" w:rsidRDefault="005B25AB" w:rsidP="003D157D">
            <w:pPr>
              <w:rPr>
                <w:b w:val="0"/>
                <w:bCs w:val="0"/>
                <w:szCs w:val="18"/>
              </w:rPr>
            </w:pPr>
          </w:p>
        </w:tc>
        <w:tc>
          <w:tcPr>
            <w:tcW w:w="474" w:type="dxa"/>
            <w:noWrap/>
            <w:hideMark/>
          </w:tcPr>
          <w:p w14:paraId="047DAE7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257</w:t>
            </w:r>
          </w:p>
        </w:tc>
        <w:tc>
          <w:tcPr>
            <w:tcW w:w="476" w:type="dxa"/>
            <w:noWrap/>
            <w:hideMark/>
          </w:tcPr>
          <w:p w14:paraId="649AAE7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1D23337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A7B27B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1AF612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02E446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A02B7D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554D66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2B218F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573A22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01F97E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712DFB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A1E54A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8A2D30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986822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83B8DA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FB6DD3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0551901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FD62FAE"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3D719CC4" w14:textId="77777777" w:rsidR="005B25AB" w:rsidRPr="00A6515E" w:rsidRDefault="005B25AB" w:rsidP="003D157D">
            <w:pPr>
              <w:rPr>
                <w:b w:val="0"/>
                <w:bCs w:val="0"/>
                <w:szCs w:val="18"/>
              </w:rPr>
            </w:pPr>
          </w:p>
        </w:tc>
        <w:tc>
          <w:tcPr>
            <w:tcW w:w="474" w:type="dxa"/>
            <w:noWrap/>
            <w:hideMark/>
          </w:tcPr>
          <w:p w14:paraId="4A97DFA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258</w:t>
            </w:r>
          </w:p>
        </w:tc>
        <w:tc>
          <w:tcPr>
            <w:tcW w:w="476" w:type="dxa"/>
            <w:noWrap/>
            <w:hideMark/>
          </w:tcPr>
          <w:p w14:paraId="3F6BB1F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2197B96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4AFBE3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521271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3E642E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3A24B5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431799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9124AA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DC7D13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5B253A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53FB5E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83284B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51AF90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6CFC45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BAB94F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07FC33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4071FBD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276F6814"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06F018B5" w14:textId="77777777" w:rsidR="005B25AB" w:rsidRPr="00A6515E" w:rsidRDefault="005B25AB" w:rsidP="003D157D">
            <w:pPr>
              <w:rPr>
                <w:b w:val="0"/>
                <w:bCs w:val="0"/>
                <w:szCs w:val="18"/>
              </w:rPr>
            </w:pPr>
          </w:p>
        </w:tc>
        <w:tc>
          <w:tcPr>
            <w:tcW w:w="474" w:type="dxa"/>
            <w:noWrap/>
            <w:hideMark/>
          </w:tcPr>
          <w:p w14:paraId="43F079D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259</w:t>
            </w:r>
          </w:p>
        </w:tc>
        <w:tc>
          <w:tcPr>
            <w:tcW w:w="476" w:type="dxa"/>
            <w:noWrap/>
            <w:hideMark/>
          </w:tcPr>
          <w:p w14:paraId="7B7F461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5CB1769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F1E5CC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ADA692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7FFF63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195BD7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891CF5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CCB883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7361A8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1A541E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BDE1AF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2BDBD6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418681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75F343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A6339B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BA9CE3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6C58D85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340895FD"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77F89A35" w14:textId="77777777" w:rsidR="005B25AB" w:rsidRPr="00A6515E" w:rsidRDefault="005B25AB" w:rsidP="003D157D">
            <w:pPr>
              <w:rPr>
                <w:b w:val="0"/>
                <w:bCs w:val="0"/>
                <w:szCs w:val="18"/>
              </w:rPr>
            </w:pPr>
          </w:p>
        </w:tc>
        <w:tc>
          <w:tcPr>
            <w:tcW w:w="474" w:type="dxa"/>
            <w:noWrap/>
            <w:hideMark/>
          </w:tcPr>
          <w:p w14:paraId="1740E66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260</w:t>
            </w:r>
          </w:p>
        </w:tc>
        <w:tc>
          <w:tcPr>
            <w:tcW w:w="476" w:type="dxa"/>
            <w:noWrap/>
            <w:hideMark/>
          </w:tcPr>
          <w:p w14:paraId="2FD2EC4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49BF663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EC1209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20B840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ED4546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2B71A8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580C97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8BDA4B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E64A2B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5C36D6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549966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31B18D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1942DB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CAAC83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ED057D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9C7069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035376F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4C8C2415"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486EC8BA" w14:textId="77777777" w:rsidR="005B25AB" w:rsidRPr="00A6515E" w:rsidRDefault="005B25AB" w:rsidP="003D157D">
            <w:pPr>
              <w:rPr>
                <w:b w:val="0"/>
                <w:bCs w:val="0"/>
                <w:szCs w:val="18"/>
              </w:rPr>
            </w:pPr>
          </w:p>
        </w:tc>
        <w:tc>
          <w:tcPr>
            <w:tcW w:w="474" w:type="dxa"/>
            <w:noWrap/>
            <w:hideMark/>
          </w:tcPr>
          <w:p w14:paraId="5D1772C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261</w:t>
            </w:r>
          </w:p>
        </w:tc>
        <w:tc>
          <w:tcPr>
            <w:tcW w:w="476" w:type="dxa"/>
            <w:noWrap/>
            <w:hideMark/>
          </w:tcPr>
          <w:p w14:paraId="679BACD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5A4183F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E6FD9B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3FF420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294E18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49BFF5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F9F482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CA0E08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2D38B3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891935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3CDD42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A4FF54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882091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FA3EF8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F28FA0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20C3B7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7A5290D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340E132D"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375123A7" w14:textId="77777777" w:rsidR="005B25AB" w:rsidRPr="00A6515E" w:rsidRDefault="005B25AB" w:rsidP="003D157D">
            <w:pPr>
              <w:rPr>
                <w:b w:val="0"/>
                <w:bCs w:val="0"/>
                <w:szCs w:val="18"/>
              </w:rPr>
            </w:pPr>
          </w:p>
        </w:tc>
        <w:tc>
          <w:tcPr>
            <w:tcW w:w="474" w:type="dxa"/>
            <w:noWrap/>
            <w:hideMark/>
          </w:tcPr>
          <w:p w14:paraId="3ED1985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262</w:t>
            </w:r>
          </w:p>
        </w:tc>
        <w:tc>
          <w:tcPr>
            <w:tcW w:w="476" w:type="dxa"/>
            <w:noWrap/>
            <w:hideMark/>
          </w:tcPr>
          <w:p w14:paraId="09CDC67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364408B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B10335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78F8EE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969907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1D8756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81BFB0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4793D5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A33F71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69C2E0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09EFE1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E8684A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99B113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CF161E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34671E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08B81B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02FCB73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102E7F96"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1B0261ED" w14:textId="77777777" w:rsidR="005B25AB" w:rsidRPr="00A6515E" w:rsidRDefault="005B25AB" w:rsidP="003D157D">
            <w:pPr>
              <w:rPr>
                <w:b w:val="0"/>
                <w:bCs w:val="0"/>
                <w:szCs w:val="18"/>
              </w:rPr>
            </w:pPr>
          </w:p>
        </w:tc>
        <w:tc>
          <w:tcPr>
            <w:tcW w:w="474" w:type="dxa"/>
            <w:noWrap/>
            <w:hideMark/>
          </w:tcPr>
          <w:p w14:paraId="4573919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263</w:t>
            </w:r>
          </w:p>
        </w:tc>
        <w:tc>
          <w:tcPr>
            <w:tcW w:w="476" w:type="dxa"/>
            <w:noWrap/>
            <w:hideMark/>
          </w:tcPr>
          <w:p w14:paraId="7DA5DAF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5ECDE3E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BAC511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CB06A4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6E8F33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1C84AC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BE938B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D31937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1F2B43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6F86B3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334D5C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CF8DAE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1F2939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214866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87618D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5A45CC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7D891D1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2442086D"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62E14AD2" w14:textId="77777777" w:rsidR="005B25AB" w:rsidRPr="00A6515E" w:rsidRDefault="005B25AB" w:rsidP="003D157D">
            <w:pPr>
              <w:rPr>
                <w:b w:val="0"/>
                <w:bCs w:val="0"/>
                <w:szCs w:val="18"/>
              </w:rPr>
            </w:pPr>
          </w:p>
        </w:tc>
        <w:tc>
          <w:tcPr>
            <w:tcW w:w="474" w:type="dxa"/>
            <w:noWrap/>
            <w:hideMark/>
          </w:tcPr>
          <w:p w14:paraId="7800565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264</w:t>
            </w:r>
          </w:p>
        </w:tc>
        <w:tc>
          <w:tcPr>
            <w:tcW w:w="476" w:type="dxa"/>
            <w:noWrap/>
            <w:hideMark/>
          </w:tcPr>
          <w:p w14:paraId="3FFE4C8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19CBDFE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D5914C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D7F062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D1C340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E03CD6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2EC97E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98B5EF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2C612F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3D2C8F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874F59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9FE625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F10990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ACC469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9BCD18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BBF8E4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4EC2DA6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356C325B"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1449F100" w14:textId="77777777" w:rsidR="005B25AB" w:rsidRPr="00A6515E" w:rsidRDefault="005B25AB" w:rsidP="003D157D">
            <w:pPr>
              <w:rPr>
                <w:b w:val="0"/>
                <w:bCs w:val="0"/>
                <w:szCs w:val="18"/>
              </w:rPr>
            </w:pPr>
          </w:p>
        </w:tc>
        <w:tc>
          <w:tcPr>
            <w:tcW w:w="474" w:type="dxa"/>
            <w:noWrap/>
            <w:hideMark/>
          </w:tcPr>
          <w:p w14:paraId="73AF57B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265</w:t>
            </w:r>
          </w:p>
        </w:tc>
        <w:tc>
          <w:tcPr>
            <w:tcW w:w="476" w:type="dxa"/>
            <w:noWrap/>
            <w:hideMark/>
          </w:tcPr>
          <w:p w14:paraId="28C471E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135278C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DEFECD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85DD4B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2B542F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ED6240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831839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E91867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FE0DB9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05652C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AB28B6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E9B234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0A5E08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6A313D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93D5B4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1E283E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59EB5D6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15710325"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12D4AE65" w14:textId="77777777" w:rsidR="005B25AB" w:rsidRPr="00A6515E" w:rsidRDefault="005B25AB" w:rsidP="003D157D">
            <w:pPr>
              <w:rPr>
                <w:b w:val="0"/>
                <w:bCs w:val="0"/>
                <w:szCs w:val="18"/>
              </w:rPr>
            </w:pPr>
          </w:p>
        </w:tc>
        <w:tc>
          <w:tcPr>
            <w:tcW w:w="474" w:type="dxa"/>
            <w:noWrap/>
            <w:hideMark/>
          </w:tcPr>
          <w:p w14:paraId="04330A4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266</w:t>
            </w:r>
          </w:p>
        </w:tc>
        <w:tc>
          <w:tcPr>
            <w:tcW w:w="476" w:type="dxa"/>
            <w:noWrap/>
            <w:hideMark/>
          </w:tcPr>
          <w:p w14:paraId="351EC28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7819825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5AB3B6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51182A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BCE240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E48CE7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A25DF1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9EB19E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B4D18B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7B9287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552929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BCD414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C4F208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29EE68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4FEB7F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AE3456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7BEB859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23B765FB"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2B925DB6" w14:textId="77777777" w:rsidR="005B25AB" w:rsidRPr="00A6515E" w:rsidRDefault="005B25AB" w:rsidP="003D157D">
            <w:pPr>
              <w:rPr>
                <w:b w:val="0"/>
                <w:bCs w:val="0"/>
                <w:szCs w:val="18"/>
              </w:rPr>
            </w:pPr>
          </w:p>
        </w:tc>
        <w:tc>
          <w:tcPr>
            <w:tcW w:w="474" w:type="dxa"/>
            <w:noWrap/>
            <w:hideMark/>
          </w:tcPr>
          <w:p w14:paraId="2921DC9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267</w:t>
            </w:r>
          </w:p>
        </w:tc>
        <w:tc>
          <w:tcPr>
            <w:tcW w:w="476" w:type="dxa"/>
            <w:noWrap/>
            <w:hideMark/>
          </w:tcPr>
          <w:p w14:paraId="1318860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2EDA164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F957EE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53341D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A716C6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C58BE6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38E43F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3D2824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DDC709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CD88E2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AD134B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6E0618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90ADE2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0F92AA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1E704A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6A9E0A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2E1CD8D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7DF3D780"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4DD018A9" w14:textId="77777777" w:rsidR="005B25AB" w:rsidRPr="00A6515E" w:rsidRDefault="005B25AB" w:rsidP="003D157D">
            <w:pPr>
              <w:rPr>
                <w:b w:val="0"/>
                <w:bCs w:val="0"/>
                <w:szCs w:val="18"/>
              </w:rPr>
            </w:pPr>
          </w:p>
        </w:tc>
        <w:tc>
          <w:tcPr>
            <w:tcW w:w="474" w:type="dxa"/>
            <w:noWrap/>
            <w:hideMark/>
          </w:tcPr>
          <w:p w14:paraId="434EFA5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268</w:t>
            </w:r>
          </w:p>
        </w:tc>
        <w:tc>
          <w:tcPr>
            <w:tcW w:w="476" w:type="dxa"/>
            <w:noWrap/>
            <w:hideMark/>
          </w:tcPr>
          <w:p w14:paraId="47E79C0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1B587A2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C52EEF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4A5D6B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92BF12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5CFD6A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16AFBA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044B22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673210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9C7502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E5BBC7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05B080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F5122E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6B5EB7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C17EAE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C9ABD1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2754DEC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300E9B3C"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0E9F4DD4" w14:textId="77777777" w:rsidR="005B25AB" w:rsidRPr="00A6515E" w:rsidRDefault="005B25AB" w:rsidP="003D157D">
            <w:pPr>
              <w:rPr>
                <w:b w:val="0"/>
                <w:bCs w:val="0"/>
                <w:szCs w:val="18"/>
              </w:rPr>
            </w:pPr>
          </w:p>
        </w:tc>
        <w:tc>
          <w:tcPr>
            <w:tcW w:w="474" w:type="dxa"/>
            <w:noWrap/>
            <w:hideMark/>
          </w:tcPr>
          <w:p w14:paraId="1079691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269</w:t>
            </w:r>
          </w:p>
        </w:tc>
        <w:tc>
          <w:tcPr>
            <w:tcW w:w="476" w:type="dxa"/>
            <w:noWrap/>
            <w:hideMark/>
          </w:tcPr>
          <w:p w14:paraId="1CC1CEE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522C5B0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AADCC5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8856F3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209492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9476C3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410B75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056EB4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18E19F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38680D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A09210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B44E57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D2474A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A9C03C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E49024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1E8CDF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3B3309E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55B27DA5"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3B6623DD" w14:textId="77777777" w:rsidR="005B25AB" w:rsidRPr="00A6515E" w:rsidRDefault="005B25AB" w:rsidP="003D157D">
            <w:pPr>
              <w:rPr>
                <w:b w:val="0"/>
                <w:bCs w:val="0"/>
                <w:szCs w:val="18"/>
              </w:rPr>
            </w:pPr>
          </w:p>
        </w:tc>
        <w:tc>
          <w:tcPr>
            <w:tcW w:w="474" w:type="dxa"/>
            <w:noWrap/>
            <w:hideMark/>
          </w:tcPr>
          <w:p w14:paraId="587AB1A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270</w:t>
            </w:r>
          </w:p>
        </w:tc>
        <w:tc>
          <w:tcPr>
            <w:tcW w:w="476" w:type="dxa"/>
            <w:noWrap/>
            <w:hideMark/>
          </w:tcPr>
          <w:p w14:paraId="75FEEBE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4FACBD4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0E64E3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E52A23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326E25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5C5F7D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6C139C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DD2AF9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6A6BF9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611FE1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B4DB59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F3B1CD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9CF5C6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318702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B942DF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EB4185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5E17E4D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229D5753"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hideMark/>
          </w:tcPr>
          <w:p w14:paraId="3B8AFA9C" w14:textId="77777777" w:rsidR="005B25AB" w:rsidRPr="00A6515E" w:rsidRDefault="005B25AB" w:rsidP="003D157D">
            <w:pPr>
              <w:rPr>
                <w:b w:val="0"/>
                <w:bCs w:val="0"/>
                <w:szCs w:val="18"/>
              </w:rPr>
            </w:pPr>
          </w:p>
        </w:tc>
        <w:tc>
          <w:tcPr>
            <w:tcW w:w="474" w:type="dxa"/>
            <w:noWrap/>
            <w:hideMark/>
          </w:tcPr>
          <w:p w14:paraId="5DBCFA1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271</w:t>
            </w:r>
          </w:p>
        </w:tc>
        <w:tc>
          <w:tcPr>
            <w:tcW w:w="476" w:type="dxa"/>
            <w:noWrap/>
            <w:hideMark/>
          </w:tcPr>
          <w:p w14:paraId="35D2AF1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6E9355A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548C04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305460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C5C330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81EDEF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35CD63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B92DB1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BEAE1E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CE96D1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20B66F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A7A20D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A4AD5C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3F764C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4E1A59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F9B863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6C7A15A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593B177B" w14:textId="77777777" w:rsidTr="003D157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4" w:type="dxa"/>
            <w:vMerge/>
            <w:hideMark/>
          </w:tcPr>
          <w:p w14:paraId="092BD2B6" w14:textId="77777777" w:rsidR="005B25AB" w:rsidRPr="00A6515E" w:rsidRDefault="005B25AB" w:rsidP="003D157D">
            <w:pPr>
              <w:rPr>
                <w:b w:val="0"/>
                <w:bCs w:val="0"/>
                <w:szCs w:val="18"/>
              </w:rPr>
            </w:pPr>
          </w:p>
        </w:tc>
        <w:tc>
          <w:tcPr>
            <w:tcW w:w="474" w:type="dxa"/>
            <w:noWrap/>
            <w:hideMark/>
          </w:tcPr>
          <w:p w14:paraId="713F558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272</w:t>
            </w:r>
          </w:p>
        </w:tc>
        <w:tc>
          <w:tcPr>
            <w:tcW w:w="476" w:type="dxa"/>
            <w:noWrap/>
            <w:hideMark/>
          </w:tcPr>
          <w:p w14:paraId="25BFF0F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4F8CB32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3C20DE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69C20E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EA5EF9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EE45E5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A05546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983D0D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0F0287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84C4A7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1D0D7A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3ECD14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F25FE9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FA5D21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77A466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8EC9DA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586942F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bl>
    <w:p w14:paraId="4B00BF65" w14:textId="77777777" w:rsidR="005B25AB" w:rsidRDefault="005B25AB" w:rsidP="005B25AB"/>
    <w:p w14:paraId="76BB6D3D" w14:textId="77777777" w:rsidR="005B25AB" w:rsidRDefault="005B25AB" w:rsidP="005B25AB">
      <w:r>
        <w:br w:type="page"/>
      </w:r>
    </w:p>
    <w:tbl>
      <w:tblPr>
        <w:tblStyle w:val="Tableausimple4"/>
        <w:tblW w:w="0" w:type="auto"/>
        <w:tblLook w:val="04A0" w:firstRow="1" w:lastRow="0" w:firstColumn="1" w:lastColumn="0" w:noHBand="0" w:noVBand="1"/>
      </w:tblPr>
      <w:tblGrid>
        <w:gridCol w:w="474"/>
        <w:gridCol w:w="490"/>
        <w:gridCol w:w="476"/>
        <w:gridCol w:w="477"/>
        <w:gridCol w:w="477"/>
        <w:gridCol w:w="477"/>
        <w:gridCol w:w="477"/>
        <w:gridCol w:w="477"/>
        <w:gridCol w:w="477"/>
        <w:gridCol w:w="477"/>
        <w:gridCol w:w="477"/>
        <w:gridCol w:w="477"/>
        <w:gridCol w:w="477"/>
        <w:gridCol w:w="477"/>
        <w:gridCol w:w="477"/>
        <w:gridCol w:w="477"/>
        <w:gridCol w:w="477"/>
        <w:gridCol w:w="477"/>
        <w:gridCol w:w="477"/>
      </w:tblGrid>
      <w:tr w:rsidR="005B25AB" w:rsidRPr="00A6515E" w14:paraId="798AB8BB" w14:textId="77777777" w:rsidTr="003D157D">
        <w:trPr>
          <w:cnfStyle w:val="100000000000" w:firstRow="1" w:lastRow="0" w:firstColumn="0" w:lastColumn="0" w:oddVBand="0" w:evenVBand="0" w:oddHBand="0" w:evenHBand="0" w:firstRowFirstColumn="0" w:firstRowLastColumn="0" w:lastRowFirstColumn="0" w:lastRowLastColumn="0"/>
          <w:trHeight w:val="824"/>
        </w:trPr>
        <w:tc>
          <w:tcPr>
            <w:cnfStyle w:val="001000000000" w:firstRow="0" w:lastRow="0" w:firstColumn="1" w:lastColumn="0" w:oddVBand="0" w:evenVBand="0" w:oddHBand="0" w:evenHBand="0" w:firstRowFirstColumn="0" w:firstRowLastColumn="0" w:lastRowFirstColumn="0" w:lastRowLastColumn="0"/>
            <w:tcW w:w="474" w:type="dxa"/>
            <w:noWrap/>
            <w:textDirection w:val="btLr"/>
          </w:tcPr>
          <w:p w14:paraId="0F5ABE6A" w14:textId="77777777" w:rsidR="005B25AB" w:rsidRDefault="005B25AB" w:rsidP="003D157D">
            <w:pPr>
              <w:rPr>
                <w:szCs w:val="18"/>
              </w:rPr>
            </w:pPr>
          </w:p>
        </w:tc>
        <w:tc>
          <w:tcPr>
            <w:tcW w:w="474" w:type="dxa"/>
            <w:noWrap/>
          </w:tcPr>
          <w:p w14:paraId="2747A8B9"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bCs w:val="0"/>
                <w:szCs w:val="18"/>
              </w:rPr>
            </w:pPr>
            <w:r w:rsidRPr="00A6515E">
              <w:rPr>
                <w:szCs w:val="18"/>
              </w:rPr>
              <w:t>n°</w:t>
            </w:r>
          </w:p>
        </w:tc>
        <w:tc>
          <w:tcPr>
            <w:tcW w:w="476" w:type="dxa"/>
            <w:noWrap/>
            <w:textDirection w:val="btLr"/>
          </w:tcPr>
          <w:p w14:paraId="03208E3D"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bCs w:val="0"/>
                <w:szCs w:val="18"/>
              </w:rPr>
            </w:pPr>
            <w:r w:rsidRPr="00A6515E">
              <w:rPr>
                <w:szCs w:val="18"/>
              </w:rPr>
              <w:t>CF</w:t>
            </w:r>
          </w:p>
        </w:tc>
        <w:tc>
          <w:tcPr>
            <w:tcW w:w="478" w:type="dxa"/>
            <w:noWrap/>
            <w:textDirection w:val="btLr"/>
          </w:tcPr>
          <w:p w14:paraId="12FD6326"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GB_AD</w:t>
            </w:r>
          </w:p>
        </w:tc>
        <w:tc>
          <w:tcPr>
            <w:tcW w:w="478" w:type="dxa"/>
            <w:noWrap/>
            <w:textDirection w:val="btLr"/>
          </w:tcPr>
          <w:p w14:paraId="1DD169FF"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GB_rough</w:t>
            </w:r>
          </w:p>
        </w:tc>
        <w:tc>
          <w:tcPr>
            <w:tcW w:w="478" w:type="dxa"/>
            <w:noWrap/>
            <w:textDirection w:val="btLr"/>
          </w:tcPr>
          <w:p w14:paraId="05DC272B"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GB_myco</w:t>
            </w:r>
          </w:p>
        </w:tc>
        <w:tc>
          <w:tcPr>
            <w:tcW w:w="478" w:type="dxa"/>
            <w:noWrap/>
            <w:textDirection w:val="btLr"/>
          </w:tcPr>
          <w:p w14:paraId="69D753B1"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BSF</w:t>
            </w:r>
          </w:p>
        </w:tc>
        <w:tc>
          <w:tcPr>
            <w:tcW w:w="478" w:type="dxa"/>
            <w:noWrap/>
            <w:textDirection w:val="btLr"/>
          </w:tcPr>
          <w:p w14:paraId="04B29A8D"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SSF</w:t>
            </w:r>
          </w:p>
        </w:tc>
        <w:tc>
          <w:tcPr>
            <w:tcW w:w="478" w:type="dxa"/>
            <w:noWrap/>
            <w:textDirection w:val="btLr"/>
          </w:tcPr>
          <w:p w14:paraId="52DFC041"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MYCO</w:t>
            </w:r>
          </w:p>
        </w:tc>
        <w:tc>
          <w:tcPr>
            <w:tcW w:w="478" w:type="dxa"/>
            <w:noWrap/>
            <w:textDirection w:val="btLr"/>
          </w:tcPr>
          <w:p w14:paraId="6CDF5DD2"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MP_AD</w:t>
            </w:r>
          </w:p>
        </w:tc>
        <w:tc>
          <w:tcPr>
            <w:tcW w:w="478" w:type="dxa"/>
            <w:noWrap/>
            <w:textDirection w:val="btLr"/>
          </w:tcPr>
          <w:p w14:paraId="501F23D2"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MP_GA</w:t>
            </w:r>
          </w:p>
        </w:tc>
        <w:tc>
          <w:tcPr>
            <w:tcW w:w="478" w:type="dxa"/>
            <w:noWrap/>
            <w:textDirection w:val="btLr"/>
          </w:tcPr>
          <w:p w14:paraId="55AE03BB"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AD</w:t>
            </w:r>
          </w:p>
        </w:tc>
        <w:tc>
          <w:tcPr>
            <w:tcW w:w="478" w:type="dxa"/>
            <w:noWrap/>
            <w:textDirection w:val="btLr"/>
          </w:tcPr>
          <w:p w14:paraId="0FD211FA"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GA</w:t>
            </w:r>
          </w:p>
        </w:tc>
        <w:tc>
          <w:tcPr>
            <w:tcW w:w="478" w:type="dxa"/>
            <w:noWrap/>
            <w:textDirection w:val="btLr"/>
          </w:tcPr>
          <w:p w14:paraId="09084CA9"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DIR_CHP</w:t>
            </w:r>
          </w:p>
        </w:tc>
        <w:tc>
          <w:tcPr>
            <w:tcW w:w="478" w:type="dxa"/>
            <w:noWrap/>
            <w:textDirection w:val="btLr"/>
          </w:tcPr>
          <w:p w14:paraId="1E71A2A6"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Heat</w:t>
            </w:r>
          </w:p>
        </w:tc>
        <w:tc>
          <w:tcPr>
            <w:tcW w:w="478" w:type="dxa"/>
            <w:noWrap/>
            <w:textDirection w:val="btLr"/>
          </w:tcPr>
          <w:p w14:paraId="08797713"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Burn</w:t>
            </w:r>
          </w:p>
        </w:tc>
        <w:tc>
          <w:tcPr>
            <w:tcW w:w="478" w:type="dxa"/>
            <w:noWrap/>
            <w:textDirection w:val="btLr"/>
          </w:tcPr>
          <w:p w14:paraId="36D9D34B"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Compost</w:t>
            </w:r>
          </w:p>
        </w:tc>
        <w:tc>
          <w:tcPr>
            <w:tcW w:w="478" w:type="dxa"/>
            <w:noWrap/>
            <w:textDirection w:val="btLr"/>
          </w:tcPr>
          <w:p w14:paraId="5D8BB159"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Spread</w:t>
            </w:r>
          </w:p>
        </w:tc>
        <w:tc>
          <w:tcPr>
            <w:tcW w:w="478" w:type="dxa"/>
            <w:noWrap/>
            <w:textDirection w:val="btLr"/>
          </w:tcPr>
          <w:p w14:paraId="531F79A6" w14:textId="77777777" w:rsidR="005B25AB" w:rsidRPr="00A6515E" w:rsidRDefault="005B25AB" w:rsidP="003D157D">
            <w:pPr>
              <w:cnfStyle w:val="100000000000" w:firstRow="1" w:lastRow="0" w:firstColumn="0" w:lastColumn="0" w:oddVBand="0" w:evenVBand="0" w:oddHBand="0" w:evenHBand="0" w:firstRowFirstColumn="0" w:firstRowLastColumn="0" w:lastRowFirstColumn="0" w:lastRowLastColumn="0"/>
              <w:rPr>
                <w:b w:val="0"/>
                <w:szCs w:val="18"/>
              </w:rPr>
            </w:pPr>
            <w:r w:rsidRPr="00A6515E">
              <w:rPr>
                <w:szCs w:val="18"/>
              </w:rPr>
              <w:t>Decay</w:t>
            </w:r>
          </w:p>
        </w:tc>
      </w:tr>
      <w:tr w:rsidR="005B25AB" w:rsidRPr="00A6515E" w14:paraId="3E80DBEB"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val="restart"/>
            <w:shd w:val="clear" w:color="auto" w:fill="FFFFFF" w:themeFill="background1"/>
            <w:noWrap/>
            <w:textDirection w:val="btLr"/>
            <w:hideMark/>
          </w:tcPr>
          <w:p w14:paraId="59DDDF8F" w14:textId="77777777" w:rsidR="005B25AB" w:rsidRPr="00A6515E" w:rsidRDefault="005B25AB" w:rsidP="003D157D">
            <w:pPr>
              <w:rPr>
                <w:b w:val="0"/>
                <w:bCs w:val="0"/>
                <w:szCs w:val="18"/>
              </w:rPr>
            </w:pPr>
            <w:r>
              <w:rPr>
                <w:szCs w:val="18"/>
              </w:rPr>
              <w:t>Specific to g</w:t>
            </w:r>
            <w:r w:rsidRPr="00A6515E">
              <w:rPr>
                <w:szCs w:val="18"/>
              </w:rPr>
              <w:t>reen biorefinery</w:t>
            </w:r>
          </w:p>
        </w:tc>
        <w:tc>
          <w:tcPr>
            <w:tcW w:w="474" w:type="dxa"/>
            <w:noWrap/>
            <w:hideMark/>
          </w:tcPr>
          <w:p w14:paraId="2FD6541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273</w:t>
            </w:r>
          </w:p>
        </w:tc>
        <w:tc>
          <w:tcPr>
            <w:tcW w:w="476" w:type="dxa"/>
            <w:noWrap/>
            <w:hideMark/>
          </w:tcPr>
          <w:p w14:paraId="4C64690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431DB1E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653F5AB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4A86F55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367FF26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583891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230687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6238C6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CCDD44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F54E97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78CDC2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1E7D72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63507F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B7EAB8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587210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C09D75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097E6D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39267AA7"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shd w:val="clear" w:color="auto" w:fill="FFFFFF" w:themeFill="background1"/>
            <w:hideMark/>
          </w:tcPr>
          <w:p w14:paraId="70819737" w14:textId="77777777" w:rsidR="005B25AB" w:rsidRPr="00A6515E" w:rsidRDefault="005B25AB" w:rsidP="003D157D">
            <w:pPr>
              <w:rPr>
                <w:b w:val="0"/>
                <w:bCs w:val="0"/>
                <w:szCs w:val="18"/>
              </w:rPr>
            </w:pPr>
          </w:p>
        </w:tc>
        <w:tc>
          <w:tcPr>
            <w:tcW w:w="474" w:type="dxa"/>
            <w:noWrap/>
            <w:hideMark/>
          </w:tcPr>
          <w:p w14:paraId="369318C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274</w:t>
            </w:r>
          </w:p>
        </w:tc>
        <w:tc>
          <w:tcPr>
            <w:tcW w:w="476" w:type="dxa"/>
            <w:noWrap/>
            <w:hideMark/>
          </w:tcPr>
          <w:p w14:paraId="442B928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56A1B41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1485B44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686232A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1A3D29B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77672E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621DEF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C731FD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79955D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07F181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6CCBF7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7D920C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FCC2EA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7261F1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C82D90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2CD5D3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B7E58E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56D83477"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shd w:val="clear" w:color="auto" w:fill="FFFFFF" w:themeFill="background1"/>
            <w:hideMark/>
          </w:tcPr>
          <w:p w14:paraId="143C2A91" w14:textId="77777777" w:rsidR="005B25AB" w:rsidRPr="00A6515E" w:rsidRDefault="005B25AB" w:rsidP="003D157D">
            <w:pPr>
              <w:rPr>
                <w:b w:val="0"/>
                <w:bCs w:val="0"/>
                <w:szCs w:val="18"/>
              </w:rPr>
            </w:pPr>
          </w:p>
        </w:tc>
        <w:tc>
          <w:tcPr>
            <w:tcW w:w="474" w:type="dxa"/>
            <w:noWrap/>
            <w:hideMark/>
          </w:tcPr>
          <w:p w14:paraId="6339C49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275</w:t>
            </w:r>
          </w:p>
        </w:tc>
        <w:tc>
          <w:tcPr>
            <w:tcW w:w="476" w:type="dxa"/>
            <w:noWrap/>
            <w:hideMark/>
          </w:tcPr>
          <w:p w14:paraId="3A38568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1E5C92A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6072ABB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2A327B4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6DB0069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4F8D63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93F11C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399437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9BF614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E041AF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E8C443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6219F7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2EF558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2B0BF7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1AECEA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A3B28B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A9525C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43861EBE"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shd w:val="clear" w:color="auto" w:fill="FFFFFF" w:themeFill="background1"/>
            <w:hideMark/>
          </w:tcPr>
          <w:p w14:paraId="3F6190E6" w14:textId="77777777" w:rsidR="005B25AB" w:rsidRPr="00A6515E" w:rsidRDefault="005B25AB" w:rsidP="003D157D">
            <w:pPr>
              <w:rPr>
                <w:b w:val="0"/>
                <w:bCs w:val="0"/>
                <w:szCs w:val="18"/>
              </w:rPr>
            </w:pPr>
          </w:p>
        </w:tc>
        <w:tc>
          <w:tcPr>
            <w:tcW w:w="474" w:type="dxa"/>
            <w:noWrap/>
            <w:hideMark/>
          </w:tcPr>
          <w:p w14:paraId="1D008EF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276</w:t>
            </w:r>
          </w:p>
        </w:tc>
        <w:tc>
          <w:tcPr>
            <w:tcW w:w="476" w:type="dxa"/>
            <w:noWrap/>
            <w:hideMark/>
          </w:tcPr>
          <w:p w14:paraId="3979512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7E2C151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7C3138B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0758C08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72DF005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01CE8C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01A750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209697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E1EAEE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A27A24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D88CAD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3DA868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167BC8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3B7D4C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E6A419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D64044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104E30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2FD159E6"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shd w:val="clear" w:color="auto" w:fill="FFFFFF" w:themeFill="background1"/>
            <w:hideMark/>
          </w:tcPr>
          <w:p w14:paraId="0B563665" w14:textId="77777777" w:rsidR="005B25AB" w:rsidRPr="00A6515E" w:rsidRDefault="005B25AB" w:rsidP="003D157D">
            <w:pPr>
              <w:rPr>
                <w:b w:val="0"/>
                <w:bCs w:val="0"/>
                <w:szCs w:val="18"/>
              </w:rPr>
            </w:pPr>
          </w:p>
        </w:tc>
        <w:tc>
          <w:tcPr>
            <w:tcW w:w="474" w:type="dxa"/>
            <w:noWrap/>
            <w:hideMark/>
          </w:tcPr>
          <w:p w14:paraId="05716C3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277</w:t>
            </w:r>
          </w:p>
        </w:tc>
        <w:tc>
          <w:tcPr>
            <w:tcW w:w="476" w:type="dxa"/>
            <w:noWrap/>
            <w:hideMark/>
          </w:tcPr>
          <w:p w14:paraId="6B51B50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3899A93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79FDE30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1BFB259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0CDCCAC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D5BD00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6480B3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4E3D83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3EA5A2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092198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FEB590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2C3C98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C16DAF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3DA316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4A6452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9B822B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817B04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50F243AC"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shd w:val="clear" w:color="auto" w:fill="FFFFFF" w:themeFill="background1"/>
            <w:hideMark/>
          </w:tcPr>
          <w:p w14:paraId="0D728D72" w14:textId="77777777" w:rsidR="005B25AB" w:rsidRPr="00A6515E" w:rsidRDefault="005B25AB" w:rsidP="003D157D">
            <w:pPr>
              <w:rPr>
                <w:b w:val="0"/>
                <w:bCs w:val="0"/>
                <w:szCs w:val="18"/>
              </w:rPr>
            </w:pPr>
          </w:p>
        </w:tc>
        <w:tc>
          <w:tcPr>
            <w:tcW w:w="474" w:type="dxa"/>
            <w:noWrap/>
            <w:hideMark/>
          </w:tcPr>
          <w:p w14:paraId="7EA90D6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278</w:t>
            </w:r>
          </w:p>
        </w:tc>
        <w:tc>
          <w:tcPr>
            <w:tcW w:w="476" w:type="dxa"/>
            <w:noWrap/>
            <w:hideMark/>
          </w:tcPr>
          <w:p w14:paraId="3675059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4264100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13C8A44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135324A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77B264A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1CD0F4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2D0B75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C16718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40F0C1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0506F8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8D27FD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E7ECB7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14FAFA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91362D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7C336D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71B6A3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1C580F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19FD819F"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shd w:val="clear" w:color="auto" w:fill="FFFFFF" w:themeFill="background1"/>
            <w:hideMark/>
          </w:tcPr>
          <w:p w14:paraId="791B0E8C" w14:textId="77777777" w:rsidR="005B25AB" w:rsidRPr="00A6515E" w:rsidRDefault="005B25AB" w:rsidP="003D157D">
            <w:pPr>
              <w:rPr>
                <w:b w:val="0"/>
                <w:bCs w:val="0"/>
                <w:szCs w:val="18"/>
              </w:rPr>
            </w:pPr>
          </w:p>
        </w:tc>
        <w:tc>
          <w:tcPr>
            <w:tcW w:w="474" w:type="dxa"/>
            <w:noWrap/>
            <w:hideMark/>
          </w:tcPr>
          <w:p w14:paraId="1E0A14B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279</w:t>
            </w:r>
          </w:p>
        </w:tc>
        <w:tc>
          <w:tcPr>
            <w:tcW w:w="476" w:type="dxa"/>
            <w:noWrap/>
            <w:hideMark/>
          </w:tcPr>
          <w:p w14:paraId="03CA3E2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00BF071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3B7F6AD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2232E5D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15A85AB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6AC469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A1CE63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1B8EAC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E12C3F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0F5542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EAAC34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811289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550225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E4267D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49706E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0F0137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528D19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268A0740"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shd w:val="clear" w:color="auto" w:fill="FFFFFF" w:themeFill="background1"/>
            <w:hideMark/>
          </w:tcPr>
          <w:p w14:paraId="2D627C97" w14:textId="77777777" w:rsidR="005B25AB" w:rsidRPr="00A6515E" w:rsidRDefault="005B25AB" w:rsidP="003D157D">
            <w:pPr>
              <w:rPr>
                <w:b w:val="0"/>
                <w:bCs w:val="0"/>
                <w:szCs w:val="18"/>
              </w:rPr>
            </w:pPr>
          </w:p>
        </w:tc>
        <w:tc>
          <w:tcPr>
            <w:tcW w:w="474" w:type="dxa"/>
            <w:noWrap/>
            <w:hideMark/>
          </w:tcPr>
          <w:p w14:paraId="36527FC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280</w:t>
            </w:r>
          </w:p>
        </w:tc>
        <w:tc>
          <w:tcPr>
            <w:tcW w:w="476" w:type="dxa"/>
            <w:noWrap/>
            <w:hideMark/>
          </w:tcPr>
          <w:p w14:paraId="15FDB83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4191AAB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0C4E1A6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2B587E1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7CE9546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E57C16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7A4032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A19F4D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0D2B7B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EDFD37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BC0FF4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60D5E3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9E3682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41E63C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CE7709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5D6FE6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3EAECC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42B48C43"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shd w:val="clear" w:color="auto" w:fill="FFFFFF" w:themeFill="background1"/>
            <w:hideMark/>
          </w:tcPr>
          <w:p w14:paraId="1844F93F" w14:textId="77777777" w:rsidR="005B25AB" w:rsidRPr="00A6515E" w:rsidRDefault="005B25AB" w:rsidP="003D157D">
            <w:pPr>
              <w:rPr>
                <w:b w:val="0"/>
                <w:bCs w:val="0"/>
                <w:szCs w:val="18"/>
              </w:rPr>
            </w:pPr>
          </w:p>
        </w:tc>
        <w:tc>
          <w:tcPr>
            <w:tcW w:w="474" w:type="dxa"/>
            <w:noWrap/>
            <w:hideMark/>
          </w:tcPr>
          <w:p w14:paraId="291A94F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281</w:t>
            </w:r>
          </w:p>
        </w:tc>
        <w:tc>
          <w:tcPr>
            <w:tcW w:w="476" w:type="dxa"/>
            <w:noWrap/>
            <w:hideMark/>
          </w:tcPr>
          <w:p w14:paraId="7BD0BE1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1219385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6C93669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6DD40B9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7ACDA48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E2EA97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F26FD0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5C629D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E3F382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A5AFCD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FA2FD4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ADA7A1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A8A5EF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969A2F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49E906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216F77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61F881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7D102C46"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shd w:val="clear" w:color="auto" w:fill="FFFFFF" w:themeFill="background1"/>
            <w:hideMark/>
          </w:tcPr>
          <w:p w14:paraId="2375AFC6" w14:textId="77777777" w:rsidR="005B25AB" w:rsidRPr="00A6515E" w:rsidRDefault="005B25AB" w:rsidP="003D157D">
            <w:pPr>
              <w:rPr>
                <w:b w:val="0"/>
                <w:bCs w:val="0"/>
                <w:szCs w:val="18"/>
              </w:rPr>
            </w:pPr>
          </w:p>
        </w:tc>
        <w:tc>
          <w:tcPr>
            <w:tcW w:w="474" w:type="dxa"/>
            <w:noWrap/>
            <w:hideMark/>
          </w:tcPr>
          <w:p w14:paraId="74E4F2B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282</w:t>
            </w:r>
          </w:p>
        </w:tc>
        <w:tc>
          <w:tcPr>
            <w:tcW w:w="476" w:type="dxa"/>
            <w:noWrap/>
            <w:hideMark/>
          </w:tcPr>
          <w:p w14:paraId="0E3FD0F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413F503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34F6382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64D63ED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0A366B5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4BFE3C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091617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4540F5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7DCFD3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3EA9F1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AE6F29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8F5DA5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AC5C74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07B6EF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A5D216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1D7F35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49F446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6286C276"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shd w:val="clear" w:color="auto" w:fill="FFFFFF" w:themeFill="background1"/>
            <w:hideMark/>
          </w:tcPr>
          <w:p w14:paraId="707F7476" w14:textId="77777777" w:rsidR="005B25AB" w:rsidRPr="00A6515E" w:rsidRDefault="005B25AB" w:rsidP="003D157D">
            <w:pPr>
              <w:rPr>
                <w:b w:val="0"/>
                <w:bCs w:val="0"/>
                <w:szCs w:val="18"/>
              </w:rPr>
            </w:pPr>
          </w:p>
        </w:tc>
        <w:tc>
          <w:tcPr>
            <w:tcW w:w="474" w:type="dxa"/>
            <w:noWrap/>
            <w:hideMark/>
          </w:tcPr>
          <w:p w14:paraId="64A3B69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283</w:t>
            </w:r>
          </w:p>
        </w:tc>
        <w:tc>
          <w:tcPr>
            <w:tcW w:w="476" w:type="dxa"/>
            <w:noWrap/>
            <w:hideMark/>
          </w:tcPr>
          <w:p w14:paraId="77A0DC6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7135416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231BC7F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7BD23E3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4BA8CF3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62357A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4E6DBF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790757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BF6D93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7F86A1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00B2DB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7E620F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28ABEB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FC3C51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46D66F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414CB0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CBCD01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06195A74"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shd w:val="clear" w:color="auto" w:fill="FFFFFF" w:themeFill="background1"/>
            <w:hideMark/>
          </w:tcPr>
          <w:p w14:paraId="66DF2219" w14:textId="77777777" w:rsidR="005B25AB" w:rsidRPr="00A6515E" w:rsidRDefault="005B25AB" w:rsidP="003D157D">
            <w:pPr>
              <w:rPr>
                <w:b w:val="0"/>
                <w:bCs w:val="0"/>
                <w:szCs w:val="18"/>
              </w:rPr>
            </w:pPr>
          </w:p>
        </w:tc>
        <w:tc>
          <w:tcPr>
            <w:tcW w:w="474" w:type="dxa"/>
            <w:noWrap/>
            <w:hideMark/>
          </w:tcPr>
          <w:p w14:paraId="192C153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284</w:t>
            </w:r>
          </w:p>
        </w:tc>
        <w:tc>
          <w:tcPr>
            <w:tcW w:w="476" w:type="dxa"/>
            <w:noWrap/>
            <w:hideMark/>
          </w:tcPr>
          <w:p w14:paraId="4B379E2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2FBBF61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58DCD71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2B33E45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00CCDCA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E39480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68D4D8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5E4D5B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6E7AFD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15277C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3CA7DA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A43B13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1F21EE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098B6C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DA8938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72FCA4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F70D14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3254B376"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shd w:val="clear" w:color="auto" w:fill="FFFFFF" w:themeFill="background1"/>
            <w:hideMark/>
          </w:tcPr>
          <w:p w14:paraId="15AFB676" w14:textId="77777777" w:rsidR="005B25AB" w:rsidRPr="00A6515E" w:rsidRDefault="005B25AB" w:rsidP="003D157D">
            <w:pPr>
              <w:rPr>
                <w:b w:val="0"/>
                <w:bCs w:val="0"/>
                <w:szCs w:val="18"/>
              </w:rPr>
            </w:pPr>
          </w:p>
        </w:tc>
        <w:tc>
          <w:tcPr>
            <w:tcW w:w="474" w:type="dxa"/>
            <w:noWrap/>
            <w:hideMark/>
          </w:tcPr>
          <w:p w14:paraId="10F787B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285</w:t>
            </w:r>
          </w:p>
        </w:tc>
        <w:tc>
          <w:tcPr>
            <w:tcW w:w="476" w:type="dxa"/>
            <w:noWrap/>
            <w:hideMark/>
          </w:tcPr>
          <w:p w14:paraId="031D34F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1285D34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3306313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0F9A07B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23267B9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6609C6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35D3D5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B06FA3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5BAC28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8C4F90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792486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1F1512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1C2C03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75524F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87936C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D368E7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1032FFC"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65CD5C6C"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shd w:val="clear" w:color="auto" w:fill="FFFFFF" w:themeFill="background1"/>
            <w:hideMark/>
          </w:tcPr>
          <w:p w14:paraId="76757255" w14:textId="77777777" w:rsidR="005B25AB" w:rsidRPr="00A6515E" w:rsidRDefault="005B25AB" w:rsidP="003D157D">
            <w:pPr>
              <w:rPr>
                <w:b w:val="0"/>
                <w:bCs w:val="0"/>
                <w:szCs w:val="18"/>
              </w:rPr>
            </w:pPr>
          </w:p>
        </w:tc>
        <w:tc>
          <w:tcPr>
            <w:tcW w:w="474" w:type="dxa"/>
            <w:noWrap/>
            <w:hideMark/>
          </w:tcPr>
          <w:p w14:paraId="12B0172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286</w:t>
            </w:r>
          </w:p>
        </w:tc>
        <w:tc>
          <w:tcPr>
            <w:tcW w:w="476" w:type="dxa"/>
            <w:noWrap/>
            <w:hideMark/>
          </w:tcPr>
          <w:p w14:paraId="0873DE0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6018626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22837F9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29C318A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3C95931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1398E3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8117CD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1EE378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AD58C4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D72CC1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80C81F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2E2EB5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66B908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7941A6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7C5C45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909750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3ADA5A7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493C1DD9"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shd w:val="clear" w:color="auto" w:fill="FFFFFF" w:themeFill="background1"/>
            <w:hideMark/>
          </w:tcPr>
          <w:p w14:paraId="125F893B" w14:textId="77777777" w:rsidR="005B25AB" w:rsidRPr="00A6515E" w:rsidRDefault="005B25AB" w:rsidP="003D157D">
            <w:pPr>
              <w:rPr>
                <w:b w:val="0"/>
                <w:bCs w:val="0"/>
                <w:szCs w:val="18"/>
              </w:rPr>
            </w:pPr>
          </w:p>
        </w:tc>
        <w:tc>
          <w:tcPr>
            <w:tcW w:w="474" w:type="dxa"/>
            <w:noWrap/>
            <w:hideMark/>
          </w:tcPr>
          <w:p w14:paraId="762068C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287</w:t>
            </w:r>
          </w:p>
        </w:tc>
        <w:tc>
          <w:tcPr>
            <w:tcW w:w="476" w:type="dxa"/>
            <w:noWrap/>
            <w:hideMark/>
          </w:tcPr>
          <w:p w14:paraId="5460C46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1F5AA3A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7345963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4FA06D3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588A712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222E7E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026D4B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CBA735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7E8107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CCDB8F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B3CE97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AD553F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504285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B8C6F1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58F9FC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1F0580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C6DBEC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513B5844"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shd w:val="clear" w:color="auto" w:fill="FFFFFF" w:themeFill="background1"/>
            <w:hideMark/>
          </w:tcPr>
          <w:p w14:paraId="2251F3F6" w14:textId="77777777" w:rsidR="005B25AB" w:rsidRPr="00A6515E" w:rsidRDefault="005B25AB" w:rsidP="003D157D">
            <w:pPr>
              <w:rPr>
                <w:b w:val="0"/>
                <w:bCs w:val="0"/>
                <w:szCs w:val="18"/>
              </w:rPr>
            </w:pPr>
          </w:p>
        </w:tc>
        <w:tc>
          <w:tcPr>
            <w:tcW w:w="474" w:type="dxa"/>
            <w:noWrap/>
            <w:hideMark/>
          </w:tcPr>
          <w:p w14:paraId="3D08EDF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288</w:t>
            </w:r>
          </w:p>
        </w:tc>
        <w:tc>
          <w:tcPr>
            <w:tcW w:w="476" w:type="dxa"/>
            <w:noWrap/>
            <w:hideMark/>
          </w:tcPr>
          <w:p w14:paraId="1A9D44F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1E6C833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43F29EA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4DBC9BE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57B5815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93109E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955CE71"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BDD91A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E28996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6916B3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3CC022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47BDA87"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E7B3BA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8ABF12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75002B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3852F9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77FE9D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201D9737"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shd w:val="clear" w:color="auto" w:fill="FFFFFF" w:themeFill="background1"/>
            <w:hideMark/>
          </w:tcPr>
          <w:p w14:paraId="6CB5FD25" w14:textId="77777777" w:rsidR="005B25AB" w:rsidRPr="00A6515E" w:rsidRDefault="005B25AB" w:rsidP="003D157D">
            <w:pPr>
              <w:rPr>
                <w:b w:val="0"/>
                <w:bCs w:val="0"/>
                <w:szCs w:val="18"/>
              </w:rPr>
            </w:pPr>
          </w:p>
        </w:tc>
        <w:tc>
          <w:tcPr>
            <w:tcW w:w="474" w:type="dxa"/>
            <w:noWrap/>
            <w:hideMark/>
          </w:tcPr>
          <w:p w14:paraId="1CBD697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289</w:t>
            </w:r>
          </w:p>
        </w:tc>
        <w:tc>
          <w:tcPr>
            <w:tcW w:w="476" w:type="dxa"/>
            <w:noWrap/>
            <w:hideMark/>
          </w:tcPr>
          <w:p w14:paraId="2984630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56D8117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3A22906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5B0A32D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314CDB70"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C8B2B2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20384B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C06F23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187E9D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623F67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CB20C2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58898A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455BEF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88D258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9E5DDF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28268B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FF6F4E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754CAA66"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shd w:val="clear" w:color="auto" w:fill="FFFFFF" w:themeFill="background1"/>
            <w:hideMark/>
          </w:tcPr>
          <w:p w14:paraId="2A3ECEEE" w14:textId="77777777" w:rsidR="005B25AB" w:rsidRPr="00A6515E" w:rsidRDefault="005B25AB" w:rsidP="003D157D">
            <w:pPr>
              <w:rPr>
                <w:b w:val="0"/>
                <w:bCs w:val="0"/>
                <w:szCs w:val="18"/>
              </w:rPr>
            </w:pPr>
          </w:p>
        </w:tc>
        <w:tc>
          <w:tcPr>
            <w:tcW w:w="474" w:type="dxa"/>
            <w:noWrap/>
            <w:hideMark/>
          </w:tcPr>
          <w:p w14:paraId="469551E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290</w:t>
            </w:r>
          </w:p>
        </w:tc>
        <w:tc>
          <w:tcPr>
            <w:tcW w:w="476" w:type="dxa"/>
            <w:noWrap/>
            <w:hideMark/>
          </w:tcPr>
          <w:p w14:paraId="69741C20"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2667F89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7DB8106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1959C93C"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2489D4D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6B7385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DF91B3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8964DB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92F866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F43BDA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4CEF41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27753C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6D5B3F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F65C6D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E895A0D"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065096E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CBA61F4"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4096740D" w14:textId="77777777" w:rsidTr="003D157D">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474" w:type="dxa"/>
            <w:vMerge/>
            <w:shd w:val="clear" w:color="auto" w:fill="FFFFFF" w:themeFill="background1"/>
            <w:hideMark/>
          </w:tcPr>
          <w:p w14:paraId="19320650" w14:textId="77777777" w:rsidR="005B25AB" w:rsidRPr="00A6515E" w:rsidRDefault="005B25AB" w:rsidP="003D157D">
            <w:pPr>
              <w:rPr>
                <w:b w:val="0"/>
                <w:bCs w:val="0"/>
                <w:szCs w:val="18"/>
              </w:rPr>
            </w:pPr>
          </w:p>
        </w:tc>
        <w:tc>
          <w:tcPr>
            <w:tcW w:w="474" w:type="dxa"/>
            <w:noWrap/>
            <w:hideMark/>
          </w:tcPr>
          <w:p w14:paraId="2F28FD4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291</w:t>
            </w:r>
          </w:p>
        </w:tc>
        <w:tc>
          <w:tcPr>
            <w:tcW w:w="476" w:type="dxa"/>
            <w:noWrap/>
            <w:hideMark/>
          </w:tcPr>
          <w:p w14:paraId="5288B0C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60F2C06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5BCBD76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361470A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49327A67"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08EA30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B11F73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B45325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8A8690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FD2FBD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C13C145"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CEA31F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F8B5F32"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70CFB6C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BA5257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99C748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22FD8A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r w:rsidR="005B25AB" w:rsidRPr="00A6515E" w14:paraId="1B811DA9" w14:textId="77777777" w:rsidTr="003D157D">
        <w:trPr>
          <w:trHeight w:val="290"/>
        </w:trPr>
        <w:tc>
          <w:tcPr>
            <w:cnfStyle w:val="001000000000" w:firstRow="0" w:lastRow="0" w:firstColumn="1" w:lastColumn="0" w:oddVBand="0" w:evenVBand="0" w:oddHBand="0" w:evenHBand="0" w:firstRowFirstColumn="0" w:firstRowLastColumn="0" w:lastRowFirstColumn="0" w:lastRowLastColumn="0"/>
            <w:tcW w:w="474" w:type="dxa"/>
            <w:vMerge/>
            <w:shd w:val="clear" w:color="auto" w:fill="FFFFFF" w:themeFill="background1"/>
            <w:hideMark/>
          </w:tcPr>
          <w:p w14:paraId="66EEEF36" w14:textId="77777777" w:rsidR="005B25AB" w:rsidRPr="00A6515E" w:rsidRDefault="005B25AB" w:rsidP="003D157D">
            <w:pPr>
              <w:rPr>
                <w:b w:val="0"/>
                <w:bCs w:val="0"/>
                <w:szCs w:val="18"/>
              </w:rPr>
            </w:pPr>
          </w:p>
        </w:tc>
        <w:tc>
          <w:tcPr>
            <w:tcW w:w="474" w:type="dxa"/>
            <w:noWrap/>
            <w:hideMark/>
          </w:tcPr>
          <w:p w14:paraId="775BD84F"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r w:rsidRPr="00A6515E">
              <w:rPr>
                <w:b/>
                <w:bCs/>
                <w:szCs w:val="18"/>
              </w:rPr>
              <w:t>292</w:t>
            </w:r>
          </w:p>
        </w:tc>
        <w:tc>
          <w:tcPr>
            <w:tcW w:w="476" w:type="dxa"/>
            <w:noWrap/>
            <w:hideMark/>
          </w:tcPr>
          <w:p w14:paraId="19864BE8"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bCs/>
                <w:szCs w:val="18"/>
              </w:rPr>
            </w:pPr>
          </w:p>
        </w:tc>
        <w:tc>
          <w:tcPr>
            <w:tcW w:w="478" w:type="dxa"/>
            <w:noWrap/>
            <w:hideMark/>
          </w:tcPr>
          <w:p w14:paraId="501ACAD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2EE45F7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0A301FE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r w:rsidRPr="00A6515E">
              <w:rPr>
                <w:b/>
                <w:szCs w:val="18"/>
              </w:rPr>
              <w:t>x</w:t>
            </w:r>
          </w:p>
        </w:tc>
        <w:tc>
          <w:tcPr>
            <w:tcW w:w="478" w:type="dxa"/>
            <w:noWrap/>
            <w:hideMark/>
          </w:tcPr>
          <w:p w14:paraId="734453BA"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F4D07F9"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937A99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7728A75"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20367A9B"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650A467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563DA82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1669D6F6"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568649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40E720A3"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DDBE0C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74A609E"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c>
          <w:tcPr>
            <w:tcW w:w="478" w:type="dxa"/>
            <w:noWrap/>
            <w:hideMark/>
          </w:tcPr>
          <w:p w14:paraId="7B698E32" w14:textId="77777777" w:rsidR="005B25AB" w:rsidRPr="00A6515E" w:rsidRDefault="005B25AB" w:rsidP="003D157D">
            <w:pPr>
              <w:cnfStyle w:val="000000000000" w:firstRow="0" w:lastRow="0" w:firstColumn="0" w:lastColumn="0" w:oddVBand="0" w:evenVBand="0" w:oddHBand="0" w:evenHBand="0" w:firstRowFirstColumn="0" w:firstRowLastColumn="0" w:lastRowFirstColumn="0" w:lastRowLastColumn="0"/>
              <w:rPr>
                <w:b/>
                <w:szCs w:val="18"/>
              </w:rPr>
            </w:pPr>
          </w:p>
        </w:tc>
      </w:tr>
      <w:tr w:rsidR="005B25AB" w:rsidRPr="00A6515E" w14:paraId="545AD0F8" w14:textId="77777777" w:rsidTr="003D157D">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4" w:type="dxa"/>
            <w:vMerge/>
            <w:shd w:val="clear" w:color="auto" w:fill="FFFFFF" w:themeFill="background1"/>
            <w:hideMark/>
          </w:tcPr>
          <w:p w14:paraId="435B9BDC" w14:textId="77777777" w:rsidR="005B25AB" w:rsidRPr="00A6515E" w:rsidRDefault="005B25AB" w:rsidP="003D157D">
            <w:pPr>
              <w:rPr>
                <w:b w:val="0"/>
                <w:bCs w:val="0"/>
                <w:szCs w:val="18"/>
              </w:rPr>
            </w:pPr>
          </w:p>
        </w:tc>
        <w:tc>
          <w:tcPr>
            <w:tcW w:w="474" w:type="dxa"/>
            <w:noWrap/>
            <w:hideMark/>
          </w:tcPr>
          <w:p w14:paraId="2C771AFE"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r w:rsidRPr="00A6515E">
              <w:rPr>
                <w:b/>
                <w:bCs/>
                <w:szCs w:val="18"/>
              </w:rPr>
              <w:t>293</w:t>
            </w:r>
          </w:p>
        </w:tc>
        <w:tc>
          <w:tcPr>
            <w:tcW w:w="476" w:type="dxa"/>
            <w:noWrap/>
            <w:hideMark/>
          </w:tcPr>
          <w:p w14:paraId="7053547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bCs/>
                <w:szCs w:val="18"/>
              </w:rPr>
            </w:pPr>
          </w:p>
        </w:tc>
        <w:tc>
          <w:tcPr>
            <w:tcW w:w="478" w:type="dxa"/>
            <w:noWrap/>
            <w:hideMark/>
          </w:tcPr>
          <w:p w14:paraId="47DC636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CDE17C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r w:rsidRPr="00A6515E">
              <w:rPr>
                <w:b/>
                <w:szCs w:val="18"/>
              </w:rPr>
              <w:t>x</w:t>
            </w:r>
          </w:p>
        </w:tc>
        <w:tc>
          <w:tcPr>
            <w:tcW w:w="478" w:type="dxa"/>
            <w:noWrap/>
            <w:hideMark/>
          </w:tcPr>
          <w:p w14:paraId="1F43BB7D"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047C5DE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22A9F23"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2827DB1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C0D690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9834A0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CBB9428"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32FA36A"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659CEE06"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064582F"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3497F484"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448C45F1"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54640E29"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c>
          <w:tcPr>
            <w:tcW w:w="478" w:type="dxa"/>
            <w:noWrap/>
            <w:hideMark/>
          </w:tcPr>
          <w:p w14:paraId="1D800C0B" w14:textId="77777777" w:rsidR="005B25AB" w:rsidRPr="00A6515E" w:rsidRDefault="005B25AB" w:rsidP="003D157D">
            <w:pPr>
              <w:cnfStyle w:val="000000100000" w:firstRow="0" w:lastRow="0" w:firstColumn="0" w:lastColumn="0" w:oddVBand="0" w:evenVBand="0" w:oddHBand="1" w:evenHBand="0" w:firstRowFirstColumn="0" w:firstRowLastColumn="0" w:lastRowFirstColumn="0" w:lastRowLastColumn="0"/>
              <w:rPr>
                <w:b/>
                <w:szCs w:val="18"/>
              </w:rPr>
            </w:pPr>
          </w:p>
        </w:tc>
      </w:tr>
    </w:tbl>
    <w:p w14:paraId="3B0FA52B" w14:textId="76EDA272" w:rsidR="005B25AB" w:rsidRPr="00990280" w:rsidRDefault="005B25AB" w:rsidP="00942782">
      <w:pPr>
        <w:rPr>
          <w:sz w:val="18"/>
        </w:rPr>
      </w:pPr>
      <w:r w:rsidRPr="00990280">
        <w:rPr>
          <w:sz w:val="18"/>
        </w:rPr>
        <w:t>Parameters defined in the</w:t>
      </w:r>
      <w:r>
        <w:rPr>
          <w:sz w:val="18"/>
        </w:rPr>
        <w:t xml:space="preserve"> </w:t>
      </w:r>
      <w:r w:rsidRPr="005B25AB">
        <w:rPr>
          <w:b/>
          <w:sz w:val="18"/>
        </w:rPr>
        <w:t>section</w:t>
      </w:r>
      <w:r>
        <w:rPr>
          <w:b/>
          <w:sz w:val="18"/>
        </w:rPr>
        <w:t>s</w:t>
      </w:r>
      <w:r w:rsidRPr="005B25AB">
        <w:rPr>
          <w:b/>
          <w:sz w:val="18"/>
        </w:rPr>
        <w:t xml:space="preserve"> </w:t>
      </w:r>
      <w:r w:rsidR="007B5B6D">
        <w:rPr>
          <w:b/>
          <w:sz w:val="18"/>
        </w:rPr>
        <w:t xml:space="preserve">SI. </w:t>
      </w:r>
      <w:r w:rsidRPr="005B25AB">
        <w:rPr>
          <w:b/>
          <w:sz w:val="18"/>
        </w:rPr>
        <w:t>4.2-4.8</w:t>
      </w:r>
      <w:r>
        <w:rPr>
          <w:sz w:val="18"/>
        </w:rPr>
        <w:t xml:space="preserve"> and in</w:t>
      </w:r>
      <w:r w:rsidR="008C451C">
        <w:rPr>
          <w:sz w:val="18"/>
        </w:rPr>
        <w:t xml:space="preserve"> Javourez </w:t>
      </w:r>
      <w:r w:rsidR="008C451C" w:rsidRPr="007B5B6D">
        <w:rPr>
          <w:sz w:val="18"/>
        </w:rPr>
        <w:t>et al., 202</w:t>
      </w:r>
      <w:r w:rsidR="007B5B6D" w:rsidRPr="007B5B6D">
        <w:rPr>
          <w:sz w:val="18"/>
        </w:rPr>
        <w:t>4</w:t>
      </w:r>
      <w:r w:rsidR="008C451C" w:rsidRPr="007B5B6D">
        <w:rPr>
          <w:sz w:val="18"/>
        </w:rPr>
        <w:fldChar w:fldCharType="begin"/>
      </w:r>
      <w:r w:rsidR="00827449">
        <w:rPr>
          <w:sz w:val="18"/>
        </w:rPr>
        <w:instrText xml:space="preserve"> ADDIN ZOTERO_ITEM CSL_CITATION {"citationID":"a28jmeaqocc","properties":{"formattedCitation":"\\super 1\\nosupersub{}","plainCitation":"1","noteIndex":0},"citationItems":[{"id":14333,"uris":["http://zotero.org/users/6423791/items/XCNA2SYX"],"itemData":{"id":14333,"type":"article","DOI":"10.21203/rs.3.rs-3626167/v2","genre":"preprint","publisher":"Research Square","title":"Setting the environmental performance threshold for diverting residual streams towards bioeconomy strategies","author":[{"family":"Javourez","given":"U."},{"family":"Karan","given":"S. K."},{"family":"Hamelin","given":"L."}],"issued":{"date-parts":[["2023",11,20]]}}}],"schema":"https://github.com/citation-style-language/schema/raw/master/csl-citation.json"} </w:instrText>
      </w:r>
      <w:r w:rsidR="008C451C" w:rsidRPr="007B5B6D">
        <w:rPr>
          <w:sz w:val="18"/>
        </w:rPr>
        <w:fldChar w:fldCharType="separate"/>
      </w:r>
      <w:r w:rsidR="008C451C" w:rsidRPr="007B5B6D">
        <w:rPr>
          <w:rFonts w:ascii="Calibri" w:hAnsi="Calibri" w:cs="Calibri"/>
          <w:sz w:val="18"/>
          <w:szCs w:val="24"/>
          <w:vertAlign w:val="superscript"/>
        </w:rPr>
        <w:t>1</w:t>
      </w:r>
      <w:r w:rsidR="008C451C" w:rsidRPr="007B5B6D">
        <w:rPr>
          <w:sz w:val="18"/>
        </w:rPr>
        <w:fldChar w:fldCharType="end"/>
      </w:r>
      <w:r w:rsidRPr="007B5B6D">
        <w:rPr>
          <w:sz w:val="18"/>
        </w:rPr>
        <w:t xml:space="preserve"> .</w:t>
      </w:r>
    </w:p>
    <w:p w14:paraId="4D7F23F7" w14:textId="6ACCAC6E" w:rsidR="005B25AB" w:rsidRDefault="005B25AB" w:rsidP="00B92C6D">
      <w:pPr>
        <w:jc w:val="both"/>
      </w:pPr>
    </w:p>
    <w:p w14:paraId="48FFE761" w14:textId="667E4F6A" w:rsidR="00447F21" w:rsidRDefault="00447F21" w:rsidP="00447F21">
      <w:pPr>
        <w:pStyle w:val="Titre1"/>
      </w:pPr>
      <w:bookmarkStart w:id="445" w:name="_Toc145069140"/>
      <w:r w:rsidRPr="00447F21">
        <w:t>References</w:t>
      </w:r>
      <w:bookmarkEnd w:id="445"/>
    </w:p>
    <w:p w14:paraId="13A536DD" w14:textId="77777777" w:rsidR="00B87259" w:rsidRPr="00297685" w:rsidRDefault="00B87259" w:rsidP="00297685">
      <w:pPr>
        <w:pStyle w:val="Bibliographie"/>
        <w:spacing w:line="240" w:lineRule="auto"/>
        <w:ind w:right="113"/>
        <w:contextualSpacing/>
        <w:jc w:val="both"/>
        <w:rPr>
          <w:b/>
          <w:sz w:val="18"/>
          <w:szCs w:val="18"/>
        </w:rPr>
        <w:sectPr w:rsidR="00B87259" w:rsidRPr="00297685" w:rsidSect="004E2D3F">
          <w:footerReference w:type="default" r:id="rId13"/>
          <w:pgSz w:w="11906" w:h="16838"/>
          <w:pgMar w:top="1417" w:right="1417" w:bottom="1417" w:left="1417" w:header="708" w:footer="708" w:gutter="0"/>
          <w:lnNumType w:countBy="1" w:restart="continuous"/>
          <w:cols w:space="708"/>
          <w:docGrid w:linePitch="360"/>
        </w:sectPr>
      </w:pPr>
    </w:p>
    <w:p w14:paraId="2C0D149D" w14:textId="77777777" w:rsidR="00297685" w:rsidRPr="00297685" w:rsidRDefault="00447F21" w:rsidP="00297685">
      <w:pPr>
        <w:pStyle w:val="Bibliographie"/>
        <w:spacing w:line="240" w:lineRule="auto"/>
        <w:ind w:right="113"/>
        <w:contextualSpacing/>
        <w:jc w:val="both"/>
        <w:rPr>
          <w:rFonts w:ascii="Calibri" w:hAnsi="Calibri" w:cs="Calibri"/>
          <w:sz w:val="18"/>
          <w:szCs w:val="18"/>
        </w:rPr>
      </w:pPr>
      <w:r w:rsidRPr="00297685">
        <w:rPr>
          <w:rStyle w:val="Rfrencelgre"/>
          <w:sz w:val="18"/>
          <w:szCs w:val="18"/>
        </w:rPr>
        <w:fldChar w:fldCharType="begin"/>
      </w:r>
      <w:r w:rsidR="00297685" w:rsidRPr="00297685">
        <w:rPr>
          <w:rStyle w:val="Rfrencelgre"/>
          <w:sz w:val="18"/>
          <w:szCs w:val="18"/>
        </w:rPr>
        <w:instrText xml:space="preserve"> ADDIN ZOTERO_BIBL {"uncited":[],"omitted":[],"custom":[]} CSL_BIBLIOGRAPHY </w:instrText>
      </w:r>
      <w:r w:rsidRPr="00297685">
        <w:rPr>
          <w:rStyle w:val="Rfrencelgre"/>
          <w:sz w:val="18"/>
          <w:szCs w:val="18"/>
        </w:rPr>
        <w:fldChar w:fldCharType="separate"/>
      </w:r>
      <w:r w:rsidR="00297685" w:rsidRPr="00297685">
        <w:rPr>
          <w:rFonts w:ascii="Calibri" w:hAnsi="Calibri" w:cs="Calibri"/>
          <w:sz w:val="18"/>
          <w:szCs w:val="18"/>
        </w:rPr>
        <w:t>1.</w:t>
      </w:r>
      <w:r w:rsidR="00297685" w:rsidRPr="00297685">
        <w:rPr>
          <w:rFonts w:ascii="Calibri" w:hAnsi="Calibri" w:cs="Calibri"/>
          <w:sz w:val="18"/>
          <w:szCs w:val="18"/>
        </w:rPr>
        <w:tab/>
        <w:t>Javourez, U., Karan, S. K. &amp; Hamelin, L. Setting the environmental performance threshold for diverting residual streams towards bioeconomy strategies. Preprint at https://doi.org/10.21203/rs.3.rs-3626167/v2 (2023).</w:t>
      </w:r>
    </w:p>
    <w:p w14:paraId="0CDC86E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w:t>
      </w:r>
      <w:r w:rsidRPr="00297685">
        <w:rPr>
          <w:rFonts w:ascii="Calibri" w:hAnsi="Calibri" w:cs="Calibri"/>
          <w:sz w:val="18"/>
          <w:szCs w:val="18"/>
        </w:rPr>
        <w:tab/>
        <w:t xml:space="preserve">Javourez, U., O’Donohue, M. &amp; Hamelin, L. Waste-to-nutrition: a review of current and emerging conversion pathways. </w:t>
      </w:r>
      <w:r w:rsidRPr="00297685">
        <w:rPr>
          <w:rFonts w:ascii="Calibri" w:hAnsi="Calibri" w:cs="Calibri"/>
          <w:i/>
          <w:iCs/>
          <w:sz w:val="18"/>
          <w:szCs w:val="18"/>
        </w:rPr>
        <w:t>Biotechnol. Adv.</w:t>
      </w:r>
      <w:r w:rsidRPr="00297685">
        <w:rPr>
          <w:rFonts w:ascii="Calibri" w:hAnsi="Calibri" w:cs="Calibri"/>
          <w:sz w:val="18"/>
          <w:szCs w:val="18"/>
        </w:rPr>
        <w:t xml:space="preserve"> </w:t>
      </w:r>
      <w:r w:rsidRPr="00297685">
        <w:rPr>
          <w:rFonts w:ascii="Calibri" w:hAnsi="Calibri" w:cs="Calibri"/>
          <w:b/>
          <w:bCs/>
          <w:sz w:val="18"/>
          <w:szCs w:val="18"/>
        </w:rPr>
        <w:t>53</w:t>
      </w:r>
      <w:r w:rsidRPr="00297685">
        <w:rPr>
          <w:rFonts w:ascii="Calibri" w:hAnsi="Calibri" w:cs="Calibri"/>
          <w:sz w:val="18"/>
          <w:szCs w:val="18"/>
        </w:rPr>
        <w:t>, 107857 (2021).</w:t>
      </w:r>
    </w:p>
    <w:p w14:paraId="03302AC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w:t>
      </w:r>
      <w:r w:rsidRPr="00297685">
        <w:rPr>
          <w:rFonts w:ascii="Calibri" w:hAnsi="Calibri" w:cs="Calibri"/>
          <w:sz w:val="18"/>
          <w:szCs w:val="18"/>
        </w:rPr>
        <w:tab/>
        <w:t xml:space="preserve">EC Regulation. </w:t>
      </w:r>
      <w:r w:rsidRPr="00297685">
        <w:rPr>
          <w:rFonts w:ascii="Calibri" w:hAnsi="Calibri" w:cs="Calibri"/>
          <w:i/>
          <w:iCs/>
          <w:sz w:val="18"/>
          <w:szCs w:val="18"/>
        </w:rPr>
        <w:t xml:space="preserve">Regulation (EC) No 1069/2009 of the European Parliament and of the Council of 21 October 2009 Laying down Health Rules as Regards Animal </w:t>
      </w:r>
      <w:proofErr w:type="gramStart"/>
      <w:r w:rsidRPr="00297685">
        <w:rPr>
          <w:rFonts w:ascii="Calibri" w:hAnsi="Calibri" w:cs="Calibri"/>
          <w:i/>
          <w:iCs/>
          <w:sz w:val="18"/>
          <w:szCs w:val="18"/>
        </w:rPr>
        <w:t>by-Products</w:t>
      </w:r>
      <w:proofErr w:type="gramEnd"/>
      <w:r w:rsidRPr="00297685">
        <w:rPr>
          <w:rFonts w:ascii="Calibri" w:hAnsi="Calibri" w:cs="Calibri"/>
          <w:i/>
          <w:iCs/>
          <w:sz w:val="18"/>
          <w:szCs w:val="18"/>
        </w:rPr>
        <w:t xml:space="preserve"> and Derived Products Not Intended for Human Consumption and Repealing Regulation (EC) No 1774/2002 (Animal by-Products Regulation)</w:t>
      </w:r>
      <w:r w:rsidRPr="00297685">
        <w:rPr>
          <w:rFonts w:ascii="Calibri" w:hAnsi="Calibri" w:cs="Calibri"/>
          <w:sz w:val="18"/>
          <w:szCs w:val="18"/>
        </w:rPr>
        <w:t xml:space="preserve">. </w:t>
      </w:r>
      <w:r w:rsidRPr="00297685">
        <w:rPr>
          <w:rFonts w:ascii="Calibri" w:hAnsi="Calibri" w:cs="Calibri"/>
          <w:i/>
          <w:iCs/>
          <w:sz w:val="18"/>
          <w:szCs w:val="18"/>
        </w:rPr>
        <w:t>OJ L</w:t>
      </w:r>
      <w:r w:rsidRPr="00297685">
        <w:rPr>
          <w:rFonts w:ascii="Calibri" w:hAnsi="Calibri" w:cs="Calibri"/>
          <w:sz w:val="18"/>
          <w:szCs w:val="18"/>
        </w:rPr>
        <w:t xml:space="preserve"> vol. 300 1–33 (2009).</w:t>
      </w:r>
    </w:p>
    <w:p w14:paraId="69E5EC7B" w14:textId="77777777"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rPr>
        <w:t>4.</w:t>
      </w:r>
      <w:r w:rsidRPr="00297685">
        <w:rPr>
          <w:rFonts w:ascii="Calibri" w:hAnsi="Calibri" w:cs="Calibri"/>
          <w:sz w:val="18"/>
          <w:szCs w:val="18"/>
        </w:rPr>
        <w:tab/>
        <w:t xml:space="preserve">Javourez, U., Rosero Delgado, E. A. &amp; Hamelin, L. Upgrading agrifood co-products via solid fermentation yields environmental benefits under specific conditions only. </w:t>
      </w:r>
      <w:r w:rsidRPr="00297685">
        <w:rPr>
          <w:rFonts w:ascii="Calibri" w:hAnsi="Calibri" w:cs="Calibri"/>
          <w:i/>
          <w:iCs/>
          <w:sz w:val="18"/>
          <w:szCs w:val="18"/>
          <w:lang w:val="fr-FR"/>
        </w:rPr>
        <w:t>Nat Food</w:t>
      </w:r>
      <w:r w:rsidRPr="00297685">
        <w:rPr>
          <w:rFonts w:ascii="Calibri" w:hAnsi="Calibri" w:cs="Calibri"/>
          <w:sz w:val="18"/>
          <w:szCs w:val="18"/>
          <w:lang w:val="fr-FR"/>
        </w:rPr>
        <w:t xml:space="preserve"> </w:t>
      </w:r>
      <w:r w:rsidRPr="00297685">
        <w:rPr>
          <w:rFonts w:ascii="Calibri" w:hAnsi="Calibri" w:cs="Calibri"/>
          <w:b/>
          <w:bCs/>
          <w:sz w:val="18"/>
          <w:szCs w:val="18"/>
          <w:lang w:val="fr-FR"/>
        </w:rPr>
        <w:t>3</w:t>
      </w:r>
      <w:r w:rsidRPr="00297685">
        <w:rPr>
          <w:rFonts w:ascii="Calibri" w:hAnsi="Calibri" w:cs="Calibri"/>
          <w:sz w:val="18"/>
          <w:szCs w:val="18"/>
          <w:lang w:val="fr-FR"/>
        </w:rPr>
        <w:t>, 911–920 (2022).</w:t>
      </w:r>
    </w:p>
    <w:p w14:paraId="34AE22DF" w14:textId="77777777"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lang w:val="fr-FR"/>
        </w:rPr>
        <w:t>5.</w:t>
      </w:r>
      <w:r w:rsidRPr="00297685">
        <w:rPr>
          <w:rFonts w:ascii="Calibri" w:hAnsi="Calibri" w:cs="Calibri"/>
          <w:sz w:val="18"/>
          <w:szCs w:val="18"/>
          <w:lang w:val="fr-FR"/>
        </w:rPr>
        <w:tab/>
        <w:t xml:space="preserve">FranceAgriMer. </w:t>
      </w:r>
      <w:r w:rsidRPr="00297685">
        <w:rPr>
          <w:rFonts w:ascii="Calibri" w:hAnsi="Calibri" w:cs="Calibri"/>
          <w:i/>
          <w:iCs/>
          <w:sz w:val="18"/>
          <w:szCs w:val="18"/>
          <w:lang w:val="fr-FR"/>
        </w:rPr>
        <w:t>L’Observatoire National Des Ressources En Biomasse, Évaluation Des Ressources Agricoles et Agroalimentaires Disponibles En France – Édition 2020</w:t>
      </w:r>
      <w:r w:rsidRPr="00297685">
        <w:rPr>
          <w:rFonts w:ascii="Calibri" w:hAnsi="Calibri" w:cs="Calibri"/>
          <w:sz w:val="18"/>
          <w:szCs w:val="18"/>
          <w:lang w:val="fr-FR"/>
        </w:rPr>
        <w:t>. 93 https://www.franceagrimer.fr/content/download/66147/document/DON-ONRB-2020_VF3.pdf (2021).</w:t>
      </w:r>
    </w:p>
    <w:p w14:paraId="177C9CFB"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6.</w:t>
      </w:r>
      <w:r w:rsidRPr="00297685">
        <w:rPr>
          <w:rFonts w:ascii="Calibri" w:hAnsi="Calibri" w:cs="Calibri"/>
          <w:sz w:val="18"/>
          <w:szCs w:val="18"/>
        </w:rPr>
        <w:tab/>
        <w:t xml:space="preserve">Lodato, C., Hamelin, L., Tonini, D. &amp; Astrup, T. F. Towards sustainable methane supply from local bioresources: Anaerobic digestion, gasification, and gas upgrading. </w:t>
      </w:r>
      <w:r w:rsidRPr="00297685">
        <w:rPr>
          <w:rFonts w:ascii="Calibri" w:hAnsi="Calibri" w:cs="Calibri"/>
          <w:i/>
          <w:iCs/>
          <w:sz w:val="18"/>
          <w:szCs w:val="18"/>
        </w:rPr>
        <w:t>Appl. Energy</w:t>
      </w:r>
      <w:r w:rsidRPr="00297685">
        <w:rPr>
          <w:rFonts w:ascii="Calibri" w:hAnsi="Calibri" w:cs="Calibri"/>
          <w:sz w:val="18"/>
          <w:szCs w:val="18"/>
        </w:rPr>
        <w:t xml:space="preserve"> </w:t>
      </w:r>
      <w:r w:rsidRPr="00297685">
        <w:rPr>
          <w:rFonts w:ascii="Calibri" w:hAnsi="Calibri" w:cs="Calibri"/>
          <w:b/>
          <w:bCs/>
          <w:sz w:val="18"/>
          <w:szCs w:val="18"/>
        </w:rPr>
        <w:t>323</w:t>
      </w:r>
      <w:r w:rsidRPr="00297685">
        <w:rPr>
          <w:rFonts w:ascii="Calibri" w:hAnsi="Calibri" w:cs="Calibri"/>
          <w:sz w:val="18"/>
          <w:szCs w:val="18"/>
        </w:rPr>
        <w:t>, 119568 (2022).</w:t>
      </w:r>
    </w:p>
    <w:p w14:paraId="229F061A"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7.</w:t>
      </w:r>
      <w:r w:rsidRPr="00297685">
        <w:rPr>
          <w:rFonts w:ascii="Calibri" w:hAnsi="Calibri" w:cs="Calibri"/>
          <w:sz w:val="18"/>
          <w:szCs w:val="18"/>
        </w:rPr>
        <w:tab/>
        <w:t>Blok, M. C. &amp; Spek, J. W. CVB Feed Table 2018 - Chemical composition and nutritional values of feedstuffs. (2018).</w:t>
      </w:r>
    </w:p>
    <w:p w14:paraId="49B9E0C5"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8.</w:t>
      </w:r>
      <w:r w:rsidRPr="00297685">
        <w:rPr>
          <w:rFonts w:ascii="Calibri" w:hAnsi="Calibri" w:cs="Calibri"/>
          <w:sz w:val="18"/>
          <w:szCs w:val="18"/>
        </w:rPr>
        <w:tab/>
        <w:t>Feedipedia. List of feeds. https://feedipedia.org/content/feeds?category=All (2020).</w:t>
      </w:r>
    </w:p>
    <w:p w14:paraId="7AF0D0C9"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9.</w:t>
      </w:r>
      <w:r w:rsidRPr="00297685">
        <w:rPr>
          <w:rFonts w:ascii="Calibri" w:hAnsi="Calibri" w:cs="Calibri"/>
          <w:sz w:val="18"/>
          <w:szCs w:val="18"/>
        </w:rPr>
        <w:tab/>
        <w:t xml:space="preserve">INRAE, CIRAD, &amp; AFZ. Tables of composition and nutritional values of feed materials. </w:t>
      </w:r>
      <w:r w:rsidRPr="00297685">
        <w:rPr>
          <w:rFonts w:ascii="Calibri" w:hAnsi="Calibri" w:cs="Calibri"/>
          <w:i/>
          <w:iCs/>
          <w:sz w:val="18"/>
          <w:szCs w:val="18"/>
        </w:rPr>
        <w:t>INRAE-CIRAD-AFZ Feed tables</w:t>
      </w:r>
      <w:r w:rsidRPr="00297685">
        <w:rPr>
          <w:rFonts w:ascii="Calibri" w:hAnsi="Calibri" w:cs="Calibri"/>
          <w:sz w:val="18"/>
          <w:szCs w:val="18"/>
        </w:rPr>
        <w:t xml:space="preserve"> https://feedtables.com/ (2021).</w:t>
      </w:r>
    </w:p>
    <w:p w14:paraId="0386AC74"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10.</w:t>
      </w:r>
      <w:r w:rsidRPr="00297685">
        <w:rPr>
          <w:rFonts w:ascii="Calibri" w:hAnsi="Calibri" w:cs="Calibri"/>
          <w:sz w:val="18"/>
          <w:szCs w:val="18"/>
        </w:rPr>
        <w:tab/>
        <w:t xml:space="preserve">Hamelin, L., Naroznova, I. &amp; Wenzel, H. Environmental consequences of different carbon alternatives for increased manure-based biogas. </w:t>
      </w:r>
      <w:r w:rsidRPr="00297685">
        <w:rPr>
          <w:rFonts w:ascii="Calibri" w:hAnsi="Calibri" w:cs="Calibri"/>
          <w:i/>
          <w:iCs/>
          <w:sz w:val="18"/>
          <w:szCs w:val="18"/>
        </w:rPr>
        <w:t>Appl. Energy</w:t>
      </w:r>
      <w:r w:rsidRPr="00297685">
        <w:rPr>
          <w:rFonts w:ascii="Calibri" w:hAnsi="Calibri" w:cs="Calibri"/>
          <w:sz w:val="18"/>
          <w:szCs w:val="18"/>
        </w:rPr>
        <w:t xml:space="preserve"> </w:t>
      </w:r>
      <w:r w:rsidRPr="00297685">
        <w:rPr>
          <w:rFonts w:ascii="Calibri" w:hAnsi="Calibri" w:cs="Calibri"/>
          <w:b/>
          <w:bCs/>
          <w:sz w:val="18"/>
          <w:szCs w:val="18"/>
        </w:rPr>
        <w:t>114</w:t>
      </w:r>
      <w:r w:rsidRPr="00297685">
        <w:rPr>
          <w:rFonts w:ascii="Calibri" w:hAnsi="Calibri" w:cs="Calibri"/>
          <w:sz w:val="18"/>
          <w:szCs w:val="18"/>
        </w:rPr>
        <w:t>, 774–782 (2014).</w:t>
      </w:r>
    </w:p>
    <w:p w14:paraId="60929450" w14:textId="77777777"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rPr>
        <w:t>11.</w:t>
      </w:r>
      <w:r w:rsidRPr="00297685">
        <w:rPr>
          <w:rFonts w:ascii="Calibri" w:hAnsi="Calibri" w:cs="Calibri"/>
          <w:sz w:val="18"/>
          <w:szCs w:val="18"/>
        </w:rPr>
        <w:tab/>
        <w:t xml:space="preserve">Karan, S. Cambioscop RO1: Dataset on characterization, quantity and current use of French residual biomasses. </w:t>
      </w:r>
      <w:r w:rsidRPr="00297685">
        <w:rPr>
          <w:rFonts w:ascii="Calibri" w:hAnsi="Calibri" w:cs="Calibri"/>
          <w:i/>
          <w:iCs/>
          <w:sz w:val="18"/>
          <w:szCs w:val="18"/>
          <w:lang w:val="fr-FR"/>
        </w:rPr>
        <w:t>Mendeley Data</w:t>
      </w:r>
      <w:r w:rsidRPr="00297685">
        <w:rPr>
          <w:rFonts w:ascii="Calibri" w:hAnsi="Calibri" w:cs="Calibri"/>
          <w:sz w:val="18"/>
          <w:szCs w:val="18"/>
          <w:lang w:val="fr-FR"/>
        </w:rPr>
        <w:t xml:space="preserve"> (2022) </w:t>
      </w:r>
      <w:proofErr w:type="gramStart"/>
      <w:r w:rsidRPr="00297685">
        <w:rPr>
          <w:rFonts w:ascii="Calibri" w:hAnsi="Calibri" w:cs="Calibri"/>
          <w:sz w:val="18"/>
          <w:szCs w:val="18"/>
          <w:lang w:val="fr-FR"/>
        </w:rPr>
        <w:t>doi:</w:t>
      </w:r>
      <w:proofErr w:type="gramEnd"/>
      <w:r w:rsidRPr="00297685">
        <w:rPr>
          <w:rFonts w:ascii="Calibri" w:hAnsi="Calibri" w:cs="Calibri"/>
          <w:sz w:val="18"/>
          <w:szCs w:val="18"/>
          <w:lang w:val="fr-FR"/>
        </w:rPr>
        <w:t>10.17632/b9sx3h3584.1.</w:t>
      </w:r>
    </w:p>
    <w:p w14:paraId="7250A769" w14:textId="77777777"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lang w:val="fr-FR"/>
        </w:rPr>
        <w:t>12.</w:t>
      </w:r>
      <w:r w:rsidRPr="00297685">
        <w:rPr>
          <w:rFonts w:ascii="Calibri" w:hAnsi="Calibri" w:cs="Calibri"/>
          <w:sz w:val="18"/>
          <w:szCs w:val="18"/>
          <w:lang w:val="fr-FR"/>
        </w:rPr>
        <w:tab/>
        <w:t xml:space="preserve">Le Ravalec, V. </w:t>
      </w:r>
      <w:r w:rsidRPr="00297685">
        <w:rPr>
          <w:rFonts w:ascii="Calibri" w:hAnsi="Calibri" w:cs="Calibri"/>
          <w:i/>
          <w:iCs/>
          <w:sz w:val="18"/>
          <w:szCs w:val="18"/>
          <w:lang w:val="fr-FR"/>
        </w:rPr>
        <w:t>Panorama Des Coproduits et Résidus Biomasse à Usage Des Filières Chimie et Matériaux Biosourcés En France</w:t>
      </w:r>
      <w:r w:rsidRPr="00297685">
        <w:rPr>
          <w:rFonts w:ascii="Calibri" w:hAnsi="Calibri" w:cs="Calibri"/>
          <w:sz w:val="18"/>
          <w:szCs w:val="18"/>
          <w:lang w:val="fr-FR"/>
        </w:rPr>
        <w:t>. 70 https://www.ademe.fr/sites/default/files/assets/documents/rapport_final_tech2market.pdf (2015).</w:t>
      </w:r>
    </w:p>
    <w:p w14:paraId="1B336BFF" w14:textId="77777777"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lang w:val="fr-FR"/>
        </w:rPr>
        <w:lastRenderedPageBreak/>
        <w:t>13.</w:t>
      </w:r>
      <w:r w:rsidRPr="00297685">
        <w:rPr>
          <w:rFonts w:ascii="Calibri" w:hAnsi="Calibri" w:cs="Calibri"/>
          <w:sz w:val="18"/>
          <w:szCs w:val="18"/>
          <w:lang w:val="fr-FR"/>
        </w:rPr>
        <w:tab/>
        <w:t xml:space="preserve">ADEME. </w:t>
      </w:r>
      <w:r w:rsidRPr="00297685">
        <w:rPr>
          <w:rFonts w:ascii="Calibri" w:hAnsi="Calibri" w:cs="Calibri"/>
          <w:i/>
          <w:iCs/>
          <w:sz w:val="18"/>
          <w:szCs w:val="18"/>
          <w:lang w:val="fr-FR"/>
        </w:rPr>
        <w:t>Un Mix de Gaz 100% Renouvelable En 2050 ? Etude de Faisabilité Technico-Économique</w:t>
      </w:r>
      <w:r w:rsidRPr="00297685">
        <w:rPr>
          <w:rFonts w:ascii="Calibri" w:hAnsi="Calibri" w:cs="Calibri"/>
          <w:sz w:val="18"/>
          <w:szCs w:val="18"/>
          <w:lang w:val="fr-FR"/>
        </w:rPr>
        <w:t>. 283 (2018).</w:t>
      </w:r>
    </w:p>
    <w:p w14:paraId="1EC2CB10" w14:textId="77777777"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lang w:val="fr-FR"/>
        </w:rPr>
        <w:t>14.</w:t>
      </w:r>
      <w:r w:rsidRPr="00297685">
        <w:rPr>
          <w:rFonts w:ascii="Calibri" w:hAnsi="Calibri" w:cs="Calibri"/>
          <w:sz w:val="18"/>
          <w:szCs w:val="18"/>
          <w:lang w:val="fr-FR"/>
        </w:rPr>
        <w:tab/>
        <w:t xml:space="preserve">ADEME. </w:t>
      </w:r>
      <w:r w:rsidRPr="00297685">
        <w:rPr>
          <w:rFonts w:ascii="Calibri" w:hAnsi="Calibri" w:cs="Calibri"/>
          <w:i/>
          <w:iCs/>
          <w:sz w:val="18"/>
          <w:szCs w:val="18"/>
          <w:lang w:val="fr-FR"/>
        </w:rPr>
        <w:t>Transition(s) 2050 - Choisir Maintenant, Agir Pour Le Climat - Rapport</w:t>
      </w:r>
      <w:r w:rsidRPr="00297685">
        <w:rPr>
          <w:rFonts w:ascii="Calibri" w:hAnsi="Calibri" w:cs="Calibri"/>
          <w:sz w:val="18"/>
          <w:szCs w:val="18"/>
          <w:lang w:val="fr-FR"/>
        </w:rPr>
        <w:t>. (ADEME Editions, Angers, 2021).</w:t>
      </w:r>
    </w:p>
    <w:p w14:paraId="31F4EBD9" w14:textId="77777777"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lang w:val="fr-FR"/>
        </w:rPr>
        <w:t>15.</w:t>
      </w:r>
      <w:r w:rsidRPr="00297685">
        <w:rPr>
          <w:rFonts w:ascii="Calibri" w:hAnsi="Calibri" w:cs="Calibri"/>
          <w:sz w:val="18"/>
          <w:szCs w:val="18"/>
          <w:lang w:val="fr-FR"/>
        </w:rPr>
        <w:tab/>
        <w:t>Association Solagro. Les scénarios Afterres2050, version 2016. (2016).</w:t>
      </w:r>
    </w:p>
    <w:p w14:paraId="1C089ECE"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lang w:val="fr-FR"/>
        </w:rPr>
        <w:t>16.</w:t>
      </w:r>
      <w:r w:rsidRPr="00297685">
        <w:rPr>
          <w:rFonts w:ascii="Calibri" w:hAnsi="Calibri" w:cs="Calibri"/>
          <w:sz w:val="18"/>
          <w:szCs w:val="18"/>
          <w:lang w:val="fr-FR"/>
        </w:rPr>
        <w:tab/>
        <w:t xml:space="preserve">Cucurachi, S. </w:t>
      </w:r>
      <w:r w:rsidRPr="00297685">
        <w:rPr>
          <w:rFonts w:ascii="Calibri" w:hAnsi="Calibri" w:cs="Calibri"/>
          <w:i/>
          <w:iCs/>
          <w:sz w:val="18"/>
          <w:szCs w:val="18"/>
          <w:lang w:val="fr-FR"/>
        </w:rPr>
        <w:t>et al.</w:t>
      </w:r>
      <w:r w:rsidRPr="00297685">
        <w:rPr>
          <w:rFonts w:ascii="Calibri" w:hAnsi="Calibri" w:cs="Calibri"/>
          <w:sz w:val="18"/>
          <w:szCs w:val="18"/>
          <w:lang w:val="fr-FR"/>
        </w:rPr>
        <w:t xml:space="preserve"> </w:t>
      </w:r>
      <w:r w:rsidRPr="00297685">
        <w:rPr>
          <w:rFonts w:ascii="Calibri" w:hAnsi="Calibri" w:cs="Calibri"/>
          <w:i/>
          <w:iCs/>
          <w:sz w:val="18"/>
          <w:szCs w:val="18"/>
        </w:rPr>
        <w:t xml:space="preserve">Prospective LCA Methodology for Novel and Emerging Technologies for Bio-Based </w:t>
      </w:r>
      <w:proofErr w:type="gramStart"/>
      <w:r w:rsidRPr="00297685">
        <w:rPr>
          <w:rFonts w:ascii="Calibri" w:hAnsi="Calibri" w:cs="Calibri"/>
          <w:i/>
          <w:iCs/>
          <w:sz w:val="18"/>
          <w:szCs w:val="18"/>
        </w:rPr>
        <w:t>Products :</w:t>
      </w:r>
      <w:proofErr w:type="gramEnd"/>
      <w:r w:rsidRPr="00297685">
        <w:rPr>
          <w:rFonts w:ascii="Calibri" w:hAnsi="Calibri" w:cs="Calibri"/>
          <w:i/>
          <w:iCs/>
          <w:sz w:val="18"/>
          <w:szCs w:val="18"/>
        </w:rPr>
        <w:t xml:space="preserve"> The Planet Bio Project</w:t>
      </w:r>
      <w:r w:rsidRPr="00297685">
        <w:rPr>
          <w:rFonts w:ascii="Calibri" w:hAnsi="Calibri" w:cs="Calibri"/>
          <w:sz w:val="18"/>
          <w:szCs w:val="18"/>
        </w:rPr>
        <w:t>. (Publications Office of the European Union, Luxembourg, 2022).</w:t>
      </w:r>
    </w:p>
    <w:p w14:paraId="11C0F671"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17.</w:t>
      </w:r>
      <w:r w:rsidRPr="00297685">
        <w:rPr>
          <w:rFonts w:ascii="Calibri" w:hAnsi="Calibri" w:cs="Calibri"/>
          <w:sz w:val="18"/>
          <w:szCs w:val="18"/>
        </w:rPr>
        <w:tab/>
        <w:t xml:space="preserve">Delsignore, M. &amp; Siddiqui, S. A. Chapter 8. From waste to food: legislative insights. in </w:t>
      </w:r>
      <w:r w:rsidRPr="00297685">
        <w:rPr>
          <w:rFonts w:ascii="Calibri" w:hAnsi="Calibri" w:cs="Calibri"/>
          <w:i/>
          <w:iCs/>
          <w:sz w:val="18"/>
          <w:szCs w:val="18"/>
        </w:rPr>
        <w:t>Waste to Food - Returning nutrients to the food chain</w:t>
      </w:r>
      <w:r w:rsidRPr="00297685">
        <w:rPr>
          <w:rFonts w:ascii="Calibri" w:hAnsi="Calibri" w:cs="Calibri"/>
          <w:sz w:val="18"/>
          <w:szCs w:val="18"/>
        </w:rPr>
        <w:t xml:space="preserve"> 197–208 (Wageningen Academic Publishers, 2022).</w:t>
      </w:r>
    </w:p>
    <w:p w14:paraId="32BB09F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18.</w:t>
      </w:r>
      <w:r w:rsidRPr="00297685">
        <w:rPr>
          <w:rFonts w:ascii="Calibri" w:hAnsi="Calibri" w:cs="Calibri"/>
          <w:sz w:val="18"/>
          <w:szCs w:val="18"/>
        </w:rPr>
        <w:tab/>
        <w:t xml:space="preserve">James, K., Millington, A. &amp; Randall, N. Food and feed safety vulnerabilities in the circular economy. </w:t>
      </w:r>
      <w:r w:rsidRPr="00297685">
        <w:rPr>
          <w:rFonts w:ascii="Calibri" w:hAnsi="Calibri" w:cs="Calibri"/>
          <w:i/>
          <w:iCs/>
          <w:sz w:val="18"/>
          <w:szCs w:val="18"/>
        </w:rPr>
        <w:t>EFS3</w:t>
      </w:r>
      <w:r w:rsidRPr="00297685">
        <w:rPr>
          <w:rFonts w:ascii="Calibri" w:hAnsi="Calibri" w:cs="Calibri"/>
          <w:sz w:val="18"/>
          <w:szCs w:val="18"/>
        </w:rPr>
        <w:t xml:space="preserve"> </w:t>
      </w:r>
      <w:r w:rsidRPr="00297685">
        <w:rPr>
          <w:rFonts w:ascii="Calibri" w:hAnsi="Calibri" w:cs="Calibri"/>
          <w:b/>
          <w:bCs/>
          <w:sz w:val="18"/>
          <w:szCs w:val="18"/>
        </w:rPr>
        <w:t>19</w:t>
      </w:r>
      <w:r w:rsidRPr="00297685">
        <w:rPr>
          <w:rFonts w:ascii="Calibri" w:hAnsi="Calibri" w:cs="Calibri"/>
          <w:sz w:val="18"/>
          <w:szCs w:val="18"/>
        </w:rPr>
        <w:t>, (2022).</w:t>
      </w:r>
    </w:p>
    <w:p w14:paraId="4C7A3C6B"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19.</w:t>
      </w:r>
      <w:r w:rsidRPr="00297685">
        <w:rPr>
          <w:rFonts w:ascii="Calibri" w:hAnsi="Calibri" w:cs="Calibri"/>
          <w:sz w:val="18"/>
          <w:szCs w:val="18"/>
        </w:rPr>
        <w:tab/>
        <w:t xml:space="preserve">Bosch, G. </w:t>
      </w:r>
      <w:r w:rsidRPr="00297685">
        <w:rPr>
          <w:rFonts w:ascii="Calibri" w:hAnsi="Calibri" w:cs="Calibri"/>
          <w:i/>
          <w:iCs/>
          <w:sz w:val="18"/>
          <w:szCs w:val="18"/>
        </w:rPr>
        <w:t>et al.</w:t>
      </w:r>
      <w:r w:rsidRPr="00297685">
        <w:rPr>
          <w:rFonts w:ascii="Calibri" w:hAnsi="Calibri" w:cs="Calibri"/>
          <w:sz w:val="18"/>
          <w:szCs w:val="18"/>
        </w:rPr>
        <w:t xml:space="preserve"> Standardisation of quantitative resource conversion studies with black soldier fly larvae. </w:t>
      </w:r>
      <w:r w:rsidRPr="00297685">
        <w:rPr>
          <w:rFonts w:ascii="Calibri" w:hAnsi="Calibri" w:cs="Calibri"/>
          <w:i/>
          <w:iCs/>
          <w:sz w:val="18"/>
          <w:szCs w:val="18"/>
        </w:rPr>
        <w:t>Journal of Insects as Food and Feed</w:t>
      </w:r>
      <w:r w:rsidRPr="00297685">
        <w:rPr>
          <w:rFonts w:ascii="Calibri" w:hAnsi="Calibri" w:cs="Calibri"/>
          <w:sz w:val="18"/>
          <w:szCs w:val="18"/>
        </w:rPr>
        <w:t xml:space="preserve"> </w:t>
      </w:r>
      <w:r w:rsidRPr="00297685">
        <w:rPr>
          <w:rFonts w:ascii="Calibri" w:hAnsi="Calibri" w:cs="Calibri"/>
          <w:b/>
          <w:bCs/>
          <w:sz w:val="18"/>
          <w:szCs w:val="18"/>
        </w:rPr>
        <w:t>6</w:t>
      </w:r>
      <w:r w:rsidRPr="00297685">
        <w:rPr>
          <w:rFonts w:ascii="Calibri" w:hAnsi="Calibri" w:cs="Calibri"/>
          <w:sz w:val="18"/>
          <w:szCs w:val="18"/>
        </w:rPr>
        <w:t>, 95–109 (2020).</w:t>
      </w:r>
    </w:p>
    <w:p w14:paraId="086CC019"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20.</w:t>
      </w:r>
      <w:r w:rsidRPr="00297685">
        <w:rPr>
          <w:rFonts w:ascii="Calibri" w:hAnsi="Calibri" w:cs="Calibri"/>
          <w:sz w:val="18"/>
          <w:szCs w:val="18"/>
        </w:rPr>
        <w:tab/>
        <w:t xml:space="preserve">Verstraete, W., Clauwaert, P. &amp; Vlaeminck, S. E. Used water and nutrients: Recovery perspectives in a ‘panta rhei’ context. </w:t>
      </w:r>
      <w:r w:rsidRPr="00297685">
        <w:rPr>
          <w:rFonts w:ascii="Calibri" w:hAnsi="Calibri" w:cs="Calibri"/>
          <w:i/>
          <w:iCs/>
          <w:sz w:val="18"/>
          <w:szCs w:val="18"/>
        </w:rPr>
        <w:t>Bioresour. Technol.</w:t>
      </w:r>
      <w:r w:rsidRPr="00297685">
        <w:rPr>
          <w:rFonts w:ascii="Calibri" w:hAnsi="Calibri" w:cs="Calibri"/>
          <w:sz w:val="18"/>
          <w:szCs w:val="18"/>
        </w:rPr>
        <w:t xml:space="preserve"> </w:t>
      </w:r>
      <w:r w:rsidRPr="00297685">
        <w:rPr>
          <w:rFonts w:ascii="Calibri" w:hAnsi="Calibri" w:cs="Calibri"/>
          <w:b/>
          <w:bCs/>
          <w:sz w:val="18"/>
          <w:szCs w:val="18"/>
        </w:rPr>
        <w:t>215</w:t>
      </w:r>
      <w:r w:rsidRPr="00297685">
        <w:rPr>
          <w:rFonts w:ascii="Calibri" w:hAnsi="Calibri" w:cs="Calibri"/>
          <w:sz w:val="18"/>
          <w:szCs w:val="18"/>
        </w:rPr>
        <w:t>, 199–208 (2016).</w:t>
      </w:r>
    </w:p>
    <w:p w14:paraId="4F122FC9"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21.</w:t>
      </w:r>
      <w:r w:rsidRPr="00297685">
        <w:rPr>
          <w:rFonts w:ascii="Calibri" w:hAnsi="Calibri" w:cs="Calibri"/>
          <w:sz w:val="18"/>
          <w:szCs w:val="18"/>
        </w:rPr>
        <w:tab/>
        <w:t xml:space="preserve">Hadi, J. &amp; Brightwell, G. Safety of Alternative Proteins: Technological, Environmental and Regulatory Aspects of Cultured Meat, Plant-Based Meat, Insect Protein and Single-Cell Protein. </w:t>
      </w:r>
      <w:r w:rsidRPr="00297685">
        <w:rPr>
          <w:rFonts w:ascii="Calibri" w:hAnsi="Calibri" w:cs="Calibri"/>
          <w:i/>
          <w:iCs/>
          <w:sz w:val="18"/>
          <w:szCs w:val="18"/>
        </w:rPr>
        <w:t>Foods</w:t>
      </w:r>
      <w:r w:rsidRPr="00297685">
        <w:rPr>
          <w:rFonts w:ascii="Calibri" w:hAnsi="Calibri" w:cs="Calibri"/>
          <w:sz w:val="18"/>
          <w:szCs w:val="18"/>
        </w:rPr>
        <w:t xml:space="preserve"> </w:t>
      </w:r>
      <w:r w:rsidRPr="00297685">
        <w:rPr>
          <w:rFonts w:ascii="Calibri" w:hAnsi="Calibri" w:cs="Calibri"/>
          <w:b/>
          <w:bCs/>
          <w:sz w:val="18"/>
          <w:szCs w:val="18"/>
        </w:rPr>
        <w:t>10</w:t>
      </w:r>
      <w:r w:rsidRPr="00297685">
        <w:rPr>
          <w:rFonts w:ascii="Calibri" w:hAnsi="Calibri" w:cs="Calibri"/>
          <w:sz w:val="18"/>
          <w:szCs w:val="18"/>
        </w:rPr>
        <w:t>, 1226 (2021).</w:t>
      </w:r>
    </w:p>
    <w:p w14:paraId="07C00E69"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22.</w:t>
      </w:r>
      <w:r w:rsidRPr="00297685">
        <w:rPr>
          <w:rFonts w:ascii="Calibri" w:hAnsi="Calibri" w:cs="Calibri"/>
          <w:sz w:val="18"/>
          <w:szCs w:val="18"/>
        </w:rPr>
        <w:tab/>
        <w:t xml:space="preserve">Khoshnevisan, B. </w:t>
      </w:r>
      <w:r w:rsidRPr="00297685">
        <w:rPr>
          <w:rFonts w:ascii="Calibri" w:hAnsi="Calibri" w:cs="Calibri"/>
          <w:i/>
          <w:iCs/>
          <w:sz w:val="18"/>
          <w:szCs w:val="18"/>
        </w:rPr>
        <w:t>et al.</w:t>
      </w:r>
      <w:r w:rsidRPr="00297685">
        <w:rPr>
          <w:rFonts w:ascii="Calibri" w:hAnsi="Calibri" w:cs="Calibri"/>
          <w:sz w:val="18"/>
          <w:szCs w:val="18"/>
        </w:rPr>
        <w:t xml:space="preserve"> From renewable energy to sustainable protein sources: Advancement, challenges, and future roadmaps. </w:t>
      </w:r>
      <w:r w:rsidRPr="00297685">
        <w:rPr>
          <w:rFonts w:ascii="Calibri" w:hAnsi="Calibri" w:cs="Calibri"/>
          <w:i/>
          <w:iCs/>
          <w:sz w:val="18"/>
          <w:szCs w:val="18"/>
        </w:rPr>
        <w:t>Renew. Sust. Energ. Rev.</w:t>
      </w:r>
      <w:r w:rsidRPr="00297685">
        <w:rPr>
          <w:rFonts w:ascii="Calibri" w:hAnsi="Calibri" w:cs="Calibri"/>
          <w:sz w:val="18"/>
          <w:szCs w:val="18"/>
        </w:rPr>
        <w:t xml:space="preserve"> </w:t>
      </w:r>
      <w:r w:rsidRPr="00297685">
        <w:rPr>
          <w:rFonts w:ascii="Calibri" w:hAnsi="Calibri" w:cs="Calibri"/>
          <w:b/>
          <w:bCs/>
          <w:sz w:val="18"/>
          <w:szCs w:val="18"/>
        </w:rPr>
        <w:t>157</w:t>
      </w:r>
      <w:r w:rsidRPr="00297685">
        <w:rPr>
          <w:rFonts w:ascii="Calibri" w:hAnsi="Calibri" w:cs="Calibri"/>
          <w:sz w:val="18"/>
          <w:szCs w:val="18"/>
        </w:rPr>
        <w:t>, 112041 (2022).</w:t>
      </w:r>
    </w:p>
    <w:p w14:paraId="6DF58432" w14:textId="07DA7799"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23.</w:t>
      </w:r>
      <w:r w:rsidRPr="00297685">
        <w:rPr>
          <w:rFonts w:ascii="Calibri" w:hAnsi="Calibri" w:cs="Calibri"/>
          <w:sz w:val="18"/>
          <w:szCs w:val="18"/>
        </w:rPr>
        <w:tab/>
        <w:t xml:space="preserve">Verstraete, W., Yanuka‐Golub, K., Driesen, N. &amp; De Vrieze, J. Engineering microbial technologies for environmental sustainability: choices to make. </w:t>
      </w:r>
      <w:r w:rsidRPr="00297685">
        <w:rPr>
          <w:rFonts w:ascii="Calibri" w:hAnsi="Calibri" w:cs="Calibri"/>
          <w:i/>
          <w:iCs/>
          <w:sz w:val="18"/>
          <w:szCs w:val="18"/>
        </w:rPr>
        <w:t>Microb. Biotechnol.</w:t>
      </w:r>
      <w:r w:rsidRPr="00297685">
        <w:rPr>
          <w:rFonts w:ascii="Calibri" w:hAnsi="Calibri" w:cs="Calibri"/>
          <w:sz w:val="18"/>
          <w:szCs w:val="18"/>
        </w:rPr>
        <w:t xml:space="preserve"> 1751-7915.13986 (2021).</w:t>
      </w:r>
    </w:p>
    <w:p w14:paraId="7EDD58E3"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24.</w:t>
      </w:r>
      <w:r w:rsidRPr="00297685">
        <w:rPr>
          <w:rFonts w:ascii="Calibri" w:hAnsi="Calibri" w:cs="Calibri"/>
          <w:sz w:val="18"/>
          <w:szCs w:val="18"/>
        </w:rPr>
        <w:tab/>
        <w:t xml:space="preserve">Capozzi, F. Food Innovation in the Frame of Circular Economy by Designing Ultra-Processed Foods Optimized for Sustainable Nutrition. </w:t>
      </w:r>
      <w:r w:rsidRPr="00297685">
        <w:rPr>
          <w:rFonts w:ascii="Calibri" w:hAnsi="Calibri" w:cs="Calibri"/>
          <w:i/>
          <w:iCs/>
          <w:sz w:val="18"/>
          <w:szCs w:val="18"/>
        </w:rPr>
        <w:t>Front. Nutr.</w:t>
      </w:r>
      <w:r w:rsidRPr="00297685">
        <w:rPr>
          <w:rFonts w:ascii="Calibri" w:hAnsi="Calibri" w:cs="Calibri"/>
          <w:sz w:val="18"/>
          <w:szCs w:val="18"/>
        </w:rPr>
        <w:t xml:space="preserve"> </w:t>
      </w:r>
      <w:r w:rsidRPr="00297685">
        <w:rPr>
          <w:rFonts w:ascii="Calibri" w:hAnsi="Calibri" w:cs="Calibri"/>
          <w:b/>
          <w:bCs/>
          <w:sz w:val="18"/>
          <w:szCs w:val="18"/>
        </w:rPr>
        <w:t>9</w:t>
      </w:r>
      <w:r w:rsidRPr="00297685">
        <w:rPr>
          <w:rFonts w:ascii="Calibri" w:hAnsi="Calibri" w:cs="Calibri"/>
          <w:sz w:val="18"/>
          <w:szCs w:val="18"/>
        </w:rPr>
        <w:t>, 886220 (2022).</w:t>
      </w:r>
    </w:p>
    <w:p w14:paraId="0CA7FDD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25.</w:t>
      </w:r>
      <w:r w:rsidRPr="00297685">
        <w:rPr>
          <w:rFonts w:ascii="Calibri" w:hAnsi="Calibri" w:cs="Calibri"/>
          <w:sz w:val="18"/>
          <w:szCs w:val="18"/>
        </w:rPr>
        <w:tab/>
        <w:t xml:space="preserve">Banks, M., Johnson, R., Giver, L., Bryant, G. &amp; Guo, M. Industrial production of microbial protein products. </w:t>
      </w:r>
      <w:r w:rsidRPr="00297685">
        <w:rPr>
          <w:rFonts w:ascii="Calibri" w:hAnsi="Calibri" w:cs="Calibri"/>
          <w:i/>
          <w:iCs/>
          <w:sz w:val="18"/>
          <w:szCs w:val="18"/>
        </w:rPr>
        <w:t>Curr. Opin. Biotechnol.</w:t>
      </w:r>
      <w:r w:rsidRPr="00297685">
        <w:rPr>
          <w:rFonts w:ascii="Calibri" w:hAnsi="Calibri" w:cs="Calibri"/>
          <w:sz w:val="18"/>
          <w:szCs w:val="18"/>
        </w:rPr>
        <w:t xml:space="preserve"> </w:t>
      </w:r>
      <w:r w:rsidRPr="00297685">
        <w:rPr>
          <w:rFonts w:ascii="Calibri" w:hAnsi="Calibri" w:cs="Calibri"/>
          <w:b/>
          <w:bCs/>
          <w:sz w:val="18"/>
          <w:szCs w:val="18"/>
        </w:rPr>
        <w:t>75</w:t>
      </w:r>
      <w:r w:rsidRPr="00297685">
        <w:rPr>
          <w:rFonts w:ascii="Calibri" w:hAnsi="Calibri" w:cs="Calibri"/>
          <w:sz w:val="18"/>
          <w:szCs w:val="18"/>
        </w:rPr>
        <w:t>, 102707 (2022).</w:t>
      </w:r>
    </w:p>
    <w:p w14:paraId="23C2FBCD"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26.</w:t>
      </w:r>
      <w:r w:rsidRPr="00297685">
        <w:rPr>
          <w:rFonts w:ascii="Calibri" w:hAnsi="Calibri" w:cs="Calibri"/>
          <w:sz w:val="18"/>
          <w:szCs w:val="18"/>
        </w:rPr>
        <w:tab/>
        <w:t xml:space="preserve">Colonna, P. Bioraffineries. </w:t>
      </w:r>
      <w:r w:rsidRPr="00297685">
        <w:rPr>
          <w:rFonts w:ascii="Calibri" w:hAnsi="Calibri" w:cs="Calibri"/>
          <w:i/>
          <w:iCs/>
          <w:sz w:val="18"/>
          <w:szCs w:val="18"/>
        </w:rPr>
        <w:t>Techniques de l’ingénieur</w:t>
      </w:r>
      <w:r w:rsidRPr="00297685">
        <w:rPr>
          <w:rFonts w:ascii="Calibri" w:hAnsi="Calibri" w:cs="Calibri"/>
          <w:sz w:val="18"/>
          <w:szCs w:val="18"/>
        </w:rPr>
        <w:t xml:space="preserve"> 27 (2020).</w:t>
      </w:r>
    </w:p>
    <w:p w14:paraId="0A42AC43"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27.</w:t>
      </w:r>
      <w:r w:rsidRPr="00297685">
        <w:rPr>
          <w:rFonts w:ascii="Calibri" w:hAnsi="Calibri" w:cs="Calibri"/>
          <w:sz w:val="18"/>
          <w:szCs w:val="18"/>
        </w:rPr>
        <w:tab/>
        <w:t xml:space="preserve">Kreyenschulte, D., Emde, F., Regestein, L. &amp; Büchs, J. Computational minimization of the specific energy demand of large-scale aerobic fermentation processes based on small-scale data. </w:t>
      </w:r>
      <w:r w:rsidRPr="00297685">
        <w:rPr>
          <w:rFonts w:ascii="Calibri" w:hAnsi="Calibri" w:cs="Calibri"/>
          <w:i/>
          <w:iCs/>
          <w:sz w:val="18"/>
          <w:szCs w:val="18"/>
        </w:rPr>
        <w:t>Chemical Engineering Science</w:t>
      </w:r>
      <w:r w:rsidRPr="00297685">
        <w:rPr>
          <w:rFonts w:ascii="Calibri" w:hAnsi="Calibri" w:cs="Calibri"/>
          <w:sz w:val="18"/>
          <w:szCs w:val="18"/>
        </w:rPr>
        <w:t xml:space="preserve"> </w:t>
      </w:r>
      <w:r w:rsidRPr="00297685">
        <w:rPr>
          <w:rFonts w:ascii="Calibri" w:hAnsi="Calibri" w:cs="Calibri"/>
          <w:b/>
          <w:bCs/>
          <w:sz w:val="18"/>
          <w:szCs w:val="18"/>
        </w:rPr>
        <w:t>153</w:t>
      </w:r>
      <w:r w:rsidRPr="00297685">
        <w:rPr>
          <w:rFonts w:ascii="Calibri" w:hAnsi="Calibri" w:cs="Calibri"/>
          <w:sz w:val="18"/>
          <w:szCs w:val="18"/>
        </w:rPr>
        <w:t>, 270–283 (2016).</w:t>
      </w:r>
    </w:p>
    <w:p w14:paraId="3AD73013"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28.</w:t>
      </w:r>
      <w:r w:rsidRPr="00297685">
        <w:rPr>
          <w:rFonts w:ascii="Calibri" w:hAnsi="Calibri" w:cs="Calibri"/>
          <w:sz w:val="18"/>
          <w:szCs w:val="18"/>
        </w:rPr>
        <w:tab/>
        <w:t xml:space="preserve">Jouhara, H. </w:t>
      </w:r>
      <w:r w:rsidRPr="00297685">
        <w:rPr>
          <w:rFonts w:ascii="Calibri" w:hAnsi="Calibri" w:cs="Calibri"/>
          <w:i/>
          <w:iCs/>
          <w:sz w:val="18"/>
          <w:szCs w:val="18"/>
        </w:rPr>
        <w:t>et al.</w:t>
      </w:r>
      <w:r w:rsidRPr="00297685">
        <w:rPr>
          <w:rFonts w:ascii="Calibri" w:hAnsi="Calibri" w:cs="Calibri"/>
          <w:sz w:val="18"/>
          <w:szCs w:val="18"/>
        </w:rPr>
        <w:t xml:space="preserve"> Waste heat recovery technologies and applications. </w:t>
      </w:r>
      <w:r w:rsidRPr="00297685">
        <w:rPr>
          <w:rFonts w:ascii="Calibri" w:hAnsi="Calibri" w:cs="Calibri"/>
          <w:i/>
          <w:iCs/>
          <w:sz w:val="18"/>
          <w:szCs w:val="18"/>
        </w:rPr>
        <w:t>Thermal Science and Engineering Progress</w:t>
      </w:r>
      <w:r w:rsidRPr="00297685">
        <w:rPr>
          <w:rFonts w:ascii="Calibri" w:hAnsi="Calibri" w:cs="Calibri"/>
          <w:sz w:val="18"/>
          <w:szCs w:val="18"/>
        </w:rPr>
        <w:t xml:space="preserve"> </w:t>
      </w:r>
      <w:r w:rsidRPr="00297685">
        <w:rPr>
          <w:rFonts w:ascii="Calibri" w:hAnsi="Calibri" w:cs="Calibri"/>
          <w:b/>
          <w:bCs/>
          <w:sz w:val="18"/>
          <w:szCs w:val="18"/>
        </w:rPr>
        <w:t>6</w:t>
      </w:r>
      <w:r w:rsidRPr="00297685">
        <w:rPr>
          <w:rFonts w:ascii="Calibri" w:hAnsi="Calibri" w:cs="Calibri"/>
          <w:sz w:val="18"/>
          <w:szCs w:val="18"/>
        </w:rPr>
        <w:t>, 268–289 (2018).</w:t>
      </w:r>
    </w:p>
    <w:p w14:paraId="6C5C296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29.</w:t>
      </w:r>
      <w:r w:rsidRPr="00297685">
        <w:rPr>
          <w:rFonts w:ascii="Calibri" w:hAnsi="Calibri" w:cs="Calibri"/>
          <w:sz w:val="18"/>
          <w:szCs w:val="18"/>
        </w:rPr>
        <w:tab/>
        <w:t xml:space="preserve">Vance, D. </w:t>
      </w:r>
      <w:r w:rsidRPr="00297685">
        <w:rPr>
          <w:rFonts w:ascii="Calibri" w:hAnsi="Calibri" w:cs="Calibri"/>
          <w:i/>
          <w:iCs/>
          <w:sz w:val="18"/>
          <w:szCs w:val="18"/>
        </w:rPr>
        <w:t>et al.</w:t>
      </w:r>
      <w:r w:rsidRPr="00297685">
        <w:rPr>
          <w:rFonts w:ascii="Calibri" w:hAnsi="Calibri" w:cs="Calibri"/>
          <w:sz w:val="18"/>
          <w:szCs w:val="18"/>
        </w:rPr>
        <w:t xml:space="preserve"> Estimation of and barriers to waste heat recovery from harsh environments in industrial processes. </w:t>
      </w:r>
      <w:r w:rsidRPr="00297685">
        <w:rPr>
          <w:rFonts w:ascii="Calibri" w:hAnsi="Calibri" w:cs="Calibri"/>
          <w:i/>
          <w:iCs/>
          <w:sz w:val="18"/>
          <w:szCs w:val="18"/>
        </w:rPr>
        <w:t>J Clean Prod</w:t>
      </w:r>
      <w:r w:rsidRPr="00297685">
        <w:rPr>
          <w:rFonts w:ascii="Calibri" w:hAnsi="Calibri" w:cs="Calibri"/>
          <w:sz w:val="18"/>
          <w:szCs w:val="18"/>
        </w:rPr>
        <w:t xml:space="preserve"> </w:t>
      </w:r>
      <w:r w:rsidRPr="00297685">
        <w:rPr>
          <w:rFonts w:ascii="Calibri" w:hAnsi="Calibri" w:cs="Calibri"/>
          <w:b/>
          <w:bCs/>
          <w:sz w:val="18"/>
          <w:szCs w:val="18"/>
        </w:rPr>
        <w:t>222</w:t>
      </w:r>
      <w:r w:rsidRPr="00297685">
        <w:rPr>
          <w:rFonts w:ascii="Calibri" w:hAnsi="Calibri" w:cs="Calibri"/>
          <w:sz w:val="18"/>
          <w:szCs w:val="18"/>
        </w:rPr>
        <w:t>, 539–549 (2019).</w:t>
      </w:r>
    </w:p>
    <w:p w14:paraId="26AD793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30.</w:t>
      </w:r>
      <w:r w:rsidRPr="00297685">
        <w:rPr>
          <w:rFonts w:ascii="Calibri" w:hAnsi="Calibri" w:cs="Calibri"/>
          <w:sz w:val="18"/>
          <w:szCs w:val="18"/>
        </w:rPr>
        <w:tab/>
        <w:t xml:space="preserve">Ammar, Y., Joyce, S., Norman, R., Wang, Y. &amp; Roskilly, A. P. Low grade thermal energy sources and uses from the process industry in the UK. </w:t>
      </w:r>
      <w:r w:rsidRPr="00297685">
        <w:rPr>
          <w:rFonts w:ascii="Calibri" w:hAnsi="Calibri" w:cs="Calibri"/>
          <w:i/>
          <w:iCs/>
          <w:sz w:val="18"/>
          <w:szCs w:val="18"/>
        </w:rPr>
        <w:t>Applied Energy</w:t>
      </w:r>
      <w:r w:rsidRPr="00297685">
        <w:rPr>
          <w:rFonts w:ascii="Calibri" w:hAnsi="Calibri" w:cs="Calibri"/>
          <w:sz w:val="18"/>
          <w:szCs w:val="18"/>
        </w:rPr>
        <w:t xml:space="preserve"> </w:t>
      </w:r>
      <w:r w:rsidRPr="00297685">
        <w:rPr>
          <w:rFonts w:ascii="Calibri" w:hAnsi="Calibri" w:cs="Calibri"/>
          <w:b/>
          <w:bCs/>
          <w:sz w:val="18"/>
          <w:szCs w:val="18"/>
        </w:rPr>
        <w:t>89</w:t>
      </w:r>
      <w:r w:rsidRPr="00297685">
        <w:rPr>
          <w:rFonts w:ascii="Calibri" w:hAnsi="Calibri" w:cs="Calibri"/>
          <w:sz w:val="18"/>
          <w:szCs w:val="18"/>
        </w:rPr>
        <w:t>, 3–20 (2012).</w:t>
      </w:r>
    </w:p>
    <w:p w14:paraId="680EEA65" w14:textId="71F9D74F"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rPr>
        <w:t>31.</w:t>
      </w:r>
      <w:r w:rsidRPr="00297685">
        <w:rPr>
          <w:rFonts w:ascii="Calibri" w:hAnsi="Calibri" w:cs="Calibri"/>
          <w:sz w:val="18"/>
          <w:szCs w:val="18"/>
        </w:rPr>
        <w:tab/>
        <w:t xml:space="preserve">Marami, H. </w:t>
      </w:r>
      <w:r w:rsidRPr="00297685">
        <w:rPr>
          <w:rFonts w:ascii="Calibri" w:hAnsi="Calibri" w:cs="Calibri"/>
          <w:i/>
          <w:iCs/>
          <w:sz w:val="18"/>
          <w:szCs w:val="18"/>
        </w:rPr>
        <w:t>et al.</w:t>
      </w:r>
      <w:r w:rsidRPr="00297685">
        <w:rPr>
          <w:rFonts w:ascii="Calibri" w:hAnsi="Calibri" w:cs="Calibri"/>
          <w:sz w:val="18"/>
          <w:szCs w:val="18"/>
        </w:rPr>
        <w:t xml:space="preserve"> Going beyond conventional wastewater treatment plants within circular bioeconomy concept – a sustainability assessment study. </w:t>
      </w:r>
      <w:r w:rsidRPr="00297685">
        <w:rPr>
          <w:rFonts w:ascii="Calibri" w:hAnsi="Calibri" w:cs="Calibri"/>
          <w:i/>
          <w:iCs/>
          <w:sz w:val="18"/>
          <w:szCs w:val="18"/>
          <w:lang w:val="fr-FR"/>
        </w:rPr>
        <w:t>Water Science and Technology</w:t>
      </w:r>
      <w:r w:rsidRPr="00297685">
        <w:rPr>
          <w:rFonts w:ascii="Calibri" w:hAnsi="Calibri" w:cs="Calibri"/>
          <w:sz w:val="18"/>
          <w:szCs w:val="18"/>
          <w:lang w:val="fr-FR"/>
        </w:rPr>
        <w:t xml:space="preserve"> wst2022096 (2022)</w:t>
      </w:r>
      <w:bookmarkStart w:id="446" w:name="_GoBack"/>
      <w:bookmarkEnd w:id="446"/>
      <w:r w:rsidRPr="00297685">
        <w:rPr>
          <w:rFonts w:ascii="Calibri" w:hAnsi="Calibri" w:cs="Calibri"/>
          <w:sz w:val="18"/>
          <w:szCs w:val="18"/>
          <w:lang w:val="fr-FR"/>
        </w:rPr>
        <w:t>.</w:t>
      </w:r>
    </w:p>
    <w:p w14:paraId="1F431B3B"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lang w:val="fr-FR"/>
        </w:rPr>
        <w:t>32.</w:t>
      </w:r>
      <w:r w:rsidRPr="00297685">
        <w:rPr>
          <w:rFonts w:ascii="Calibri" w:hAnsi="Calibri" w:cs="Calibri"/>
          <w:sz w:val="18"/>
          <w:szCs w:val="18"/>
          <w:lang w:val="fr-FR"/>
        </w:rPr>
        <w:tab/>
        <w:t xml:space="preserve">ADEME, Millet, B., Monnet, A. &amp; Siragusano, T. </w:t>
      </w:r>
      <w:r w:rsidRPr="00297685">
        <w:rPr>
          <w:rFonts w:ascii="Calibri" w:hAnsi="Calibri" w:cs="Calibri"/>
          <w:i/>
          <w:iCs/>
          <w:sz w:val="18"/>
          <w:szCs w:val="18"/>
          <w:lang w:val="fr-FR"/>
        </w:rPr>
        <w:t>Première analyse du potentiel technique d’électrification des procédés industriels thermiques par des technologies matures</w:t>
      </w:r>
      <w:r w:rsidRPr="00297685">
        <w:rPr>
          <w:rFonts w:ascii="Calibri" w:hAnsi="Calibri" w:cs="Calibri"/>
          <w:sz w:val="18"/>
          <w:szCs w:val="18"/>
          <w:lang w:val="fr-FR"/>
        </w:rPr>
        <w:t xml:space="preserve">. </w:t>
      </w:r>
      <w:r w:rsidRPr="00297685">
        <w:rPr>
          <w:rFonts w:ascii="Calibri" w:hAnsi="Calibri" w:cs="Calibri"/>
          <w:sz w:val="18"/>
          <w:szCs w:val="18"/>
        </w:rPr>
        <w:t>35 https://www.ceren.fr/download/4824/ (2020).</w:t>
      </w:r>
    </w:p>
    <w:p w14:paraId="6C78678B"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33.</w:t>
      </w:r>
      <w:r w:rsidRPr="00297685">
        <w:rPr>
          <w:rFonts w:ascii="Calibri" w:hAnsi="Calibri" w:cs="Calibri"/>
          <w:sz w:val="18"/>
          <w:szCs w:val="18"/>
        </w:rPr>
        <w:tab/>
        <w:t xml:space="preserve">Brückner, S. </w:t>
      </w:r>
      <w:r w:rsidRPr="00297685">
        <w:rPr>
          <w:rFonts w:ascii="Calibri" w:hAnsi="Calibri" w:cs="Calibri"/>
          <w:i/>
          <w:iCs/>
          <w:sz w:val="18"/>
          <w:szCs w:val="18"/>
        </w:rPr>
        <w:t>et al.</w:t>
      </w:r>
      <w:r w:rsidRPr="00297685">
        <w:rPr>
          <w:rFonts w:ascii="Calibri" w:hAnsi="Calibri" w:cs="Calibri"/>
          <w:sz w:val="18"/>
          <w:szCs w:val="18"/>
        </w:rPr>
        <w:t xml:space="preserve"> Industrial waste heat recovery technologies: An economic analysis of heat transformation technologies. </w:t>
      </w:r>
      <w:r w:rsidRPr="00297685">
        <w:rPr>
          <w:rFonts w:ascii="Calibri" w:hAnsi="Calibri" w:cs="Calibri"/>
          <w:i/>
          <w:iCs/>
          <w:sz w:val="18"/>
          <w:szCs w:val="18"/>
        </w:rPr>
        <w:t>Applied Energy</w:t>
      </w:r>
      <w:r w:rsidRPr="00297685">
        <w:rPr>
          <w:rFonts w:ascii="Calibri" w:hAnsi="Calibri" w:cs="Calibri"/>
          <w:sz w:val="18"/>
          <w:szCs w:val="18"/>
        </w:rPr>
        <w:t xml:space="preserve"> </w:t>
      </w:r>
      <w:r w:rsidRPr="00297685">
        <w:rPr>
          <w:rFonts w:ascii="Calibri" w:hAnsi="Calibri" w:cs="Calibri"/>
          <w:b/>
          <w:bCs/>
          <w:sz w:val="18"/>
          <w:szCs w:val="18"/>
        </w:rPr>
        <w:t>151</w:t>
      </w:r>
      <w:r w:rsidRPr="00297685">
        <w:rPr>
          <w:rFonts w:ascii="Calibri" w:hAnsi="Calibri" w:cs="Calibri"/>
          <w:sz w:val="18"/>
          <w:szCs w:val="18"/>
        </w:rPr>
        <w:t>, 157–167 (2015).</w:t>
      </w:r>
    </w:p>
    <w:p w14:paraId="622939C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34.</w:t>
      </w:r>
      <w:r w:rsidRPr="00297685">
        <w:rPr>
          <w:rFonts w:ascii="Calibri" w:hAnsi="Calibri" w:cs="Calibri"/>
          <w:sz w:val="18"/>
          <w:szCs w:val="18"/>
        </w:rPr>
        <w:tab/>
        <w:t xml:space="preserve">Campana, F. </w:t>
      </w:r>
      <w:r w:rsidRPr="00297685">
        <w:rPr>
          <w:rFonts w:ascii="Calibri" w:hAnsi="Calibri" w:cs="Calibri"/>
          <w:i/>
          <w:iCs/>
          <w:sz w:val="18"/>
          <w:szCs w:val="18"/>
        </w:rPr>
        <w:t>et al.</w:t>
      </w:r>
      <w:r w:rsidRPr="00297685">
        <w:rPr>
          <w:rFonts w:ascii="Calibri" w:hAnsi="Calibri" w:cs="Calibri"/>
          <w:sz w:val="18"/>
          <w:szCs w:val="18"/>
        </w:rPr>
        <w:t xml:space="preserve"> ORC waste heat recovery in European energy intensive industries: Energy and GHG savings. </w:t>
      </w:r>
      <w:r w:rsidRPr="00297685">
        <w:rPr>
          <w:rFonts w:ascii="Calibri" w:hAnsi="Calibri" w:cs="Calibri"/>
          <w:i/>
          <w:iCs/>
          <w:sz w:val="18"/>
          <w:szCs w:val="18"/>
        </w:rPr>
        <w:t>Energy Conversion and Management</w:t>
      </w:r>
      <w:r w:rsidRPr="00297685">
        <w:rPr>
          <w:rFonts w:ascii="Calibri" w:hAnsi="Calibri" w:cs="Calibri"/>
          <w:sz w:val="18"/>
          <w:szCs w:val="18"/>
        </w:rPr>
        <w:t xml:space="preserve"> </w:t>
      </w:r>
      <w:r w:rsidRPr="00297685">
        <w:rPr>
          <w:rFonts w:ascii="Calibri" w:hAnsi="Calibri" w:cs="Calibri"/>
          <w:b/>
          <w:bCs/>
          <w:sz w:val="18"/>
          <w:szCs w:val="18"/>
        </w:rPr>
        <w:t>76</w:t>
      </w:r>
      <w:r w:rsidRPr="00297685">
        <w:rPr>
          <w:rFonts w:ascii="Calibri" w:hAnsi="Calibri" w:cs="Calibri"/>
          <w:sz w:val="18"/>
          <w:szCs w:val="18"/>
        </w:rPr>
        <w:t>, 244–252 (2013).</w:t>
      </w:r>
    </w:p>
    <w:p w14:paraId="629A71EA"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35.</w:t>
      </w:r>
      <w:r w:rsidRPr="00297685">
        <w:rPr>
          <w:rFonts w:ascii="Calibri" w:hAnsi="Calibri" w:cs="Calibri"/>
          <w:sz w:val="18"/>
          <w:szCs w:val="18"/>
        </w:rPr>
        <w:tab/>
        <w:t xml:space="preserve">Seck, G. S., Guerassimoff, G. &amp; Maïzi, N. Heat recovery with heat pumps in non-energy intensive industry: A detailed bottom-up model analysis in the French food &amp; drink industry. </w:t>
      </w:r>
      <w:r w:rsidRPr="00297685">
        <w:rPr>
          <w:rFonts w:ascii="Calibri" w:hAnsi="Calibri" w:cs="Calibri"/>
          <w:i/>
          <w:iCs/>
          <w:sz w:val="18"/>
          <w:szCs w:val="18"/>
        </w:rPr>
        <w:t>Applied Energy</w:t>
      </w:r>
      <w:r w:rsidRPr="00297685">
        <w:rPr>
          <w:rFonts w:ascii="Calibri" w:hAnsi="Calibri" w:cs="Calibri"/>
          <w:sz w:val="18"/>
          <w:szCs w:val="18"/>
        </w:rPr>
        <w:t xml:space="preserve"> </w:t>
      </w:r>
      <w:r w:rsidRPr="00297685">
        <w:rPr>
          <w:rFonts w:ascii="Calibri" w:hAnsi="Calibri" w:cs="Calibri"/>
          <w:b/>
          <w:bCs/>
          <w:sz w:val="18"/>
          <w:szCs w:val="18"/>
        </w:rPr>
        <w:t>111</w:t>
      </w:r>
      <w:r w:rsidRPr="00297685">
        <w:rPr>
          <w:rFonts w:ascii="Calibri" w:hAnsi="Calibri" w:cs="Calibri"/>
          <w:sz w:val="18"/>
          <w:szCs w:val="18"/>
        </w:rPr>
        <w:t>, 489–504 (2013).</w:t>
      </w:r>
    </w:p>
    <w:p w14:paraId="5A110A0E"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36.</w:t>
      </w:r>
      <w:r w:rsidRPr="00297685">
        <w:rPr>
          <w:rFonts w:ascii="Calibri" w:hAnsi="Calibri" w:cs="Calibri"/>
          <w:sz w:val="18"/>
          <w:szCs w:val="18"/>
        </w:rPr>
        <w:tab/>
        <w:t xml:space="preserve">McKenna, R. C. &amp; Norman, J. B. Spatial modelling of industrial heat loads and recovery potentials in the UK. </w:t>
      </w:r>
      <w:r w:rsidRPr="00297685">
        <w:rPr>
          <w:rFonts w:ascii="Calibri" w:hAnsi="Calibri" w:cs="Calibri"/>
          <w:i/>
          <w:iCs/>
          <w:sz w:val="18"/>
          <w:szCs w:val="18"/>
        </w:rPr>
        <w:t>Energy Policy</w:t>
      </w:r>
      <w:r w:rsidRPr="00297685">
        <w:rPr>
          <w:rFonts w:ascii="Calibri" w:hAnsi="Calibri" w:cs="Calibri"/>
          <w:sz w:val="18"/>
          <w:szCs w:val="18"/>
        </w:rPr>
        <w:t xml:space="preserve"> </w:t>
      </w:r>
      <w:r w:rsidRPr="00297685">
        <w:rPr>
          <w:rFonts w:ascii="Calibri" w:hAnsi="Calibri" w:cs="Calibri"/>
          <w:b/>
          <w:bCs/>
          <w:sz w:val="18"/>
          <w:szCs w:val="18"/>
        </w:rPr>
        <w:t>38</w:t>
      </w:r>
      <w:r w:rsidRPr="00297685">
        <w:rPr>
          <w:rFonts w:ascii="Calibri" w:hAnsi="Calibri" w:cs="Calibri"/>
          <w:sz w:val="18"/>
          <w:szCs w:val="18"/>
        </w:rPr>
        <w:t>, 5878–5891 (2010).</w:t>
      </w:r>
    </w:p>
    <w:p w14:paraId="5ABB9214"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37.</w:t>
      </w:r>
      <w:r w:rsidRPr="00297685">
        <w:rPr>
          <w:rFonts w:ascii="Calibri" w:hAnsi="Calibri" w:cs="Calibri"/>
          <w:sz w:val="18"/>
          <w:szCs w:val="18"/>
        </w:rPr>
        <w:tab/>
        <w:t xml:space="preserve">Zuberi, M. J. S. </w:t>
      </w:r>
      <w:r w:rsidRPr="00297685">
        <w:rPr>
          <w:rFonts w:ascii="Calibri" w:hAnsi="Calibri" w:cs="Calibri"/>
          <w:i/>
          <w:iCs/>
          <w:sz w:val="18"/>
          <w:szCs w:val="18"/>
        </w:rPr>
        <w:t>et al.</w:t>
      </w:r>
      <w:r w:rsidRPr="00297685">
        <w:rPr>
          <w:rFonts w:ascii="Calibri" w:hAnsi="Calibri" w:cs="Calibri"/>
          <w:sz w:val="18"/>
          <w:szCs w:val="18"/>
        </w:rPr>
        <w:t xml:space="preserve"> Excess heat recovery: An invisible energy resource for the Swiss industry sector. </w:t>
      </w:r>
      <w:r w:rsidRPr="00297685">
        <w:rPr>
          <w:rFonts w:ascii="Calibri" w:hAnsi="Calibri" w:cs="Calibri"/>
          <w:i/>
          <w:iCs/>
          <w:sz w:val="18"/>
          <w:szCs w:val="18"/>
        </w:rPr>
        <w:t>Applied Energy</w:t>
      </w:r>
      <w:r w:rsidRPr="00297685">
        <w:rPr>
          <w:rFonts w:ascii="Calibri" w:hAnsi="Calibri" w:cs="Calibri"/>
          <w:sz w:val="18"/>
          <w:szCs w:val="18"/>
        </w:rPr>
        <w:t xml:space="preserve"> </w:t>
      </w:r>
      <w:r w:rsidRPr="00297685">
        <w:rPr>
          <w:rFonts w:ascii="Calibri" w:hAnsi="Calibri" w:cs="Calibri"/>
          <w:b/>
          <w:bCs/>
          <w:sz w:val="18"/>
          <w:szCs w:val="18"/>
        </w:rPr>
        <w:t>228</w:t>
      </w:r>
      <w:r w:rsidRPr="00297685">
        <w:rPr>
          <w:rFonts w:ascii="Calibri" w:hAnsi="Calibri" w:cs="Calibri"/>
          <w:sz w:val="18"/>
          <w:szCs w:val="18"/>
        </w:rPr>
        <w:t>, 390–408 (2018).</w:t>
      </w:r>
    </w:p>
    <w:p w14:paraId="68DFDEA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38.</w:t>
      </w:r>
      <w:r w:rsidRPr="00297685">
        <w:rPr>
          <w:rFonts w:ascii="Calibri" w:hAnsi="Calibri" w:cs="Calibri"/>
          <w:sz w:val="18"/>
          <w:szCs w:val="18"/>
        </w:rPr>
        <w:tab/>
        <w:t xml:space="preserve">Delpech, B. </w:t>
      </w:r>
      <w:r w:rsidRPr="00297685">
        <w:rPr>
          <w:rFonts w:ascii="Calibri" w:hAnsi="Calibri" w:cs="Calibri"/>
          <w:i/>
          <w:iCs/>
          <w:sz w:val="18"/>
          <w:szCs w:val="18"/>
        </w:rPr>
        <w:t>et al.</w:t>
      </w:r>
      <w:r w:rsidRPr="00297685">
        <w:rPr>
          <w:rFonts w:ascii="Calibri" w:hAnsi="Calibri" w:cs="Calibri"/>
          <w:sz w:val="18"/>
          <w:szCs w:val="18"/>
        </w:rPr>
        <w:t xml:space="preserve"> Energy efficiency enhancement and waste heat recovery in industrial processes by means of the heat pipe technology: Case of the ceramic industry. </w:t>
      </w:r>
      <w:r w:rsidRPr="00297685">
        <w:rPr>
          <w:rFonts w:ascii="Calibri" w:hAnsi="Calibri" w:cs="Calibri"/>
          <w:i/>
          <w:iCs/>
          <w:sz w:val="18"/>
          <w:szCs w:val="18"/>
        </w:rPr>
        <w:t>Energy</w:t>
      </w:r>
      <w:r w:rsidRPr="00297685">
        <w:rPr>
          <w:rFonts w:ascii="Calibri" w:hAnsi="Calibri" w:cs="Calibri"/>
          <w:sz w:val="18"/>
          <w:szCs w:val="18"/>
        </w:rPr>
        <w:t xml:space="preserve"> </w:t>
      </w:r>
      <w:r w:rsidRPr="00297685">
        <w:rPr>
          <w:rFonts w:ascii="Calibri" w:hAnsi="Calibri" w:cs="Calibri"/>
          <w:b/>
          <w:bCs/>
          <w:sz w:val="18"/>
          <w:szCs w:val="18"/>
        </w:rPr>
        <w:t>158</w:t>
      </w:r>
      <w:r w:rsidRPr="00297685">
        <w:rPr>
          <w:rFonts w:ascii="Calibri" w:hAnsi="Calibri" w:cs="Calibri"/>
          <w:sz w:val="18"/>
          <w:szCs w:val="18"/>
        </w:rPr>
        <w:t>, 656–665 (2018).</w:t>
      </w:r>
    </w:p>
    <w:p w14:paraId="6F6EBC1C"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39.</w:t>
      </w:r>
      <w:r w:rsidRPr="00297685">
        <w:rPr>
          <w:rFonts w:ascii="Calibri" w:hAnsi="Calibri" w:cs="Calibri"/>
          <w:sz w:val="18"/>
          <w:szCs w:val="18"/>
        </w:rPr>
        <w:tab/>
        <w:t xml:space="preserve">Danish Energy Agency. </w:t>
      </w:r>
      <w:r w:rsidRPr="00297685">
        <w:rPr>
          <w:rFonts w:ascii="Calibri" w:hAnsi="Calibri" w:cs="Calibri"/>
          <w:i/>
          <w:iCs/>
          <w:sz w:val="18"/>
          <w:szCs w:val="18"/>
        </w:rPr>
        <w:t>Technology Data - Generation of Electricity and District Heating</w:t>
      </w:r>
      <w:r w:rsidRPr="00297685">
        <w:rPr>
          <w:rFonts w:ascii="Calibri" w:hAnsi="Calibri" w:cs="Calibri"/>
          <w:sz w:val="18"/>
          <w:szCs w:val="18"/>
        </w:rPr>
        <w:t>. 418 https://ens.dk/sites/ens.dk/files/Analyser/technology_data_catalogue_for_el_and_dh.pdf (2022).</w:t>
      </w:r>
    </w:p>
    <w:p w14:paraId="0633648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40.</w:t>
      </w:r>
      <w:r w:rsidRPr="00297685">
        <w:rPr>
          <w:rFonts w:ascii="Calibri" w:hAnsi="Calibri" w:cs="Calibri"/>
          <w:sz w:val="18"/>
          <w:szCs w:val="18"/>
        </w:rPr>
        <w:tab/>
        <w:t xml:space="preserve">El Abbadi, S. H., Sherwin, E. D., Brandt, A. R., Luby, S. P. &amp; Criddle, C. S. Displacing fishmeal with protein derived from stranded methane. </w:t>
      </w:r>
      <w:r w:rsidRPr="00297685">
        <w:rPr>
          <w:rFonts w:ascii="Calibri" w:hAnsi="Calibri" w:cs="Calibri"/>
          <w:i/>
          <w:iCs/>
          <w:sz w:val="18"/>
          <w:szCs w:val="18"/>
        </w:rPr>
        <w:t>Nat. Sustain.</w:t>
      </w:r>
      <w:r w:rsidRPr="00297685">
        <w:rPr>
          <w:rFonts w:ascii="Calibri" w:hAnsi="Calibri" w:cs="Calibri"/>
          <w:sz w:val="18"/>
          <w:szCs w:val="18"/>
        </w:rPr>
        <w:t xml:space="preserve"> 1–10 (2021) doi:10.1038/s41893-021-00796-2.</w:t>
      </w:r>
    </w:p>
    <w:p w14:paraId="7CA4475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41.</w:t>
      </w:r>
      <w:r w:rsidRPr="00297685">
        <w:rPr>
          <w:rFonts w:ascii="Calibri" w:hAnsi="Calibri" w:cs="Calibri"/>
          <w:sz w:val="18"/>
          <w:szCs w:val="18"/>
        </w:rPr>
        <w:tab/>
        <w:t xml:space="preserve">Van Peteghem, L. </w:t>
      </w:r>
      <w:r w:rsidRPr="00297685">
        <w:rPr>
          <w:rFonts w:ascii="Calibri" w:hAnsi="Calibri" w:cs="Calibri"/>
          <w:i/>
          <w:iCs/>
          <w:sz w:val="18"/>
          <w:szCs w:val="18"/>
        </w:rPr>
        <w:t>et al.</w:t>
      </w:r>
      <w:r w:rsidRPr="00297685">
        <w:rPr>
          <w:rFonts w:ascii="Calibri" w:hAnsi="Calibri" w:cs="Calibri"/>
          <w:sz w:val="18"/>
          <w:szCs w:val="18"/>
        </w:rPr>
        <w:t xml:space="preserve"> Towards new carbon–neutral food systems: Combining carbon capture and utilization with microbial protein production. </w:t>
      </w:r>
      <w:r w:rsidRPr="00297685">
        <w:rPr>
          <w:rFonts w:ascii="Calibri" w:hAnsi="Calibri" w:cs="Calibri"/>
          <w:i/>
          <w:iCs/>
          <w:sz w:val="18"/>
          <w:szCs w:val="18"/>
        </w:rPr>
        <w:t>Bioresour. Technol.</w:t>
      </w:r>
      <w:r w:rsidRPr="00297685">
        <w:rPr>
          <w:rFonts w:ascii="Calibri" w:hAnsi="Calibri" w:cs="Calibri"/>
          <w:sz w:val="18"/>
          <w:szCs w:val="18"/>
        </w:rPr>
        <w:t xml:space="preserve"> </w:t>
      </w:r>
      <w:r w:rsidRPr="00297685">
        <w:rPr>
          <w:rFonts w:ascii="Calibri" w:hAnsi="Calibri" w:cs="Calibri"/>
          <w:b/>
          <w:bCs/>
          <w:sz w:val="18"/>
          <w:szCs w:val="18"/>
        </w:rPr>
        <w:t>349</w:t>
      </w:r>
      <w:r w:rsidRPr="00297685">
        <w:rPr>
          <w:rFonts w:ascii="Calibri" w:hAnsi="Calibri" w:cs="Calibri"/>
          <w:sz w:val="18"/>
          <w:szCs w:val="18"/>
        </w:rPr>
        <w:t>, 126853 (2022).</w:t>
      </w:r>
    </w:p>
    <w:p w14:paraId="4550B1B6"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42.</w:t>
      </w:r>
      <w:r w:rsidRPr="00297685">
        <w:rPr>
          <w:rFonts w:ascii="Calibri" w:hAnsi="Calibri" w:cs="Calibri"/>
          <w:sz w:val="18"/>
          <w:szCs w:val="18"/>
        </w:rPr>
        <w:tab/>
        <w:t xml:space="preserve">Madeddu, S. </w:t>
      </w:r>
      <w:r w:rsidRPr="00297685">
        <w:rPr>
          <w:rFonts w:ascii="Calibri" w:hAnsi="Calibri" w:cs="Calibri"/>
          <w:i/>
          <w:iCs/>
          <w:sz w:val="18"/>
          <w:szCs w:val="18"/>
        </w:rPr>
        <w:t>et al.</w:t>
      </w:r>
      <w:r w:rsidRPr="00297685">
        <w:rPr>
          <w:rFonts w:ascii="Calibri" w:hAnsi="Calibri" w:cs="Calibri"/>
          <w:sz w:val="18"/>
          <w:szCs w:val="18"/>
        </w:rPr>
        <w:t xml:space="preserve"> The CO2 reduction potential for the European industry via direct electrification of heat supply (power-to-heat). </w:t>
      </w:r>
      <w:r w:rsidRPr="00297685">
        <w:rPr>
          <w:rFonts w:ascii="Calibri" w:hAnsi="Calibri" w:cs="Calibri"/>
          <w:i/>
          <w:iCs/>
          <w:sz w:val="18"/>
          <w:szCs w:val="18"/>
        </w:rPr>
        <w:t>Environ. Res. Lett.</w:t>
      </w:r>
      <w:r w:rsidRPr="00297685">
        <w:rPr>
          <w:rFonts w:ascii="Calibri" w:hAnsi="Calibri" w:cs="Calibri"/>
          <w:sz w:val="18"/>
          <w:szCs w:val="18"/>
        </w:rPr>
        <w:t xml:space="preserve"> 15 (2020).</w:t>
      </w:r>
    </w:p>
    <w:p w14:paraId="43BE7174"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43.</w:t>
      </w:r>
      <w:r w:rsidRPr="00297685">
        <w:rPr>
          <w:rFonts w:ascii="Calibri" w:hAnsi="Calibri" w:cs="Calibri"/>
          <w:sz w:val="18"/>
          <w:szCs w:val="18"/>
        </w:rPr>
        <w:tab/>
        <w:t xml:space="preserve">Keil, C., Plura, S., Radspieler, M. &amp; Schweigler, C. Application of customized absorption heat pumps for utilization of low-grade heat sources. </w:t>
      </w:r>
      <w:r w:rsidRPr="00297685">
        <w:rPr>
          <w:rFonts w:ascii="Calibri" w:hAnsi="Calibri" w:cs="Calibri"/>
          <w:i/>
          <w:iCs/>
          <w:sz w:val="18"/>
          <w:szCs w:val="18"/>
        </w:rPr>
        <w:t>Applied Thermal Engineering</w:t>
      </w:r>
      <w:r w:rsidRPr="00297685">
        <w:rPr>
          <w:rFonts w:ascii="Calibri" w:hAnsi="Calibri" w:cs="Calibri"/>
          <w:sz w:val="18"/>
          <w:szCs w:val="18"/>
        </w:rPr>
        <w:t xml:space="preserve"> </w:t>
      </w:r>
      <w:r w:rsidRPr="00297685">
        <w:rPr>
          <w:rFonts w:ascii="Calibri" w:hAnsi="Calibri" w:cs="Calibri"/>
          <w:b/>
          <w:bCs/>
          <w:sz w:val="18"/>
          <w:szCs w:val="18"/>
        </w:rPr>
        <w:t>28</w:t>
      </w:r>
      <w:r w:rsidRPr="00297685">
        <w:rPr>
          <w:rFonts w:ascii="Calibri" w:hAnsi="Calibri" w:cs="Calibri"/>
          <w:sz w:val="18"/>
          <w:szCs w:val="18"/>
        </w:rPr>
        <w:t>, 2070–2076 (2008).</w:t>
      </w:r>
    </w:p>
    <w:p w14:paraId="7C133CEA"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44.</w:t>
      </w:r>
      <w:r w:rsidRPr="00297685">
        <w:rPr>
          <w:rFonts w:ascii="Calibri" w:hAnsi="Calibri" w:cs="Calibri"/>
          <w:sz w:val="18"/>
          <w:szCs w:val="18"/>
        </w:rPr>
        <w:tab/>
        <w:t xml:space="preserve">Law, R., Harvey, A. &amp; Reay, D. Opportunities for low-grade heat recovery in the UK food processing industry. </w:t>
      </w:r>
      <w:r w:rsidRPr="00297685">
        <w:rPr>
          <w:rFonts w:ascii="Calibri" w:hAnsi="Calibri" w:cs="Calibri"/>
          <w:i/>
          <w:iCs/>
          <w:sz w:val="18"/>
          <w:szCs w:val="18"/>
        </w:rPr>
        <w:t>Applied Thermal Engineering</w:t>
      </w:r>
      <w:r w:rsidRPr="00297685">
        <w:rPr>
          <w:rFonts w:ascii="Calibri" w:hAnsi="Calibri" w:cs="Calibri"/>
          <w:sz w:val="18"/>
          <w:szCs w:val="18"/>
        </w:rPr>
        <w:t xml:space="preserve"> </w:t>
      </w:r>
      <w:r w:rsidRPr="00297685">
        <w:rPr>
          <w:rFonts w:ascii="Calibri" w:hAnsi="Calibri" w:cs="Calibri"/>
          <w:b/>
          <w:bCs/>
          <w:sz w:val="18"/>
          <w:szCs w:val="18"/>
        </w:rPr>
        <w:t>53</w:t>
      </w:r>
      <w:r w:rsidRPr="00297685">
        <w:rPr>
          <w:rFonts w:ascii="Calibri" w:hAnsi="Calibri" w:cs="Calibri"/>
          <w:sz w:val="18"/>
          <w:szCs w:val="18"/>
        </w:rPr>
        <w:t>, 188–196 (2013).</w:t>
      </w:r>
    </w:p>
    <w:p w14:paraId="0914CBAE"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45.</w:t>
      </w:r>
      <w:r w:rsidRPr="00297685">
        <w:rPr>
          <w:rFonts w:ascii="Calibri" w:hAnsi="Calibri" w:cs="Calibri"/>
          <w:sz w:val="18"/>
          <w:szCs w:val="18"/>
        </w:rPr>
        <w:tab/>
        <w:t xml:space="preserve">Walsh, C. &amp; Thornley, P. Barriers to improving energy efficiency within the process industries with a focus on low grade heat utilisation. </w:t>
      </w:r>
      <w:r w:rsidRPr="00297685">
        <w:rPr>
          <w:rFonts w:ascii="Calibri" w:hAnsi="Calibri" w:cs="Calibri"/>
          <w:i/>
          <w:iCs/>
          <w:sz w:val="18"/>
          <w:szCs w:val="18"/>
        </w:rPr>
        <w:t>Journal of Cleaner Production</w:t>
      </w:r>
      <w:r w:rsidRPr="00297685">
        <w:rPr>
          <w:rFonts w:ascii="Calibri" w:hAnsi="Calibri" w:cs="Calibri"/>
          <w:sz w:val="18"/>
          <w:szCs w:val="18"/>
        </w:rPr>
        <w:t xml:space="preserve"> </w:t>
      </w:r>
      <w:r w:rsidRPr="00297685">
        <w:rPr>
          <w:rFonts w:ascii="Calibri" w:hAnsi="Calibri" w:cs="Calibri"/>
          <w:b/>
          <w:bCs/>
          <w:sz w:val="18"/>
          <w:szCs w:val="18"/>
        </w:rPr>
        <w:t>23</w:t>
      </w:r>
      <w:r w:rsidRPr="00297685">
        <w:rPr>
          <w:rFonts w:ascii="Calibri" w:hAnsi="Calibri" w:cs="Calibri"/>
          <w:sz w:val="18"/>
          <w:szCs w:val="18"/>
        </w:rPr>
        <w:t>, 138–146 (2012).</w:t>
      </w:r>
    </w:p>
    <w:p w14:paraId="7DD6909F" w14:textId="77777777"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rPr>
        <w:t>46.</w:t>
      </w:r>
      <w:r w:rsidRPr="00297685">
        <w:rPr>
          <w:rFonts w:ascii="Calibri" w:hAnsi="Calibri" w:cs="Calibri"/>
          <w:sz w:val="18"/>
          <w:szCs w:val="18"/>
        </w:rPr>
        <w:tab/>
        <w:t xml:space="preserve">European Commission. </w:t>
      </w:r>
      <w:r w:rsidRPr="00297685">
        <w:rPr>
          <w:rFonts w:ascii="Calibri" w:hAnsi="Calibri" w:cs="Calibri"/>
          <w:i/>
          <w:iCs/>
          <w:sz w:val="18"/>
          <w:szCs w:val="18"/>
        </w:rPr>
        <w:t xml:space="preserve">EU Reference Scenario 2020: Energy, Transport and GHG </w:t>
      </w:r>
      <w:proofErr w:type="gramStart"/>
      <w:r w:rsidRPr="00297685">
        <w:rPr>
          <w:rFonts w:ascii="Calibri" w:hAnsi="Calibri" w:cs="Calibri"/>
          <w:i/>
          <w:iCs/>
          <w:sz w:val="18"/>
          <w:szCs w:val="18"/>
        </w:rPr>
        <w:t>Emissions :</w:t>
      </w:r>
      <w:proofErr w:type="gramEnd"/>
      <w:r w:rsidRPr="00297685">
        <w:rPr>
          <w:rFonts w:ascii="Calibri" w:hAnsi="Calibri" w:cs="Calibri"/>
          <w:i/>
          <w:iCs/>
          <w:sz w:val="18"/>
          <w:szCs w:val="18"/>
        </w:rPr>
        <w:t xml:space="preserve"> Trends to 2050.</w:t>
      </w:r>
      <w:r w:rsidRPr="00297685">
        <w:rPr>
          <w:rFonts w:ascii="Calibri" w:hAnsi="Calibri" w:cs="Calibri"/>
          <w:sz w:val="18"/>
          <w:szCs w:val="18"/>
        </w:rPr>
        <w:t xml:space="preserve"> </w:t>
      </w:r>
      <w:r w:rsidRPr="00297685">
        <w:rPr>
          <w:rFonts w:ascii="Calibri" w:hAnsi="Calibri" w:cs="Calibri"/>
          <w:sz w:val="18"/>
          <w:szCs w:val="18"/>
          <w:lang w:val="fr-FR"/>
        </w:rPr>
        <w:t>(Publications Office of the European Union, LU, 2021).</w:t>
      </w:r>
    </w:p>
    <w:p w14:paraId="2B772FBB" w14:textId="77777777"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lang w:val="fr-FR"/>
        </w:rPr>
        <w:lastRenderedPageBreak/>
        <w:t>47.</w:t>
      </w:r>
      <w:r w:rsidRPr="00297685">
        <w:rPr>
          <w:rFonts w:ascii="Calibri" w:hAnsi="Calibri" w:cs="Calibri"/>
          <w:sz w:val="18"/>
          <w:szCs w:val="18"/>
          <w:lang w:val="fr-FR"/>
        </w:rPr>
        <w:tab/>
        <w:t xml:space="preserve">Institute National de l’Economie Circulaire. </w:t>
      </w:r>
      <w:r w:rsidRPr="00297685">
        <w:rPr>
          <w:rFonts w:ascii="Calibri" w:hAnsi="Calibri" w:cs="Calibri"/>
          <w:i/>
          <w:iCs/>
          <w:sz w:val="18"/>
          <w:szCs w:val="18"/>
          <w:lang w:val="fr-FR"/>
        </w:rPr>
        <w:t>La Valorisation Des Mâchefers - Une Technique d’économie Circulaire Inscrite Dans Les Territoires</w:t>
      </w:r>
      <w:r w:rsidRPr="00297685">
        <w:rPr>
          <w:rFonts w:ascii="Calibri" w:hAnsi="Calibri" w:cs="Calibri"/>
          <w:sz w:val="18"/>
          <w:szCs w:val="18"/>
          <w:lang w:val="fr-FR"/>
        </w:rPr>
        <w:t>. 88 https://institut-economie-circulaire.fr/wp-content/uploads/2020/03/etude-inec-la-valorisation-des-machefers.pdf (2020).</w:t>
      </w:r>
    </w:p>
    <w:p w14:paraId="166ED81A" w14:textId="77777777"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lang w:val="fr-FR"/>
        </w:rPr>
        <w:t>48.</w:t>
      </w:r>
      <w:r w:rsidRPr="00297685">
        <w:rPr>
          <w:rFonts w:ascii="Calibri" w:hAnsi="Calibri" w:cs="Calibri"/>
          <w:sz w:val="18"/>
          <w:szCs w:val="18"/>
          <w:lang w:val="fr-FR"/>
        </w:rPr>
        <w:tab/>
        <w:t xml:space="preserve">ecoinvent. </w:t>
      </w:r>
      <w:proofErr w:type="gramStart"/>
      <w:r w:rsidRPr="00297685">
        <w:rPr>
          <w:rFonts w:ascii="Calibri" w:hAnsi="Calibri" w:cs="Calibri"/>
          <w:sz w:val="18"/>
          <w:szCs w:val="18"/>
          <w:lang w:val="fr-FR"/>
        </w:rPr>
        <w:t>ecoinvent</w:t>
      </w:r>
      <w:proofErr w:type="gramEnd"/>
      <w:r w:rsidRPr="00297685">
        <w:rPr>
          <w:rFonts w:ascii="Calibri" w:hAnsi="Calibri" w:cs="Calibri"/>
          <w:sz w:val="18"/>
          <w:szCs w:val="18"/>
          <w:lang w:val="fr-FR"/>
        </w:rPr>
        <w:t xml:space="preserve"> databases. https://ecoinvent.org/ (2022).</w:t>
      </w:r>
    </w:p>
    <w:p w14:paraId="356515A4" w14:textId="77777777"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lang w:val="fr-FR"/>
        </w:rPr>
        <w:t>49.</w:t>
      </w:r>
      <w:r w:rsidRPr="00297685">
        <w:rPr>
          <w:rFonts w:ascii="Calibri" w:hAnsi="Calibri" w:cs="Calibri"/>
          <w:sz w:val="18"/>
          <w:szCs w:val="18"/>
          <w:lang w:val="fr-FR"/>
        </w:rPr>
        <w:tab/>
        <w:t>USDA. Macronutrients, National Agricultural Library. https://www.nal.usda.gov/human-nutrition-and-food-safety/food-composition/macronutrients (2022).</w:t>
      </w:r>
    </w:p>
    <w:p w14:paraId="01FC1743"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lang w:val="fr-FR"/>
        </w:rPr>
        <w:t>50.</w:t>
      </w:r>
      <w:r w:rsidRPr="00297685">
        <w:rPr>
          <w:rFonts w:ascii="Calibri" w:hAnsi="Calibri" w:cs="Calibri"/>
          <w:sz w:val="18"/>
          <w:szCs w:val="18"/>
          <w:lang w:val="fr-FR"/>
        </w:rPr>
        <w:tab/>
        <w:t xml:space="preserve">Davis, T. L. </w:t>
      </w:r>
      <w:r w:rsidRPr="00297685">
        <w:rPr>
          <w:rFonts w:ascii="Calibri" w:hAnsi="Calibri" w:cs="Calibri"/>
          <w:i/>
          <w:iCs/>
          <w:sz w:val="18"/>
          <w:szCs w:val="18"/>
          <w:lang w:val="fr-FR"/>
        </w:rPr>
        <w:t>et al.</w:t>
      </w:r>
      <w:r w:rsidRPr="00297685">
        <w:rPr>
          <w:rFonts w:ascii="Calibri" w:hAnsi="Calibri" w:cs="Calibri"/>
          <w:sz w:val="18"/>
          <w:szCs w:val="18"/>
          <w:lang w:val="fr-FR"/>
        </w:rPr>
        <w:t xml:space="preserve"> </w:t>
      </w:r>
      <w:r w:rsidRPr="00297685">
        <w:rPr>
          <w:rFonts w:ascii="Calibri" w:hAnsi="Calibri" w:cs="Calibri"/>
          <w:sz w:val="18"/>
          <w:szCs w:val="18"/>
        </w:rPr>
        <w:t xml:space="preserve">Chemical Oxygen Demand Can Be Converted to Gross Energy for Food Items Using a Linear Regression Model. </w:t>
      </w:r>
      <w:r w:rsidRPr="00297685">
        <w:rPr>
          <w:rFonts w:ascii="Calibri" w:hAnsi="Calibri" w:cs="Calibri"/>
          <w:i/>
          <w:iCs/>
          <w:sz w:val="18"/>
          <w:szCs w:val="18"/>
        </w:rPr>
        <w:t>The Journal of Nutrition</w:t>
      </w:r>
      <w:r w:rsidRPr="00297685">
        <w:rPr>
          <w:rFonts w:ascii="Calibri" w:hAnsi="Calibri" w:cs="Calibri"/>
          <w:sz w:val="18"/>
          <w:szCs w:val="18"/>
        </w:rPr>
        <w:t xml:space="preserve"> </w:t>
      </w:r>
      <w:r w:rsidRPr="00297685">
        <w:rPr>
          <w:rFonts w:ascii="Calibri" w:hAnsi="Calibri" w:cs="Calibri"/>
          <w:b/>
          <w:bCs/>
          <w:sz w:val="18"/>
          <w:szCs w:val="18"/>
        </w:rPr>
        <w:t>151</w:t>
      </w:r>
      <w:r w:rsidRPr="00297685">
        <w:rPr>
          <w:rFonts w:ascii="Calibri" w:hAnsi="Calibri" w:cs="Calibri"/>
          <w:sz w:val="18"/>
          <w:szCs w:val="18"/>
        </w:rPr>
        <w:t>, 445–453 (2021).</w:t>
      </w:r>
    </w:p>
    <w:p w14:paraId="3F15214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51.</w:t>
      </w:r>
      <w:r w:rsidRPr="00297685">
        <w:rPr>
          <w:rFonts w:ascii="Calibri" w:hAnsi="Calibri" w:cs="Calibri"/>
          <w:sz w:val="18"/>
          <w:szCs w:val="18"/>
        </w:rPr>
        <w:tab/>
        <w:t xml:space="preserve">Bailey, R. &amp; Wellesley, L. </w:t>
      </w:r>
      <w:r w:rsidRPr="00297685">
        <w:rPr>
          <w:rFonts w:ascii="Calibri" w:hAnsi="Calibri" w:cs="Calibri"/>
          <w:i/>
          <w:iCs/>
          <w:sz w:val="18"/>
          <w:szCs w:val="18"/>
        </w:rPr>
        <w:t>Chokepoints and Vulnerabilities in Global Food Trade</w:t>
      </w:r>
      <w:r w:rsidRPr="00297685">
        <w:rPr>
          <w:rFonts w:ascii="Calibri" w:hAnsi="Calibri" w:cs="Calibri"/>
          <w:sz w:val="18"/>
          <w:szCs w:val="18"/>
        </w:rPr>
        <w:t>. (Chatham House, London, 2017).</w:t>
      </w:r>
    </w:p>
    <w:p w14:paraId="28AAACFD"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52.</w:t>
      </w:r>
      <w:r w:rsidRPr="00297685">
        <w:rPr>
          <w:rFonts w:ascii="Calibri" w:hAnsi="Calibri" w:cs="Calibri"/>
          <w:sz w:val="18"/>
          <w:szCs w:val="18"/>
        </w:rPr>
        <w:tab/>
        <w:t xml:space="preserve">Billen, G. </w:t>
      </w:r>
      <w:r w:rsidRPr="00297685">
        <w:rPr>
          <w:rFonts w:ascii="Calibri" w:hAnsi="Calibri" w:cs="Calibri"/>
          <w:i/>
          <w:iCs/>
          <w:sz w:val="18"/>
          <w:szCs w:val="18"/>
        </w:rPr>
        <w:t>et al.</w:t>
      </w:r>
      <w:r w:rsidRPr="00297685">
        <w:rPr>
          <w:rFonts w:ascii="Calibri" w:hAnsi="Calibri" w:cs="Calibri"/>
          <w:sz w:val="18"/>
          <w:szCs w:val="18"/>
        </w:rPr>
        <w:t xml:space="preserve"> Reshaping the European agro-food system and closing its nitrogen cycle: The potential of combining dietary change, agroecology, and circularity. </w:t>
      </w:r>
      <w:r w:rsidRPr="00297685">
        <w:rPr>
          <w:rFonts w:ascii="Calibri" w:hAnsi="Calibri" w:cs="Calibri"/>
          <w:i/>
          <w:iCs/>
          <w:sz w:val="18"/>
          <w:szCs w:val="18"/>
        </w:rPr>
        <w:t>One Earth</w:t>
      </w:r>
      <w:r w:rsidRPr="00297685">
        <w:rPr>
          <w:rFonts w:ascii="Calibri" w:hAnsi="Calibri" w:cs="Calibri"/>
          <w:sz w:val="18"/>
          <w:szCs w:val="18"/>
        </w:rPr>
        <w:t xml:space="preserve"> </w:t>
      </w:r>
      <w:r w:rsidRPr="00297685">
        <w:rPr>
          <w:rFonts w:ascii="Calibri" w:hAnsi="Calibri" w:cs="Calibri"/>
          <w:b/>
          <w:bCs/>
          <w:sz w:val="18"/>
          <w:szCs w:val="18"/>
        </w:rPr>
        <w:t>4</w:t>
      </w:r>
      <w:r w:rsidRPr="00297685">
        <w:rPr>
          <w:rFonts w:ascii="Calibri" w:hAnsi="Calibri" w:cs="Calibri"/>
          <w:sz w:val="18"/>
          <w:szCs w:val="18"/>
        </w:rPr>
        <w:t>, 839–850 (2021).</w:t>
      </w:r>
    </w:p>
    <w:p w14:paraId="36BB2A9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53.</w:t>
      </w:r>
      <w:r w:rsidRPr="00297685">
        <w:rPr>
          <w:rFonts w:ascii="Calibri" w:hAnsi="Calibri" w:cs="Calibri"/>
          <w:sz w:val="18"/>
          <w:szCs w:val="18"/>
        </w:rPr>
        <w:tab/>
        <w:t xml:space="preserve">Leip, A. </w:t>
      </w:r>
      <w:r w:rsidRPr="00297685">
        <w:rPr>
          <w:rFonts w:ascii="Calibri" w:hAnsi="Calibri" w:cs="Calibri"/>
          <w:i/>
          <w:iCs/>
          <w:sz w:val="18"/>
          <w:szCs w:val="18"/>
        </w:rPr>
        <w:t>et al.</w:t>
      </w:r>
      <w:r w:rsidRPr="00297685">
        <w:rPr>
          <w:rFonts w:ascii="Calibri" w:hAnsi="Calibri" w:cs="Calibri"/>
          <w:sz w:val="18"/>
          <w:szCs w:val="18"/>
        </w:rPr>
        <w:t xml:space="preserve"> Halving nitrogen waste in the European Union food systems requires both dietary shifts and farm level actions. </w:t>
      </w:r>
      <w:r w:rsidRPr="00297685">
        <w:rPr>
          <w:rFonts w:ascii="Calibri" w:hAnsi="Calibri" w:cs="Calibri"/>
          <w:i/>
          <w:iCs/>
          <w:sz w:val="18"/>
          <w:szCs w:val="18"/>
        </w:rPr>
        <w:t>Global Food Security</w:t>
      </w:r>
      <w:r w:rsidRPr="00297685">
        <w:rPr>
          <w:rFonts w:ascii="Calibri" w:hAnsi="Calibri" w:cs="Calibri"/>
          <w:sz w:val="18"/>
          <w:szCs w:val="18"/>
        </w:rPr>
        <w:t xml:space="preserve"> </w:t>
      </w:r>
      <w:r w:rsidRPr="00297685">
        <w:rPr>
          <w:rFonts w:ascii="Calibri" w:hAnsi="Calibri" w:cs="Calibri"/>
          <w:b/>
          <w:bCs/>
          <w:sz w:val="18"/>
          <w:szCs w:val="18"/>
        </w:rPr>
        <w:t>35</w:t>
      </w:r>
      <w:r w:rsidRPr="00297685">
        <w:rPr>
          <w:rFonts w:ascii="Calibri" w:hAnsi="Calibri" w:cs="Calibri"/>
          <w:sz w:val="18"/>
          <w:szCs w:val="18"/>
        </w:rPr>
        <w:t>, 100648 (2022).</w:t>
      </w:r>
    </w:p>
    <w:p w14:paraId="455EDEE4"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54.</w:t>
      </w:r>
      <w:r w:rsidRPr="00297685">
        <w:rPr>
          <w:rFonts w:ascii="Calibri" w:hAnsi="Calibri" w:cs="Calibri"/>
          <w:sz w:val="18"/>
          <w:szCs w:val="18"/>
        </w:rPr>
        <w:tab/>
        <w:t>FAO. FAOSTAT. http://www.fao.org/faostat/en/ (2019).</w:t>
      </w:r>
    </w:p>
    <w:p w14:paraId="6399B574" w14:textId="77777777"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rPr>
        <w:t>55.</w:t>
      </w:r>
      <w:r w:rsidRPr="00297685">
        <w:rPr>
          <w:rFonts w:ascii="Calibri" w:hAnsi="Calibri" w:cs="Calibri"/>
          <w:sz w:val="18"/>
          <w:szCs w:val="18"/>
        </w:rPr>
        <w:tab/>
        <w:t xml:space="preserve">OECD/FAO. </w:t>
      </w:r>
      <w:r w:rsidRPr="00297685">
        <w:rPr>
          <w:rFonts w:ascii="Calibri" w:hAnsi="Calibri" w:cs="Calibri"/>
          <w:i/>
          <w:iCs/>
          <w:sz w:val="18"/>
          <w:szCs w:val="18"/>
        </w:rPr>
        <w:t>OECD-FAO Agricultural Outlook 2022-2031</w:t>
      </w:r>
      <w:r w:rsidRPr="00297685">
        <w:rPr>
          <w:rFonts w:ascii="Calibri" w:hAnsi="Calibri" w:cs="Calibri"/>
          <w:sz w:val="18"/>
          <w:szCs w:val="18"/>
        </w:rPr>
        <w:t xml:space="preserve">. </w:t>
      </w:r>
      <w:r w:rsidRPr="00297685">
        <w:rPr>
          <w:rFonts w:ascii="Calibri" w:hAnsi="Calibri" w:cs="Calibri"/>
          <w:sz w:val="18"/>
          <w:szCs w:val="18"/>
          <w:lang w:val="fr-FR"/>
        </w:rPr>
        <w:t xml:space="preserve">(OECD Publishing, Paris, 2022). </w:t>
      </w:r>
      <w:proofErr w:type="gramStart"/>
      <w:r w:rsidRPr="00297685">
        <w:rPr>
          <w:rFonts w:ascii="Calibri" w:hAnsi="Calibri" w:cs="Calibri"/>
          <w:sz w:val="18"/>
          <w:szCs w:val="18"/>
          <w:lang w:val="fr-FR"/>
        </w:rPr>
        <w:t>doi:</w:t>
      </w:r>
      <w:proofErr w:type="gramEnd"/>
      <w:r w:rsidRPr="00297685">
        <w:rPr>
          <w:rFonts w:ascii="Calibri" w:hAnsi="Calibri" w:cs="Calibri"/>
          <w:sz w:val="18"/>
          <w:szCs w:val="18"/>
          <w:lang w:val="fr-FR"/>
        </w:rPr>
        <w:t>10.1787/f1b0b29c-en.</w:t>
      </w:r>
    </w:p>
    <w:p w14:paraId="1AD3212C" w14:textId="77777777"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lang w:val="fr-FR"/>
        </w:rPr>
        <w:t>56.</w:t>
      </w:r>
      <w:r w:rsidRPr="00297685">
        <w:rPr>
          <w:rFonts w:ascii="Calibri" w:hAnsi="Calibri" w:cs="Calibri"/>
          <w:sz w:val="18"/>
          <w:szCs w:val="18"/>
          <w:lang w:val="fr-FR"/>
        </w:rPr>
        <w:tab/>
        <w:t xml:space="preserve">Agreste. Chapitre 12 - Produits agroalimentaires. Alimentation animale. </w:t>
      </w:r>
      <w:proofErr w:type="gramStart"/>
      <w:r w:rsidRPr="00297685">
        <w:rPr>
          <w:rFonts w:ascii="Calibri" w:hAnsi="Calibri" w:cs="Calibri"/>
          <w:sz w:val="18"/>
          <w:szCs w:val="18"/>
          <w:lang w:val="fr-FR"/>
        </w:rPr>
        <w:t>in</w:t>
      </w:r>
      <w:proofErr w:type="gramEnd"/>
      <w:r w:rsidRPr="00297685">
        <w:rPr>
          <w:rFonts w:ascii="Calibri" w:hAnsi="Calibri" w:cs="Calibri"/>
          <w:sz w:val="18"/>
          <w:szCs w:val="18"/>
          <w:lang w:val="fr-FR"/>
        </w:rPr>
        <w:t xml:space="preserve"> </w:t>
      </w:r>
      <w:r w:rsidRPr="00297685">
        <w:rPr>
          <w:rFonts w:ascii="Calibri" w:hAnsi="Calibri" w:cs="Calibri"/>
          <w:i/>
          <w:iCs/>
          <w:sz w:val="18"/>
          <w:szCs w:val="18"/>
          <w:lang w:val="fr-FR"/>
        </w:rPr>
        <w:t>Graph’Agri 2020</w:t>
      </w:r>
      <w:r w:rsidRPr="00297685">
        <w:rPr>
          <w:rFonts w:ascii="Calibri" w:hAnsi="Calibri" w:cs="Calibri"/>
          <w:sz w:val="18"/>
          <w:szCs w:val="18"/>
          <w:lang w:val="fr-FR"/>
        </w:rPr>
        <w:t xml:space="preserve"> (2019).</w:t>
      </w:r>
    </w:p>
    <w:p w14:paraId="30AC5C64"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lang w:val="fr-FR"/>
        </w:rPr>
        <w:t>57.</w:t>
      </w:r>
      <w:r w:rsidRPr="00297685">
        <w:rPr>
          <w:rFonts w:ascii="Calibri" w:hAnsi="Calibri" w:cs="Calibri"/>
          <w:sz w:val="18"/>
          <w:szCs w:val="18"/>
          <w:lang w:val="fr-FR"/>
        </w:rPr>
        <w:tab/>
        <w:t xml:space="preserve">Smetana, S. </w:t>
      </w:r>
      <w:r w:rsidRPr="00297685">
        <w:rPr>
          <w:rFonts w:ascii="Calibri" w:hAnsi="Calibri" w:cs="Calibri"/>
          <w:i/>
          <w:iCs/>
          <w:sz w:val="18"/>
          <w:szCs w:val="18"/>
          <w:lang w:val="fr-FR"/>
        </w:rPr>
        <w:t>et al.</w:t>
      </w:r>
      <w:r w:rsidRPr="00297685">
        <w:rPr>
          <w:rFonts w:ascii="Calibri" w:hAnsi="Calibri" w:cs="Calibri"/>
          <w:sz w:val="18"/>
          <w:szCs w:val="18"/>
          <w:lang w:val="fr-FR"/>
        </w:rPr>
        <w:t xml:space="preserve"> </w:t>
      </w:r>
      <w:r w:rsidRPr="00297685">
        <w:rPr>
          <w:rFonts w:ascii="Calibri" w:hAnsi="Calibri" w:cs="Calibri"/>
          <w:sz w:val="18"/>
          <w:szCs w:val="18"/>
        </w:rPr>
        <w:t xml:space="preserve">Meat substitutes: Resource demands and environmental footprints. </w:t>
      </w:r>
      <w:r w:rsidRPr="00297685">
        <w:rPr>
          <w:rFonts w:ascii="Calibri" w:hAnsi="Calibri" w:cs="Calibri"/>
          <w:i/>
          <w:iCs/>
          <w:sz w:val="18"/>
          <w:szCs w:val="18"/>
        </w:rPr>
        <w:t>Resources, Conservation and Recycling</w:t>
      </w:r>
      <w:r w:rsidRPr="00297685">
        <w:rPr>
          <w:rFonts w:ascii="Calibri" w:hAnsi="Calibri" w:cs="Calibri"/>
          <w:sz w:val="18"/>
          <w:szCs w:val="18"/>
        </w:rPr>
        <w:t xml:space="preserve"> </w:t>
      </w:r>
      <w:r w:rsidRPr="00297685">
        <w:rPr>
          <w:rFonts w:ascii="Calibri" w:hAnsi="Calibri" w:cs="Calibri"/>
          <w:b/>
          <w:bCs/>
          <w:sz w:val="18"/>
          <w:szCs w:val="18"/>
        </w:rPr>
        <w:t>190</w:t>
      </w:r>
      <w:r w:rsidRPr="00297685">
        <w:rPr>
          <w:rFonts w:ascii="Calibri" w:hAnsi="Calibri" w:cs="Calibri"/>
          <w:sz w:val="18"/>
          <w:szCs w:val="18"/>
        </w:rPr>
        <w:t>, 106831 (2023).</w:t>
      </w:r>
    </w:p>
    <w:p w14:paraId="5F614623"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58.</w:t>
      </w:r>
      <w:r w:rsidRPr="00297685">
        <w:rPr>
          <w:rFonts w:ascii="Calibri" w:hAnsi="Calibri" w:cs="Calibri"/>
          <w:sz w:val="18"/>
          <w:szCs w:val="18"/>
        </w:rPr>
        <w:tab/>
        <w:t xml:space="preserve">Profeta, A. </w:t>
      </w:r>
      <w:r w:rsidRPr="00297685">
        <w:rPr>
          <w:rFonts w:ascii="Calibri" w:hAnsi="Calibri" w:cs="Calibri"/>
          <w:i/>
          <w:iCs/>
          <w:sz w:val="18"/>
          <w:szCs w:val="18"/>
        </w:rPr>
        <w:t>et al.</w:t>
      </w:r>
      <w:r w:rsidRPr="00297685">
        <w:rPr>
          <w:rFonts w:ascii="Calibri" w:hAnsi="Calibri" w:cs="Calibri"/>
          <w:sz w:val="18"/>
          <w:szCs w:val="18"/>
        </w:rPr>
        <w:t xml:space="preserve"> Discrete Choice Analysis of Consumer Preferences for Meathybrids—Findings from Germany and Belgium. </w:t>
      </w:r>
      <w:r w:rsidRPr="00297685">
        <w:rPr>
          <w:rFonts w:ascii="Calibri" w:hAnsi="Calibri" w:cs="Calibri"/>
          <w:i/>
          <w:iCs/>
          <w:sz w:val="18"/>
          <w:szCs w:val="18"/>
        </w:rPr>
        <w:t>Foods</w:t>
      </w:r>
      <w:r w:rsidRPr="00297685">
        <w:rPr>
          <w:rFonts w:ascii="Calibri" w:hAnsi="Calibri" w:cs="Calibri"/>
          <w:sz w:val="18"/>
          <w:szCs w:val="18"/>
        </w:rPr>
        <w:t xml:space="preserve"> </w:t>
      </w:r>
      <w:r w:rsidRPr="00297685">
        <w:rPr>
          <w:rFonts w:ascii="Calibri" w:hAnsi="Calibri" w:cs="Calibri"/>
          <w:b/>
          <w:bCs/>
          <w:sz w:val="18"/>
          <w:szCs w:val="18"/>
        </w:rPr>
        <w:t>10</w:t>
      </w:r>
      <w:r w:rsidRPr="00297685">
        <w:rPr>
          <w:rFonts w:ascii="Calibri" w:hAnsi="Calibri" w:cs="Calibri"/>
          <w:sz w:val="18"/>
          <w:szCs w:val="18"/>
        </w:rPr>
        <w:t>, 71 (2021).</w:t>
      </w:r>
    </w:p>
    <w:p w14:paraId="31CC9671"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59.</w:t>
      </w:r>
      <w:r w:rsidRPr="00297685">
        <w:rPr>
          <w:rFonts w:ascii="Calibri" w:hAnsi="Calibri" w:cs="Calibri"/>
          <w:sz w:val="18"/>
          <w:szCs w:val="18"/>
        </w:rPr>
        <w:tab/>
        <w:t xml:space="preserve">Searchinger, T., Waite, R., Hanson, C., Ranganathan, J. &amp; Matthews, E. </w:t>
      </w:r>
      <w:r w:rsidRPr="00297685">
        <w:rPr>
          <w:rFonts w:ascii="Calibri" w:hAnsi="Calibri" w:cs="Calibri"/>
          <w:i/>
          <w:iCs/>
          <w:sz w:val="18"/>
          <w:szCs w:val="18"/>
        </w:rPr>
        <w:t>Creating a Sustainable Food Future: A Menu of Solutions to Feed Nearly 10 Billion People by 2050. Final Report</w:t>
      </w:r>
      <w:r w:rsidRPr="00297685">
        <w:rPr>
          <w:rFonts w:ascii="Calibri" w:hAnsi="Calibri" w:cs="Calibri"/>
          <w:sz w:val="18"/>
          <w:szCs w:val="18"/>
        </w:rPr>
        <w:t>. (World Resource Institute, Washington (USA), 2018).</w:t>
      </w:r>
    </w:p>
    <w:p w14:paraId="10B42BD8" w14:textId="30F1914C"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60.</w:t>
      </w:r>
      <w:r w:rsidRPr="00297685">
        <w:rPr>
          <w:rFonts w:ascii="Calibri" w:hAnsi="Calibri" w:cs="Calibri"/>
          <w:sz w:val="18"/>
          <w:szCs w:val="18"/>
        </w:rPr>
        <w:tab/>
        <w:t xml:space="preserve">Smetana, Profeta, A., Voigt, R., Kircher, C. &amp; Heinz, V. Meat substitution in burgers: nutritional scoring, sensorial testing, and Life Cycle Assessment. </w:t>
      </w:r>
      <w:r w:rsidRPr="00297685">
        <w:rPr>
          <w:rFonts w:ascii="Calibri" w:hAnsi="Calibri" w:cs="Calibri"/>
          <w:i/>
          <w:iCs/>
          <w:sz w:val="18"/>
          <w:szCs w:val="18"/>
        </w:rPr>
        <w:t>Future Foods</w:t>
      </w:r>
      <w:r w:rsidRPr="00297685">
        <w:rPr>
          <w:rFonts w:ascii="Calibri" w:hAnsi="Calibri" w:cs="Calibri"/>
          <w:sz w:val="18"/>
          <w:szCs w:val="18"/>
        </w:rPr>
        <w:t xml:space="preserve"> 100042 (2021).</w:t>
      </w:r>
    </w:p>
    <w:p w14:paraId="6B02B92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61.</w:t>
      </w:r>
      <w:r w:rsidRPr="00297685">
        <w:rPr>
          <w:rFonts w:ascii="Calibri" w:hAnsi="Calibri" w:cs="Calibri"/>
          <w:sz w:val="18"/>
          <w:szCs w:val="18"/>
        </w:rPr>
        <w:tab/>
        <w:t xml:space="preserve">Bianchi, F. </w:t>
      </w:r>
      <w:r w:rsidRPr="00297685">
        <w:rPr>
          <w:rFonts w:ascii="Calibri" w:hAnsi="Calibri" w:cs="Calibri"/>
          <w:i/>
          <w:iCs/>
          <w:sz w:val="18"/>
          <w:szCs w:val="18"/>
        </w:rPr>
        <w:t>et al.</w:t>
      </w:r>
      <w:r w:rsidRPr="00297685">
        <w:rPr>
          <w:rFonts w:ascii="Calibri" w:hAnsi="Calibri" w:cs="Calibri"/>
          <w:sz w:val="18"/>
          <w:szCs w:val="18"/>
        </w:rPr>
        <w:t xml:space="preserve"> Replacing meat with alternative plant-based products (RE-MAP): a randomized controlled trial of a multicomponent behavioral intervention to reduce meat consumption. </w:t>
      </w:r>
      <w:r w:rsidRPr="00297685">
        <w:rPr>
          <w:rFonts w:ascii="Calibri" w:hAnsi="Calibri" w:cs="Calibri"/>
          <w:i/>
          <w:iCs/>
          <w:sz w:val="18"/>
          <w:szCs w:val="18"/>
        </w:rPr>
        <w:t>The American Journal of Clinical Nutrition</w:t>
      </w:r>
      <w:r w:rsidRPr="00297685">
        <w:rPr>
          <w:rFonts w:ascii="Calibri" w:hAnsi="Calibri" w:cs="Calibri"/>
          <w:sz w:val="18"/>
          <w:szCs w:val="18"/>
        </w:rPr>
        <w:t xml:space="preserve"> </w:t>
      </w:r>
      <w:r w:rsidRPr="00297685">
        <w:rPr>
          <w:rFonts w:ascii="Calibri" w:hAnsi="Calibri" w:cs="Calibri"/>
          <w:b/>
          <w:bCs/>
          <w:sz w:val="18"/>
          <w:szCs w:val="18"/>
        </w:rPr>
        <w:t>115</w:t>
      </w:r>
      <w:r w:rsidRPr="00297685">
        <w:rPr>
          <w:rFonts w:ascii="Calibri" w:hAnsi="Calibri" w:cs="Calibri"/>
          <w:sz w:val="18"/>
          <w:szCs w:val="18"/>
        </w:rPr>
        <w:t>, 1357–1366 (2022).</w:t>
      </w:r>
    </w:p>
    <w:p w14:paraId="6287375C"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62.</w:t>
      </w:r>
      <w:r w:rsidRPr="00297685">
        <w:rPr>
          <w:rFonts w:ascii="Calibri" w:hAnsi="Calibri" w:cs="Calibri"/>
          <w:sz w:val="18"/>
          <w:szCs w:val="18"/>
        </w:rPr>
        <w:tab/>
        <w:t xml:space="preserve">Parodi, A. </w:t>
      </w:r>
      <w:r w:rsidRPr="00297685">
        <w:rPr>
          <w:rFonts w:ascii="Calibri" w:hAnsi="Calibri" w:cs="Calibri"/>
          <w:i/>
          <w:iCs/>
          <w:sz w:val="18"/>
          <w:szCs w:val="18"/>
        </w:rPr>
        <w:t>et al.</w:t>
      </w:r>
      <w:r w:rsidRPr="00297685">
        <w:rPr>
          <w:rFonts w:ascii="Calibri" w:hAnsi="Calibri" w:cs="Calibri"/>
          <w:sz w:val="18"/>
          <w:szCs w:val="18"/>
        </w:rPr>
        <w:t xml:space="preserve"> The potential of future foods for sustainable and healthy diets. </w:t>
      </w:r>
      <w:r w:rsidRPr="00297685">
        <w:rPr>
          <w:rFonts w:ascii="Calibri" w:hAnsi="Calibri" w:cs="Calibri"/>
          <w:i/>
          <w:iCs/>
          <w:sz w:val="18"/>
          <w:szCs w:val="18"/>
        </w:rPr>
        <w:t>Nat. Sustain.</w:t>
      </w:r>
      <w:r w:rsidRPr="00297685">
        <w:rPr>
          <w:rFonts w:ascii="Calibri" w:hAnsi="Calibri" w:cs="Calibri"/>
          <w:sz w:val="18"/>
          <w:szCs w:val="18"/>
        </w:rPr>
        <w:t xml:space="preserve"> </w:t>
      </w:r>
      <w:r w:rsidRPr="00297685">
        <w:rPr>
          <w:rFonts w:ascii="Calibri" w:hAnsi="Calibri" w:cs="Calibri"/>
          <w:b/>
          <w:bCs/>
          <w:sz w:val="18"/>
          <w:szCs w:val="18"/>
        </w:rPr>
        <w:t>1</w:t>
      </w:r>
      <w:r w:rsidRPr="00297685">
        <w:rPr>
          <w:rFonts w:ascii="Calibri" w:hAnsi="Calibri" w:cs="Calibri"/>
          <w:sz w:val="18"/>
          <w:szCs w:val="18"/>
        </w:rPr>
        <w:t>, 782–789 (2018).</w:t>
      </w:r>
    </w:p>
    <w:p w14:paraId="7863A4DA"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63.</w:t>
      </w:r>
      <w:r w:rsidRPr="00297685">
        <w:rPr>
          <w:rFonts w:ascii="Calibri" w:hAnsi="Calibri" w:cs="Calibri"/>
          <w:sz w:val="18"/>
          <w:szCs w:val="18"/>
        </w:rPr>
        <w:tab/>
        <w:t xml:space="preserve">Howard, P. H. Cellular agriculture will reinforce power asymmetries in food systems. </w:t>
      </w:r>
      <w:r w:rsidRPr="00297685">
        <w:rPr>
          <w:rFonts w:ascii="Calibri" w:hAnsi="Calibri" w:cs="Calibri"/>
          <w:i/>
          <w:iCs/>
          <w:sz w:val="18"/>
          <w:szCs w:val="18"/>
        </w:rPr>
        <w:t>Nat Food</w:t>
      </w:r>
      <w:r w:rsidRPr="00297685">
        <w:rPr>
          <w:rFonts w:ascii="Calibri" w:hAnsi="Calibri" w:cs="Calibri"/>
          <w:sz w:val="18"/>
          <w:szCs w:val="18"/>
        </w:rPr>
        <w:t xml:space="preserve"> </w:t>
      </w:r>
      <w:r w:rsidRPr="00297685">
        <w:rPr>
          <w:rFonts w:ascii="Calibri" w:hAnsi="Calibri" w:cs="Calibri"/>
          <w:b/>
          <w:bCs/>
          <w:sz w:val="18"/>
          <w:szCs w:val="18"/>
        </w:rPr>
        <w:t>3</w:t>
      </w:r>
      <w:r w:rsidRPr="00297685">
        <w:rPr>
          <w:rFonts w:ascii="Calibri" w:hAnsi="Calibri" w:cs="Calibri"/>
          <w:sz w:val="18"/>
          <w:szCs w:val="18"/>
        </w:rPr>
        <w:t>, 798–800 (2022).</w:t>
      </w:r>
    </w:p>
    <w:p w14:paraId="21B836A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64.</w:t>
      </w:r>
      <w:r w:rsidRPr="00297685">
        <w:rPr>
          <w:rFonts w:ascii="Calibri" w:hAnsi="Calibri" w:cs="Calibri"/>
          <w:sz w:val="18"/>
          <w:szCs w:val="18"/>
        </w:rPr>
        <w:tab/>
        <w:t xml:space="preserve">York, R. Poultry and fish and aquatic invertebrates have not displaced other meat sources. </w:t>
      </w:r>
      <w:r w:rsidRPr="00297685">
        <w:rPr>
          <w:rFonts w:ascii="Calibri" w:hAnsi="Calibri" w:cs="Calibri"/>
          <w:i/>
          <w:iCs/>
          <w:sz w:val="18"/>
          <w:szCs w:val="18"/>
        </w:rPr>
        <w:t>Nat Sustain</w:t>
      </w:r>
      <w:r w:rsidRPr="00297685">
        <w:rPr>
          <w:rFonts w:ascii="Calibri" w:hAnsi="Calibri" w:cs="Calibri"/>
          <w:sz w:val="18"/>
          <w:szCs w:val="18"/>
        </w:rPr>
        <w:t xml:space="preserve"> </w:t>
      </w:r>
      <w:r w:rsidRPr="00297685">
        <w:rPr>
          <w:rFonts w:ascii="Calibri" w:hAnsi="Calibri" w:cs="Calibri"/>
          <w:b/>
          <w:bCs/>
          <w:sz w:val="18"/>
          <w:szCs w:val="18"/>
        </w:rPr>
        <w:t>4</w:t>
      </w:r>
      <w:r w:rsidRPr="00297685">
        <w:rPr>
          <w:rFonts w:ascii="Calibri" w:hAnsi="Calibri" w:cs="Calibri"/>
          <w:sz w:val="18"/>
          <w:szCs w:val="18"/>
        </w:rPr>
        <w:t>, 766–768 (2021).</w:t>
      </w:r>
    </w:p>
    <w:p w14:paraId="3314AD0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65.</w:t>
      </w:r>
      <w:r w:rsidRPr="00297685">
        <w:rPr>
          <w:rFonts w:ascii="Calibri" w:hAnsi="Calibri" w:cs="Calibri"/>
          <w:sz w:val="18"/>
          <w:szCs w:val="18"/>
        </w:rPr>
        <w:tab/>
        <w:t xml:space="preserve">Albizzati, P. F., Tonini, D. &amp; Astrup, T. F. A Quantitative Sustainability Assessment of Food Waste Management in the European Union. </w:t>
      </w:r>
      <w:r w:rsidRPr="00297685">
        <w:rPr>
          <w:rFonts w:ascii="Calibri" w:hAnsi="Calibri" w:cs="Calibri"/>
          <w:i/>
          <w:iCs/>
          <w:sz w:val="18"/>
          <w:szCs w:val="18"/>
        </w:rPr>
        <w:t>Environ. Sci. Technol.</w:t>
      </w:r>
      <w:r w:rsidRPr="00297685">
        <w:rPr>
          <w:rFonts w:ascii="Calibri" w:hAnsi="Calibri" w:cs="Calibri"/>
          <w:sz w:val="18"/>
          <w:szCs w:val="18"/>
        </w:rPr>
        <w:t xml:space="preserve"> (2021).</w:t>
      </w:r>
    </w:p>
    <w:p w14:paraId="3B3DFC7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66.</w:t>
      </w:r>
      <w:r w:rsidRPr="00297685">
        <w:rPr>
          <w:rFonts w:ascii="Calibri" w:hAnsi="Calibri" w:cs="Calibri"/>
          <w:sz w:val="18"/>
          <w:szCs w:val="18"/>
        </w:rPr>
        <w:tab/>
        <w:t xml:space="preserve">Salemdeeb, R., zu Ermgassen, E. K. H. J., Kim, M. H., Balmford, A. &amp; Al-Tabbaa, A. Environmental and health impacts of using food waste as animal feed: a comparative analysis of food waste management options. </w:t>
      </w:r>
      <w:r w:rsidRPr="00297685">
        <w:rPr>
          <w:rFonts w:ascii="Calibri" w:hAnsi="Calibri" w:cs="Calibri"/>
          <w:i/>
          <w:iCs/>
          <w:sz w:val="18"/>
          <w:szCs w:val="18"/>
        </w:rPr>
        <w:t>J Clean Prod</w:t>
      </w:r>
      <w:r w:rsidRPr="00297685">
        <w:rPr>
          <w:rFonts w:ascii="Calibri" w:hAnsi="Calibri" w:cs="Calibri"/>
          <w:sz w:val="18"/>
          <w:szCs w:val="18"/>
        </w:rPr>
        <w:t xml:space="preserve"> </w:t>
      </w:r>
      <w:r w:rsidRPr="00297685">
        <w:rPr>
          <w:rFonts w:ascii="Calibri" w:hAnsi="Calibri" w:cs="Calibri"/>
          <w:b/>
          <w:bCs/>
          <w:sz w:val="18"/>
          <w:szCs w:val="18"/>
        </w:rPr>
        <w:t>140</w:t>
      </w:r>
      <w:r w:rsidRPr="00297685">
        <w:rPr>
          <w:rFonts w:ascii="Calibri" w:hAnsi="Calibri" w:cs="Calibri"/>
          <w:sz w:val="18"/>
          <w:szCs w:val="18"/>
        </w:rPr>
        <w:t>, 871–880 (2017).</w:t>
      </w:r>
    </w:p>
    <w:p w14:paraId="540C54A6"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67.</w:t>
      </w:r>
      <w:r w:rsidRPr="00297685">
        <w:rPr>
          <w:rFonts w:ascii="Calibri" w:hAnsi="Calibri" w:cs="Calibri"/>
          <w:sz w:val="18"/>
          <w:szCs w:val="18"/>
        </w:rPr>
        <w:tab/>
        <w:t xml:space="preserve">Spykman, R. </w:t>
      </w:r>
      <w:r w:rsidRPr="00297685">
        <w:rPr>
          <w:rFonts w:ascii="Calibri" w:hAnsi="Calibri" w:cs="Calibri"/>
          <w:i/>
          <w:iCs/>
          <w:sz w:val="18"/>
          <w:szCs w:val="18"/>
        </w:rPr>
        <w:t>et al.</w:t>
      </w:r>
      <w:r w:rsidRPr="00297685">
        <w:rPr>
          <w:rFonts w:ascii="Calibri" w:hAnsi="Calibri" w:cs="Calibri"/>
          <w:sz w:val="18"/>
          <w:szCs w:val="18"/>
        </w:rPr>
        <w:t xml:space="preserve"> A modular environmental and economic assessment applied to the production of Hermetia illucens larvae as a protein source for food and feed. </w:t>
      </w:r>
      <w:r w:rsidRPr="00297685">
        <w:rPr>
          <w:rFonts w:ascii="Calibri" w:hAnsi="Calibri" w:cs="Calibri"/>
          <w:i/>
          <w:iCs/>
          <w:sz w:val="18"/>
          <w:szCs w:val="18"/>
        </w:rPr>
        <w:t>Int J Life Cycle Assess</w:t>
      </w:r>
      <w:r w:rsidRPr="00297685">
        <w:rPr>
          <w:rFonts w:ascii="Calibri" w:hAnsi="Calibri" w:cs="Calibri"/>
          <w:sz w:val="18"/>
          <w:szCs w:val="18"/>
        </w:rPr>
        <w:t xml:space="preserve"> (2021) doi:10.1007/s11367-021-01986-y.</w:t>
      </w:r>
    </w:p>
    <w:p w14:paraId="78184D34"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68.</w:t>
      </w:r>
      <w:r w:rsidRPr="00297685">
        <w:rPr>
          <w:rFonts w:ascii="Calibri" w:hAnsi="Calibri" w:cs="Calibri"/>
          <w:sz w:val="18"/>
          <w:szCs w:val="18"/>
        </w:rPr>
        <w:tab/>
        <w:t xml:space="preserve">Tabassum-Abbasi, Abbasi, T. &amp; Abbasi, S. A. Reducing the global environmental impact of livestock production: the minilivestock option. </w:t>
      </w:r>
      <w:r w:rsidRPr="00297685">
        <w:rPr>
          <w:rFonts w:ascii="Calibri" w:hAnsi="Calibri" w:cs="Calibri"/>
          <w:i/>
          <w:iCs/>
          <w:sz w:val="18"/>
          <w:szCs w:val="18"/>
        </w:rPr>
        <w:t>Journal of Cleaner Production</w:t>
      </w:r>
      <w:r w:rsidRPr="00297685">
        <w:rPr>
          <w:rFonts w:ascii="Calibri" w:hAnsi="Calibri" w:cs="Calibri"/>
          <w:sz w:val="18"/>
          <w:szCs w:val="18"/>
        </w:rPr>
        <w:t xml:space="preserve"> </w:t>
      </w:r>
      <w:r w:rsidRPr="00297685">
        <w:rPr>
          <w:rFonts w:ascii="Calibri" w:hAnsi="Calibri" w:cs="Calibri"/>
          <w:b/>
          <w:bCs/>
          <w:sz w:val="18"/>
          <w:szCs w:val="18"/>
        </w:rPr>
        <w:t>112</w:t>
      </w:r>
      <w:r w:rsidRPr="00297685">
        <w:rPr>
          <w:rFonts w:ascii="Calibri" w:hAnsi="Calibri" w:cs="Calibri"/>
          <w:sz w:val="18"/>
          <w:szCs w:val="18"/>
        </w:rPr>
        <w:t>, 1754–1766 (2016).</w:t>
      </w:r>
    </w:p>
    <w:p w14:paraId="5756A91E"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69.</w:t>
      </w:r>
      <w:r w:rsidRPr="00297685">
        <w:rPr>
          <w:rFonts w:ascii="Calibri" w:hAnsi="Calibri" w:cs="Calibri"/>
          <w:sz w:val="18"/>
          <w:szCs w:val="18"/>
        </w:rPr>
        <w:tab/>
        <w:t xml:space="preserve">van Huis, A. &amp; Oonincx, D. G. A. B. The environmental sustainability of insects as food and feed. A review. </w:t>
      </w:r>
      <w:r w:rsidRPr="00297685">
        <w:rPr>
          <w:rFonts w:ascii="Calibri" w:hAnsi="Calibri" w:cs="Calibri"/>
          <w:i/>
          <w:iCs/>
          <w:sz w:val="18"/>
          <w:szCs w:val="18"/>
        </w:rPr>
        <w:t>Agron. Sustain. Dev.</w:t>
      </w:r>
      <w:r w:rsidRPr="00297685">
        <w:rPr>
          <w:rFonts w:ascii="Calibri" w:hAnsi="Calibri" w:cs="Calibri"/>
          <w:sz w:val="18"/>
          <w:szCs w:val="18"/>
        </w:rPr>
        <w:t xml:space="preserve"> </w:t>
      </w:r>
      <w:r w:rsidRPr="00297685">
        <w:rPr>
          <w:rFonts w:ascii="Calibri" w:hAnsi="Calibri" w:cs="Calibri"/>
          <w:b/>
          <w:bCs/>
          <w:sz w:val="18"/>
          <w:szCs w:val="18"/>
        </w:rPr>
        <w:t>37</w:t>
      </w:r>
      <w:r w:rsidRPr="00297685">
        <w:rPr>
          <w:rFonts w:ascii="Calibri" w:hAnsi="Calibri" w:cs="Calibri"/>
          <w:sz w:val="18"/>
          <w:szCs w:val="18"/>
        </w:rPr>
        <w:t>, 43 (2017).</w:t>
      </w:r>
    </w:p>
    <w:p w14:paraId="32A2CD06"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70.</w:t>
      </w:r>
      <w:r w:rsidRPr="00297685">
        <w:rPr>
          <w:rFonts w:ascii="Calibri" w:hAnsi="Calibri" w:cs="Calibri"/>
          <w:sz w:val="18"/>
          <w:szCs w:val="18"/>
        </w:rPr>
        <w:tab/>
        <w:t xml:space="preserve">IPIFF. Promoting Insects for Human Consumption &amp; Animal Feed – IPIFF. </w:t>
      </w:r>
      <w:r w:rsidRPr="00297685">
        <w:rPr>
          <w:rFonts w:ascii="Calibri" w:hAnsi="Calibri" w:cs="Calibri"/>
          <w:i/>
          <w:iCs/>
          <w:sz w:val="18"/>
          <w:szCs w:val="18"/>
        </w:rPr>
        <w:t>International Platform of Insects for Food and Feed, Brussels</w:t>
      </w:r>
      <w:r w:rsidRPr="00297685">
        <w:rPr>
          <w:rFonts w:ascii="Calibri" w:hAnsi="Calibri" w:cs="Calibri"/>
          <w:sz w:val="18"/>
          <w:szCs w:val="18"/>
        </w:rPr>
        <w:t xml:space="preserve"> https://ipiff.org/ (2022).</w:t>
      </w:r>
    </w:p>
    <w:p w14:paraId="2AA032F3"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71.</w:t>
      </w:r>
      <w:r w:rsidRPr="00297685">
        <w:rPr>
          <w:rFonts w:ascii="Calibri" w:hAnsi="Calibri" w:cs="Calibri"/>
          <w:sz w:val="18"/>
          <w:szCs w:val="18"/>
        </w:rPr>
        <w:tab/>
        <w:t xml:space="preserve">Gravel, A. &amp; Doyen, A. The use of edible insect proteins in food: Challenges and issues related to their functional properties. </w:t>
      </w:r>
      <w:r w:rsidRPr="00297685">
        <w:rPr>
          <w:rFonts w:ascii="Calibri" w:hAnsi="Calibri" w:cs="Calibri"/>
          <w:i/>
          <w:iCs/>
          <w:sz w:val="18"/>
          <w:szCs w:val="18"/>
        </w:rPr>
        <w:t>Innov. Food Sci. Emerg. Technol.</w:t>
      </w:r>
      <w:r w:rsidRPr="00297685">
        <w:rPr>
          <w:rFonts w:ascii="Calibri" w:hAnsi="Calibri" w:cs="Calibri"/>
          <w:sz w:val="18"/>
          <w:szCs w:val="18"/>
        </w:rPr>
        <w:t xml:space="preserve"> </w:t>
      </w:r>
      <w:r w:rsidRPr="00297685">
        <w:rPr>
          <w:rFonts w:ascii="Calibri" w:hAnsi="Calibri" w:cs="Calibri"/>
          <w:b/>
          <w:bCs/>
          <w:sz w:val="18"/>
          <w:szCs w:val="18"/>
        </w:rPr>
        <w:t>59</w:t>
      </w:r>
      <w:r w:rsidRPr="00297685">
        <w:rPr>
          <w:rFonts w:ascii="Calibri" w:hAnsi="Calibri" w:cs="Calibri"/>
          <w:sz w:val="18"/>
          <w:szCs w:val="18"/>
        </w:rPr>
        <w:t>, 102272 (2020).</w:t>
      </w:r>
    </w:p>
    <w:p w14:paraId="5ECF70F6" w14:textId="1D197AE6"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72.</w:t>
      </w:r>
      <w:r w:rsidRPr="00297685">
        <w:rPr>
          <w:rFonts w:ascii="Calibri" w:hAnsi="Calibri" w:cs="Calibri"/>
          <w:sz w:val="18"/>
          <w:szCs w:val="18"/>
        </w:rPr>
        <w:tab/>
        <w:t xml:space="preserve">Ee, K. Y., Lam, M. Q., Mah, J. K. &amp; Merican, A. Black soldier fly (Hermetia illucens L.) larvae in degrading agricultural waste as a sustainable protein production: feedstock modification and challenges. </w:t>
      </w:r>
      <w:r w:rsidRPr="00297685">
        <w:rPr>
          <w:rFonts w:ascii="Calibri" w:hAnsi="Calibri" w:cs="Calibri"/>
          <w:i/>
          <w:iCs/>
          <w:sz w:val="18"/>
          <w:szCs w:val="18"/>
        </w:rPr>
        <w:t>Int J Trop Insect Sci</w:t>
      </w:r>
      <w:r w:rsidRPr="00297685">
        <w:rPr>
          <w:rFonts w:ascii="Calibri" w:hAnsi="Calibri" w:cs="Calibri"/>
          <w:sz w:val="18"/>
          <w:szCs w:val="18"/>
        </w:rPr>
        <w:t xml:space="preserve"> (2022).</w:t>
      </w:r>
    </w:p>
    <w:p w14:paraId="572D81A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73.</w:t>
      </w:r>
      <w:r w:rsidRPr="00297685">
        <w:rPr>
          <w:rFonts w:ascii="Calibri" w:hAnsi="Calibri" w:cs="Calibri"/>
          <w:sz w:val="18"/>
          <w:szCs w:val="18"/>
        </w:rPr>
        <w:tab/>
        <w:t xml:space="preserve">Quan, J., Wang, Y., Cheng, X., Li, C. &amp; Yuan, Z. Revealing the effects of fermented food waste on the growth and intestinal microorganisms of black soldier fly (Hermetia illucens) larvae. </w:t>
      </w:r>
      <w:r w:rsidRPr="00297685">
        <w:rPr>
          <w:rFonts w:ascii="Calibri" w:hAnsi="Calibri" w:cs="Calibri"/>
          <w:i/>
          <w:iCs/>
          <w:sz w:val="18"/>
          <w:szCs w:val="18"/>
        </w:rPr>
        <w:t>Waste Management</w:t>
      </w:r>
      <w:r w:rsidRPr="00297685">
        <w:rPr>
          <w:rFonts w:ascii="Calibri" w:hAnsi="Calibri" w:cs="Calibri"/>
          <w:sz w:val="18"/>
          <w:szCs w:val="18"/>
        </w:rPr>
        <w:t xml:space="preserve"> </w:t>
      </w:r>
      <w:r w:rsidRPr="00297685">
        <w:rPr>
          <w:rFonts w:ascii="Calibri" w:hAnsi="Calibri" w:cs="Calibri"/>
          <w:b/>
          <w:bCs/>
          <w:sz w:val="18"/>
          <w:szCs w:val="18"/>
        </w:rPr>
        <w:t>171</w:t>
      </w:r>
      <w:r w:rsidRPr="00297685">
        <w:rPr>
          <w:rFonts w:ascii="Calibri" w:hAnsi="Calibri" w:cs="Calibri"/>
          <w:sz w:val="18"/>
          <w:szCs w:val="18"/>
        </w:rPr>
        <w:t>, 580–589 (2023).</w:t>
      </w:r>
    </w:p>
    <w:p w14:paraId="07D3E04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74.</w:t>
      </w:r>
      <w:r w:rsidRPr="00297685">
        <w:rPr>
          <w:rFonts w:ascii="Calibri" w:hAnsi="Calibri" w:cs="Calibri"/>
          <w:sz w:val="18"/>
          <w:szCs w:val="18"/>
        </w:rPr>
        <w:tab/>
        <w:t xml:space="preserve">Brai, A. </w:t>
      </w:r>
      <w:r w:rsidRPr="00297685">
        <w:rPr>
          <w:rFonts w:ascii="Calibri" w:hAnsi="Calibri" w:cs="Calibri"/>
          <w:i/>
          <w:iCs/>
          <w:sz w:val="18"/>
          <w:szCs w:val="18"/>
        </w:rPr>
        <w:t>et al.</w:t>
      </w:r>
      <w:r w:rsidRPr="00297685">
        <w:rPr>
          <w:rFonts w:ascii="Calibri" w:hAnsi="Calibri" w:cs="Calibri"/>
          <w:sz w:val="18"/>
          <w:szCs w:val="18"/>
        </w:rPr>
        <w:t xml:space="preserve"> Efficient use of agricultural waste to naturally fortify Tenebrio molitor mealworms and evaluation of their nutraceutical properties. </w:t>
      </w:r>
      <w:r w:rsidRPr="00297685">
        <w:rPr>
          <w:rFonts w:ascii="Calibri" w:hAnsi="Calibri" w:cs="Calibri"/>
          <w:i/>
          <w:iCs/>
          <w:sz w:val="18"/>
          <w:szCs w:val="18"/>
        </w:rPr>
        <w:t>Journal of Insects as Food and Feed</w:t>
      </w:r>
      <w:r w:rsidRPr="00297685">
        <w:rPr>
          <w:rFonts w:ascii="Calibri" w:hAnsi="Calibri" w:cs="Calibri"/>
          <w:sz w:val="18"/>
          <w:szCs w:val="18"/>
        </w:rPr>
        <w:t xml:space="preserve"> 1–12 (2022) doi:10.3920/JIFF2022.0090.</w:t>
      </w:r>
    </w:p>
    <w:p w14:paraId="664FB9E4"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75.</w:t>
      </w:r>
      <w:r w:rsidRPr="00297685">
        <w:rPr>
          <w:rFonts w:ascii="Calibri" w:hAnsi="Calibri" w:cs="Calibri"/>
          <w:sz w:val="18"/>
          <w:szCs w:val="18"/>
        </w:rPr>
        <w:tab/>
        <w:t xml:space="preserve">Cohn, Z., Latty, T. &amp; Abbas, A. Understanding dietary carbohydrates in black soldier fly larvae treatment of organic waste in the circular economy. </w:t>
      </w:r>
      <w:r w:rsidRPr="00297685">
        <w:rPr>
          <w:rFonts w:ascii="Calibri" w:hAnsi="Calibri" w:cs="Calibri"/>
          <w:i/>
          <w:iCs/>
          <w:sz w:val="18"/>
          <w:szCs w:val="18"/>
        </w:rPr>
        <w:t>Waste Management</w:t>
      </w:r>
      <w:r w:rsidRPr="00297685">
        <w:rPr>
          <w:rFonts w:ascii="Calibri" w:hAnsi="Calibri" w:cs="Calibri"/>
          <w:sz w:val="18"/>
          <w:szCs w:val="18"/>
        </w:rPr>
        <w:t xml:space="preserve"> </w:t>
      </w:r>
      <w:r w:rsidRPr="00297685">
        <w:rPr>
          <w:rFonts w:ascii="Calibri" w:hAnsi="Calibri" w:cs="Calibri"/>
          <w:b/>
          <w:bCs/>
          <w:sz w:val="18"/>
          <w:szCs w:val="18"/>
        </w:rPr>
        <w:t>137</w:t>
      </w:r>
      <w:r w:rsidRPr="00297685">
        <w:rPr>
          <w:rFonts w:ascii="Calibri" w:hAnsi="Calibri" w:cs="Calibri"/>
          <w:sz w:val="18"/>
          <w:szCs w:val="18"/>
        </w:rPr>
        <w:t>, 9–19 (2022).</w:t>
      </w:r>
    </w:p>
    <w:p w14:paraId="1B9B3F3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76.</w:t>
      </w:r>
      <w:r w:rsidRPr="00297685">
        <w:rPr>
          <w:rFonts w:ascii="Calibri" w:hAnsi="Calibri" w:cs="Calibri"/>
          <w:sz w:val="18"/>
          <w:szCs w:val="18"/>
        </w:rPr>
        <w:tab/>
        <w:t xml:space="preserve">Dortmans, B. M. A., Diener, S., Verstappen, B. M. &amp; Zurbrügg, C. </w:t>
      </w:r>
      <w:r w:rsidRPr="00297685">
        <w:rPr>
          <w:rFonts w:ascii="Calibri" w:hAnsi="Calibri" w:cs="Calibri"/>
          <w:i/>
          <w:iCs/>
          <w:sz w:val="18"/>
          <w:szCs w:val="18"/>
        </w:rPr>
        <w:t>Black Soldier Fly Biowaste Processing - A Step-by-Step Guide</w:t>
      </w:r>
      <w:r w:rsidRPr="00297685">
        <w:rPr>
          <w:rFonts w:ascii="Calibri" w:hAnsi="Calibri" w:cs="Calibri"/>
          <w:sz w:val="18"/>
          <w:szCs w:val="18"/>
        </w:rPr>
        <w:t>. (2017).</w:t>
      </w:r>
    </w:p>
    <w:p w14:paraId="2DD4DD39"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77.</w:t>
      </w:r>
      <w:r w:rsidRPr="00297685">
        <w:rPr>
          <w:rFonts w:ascii="Calibri" w:hAnsi="Calibri" w:cs="Calibri"/>
          <w:sz w:val="18"/>
          <w:szCs w:val="18"/>
        </w:rPr>
        <w:tab/>
        <w:t xml:space="preserve">Guo, H., Jiang, C., Zhang, Z., Lu, W. &amp; Wang, H. Material flow analysis and life cycle assessment of food waste bioconversion by black soldier fly larvae (Hermetia illucens L.). </w:t>
      </w:r>
      <w:r w:rsidRPr="00297685">
        <w:rPr>
          <w:rFonts w:ascii="Calibri" w:hAnsi="Calibri" w:cs="Calibri"/>
          <w:i/>
          <w:iCs/>
          <w:sz w:val="18"/>
          <w:szCs w:val="18"/>
        </w:rPr>
        <w:t>Sci. Total Environ.</w:t>
      </w:r>
      <w:r w:rsidRPr="00297685">
        <w:rPr>
          <w:rFonts w:ascii="Calibri" w:hAnsi="Calibri" w:cs="Calibri"/>
          <w:sz w:val="18"/>
          <w:szCs w:val="18"/>
        </w:rPr>
        <w:t xml:space="preserve"> </w:t>
      </w:r>
      <w:r w:rsidRPr="00297685">
        <w:rPr>
          <w:rFonts w:ascii="Calibri" w:hAnsi="Calibri" w:cs="Calibri"/>
          <w:b/>
          <w:bCs/>
          <w:sz w:val="18"/>
          <w:szCs w:val="18"/>
        </w:rPr>
        <w:t>750</w:t>
      </w:r>
      <w:r w:rsidRPr="00297685">
        <w:rPr>
          <w:rFonts w:ascii="Calibri" w:hAnsi="Calibri" w:cs="Calibri"/>
          <w:sz w:val="18"/>
          <w:szCs w:val="18"/>
        </w:rPr>
        <w:t>, 141656 (2021).</w:t>
      </w:r>
    </w:p>
    <w:p w14:paraId="5A37AF0B"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78.</w:t>
      </w:r>
      <w:r w:rsidRPr="00297685">
        <w:rPr>
          <w:rFonts w:ascii="Calibri" w:hAnsi="Calibri" w:cs="Calibri"/>
          <w:sz w:val="18"/>
          <w:szCs w:val="18"/>
        </w:rPr>
        <w:tab/>
        <w:t xml:space="preserve">Smetana, S., Spykman, R. &amp; Heinz, V. Environmental aspects of insect mass production. </w:t>
      </w:r>
      <w:r w:rsidRPr="00297685">
        <w:rPr>
          <w:rFonts w:ascii="Calibri" w:hAnsi="Calibri" w:cs="Calibri"/>
          <w:i/>
          <w:iCs/>
          <w:sz w:val="18"/>
          <w:szCs w:val="18"/>
        </w:rPr>
        <w:t>J. Insects Food Feed</w:t>
      </w:r>
      <w:r w:rsidRPr="00297685">
        <w:rPr>
          <w:rFonts w:ascii="Calibri" w:hAnsi="Calibri" w:cs="Calibri"/>
          <w:sz w:val="18"/>
          <w:szCs w:val="18"/>
        </w:rPr>
        <w:t xml:space="preserve"> </w:t>
      </w:r>
      <w:r w:rsidRPr="00297685">
        <w:rPr>
          <w:rFonts w:ascii="Calibri" w:hAnsi="Calibri" w:cs="Calibri"/>
          <w:b/>
          <w:bCs/>
          <w:sz w:val="18"/>
          <w:szCs w:val="18"/>
        </w:rPr>
        <w:t>7</w:t>
      </w:r>
      <w:r w:rsidRPr="00297685">
        <w:rPr>
          <w:rFonts w:ascii="Calibri" w:hAnsi="Calibri" w:cs="Calibri"/>
          <w:sz w:val="18"/>
          <w:szCs w:val="18"/>
        </w:rPr>
        <w:t>, 553–571 (2021).</w:t>
      </w:r>
    </w:p>
    <w:p w14:paraId="254322F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79.</w:t>
      </w:r>
      <w:r w:rsidRPr="00297685">
        <w:rPr>
          <w:rFonts w:ascii="Calibri" w:hAnsi="Calibri" w:cs="Calibri"/>
          <w:sz w:val="18"/>
          <w:szCs w:val="18"/>
        </w:rPr>
        <w:tab/>
        <w:t xml:space="preserve">Parodi, A. </w:t>
      </w:r>
      <w:r w:rsidRPr="00297685">
        <w:rPr>
          <w:rFonts w:ascii="Calibri" w:hAnsi="Calibri" w:cs="Calibri"/>
          <w:i/>
          <w:iCs/>
          <w:sz w:val="18"/>
          <w:szCs w:val="18"/>
        </w:rPr>
        <w:t>et al.</w:t>
      </w:r>
      <w:r w:rsidRPr="00297685">
        <w:rPr>
          <w:rFonts w:ascii="Calibri" w:hAnsi="Calibri" w:cs="Calibri"/>
          <w:sz w:val="18"/>
          <w:szCs w:val="18"/>
        </w:rPr>
        <w:t xml:space="preserve"> Bioconversion efficiencies, greenhouse gas and ammonia emissions during black soldier fly rearing – A mass balance approach. </w:t>
      </w:r>
      <w:r w:rsidRPr="00297685">
        <w:rPr>
          <w:rFonts w:ascii="Calibri" w:hAnsi="Calibri" w:cs="Calibri"/>
          <w:i/>
          <w:iCs/>
          <w:sz w:val="18"/>
          <w:szCs w:val="18"/>
        </w:rPr>
        <w:t>J. Clean. Prod.</w:t>
      </w:r>
      <w:r w:rsidRPr="00297685">
        <w:rPr>
          <w:rFonts w:ascii="Calibri" w:hAnsi="Calibri" w:cs="Calibri"/>
          <w:sz w:val="18"/>
          <w:szCs w:val="18"/>
        </w:rPr>
        <w:t xml:space="preserve"> </w:t>
      </w:r>
      <w:r w:rsidRPr="00297685">
        <w:rPr>
          <w:rFonts w:ascii="Calibri" w:hAnsi="Calibri" w:cs="Calibri"/>
          <w:b/>
          <w:bCs/>
          <w:sz w:val="18"/>
          <w:szCs w:val="18"/>
        </w:rPr>
        <w:t>271</w:t>
      </w:r>
      <w:r w:rsidRPr="00297685">
        <w:rPr>
          <w:rFonts w:ascii="Calibri" w:hAnsi="Calibri" w:cs="Calibri"/>
          <w:sz w:val="18"/>
          <w:szCs w:val="18"/>
        </w:rPr>
        <w:t>, 122488 (2020).</w:t>
      </w:r>
    </w:p>
    <w:p w14:paraId="1BA0719D"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lastRenderedPageBreak/>
        <w:t>80.</w:t>
      </w:r>
      <w:r w:rsidRPr="00297685">
        <w:rPr>
          <w:rFonts w:ascii="Calibri" w:hAnsi="Calibri" w:cs="Calibri"/>
          <w:sz w:val="18"/>
          <w:szCs w:val="18"/>
        </w:rPr>
        <w:tab/>
        <w:t xml:space="preserve">Gligorescu, A., Fischer, C. H., Larsen, P. F., Nørgaard, J. V. &amp; Heckman, L.-H. L. Production and Optimization of Hermetia illucens (L.) Larvae Reared on Food Waste and Utilized as Feed Ingredient. </w:t>
      </w:r>
      <w:r w:rsidRPr="00297685">
        <w:rPr>
          <w:rFonts w:ascii="Calibri" w:hAnsi="Calibri" w:cs="Calibri"/>
          <w:i/>
          <w:iCs/>
          <w:sz w:val="18"/>
          <w:szCs w:val="18"/>
        </w:rPr>
        <w:t>Sustainability</w:t>
      </w:r>
      <w:r w:rsidRPr="00297685">
        <w:rPr>
          <w:rFonts w:ascii="Calibri" w:hAnsi="Calibri" w:cs="Calibri"/>
          <w:sz w:val="18"/>
          <w:szCs w:val="18"/>
        </w:rPr>
        <w:t xml:space="preserve"> </w:t>
      </w:r>
      <w:r w:rsidRPr="00297685">
        <w:rPr>
          <w:rFonts w:ascii="Calibri" w:hAnsi="Calibri" w:cs="Calibri"/>
          <w:b/>
          <w:bCs/>
          <w:sz w:val="18"/>
          <w:szCs w:val="18"/>
        </w:rPr>
        <w:t>12</w:t>
      </w:r>
      <w:r w:rsidRPr="00297685">
        <w:rPr>
          <w:rFonts w:ascii="Calibri" w:hAnsi="Calibri" w:cs="Calibri"/>
          <w:sz w:val="18"/>
          <w:szCs w:val="18"/>
        </w:rPr>
        <w:t>, 9864 (2020).</w:t>
      </w:r>
    </w:p>
    <w:p w14:paraId="75334363"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81.</w:t>
      </w:r>
      <w:r w:rsidRPr="00297685">
        <w:rPr>
          <w:rFonts w:ascii="Calibri" w:hAnsi="Calibri" w:cs="Calibri"/>
          <w:sz w:val="18"/>
          <w:szCs w:val="18"/>
        </w:rPr>
        <w:tab/>
        <w:t xml:space="preserve">Ewald, N. </w:t>
      </w:r>
      <w:r w:rsidRPr="00297685">
        <w:rPr>
          <w:rFonts w:ascii="Calibri" w:hAnsi="Calibri" w:cs="Calibri"/>
          <w:i/>
          <w:iCs/>
          <w:sz w:val="18"/>
          <w:szCs w:val="18"/>
        </w:rPr>
        <w:t>et al.</w:t>
      </w:r>
      <w:r w:rsidRPr="00297685">
        <w:rPr>
          <w:rFonts w:ascii="Calibri" w:hAnsi="Calibri" w:cs="Calibri"/>
          <w:sz w:val="18"/>
          <w:szCs w:val="18"/>
        </w:rPr>
        <w:t xml:space="preserve"> Fatty acid composition of black soldier fly larvae (Hermetia illucens) – Possibilities and limitations for modification through diet. </w:t>
      </w:r>
      <w:r w:rsidRPr="00297685">
        <w:rPr>
          <w:rFonts w:ascii="Calibri" w:hAnsi="Calibri" w:cs="Calibri"/>
          <w:i/>
          <w:iCs/>
          <w:sz w:val="18"/>
          <w:szCs w:val="18"/>
        </w:rPr>
        <w:t>Waste Management</w:t>
      </w:r>
      <w:r w:rsidRPr="00297685">
        <w:rPr>
          <w:rFonts w:ascii="Calibri" w:hAnsi="Calibri" w:cs="Calibri"/>
          <w:sz w:val="18"/>
          <w:szCs w:val="18"/>
        </w:rPr>
        <w:t xml:space="preserve"> </w:t>
      </w:r>
      <w:r w:rsidRPr="00297685">
        <w:rPr>
          <w:rFonts w:ascii="Calibri" w:hAnsi="Calibri" w:cs="Calibri"/>
          <w:b/>
          <w:bCs/>
          <w:sz w:val="18"/>
          <w:szCs w:val="18"/>
        </w:rPr>
        <w:t>102</w:t>
      </w:r>
      <w:r w:rsidRPr="00297685">
        <w:rPr>
          <w:rFonts w:ascii="Calibri" w:hAnsi="Calibri" w:cs="Calibri"/>
          <w:sz w:val="18"/>
          <w:szCs w:val="18"/>
        </w:rPr>
        <w:t>, 40–47 (2020).</w:t>
      </w:r>
    </w:p>
    <w:p w14:paraId="4AAD256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82.</w:t>
      </w:r>
      <w:r w:rsidRPr="00297685">
        <w:rPr>
          <w:rFonts w:ascii="Calibri" w:hAnsi="Calibri" w:cs="Calibri"/>
          <w:sz w:val="18"/>
          <w:szCs w:val="18"/>
        </w:rPr>
        <w:tab/>
        <w:t xml:space="preserve">Fuso, A. </w:t>
      </w:r>
      <w:r w:rsidRPr="00297685">
        <w:rPr>
          <w:rFonts w:ascii="Calibri" w:hAnsi="Calibri" w:cs="Calibri"/>
          <w:i/>
          <w:iCs/>
          <w:sz w:val="18"/>
          <w:szCs w:val="18"/>
        </w:rPr>
        <w:t>et al.</w:t>
      </w:r>
      <w:r w:rsidRPr="00297685">
        <w:rPr>
          <w:rFonts w:ascii="Calibri" w:hAnsi="Calibri" w:cs="Calibri"/>
          <w:sz w:val="18"/>
          <w:szCs w:val="18"/>
        </w:rPr>
        <w:t xml:space="preserve"> Effect of the Rearing Substrate on Total Protein and Amino Acid Composition in Black Soldier Fly. </w:t>
      </w:r>
      <w:r w:rsidRPr="00297685">
        <w:rPr>
          <w:rFonts w:ascii="Calibri" w:hAnsi="Calibri" w:cs="Calibri"/>
          <w:i/>
          <w:iCs/>
          <w:sz w:val="18"/>
          <w:szCs w:val="18"/>
        </w:rPr>
        <w:t>Foods</w:t>
      </w:r>
      <w:r w:rsidRPr="00297685">
        <w:rPr>
          <w:rFonts w:ascii="Calibri" w:hAnsi="Calibri" w:cs="Calibri"/>
          <w:sz w:val="18"/>
          <w:szCs w:val="18"/>
        </w:rPr>
        <w:t xml:space="preserve"> </w:t>
      </w:r>
      <w:r w:rsidRPr="00297685">
        <w:rPr>
          <w:rFonts w:ascii="Calibri" w:hAnsi="Calibri" w:cs="Calibri"/>
          <w:b/>
          <w:bCs/>
          <w:sz w:val="18"/>
          <w:szCs w:val="18"/>
        </w:rPr>
        <w:t>10</w:t>
      </w:r>
      <w:r w:rsidRPr="00297685">
        <w:rPr>
          <w:rFonts w:ascii="Calibri" w:hAnsi="Calibri" w:cs="Calibri"/>
          <w:sz w:val="18"/>
          <w:szCs w:val="18"/>
        </w:rPr>
        <w:t>, 1773 (2021).</w:t>
      </w:r>
    </w:p>
    <w:p w14:paraId="6F7FA9D1"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83.</w:t>
      </w:r>
      <w:r w:rsidRPr="00297685">
        <w:rPr>
          <w:rFonts w:ascii="Calibri" w:hAnsi="Calibri" w:cs="Calibri"/>
          <w:sz w:val="18"/>
          <w:szCs w:val="18"/>
        </w:rPr>
        <w:tab/>
        <w:t xml:space="preserve">Hopkins, I., Newman, L. P., Gill, H. &amp; Danaher, J. The Influence of Food Waste Rearing Substrates on Black Soldier Fly Larvae Protein Composition: A Systematic Review. </w:t>
      </w:r>
      <w:r w:rsidRPr="00297685">
        <w:rPr>
          <w:rFonts w:ascii="Calibri" w:hAnsi="Calibri" w:cs="Calibri"/>
          <w:i/>
          <w:iCs/>
          <w:sz w:val="18"/>
          <w:szCs w:val="18"/>
        </w:rPr>
        <w:t>Insects</w:t>
      </w:r>
      <w:r w:rsidRPr="00297685">
        <w:rPr>
          <w:rFonts w:ascii="Calibri" w:hAnsi="Calibri" w:cs="Calibri"/>
          <w:sz w:val="18"/>
          <w:szCs w:val="18"/>
        </w:rPr>
        <w:t xml:space="preserve"> </w:t>
      </w:r>
      <w:r w:rsidRPr="00297685">
        <w:rPr>
          <w:rFonts w:ascii="Calibri" w:hAnsi="Calibri" w:cs="Calibri"/>
          <w:b/>
          <w:bCs/>
          <w:sz w:val="18"/>
          <w:szCs w:val="18"/>
        </w:rPr>
        <w:t>12</w:t>
      </w:r>
      <w:r w:rsidRPr="00297685">
        <w:rPr>
          <w:rFonts w:ascii="Calibri" w:hAnsi="Calibri" w:cs="Calibri"/>
          <w:sz w:val="18"/>
          <w:szCs w:val="18"/>
        </w:rPr>
        <w:t>, 608 (2021).</w:t>
      </w:r>
    </w:p>
    <w:p w14:paraId="0FA29DE1" w14:textId="30A0191B"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84.</w:t>
      </w:r>
      <w:r w:rsidRPr="00297685">
        <w:rPr>
          <w:rFonts w:ascii="Calibri" w:hAnsi="Calibri" w:cs="Calibri"/>
          <w:sz w:val="18"/>
          <w:szCs w:val="18"/>
        </w:rPr>
        <w:tab/>
        <w:t xml:space="preserve">Siddiqui, S. a. </w:t>
      </w:r>
      <w:r w:rsidRPr="00297685">
        <w:rPr>
          <w:rFonts w:ascii="Calibri" w:hAnsi="Calibri" w:cs="Calibri"/>
          <w:i/>
          <w:iCs/>
          <w:sz w:val="18"/>
          <w:szCs w:val="18"/>
        </w:rPr>
        <w:t>et al.</w:t>
      </w:r>
      <w:r w:rsidRPr="00297685">
        <w:rPr>
          <w:rFonts w:ascii="Calibri" w:hAnsi="Calibri" w:cs="Calibri"/>
          <w:sz w:val="18"/>
          <w:szCs w:val="18"/>
        </w:rPr>
        <w:t xml:space="preserve"> Manipulation of the black soldier fly larvae (Hermetia illucens; Diptera: Stratiomyidae) fatty acid profile through the substrate. </w:t>
      </w:r>
      <w:r w:rsidRPr="00297685">
        <w:rPr>
          <w:rFonts w:ascii="Calibri" w:hAnsi="Calibri" w:cs="Calibri"/>
          <w:i/>
          <w:iCs/>
          <w:sz w:val="18"/>
          <w:szCs w:val="18"/>
        </w:rPr>
        <w:t>J. Insects Food Feed</w:t>
      </w:r>
      <w:r w:rsidRPr="00297685">
        <w:rPr>
          <w:rFonts w:ascii="Calibri" w:hAnsi="Calibri" w:cs="Calibri"/>
          <w:sz w:val="18"/>
          <w:szCs w:val="18"/>
        </w:rPr>
        <w:t xml:space="preserve"> 1–20 (2022).</w:t>
      </w:r>
    </w:p>
    <w:p w14:paraId="6C8F8A64"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85.</w:t>
      </w:r>
      <w:r w:rsidRPr="00297685">
        <w:rPr>
          <w:rFonts w:ascii="Calibri" w:hAnsi="Calibri" w:cs="Calibri"/>
          <w:sz w:val="18"/>
          <w:szCs w:val="18"/>
        </w:rPr>
        <w:tab/>
        <w:t xml:space="preserve">de Quelen, F., Brossard, L., Wilfart, A., Dourmad, J.-Y. &amp; Garcia-Launay, F. Eco-Friendly Feed Formulation and On-Farm Feed Production as Ways to Reduce the Environmental Impacts of Pig Production Without Consequences on Animal Performance. </w:t>
      </w:r>
      <w:r w:rsidRPr="00297685">
        <w:rPr>
          <w:rFonts w:ascii="Calibri" w:hAnsi="Calibri" w:cs="Calibri"/>
          <w:i/>
          <w:iCs/>
          <w:sz w:val="18"/>
          <w:szCs w:val="18"/>
        </w:rPr>
        <w:t>Front. Vet. Sci.</w:t>
      </w:r>
      <w:r w:rsidRPr="00297685">
        <w:rPr>
          <w:rFonts w:ascii="Calibri" w:hAnsi="Calibri" w:cs="Calibri"/>
          <w:sz w:val="18"/>
          <w:szCs w:val="18"/>
        </w:rPr>
        <w:t xml:space="preserve"> </w:t>
      </w:r>
      <w:r w:rsidRPr="00297685">
        <w:rPr>
          <w:rFonts w:ascii="Calibri" w:hAnsi="Calibri" w:cs="Calibri"/>
          <w:b/>
          <w:bCs/>
          <w:sz w:val="18"/>
          <w:szCs w:val="18"/>
        </w:rPr>
        <w:t>8</w:t>
      </w:r>
      <w:r w:rsidRPr="00297685">
        <w:rPr>
          <w:rFonts w:ascii="Calibri" w:hAnsi="Calibri" w:cs="Calibri"/>
          <w:sz w:val="18"/>
          <w:szCs w:val="18"/>
        </w:rPr>
        <w:t>, 703 (2021).</w:t>
      </w:r>
    </w:p>
    <w:p w14:paraId="59BD0D5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86.</w:t>
      </w:r>
      <w:r w:rsidRPr="00297685">
        <w:rPr>
          <w:rFonts w:ascii="Calibri" w:hAnsi="Calibri" w:cs="Calibri"/>
          <w:sz w:val="18"/>
          <w:szCs w:val="18"/>
        </w:rPr>
        <w:tab/>
        <w:t xml:space="preserve">Parodi, A. </w:t>
      </w:r>
      <w:r w:rsidRPr="00297685">
        <w:rPr>
          <w:rFonts w:ascii="Calibri" w:hAnsi="Calibri" w:cs="Calibri"/>
          <w:i/>
          <w:iCs/>
          <w:sz w:val="18"/>
          <w:szCs w:val="18"/>
        </w:rPr>
        <w:t>et al.</w:t>
      </w:r>
      <w:r w:rsidRPr="00297685">
        <w:rPr>
          <w:rFonts w:ascii="Calibri" w:hAnsi="Calibri" w:cs="Calibri"/>
          <w:sz w:val="18"/>
          <w:szCs w:val="18"/>
        </w:rPr>
        <w:t xml:space="preserve"> Upgrading ammonia-nitrogen from manure into body proteins in black soldier fly larvae. </w:t>
      </w:r>
      <w:r w:rsidRPr="00297685">
        <w:rPr>
          <w:rFonts w:ascii="Calibri" w:hAnsi="Calibri" w:cs="Calibri"/>
          <w:i/>
          <w:iCs/>
          <w:sz w:val="18"/>
          <w:szCs w:val="18"/>
        </w:rPr>
        <w:t>Resources, Conservation and Recycling</w:t>
      </w:r>
      <w:r w:rsidRPr="00297685">
        <w:rPr>
          <w:rFonts w:ascii="Calibri" w:hAnsi="Calibri" w:cs="Calibri"/>
          <w:sz w:val="18"/>
          <w:szCs w:val="18"/>
        </w:rPr>
        <w:t xml:space="preserve"> </w:t>
      </w:r>
      <w:r w:rsidRPr="00297685">
        <w:rPr>
          <w:rFonts w:ascii="Calibri" w:hAnsi="Calibri" w:cs="Calibri"/>
          <w:b/>
          <w:bCs/>
          <w:sz w:val="18"/>
          <w:szCs w:val="18"/>
        </w:rPr>
        <w:t>182</w:t>
      </w:r>
      <w:r w:rsidRPr="00297685">
        <w:rPr>
          <w:rFonts w:ascii="Calibri" w:hAnsi="Calibri" w:cs="Calibri"/>
          <w:sz w:val="18"/>
          <w:szCs w:val="18"/>
        </w:rPr>
        <w:t>, 106343 (2022).</w:t>
      </w:r>
    </w:p>
    <w:p w14:paraId="44B6D6D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87.</w:t>
      </w:r>
      <w:r w:rsidRPr="00297685">
        <w:rPr>
          <w:rFonts w:ascii="Calibri" w:hAnsi="Calibri" w:cs="Calibri"/>
          <w:sz w:val="18"/>
          <w:szCs w:val="18"/>
        </w:rPr>
        <w:tab/>
        <w:t xml:space="preserve">Bar‐Shmuel, N., Behar, A. &amp; Segoli, M. What do we know about biological nitrogen fixation in insects? Evidence and implications for the insect and the ecosystem. </w:t>
      </w:r>
      <w:r w:rsidRPr="00297685">
        <w:rPr>
          <w:rFonts w:ascii="Calibri" w:hAnsi="Calibri" w:cs="Calibri"/>
          <w:i/>
          <w:iCs/>
          <w:sz w:val="18"/>
          <w:szCs w:val="18"/>
        </w:rPr>
        <w:t>Insect Science</w:t>
      </w:r>
      <w:r w:rsidRPr="00297685">
        <w:rPr>
          <w:rFonts w:ascii="Calibri" w:hAnsi="Calibri" w:cs="Calibri"/>
          <w:sz w:val="18"/>
          <w:szCs w:val="18"/>
        </w:rPr>
        <w:t xml:space="preserve"> </w:t>
      </w:r>
      <w:r w:rsidRPr="00297685">
        <w:rPr>
          <w:rFonts w:ascii="Calibri" w:hAnsi="Calibri" w:cs="Calibri"/>
          <w:b/>
          <w:bCs/>
          <w:sz w:val="18"/>
          <w:szCs w:val="18"/>
        </w:rPr>
        <w:t>27</w:t>
      </w:r>
      <w:r w:rsidRPr="00297685">
        <w:rPr>
          <w:rFonts w:ascii="Calibri" w:hAnsi="Calibri" w:cs="Calibri"/>
          <w:sz w:val="18"/>
          <w:szCs w:val="18"/>
        </w:rPr>
        <w:t>, 392–403 (2020).</w:t>
      </w:r>
    </w:p>
    <w:p w14:paraId="355CF46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88.</w:t>
      </w:r>
      <w:r w:rsidRPr="00297685">
        <w:rPr>
          <w:rFonts w:ascii="Calibri" w:hAnsi="Calibri" w:cs="Calibri"/>
          <w:sz w:val="18"/>
          <w:szCs w:val="18"/>
        </w:rPr>
        <w:tab/>
        <w:t xml:space="preserve">Bava, L. </w:t>
      </w:r>
      <w:r w:rsidRPr="00297685">
        <w:rPr>
          <w:rFonts w:ascii="Calibri" w:hAnsi="Calibri" w:cs="Calibri"/>
          <w:i/>
          <w:iCs/>
          <w:sz w:val="18"/>
          <w:szCs w:val="18"/>
        </w:rPr>
        <w:t>et al.</w:t>
      </w:r>
      <w:r w:rsidRPr="00297685">
        <w:rPr>
          <w:rFonts w:ascii="Calibri" w:hAnsi="Calibri" w:cs="Calibri"/>
          <w:sz w:val="18"/>
          <w:szCs w:val="18"/>
        </w:rPr>
        <w:t xml:space="preserve"> Rearing of Hermetia Illucens on Different Organic By-Products: Influence on Growth, Waste Reduction, and Environmental Impact. </w:t>
      </w:r>
      <w:r w:rsidRPr="00297685">
        <w:rPr>
          <w:rFonts w:ascii="Calibri" w:hAnsi="Calibri" w:cs="Calibri"/>
          <w:i/>
          <w:iCs/>
          <w:sz w:val="18"/>
          <w:szCs w:val="18"/>
        </w:rPr>
        <w:t>Animals</w:t>
      </w:r>
      <w:r w:rsidRPr="00297685">
        <w:rPr>
          <w:rFonts w:ascii="Calibri" w:hAnsi="Calibri" w:cs="Calibri"/>
          <w:sz w:val="18"/>
          <w:szCs w:val="18"/>
        </w:rPr>
        <w:t xml:space="preserve"> </w:t>
      </w:r>
      <w:r w:rsidRPr="00297685">
        <w:rPr>
          <w:rFonts w:ascii="Calibri" w:hAnsi="Calibri" w:cs="Calibri"/>
          <w:b/>
          <w:bCs/>
          <w:sz w:val="18"/>
          <w:szCs w:val="18"/>
        </w:rPr>
        <w:t>9</w:t>
      </w:r>
      <w:r w:rsidRPr="00297685">
        <w:rPr>
          <w:rFonts w:ascii="Calibri" w:hAnsi="Calibri" w:cs="Calibri"/>
          <w:sz w:val="18"/>
          <w:szCs w:val="18"/>
        </w:rPr>
        <w:t>, 289 (2019).</w:t>
      </w:r>
    </w:p>
    <w:p w14:paraId="4A1A299B"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89.</w:t>
      </w:r>
      <w:r w:rsidRPr="00297685">
        <w:rPr>
          <w:rFonts w:ascii="Calibri" w:hAnsi="Calibri" w:cs="Calibri"/>
          <w:sz w:val="18"/>
          <w:szCs w:val="18"/>
        </w:rPr>
        <w:tab/>
        <w:t xml:space="preserve">Ravi, H. K. </w:t>
      </w:r>
      <w:r w:rsidRPr="00297685">
        <w:rPr>
          <w:rFonts w:ascii="Calibri" w:hAnsi="Calibri" w:cs="Calibri"/>
          <w:i/>
          <w:iCs/>
          <w:sz w:val="18"/>
          <w:szCs w:val="18"/>
        </w:rPr>
        <w:t>et al.</w:t>
      </w:r>
      <w:r w:rsidRPr="00297685">
        <w:rPr>
          <w:rFonts w:ascii="Calibri" w:hAnsi="Calibri" w:cs="Calibri"/>
          <w:sz w:val="18"/>
          <w:szCs w:val="18"/>
        </w:rPr>
        <w:t xml:space="preserve"> Larvae Mediated Valorization of Industrial, Agriculture and Food Wastes: Biorefinery Concept through Bioconversion, Processes, Procedures, and Products. </w:t>
      </w:r>
      <w:r w:rsidRPr="00297685">
        <w:rPr>
          <w:rFonts w:ascii="Calibri" w:hAnsi="Calibri" w:cs="Calibri"/>
          <w:i/>
          <w:iCs/>
          <w:sz w:val="18"/>
          <w:szCs w:val="18"/>
        </w:rPr>
        <w:t>Processes</w:t>
      </w:r>
      <w:r w:rsidRPr="00297685">
        <w:rPr>
          <w:rFonts w:ascii="Calibri" w:hAnsi="Calibri" w:cs="Calibri"/>
          <w:sz w:val="18"/>
          <w:szCs w:val="18"/>
        </w:rPr>
        <w:t xml:space="preserve"> </w:t>
      </w:r>
      <w:r w:rsidRPr="00297685">
        <w:rPr>
          <w:rFonts w:ascii="Calibri" w:hAnsi="Calibri" w:cs="Calibri"/>
          <w:b/>
          <w:bCs/>
          <w:sz w:val="18"/>
          <w:szCs w:val="18"/>
        </w:rPr>
        <w:t>8</w:t>
      </w:r>
      <w:r w:rsidRPr="00297685">
        <w:rPr>
          <w:rFonts w:ascii="Calibri" w:hAnsi="Calibri" w:cs="Calibri"/>
          <w:sz w:val="18"/>
          <w:szCs w:val="18"/>
        </w:rPr>
        <w:t>, 857 (2020).</w:t>
      </w:r>
    </w:p>
    <w:p w14:paraId="68BAECA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90.</w:t>
      </w:r>
      <w:r w:rsidRPr="00297685">
        <w:rPr>
          <w:rFonts w:ascii="Calibri" w:hAnsi="Calibri" w:cs="Calibri"/>
          <w:sz w:val="18"/>
          <w:szCs w:val="18"/>
        </w:rPr>
        <w:tab/>
        <w:t xml:space="preserve">Mertenat, A., Diener, S. &amp; Zurbrügg, C. Black Soldier Fly biowaste treatment – Assessment of global warming potential. </w:t>
      </w:r>
      <w:r w:rsidRPr="00297685">
        <w:rPr>
          <w:rFonts w:ascii="Calibri" w:hAnsi="Calibri" w:cs="Calibri"/>
          <w:i/>
          <w:iCs/>
          <w:sz w:val="18"/>
          <w:szCs w:val="18"/>
        </w:rPr>
        <w:t>Waste Management</w:t>
      </w:r>
      <w:r w:rsidRPr="00297685">
        <w:rPr>
          <w:rFonts w:ascii="Calibri" w:hAnsi="Calibri" w:cs="Calibri"/>
          <w:sz w:val="18"/>
          <w:szCs w:val="18"/>
        </w:rPr>
        <w:t xml:space="preserve"> </w:t>
      </w:r>
      <w:r w:rsidRPr="00297685">
        <w:rPr>
          <w:rFonts w:ascii="Calibri" w:hAnsi="Calibri" w:cs="Calibri"/>
          <w:b/>
          <w:bCs/>
          <w:sz w:val="18"/>
          <w:szCs w:val="18"/>
        </w:rPr>
        <w:t>84</w:t>
      </w:r>
      <w:r w:rsidRPr="00297685">
        <w:rPr>
          <w:rFonts w:ascii="Calibri" w:hAnsi="Calibri" w:cs="Calibri"/>
          <w:sz w:val="18"/>
          <w:szCs w:val="18"/>
        </w:rPr>
        <w:t>, 173–181 (2019).</w:t>
      </w:r>
    </w:p>
    <w:p w14:paraId="6614EE1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91.</w:t>
      </w:r>
      <w:r w:rsidRPr="00297685">
        <w:rPr>
          <w:rFonts w:ascii="Calibri" w:hAnsi="Calibri" w:cs="Calibri"/>
          <w:sz w:val="18"/>
          <w:szCs w:val="18"/>
        </w:rPr>
        <w:tab/>
        <w:t xml:space="preserve">Pang, W. </w:t>
      </w:r>
      <w:r w:rsidRPr="00297685">
        <w:rPr>
          <w:rFonts w:ascii="Calibri" w:hAnsi="Calibri" w:cs="Calibri"/>
          <w:i/>
          <w:iCs/>
          <w:sz w:val="18"/>
          <w:szCs w:val="18"/>
        </w:rPr>
        <w:t>et al.</w:t>
      </w:r>
      <w:r w:rsidRPr="00297685">
        <w:rPr>
          <w:rFonts w:ascii="Calibri" w:hAnsi="Calibri" w:cs="Calibri"/>
          <w:sz w:val="18"/>
          <w:szCs w:val="18"/>
        </w:rPr>
        <w:t xml:space="preserve"> Reducing greenhouse gas emissions and enhancing carbon and nitrogen conversion in food wastes by the black soldier fly. </w:t>
      </w:r>
      <w:r w:rsidRPr="00297685">
        <w:rPr>
          <w:rFonts w:ascii="Calibri" w:hAnsi="Calibri" w:cs="Calibri"/>
          <w:i/>
          <w:iCs/>
          <w:sz w:val="18"/>
          <w:szCs w:val="18"/>
        </w:rPr>
        <w:t>Journal of Environmental Management</w:t>
      </w:r>
      <w:r w:rsidRPr="00297685">
        <w:rPr>
          <w:rFonts w:ascii="Calibri" w:hAnsi="Calibri" w:cs="Calibri"/>
          <w:sz w:val="18"/>
          <w:szCs w:val="18"/>
        </w:rPr>
        <w:t xml:space="preserve"> </w:t>
      </w:r>
      <w:r w:rsidRPr="00297685">
        <w:rPr>
          <w:rFonts w:ascii="Calibri" w:hAnsi="Calibri" w:cs="Calibri"/>
          <w:b/>
          <w:bCs/>
          <w:sz w:val="18"/>
          <w:szCs w:val="18"/>
        </w:rPr>
        <w:t>260</w:t>
      </w:r>
      <w:r w:rsidRPr="00297685">
        <w:rPr>
          <w:rFonts w:ascii="Calibri" w:hAnsi="Calibri" w:cs="Calibri"/>
          <w:sz w:val="18"/>
          <w:szCs w:val="18"/>
        </w:rPr>
        <w:t>, 110066 (2020).</w:t>
      </w:r>
    </w:p>
    <w:p w14:paraId="4BFE25F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92.</w:t>
      </w:r>
      <w:r w:rsidRPr="00297685">
        <w:rPr>
          <w:rFonts w:ascii="Calibri" w:hAnsi="Calibri" w:cs="Calibri"/>
          <w:sz w:val="18"/>
          <w:szCs w:val="18"/>
        </w:rPr>
        <w:tab/>
        <w:t xml:space="preserve">Parodi, A. </w:t>
      </w:r>
      <w:r w:rsidRPr="00297685">
        <w:rPr>
          <w:rFonts w:ascii="Calibri" w:hAnsi="Calibri" w:cs="Calibri"/>
          <w:i/>
          <w:iCs/>
          <w:sz w:val="18"/>
          <w:szCs w:val="18"/>
        </w:rPr>
        <w:t>et al.</w:t>
      </w:r>
      <w:r w:rsidRPr="00297685">
        <w:rPr>
          <w:rFonts w:ascii="Calibri" w:hAnsi="Calibri" w:cs="Calibri"/>
          <w:sz w:val="18"/>
          <w:szCs w:val="18"/>
        </w:rPr>
        <w:t xml:space="preserve"> Black soldier fly reared on pig manure: Bioconversion efficiencies, nutrients in the residual material, greenhouse gas and ammonia emissions. </w:t>
      </w:r>
      <w:r w:rsidRPr="00297685">
        <w:rPr>
          <w:rFonts w:ascii="Calibri" w:hAnsi="Calibri" w:cs="Calibri"/>
          <w:i/>
          <w:iCs/>
          <w:sz w:val="18"/>
          <w:szCs w:val="18"/>
        </w:rPr>
        <w:t>Waste Management</w:t>
      </w:r>
      <w:r w:rsidRPr="00297685">
        <w:rPr>
          <w:rFonts w:ascii="Calibri" w:hAnsi="Calibri" w:cs="Calibri"/>
          <w:sz w:val="18"/>
          <w:szCs w:val="18"/>
        </w:rPr>
        <w:t xml:space="preserve"> </w:t>
      </w:r>
      <w:r w:rsidRPr="00297685">
        <w:rPr>
          <w:rFonts w:ascii="Calibri" w:hAnsi="Calibri" w:cs="Calibri"/>
          <w:b/>
          <w:bCs/>
          <w:sz w:val="18"/>
          <w:szCs w:val="18"/>
        </w:rPr>
        <w:t>126</w:t>
      </w:r>
      <w:r w:rsidRPr="00297685">
        <w:rPr>
          <w:rFonts w:ascii="Calibri" w:hAnsi="Calibri" w:cs="Calibri"/>
          <w:sz w:val="18"/>
          <w:szCs w:val="18"/>
        </w:rPr>
        <w:t>, 674–683 (2021).</w:t>
      </w:r>
    </w:p>
    <w:p w14:paraId="7003777A"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93.</w:t>
      </w:r>
      <w:r w:rsidRPr="00297685">
        <w:rPr>
          <w:rFonts w:ascii="Calibri" w:hAnsi="Calibri" w:cs="Calibri"/>
          <w:sz w:val="18"/>
          <w:szCs w:val="18"/>
        </w:rPr>
        <w:tab/>
        <w:t xml:space="preserve">Rehman, K. ur </w:t>
      </w:r>
      <w:r w:rsidRPr="00297685">
        <w:rPr>
          <w:rFonts w:ascii="Calibri" w:hAnsi="Calibri" w:cs="Calibri"/>
          <w:i/>
          <w:iCs/>
          <w:sz w:val="18"/>
          <w:szCs w:val="18"/>
        </w:rPr>
        <w:t>et al.</w:t>
      </w:r>
      <w:r w:rsidRPr="00297685">
        <w:rPr>
          <w:rFonts w:ascii="Calibri" w:hAnsi="Calibri" w:cs="Calibri"/>
          <w:sz w:val="18"/>
          <w:szCs w:val="18"/>
        </w:rPr>
        <w:t xml:space="preserve"> Conversion of mixtures of dairy manure and soybean curd residue by black soldier fly larvae (Hermetia illucens L.). </w:t>
      </w:r>
      <w:r w:rsidRPr="00297685">
        <w:rPr>
          <w:rFonts w:ascii="Calibri" w:hAnsi="Calibri" w:cs="Calibri"/>
          <w:i/>
          <w:iCs/>
          <w:sz w:val="18"/>
          <w:szCs w:val="18"/>
        </w:rPr>
        <w:t>Journal of Cleaner Production</w:t>
      </w:r>
      <w:r w:rsidRPr="00297685">
        <w:rPr>
          <w:rFonts w:ascii="Calibri" w:hAnsi="Calibri" w:cs="Calibri"/>
          <w:sz w:val="18"/>
          <w:szCs w:val="18"/>
        </w:rPr>
        <w:t xml:space="preserve"> </w:t>
      </w:r>
      <w:r w:rsidRPr="00297685">
        <w:rPr>
          <w:rFonts w:ascii="Calibri" w:hAnsi="Calibri" w:cs="Calibri"/>
          <w:b/>
          <w:bCs/>
          <w:sz w:val="18"/>
          <w:szCs w:val="18"/>
        </w:rPr>
        <w:t>154</w:t>
      </w:r>
      <w:r w:rsidRPr="00297685">
        <w:rPr>
          <w:rFonts w:ascii="Calibri" w:hAnsi="Calibri" w:cs="Calibri"/>
          <w:sz w:val="18"/>
          <w:szCs w:val="18"/>
        </w:rPr>
        <w:t>, 366–373 (2017).</w:t>
      </w:r>
    </w:p>
    <w:p w14:paraId="500B8219"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94.</w:t>
      </w:r>
      <w:r w:rsidRPr="00297685">
        <w:rPr>
          <w:rFonts w:ascii="Calibri" w:hAnsi="Calibri" w:cs="Calibri"/>
          <w:sz w:val="18"/>
          <w:szCs w:val="18"/>
        </w:rPr>
        <w:tab/>
        <w:t xml:space="preserve">Bekker, N. S. </w:t>
      </w:r>
      <w:r w:rsidRPr="00297685">
        <w:rPr>
          <w:rFonts w:ascii="Calibri" w:hAnsi="Calibri" w:cs="Calibri"/>
          <w:i/>
          <w:iCs/>
          <w:sz w:val="18"/>
          <w:szCs w:val="18"/>
        </w:rPr>
        <w:t>et al.</w:t>
      </w:r>
      <w:r w:rsidRPr="00297685">
        <w:rPr>
          <w:rFonts w:ascii="Calibri" w:hAnsi="Calibri" w:cs="Calibri"/>
          <w:sz w:val="18"/>
          <w:szCs w:val="18"/>
        </w:rPr>
        <w:t xml:space="preserve"> Impact of substrate moisture content on growth and metabolic performance of black soldier fly larvae. </w:t>
      </w:r>
      <w:r w:rsidRPr="00297685">
        <w:rPr>
          <w:rFonts w:ascii="Calibri" w:hAnsi="Calibri" w:cs="Calibri"/>
          <w:i/>
          <w:iCs/>
          <w:sz w:val="18"/>
          <w:szCs w:val="18"/>
        </w:rPr>
        <w:t>Waste Management</w:t>
      </w:r>
      <w:r w:rsidRPr="00297685">
        <w:rPr>
          <w:rFonts w:ascii="Calibri" w:hAnsi="Calibri" w:cs="Calibri"/>
          <w:sz w:val="18"/>
          <w:szCs w:val="18"/>
        </w:rPr>
        <w:t xml:space="preserve"> </w:t>
      </w:r>
      <w:r w:rsidRPr="00297685">
        <w:rPr>
          <w:rFonts w:ascii="Calibri" w:hAnsi="Calibri" w:cs="Calibri"/>
          <w:b/>
          <w:bCs/>
          <w:sz w:val="18"/>
          <w:szCs w:val="18"/>
        </w:rPr>
        <w:t>127</w:t>
      </w:r>
      <w:r w:rsidRPr="00297685">
        <w:rPr>
          <w:rFonts w:ascii="Calibri" w:hAnsi="Calibri" w:cs="Calibri"/>
          <w:sz w:val="18"/>
          <w:szCs w:val="18"/>
        </w:rPr>
        <w:t>, 73–79 (2021).</w:t>
      </w:r>
    </w:p>
    <w:p w14:paraId="648ADFC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95.</w:t>
      </w:r>
      <w:r w:rsidRPr="00297685">
        <w:rPr>
          <w:rFonts w:ascii="Calibri" w:hAnsi="Calibri" w:cs="Calibri"/>
          <w:sz w:val="18"/>
          <w:szCs w:val="18"/>
        </w:rPr>
        <w:tab/>
        <w:t xml:space="preserve">Heckmann, L.-H. L. &amp; Gligorescu, A. </w:t>
      </w:r>
      <w:r w:rsidRPr="00297685">
        <w:rPr>
          <w:rFonts w:ascii="Calibri" w:hAnsi="Calibri" w:cs="Calibri"/>
          <w:i/>
          <w:iCs/>
          <w:sz w:val="18"/>
          <w:szCs w:val="18"/>
        </w:rPr>
        <w:t>Bioconversion of Guldborgsund Municipality’s Residual Sub- Strates into Insect Meal</w:t>
      </w:r>
      <w:r w:rsidRPr="00297685">
        <w:rPr>
          <w:rFonts w:ascii="Calibri" w:hAnsi="Calibri" w:cs="Calibri"/>
          <w:sz w:val="18"/>
          <w:szCs w:val="18"/>
        </w:rPr>
        <w:t>. 26 (2019).</w:t>
      </w:r>
    </w:p>
    <w:p w14:paraId="3EB8E32A" w14:textId="3ABD8ED4"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96.</w:t>
      </w:r>
      <w:r w:rsidRPr="00297685">
        <w:rPr>
          <w:rFonts w:ascii="Calibri" w:hAnsi="Calibri" w:cs="Calibri"/>
          <w:sz w:val="18"/>
          <w:szCs w:val="18"/>
        </w:rPr>
        <w:tab/>
        <w:t xml:space="preserve">Roffeis, M. </w:t>
      </w:r>
      <w:r w:rsidRPr="00297685">
        <w:rPr>
          <w:rFonts w:ascii="Calibri" w:hAnsi="Calibri" w:cs="Calibri"/>
          <w:i/>
          <w:iCs/>
          <w:sz w:val="18"/>
          <w:szCs w:val="18"/>
        </w:rPr>
        <w:t>et al.</w:t>
      </w:r>
      <w:r w:rsidRPr="00297685">
        <w:rPr>
          <w:rFonts w:ascii="Calibri" w:hAnsi="Calibri" w:cs="Calibri"/>
          <w:sz w:val="18"/>
          <w:szCs w:val="18"/>
        </w:rPr>
        <w:t xml:space="preserve"> Ex-ante life cycle impact assessment of insect</w:t>
      </w:r>
      <w:r w:rsidR="00075F19">
        <w:rPr>
          <w:rFonts w:ascii="Calibri" w:hAnsi="Calibri" w:cs="Calibri"/>
          <w:sz w:val="18"/>
          <w:szCs w:val="18"/>
        </w:rPr>
        <w:t>-</w:t>
      </w:r>
      <w:r w:rsidRPr="00297685">
        <w:rPr>
          <w:rFonts w:ascii="Calibri" w:hAnsi="Calibri" w:cs="Calibri"/>
          <w:sz w:val="18"/>
          <w:szCs w:val="18"/>
        </w:rPr>
        <w:t xml:space="preserve">based feed production in West Africa. </w:t>
      </w:r>
      <w:r w:rsidRPr="00297685">
        <w:rPr>
          <w:rFonts w:ascii="Calibri" w:hAnsi="Calibri" w:cs="Calibri"/>
          <w:i/>
          <w:iCs/>
          <w:sz w:val="18"/>
          <w:szCs w:val="18"/>
        </w:rPr>
        <w:t>Agricultural Systems</w:t>
      </w:r>
      <w:r w:rsidRPr="00297685">
        <w:rPr>
          <w:rFonts w:ascii="Calibri" w:hAnsi="Calibri" w:cs="Calibri"/>
          <w:sz w:val="18"/>
          <w:szCs w:val="18"/>
        </w:rPr>
        <w:t xml:space="preserve"> </w:t>
      </w:r>
      <w:r w:rsidRPr="00297685">
        <w:rPr>
          <w:rFonts w:ascii="Calibri" w:hAnsi="Calibri" w:cs="Calibri"/>
          <w:b/>
          <w:bCs/>
          <w:sz w:val="18"/>
          <w:szCs w:val="18"/>
        </w:rPr>
        <w:t>178</w:t>
      </w:r>
      <w:r w:rsidRPr="00297685">
        <w:rPr>
          <w:rFonts w:ascii="Calibri" w:hAnsi="Calibri" w:cs="Calibri"/>
          <w:sz w:val="18"/>
          <w:szCs w:val="18"/>
        </w:rPr>
        <w:t>, 102710 (2020).</w:t>
      </w:r>
    </w:p>
    <w:p w14:paraId="55EF895D" w14:textId="08EFEA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97.</w:t>
      </w:r>
      <w:r w:rsidRPr="00297685">
        <w:rPr>
          <w:rFonts w:ascii="Calibri" w:hAnsi="Calibri" w:cs="Calibri"/>
          <w:sz w:val="18"/>
          <w:szCs w:val="18"/>
        </w:rPr>
        <w:tab/>
        <w:t xml:space="preserve">Parodi, A. </w:t>
      </w:r>
      <w:r w:rsidRPr="00297685">
        <w:rPr>
          <w:rFonts w:ascii="Calibri" w:hAnsi="Calibri" w:cs="Calibri"/>
          <w:i/>
          <w:iCs/>
          <w:sz w:val="18"/>
          <w:szCs w:val="18"/>
        </w:rPr>
        <w:t>et al.</w:t>
      </w:r>
      <w:r w:rsidRPr="00297685">
        <w:rPr>
          <w:rFonts w:ascii="Calibri" w:hAnsi="Calibri" w:cs="Calibri"/>
          <w:sz w:val="18"/>
          <w:szCs w:val="18"/>
        </w:rPr>
        <w:t xml:space="preserve"> Principles for the responsible use of farmed insects as livestock feed. </w:t>
      </w:r>
      <w:r w:rsidRPr="00297685">
        <w:rPr>
          <w:rFonts w:ascii="Calibri" w:hAnsi="Calibri" w:cs="Calibri"/>
          <w:i/>
          <w:iCs/>
          <w:sz w:val="18"/>
          <w:szCs w:val="18"/>
        </w:rPr>
        <w:t>Nat Food</w:t>
      </w:r>
      <w:r w:rsidRPr="00297685">
        <w:rPr>
          <w:rFonts w:ascii="Calibri" w:hAnsi="Calibri" w:cs="Calibri"/>
          <w:sz w:val="18"/>
          <w:szCs w:val="18"/>
        </w:rPr>
        <w:t xml:space="preserve"> 1–3 (2022).</w:t>
      </w:r>
    </w:p>
    <w:p w14:paraId="61759D15"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98.</w:t>
      </w:r>
      <w:r w:rsidRPr="00297685">
        <w:rPr>
          <w:rFonts w:ascii="Calibri" w:hAnsi="Calibri" w:cs="Calibri"/>
          <w:sz w:val="18"/>
          <w:szCs w:val="18"/>
        </w:rPr>
        <w:tab/>
        <w:t>Fowles, T. M. Using insects in conversion of agricultural by-products and applications of their value-added products. (University of California, Davis, 2022).</w:t>
      </w:r>
    </w:p>
    <w:p w14:paraId="781828D5"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99.</w:t>
      </w:r>
      <w:r w:rsidRPr="00297685">
        <w:rPr>
          <w:rFonts w:ascii="Calibri" w:hAnsi="Calibri" w:cs="Calibri"/>
          <w:sz w:val="18"/>
          <w:szCs w:val="18"/>
        </w:rPr>
        <w:tab/>
        <w:t xml:space="preserve">Gold, M. </w:t>
      </w:r>
      <w:r w:rsidRPr="00297685">
        <w:rPr>
          <w:rFonts w:ascii="Calibri" w:hAnsi="Calibri" w:cs="Calibri"/>
          <w:i/>
          <w:iCs/>
          <w:sz w:val="18"/>
          <w:szCs w:val="18"/>
        </w:rPr>
        <w:t>et al.</w:t>
      </w:r>
      <w:r w:rsidRPr="00297685">
        <w:rPr>
          <w:rFonts w:ascii="Calibri" w:hAnsi="Calibri" w:cs="Calibri"/>
          <w:sz w:val="18"/>
          <w:szCs w:val="18"/>
        </w:rPr>
        <w:t xml:space="preserve"> Biowaste treatment with black soldier fly larvae: Increasing performance through the formulation of biowastes based on protein and carbohydrates. </w:t>
      </w:r>
      <w:r w:rsidRPr="00297685">
        <w:rPr>
          <w:rFonts w:ascii="Calibri" w:hAnsi="Calibri" w:cs="Calibri"/>
          <w:i/>
          <w:iCs/>
          <w:sz w:val="18"/>
          <w:szCs w:val="18"/>
        </w:rPr>
        <w:t>Waste Manag.</w:t>
      </w:r>
      <w:r w:rsidRPr="00297685">
        <w:rPr>
          <w:rFonts w:ascii="Calibri" w:hAnsi="Calibri" w:cs="Calibri"/>
          <w:sz w:val="18"/>
          <w:szCs w:val="18"/>
        </w:rPr>
        <w:t xml:space="preserve"> </w:t>
      </w:r>
      <w:r w:rsidRPr="00297685">
        <w:rPr>
          <w:rFonts w:ascii="Calibri" w:hAnsi="Calibri" w:cs="Calibri"/>
          <w:b/>
          <w:bCs/>
          <w:sz w:val="18"/>
          <w:szCs w:val="18"/>
        </w:rPr>
        <w:t>102</w:t>
      </w:r>
      <w:r w:rsidRPr="00297685">
        <w:rPr>
          <w:rFonts w:ascii="Calibri" w:hAnsi="Calibri" w:cs="Calibri"/>
          <w:sz w:val="18"/>
          <w:szCs w:val="18"/>
        </w:rPr>
        <w:t>, 319–329 (2020).</w:t>
      </w:r>
    </w:p>
    <w:p w14:paraId="51E37D65"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100.</w:t>
      </w:r>
      <w:r w:rsidRPr="00297685">
        <w:rPr>
          <w:rFonts w:ascii="Calibri" w:hAnsi="Calibri" w:cs="Calibri"/>
          <w:sz w:val="18"/>
          <w:szCs w:val="18"/>
        </w:rPr>
        <w:tab/>
        <w:t xml:space="preserve">Amrul, N. F. </w:t>
      </w:r>
      <w:r w:rsidRPr="00297685">
        <w:rPr>
          <w:rFonts w:ascii="Calibri" w:hAnsi="Calibri" w:cs="Calibri"/>
          <w:i/>
          <w:iCs/>
          <w:sz w:val="18"/>
          <w:szCs w:val="18"/>
        </w:rPr>
        <w:t>et al.</w:t>
      </w:r>
      <w:r w:rsidRPr="00297685">
        <w:rPr>
          <w:rFonts w:ascii="Calibri" w:hAnsi="Calibri" w:cs="Calibri"/>
          <w:sz w:val="18"/>
          <w:szCs w:val="18"/>
        </w:rPr>
        <w:t xml:space="preserve"> A Review of Organic Waste Treatment Using Black Soldier Fly (Hermetia illucens). </w:t>
      </w:r>
      <w:r w:rsidRPr="00297685">
        <w:rPr>
          <w:rFonts w:ascii="Calibri" w:hAnsi="Calibri" w:cs="Calibri"/>
          <w:i/>
          <w:iCs/>
          <w:sz w:val="18"/>
          <w:szCs w:val="18"/>
        </w:rPr>
        <w:t>Sustainability</w:t>
      </w:r>
      <w:r w:rsidRPr="00297685">
        <w:rPr>
          <w:rFonts w:ascii="Calibri" w:hAnsi="Calibri" w:cs="Calibri"/>
          <w:sz w:val="18"/>
          <w:szCs w:val="18"/>
        </w:rPr>
        <w:t xml:space="preserve"> </w:t>
      </w:r>
      <w:r w:rsidRPr="00297685">
        <w:rPr>
          <w:rFonts w:ascii="Calibri" w:hAnsi="Calibri" w:cs="Calibri"/>
          <w:b/>
          <w:bCs/>
          <w:sz w:val="18"/>
          <w:szCs w:val="18"/>
        </w:rPr>
        <w:t>14</w:t>
      </w:r>
      <w:r w:rsidRPr="00297685">
        <w:rPr>
          <w:rFonts w:ascii="Calibri" w:hAnsi="Calibri" w:cs="Calibri"/>
          <w:sz w:val="18"/>
          <w:szCs w:val="18"/>
        </w:rPr>
        <w:t>, 4565 (2022).</w:t>
      </w:r>
    </w:p>
    <w:p w14:paraId="1F4E7C03" w14:textId="6433EF2C"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101.</w:t>
      </w:r>
      <w:r w:rsidRPr="00297685">
        <w:rPr>
          <w:rFonts w:ascii="Calibri" w:hAnsi="Calibri" w:cs="Calibri"/>
          <w:sz w:val="18"/>
          <w:szCs w:val="18"/>
        </w:rPr>
        <w:tab/>
        <w:t xml:space="preserve">Lindberg, L., Ermolaev, E., Vinnerås, B. &amp; Lalander, C. Process efficiency and greenhouse gas emissions in black soldier fly larvae composting of fruit and vegetable waste with and without pre-treatment. </w:t>
      </w:r>
      <w:r w:rsidRPr="00297685">
        <w:rPr>
          <w:rFonts w:ascii="Calibri" w:hAnsi="Calibri" w:cs="Calibri"/>
          <w:i/>
          <w:iCs/>
          <w:sz w:val="18"/>
          <w:szCs w:val="18"/>
        </w:rPr>
        <w:t>Journal of Cleaner Production</w:t>
      </w:r>
      <w:r w:rsidRPr="00297685">
        <w:rPr>
          <w:rFonts w:ascii="Calibri" w:hAnsi="Calibri" w:cs="Calibri"/>
          <w:sz w:val="18"/>
          <w:szCs w:val="18"/>
        </w:rPr>
        <w:t xml:space="preserve"> 130552 (2022).</w:t>
      </w:r>
    </w:p>
    <w:p w14:paraId="20F83D4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102.</w:t>
      </w:r>
      <w:r w:rsidRPr="00297685">
        <w:rPr>
          <w:rFonts w:ascii="Calibri" w:hAnsi="Calibri" w:cs="Calibri"/>
          <w:sz w:val="18"/>
          <w:szCs w:val="18"/>
        </w:rPr>
        <w:tab/>
        <w:t xml:space="preserve">Shumo, M. </w:t>
      </w:r>
      <w:r w:rsidRPr="00297685">
        <w:rPr>
          <w:rFonts w:ascii="Calibri" w:hAnsi="Calibri" w:cs="Calibri"/>
          <w:i/>
          <w:iCs/>
          <w:sz w:val="18"/>
          <w:szCs w:val="18"/>
        </w:rPr>
        <w:t>et al.</w:t>
      </w:r>
      <w:r w:rsidRPr="00297685">
        <w:rPr>
          <w:rFonts w:ascii="Calibri" w:hAnsi="Calibri" w:cs="Calibri"/>
          <w:sz w:val="18"/>
          <w:szCs w:val="18"/>
        </w:rPr>
        <w:t xml:space="preserve"> The nutritive value of black soldier fly larvae reared on common organic waste streams in Kenya. </w:t>
      </w:r>
      <w:r w:rsidRPr="00297685">
        <w:rPr>
          <w:rFonts w:ascii="Calibri" w:hAnsi="Calibri" w:cs="Calibri"/>
          <w:i/>
          <w:iCs/>
          <w:sz w:val="18"/>
          <w:szCs w:val="18"/>
        </w:rPr>
        <w:t>Sci Rep</w:t>
      </w:r>
      <w:r w:rsidRPr="00297685">
        <w:rPr>
          <w:rFonts w:ascii="Calibri" w:hAnsi="Calibri" w:cs="Calibri"/>
          <w:sz w:val="18"/>
          <w:szCs w:val="18"/>
        </w:rPr>
        <w:t xml:space="preserve"> </w:t>
      </w:r>
      <w:r w:rsidRPr="00297685">
        <w:rPr>
          <w:rFonts w:ascii="Calibri" w:hAnsi="Calibri" w:cs="Calibri"/>
          <w:b/>
          <w:bCs/>
          <w:sz w:val="18"/>
          <w:szCs w:val="18"/>
        </w:rPr>
        <w:t>9</w:t>
      </w:r>
      <w:r w:rsidRPr="00297685">
        <w:rPr>
          <w:rFonts w:ascii="Calibri" w:hAnsi="Calibri" w:cs="Calibri"/>
          <w:sz w:val="18"/>
          <w:szCs w:val="18"/>
        </w:rPr>
        <w:t>, 10110 (2019).</w:t>
      </w:r>
    </w:p>
    <w:p w14:paraId="6E53C3DA"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103.</w:t>
      </w:r>
      <w:r w:rsidRPr="00297685">
        <w:rPr>
          <w:rFonts w:ascii="Calibri" w:hAnsi="Calibri" w:cs="Calibri"/>
          <w:sz w:val="18"/>
          <w:szCs w:val="18"/>
        </w:rPr>
        <w:tab/>
        <w:t xml:space="preserve">Boakye-Yiadom, K. A., Ilari, A. &amp; Duca, D. Greenhouse Gas Emissions and Life Cycle Assessment on the Black Soldier Fly (Hermetia illucens L.). </w:t>
      </w:r>
      <w:r w:rsidRPr="00297685">
        <w:rPr>
          <w:rFonts w:ascii="Calibri" w:hAnsi="Calibri" w:cs="Calibri"/>
          <w:i/>
          <w:iCs/>
          <w:sz w:val="18"/>
          <w:szCs w:val="18"/>
        </w:rPr>
        <w:t>Sustainability</w:t>
      </w:r>
      <w:r w:rsidRPr="00297685">
        <w:rPr>
          <w:rFonts w:ascii="Calibri" w:hAnsi="Calibri" w:cs="Calibri"/>
          <w:sz w:val="18"/>
          <w:szCs w:val="18"/>
        </w:rPr>
        <w:t xml:space="preserve"> </w:t>
      </w:r>
      <w:r w:rsidRPr="00297685">
        <w:rPr>
          <w:rFonts w:ascii="Calibri" w:hAnsi="Calibri" w:cs="Calibri"/>
          <w:b/>
          <w:bCs/>
          <w:sz w:val="18"/>
          <w:szCs w:val="18"/>
        </w:rPr>
        <w:t>14</w:t>
      </w:r>
      <w:r w:rsidRPr="00297685">
        <w:rPr>
          <w:rFonts w:ascii="Calibri" w:hAnsi="Calibri" w:cs="Calibri"/>
          <w:sz w:val="18"/>
          <w:szCs w:val="18"/>
        </w:rPr>
        <w:t>, 10456 (2022).</w:t>
      </w:r>
    </w:p>
    <w:p w14:paraId="1E8D741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104.</w:t>
      </w:r>
      <w:r w:rsidRPr="00297685">
        <w:rPr>
          <w:rFonts w:ascii="Calibri" w:hAnsi="Calibri" w:cs="Calibri"/>
          <w:sz w:val="18"/>
          <w:szCs w:val="18"/>
        </w:rPr>
        <w:tab/>
        <w:t xml:space="preserve">El Hajj, R. </w:t>
      </w:r>
      <w:r w:rsidRPr="00297685">
        <w:rPr>
          <w:rFonts w:ascii="Calibri" w:hAnsi="Calibri" w:cs="Calibri"/>
          <w:i/>
          <w:iCs/>
          <w:sz w:val="18"/>
          <w:szCs w:val="18"/>
        </w:rPr>
        <w:t>et al.</w:t>
      </w:r>
      <w:r w:rsidRPr="00297685">
        <w:rPr>
          <w:rFonts w:ascii="Calibri" w:hAnsi="Calibri" w:cs="Calibri"/>
          <w:sz w:val="18"/>
          <w:szCs w:val="18"/>
        </w:rPr>
        <w:t xml:space="preserve"> Edible Insects’ Transformation for Feed and Food Uses: An Overview of Current Insights and Future Developments in the Field. </w:t>
      </w:r>
      <w:r w:rsidRPr="00297685">
        <w:rPr>
          <w:rFonts w:ascii="Calibri" w:hAnsi="Calibri" w:cs="Calibri"/>
          <w:i/>
          <w:iCs/>
          <w:sz w:val="18"/>
          <w:szCs w:val="18"/>
        </w:rPr>
        <w:t>Processes</w:t>
      </w:r>
      <w:r w:rsidRPr="00297685">
        <w:rPr>
          <w:rFonts w:ascii="Calibri" w:hAnsi="Calibri" w:cs="Calibri"/>
          <w:sz w:val="18"/>
          <w:szCs w:val="18"/>
        </w:rPr>
        <w:t xml:space="preserve"> </w:t>
      </w:r>
      <w:r w:rsidRPr="00297685">
        <w:rPr>
          <w:rFonts w:ascii="Calibri" w:hAnsi="Calibri" w:cs="Calibri"/>
          <w:b/>
          <w:bCs/>
          <w:sz w:val="18"/>
          <w:szCs w:val="18"/>
        </w:rPr>
        <w:t>10</w:t>
      </w:r>
      <w:r w:rsidRPr="00297685">
        <w:rPr>
          <w:rFonts w:ascii="Calibri" w:hAnsi="Calibri" w:cs="Calibri"/>
          <w:sz w:val="18"/>
          <w:szCs w:val="18"/>
        </w:rPr>
        <w:t>, 970 (2022).</w:t>
      </w:r>
    </w:p>
    <w:p w14:paraId="33AB4D6E" w14:textId="2B6F6A74"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105.</w:t>
      </w:r>
      <w:r w:rsidRPr="00297685">
        <w:rPr>
          <w:rFonts w:ascii="Calibri" w:hAnsi="Calibri" w:cs="Calibri"/>
          <w:sz w:val="18"/>
          <w:szCs w:val="18"/>
        </w:rPr>
        <w:tab/>
        <w:t xml:space="preserve">Wehry, G.-J. J. E., Little, D. C., Newton, R. W. &amp; Bostock, J. C. The feasibility of underutilised biomass streams for the production of insect-based feed ingredients: The case for whisky by-products and Scottish farmed salmon. </w:t>
      </w:r>
      <w:r w:rsidRPr="00297685">
        <w:rPr>
          <w:rFonts w:ascii="Calibri" w:hAnsi="Calibri" w:cs="Calibri"/>
          <w:i/>
          <w:iCs/>
          <w:sz w:val="18"/>
          <w:szCs w:val="18"/>
        </w:rPr>
        <w:t>Clean. Eng. Technol.</w:t>
      </w:r>
      <w:r w:rsidRPr="00297685">
        <w:rPr>
          <w:rFonts w:ascii="Calibri" w:hAnsi="Calibri" w:cs="Calibri"/>
          <w:sz w:val="18"/>
          <w:szCs w:val="18"/>
        </w:rPr>
        <w:t xml:space="preserve"> 100520 (2022).</w:t>
      </w:r>
    </w:p>
    <w:p w14:paraId="4DC63BD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106.</w:t>
      </w:r>
      <w:r w:rsidRPr="00297685">
        <w:rPr>
          <w:rFonts w:ascii="Calibri" w:hAnsi="Calibri" w:cs="Calibri"/>
          <w:sz w:val="18"/>
          <w:szCs w:val="18"/>
        </w:rPr>
        <w:tab/>
        <w:t xml:space="preserve">Cottrell, R. S., Blanchard, J. L., Halpern, B. S., Metian, M. &amp; Froehlich, H. E. Global adoption of novel aquaculture feeds could substantially reduce forage fish demand by 2030. </w:t>
      </w:r>
      <w:r w:rsidRPr="00297685">
        <w:rPr>
          <w:rFonts w:ascii="Calibri" w:hAnsi="Calibri" w:cs="Calibri"/>
          <w:i/>
          <w:iCs/>
          <w:sz w:val="18"/>
          <w:szCs w:val="18"/>
        </w:rPr>
        <w:t>Nat. Food</w:t>
      </w:r>
      <w:r w:rsidRPr="00297685">
        <w:rPr>
          <w:rFonts w:ascii="Calibri" w:hAnsi="Calibri" w:cs="Calibri"/>
          <w:sz w:val="18"/>
          <w:szCs w:val="18"/>
        </w:rPr>
        <w:t xml:space="preserve"> </w:t>
      </w:r>
      <w:r w:rsidRPr="00297685">
        <w:rPr>
          <w:rFonts w:ascii="Calibri" w:hAnsi="Calibri" w:cs="Calibri"/>
          <w:b/>
          <w:bCs/>
          <w:sz w:val="18"/>
          <w:szCs w:val="18"/>
        </w:rPr>
        <w:t>1</w:t>
      </w:r>
      <w:r w:rsidRPr="00297685">
        <w:rPr>
          <w:rFonts w:ascii="Calibri" w:hAnsi="Calibri" w:cs="Calibri"/>
          <w:sz w:val="18"/>
          <w:szCs w:val="18"/>
        </w:rPr>
        <w:t>, 301–308 (2020).</w:t>
      </w:r>
    </w:p>
    <w:p w14:paraId="48F2A0DD"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107.</w:t>
      </w:r>
      <w:r w:rsidRPr="00297685">
        <w:rPr>
          <w:rFonts w:ascii="Calibri" w:hAnsi="Calibri" w:cs="Calibri"/>
          <w:sz w:val="18"/>
          <w:szCs w:val="18"/>
        </w:rPr>
        <w:tab/>
        <w:t>FEDIAF. Animal proteins used in EU pet food. (2017).</w:t>
      </w:r>
    </w:p>
    <w:p w14:paraId="1F121E7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108.</w:t>
      </w:r>
      <w:r w:rsidRPr="00297685">
        <w:rPr>
          <w:rFonts w:ascii="Calibri" w:hAnsi="Calibri" w:cs="Calibri"/>
          <w:sz w:val="18"/>
          <w:szCs w:val="18"/>
        </w:rPr>
        <w:tab/>
        <w:t xml:space="preserve">Thompson, A. Ingredients: Where Pet Food Starts. </w:t>
      </w:r>
      <w:r w:rsidRPr="00297685">
        <w:rPr>
          <w:rFonts w:ascii="Calibri" w:hAnsi="Calibri" w:cs="Calibri"/>
          <w:i/>
          <w:iCs/>
          <w:sz w:val="18"/>
          <w:szCs w:val="18"/>
        </w:rPr>
        <w:t>Topics in Companion Animal Medicine</w:t>
      </w:r>
      <w:r w:rsidRPr="00297685">
        <w:rPr>
          <w:rFonts w:ascii="Calibri" w:hAnsi="Calibri" w:cs="Calibri"/>
          <w:sz w:val="18"/>
          <w:szCs w:val="18"/>
        </w:rPr>
        <w:t xml:space="preserve"> </w:t>
      </w:r>
      <w:r w:rsidRPr="00297685">
        <w:rPr>
          <w:rFonts w:ascii="Calibri" w:hAnsi="Calibri" w:cs="Calibri"/>
          <w:b/>
          <w:bCs/>
          <w:sz w:val="18"/>
          <w:szCs w:val="18"/>
        </w:rPr>
        <w:t>23</w:t>
      </w:r>
      <w:r w:rsidRPr="00297685">
        <w:rPr>
          <w:rFonts w:ascii="Calibri" w:hAnsi="Calibri" w:cs="Calibri"/>
          <w:sz w:val="18"/>
          <w:szCs w:val="18"/>
        </w:rPr>
        <w:t>, 127–132 (2008).</w:t>
      </w:r>
    </w:p>
    <w:p w14:paraId="1528AA4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109.</w:t>
      </w:r>
      <w:r w:rsidRPr="00297685">
        <w:rPr>
          <w:rFonts w:ascii="Calibri" w:hAnsi="Calibri" w:cs="Calibri"/>
          <w:sz w:val="18"/>
          <w:szCs w:val="18"/>
        </w:rPr>
        <w:tab/>
        <w:t xml:space="preserve">Bosch, G. &amp; Swanson, K. s. Effect of using insects as feed on animals: pet dogs and cats. </w:t>
      </w:r>
      <w:r w:rsidRPr="00297685">
        <w:rPr>
          <w:rFonts w:ascii="Calibri" w:hAnsi="Calibri" w:cs="Calibri"/>
          <w:i/>
          <w:iCs/>
          <w:sz w:val="18"/>
          <w:szCs w:val="18"/>
        </w:rPr>
        <w:t>Journal of Insects as Food and Feed</w:t>
      </w:r>
      <w:r w:rsidRPr="00297685">
        <w:rPr>
          <w:rFonts w:ascii="Calibri" w:hAnsi="Calibri" w:cs="Calibri"/>
          <w:sz w:val="18"/>
          <w:szCs w:val="18"/>
        </w:rPr>
        <w:t xml:space="preserve"> </w:t>
      </w:r>
      <w:r w:rsidRPr="00297685">
        <w:rPr>
          <w:rFonts w:ascii="Calibri" w:hAnsi="Calibri" w:cs="Calibri"/>
          <w:b/>
          <w:bCs/>
          <w:sz w:val="18"/>
          <w:szCs w:val="18"/>
        </w:rPr>
        <w:t>7</w:t>
      </w:r>
      <w:r w:rsidRPr="00297685">
        <w:rPr>
          <w:rFonts w:ascii="Calibri" w:hAnsi="Calibri" w:cs="Calibri"/>
          <w:sz w:val="18"/>
          <w:szCs w:val="18"/>
        </w:rPr>
        <w:t>, 795–805 (2021).</w:t>
      </w:r>
    </w:p>
    <w:p w14:paraId="541A46B4" w14:textId="77777777"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rPr>
        <w:t>110.</w:t>
      </w:r>
      <w:r w:rsidRPr="00297685">
        <w:rPr>
          <w:rFonts w:ascii="Calibri" w:hAnsi="Calibri" w:cs="Calibri"/>
          <w:sz w:val="18"/>
          <w:szCs w:val="18"/>
        </w:rPr>
        <w:tab/>
        <w:t xml:space="preserve">Arabzadeh, G. </w:t>
      </w:r>
      <w:r w:rsidRPr="00297685">
        <w:rPr>
          <w:rFonts w:ascii="Calibri" w:hAnsi="Calibri" w:cs="Calibri"/>
          <w:i/>
          <w:iCs/>
          <w:sz w:val="18"/>
          <w:szCs w:val="18"/>
        </w:rPr>
        <w:t>et al.</w:t>
      </w:r>
      <w:r w:rsidRPr="00297685">
        <w:rPr>
          <w:rFonts w:ascii="Calibri" w:hAnsi="Calibri" w:cs="Calibri"/>
          <w:sz w:val="18"/>
          <w:szCs w:val="18"/>
        </w:rPr>
        <w:t xml:space="preserve"> Diet Composition Influences Growth Performance, Bioconversion of Black Soldier Fly Larvae: Agronomic Value and In Vitro Biofungicidal Activity of Derived Frass. </w:t>
      </w:r>
      <w:r w:rsidRPr="00297685">
        <w:rPr>
          <w:rFonts w:ascii="Calibri" w:hAnsi="Calibri" w:cs="Calibri"/>
          <w:i/>
          <w:iCs/>
          <w:sz w:val="18"/>
          <w:szCs w:val="18"/>
          <w:lang w:val="fr-FR"/>
        </w:rPr>
        <w:t>Agronomy</w:t>
      </w:r>
      <w:r w:rsidRPr="00297685">
        <w:rPr>
          <w:rFonts w:ascii="Calibri" w:hAnsi="Calibri" w:cs="Calibri"/>
          <w:sz w:val="18"/>
          <w:szCs w:val="18"/>
          <w:lang w:val="fr-FR"/>
        </w:rPr>
        <w:t xml:space="preserve"> </w:t>
      </w:r>
      <w:r w:rsidRPr="00297685">
        <w:rPr>
          <w:rFonts w:ascii="Calibri" w:hAnsi="Calibri" w:cs="Calibri"/>
          <w:b/>
          <w:bCs/>
          <w:sz w:val="18"/>
          <w:szCs w:val="18"/>
          <w:lang w:val="fr-FR"/>
        </w:rPr>
        <w:t>12</w:t>
      </w:r>
      <w:r w:rsidRPr="00297685">
        <w:rPr>
          <w:rFonts w:ascii="Calibri" w:hAnsi="Calibri" w:cs="Calibri"/>
          <w:sz w:val="18"/>
          <w:szCs w:val="18"/>
          <w:lang w:val="fr-FR"/>
        </w:rPr>
        <w:t>, 1765 (2022).</w:t>
      </w:r>
    </w:p>
    <w:p w14:paraId="0F17557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lang w:val="fr-FR"/>
        </w:rPr>
        <w:t>111.</w:t>
      </w:r>
      <w:r w:rsidRPr="00297685">
        <w:rPr>
          <w:rFonts w:ascii="Calibri" w:hAnsi="Calibri" w:cs="Calibri"/>
          <w:sz w:val="18"/>
          <w:szCs w:val="18"/>
          <w:lang w:val="fr-FR"/>
        </w:rPr>
        <w:tab/>
        <w:t xml:space="preserve">ADEME, EVEA Evaluation et Accompagnement, S3D Ingénierie, Cornelus, M. &amp; Rousseau El Habti, A. </w:t>
      </w:r>
      <w:r w:rsidRPr="00297685">
        <w:rPr>
          <w:rFonts w:ascii="Calibri" w:hAnsi="Calibri" w:cs="Calibri"/>
          <w:i/>
          <w:iCs/>
          <w:sz w:val="18"/>
          <w:szCs w:val="18"/>
          <w:lang w:val="fr-FR"/>
        </w:rPr>
        <w:t xml:space="preserve">Impacts Environnementaux De Filieres De Traitements Biologiques Des Dechets De Cuisine Et De </w:t>
      </w:r>
      <w:proofErr w:type="gramStart"/>
      <w:r w:rsidRPr="00297685">
        <w:rPr>
          <w:rFonts w:ascii="Calibri" w:hAnsi="Calibri" w:cs="Calibri"/>
          <w:i/>
          <w:iCs/>
          <w:sz w:val="18"/>
          <w:szCs w:val="18"/>
          <w:lang w:val="fr-FR"/>
        </w:rPr>
        <w:t>Table:</w:t>
      </w:r>
      <w:proofErr w:type="gramEnd"/>
      <w:r w:rsidRPr="00297685">
        <w:rPr>
          <w:rFonts w:ascii="Calibri" w:hAnsi="Calibri" w:cs="Calibri"/>
          <w:i/>
          <w:iCs/>
          <w:sz w:val="18"/>
          <w:szCs w:val="18"/>
          <w:lang w:val="fr-FR"/>
        </w:rPr>
        <w:t xml:space="preserve"> Compostages Et Methanisations</w:t>
      </w:r>
      <w:r w:rsidRPr="00297685">
        <w:rPr>
          <w:rFonts w:ascii="Calibri" w:hAnsi="Calibri" w:cs="Calibri"/>
          <w:sz w:val="18"/>
          <w:szCs w:val="18"/>
          <w:lang w:val="fr-FR"/>
        </w:rPr>
        <w:t xml:space="preserve">. </w:t>
      </w:r>
      <w:r w:rsidRPr="00297685">
        <w:rPr>
          <w:rFonts w:ascii="Calibri" w:hAnsi="Calibri" w:cs="Calibri"/>
          <w:sz w:val="18"/>
          <w:szCs w:val="18"/>
        </w:rPr>
        <w:t>126 (2019).</w:t>
      </w:r>
    </w:p>
    <w:p w14:paraId="0D366331"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112.</w:t>
      </w:r>
      <w:r w:rsidRPr="00297685">
        <w:rPr>
          <w:rFonts w:ascii="Calibri" w:hAnsi="Calibri" w:cs="Calibri"/>
          <w:sz w:val="18"/>
          <w:szCs w:val="18"/>
        </w:rPr>
        <w:tab/>
        <w:t xml:space="preserve">Kawasaki, K., Kawasaki, T., Hirayasu, H., Matsumoto, Y. &amp; Fujitani, Y. Evaluation of Fertilizer Value of </w:t>
      </w:r>
      <w:r w:rsidRPr="00297685">
        <w:rPr>
          <w:rFonts w:ascii="Calibri" w:hAnsi="Calibri" w:cs="Calibri"/>
          <w:sz w:val="18"/>
          <w:szCs w:val="18"/>
        </w:rPr>
        <w:lastRenderedPageBreak/>
        <w:t xml:space="preserve">Residues Obtained after Processing Household Organic Waste with Black Soldier Fly Larvae (Hermetia illucens). </w:t>
      </w:r>
      <w:r w:rsidRPr="00297685">
        <w:rPr>
          <w:rFonts w:ascii="Calibri" w:hAnsi="Calibri" w:cs="Calibri"/>
          <w:i/>
          <w:iCs/>
          <w:sz w:val="18"/>
          <w:szCs w:val="18"/>
        </w:rPr>
        <w:t>Sustainability</w:t>
      </w:r>
      <w:r w:rsidRPr="00297685">
        <w:rPr>
          <w:rFonts w:ascii="Calibri" w:hAnsi="Calibri" w:cs="Calibri"/>
          <w:sz w:val="18"/>
          <w:szCs w:val="18"/>
        </w:rPr>
        <w:t xml:space="preserve"> </w:t>
      </w:r>
      <w:r w:rsidRPr="00297685">
        <w:rPr>
          <w:rFonts w:ascii="Calibri" w:hAnsi="Calibri" w:cs="Calibri"/>
          <w:b/>
          <w:bCs/>
          <w:sz w:val="18"/>
          <w:szCs w:val="18"/>
        </w:rPr>
        <w:t>12</w:t>
      </w:r>
      <w:r w:rsidRPr="00297685">
        <w:rPr>
          <w:rFonts w:ascii="Calibri" w:hAnsi="Calibri" w:cs="Calibri"/>
          <w:sz w:val="18"/>
          <w:szCs w:val="18"/>
        </w:rPr>
        <w:t>, 4920 (2020).</w:t>
      </w:r>
    </w:p>
    <w:p w14:paraId="7A8801AD"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113.</w:t>
      </w:r>
      <w:r w:rsidRPr="00297685">
        <w:rPr>
          <w:rFonts w:ascii="Calibri" w:hAnsi="Calibri" w:cs="Calibri"/>
          <w:sz w:val="18"/>
          <w:szCs w:val="18"/>
        </w:rPr>
        <w:tab/>
        <w:t xml:space="preserve">Houben, D., Daoulas, G., Faucon, M.-P. &amp; Dulaurent, A.-M. Potential use of mealworm frass as a fertilizer: Impact on crop growth and soil properties. </w:t>
      </w:r>
      <w:r w:rsidRPr="00297685">
        <w:rPr>
          <w:rFonts w:ascii="Calibri" w:hAnsi="Calibri" w:cs="Calibri"/>
          <w:i/>
          <w:iCs/>
          <w:sz w:val="18"/>
          <w:szCs w:val="18"/>
        </w:rPr>
        <w:t>Sci Rep</w:t>
      </w:r>
      <w:r w:rsidRPr="00297685">
        <w:rPr>
          <w:rFonts w:ascii="Calibri" w:hAnsi="Calibri" w:cs="Calibri"/>
          <w:sz w:val="18"/>
          <w:szCs w:val="18"/>
        </w:rPr>
        <w:t xml:space="preserve"> </w:t>
      </w:r>
      <w:r w:rsidRPr="00297685">
        <w:rPr>
          <w:rFonts w:ascii="Calibri" w:hAnsi="Calibri" w:cs="Calibri"/>
          <w:b/>
          <w:bCs/>
          <w:sz w:val="18"/>
          <w:szCs w:val="18"/>
        </w:rPr>
        <w:t>10</w:t>
      </w:r>
      <w:r w:rsidRPr="00297685">
        <w:rPr>
          <w:rFonts w:ascii="Calibri" w:hAnsi="Calibri" w:cs="Calibri"/>
          <w:sz w:val="18"/>
          <w:szCs w:val="18"/>
        </w:rPr>
        <w:t>, 4659 (2020).</w:t>
      </w:r>
    </w:p>
    <w:p w14:paraId="4EB5308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114.</w:t>
      </w:r>
      <w:r w:rsidRPr="00297685">
        <w:rPr>
          <w:rFonts w:ascii="Calibri" w:hAnsi="Calibri" w:cs="Calibri"/>
          <w:sz w:val="18"/>
          <w:szCs w:val="18"/>
        </w:rPr>
        <w:tab/>
        <w:t xml:space="preserve">Lalander, C. H., Fidjeland, J., Diener, S., Eriksson, S. &amp; Vinnerås, B. High waste-to-biomass conversion and efficient Salmonella spp. reduction using black soldier fly for waste recycling. </w:t>
      </w:r>
      <w:r w:rsidRPr="00297685">
        <w:rPr>
          <w:rFonts w:ascii="Calibri" w:hAnsi="Calibri" w:cs="Calibri"/>
          <w:i/>
          <w:iCs/>
          <w:sz w:val="18"/>
          <w:szCs w:val="18"/>
        </w:rPr>
        <w:t>Agron. Sustain. Dev.</w:t>
      </w:r>
      <w:r w:rsidRPr="00297685">
        <w:rPr>
          <w:rFonts w:ascii="Calibri" w:hAnsi="Calibri" w:cs="Calibri"/>
          <w:sz w:val="18"/>
          <w:szCs w:val="18"/>
        </w:rPr>
        <w:t xml:space="preserve"> </w:t>
      </w:r>
      <w:r w:rsidRPr="00297685">
        <w:rPr>
          <w:rFonts w:ascii="Calibri" w:hAnsi="Calibri" w:cs="Calibri"/>
          <w:b/>
          <w:bCs/>
          <w:sz w:val="18"/>
          <w:szCs w:val="18"/>
        </w:rPr>
        <w:t>35</w:t>
      </w:r>
      <w:r w:rsidRPr="00297685">
        <w:rPr>
          <w:rFonts w:ascii="Calibri" w:hAnsi="Calibri" w:cs="Calibri"/>
          <w:sz w:val="18"/>
          <w:szCs w:val="18"/>
        </w:rPr>
        <w:t>, 261–271 (2015).</w:t>
      </w:r>
    </w:p>
    <w:p w14:paraId="181272A6"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115.</w:t>
      </w:r>
      <w:r w:rsidRPr="00297685">
        <w:rPr>
          <w:rFonts w:ascii="Calibri" w:hAnsi="Calibri" w:cs="Calibri"/>
          <w:sz w:val="18"/>
          <w:szCs w:val="18"/>
        </w:rPr>
        <w:tab/>
        <w:t xml:space="preserve">Zurbrugg, C., Dortmans, B., Fadhila, A., Vertsappen, B. &amp; Diener, S. From Pilot to Full Scale Operation of a Waste-to-Protein Treatment Facility. </w:t>
      </w:r>
      <w:r w:rsidRPr="00297685">
        <w:rPr>
          <w:rFonts w:ascii="Calibri" w:hAnsi="Calibri" w:cs="Calibri"/>
          <w:i/>
          <w:iCs/>
          <w:sz w:val="18"/>
          <w:szCs w:val="18"/>
        </w:rPr>
        <w:t>Detritus</w:t>
      </w:r>
      <w:r w:rsidRPr="00297685">
        <w:rPr>
          <w:rFonts w:ascii="Calibri" w:hAnsi="Calibri" w:cs="Calibri"/>
          <w:sz w:val="18"/>
          <w:szCs w:val="18"/>
        </w:rPr>
        <w:t xml:space="preserve"> vol. 1 18–22 (2018).</w:t>
      </w:r>
    </w:p>
    <w:p w14:paraId="16C4FD1C" w14:textId="6E023E3F"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116.</w:t>
      </w:r>
      <w:r w:rsidRPr="00297685">
        <w:rPr>
          <w:rFonts w:ascii="Calibri" w:hAnsi="Calibri" w:cs="Calibri"/>
          <w:sz w:val="18"/>
          <w:szCs w:val="18"/>
        </w:rPr>
        <w:tab/>
        <w:t xml:space="preserve">Kröncke, N. </w:t>
      </w:r>
      <w:r w:rsidRPr="00297685">
        <w:rPr>
          <w:rFonts w:ascii="Calibri" w:hAnsi="Calibri" w:cs="Calibri"/>
          <w:i/>
          <w:iCs/>
          <w:sz w:val="18"/>
          <w:szCs w:val="18"/>
        </w:rPr>
        <w:t>et al.</w:t>
      </w:r>
      <w:r w:rsidRPr="00297685">
        <w:rPr>
          <w:rFonts w:ascii="Calibri" w:hAnsi="Calibri" w:cs="Calibri"/>
          <w:sz w:val="18"/>
          <w:szCs w:val="18"/>
        </w:rPr>
        <w:t xml:space="preserve"> Automation of Insect Mass Rearing and Processing Technologies of Mealworms (Tenebrio molitor). in </w:t>
      </w:r>
      <w:r w:rsidRPr="00297685">
        <w:rPr>
          <w:rFonts w:ascii="Calibri" w:hAnsi="Calibri" w:cs="Calibri"/>
          <w:i/>
          <w:iCs/>
          <w:sz w:val="18"/>
          <w:szCs w:val="18"/>
        </w:rPr>
        <w:t xml:space="preserve">African Edible Insects </w:t>
      </w:r>
      <w:proofErr w:type="gramStart"/>
      <w:r w:rsidRPr="00297685">
        <w:rPr>
          <w:rFonts w:ascii="Calibri" w:hAnsi="Calibri" w:cs="Calibri"/>
          <w:i/>
          <w:iCs/>
          <w:sz w:val="18"/>
          <w:szCs w:val="18"/>
        </w:rPr>
        <w:t>As</w:t>
      </w:r>
      <w:proofErr w:type="gramEnd"/>
      <w:r w:rsidRPr="00297685">
        <w:rPr>
          <w:rFonts w:ascii="Calibri" w:hAnsi="Calibri" w:cs="Calibri"/>
          <w:i/>
          <w:iCs/>
          <w:sz w:val="18"/>
          <w:szCs w:val="18"/>
        </w:rPr>
        <w:t xml:space="preserve"> Alternative Source of Food, Oil, Protein and Bioactive Components</w:t>
      </w:r>
      <w:r w:rsidRPr="00297685">
        <w:rPr>
          <w:rFonts w:ascii="Calibri" w:hAnsi="Calibri" w:cs="Calibri"/>
          <w:sz w:val="18"/>
          <w:szCs w:val="18"/>
        </w:rPr>
        <w:t xml:space="preserve"> (ed. Adam Mariod, A.) 123–139 (Springer International Publishing, Cham, 2020).</w:t>
      </w:r>
    </w:p>
    <w:p w14:paraId="1E2ED47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117.</w:t>
      </w:r>
      <w:r w:rsidRPr="00297685">
        <w:rPr>
          <w:rFonts w:ascii="Calibri" w:hAnsi="Calibri" w:cs="Calibri"/>
          <w:sz w:val="18"/>
          <w:szCs w:val="18"/>
        </w:rPr>
        <w:tab/>
        <w:t xml:space="preserve">Roffeis, M. </w:t>
      </w:r>
      <w:r w:rsidRPr="00297685">
        <w:rPr>
          <w:rFonts w:ascii="Calibri" w:hAnsi="Calibri" w:cs="Calibri"/>
          <w:i/>
          <w:iCs/>
          <w:sz w:val="18"/>
          <w:szCs w:val="18"/>
        </w:rPr>
        <w:t>et al.</w:t>
      </w:r>
      <w:r w:rsidRPr="00297685">
        <w:rPr>
          <w:rFonts w:ascii="Calibri" w:hAnsi="Calibri" w:cs="Calibri"/>
          <w:sz w:val="18"/>
          <w:szCs w:val="18"/>
        </w:rPr>
        <w:t xml:space="preserve"> Life Cycle Inventory Analysis of Prospective Insect Based Feed Production in West Africa. </w:t>
      </w:r>
      <w:r w:rsidRPr="00297685">
        <w:rPr>
          <w:rFonts w:ascii="Calibri" w:hAnsi="Calibri" w:cs="Calibri"/>
          <w:i/>
          <w:iCs/>
          <w:sz w:val="18"/>
          <w:szCs w:val="18"/>
        </w:rPr>
        <w:t>Sustainability</w:t>
      </w:r>
      <w:r w:rsidRPr="00297685">
        <w:rPr>
          <w:rFonts w:ascii="Calibri" w:hAnsi="Calibri" w:cs="Calibri"/>
          <w:sz w:val="18"/>
          <w:szCs w:val="18"/>
        </w:rPr>
        <w:t xml:space="preserve"> </w:t>
      </w:r>
      <w:r w:rsidRPr="00297685">
        <w:rPr>
          <w:rFonts w:ascii="Calibri" w:hAnsi="Calibri" w:cs="Calibri"/>
          <w:b/>
          <w:bCs/>
          <w:sz w:val="18"/>
          <w:szCs w:val="18"/>
        </w:rPr>
        <w:t>9</w:t>
      </w:r>
      <w:r w:rsidRPr="00297685">
        <w:rPr>
          <w:rFonts w:ascii="Calibri" w:hAnsi="Calibri" w:cs="Calibri"/>
          <w:sz w:val="18"/>
          <w:szCs w:val="18"/>
        </w:rPr>
        <w:t>, 1697 (2017).</w:t>
      </w:r>
    </w:p>
    <w:p w14:paraId="059ABDE5"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118.</w:t>
      </w:r>
      <w:r w:rsidRPr="00297685">
        <w:rPr>
          <w:rFonts w:ascii="Calibri" w:hAnsi="Calibri" w:cs="Calibri"/>
          <w:sz w:val="18"/>
          <w:szCs w:val="18"/>
        </w:rPr>
        <w:tab/>
        <w:t xml:space="preserve">Brockmann, D., Pradel, M. &amp; Hélias, A. Agricultural use of organic residues in life cycle assessment: Current practices and proposal for the computation of field emissions and of the nitrogen mineral fertilizer equivalent. </w:t>
      </w:r>
      <w:r w:rsidRPr="00297685">
        <w:rPr>
          <w:rFonts w:ascii="Calibri" w:hAnsi="Calibri" w:cs="Calibri"/>
          <w:i/>
          <w:iCs/>
          <w:sz w:val="18"/>
          <w:szCs w:val="18"/>
        </w:rPr>
        <w:t>Resourc. Conserv. Recy.</w:t>
      </w:r>
      <w:r w:rsidRPr="00297685">
        <w:rPr>
          <w:rFonts w:ascii="Calibri" w:hAnsi="Calibri" w:cs="Calibri"/>
          <w:sz w:val="18"/>
          <w:szCs w:val="18"/>
        </w:rPr>
        <w:t xml:space="preserve"> </w:t>
      </w:r>
      <w:r w:rsidRPr="00297685">
        <w:rPr>
          <w:rFonts w:ascii="Calibri" w:hAnsi="Calibri" w:cs="Calibri"/>
          <w:b/>
          <w:bCs/>
          <w:sz w:val="18"/>
          <w:szCs w:val="18"/>
        </w:rPr>
        <w:t>133</w:t>
      </w:r>
      <w:r w:rsidRPr="00297685">
        <w:rPr>
          <w:rFonts w:ascii="Calibri" w:hAnsi="Calibri" w:cs="Calibri"/>
          <w:sz w:val="18"/>
          <w:szCs w:val="18"/>
        </w:rPr>
        <w:t>, 50–62 (2018).</w:t>
      </w:r>
    </w:p>
    <w:p w14:paraId="1C739EA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119.</w:t>
      </w:r>
      <w:r w:rsidRPr="00297685">
        <w:rPr>
          <w:rFonts w:ascii="Calibri" w:hAnsi="Calibri" w:cs="Calibri"/>
          <w:sz w:val="18"/>
          <w:szCs w:val="18"/>
        </w:rPr>
        <w:tab/>
        <w:t xml:space="preserve">Van Zanten, H. H. E. </w:t>
      </w:r>
      <w:r w:rsidRPr="00297685">
        <w:rPr>
          <w:rFonts w:ascii="Calibri" w:hAnsi="Calibri" w:cs="Calibri"/>
          <w:i/>
          <w:iCs/>
          <w:sz w:val="18"/>
          <w:szCs w:val="18"/>
        </w:rPr>
        <w:t>et al.</w:t>
      </w:r>
      <w:r w:rsidRPr="00297685">
        <w:rPr>
          <w:rFonts w:ascii="Calibri" w:hAnsi="Calibri" w:cs="Calibri"/>
          <w:sz w:val="18"/>
          <w:szCs w:val="18"/>
        </w:rPr>
        <w:t xml:space="preserve"> Defining a land boundary for sustainable livestock consumption. </w:t>
      </w:r>
      <w:r w:rsidRPr="00297685">
        <w:rPr>
          <w:rFonts w:ascii="Calibri" w:hAnsi="Calibri" w:cs="Calibri"/>
          <w:i/>
          <w:iCs/>
          <w:sz w:val="18"/>
          <w:szCs w:val="18"/>
        </w:rPr>
        <w:t>Glob. Change Biol.</w:t>
      </w:r>
      <w:r w:rsidRPr="00297685">
        <w:rPr>
          <w:rFonts w:ascii="Calibri" w:hAnsi="Calibri" w:cs="Calibri"/>
          <w:sz w:val="18"/>
          <w:szCs w:val="18"/>
        </w:rPr>
        <w:t xml:space="preserve"> </w:t>
      </w:r>
      <w:r w:rsidRPr="00297685">
        <w:rPr>
          <w:rFonts w:ascii="Calibri" w:hAnsi="Calibri" w:cs="Calibri"/>
          <w:b/>
          <w:bCs/>
          <w:sz w:val="18"/>
          <w:szCs w:val="18"/>
        </w:rPr>
        <w:t>24</w:t>
      </w:r>
      <w:r w:rsidRPr="00297685">
        <w:rPr>
          <w:rFonts w:ascii="Calibri" w:hAnsi="Calibri" w:cs="Calibri"/>
          <w:sz w:val="18"/>
          <w:szCs w:val="18"/>
        </w:rPr>
        <w:t>, 4185–4194 (2018).</w:t>
      </w:r>
    </w:p>
    <w:p w14:paraId="1A9B64A9"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120.</w:t>
      </w:r>
      <w:r w:rsidRPr="00297685">
        <w:rPr>
          <w:rFonts w:ascii="Calibri" w:hAnsi="Calibri" w:cs="Calibri"/>
          <w:sz w:val="18"/>
          <w:szCs w:val="18"/>
        </w:rPr>
        <w:tab/>
        <w:t>Weththasinghe, P., Hansen, J. Ø., Mydland, L. T. &amp; Øverland, M. A systematic meta-</w:t>
      </w:r>
      <w:proofErr w:type="gramStart"/>
      <w:r w:rsidRPr="00297685">
        <w:rPr>
          <w:rFonts w:ascii="Calibri" w:hAnsi="Calibri" w:cs="Calibri"/>
          <w:sz w:val="18"/>
          <w:szCs w:val="18"/>
        </w:rPr>
        <w:t>analysis based</w:t>
      </w:r>
      <w:proofErr w:type="gramEnd"/>
      <w:r w:rsidRPr="00297685">
        <w:rPr>
          <w:rFonts w:ascii="Calibri" w:hAnsi="Calibri" w:cs="Calibri"/>
          <w:sz w:val="18"/>
          <w:szCs w:val="18"/>
        </w:rPr>
        <w:t xml:space="preserve"> review on black soldier fly (Hermetia illucens) as a novel protein source for salmonids. </w:t>
      </w:r>
      <w:r w:rsidRPr="00297685">
        <w:rPr>
          <w:rFonts w:ascii="Calibri" w:hAnsi="Calibri" w:cs="Calibri"/>
          <w:i/>
          <w:iCs/>
          <w:sz w:val="18"/>
          <w:szCs w:val="18"/>
        </w:rPr>
        <w:t>Reviews in Aquaculture</w:t>
      </w:r>
      <w:r w:rsidRPr="00297685">
        <w:rPr>
          <w:rFonts w:ascii="Calibri" w:hAnsi="Calibri" w:cs="Calibri"/>
          <w:sz w:val="18"/>
          <w:szCs w:val="18"/>
        </w:rPr>
        <w:t xml:space="preserve"> </w:t>
      </w:r>
      <w:r w:rsidRPr="00297685">
        <w:rPr>
          <w:rFonts w:ascii="Calibri" w:hAnsi="Calibri" w:cs="Calibri"/>
          <w:b/>
          <w:bCs/>
          <w:sz w:val="18"/>
          <w:szCs w:val="18"/>
        </w:rPr>
        <w:t>14</w:t>
      </w:r>
      <w:r w:rsidRPr="00297685">
        <w:rPr>
          <w:rFonts w:ascii="Calibri" w:hAnsi="Calibri" w:cs="Calibri"/>
          <w:sz w:val="18"/>
          <w:szCs w:val="18"/>
        </w:rPr>
        <w:t>, 938–956 (2022).</w:t>
      </w:r>
    </w:p>
    <w:p w14:paraId="56716D0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121.</w:t>
      </w:r>
      <w:r w:rsidRPr="00297685">
        <w:rPr>
          <w:rFonts w:ascii="Calibri" w:hAnsi="Calibri" w:cs="Calibri"/>
          <w:sz w:val="18"/>
          <w:szCs w:val="18"/>
        </w:rPr>
        <w:tab/>
        <w:t xml:space="preserve">Harris, E. E. Molasses and Yeast </w:t>
      </w:r>
      <w:proofErr w:type="gramStart"/>
      <w:r w:rsidRPr="00297685">
        <w:rPr>
          <w:rFonts w:ascii="Calibri" w:hAnsi="Calibri" w:cs="Calibri"/>
          <w:sz w:val="18"/>
          <w:szCs w:val="18"/>
        </w:rPr>
        <w:t>From</w:t>
      </w:r>
      <w:proofErr w:type="gramEnd"/>
      <w:r w:rsidRPr="00297685">
        <w:rPr>
          <w:rFonts w:ascii="Calibri" w:hAnsi="Calibri" w:cs="Calibri"/>
          <w:sz w:val="18"/>
          <w:szCs w:val="18"/>
        </w:rPr>
        <w:t xml:space="preserve"> Wood. </w:t>
      </w:r>
      <w:r w:rsidRPr="00297685">
        <w:rPr>
          <w:rFonts w:ascii="Calibri" w:hAnsi="Calibri" w:cs="Calibri"/>
          <w:i/>
          <w:iCs/>
          <w:sz w:val="18"/>
          <w:szCs w:val="18"/>
        </w:rPr>
        <w:t>US Dept. Agr. Yearbook</w:t>
      </w:r>
      <w:r w:rsidRPr="00297685">
        <w:rPr>
          <w:rFonts w:ascii="Calibri" w:hAnsi="Calibri" w:cs="Calibri"/>
          <w:sz w:val="18"/>
          <w:szCs w:val="18"/>
        </w:rPr>
        <w:t xml:space="preserve"> 887–890 (1951).</w:t>
      </w:r>
    </w:p>
    <w:p w14:paraId="586F8F63"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122.</w:t>
      </w:r>
      <w:r w:rsidRPr="00297685">
        <w:rPr>
          <w:rFonts w:ascii="Calibri" w:hAnsi="Calibri" w:cs="Calibri"/>
          <w:sz w:val="18"/>
          <w:szCs w:val="18"/>
        </w:rPr>
        <w:tab/>
        <w:t xml:space="preserve">Chen, L., Upcraft, T., Piercy, E. &amp; Guo, M. Spatially-explicit projection of future microbial protein from lignocellulosic waste. </w:t>
      </w:r>
      <w:r w:rsidRPr="00297685">
        <w:rPr>
          <w:rFonts w:ascii="Calibri" w:hAnsi="Calibri" w:cs="Calibri"/>
          <w:i/>
          <w:iCs/>
          <w:sz w:val="18"/>
          <w:szCs w:val="18"/>
        </w:rPr>
        <w:t>Curr. Res. Biotechnol.</w:t>
      </w:r>
      <w:r w:rsidRPr="00297685">
        <w:rPr>
          <w:rFonts w:ascii="Calibri" w:hAnsi="Calibri" w:cs="Calibri"/>
          <w:sz w:val="18"/>
          <w:szCs w:val="18"/>
        </w:rPr>
        <w:t xml:space="preserve"> </w:t>
      </w:r>
      <w:r w:rsidRPr="00297685">
        <w:rPr>
          <w:rFonts w:ascii="Calibri" w:hAnsi="Calibri" w:cs="Calibri"/>
          <w:b/>
          <w:bCs/>
          <w:sz w:val="18"/>
          <w:szCs w:val="18"/>
        </w:rPr>
        <w:t>4</w:t>
      </w:r>
      <w:r w:rsidRPr="00297685">
        <w:rPr>
          <w:rFonts w:ascii="Calibri" w:hAnsi="Calibri" w:cs="Calibri"/>
          <w:sz w:val="18"/>
          <w:szCs w:val="18"/>
        </w:rPr>
        <w:t>, 544–563 (2022).</w:t>
      </w:r>
    </w:p>
    <w:p w14:paraId="4ADCA281"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123.</w:t>
      </w:r>
      <w:r w:rsidRPr="00297685">
        <w:rPr>
          <w:rFonts w:ascii="Calibri" w:hAnsi="Calibri" w:cs="Calibri"/>
          <w:sz w:val="18"/>
          <w:szCs w:val="18"/>
        </w:rPr>
        <w:tab/>
        <w:t xml:space="preserve">Derbyshire, E. J. &amp; Delange, J. Fungal Protein – What Is It and What Is the Health Evidence? A Systematic Review Focusing on Mycoprotein. </w:t>
      </w:r>
      <w:r w:rsidRPr="00297685">
        <w:rPr>
          <w:rFonts w:ascii="Calibri" w:hAnsi="Calibri" w:cs="Calibri"/>
          <w:i/>
          <w:iCs/>
          <w:sz w:val="18"/>
          <w:szCs w:val="18"/>
        </w:rPr>
        <w:t>Frontiers in Sustainable Food Systems</w:t>
      </w:r>
      <w:r w:rsidRPr="00297685">
        <w:rPr>
          <w:rFonts w:ascii="Calibri" w:hAnsi="Calibri" w:cs="Calibri"/>
          <w:sz w:val="18"/>
          <w:szCs w:val="18"/>
        </w:rPr>
        <w:t xml:space="preserve"> </w:t>
      </w:r>
      <w:r w:rsidRPr="00297685">
        <w:rPr>
          <w:rFonts w:ascii="Calibri" w:hAnsi="Calibri" w:cs="Calibri"/>
          <w:b/>
          <w:bCs/>
          <w:sz w:val="18"/>
          <w:szCs w:val="18"/>
        </w:rPr>
        <w:t>5</w:t>
      </w:r>
      <w:r w:rsidRPr="00297685">
        <w:rPr>
          <w:rFonts w:ascii="Calibri" w:hAnsi="Calibri" w:cs="Calibri"/>
          <w:sz w:val="18"/>
          <w:szCs w:val="18"/>
        </w:rPr>
        <w:t>, (2021).</w:t>
      </w:r>
    </w:p>
    <w:p w14:paraId="0D530B0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124.</w:t>
      </w:r>
      <w:r w:rsidRPr="00297685">
        <w:rPr>
          <w:rFonts w:ascii="Calibri" w:hAnsi="Calibri" w:cs="Calibri"/>
          <w:sz w:val="18"/>
          <w:szCs w:val="18"/>
        </w:rPr>
        <w:tab/>
        <w:t xml:space="preserve">Souza Filho, P. F., Andersson, D., Ferreira, J. A. &amp; Taherzadeh, M. J. Mycoprotein: environmental impact and health aspects. </w:t>
      </w:r>
      <w:r w:rsidRPr="00297685">
        <w:rPr>
          <w:rFonts w:ascii="Calibri" w:hAnsi="Calibri" w:cs="Calibri"/>
          <w:i/>
          <w:iCs/>
          <w:sz w:val="18"/>
          <w:szCs w:val="18"/>
        </w:rPr>
        <w:t>World J Microbiol Biotechnol</w:t>
      </w:r>
      <w:r w:rsidRPr="00297685">
        <w:rPr>
          <w:rFonts w:ascii="Calibri" w:hAnsi="Calibri" w:cs="Calibri"/>
          <w:sz w:val="18"/>
          <w:szCs w:val="18"/>
        </w:rPr>
        <w:t xml:space="preserve"> </w:t>
      </w:r>
      <w:r w:rsidRPr="00297685">
        <w:rPr>
          <w:rFonts w:ascii="Calibri" w:hAnsi="Calibri" w:cs="Calibri"/>
          <w:b/>
          <w:bCs/>
          <w:sz w:val="18"/>
          <w:szCs w:val="18"/>
        </w:rPr>
        <w:t>35</w:t>
      </w:r>
      <w:r w:rsidRPr="00297685">
        <w:rPr>
          <w:rFonts w:ascii="Calibri" w:hAnsi="Calibri" w:cs="Calibri"/>
          <w:sz w:val="18"/>
          <w:szCs w:val="18"/>
        </w:rPr>
        <w:t>, 147 (2019).</w:t>
      </w:r>
    </w:p>
    <w:p w14:paraId="45DACF0E"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125.</w:t>
      </w:r>
      <w:r w:rsidRPr="00297685">
        <w:rPr>
          <w:rFonts w:ascii="Calibri" w:hAnsi="Calibri" w:cs="Calibri"/>
          <w:sz w:val="18"/>
          <w:szCs w:val="18"/>
        </w:rPr>
        <w:tab/>
        <w:t xml:space="preserve">Durkin, A., Guo, M., Wuertz, S. &amp; Stuckey, D. C. Resource recovery from food-processing wastewaters in a circular economy: a methodology for the future. </w:t>
      </w:r>
      <w:r w:rsidRPr="00297685">
        <w:rPr>
          <w:rFonts w:ascii="Calibri" w:hAnsi="Calibri" w:cs="Calibri"/>
          <w:i/>
          <w:iCs/>
          <w:sz w:val="18"/>
          <w:szCs w:val="18"/>
        </w:rPr>
        <w:t>Curr. Opin. Biotechnol.</w:t>
      </w:r>
      <w:r w:rsidRPr="00297685">
        <w:rPr>
          <w:rFonts w:ascii="Calibri" w:hAnsi="Calibri" w:cs="Calibri"/>
          <w:sz w:val="18"/>
          <w:szCs w:val="18"/>
        </w:rPr>
        <w:t xml:space="preserve"> </w:t>
      </w:r>
      <w:r w:rsidRPr="00297685">
        <w:rPr>
          <w:rFonts w:ascii="Calibri" w:hAnsi="Calibri" w:cs="Calibri"/>
          <w:b/>
          <w:bCs/>
          <w:sz w:val="18"/>
          <w:szCs w:val="18"/>
        </w:rPr>
        <w:t>76</w:t>
      </w:r>
      <w:r w:rsidRPr="00297685">
        <w:rPr>
          <w:rFonts w:ascii="Calibri" w:hAnsi="Calibri" w:cs="Calibri"/>
          <w:sz w:val="18"/>
          <w:szCs w:val="18"/>
        </w:rPr>
        <w:t>, 102735 (2022).</w:t>
      </w:r>
    </w:p>
    <w:p w14:paraId="764618C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126.</w:t>
      </w:r>
      <w:r w:rsidRPr="00297685">
        <w:rPr>
          <w:rFonts w:ascii="Calibri" w:hAnsi="Calibri" w:cs="Calibri"/>
          <w:sz w:val="18"/>
          <w:szCs w:val="18"/>
        </w:rPr>
        <w:tab/>
        <w:t xml:space="preserve">Landeta Salgado, C., Muñoz, R., Blanco, A. &amp; Lienqueo, M. E. Valorization and upgrading of the nutritional value of seaweed and seaweed waste using the marine fungi Paradendryphiella salina to produce mycoprotein. </w:t>
      </w:r>
      <w:r w:rsidRPr="00297685">
        <w:rPr>
          <w:rFonts w:ascii="Calibri" w:hAnsi="Calibri" w:cs="Calibri"/>
          <w:i/>
          <w:iCs/>
          <w:sz w:val="18"/>
          <w:szCs w:val="18"/>
        </w:rPr>
        <w:t>Algal Res.</w:t>
      </w:r>
      <w:r w:rsidRPr="00297685">
        <w:rPr>
          <w:rFonts w:ascii="Calibri" w:hAnsi="Calibri" w:cs="Calibri"/>
          <w:sz w:val="18"/>
          <w:szCs w:val="18"/>
        </w:rPr>
        <w:t xml:space="preserve"> </w:t>
      </w:r>
      <w:r w:rsidRPr="00297685">
        <w:rPr>
          <w:rFonts w:ascii="Calibri" w:hAnsi="Calibri" w:cs="Calibri"/>
          <w:b/>
          <w:bCs/>
          <w:sz w:val="18"/>
          <w:szCs w:val="18"/>
        </w:rPr>
        <w:t>53</w:t>
      </w:r>
      <w:r w:rsidRPr="00297685">
        <w:rPr>
          <w:rFonts w:ascii="Calibri" w:hAnsi="Calibri" w:cs="Calibri"/>
          <w:sz w:val="18"/>
          <w:szCs w:val="18"/>
        </w:rPr>
        <w:t>, 102135 (2021).</w:t>
      </w:r>
    </w:p>
    <w:p w14:paraId="7A32BD66"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127.</w:t>
      </w:r>
      <w:r w:rsidRPr="00297685">
        <w:rPr>
          <w:rFonts w:ascii="Calibri" w:hAnsi="Calibri" w:cs="Calibri"/>
          <w:sz w:val="18"/>
          <w:szCs w:val="18"/>
        </w:rPr>
        <w:tab/>
        <w:t xml:space="preserve">Souza Filho, P. F., Brancoli, P., Bolton, K., Zamani, A. &amp; Taherzadeh, M. J. Techno-Economic and Life Cycle Assessment of Wastewater Management from Potato Starch Production: Present Status and Alternative Biotreatments. </w:t>
      </w:r>
      <w:r w:rsidRPr="00297685">
        <w:rPr>
          <w:rFonts w:ascii="Calibri" w:hAnsi="Calibri" w:cs="Calibri"/>
          <w:i/>
          <w:iCs/>
          <w:sz w:val="18"/>
          <w:szCs w:val="18"/>
        </w:rPr>
        <w:t>Fermentation</w:t>
      </w:r>
      <w:r w:rsidRPr="00297685">
        <w:rPr>
          <w:rFonts w:ascii="Calibri" w:hAnsi="Calibri" w:cs="Calibri"/>
          <w:sz w:val="18"/>
          <w:szCs w:val="18"/>
        </w:rPr>
        <w:t xml:space="preserve"> </w:t>
      </w:r>
      <w:r w:rsidRPr="00297685">
        <w:rPr>
          <w:rFonts w:ascii="Calibri" w:hAnsi="Calibri" w:cs="Calibri"/>
          <w:b/>
          <w:bCs/>
          <w:sz w:val="18"/>
          <w:szCs w:val="18"/>
        </w:rPr>
        <w:t>3</w:t>
      </w:r>
      <w:r w:rsidRPr="00297685">
        <w:rPr>
          <w:rFonts w:ascii="Calibri" w:hAnsi="Calibri" w:cs="Calibri"/>
          <w:sz w:val="18"/>
          <w:szCs w:val="18"/>
        </w:rPr>
        <w:t>, 56 (2017).</w:t>
      </w:r>
    </w:p>
    <w:p w14:paraId="0798EA2B"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128.</w:t>
      </w:r>
      <w:r w:rsidRPr="00297685">
        <w:rPr>
          <w:rFonts w:ascii="Calibri" w:hAnsi="Calibri" w:cs="Calibri"/>
          <w:sz w:val="18"/>
          <w:szCs w:val="18"/>
        </w:rPr>
        <w:tab/>
        <w:t xml:space="preserve">Atatoprak, T., Amorim, M. M., Ribeiro, T., Pintado, M. &amp; Madureira, A. R. Grape stalk valorization for fermentation purposes. </w:t>
      </w:r>
      <w:r w:rsidRPr="00297685">
        <w:rPr>
          <w:rFonts w:ascii="Calibri" w:hAnsi="Calibri" w:cs="Calibri"/>
          <w:i/>
          <w:iCs/>
          <w:sz w:val="18"/>
          <w:szCs w:val="18"/>
        </w:rPr>
        <w:t>Food Chem (Oxf)</w:t>
      </w:r>
      <w:r w:rsidRPr="00297685">
        <w:rPr>
          <w:rFonts w:ascii="Calibri" w:hAnsi="Calibri" w:cs="Calibri"/>
          <w:sz w:val="18"/>
          <w:szCs w:val="18"/>
        </w:rPr>
        <w:t xml:space="preserve"> </w:t>
      </w:r>
      <w:r w:rsidRPr="00297685">
        <w:rPr>
          <w:rFonts w:ascii="Calibri" w:hAnsi="Calibri" w:cs="Calibri"/>
          <w:b/>
          <w:bCs/>
          <w:sz w:val="18"/>
          <w:szCs w:val="18"/>
        </w:rPr>
        <w:t>4</w:t>
      </w:r>
      <w:r w:rsidRPr="00297685">
        <w:rPr>
          <w:rFonts w:ascii="Calibri" w:hAnsi="Calibri" w:cs="Calibri"/>
          <w:sz w:val="18"/>
          <w:szCs w:val="18"/>
        </w:rPr>
        <w:t>, 100067 (2021).</w:t>
      </w:r>
    </w:p>
    <w:p w14:paraId="105C2DB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129.</w:t>
      </w:r>
      <w:r w:rsidRPr="00297685">
        <w:rPr>
          <w:rFonts w:ascii="Calibri" w:hAnsi="Calibri" w:cs="Calibri"/>
          <w:sz w:val="18"/>
          <w:szCs w:val="18"/>
        </w:rPr>
        <w:tab/>
        <w:t xml:space="preserve">Bakar, N. A. A. </w:t>
      </w:r>
      <w:r w:rsidRPr="00297685">
        <w:rPr>
          <w:rFonts w:ascii="Calibri" w:hAnsi="Calibri" w:cs="Calibri"/>
          <w:i/>
          <w:iCs/>
          <w:sz w:val="18"/>
          <w:szCs w:val="18"/>
        </w:rPr>
        <w:t>et al.</w:t>
      </w:r>
      <w:r w:rsidRPr="00297685">
        <w:rPr>
          <w:rFonts w:ascii="Calibri" w:hAnsi="Calibri" w:cs="Calibri"/>
          <w:sz w:val="18"/>
          <w:szCs w:val="18"/>
        </w:rPr>
        <w:t xml:space="preserve"> Structural modification of empty and partially filled paddy grain through hydrothermal pre-treatment as a novel substrate for fermentable glucose production. </w:t>
      </w:r>
      <w:r w:rsidRPr="00297685">
        <w:rPr>
          <w:rFonts w:ascii="Calibri" w:hAnsi="Calibri" w:cs="Calibri"/>
          <w:i/>
          <w:iCs/>
          <w:sz w:val="18"/>
          <w:szCs w:val="18"/>
        </w:rPr>
        <w:t>Starch - Stärke</w:t>
      </w:r>
      <w:r w:rsidRPr="00297685">
        <w:rPr>
          <w:rFonts w:ascii="Calibri" w:hAnsi="Calibri" w:cs="Calibri"/>
          <w:sz w:val="18"/>
          <w:szCs w:val="18"/>
        </w:rPr>
        <w:t xml:space="preserve"> 2100299 (2022) doi:10.1002/star.202100299.</w:t>
      </w:r>
    </w:p>
    <w:p w14:paraId="3B51B06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130.</w:t>
      </w:r>
      <w:r w:rsidRPr="00297685">
        <w:rPr>
          <w:rFonts w:ascii="Calibri" w:hAnsi="Calibri" w:cs="Calibri"/>
          <w:sz w:val="18"/>
          <w:szCs w:val="18"/>
        </w:rPr>
        <w:tab/>
        <w:t xml:space="preserve">Pihlajaniemi, V. </w:t>
      </w:r>
      <w:r w:rsidRPr="00297685">
        <w:rPr>
          <w:rFonts w:ascii="Calibri" w:hAnsi="Calibri" w:cs="Calibri"/>
          <w:i/>
          <w:iCs/>
          <w:sz w:val="18"/>
          <w:szCs w:val="18"/>
        </w:rPr>
        <w:t>et al.</w:t>
      </w:r>
      <w:r w:rsidRPr="00297685">
        <w:rPr>
          <w:rFonts w:ascii="Calibri" w:hAnsi="Calibri" w:cs="Calibri"/>
          <w:sz w:val="18"/>
          <w:szCs w:val="18"/>
        </w:rPr>
        <w:t xml:space="preserve"> Comparison of pretreatments and cost-optimization of enzymatic hydrolysis for production of single cell protein from grass silage fibre. </w:t>
      </w:r>
      <w:r w:rsidRPr="00297685">
        <w:rPr>
          <w:rFonts w:ascii="Calibri" w:hAnsi="Calibri" w:cs="Calibri"/>
          <w:i/>
          <w:iCs/>
          <w:sz w:val="18"/>
          <w:szCs w:val="18"/>
        </w:rPr>
        <w:t>Bioresour. Technol. Rep.</w:t>
      </w:r>
      <w:r w:rsidRPr="00297685">
        <w:rPr>
          <w:rFonts w:ascii="Calibri" w:hAnsi="Calibri" w:cs="Calibri"/>
          <w:sz w:val="18"/>
          <w:szCs w:val="18"/>
        </w:rPr>
        <w:t xml:space="preserve"> </w:t>
      </w:r>
      <w:r w:rsidRPr="00297685">
        <w:rPr>
          <w:rFonts w:ascii="Calibri" w:hAnsi="Calibri" w:cs="Calibri"/>
          <w:b/>
          <w:bCs/>
          <w:sz w:val="18"/>
          <w:szCs w:val="18"/>
        </w:rPr>
        <w:t>9</w:t>
      </w:r>
      <w:r w:rsidRPr="00297685">
        <w:rPr>
          <w:rFonts w:ascii="Calibri" w:hAnsi="Calibri" w:cs="Calibri"/>
          <w:sz w:val="18"/>
          <w:szCs w:val="18"/>
        </w:rPr>
        <w:t>, 100357 (2020).</w:t>
      </w:r>
    </w:p>
    <w:p w14:paraId="47E81AE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131.</w:t>
      </w:r>
      <w:r w:rsidRPr="00297685">
        <w:rPr>
          <w:rFonts w:ascii="Calibri" w:hAnsi="Calibri" w:cs="Calibri"/>
          <w:sz w:val="18"/>
          <w:szCs w:val="18"/>
        </w:rPr>
        <w:tab/>
        <w:t xml:space="preserve">Upcraft, T. </w:t>
      </w:r>
      <w:r w:rsidRPr="00297685">
        <w:rPr>
          <w:rFonts w:ascii="Calibri" w:hAnsi="Calibri" w:cs="Calibri"/>
          <w:i/>
          <w:iCs/>
          <w:sz w:val="18"/>
          <w:szCs w:val="18"/>
        </w:rPr>
        <w:t>et al.</w:t>
      </w:r>
      <w:r w:rsidRPr="00297685">
        <w:rPr>
          <w:rFonts w:ascii="Calibri" w:hAnsi="Calibri" w:cs="Calibri"/>
          <w:sz w:val="18"/>
          <w:szCs w:val="18"/>
        </w:rPr>
        <w:t xml:space="preserve"> Protein from renewable resources: mycoprotein production from agricultural residues. </w:t>
      </w:r>
      <w:r w:rsidRPr="00297685">
        <w:rPr>
          <w:rFonts w:ascii="Calibri" w:hAnsi="Calibri" w:cs="Calibri"/>
          <w:i/>
          <w:iCs/>
          <w:sz w:val="18"/>
          <w:szCs w:val="18"/>
        </w:rPr>
        <w:t>Green Chem.</w:t>
      </w:r>
      <w:r w:rsidRPr="00297685">
        <w:rPr>
          <w:rFonts w:ascii="Calibri" w:hAnsi="Calibri" w:cs="Calibri"/>
          <w:sz w:val="18"/>
          <w:szCs w:val="18"/>
        </w:rPr>
        <w:t xml:space="preserve"> </w:t>
      </w:r>
      <w:r w:rsidRPr="00297685">
        <w:rPr>
          <w:rFonts w:ascii="Calibri" w:hAnsi="Calibri" w:cs="Calibri"/>
          <w:b/>
          <w:bCs/>
          <w:sz w:val="18"/>
          <w:szCs w:val="18"/>
        </w:rPr>
        <w:t>23</w:t>
      </w:r>
      <w:r w:rsidRPr="00297685">
        <w:rPr>
          <w:rFonts w:ascii="Calibri" w:hAnsi="Calibri" w:cs="Calibri"/>
          <w:sz w:val="18"/>
          <w:szCs w:val="18"/>
        </w:rPr>
        <w:t>, 5150–5165 (2021).</w:t>
      </w:r>
    </w:p>
    <w:p w14:paraId="2E5C18E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132.</w:t>
      </w:r>
      <w:r w:rsidRPr="00297685">
        <w:rPr>
          <w:rFonts w:ascii="Calibri" w:hAnsi="Calibri" w:cs="Calibri"/>
          <w:sz w:val="18"/>
          <w:szCs w:val="18"/>
        </w:rPr>
        <w:tab/>
        <w:t xml:space="preserve">Voutilainen, E., Pihlajaniemi, V. &amp; Parviainen, T. Economic comparison of food protein production with single-cell organisms from lignocellulose side-streams. </w:t>
      </w:r>
      <w:r w:rsidRPr="00297685">
        <w:rPr>
          <w:rFonts w:ascii="Calibri" w:hAnsi="Calibri" w:cs="Calibri"/>
          <w:i/>
          <w:iCs/>
          <w:sz w:val="18"/>
          <w:szCs w:val="18"/>
        </w:rPr>
        <w:t>Bioresour. Technol. Rep.</w:t>
      </w:r>
      <w:r w:rsidRPr="00297685">
        <w:rPr>
          <w:rFonts w:ascii="Calibri" w:hAnsi="Calibri" w:cs="Calibri"/>
          <w:sz w:val="18"/>
          <w:szCs w:val="18"/>
        </w:rPr>
        <w:t xml:space="preserve"> </w:t>
      </w:r>
      <w:r w:rsidRPr="00297685">
        <w:rPr>
          <w:rFonts w:ascii="Calibri" w:hAnsi="Calibri" w:cs="Calibri"/>
          <w:b/>
          <w:bCs/>
          <w:sz w:val="18"/>
          <w:szCs w:val="18"/>
        </w:rPr>
        <w:t>14</w:t>
      </w:r>
      <w:r w:rsidRPr="00297685">
        <w:rPr>
          <w:rFonts w:ascii="Calibri" w:hAnsi="Calibri" w:cs="Calibri"/>
          <w:sz w:val="18"/>
          <w:szCs w:val="18"/>
        </w:rPr>
        <w:t>, 100683 (2021).</w:t>
      </w:r>
    </w:p>
    <w:p w14:paraId="1E355195" w14:textId="1B8AF4C1"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133.</w:t>
      </w:r>
      <w:r w:rsidRPr="00297685">
        <w:rPr>
          <w:rFonts w:ascii="Calibri" w:hAnsi="Calibri" w:cs="Calibri"/>
          <w:sz w:val="18"/>
          <w:szCs w:val="18"/>
        </w:rPr>
        <w:tab/>
        <w:t xml:space="preserve">Møller, H., Samsonstuen, S., Øverland, M., Modahl, I. S. &amp; Olsen, H. F. Local non-food yeast protein in pig production - environmental impacts and land use efficiency. </w:t>
      </w:r>
      <w:r w:rsidRPr="00297685">
        <w:rPr>
          <w:rFonts w:ascii="Calibri" w:hAnsi="Calibri" w:cs="Calibri"/>
          <w:i/>
          <w:iCs/>
          <w:sz w:val="18"/>
          <w:szCs w:val="18"/>
        </w:rPr>
        <w:t>Livest. Sci.</w:t>
      </w:r>
      <w:r w:rsidRPr="00297685">
        <w:rPr>
          <w:rFonts w:ascii="Calibri" w:hAnsi="Calibri" w:cs="Calibri"/>
          <w:sz w:val="18"/>
          <w:szCs w:val="18"/>
        </w:rPr>
        <w:t xml:space="preserve"> 104925 (2022).</w:t>
      </w:r>
    </w:p>
    <w:p w14:paraId="7E8782EA"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134.</w:t>
      </w:r>
      <w:r w:rsidRPr="00297685">
        <w:rPr>
          <w:rFonts w:ascii="Calibri" w:hAnsi="Calibri" w:cs="Calibri"/>
          <w:sz w:val="18"/>
          <w:szCs w:val="18"/>
        </w:rPr>
        <w:tab/>
        <w:t xml:space="preserve">Throup, J. </w:t>
      </w:r>
      <w:r w:rsidRPr="00297685">
        <w:rPr>
          <w:rFonts w:ascii="Calibri" w:hAnsi="Calibri" w:cs="Calibri"/>
          <w:i/>
          <w:iCs/>
          <w:sz w:val="18"/>
          <w:szCs w:val="18"/>
        </w:rPr>
        <w:t>et al.</w:t>
      </w:r>
      <w:r w:rsidRPr="00297685">
        <w:rPr>
          <w:rFonts w:ascii="Calibri" w:hAnsi="Calibri" w:cs="Calibri"/>
          <w:sz w:val="18"/>
          <w:szCs w:val="18"/>
        </w:rPr>
        <w:t xml:space="preserve"> Rapid repurposing of pulp and paper mills, biorefineries, and breweries for lignocellulosic sugar production in global food catastrophes. </w:t>
      </w:r>
      <w:r w:rsidRPr="00297685">
        <w:rPr>
          <w:rFonts w:ascii="Calibri" w:hAnsi="Calibri" w:cs="Calibri"/>
          <w:i/>
          <w:iCs/>
          <w:sz w:val="18"/>
          <w:szCs w:val="18"/>
        </w:rPr>
        <w:t>Food and Bioproducts Processing</w:t>
      </w:r>
      <w:r w:rsidRPr="00297685">
        <w:rPr>
          <w:rFonts w:ascii="Calibri" w:hAnsi="Calibri" w:cs="Calibri"/>
          <w:sz w:val="18"/>
          <w:szCs w:val="18"/>
        </w:rPr>
        <w:t xml:space="preserve"> </w:t>
      </w:r>
      <w:r w:rsidRPr="00297685">
        <w:rPr>
          <w:rFonts w:ascii="Calibri" w:hAnsi="Calibri" w:cs="Calibri"/>
          <w:b/>
          <w:bCs/>
          <w:sz w:val="18"/>
          <w:szCs w:val="18"/>
        </w:rPr>
        <w:t>131</w:t>
      </w:r>
      <w:r w:rsidRPr="00297685">
        <w:rPr>
          <w:rFonts w:ascii="Calibri" w:hAnsi="Calibri" w:cs="Calibri"/>
          <w:sz w:val="18"/>
          <w:szCs w:val="18"/>
        </w:rPr>
        <w:t>, 22–39 (2022).</w:t>
      </w:r>
    </w:p>
    <w:p w14:paraId="2FB6374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135.</w:t>
      </w:r>
      <w:r w:rsidRPr="00297685">
        <w:rPr>
          <w:rFonts w:ascii="Calibri" w:hAnsi="Calibri" w:cs="Calibri"/>
          <w:sz w:val="18"/>
          <w:szCs w:val="18"/>
        </w:rPr>
        <w:tab/>
        <w:t xml:space="preserve">Davis, R. E. </w:t>
      </w:r>
      <w:r w:rsidRPr="00297685">
        <w:rPr>
          <w:rFonts w:ascii="Calibri" w:hAnsi="Calibri" w:cs="Calibri"/>
          <w:i/>
          <w:iCs/>
          <w:sz w:val="18"/>
          <w:szCs w:val="18"/>
        </w:rPr>
        <w:t>et al.</w:t>
      </w:r>
      <w:r w:rsidRPr="00297685">
        <w:rPr>
          <w:rFonts w:ascii="Calibri" w:hAnsi="Calibri" w:cs="Calibri"/>
          <w:sz w:val="18"/>
          <w:szCs w:val="18"/>
        </w:rPr>
        <w:t xml:space="preserve"> </w:t>
      </w:r>
      <w:r w:rsidRPr="00297685">
        <w:rPr>
          <w:rFonts w:ascii="Calibri" w:hAnsi="Calibri" w:cs="Calibri"/>
          <w:i/>
          <w:iCs/>
          <w:sz w:val="18"/>
          <w:szCs w:val="18"/>
        </w:rPr>
        <w:t>Process Design and Economics for the Conversion of Lignocellulosic Biomass to Hydrocarbon Fuels and Coproducts: 2018 Biochemical Design Case Update; Biochemical Deconstruction and Conversion of Biomass to Fuels and Products via Integrated Biorefinery Pathways</w:t>
      </w:r>
      <w:r w:rsidRPr="00297685">
        <w:rPr>
          <w:rFonts w:ascii="Calibri" w:hAnsi="Calibri" w:cs="Calibri"/>
          <w:sz w:val="18"/>
          <w:szCs w:val="18"/>
        </w:rPr>
        <w:t>. NREL/TP--5100-71949, 1483234 http://www.osti.gov/servlets/purl/1483234/ (2018) doi:10.2172/1483234.</w:t>
      </w:r>
    </w:p>
    <w:p w14:paraId="7C738AC3"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136.</w:t>
      </w:r>
      <w:r w:rsidRPr="00297685">
        <w:rPr>
          <w:rFonts w:ascii="Calibri" w:hAnsi="Calibri" w:cs="Calibri"/>
          <w:sz w:val="18"/>
          <w:szCs w:val="18"/>
        </w:rPr>
        <w:tab/>
        <w:t xml:space="preserve">Blanco, J., Iglesias, J., Morales, G., Melero, J. A. &amp; Moreno, J. Comparative Life Cycle Assessment of Glucose Production from Maize Starch and Woody Biomass Residues as a Feedstock. </w:t>
      </w:r>
      <w:r w:rsidRPr="00297685">
        <w:rPr>
          <w:rFonts w:ascii="Calibri" w:hAnsi="Calibri" w:cs="Calibri"/>
          <w:i/>
          <w:iCs/>
          <w:sz w:val="18"/>
          <w:szCs w:val="18"/>
        </w:rPr>
        <w:t>Applied Sciences</w:t>
      </w:r>
      <w:r w:rsidRPr="00297685">
        <w:rPr>
          <w:rFonts w:ascii="Calibri" w:hAnsi="Calibri" w:cs="Calibri"/>
          <w:sz w:val="18"/>
          <w:szCs w:val="18"/>
        </w:rPr>
        <w:t xml:space="preserve"> </w:t>
      </w:r>
      <w:r w:rsidRPr="00297685">
        <w:rPr>
          <w:rFonts w:ascii="Calibri" w:hAnsi="Calibri" w:cs="Calibri"/>
          <w:b/>
          <w:bCs/>
          <w:sz w:val="18"/>
          <w:szCs w:val="18"/>
        </w:rPr>
        <w:t>10</w:t>
      </w:r>
      <w:r w:rsidRPr="00297685">
        <w:rPr>
          <w:rFonts w:ascii="Calibri" w:hAnsi="Calibri" w:cs="Calibri"/>
          <w:sz w:val="18"/>
          <w:szCs w:val="18"/>
        </w:rPr>
        <w:t>, 2946 (2020).</w:t>
      </w:r>
    </w:p>
    <w:p w14:paraId="779F5139"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137.</w:t>
      </w:r>
      <w:r w:rsidRPr="00297685">
        <w:rPr>
          <w:rFonts w:ascii="Calibri" w:hAnsi="Calibri" w:cs="Calibri"/>
          <w:sz w:val="18"/>
          <w:szCs w:val="18"/>
        </w:rPr>
        <w:tab/>
        <w:t xml:space="preserve">Bello, S., Salim, I., Feijoo, G. &amp; Moreira, M. T. Inventory review and environmental evaluation of first- and second-generation sugars through life cycle assessment. </w:t>
      </w:r>
      <w:r w:rsidRPr="00297685">
        <w:rPr>
          <w:rFonts w:ascii="Calibri" w:hAnsi="Calibri" w:cs="Calibri"/>
          <w:i/>
          <w:iCs/>
          <w:sz w:val="18"/>
          <w:szCs w:val="18"/>
        </w:rPr>
        <w:t>Environ. Sci. Pollut. Res.</w:t>
      </w:r>
      <w:r w:rsidRPr="00297685">
        <w:rPr>
          <w:rFonts w:ascii="Calibri" w:hAnsi="Calibri" w:cs="Calibri"/>
          <w:sz w:val="18"/>
          <w:szCs w:val="18"/>
        </w:rPr>
        <w:t xml:space="preserve"> </w:t>
      </w:r>
      <w:r w:rsidRPr="00297685">
        <w:rPr>
          <w:rFonts w:ascii="Calibri" w:hAnsi="Calibri" w:cs="Calibri"/>
          <w:b/>
          <w:bCs/>
          <w:sz w:val="18"/>
          <w:szCs w:val="18"/>
        </w:rPr>
        <w:t>28</w:t>
      </w:r>
      <w:r w:rsidRPr="00297685">
        <w:rPr>
          <w:rFonts w:ascii="Calibri" w:hAnsi="Calibri" w:cs="Calibri"/>
          <w:sz w:val="18"/>
          <w:szCs w:val="18"/>
        </w:rPr>
        <w:t>, 27345–27361 (2021).</w:t>
      </w:r>
    </w:p>
    <w:p w14:paraId="35FBF79C"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138.</w:t>
      </w:r>
      <w:r w:rsidRPr="00297685">
        <w:rPr>
          <w:rFonts w:ascii="Calibri" w:hAnsi="Calibri" w:cs="Calibri"/>
          <w:sz w:val="18"/>
          <w:szCs w:val="18"/>
        </w:rPr>
        <w:tab/>
        <w:t xml:space="preserve">Fabbri, S., Owsianiak, M. &amp; Hauschild, M. Z. Evaluation of sugar feedstocks for bio-based chemicals: A consequential, regionalized life cycle assessment. </w:t>
      </w:r>
      <w:r w:rsidRPr="00297685">
        <w:rPr>
          <w:rFonts w:ascii="Calibri" w:hAnsi="Calibri" w:cs="Calibri"/>
          <w:i/>
          <w:iCs/>
          <w:sz w:val="18"/>
          <w:szCs w:val="18"/>
        </w:rPr>
        <w:t>GCB Bioenergy</w:t>
      </w:r>
      <w:r w:rsidRPr="00297685">
        <w:rPr>
          <w:rFonts w:ascii="Calibri" w:hAnsi="Calibri" w:cs="Calibri"/>
          <w:sz w:val="18"/>
          <w:szCs w:val="18"/>
        </w:rPr>
        <w:t xml:space="preserve"> </w:t>
      </w:r>
      <w:r w:rsidRPr="00297685">
        <w:rPr>
          <w:rFonts w:ascii="Calibri" w:hAnsi="Calibri" w:cs="Calibri"/>
          <w:b/>
          <w:bCs/>
          <w:sz w:val="18"/>
          <w:szCs w:val="18"/>
        </w:rPr>
        <w:t>15</w:t>
      </w:r>
      <w:r w:rsidRPr="00297685">
        <w:rPr>
          <w:rFonts w:ascii="Calibri" w:hAnsi="Calibri" w:cs="Calibri"/>
          <w:sz w:val="18"/>
          <w:szCs w:val="18"/>
        </w:rPr>
        <w:t>, 72–87 (2023).</w:t>
      </w:r>
    </w:p>
    <w:p w14:paraId="1E56F7E9"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139.</w:t>
      </w:r>
      <w:r w:rsidRPr="00297685">
        <w:rPr>
          <w:rFonts w:ascii="Calibri" w:hAnsi="Calibri" w:cs="Calibri"/>
          <w:sz w:val="18"/>
          <w:szCs w:val="18"/>
        </w:rPr>
        <w:tab/>
        <w:t>Smetana, S., Mathys, A., Knoch, A. &amp; Heinz, V. Sustainability of meat substitutes: a path to future foods? 7 (2015).</w:t>
      </w:r>
    </w:p>
    <w:p w14:paraId="0971702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140.</w:t>
      </w:r>
      <w:r w:rsidRPr="00297685">
        <w:rPr>
          <w:rFonts w:ascii="Calibri" w:hAnsi="Calibri" w:cs="Calibri"/>
          <w:sz w:val="18"/>
          <w:szCs w:val="18"/>
        </w:rPr>
        <w:tab/>
        <w:t>Nonhebel, S. &amp; Raats, J. Environmental impacts of meat substitutes: comparison between Quorn and pork. in 73–75 (2007).</w:t>
      </w:r>
    </w:p>
    <w:p w14:paraId="5FE7443B"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lastRenderedPageBreak/>
        <w:t>141.</w:t>
      </w:r>
      <w:r w:rsidRPr="00297685">
        <w:rPr>
          <w:rFonts w:ascii="Calibri" w:hAnsi="Calibri" w:cs="Calibri"/>
          <w:sz w:val="18"/>
          <w:szCs w:val="18"/>
        </w:rPr>
        <w:tab/>
        <w:t xml:space="preserve">Potter, H. K., Lundmark, L. &amp; Röös, E. </w:t>
      </w:r>
      <w:r w:rsidRPr="00297685">
        <w:rPr>
          <w:rFonts w:ascii="Calibri" w:hAnsi="Calibri" w:cs="Calibri"/>
          <w:i/>
          <w:iCs/>
          <w:sz w:val="18"/>
          <w:szCs w:val="18"/>
        </w:rPr>
        <w:t>Environmental Impact of Plant-Based Foods</w:t>
      </w:r>
      <w:r w:rsidRPr="00297685">
        <w:rPr>
          <w:rFonts w:ascii="Calibri" w:hAnsi="Calibri" w:cs="Calibri"/>
          <w:sz w:val="18"/>
          <w:szCs w:val="18"/>
        </w:rPr>
        <w:t>. 170 (2020).</w:t>
      </w:r>
    </w:p>
    <w:p w14:paraId="463165A6"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142.</w:t>
      </w:r>
      <w:r w:rsidRPr="00297685">
        <w:rPr>
          <w:rFonts w:ascii="Calibri" w:hAnsi="Calibri" w:cs="Calibri"/>
          <w:sz w:val="18"/>
          <w:szCs w:val="18"/>
        </w:rPr>
        <w:tab/>
        <w:t xml:space="preserve">Risner, D., McDonald, K. A., Jones, C. &amp; Spang, E. S. A techno-economic model of mycoprotein production: achieving price parity with beef protein. </w:t>
      </w:r>
      <w:r w:rsidRPr="00297685">
        <w:rPr>
          <w:rFonts w:ascii="Calibri" w:hAnsi="Calibri" w:cs="Calibri"/>
          <w:i/>
          <w:iCs/>
          <w:sz w:val="18"/>
          <w:szCs w:val="18"/>
        </w:rPr>
        <w:t>Front. Sustain. Food Syst.</w:t>
      </w:r>
      <w:r w:rsidRPr="00297685">
        <w:rPr>
          <w:rFonts w:ascii="Calibri" w:hAnsi="Calibri" w:cs="Calibri"/>
          <w:sz w:val="18"/>
          <w:szCs w:val="18"/>
        </w:rPr>
        <w:t xml:space="preserve"> </w:t>
      </w:r>
      <w:r w:rsidRPr="00297685">
        <w:rPr>
          <w:rFonts w:ascii="Calibri" w:hAnsi="Calibri" w:cs="Calibri"/>
          <w:b/>
          <w:bCs/>
          <w:sz w:val="18"/>
          <w:szCs w:val="18"/>
        </w:rPr>
        <w:t>7</w:t>
      </w:r>
      <w:r w:rsidRPr="00297685">
        <w:rPr>
          <w:rFonts w:ascii="Calibri" w:hAnsi="Calibri" w:cs="Calibri"/>
          <w:sz w:val="18"/>
          <w:szCs w:val="18"/>
        </w:rPr>
        <w:t>, (2023).</w:t>
      </w:r>
    </w:p>
    <w:p w14:paraId="70155F74"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143.</w:t>
      </w:r>
      <w:r w:rsidRPr="00297685">
        <w:rPr>
          <w:rFonts w:ascii="Calibri" w:hAnsi="Calibri" w:cs="Calibri"/>
          <w:sz w:val="18"/>
          <w:szCs w:val="18"/>
        </w:rPr>
        <w:tab/>
        <w:t xml:space="preserve">Nair, R., Kabir, M., Lennartsson, P., Taherzadeh, M. &amp; Horváth, I. Integrated Process for Ethanol, Biogas, and Edible Filamentous Fungi-Based Animal Feed Production from Dilute Phosphoric Acid-Pretreated Wheat Straw. </w:t>
      </w:r>
      <w:r w:rsidRPr="00297685">
        <w:rPr>
          <w:rFonts w:ascii="Calibri" w:hAnsi="Calibri" w:cs="Calibri"/>
          <w:i/>
          <w:iCs/>
          <w:sz w:val="18"/>
          <w:szCs w:val="18"/>
        </w:rPr>
        <w:t>Applied Biochemistry and Biotechnology</w:t>
      </w:r>
      <w:r w:rsidRPr="00297685">
        <w:rPr>
          <w:rFonts w:ascii="Calibri" w:hAnsi="Calibri" w:cs="Calibri"/>
          <w:sz w:val="18"/>
          <w:szCs w:val="18"/>
        </w:rPr>
        <w:t xml:space="preserve"> </w:t>
      </w:r>
      <w:r w:rsidRPr="00297685">
        <w:rPr>
          <w:rFonts w:ascii="Calibri" w:hAnsi="Calibri" w:cs="Calibri"/>
          <w:b/>
          <w:bCs/>
          <w:sz w:val="18"/>
          <w:szCs w:val="18"/>
        </w:rPr>
        <w:t>184</w:t>
      </w:r>
      <w:r w:rsidRPr="00297685">
        <w:rPr>
          <w:rFonts w:ascii="Calibri" w:hAnsi="Calibri" w:cs="Calibri"/>
          <w:sz w:val="18"/>
          <w:szCs w:val="18"/>
        </w:rPr>
        <w:t>, 48–62 (2018).</w:t>
      </w:r>
    </w:p>
    <w:p w14:paraId="7EFBD049"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144.</w:t>
      </w:r>
      <w:r w:rsidRPr="00297685">
        <w:rPr>
          <w:rFonts w:ascii="Calibri" w:hAnsi="Calibri" w:cs="Calibri"/>
          <w:sz w:val="18"/>
          <w:szCs w:val="18"/>
        </w:rPr>
        <w:tab/>
        <w:t xml:space="preserve">Ivarson, K. C. &amp; Morita, H. Single-Cell Protein Production by the Acid-Tolerant Fungus Scytalidium acidophilum from Acid Hydrolysates of Waste Paper. </w:t>
      </w:r>
      <w:r w:rsidRPr="00297685">
        <w:rPr>
          <w:rFonts w:ascii="Calibri" w:hAnsi="Calibri" w:cs="Calibri"/>
          <w:i/>
          <w:iCs/>
          <w:sz w:val="18"/>
          <w:szCs w:val="18"/>
        </w:rPr>
        <w:t>Appl Environ Microbiol</w:t>
      </w:r>
      <w:r w:rsidRPr="00297685">
        <w:rPr>
          <w:rFonts w:ascii="Calibri" w:hAnsi="Calibri" w:cs="Calibri"/>
          <w:sz w:val="18"/>
          <w:szCs w:val="18"/>
        </w:rPr>
        <w:t xml:space="preserve"> </w:t>
      </w:r>
      <w:r w:rsidRPr="00297685">
        <w:rPr>
          <w:rFonts w:ascii="Calibri" w:hAnsi="Calibri" w:cs="Calibri"/>
          <w:b/>
          <w:bCs/>
          <w:sz w:val="18"/>
          <w:szCs w:val="18"/>
        </w:rPr>
        <w:t>43</w:t>
      </w:r>
      <w:r w:rsidRPr="00297685">
        <w:rPr>
          <w:rFonts w:ascii="Calibri" w:hAnsi="Calibri" w:cs="Calibri"/>
          <w:sz w:val="18"/>
          <w:szCs w:val="18"/>
        </w:rPr>
        <w:t>, 643–647 (1982).</w:t>
      </w:r>
    </w:p>
    <w:p w14:paraId="1D72772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145.</w:t>
      </w:r>
      <w:r w:rsidRPr="00297685">
        <w:rPr>
          <w:rFonts w:ascii="Calibri" w:hAnsi="Calibri" w:cs="Calibri"/>
          <w:sz w:val="18"/>
          <w:szCs w:val="18"/>
        </w:rPr>
        <w:tab/>
        <w:t>Nature’s Fynd. A food company for optimists. https://www.naturesfynd.com/origin-story (2021).</w:t>
      </w:r>
    </w:p>
    <w:p w14:paraId="4B511B8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146.</w:t>
      </w:r>
      <w:r w:rsidRPr="00297685">
        <w:rPr>
          <w:rFonts w:ascii="Calibri" w:hAnsi="Calibri" w:cs="Calibri"/>
          <w:sz w:val="18"/>
          <w:szCs w:val="18"/>
        </w:rPr>
        <w:tab/>
        <w:t xml:space="preserve">Ochsenreither, K., Glück, C., Stressler, T., Fischer, L. &amp; Syldatk, C. Production Strategies and Applications of Microbial Single Cell Oils. </w:t>
      </w:r>
      <w:r w:rsidRPr="00297685">
        <w:rPr>
          <w:rFonts w:ascii="Calibri" w:hAnsi="Calibri" w:cs="Calibri"/>
          <w:i/>
          <w:iCs/>
          <w:sz w:val="18"/>
          <w:szCs w:val="18"/>
        </w:rPr>
        <w:t>Front. Microbiol.</w:t>
      </w:r>
      <w:r w:rsidRPr="00297685">
        <w:rPr>
          <w:rFonts w:ascii="Calibri" w:hAnsi="Calibri" w:cs="Calibri"/>
          <w:sz w:val="18"/>
          <w:szCs w:val="18"/>
        </w:rPr>
        <w:t xml:space="preserve"> </w:t>
      </w:r>
      <w:r w:rsidRPr="00297685">
        <w:rPr>
          <w:rFonts w:ascii="Calibri" w:hAnsi="Calibri" w:cs="Calibri"/>
          <w:b/>
          <w:bCs/>
          <w:sz w:val="18"/>
          <w:szCs w:val="18"/>
        </w:rPr>
        <w:t>7</w:t>
      </w:r>
      <w:r w:rsidRPr="00297685">
        <w:rPr>
          <w:rFonts w:ascii="Calibri" w:hAnsi="Calibri" w:cs="Calibri"/>
          <w:sz w:val="18"/>
          <w:szCs w:val="18"/>
        </w:rPr>
        <w:t>, 1539 (2016).</w:t>
      </w:r>
    </w:p>
    <w:p w14:paraId="019920F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147.</w:t>
      </w:r>
      <w:r w:rsidRPr="00297685">
        <w:rPr>
          <w:rFonts w:ascii="Calibri" w:hAnsi="Calibri" w:cs="Calibri"/>
          <w:sz w:val="18"/>
          <w:szCs w:val="18"/>
        </w:rPr>
        <w:tab/>
        <w:t>Arbiom. Wood to Food. https://arbiom.com/ (2020).</w:t>
      </w:r>
    </w:p>
    <w:p w14:paraId="6A939726"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148.</w:t>
      </w:r>
      <w:r w:rsidRPr="00297685">
        <w:rPr>
          <w:rFonts w:ascii="Calibri" w:hAnsi="Calibri" w:cs="Calibri"/>
          <w:sz w:val="18"/>
          <w:szCs w:val="18"/>
        </w:rPr>
        <w:tab/>
        <w:t>Fazenda, M., Johnston, C. &amp; Mcneil, B. Bioprocess for coproduction of ethanol and mycoproteins. (2017).</w:t>
      </w:r>
    </w:p>
    <w:p w14:paraId="3B1A75B5"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149.</w:t>
      </w:r>
      <w:r w:rsidRPr="00297685">
        <w:rPr>
          <w:rFonts w:ascii="Calibri" w:hAnsi="Calibri" w:cs="Calibri"/>
          <w:sz w:val="18"/>
          <w:szCs w:val="18"/>
        </w:rPr>
        <w:tab/>
        <w:t xml:space="preserve">Omar, S. S., Merrifield, D. L., Kühlwein, H., Williams, P. E. V. &amp; Davies, S. J. Biofuel derived yeast protein concentrate (YPC) as a novel feed ingredient in carp diets. </w:t>
      </w:r>
      <w:r w:rsidRPr="00297685">
        <w:rPr>
          <w:rFonts w:ascii="Calibri" w:hAnsi="Calibri" w:cs="Calibri"/>
          <w:i/>
          <w:iCs/>
          <w:sz w:val="18"/>
          <w:szCs w:val="18"/>
        </w:rPr>
        <w:t>Aquaculture</w:t>
      </w:r>
      <w:r w:rsidRPr="00297685">
        <w:rPr>
          <w:rFonts w:ascii="Calibri" w:hAnsi="Calibri" w:cs="Calibri"/>
          <w:sz w:val="18"/>
          <w:szCs w:val="18"/>
        </w:rPr>
        <w:t xml:space="preserve"> </w:t>
      </w:r>
      <w:r w:rsidRPr="00297685">
        <w:rPr>
          <w:rFonts w:ascii="Calibri" w:hAnsi="Calibri" w:cs="Calibri"/>
          <w:b/>
          <w:bCs/>
          <w:sz w:val="18"/>
          <w:szCs w:val="18"/>
        </w:rPr>
        <w:t>330–333</w:t>
      </w:r>
      <w:r w:rsidRPr="00297685">
        <w:rPr>
          <w:rFonts w:ascii="Calibri" w:hAnsi="Calibri" w:cs="Calibri"/>
          <w:sz w:val="18"/>
          <w:szCs w:val="18"/>
        </w:rPr>
        <w:t>, 54–62 (2012).</w:t>
      </w:r>
    </w:p>
    <w:p w14:paraId="01226B16"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150.</w:t>
      </w:r>
      <w:r w:rsidRPr="00297685">
        <w:rPr>
          <w:rFonts w:ascii="Calibri" w:hAnsi="Calibri" w:cs="Calibri"/>
          <w:sz w:val="18"/>
          <w:szCs w:val="18"/>
        </w:rPr>
        <w:tab/>
        <w:t xml:space="preserve">Kim, S. R., Eckert, C. A. &amp; Mazzoli, R. Editorial: Microorganisms for Consolidated 2nd Generation Biorefining. </w:t>
      </w:r>
      <w:r w:rsidRPr="00297685">
        <w:rPr>
          <w:rFonts w:ascii="Calibri" w:hAnsi="Calibri" w:cs="Calibri"/>
          <w:i/>
          <w:iCs/>
          <w:sz w:val="18"/>
          <w:szCs w:val="18"/>
        </w:rPr>
        <w:t>Front. Microbiol.</w:t>
      </w:r>
      <w:r w:rsidRPr="00297685">
        <w:rPr>
          <w:rFonts w:ascii="Calibri" w:hAnsi="Calibri" w:cs="Calibri"/>
          <w:sz w:val="18"/>
          <w:szCs w:val="18"/>
        </w:rPr>
        <w:t xml:space="preserve"> </w:t>
      </w:r>
      <w:r w:rsidRPr="00297685">
        <w:rPr>
          <w:rFonts w:ascii="Calibri" w:hAnsi="Calibri" w:cs="Calibri"/>
          <w:b/>
          <w:bCs/>
          <w:sz w:val="18"/>
          <w:szCs w:val="18"/>
        </w:rPr>
        <w:t>13</w:t>
      </w:r>
      <w:r w:rsidRPr="00297685">
        <w:rPr>
          <w:rFonts w:ascii="Calibri" w:hAnsi="Calibri" w:cs="Calibri"/>
          <w:sz w:val="18"/>
          <w:szCs w:val="18"/>
        </w:rPr>
        <w:t>, 940610 (2022).</w:t>
      </w:r>
    </w:p>
    <w:p w14:paraId="2072E5AA"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151.</w:t>
      </w:r>
      <w:r w:rsidRPr="00297685">
        <w:rPr>
          <w:rFonts w:ascii="Calibri" w:hAnsi="Calibri" w:cs="Calibri"/>
          <w:sz w:val="18"/>
          <w:szCs w:val="18"/>
        </w:rPr>
        <w:tab/>
        <w:t>Nickel, D. B. Process development for platform chemical production from agricultural and forestry residues. (Chalmers University of Technology, Gothenburg, 2021).</w:t>
      </w:r>
    </w:p>
    <w:p w14:paraId="72E166D9" w14:textId="1971DAF6"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152.</w:t>
      </w:r>
      <w:r w:rsidRPr="00297685">
        <w:rPr>
          <w:rFonts w:ascii="Calibri" w:hAnsi="Calibri" w:cs="Calibri"/>
          <w:sz w:val="18"/>
          <w:szCs w:val="18"/>
        </w:rPr>
        <w:tab/>
        <w:t xml:space="preserve">Asim, A. M., Uroos, M., Muhammad, N. &amp; Hallett, J. P. Production of Food-Grade Glucose from Rice and Wheat Residues Using a Biocompatible Ionic Liquid. </w:t>
      </w:r>
      <w:r w:rsidRPr="00297685">
        <w:rPr>
          <w:rFonts w:ascii="Calibri" w:hAnsi="Calibri" w:cs="Calibri"/>
          <w:i/>
          <w:iCs/>
          <w:sz w:val="18"/>
          <w:szCs w:val="18"/>
        </w:rPr>
        <w:t>ACS Sustainable Chem. Eng.</w:t>
      </w:r>
      <w:r w:rsidRPr="00297685">
        <w:rPr>
          <w:rFonts w:ascii="Calibri" w:hAnsi="Calibri" w:cs="Calibri"/>
          <w:sz w:val="18"/>
          <w:szCs w:val="18"/>
        </w:rPr>
        <w:t xml:space="preserve"> (2021).</w:t>
      </w:r>
    </w:p>
    <w:p w14:paraId="4C339219"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153.</w:t>
      </w:r>
      <w:r w:rsidRPr="00297685">
        <w:rPr>
          <w:rFonts w:ascii="Calibri" w:hAnsi="Calibri" w:cs="Calibri"/>
          <w:sz w:val="18"/>
          <w:szCs w:val="18"/>
        </w:rPr>
        <w:tab/>
        <w:t xml:space="preserve">Lin, X., Jiang, K., Liu, X., Han, D. &amp; Zhang, Q. Review on development of ionic liquids in lignocellulosic biomass refining. </w:t>
      </w:r>
      <w:r w:rsidRPr="00297685">
        <w:rPr>
          <w:rFonts w:ascii="Calibri" w:hAnsi="Calibri" w:cs="Calibri"/>
          <w:i/>
          <w:iCs/>
          <w:sz w:val="18"/>
          <w:szCs w:val="18"/>
        </w:rPr>
        <w:t>Journal of Molecular Liquids</w:t>
      </w:r>
      <w:r w:rsidRPr="00297685">
        <w:rPr>
          <w:rFonts w:ascii="Calibri" w:hAnsi="Calibri" w:cs="Calibri"/>
          <w:sz w:val="18"/>
          <w:szCs w:val="18"/>
        </w:rPr>
        <w:t xml:space="preserve"> </w:t>
      </w:r>
      <w:r w:rsidRPr="00297685">
        <w:rPr>
          <w:rFonts w:ascii="Calibri" w:hAnsi="Calibri" w:cs="Calibri"/>
          <w:b/>
          <w:bCs/>
          <w:sz w:val="18"/>
          <w:szCs w:val="18"/>
        </w:rPr>
        <w:t>359</w:t>
      </w:r>
      <w:r w:rsidRPr="00297685">
        <w:rPr>
          <w:rFonts w:ascii="Calibri" w:hAnsi="Calibri" w:cs="Calibri"/>
          <w:sz w:val="18"/>
          <w:szCs w:val="18"/>
        </w:rPr>
        <w:t>, 119326 (2022).</w:t>
      </w:r>
    </w:p>
    <w:p w14:paraId="7178A3AB"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154.</w:t>
      </w:r>
      <w:r w:rsidRPr="00297685">
        <w:rPr>
          <w:rFonts w:ascii="Calibri" w:hAnsi="Calibri" w:cs="Calibri"/>
          <w:sz w:val="18"/>
          <w:szCs w:val="18"/>
        </w:rPr>
        <w:tab/>
        <w:t xml:space="preserve">Halder, P. </w:t>
      </w:r>
      <w:r w:rsidRPr="00297685">
        <w:rPr>
          <w:rFonts w:ascii="Calibri" w:hAnsi="Calibri" w:cs="Calibri"/>
          <w:i/>
          <w:iCs/>
          <w:sz w:val="18"/>
          <w:szCs w:val="18"/>
        </w:rPr>
        <w:t>et al.</w:t>
      </w:r>
      <w:r w:rsidRPr="00297685">
        <w:rPr>
          <w:rFonts w:ascii="Calibri" w:hAnsi="Calibri" w:cs="Calibri"/>
          <w:sz w:val="18"/>
          <w:szCs w:val="18"/>
        </w:rPr>
        <w:t xml:space="preserve"> Progress on the pre-treatment of lignocellulosic biomass employing ionic liquids. </w:t>
      </w:r>
      <w:r w:rsidRPr="00297685">
        <w:rPr>
          <w:rFonts w:ascii="Calibri" w:hAnsi="Calibri" w:cs="Calibri"/>
          <w:i/>
          <w:iCs/>
          <w:sz w:val="18"/>
          <w:szCs w:val="18"/>
        </w:rPr>
        <w:t>Renewable and Sustainable Energy Reviews</w:t>
      </w:r>
      <w:r w:rsidRPr="00297685">
        <w:rPr>
          <w:rFonts w:ascii="Calibri" w:hAnsi="Calibri" w:cs="Calibri"/>
          <w:sz w:val="18"/>
          <w:szCs w:val="18"/>
        </w:rPr>
        <w:t xml:space="preserve"> </w:t>
      </w:r>
      <w:r w:rsidRPr="00297685">
        <w:rPr>
          <w:rFonts w:ascii="Calibri" w:hAnsi="Calibri" w:cs="Calibri"/>
          <w:b/>
          <w:bCs/>
          <w:sz w:val="18"/>
          <w:szCs w:val="18"/>
        </w:rPr>
        <w:t>105</w:t>
      </w:r>
      <w:r w:rsidRPr="00297685">
        <w:rPr>
          <w:rFonts w:ascii="Calibri" w:hAnsi="Calibri" w:cs="Calibri"/>
          <w:sz w:val="18"/>
          <w:szCs w:val="18"/>
        </w:rPr>
        <w:t>, 268–292 (2019).</w:t>
      </w:r>
    </w:p>
    <w:p w14:paraId="3C2BC81D"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155.</w:t>
      </w:r>
      <w:r w:rsidRPr="00297685">
        <w:rPr>
          <w:rFonts w:ascii="Calibri" w:hAnsi="Calibri" w:cs="Calibri"/>
          <w:sz w:val="18"/>
          <w:szCs w:val="18"/>
        </w:rPr>
        <w:tab/>
        <w:t xml:space="preserve">Abouelela, A. R. </w:t>
      </w:r>
      <w:r w:rsidRPr="00297685">
        <w:rPr>
          <w:rFonts w:ascii="Calibri" w:hAnsi="Calibri" w:cs="Calibri"/>
          <w:i/>
          <w:iCs/>
          <w:sz w:val="18"/>
          <w:szCs w:val="18"/>
        </w:rPr>
        <w:t>et al.</w:t>
      </w:r>
      <w:r w:rsidRPr="00297685">
        <w:rPr>
          <w:rFonts w:ascii="Calibri" w:hAnsi="Calibri" w:cs="Calibri"/>
          <w:sz w:val="18"/>
          <w:szCs w:val="18"/>
        </w:rPr>
        <w:t xml:space="preserve"> Evaluating the Role of Water as a Cosolvent and an Antisolvent in [HSO </w:t>
      </w:r>
      <w:proofErr w:type="gramStart"/>
      <w:r w:rsidRPr="00297685">
        <w:rPr>
          <w:rFonts w:ascii="Calibri" w:hAnsi="Calibri" w:cs="Calibri"/>
          <w:sz w:val="18"/>
          <w:szCs w:val="18"/>
          <w:vertAlign w:val="subscript"/>
        </w:rPr>
        <w:t>4</w:t>
      </w:r>
      <w:r w:rsidRPr="00297685">
        <w:rPr>
          <w:rFonts w:ascii="Calibri" w:hAnsi="Calibri" w:cs="Calibri"/>
          <w:sz w:val="18"/>
          <w:szCs w:val="18"/>
        </w:rPr>
        <w:t xml:space="preserve"> ]</w:t>
      </w:r>
      <w:proofErr w:type="gramEnd"/>
      <w:r w:rsidRPr="00297685">
        <w:rPr>
          <w:rFonts w:ascii="Calibri" w:hAnsi="Calibri" w:cs="Calibri"/>
          <w:sz w:val="18"/>
          <w:szCs w:val="18"/>
        </w:rPr>
        <w:t xml:space="preserve">-Based Protic Ionic Liquid Pretreatment. </w:t>
      </w:r>
      <w:r w:rsidRPr="00297685">
        <w:rPr>
          <w:rFonts w:ascii="Calibri" w:hAnsi="Calibri" w:cs="Calibri"/>
          <w:i/>
          <w:iCs/>
          <w:sz w:val="18"/>
          <w:szCs w:val="18"/>
        </w:rPr>
        <w:t>ACS Sustainable Chem. Eng.</w:t>
      </w:r>
      <w:r w:rsidRPr="00297685">
        <w:rPr>
          <w:rFonts w:ascii="Calibri" w:hAnsi="Calibri" w:cs="Calibri"/>
          <w:sz w:val="18"/>
          <w:szCs w:val="18"/>
        </w:rPr>
        <w:t xml:space="preserve"> </w:t>
      </w:r>
      <w:r w:rsidRPr="00297685">
        <w:rPr>
          <w:rFonts w:ascii="Calibri" w:hAnsi="Calibri" w:cs="Calibri"/>
          <w:b/>
          <w:bCs/>
          <w:sz w:val="18"/>
          <w:szCs w:val="18"/>
        </w:rPr>
        <w:t>9</w:t>
      </w:r>
      <w:r w:rsidRPr="00297685">
        <w:rPr>
          <w:rFonts w:ascii="Calibri" w:hAnsi="Calibri" w:cs="Calibri"/>
          <w:sz w:val="18"/>
          <w:szCs w:val="18"/>
        </w:rPr>
        <w:t>, 10524–10536 (2021).</w:t>
      </w:r>
    </w:p>
    <w:p w14:paraId="76A8D713"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156.</w:t>
      </w:r>
      <w:r w:rsidRPr="00297685">
        <w:rPr>
          <w:rFonts w:ascii="Calibri" w:hAnsi="Calibri" w:cs="Calibri"/>
          <w:sz w:val="18"/>
          <w:szCs w:val="18"/>
        </w:rPr>
        <w:tab/>
        <w:t xml:space="preserve">Neupane, B., Konda, N. V. S. N. M., Singh, S., Simmons, B. A. &amp; Scown, C. D. Life-Cycle Greenhouse Gas and Water Intensity of Cellulosic Biofuel Production Using Cholinium Lysinate Ionic Liquid Pretreatment. </w:t>
      </w:r>
      <w:r w:rsidRPr="00297685">
        <w:rPr>
          <w:rFonts w:ascii="Calibri" w:hAnsi="Calibri" w:cs="Calibri"/>
          <w:i/>
          <w:iCs/>
          <w:sz w:val="18"/>
          <w:szCs w:val="18"/>
        </w:rPr>
        <w:t>ACS Sustainable Chem. Eng.</w:t>
      </w:r>
      <w:r w:rsidRPr="00297685">
        <w:rPr>
          <w:rFonts w:ascii="Calibri" w:hAnsi="Calibri" w:cs="Calibri"/>
          <w:sz w:val="18"/>
          <w:szCs w:val="18"/>
        </w:rPr>
        <w:t xml:space="preserve"> </w:t>
      </w:r>
      <w:r w:rsidRPr="00297685">
        <w:rPr>
          <w:rFonts w:ascii="Calibri" w:hAnsi="Calibri" w:cs="Calibri"/>
          <w:b/>
          <w:bCs/>
          <w:sz w:val="18"/>
          <w:szCs w:val="18"/>
        </w:rPr>
        <w:t>5</w:t>
      </w:r>
      <w:r w:rsidRPr="00297685">
        <w:rPr>
          <w:rFonts w:ascii="Calibri" w:hAnsi="Calibri" w:cs="Calibri"/>
          <w:sz w:val="18"/>
          <w:szCs w:val="18"/>
        </w:rPr>
        <w:t>, 10176–10185 (2017).</w:t>
      </w:r>
    </w:p>
    <w:p w14:paraId="464FEC3D"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157.</w:t>
      </w:r>
      <w:r w:rsidRPr="00297685">
        <w:rPr>
          <w:rFonts w:ascii="Calibri" w:hAnsi="Calibri" w:cs="Calibri"/>
          <w:sz w:val="18"/>
          <w:szCs w:val="18"/>
        </w:rPr>
        <w:tab/>
        <w:t xml:space="preserve">Zhang, J., Zou, D., Singh, S. &amp; Cheng, G. Recent developments in ionic liquid pretreatment of lignocellulosic biomass for enhanced bioconversion. </w:t>
      </w:r>
      <w:r w:rsidRPr="00297685">
        <w:rPr>
          <w:rFonts w:ascii="Calibri" w:hAnsi="Calibri" w:cs="Calibri"/>
          <w:i/>
          <w:iCs/>
          <w:sz w:val="18"/>
          <w:szCs w:val="18"/>
        </w:rPr>
        <w:t>Sustainable Energy Fuels</w:t>
      </w:r>
      <w:r w:rsidRPr="00297685">
        <w:rPr>
          <w:rFonts w:ascii="Calibri" w:hAnsi="Calibri" w:cs="Calibri"/>
          <w:sz w:val="18"/>
          <w:szCs w:val="18"/>
        </w:rPr>
        <w:t xml:space="preserve"> </w:t>
      </w:r>
      <w:r w:rsidRPr="00297685">
        <w:rPr>
          <w:rFonts w:ascii="Calibri" w:hAnsi="Calibri" w:cs="Calibri"/>
          <w:b/>
          <w:bCs/>
          <w:sz w:val="18"/>
          <w:szCs w:val="18"/>
        </w:rPr>
        <w:t>5</w:t>
      </w:r>
      <w:r w:rsidRPr="00297685">
        <w:rPr>
          <w:rFonts w:ascii="Calibri" w:hAnsi="Calibri" w:cs="Calibri"/>
          <w:sz w:val="18"/>
          <w:szCs w:val="18"/>
        </w:rPr>
        <w:t>, 1655–1667 (2021).</w:t>
      </w:r>
    </w:p>
    <w:p w14:paraId="0326AF3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158.</w:t>
      </w:r>
      <w:r w:rsidRPr="00297685">
        <w:rPr>
          <w:rFonts w:ascii="Calibri" w:hAnsi="Calibri" w:cs="Calibri"/>
          <w:sz w:val="18"/>
          <w:szCs w:val="18"/>
        </w:rPr>
        <w:tab/>
        <w:t xml:space="preserve">Zhang, J., Zhang, X., Yang, M., Singh, S. &amp; Cheng, G. Transforming lignocellulosic biomass into biofuels </w:t>
      </w:r>
      <w:r w:rsidRPr="00297685">
        <w:rPr>
          <w:rFonts w:ascii="Calibri" w:hAnsi="Calibri" w:cs="Calibri"/>
          <w:sz w:val="18"/>
          <w:szCs w:val="18"/>
        </w:rPr>
        <w:t xml:space="preserve">enabled by ionic liquid pretreatment. </w:t>
      </w:r>
      <w:r w:rsidRPr="00297685">
        <w:rPr>
          <w:rFonts w:ascii="Calibri" w:hAnsi="Calibri" w:cs="Calibri"/>
          <w:i/>
          <w:iCs/>
          <w:sz w:val="18"/>
          <w:szCs w:val="18"/>
        </w:rPr>
        <w:t>Bioresource Technology</w:t>
      </w:r>
      <w:r w:rsidRPr="00297685">
        <w:rPr>
          <w:rFonts w:ascii="Calibri" w:hAnsi="Calibri" w:cs="Calibri"/>
          <w:sz w:val="18"/>
          <w:szCs w:val="18"/>
        </w:rPr>
        <w:t xml:space="preserve"> </w:t>
      </w:r>
      <w:r w:rsidRPr="00297685">
        <w:rPr>
          <w:rFonts w:ascii="Calibri" w:hAnsi="Calibri" w:cs="Calibri"/>
          <w:b/>
          <w:bCs/>
          <w:sz w:val="18"/>
          <w:szCs w:val="18"/>
        </w:rPr>
        <w:t>322</w:t>
      </w:r>
      <w:r w:rsidRPr="00297685">
        <w:rPr>
          <w:rFonts w:ascii="Calibri" w:hAnsi="Calibri" w:cs="Calibri"/>
          <w:sz w:val="18"/>
          <w:szCs w:val="18"/>
        </w:rPr>
        <w:t>, 124522 (2021).</w:t>
      </w:r>
    </w:p>
    <w:p w14:paraId="7E1C764B"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159.</w:t>
      </w:r>
      <w:r w:rsidRPr="00297685">
        <w:rPr>
          <w:rFonts w:ascii="Calibri" w:hAnsi="Calibri" w:cs="Calibri"/>
          <w:sz w:val="18"/>
          <w:szCs w:val="18"/>
        </w:rPr>
        <w:tab/>
        <w:t xml:space="preserve">Ovejero-Pérez, A. </w:t>
      </w:r>
      <w:r w:rsidRPr="00297685">
        <w:rPr>
          <w:rFonts w:ascii="Calibri" w:hAnsi="Calibri" w:cs="Calibri"/>
          <w:i/>
          <w:iCs/>
          <w:sz w:val="18"/>
          <w:szCs w:val="18"/>
        </w:rPr>
        <w:t>et al.</w:t>
      </w:r>
      <w:r w:rsidRPr="00297685">
        <w:rPr>
          <w:rFonts w:ascii="Calibri" w:hAnsi="Calibri" w:cs="Calibri"/>
          <w:sz w:val="18"/>
          <w:szCs w:val="18"/>
        </w:rPr>
        <w:t xml:space="preserve"> Technoeconomic Assessment of a Biomass Pretreatment + Ionic Liquid Recovery Process with Aprotic and Choline Derived Ionic Liquids. </w:t>
      </w:r>
      <w:r w:rsidRPr="00297685">
        <w:rPr>
          <w:rFonts w:ascii="Calibri" w:hAnsi="Calibri" w:cs="Calibri"/>
          <w:i/>
          <w:iCs/>
          <w:sz w:val="18"/>
          <w:szCs w:val="18"/>
        </w:rPr>
        <w:t>ACS Sustainable Chem. Eng.</w:t>
      </w:r>
      <w:r w:rsidRPr="00297685">
        <w:rPr>
          <w:rFonts w:ascii="Calibri" w:hAnsi="Calibri" w:cs="Calibri"/>
          <w:sz w:val="18"/>
          <w:szCs w:val="18"/>
        </w:rPr>
        <w:t xml:space="preserve"> </w:t>
      </w:r>
      <w:r w:rsidRPr="00297685">
        <w:rPr>
          <w:rFonts w:ascii="Calibri" w:hAnsi="Calibri" w:cs="Calibri"/>
          <w:b/>
          <w:bCs/>
          <w:sz w:val="18"/>
          <w:szCs w:val="18"/>
        </w:rPr>
        <w:t>9</w:t>
      </w:r>
      <w:r w:rsidRPr="00297685">
        <w:rPr>
          <w:rFonts w:ascii="Calibri" w:hAnsi="Calibri" w:cs="Calibri"/>
          <w:sz w:val="18"/>
          <w:szCs w:val="18"/>
        </w:rPr>
        <w:t>, 8467–8476 (2021).</w:t>
      </w:r>
    </w:p>
    <w:p w14:paraId="24F3069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160.</w:t>
      </w:r>
      <w:r w:rsidRPr="00297685">
        <w:rPr>
          <w:rFonts w:ascii="Calibri" w:hAnsi="Calibri" w:cs="Calibri"/>
          <w:sz w:val="18"/>
          <w:szCs w:val="18"/>
        </w:rPr>
        <w:tab/>
        <w:t xml:space="preserve">Su-ungkavatin, P., Tiruta-Barna, L. &amp; Hamelin, L. Biofuels, electrofuels, electric or </w:t>
      </w:r>
      <w:proofErr w:type="gramStart"/>
      <w:r w:rsidRPr="00297685">
        <w:rPr>
          <w:rFonts w:ascii="Calibri" w:hAnsi="Calibri" w:cs="Calibri"/>
          <w:sz w:val="18"/>
          <w:szCs w:val="18"/>
        </w:rPr>
        <w:t>hydrogen?:</w:t>
      </w:r>
      <w:proofErr w:type="gramEnd"/>
      <w:r w:rsidRPr="00297685">
        <w:rPr>
          <w:rFonts w:ascii="Calibri" w:hAnsi="Calibri" w:cs="Calibri"/>
          <w:sz w:val="18"/>
          <w:szCs w:val="18"/>
        </w:rPr>
        <w:t xml:space="preserve"> A review of current and emerging sustainable aviation systems. </w:t>
      </w:r>
      <w:r w:rsidRPr="00297685">
        <w:rPr>
          <w:rFonts w:ascii="Calibri" w:hAnsi="Calibri" w:cs="Calibri"/>
          <w:i/>
          <w:iCs/>
          <w:sz w:val="18"/>
          <w:szCs w:val="18"/>
        </w:rPr>
        <w:t>Prog. Energy Combust. Sci.</w:t>
      </w:r>
      <w:r w:rsidRPr="00297685">
        <w:rPr>
          <w:rFonts w:ascii="Calibri" w:hAnsi="Calibri" w:cs="Calibri"/>
          <w:sz w:val="18"/>
          <w:szCs w:val="18"/>
        </w:rPr>
        <w:t xml:space="preserve"> </w:t>
      </w:r>
      <w:r w:rsidRPr="00297685">
        <w:rPr>
          <w:rFonts w:ascii="Calibri" w:hAnsi="Calibri" w:cs="Calibri"/>
          <w:b/>
          <w:bCs/>
          <w:sz w:val="18"/>
          <w:szCs w:val="18"/>
        </w:rPr>
        <w:t>96</w:t>
      </w:r>
      <w:r w:rsidRPr="00297685">
        <w:rPr>
          <w:rFonts w:ascii="Calibri" w:hAnsi="Calibri" w:cs="Calibri"/>
          <w:sz w:val="18"/>
          <w:szCs w:val="18"/>
        </w:rPr>
        <w:t>, 101073 (2023).</w:t>
      </w:r>
    </w:p>
    <w:p w14:paraId="1A51D76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161.</w:t>
      </w:r>
      <w:r w:rsidRPr="00297685">
        <w:rPr>
          <w:rFonts w:ascii="Calibri" w:hAnsi="Calibri" w:cs="Calibri"/>
          <w:sz w:val="18"/>
          <w:szCs w:val="18"/>
        </w:rPr>
        <w:tab/>
        <w:t xml:space="preserve">Lopes, T. F., Duarte, L. C., Carvalheiro, F., Cardona, C. A. &amp; Gírio, F. Production of Hemicellulosic Sugars from Residual Lignocellulosic Biomass in an Integrated Small-Scale Biorefinery: Techno-Economic and Life Cycle Assessments. in </w:t>
      </w:r>
      <w:r w:rsidRPr="00297685">
        <w:rPr>
          <w:rFonts w:ascii="Calibri" w:hAnsi="Calibri" w:cs="Calibri"/>
          <w:i/>
          <w:iCs/>
          <w:sz w:val="18"/>
          <w:szCs w:val="18"/>
        </w:rPr>
        <w:t>Hemicellulose Biorefinery: A Sustainable Solution for Value Addition to Bio-Based Products and Bioenergy</w:t>
      </w:r>
      <w:r w:rsidRPr="00297685">
        <w:rPr>
          <w:rFonts w:ascii="Calibri" w:hAnsi="Calibri" w:cs="Calibri"/>
          <w:sz w:val="18"/>
          <w:szCs w:val="18"/>
        </w:rPr>
        <w:t xml:space="preserve"> (ed. Brienzo, M.) 71–109 (Springer, Singapore, 2022). doi:10.1007/978-981-16-3682-0_3.</w:t>
      </w:r>
    </w:p>
    <w:p w14:paraId="50C17BDC"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162.</w:t>
      </w:r>
      <w:r w:rsidRPr="00297685">
        <w:rPr>
          <w:rFonts w:ascii="Calibri" w:hAnsi="Calibri" w:cs="Calibri"/>
          <w:sz w:val="18"/>
          <w:szCs w:val="18"/>
        </w:rPr>
        <w:tab/>
        <w:t xml:space="preserve">Kuo, P.-C. &amp; Yu, J. Process simulation and techno-economic analysis for production of industrial sugars from lignocellulosic biomass. </w:t>
      </w:r>
      <w:r w:rsidRPr="00297685">
        <w:rPr>
          <w:rFonts w:ascii="Calibri" w:hAnsi="Calibri" w:cs="Calibri"/>
          <w:i/>
          <w:iCs/>
          <w:sz w:val="18"/>
          <w:szCs w:val="18"/>
        </w:rPr>
        <w:t>Industrial Crops and Products</w:t>
      </w:r>
      <w:r w:rsidRPr="00297685">
        <w:rPr>
          <w:rFonts w:ascii="Calibri" w:hAnsi="Calibri" w:cs="Calibri"/>
          <w:sz w:val="18"/>
          <w:szCs w:val="18"/>
        </w:rPr>
        <w:t xml:space="preserve"> </w:t>
      </w:r>
      <w:r w:rsidRPr="00297685">
        <w:rPr>
          <w:rFonts w:ascii="Calibri" w:hAnsi="Calibri" w:cs="Calibri"/>
          <w:b/>
          <w:bCs/>
          <w:sz w:val="18"/>
          <w:szCs w:val="18"/>
        </w:rPr>
        <w:t>155</w:t>
      </w:r>
      <w:r w:rsidRPr="00297685">
        <w:rPr>
          <w:rFonts w:ascii="Calibri" w:hAnsi="Calibri" w:cs="Calibri"/>
          <w:sz w:val="18"/>
          <w:szCs w:val="18"/>
        </w:rPr>
        <w:t>, 112783 (2020).</w:t>
      </w:r>
    </w:p>
    <w:p w14:paraId="29B980EA"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163.</w:t>
      </w:r>
      <w:r w:rsidRPr="00297685">
        <w:rPr>
          <w:rFonts w:ascii="Calibri" w:hAnsi="Calibri" w:cs="Calibri"/>
          <w:sz w:val="18"/>
          <w:szCs w:val="18"/>
        </w:rPr>
        <w:tab/>
        <w:t xml:space="preserve">Kemppainen, K., Rommi, K., Holopainen, U. &amp; Kruus, K. Steam explosion of Brewer’s spent grain improves enzymatic digestibility of carbohydrates and affects solubility and stability of proteins. </w:t>
      </w:r>
      <w:r w:rsidRPr="00297685">
        <w:rPr>
          <w:rFonts w:ascii="Calibri" w:hAnsi="Calibri" w:cs="Calibri"/>
          <w:i/>
          <w:iCs/>
          <w:sz w:val="18"/>
          <w:szCs w:val="18"/>
        </w:rPr>
        <w:t>Appl Biochem Biotechnol</w:t>
      </w:r>
      <w:r w:rsidRPr="00297685">
        <w:rPr>
          <w:rFonts w:ascii="Calibri" w:hAnsi="Calibri" w:cs="Calibri"/>
          <w:sz w:val="18"/>
          <w:szCs w:val="18"/>
        </w:rPr>
        <w:t xml:space="preserve"> </w:t>
      </w:r>
      <w:r w:rsidRPr="00297685">
        <w:rPr>
          <w:rFonts w:ascii="Calibri" w:hAnsi="Calibri" w:cs="Calibri"/>
          <w:b/>
          <w:bCs/>
          <w:sz w:val="18"/>
          <w:szCs w:val="18"/>
        </w:rPr>
        <w:t>180</w:t>
      </w:r>
      <w:r w:rsidRPr="00297685">
        <w:rPr>
          <w:rFonts w:ascii="Calibri" w:hAnsi="Calibri" w:cs="Calibri"/>
          <w:sz w:val="18"/>
          <w:szCs w:val="18"/>
        </w:rPr>
        <w:t>, 94–108 (2016).</w:t>
      </w:r>
    </w:p>
    <w:p w14:paraId="4C934A41"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164.</w:t>
      </w:r>
      <w:r w:rsidRPr="00297685">
        <w:rPr>
          <w:rFonts w:ascii="Calibri" w:hAnsi="Calibri" w:cs="Calibri"/>
          <w:sz w:val="18"/>
          <w:szCs w:val="18"/>
        </w:rPr>
        <w:tab/>
        <w:t xml:space="preserve">Balkan, F., Colak, N. &amp; Hepbasli, A. Performance evaluation of a triple-effect evaporator with forward feed using exergy analysis. </w:t>
      </w:r>
      <w:r w:rsidRPr="00297685">
        <w:rPr>
          <w:rFonts w:ascii="Calibri" w:hAnsi="Calibri" w:cs="Calibri"/>
          <w:i/>
          <w:iCs/>
          <w:sz w:val="18"/>
          <w:szCs w:val="18"/>
        </w:rPr>
        <w:t>International Journal of Energy Research</w:t>
      </w:r>
      <w:r w:rsidRPr="00297685">
        <w:rPr>
          <w:rFonts w:ascii="Calibri" w:hAnsi="Calibri" w:cs="Calibri"/>
          <w:sz w:val="18"/>
          <w:szCs w:val="18"/>
        </w:rPr>
        <w:t xml:space="preserve"> </w:t>
      </w:r>
      <w:r w:rsidRPr="00297685">
        <w:rPr>
          <w:rFonts w:ascii="Calibri" w:hAnsi="Calibri" w:cs="Calibri"/>
          <w:b/>
          <w:bCs/>
          <w:sz w:val="18"/>
          <w:szCs w:val="18"/>
        </w:rPr>
        <w:t>29</w:t>
      </w:r>
      <w:r w:rsidRPr="00297685">
        <w:rPr>
          <w:rFonts w:ascii="Calibri" w:hAnsi="Calibri" w:cs="Calibri"/>
          <w:sz w:val="18"/>
          <w:szCs w:val="18"/>
        </w:rPr>
        <w:t>, 455–470 (2005).</w:t>
      </w:r>
    </w:p>
    <w:p w14:paraId="499470C3"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165.</w:t>
      </w:r>
      <w:r w:rsidRPr="00297685">
        <w:rPr>
          <w:rFonts w:ascii="Calibri" w:hAnsi="Calibri" w:cs="Calibri"/>
          <w:sz w:val="18"/>
          <w:szCs w:val="18"/>
        </w:rPr>
        <w:tab/>
        <w:t xml:space="preserve">Parajó, J. J., Villanueva, M., Troncoso, J. &amp; Salgado, J. Thermophysical properties of choline and pyridinium based ionic liquids as advanced materials for energy applications. </w:t>
      </w:r>
      <w:r w:rsidRPr="00297685">
        <w:rPr>
          <w:rFonts w:ascii="Calibri" w:hAnsi="Calibri" w:cs="Calibri"/>
          <w:i/>
          <w:iCs/>
          <w:sz w:val="18"/>
          <w:szCs w:val="18"/>
        </w:rPr>
        <w:t>The Journal of Chemical Thermodynamics</w:t>
      </w:r>
      <w:r w:rsidRPr="00297685">
        <w:rPr>
          <w:rFonts w:ascii="Calibri" w:hAnsi="Calibri" w:cs="Calibri"/>
          <w:sz w:val="18"/>
          <w:szCs w:val="18"/>
        </w:rPr>
        <w:t xml:space="preserve"> </w:t>
      </w:r>
      <w:r w:rsidRPr="00297685">
        <w:rPr>
          <w:rFonts w:ascii="Calibri" w:hAnsi="Calibri" w:cs="Calibri"/>
          <w:b/>
          <w:bCs/>
          <w:sz w:val="18"/>
          <w:szCs w:val="18"/>
        </w:rPr>
        <w:t>141</w:t>
      </w:r>
      <w:r w:rsidRPr="00297685">
        <w:rPr>
          <w:rFonts w:ascii="Calibri" w:hAnsi="Calibri" w:cs="Calibri"/>
          <w:sz w:val="18"/>
          <w:szCs w:val="18"/>
        </w:rPr>
        <w:t>, 105947 (2020).</w:t>
      </w:r>
    </w:p>
    <w:p w14:paraId="5EB6B7D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166.</w:t>
      </w:r>
      <w:r w:rsidRPr="00297685">
        <w:rPr>
          <w:rFonts w:ascii="Calibri" w:hAnsi="Calibri" w:cs="Calibri"/>
          <w:sz w:val="18"/>
          <w:szCs w:val="18"/>
        </w:rPr>
        <w:tab/>
        <w:t xml:space="preserve">Hosseini, S. M., Khosravi-Darani, K., Mohammadifar, M. A. &amp; Nikoopour, H. Production of Mycoprotein by Fusarium venenatum Growth on Modified Vogel Medium. </w:t>
      </w:r>
      <w:r w:rsidRPr="00297685">
        <w:rPr>
          <w:rFonts w:ascii="Calibri" w:hAnsi="Calibri" w:cs="Calibri"/>
          <w:i/>
          <w:iCs/>
          <w:sz w:val="18"/>
          <w:szCs w:val="18"/>
        </w:rPr>
        <w:t>Asian J. Chem.</w:t>
      </w:r>
      <w:r w:rsidRPr="00297685">
        <w:rPr>
          <w:rFonts w:ascii="Calibri" w:hAnsi="Calibri" w:cs="Calibri"/>
          <w:sz w:val="18"/>
          <w:szCs w:val="18"/>
        </w:rPr>
        <w:t xml:space="preserve"> </w:t>
      </w:r>
      <w:r w:rsidRPr="00297685">
        <w:rPr>
          <w:rFonts w:ascii="Calibri" w:hAnsi="Calibri" w:cs="Calibri"/>
          <w:b/>
          <w:bCs/>
          <w:sz w:val="18"/>
          <w:szCs w:val="18"/>
        </w:rPr>
        <w:t>21</w:t>
      </w:r>
      <w:r w:rsidRPr="00297685">
        <w:rPr>
          <w:rFonts w:ascii="Calibri" w:hAnsi="Calibri" w:cs="Calibri"/>
          <w:sz w:val="18"/>
          <w:szCs w:val="18"/>
        </w:rPr>
        <w:t>, 4017–4022 (2009).</w:t>
      </w:r>
    </w:p>
    <w:p w14:paraId="22B691A3" w14:textId="4131A31F"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167.</w:t>
      </w:r>
      <w:r w:rsidRPr="00297685">
        <w:rPr>
          <w:rFonts w:ascii="Calibri" w:hAnsi="Calibri" w:cs="Calibri"/>
          <w:sz w:val="18"/>
          <w:szCs w:val="18"/>
        </w:rPr>
        <w:tab/>
        <w:t xml:space="preserve">Brassard, P., Godbout, S. &amp; Hamelin, L. Framework for consequential life cycle assessment of pyrolysis biorefineries: A case study for the conversion of primary forestry residues. </w:t>
      </w:r>
      <w:r w:rsidRPr="00297685">
        <w:rPr>
          <w:rFonts w:ascii="Calibri" w:hAnsi="Calibri" w:cs="Calibri"/>
          <w:i/>
          <w:iCs/>
          <w:sz w:val="18"/>
          <w:szCs w:val="18"/>
        </w:rPr>
        <w:t>Renewable and Sustainable Energy Reviews</w:t>
      </w:r>
      <w:r w:rsidRPr="00297685">
        <w:rPr>
          <w:rFonts w:ascii="Calibri" w:hAnsi="Calibri" w:cs="Calibri"/>
          <w:sz w:val="18"/>
          <w:szCs w:val="18"/>
        </w:rPr>
        <w:t xml:space="preserve"> 110549 (2020).</w:t>
      </w:r>
    </w:p>
    <w:p w14:paraId="50FDE35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168.</w:t>
      </w:r>
      <w:r w:rsidRPr="00297685">
        <w:rPr>
          <w:rFonts w:ascii="Calibri" w:hAnsi="Calibri" w:cs="Calibri"/>
          <w:sz w:val="18"/>
          <w:szCs w:val="18"/>
        </w:rPr>
        <w:tab/>
        <w:t xml:space="preserve">Salim, I., González-García, S., Feijoo, G. &amp; Moreira, M. T. Assessing the environmental sustainability of glucose from wheat as a fermentation feedstock. </w:t>
      </w:r>
      <w:r w:rsidRPr="00297685">
        <w:rPr>
          <w:rFonts w:ascii="Calibri" w:hAnsi="Calibri" w:cs="Calibri"/>
          <w:i/>
          <w:iCs/>
          <w:sz w:val="18"/>
          <w:szCs w:val="18"/>
        </w:rPr>
        <w:t>Journal of Environmental Management</w:t>
      </w:r>
      <w:r w:rsidRPr="00297685">
        <w:rPr>
          <w:rFonts w:ascii="Calibri" w:hAnsi="Calibri" w:cs="Calibri"/>
          <w:sz w:val="18"/>
          <w:szCs w:val="18"/>
        </w:rPr>
        <w:t xml:space="preserve"> </w:t>
      </w:r>
      <w:r w:rsidRPr="00297685">
        <w:rPr>
          <w:rFonts w:ascii="Calibri" w:hAnsi="Calibri" w:cs="Calibri"/>
          <w:b/>
          <w:bCs/>
          <w:sz w:val="18"/>
          <w:szCs w:val="18"/>
        </w:rPr>
        <w:t>247</w:t>
      </w:r>
      <w:r w:rsidRPr="00297685">
        <w:rPr>
          <w:rFonts w:ascii="Calibri" w:hAnsi="Calibri" w:cs="Calibri"/>
          <w:sz w:val="18"/>
          <w:szCs w:val="18"/>
        </w:rPr>
        <w:t>, 323–332 (2019).</w:t>
      </w:r>
    </w:p>
    <w:p w14:paraId="37078B99"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169.</w:t>
      </w:r>
      <w:r w:rsidRPr="00297685">
        <w:rPr>
          <w:rFonts w:ascii="Calibri" w:hAnsi="Calibri" w:cs="Calibri"/>
          <w:sz w:val="18"/>
          <w:szCs w:val="18"/>
        </w:rPr>
        <w:tab/>
        <w:t xml:space="preserve">Permanasari, A. R., Yulistiani, F., Purnama, R. W., Widjaja, T. &amp; Gunawan, S. The effect of substrate and enzyme concentration on the glucose syrup production from red sorghum starch by enzymatic hydrolysis. </w:t>
      </w:r>
      <w:r w:rsidRPr="00297685">
        <w:rPr>
          <w:rFonts w:ascii="Calibri" w:hAnsi="Calibri" w:cs="Calibri"/>
          <w:i/>
          <w:iCs/>
          <w:sz w:val="18"/>
          <w:szCs w:val="18"/>
        </w:rPr>
        <w:t>IOP Conf. Ser.: Earth Environ. Sci.</w:t>
      </w:r>
      <w:r w:rsidRPr="00297685">
        <w:rPr>
          <w:rFonts w:ascii="Calibri" w:hAnsi="Calibri" w:cs="Calibri"/>
          <w:sz w:val="18"/>
          <w:szCs w:val="18"/>
        </w:rPr>
        <w:t xml:space="preserve"> </w:t>
      </w:r>
      <w:r w:rsidRPr="00297685">
        <w:rPr>
          <w:rFonts w:ascii="Calibri" w:hAnsi="Calibri" w:cs="Calibri"/>
          <w:b/>
          <w:bCs/>
          <w:sz w:val="18"/>
          <w:szCs w:val="18"/>
        </w:rPr>
        <w:t>160</w:t>
      </w:r>
      <w:r w:rsidRPr="00297685">
        <w:rPr>
          <w:rFonts w:ascii="Calibri" w:hAnsi="Calibri" w:cs="Calibri"/>
          <w:sz w:val="18"/>
          <w:szCs w:val="18"/>
        </w:rPr>
        <w:t>, 012002 (2018).</w:t>
      </w:r>
    </w:p>
    <w:p w14:paraId="3783444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170.</w:t>
      </w:r>
      <w:r w:rsidRPr="00297685">
        <w:rPr>
          <w:rFonts w:ascii="Calibri" w:hAnsi="Calibri" w:cs="Calibri"/>
          <w:sz w:val="18"/>
          <w:szCs w:val="18"/>
        </w:rPr>
        <w:tab/>
        <w:t xml:space="preserve">Sirohi, R., Prakash Pandey, J., Kumar Gaur, V., Gnansounou, E. &amp; Sindhu, R. Critical overview of biomass feedstocks as sustainable substrates for the production of polyhydroxybutyrate (PHB). </w:t>
      </w:r>
      <w:r w:rsidRPr="00297685">
        <w:rPr>
          <w:rFonts w:ascii="Calibri" w:hAnsi="Calibri" w:cs="Calibri"/>
          <w:i/>
          <w:iCs/>
          <w:sz w:val="18"/>
          <w:szCs w:val="18"/>
        </w:rPr>
        <w:t>Bioresource Technology</w:t>
      </w:r>
      <w:r w:rsidRPr="00297685">
        <w:rPr>
          <w:rFonts w:ascii="Calibri" w:hAnsi="Calibri" w:cs="Calibri"/>
          <w:sz w:val="18"/>
          <w:szCs w:val="18"/>
        </w:rPr>
        <w:t xml:space="preserve"> </w:t>
      </w:r>
      <w:r w:rsidRPr="00297685">
        <w:rPr>
          <w:rFonts w:ascii="Calibri" w:hAnsi="Calibri" w:cs="Calibri"/>
          <w:b/>
          <w:bCs/>
          <w:sz w:val="18"/>
          <w:szCs w:val="18"/>
        </w:rPr>
        <w:t>311</w:t>
      </w:r>
      <w:r w:rsidRPr="00297685">
        <w:rPr>
          <w:rFonts w:ascii="Calibri" w:hAnsi="Calibri" w:cs="Calibri"/>
          <w:sz w:val="18"/>
          <w:szCs w:val="18"/>
        </w:rPr>
        <w:t>, 123536 (2020).</w:t>
      </w:r>
    </w:p>
    <w:p w14:paraId="41DE12A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lastRenderedPageBreak/>
        <w:t>171.</w:t>
      </w:r>
      <w:r w:rsidRPr="00297685">
        <w:rPr>
          <w:rFonts w:ascii="Calibri" w:hAnsi="Calibri" w:cs="Calibri"/>
          <w:sz w:val="18"/>
          <w:szCs w:val="18"/>
        </w:rPr>
        <w:tab/>
        <w:t xml:space="preserve">Dunn, J. B., Mueller, S., Wang, M. &amp; Han, J. Energy consumption and greenhouse gas emissions from enzyme and yeast manufacture for corn and cellulosic ethanol production. </w:t>
      </w:r>
      <w:r w:rsidRPr="00297685">
        <w:rPr>
          <w:rFonts w:ascii="Calibri" w:hAnsi="Calibri" w:cs="Calibri"/>
          <w:i/>
          <w:iCs/>
          <w:sz w:val="18"/>
          <w:szCs w:val="18"/>
        </w:rPr>
        <w:t>Biotechnol Lett</w:t>
      </w:r>
      <w:r w:rsidRPr="00297685">
        <w:rPr>
          <w:rFonts w:ascii="Calibri" w:hAnsi="Calibri" w:cs="Calibri"/>
          <w:sz w:val="18"/>
          <w:szCs w:val="18"/>
        </w:rPr>
        <w:t xml:space="preserve"> </w:t>
      </w:r>
      <w:r w:rsidRPr="00297685">
        <w:rPr>
          <w:rFonts w:ascii="Calibri" w:hAnsi="Calibri" w:cs="Calibri"/>
          <w:b/>
          <w:bCs/>
          <w:sz w:val="18"/>
          <w:szCs w:val="18"/>
        </w:rPr>
        <w:t>34</w:t>
      </w:r>
      <w:r w:rsidRPr="00297685">
        <w:rPr>
          <w:rFonts w:ascii="Calibri" w:hAnsi="Calibri" w:cs="Calibri"/>
          <w:sz w:val="18"/>
          <w:szCs w:val="18"/>
        </w:rPr>
        <w:t>, 2259–2263 (2012).</w:t>
      </w:r>
    </w:p>
    <w:p w14:paraId="7F7E94D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172.</w:t>
      </w:r>
      <w:r w:rsidRPr="00297685">
        <w:rPr>
          <w:rFonts w:ascii="Calibri" w:hAnsi="Calibri" w:cs="Calibri"/>
          <w:sz w:val="18"/>
          <w:szCs w:val="18"/>
        </w:rPr>
        <w:tab/>
        <w:t xml:space="preserve">Bello-Pérez, L. A., Roger, P., Baud, B. &amp; Colonna, P. Macromolecular Features of Starches Determined by Aqueous High-performance Size Exclusion Chromatography. </w:t>
      </w:r>
      <w:r w:rsidRPr="00297685">
        <w:rPr>
          <w:rFonts w:ascii="Calibri" w:hAnsi="Calibri" w:cs="Calibri"/>
          <w:i/>
          <w:iCs/>
          <w:sz w:val="18"/>
          <w:szCs w:val="18"/>
        </w:rPr>
        <w:t>Journal of Cereal Science</w:t>
      </w:r>
      <w:r w:rsidRPr="00297685">
        <w:rPr>
          <w:rFonts w:ascii="Calibri" w:hAnsi="Calibri" w:cs="Calibri"/>
          <w:sz w:val="18"/>
          <w:szCs w:val="18"/>
        </w:rPr>
        <w:t xml:space="preserve"> </w:t>
      </w:r>
      <w:r w:rsidRPr="00297685">
        <w:rPr>
          <w:rFonts w:ascii="Calibri" w:hAnsi="Calibri" w:cs="Calibri"/>
          <w:b/>
          <w:bCs/>
          <w:sz w:val="18"/>
          <w:szCs w:val="18"/>
        </w:rPr>
        <w:t>27</w:t>
      </w:r>
      <w:r w:rsidRPr="00297685">
        <w:rPr>
          <w:rFonts w:ascii="Calibri" w:hAnsi="Calibri" w:cs="Calibri"/>
          <w:sz w:val="18"/>
          <w:szCs w:val="18"/>
        </w:rPr>
        <w:t>, 267–278 (1998).</w:t>
      </w:r>
    </w:p>
    <w:p w14:paraId="3620E5D5"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173.</w:t>
      </w:r>
      <w:r w:rsidRPr="00297685">
        <w:rPr>
          <w:rFonts w:ascii="Calibri" w:hAnsi="Calibri" w:cs="Calibri"/>
          <w:sz w:val="18"/>
          <w:szCs w:val="18"/>
        </w:rPr>
        <w:tab/>
        <w:t xml:space="preserve">de Boer, H. C., van Krimpen, M. M., Blonk, H. &amp; Tyszler, M. </w:t>
      </w:r>
      <w:r w:rsidRPr="00297685">
        <w:rPr>
          <w:rFonts w:ascii="Calibri" w:hAnsi="Calibri" w:cs="Calibri"/>
          <w:i/>
          <w:iCs/>
          <w:sz w:val="18"/>
          <w:szCs w:val="18"/>
        </w:rPr>
        <w:t>Replacement of Soybean Meal in Compound Feed by European Protein Sources</w:t>
      </w:r>
      <w:r w:rsidRPr="00297685">
        <w:rPr>
          <w:rFonts w:ascii="Calibri" w:hAnsi="Calibri" w:cs="Calibri"/>
          <w:sz w:val="18"/>
          <w:szCs w:val="18"/>
        </w:rPr>
        <w:t>. 47 (2014).</w:t>
      </w:r>
    </w:p>
    <w:p w14:paraId="271DDB3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174.</w:t>
      </w:r>
      <w:r w:rsidRPr="00297685">
        <w:rPr>
          <w:rFonts w:ascii="Calibri" w:hAnsi="Calibri" w:cs="Calibri"/>
          <w:sz w:val="18"/>
          <w:szCs w:val="18"/>
        </w:rPr>
        <w:tab/>
        <w:t xml:space="preserve">von Stockar, U. &amp; Liu, J.-S. Does microbial life always feed on negative entropy? Thermodynamic analysis of microbial growth. </w:t>
      </w:r>
      <w:r w:rsidRPr="00297685">
        <w:rPr>
          <w:rFonts w:ascii="Calibri" w:hAnsi="Calibri" w:cs="Calibri"/>
          <w:i/>
          <w:iCs/>
          <w:sz w:val="18"/>
          <w:szCs w:val="18"/>
        </w:rPr>
        <w:t>Biochimica et Biophysica Acta (BBA) - Bioenergetics</w:t>
      </w:r>
      <w:r w:rsidRPr="00297685">
        <w:rPr>
          <w:rFonts w:ascii="Calibri" w:hAnsi="Calibri" w:cs="Calibri"/>
          <w:sz w:val="18"/>
          <w:szCs w:val="18"/>
        </w:rPr>
        <w:t xml:space="preserve"> </w:t>
      </w:r>
      <w:r w:rsidRPr="00297685">
        <w:rPr>
          <w:rFonts w:ascii="Calibri" w:hAnsi="Calibri" w:cs="Calibri"/>
          <w:b/>
          <w:bCs/>
          <w:sz w:val="18"/>
          <w:szCs w:val="18"/>
        </w:rPr>
        <w:t>1412</w:t>
      </w:r>
      <w:r w:rsidRPr="00297685">
        <w:rPr>
          <w:rFonts w:ascii="Calibri" w:hAnsi="Calibri" w:cs="Calibri"/>
          <w:sz w:val="18"/>
          <w:szCs w:val="18"/>
        </w:rPr>
        <w:t>, 191–211 (1999).</w:t>
      </w:r>
    </w:p>
    <w:p w14:paraId="3F70C293"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175.</w:t>
      </w:r>
      <w:r w:rsidRPr="00297685">
        <w:rPr>
          <w:rFonts w:ascii="Calibri" w:hAnsi="Calibri" w:cs="Calibri"/>
          <w:sz w:val="18"/>
          <w:szCs w:val="18"/>
        </w:rPr>
        <w:tab/>
        <w:t xml:space="preserve">Leger, D. </w:t>
      </w:r>
      <w:r w:rsidRPr="00297685">
        <w:rPr>
          <w:rFonts w:ascii="Calibri" w:hAnsi="Calibri" w:cs="Calibri"/>
          <w:i/>
          <w:iCs/>
          <w:sz w:val="18"/>
          <w:szCs w:val="18"/>
        </w:rPr>
        <w:t>et al.</w:t>
      </w:r>
      <w:r w:rsidRPr="00297685">
        <w:rPr>
          <w:rFonts w:ascii="Calibri" w:hAnsi="Calibri" w:cs="Calibri"/>
          <w:sz w:val="18"/>
          <w:szCs w:val="18"/>
        </w:rPr>
        <w:t xml:space="preserve"> Photovoltaic-driven microbial protein production can use land and sunlight more efficiently than conventional crops. </w:t>
      </w:r>
      <w:r w:rsidRPr="00297685">
        <w:rPr>
          <w:rFonts w:ascii="Calibri" w:hAnsi="Calibri" w:cs="Calibri"/>
          <w:i/>
          <w:iCs/>
          <w:sz w:val="18"/>
          <w:szCs w:val="18"/>
        </w:rPr>
        <w:t>Proc Natl Acad Sci USA</w:t>
      </w:r>
      <w:r w:rsidRPr="00297685">
        <w:rPr>
          <w:rFonts w:ascii="Calibri" w:hAnsi="Calibri" w:cs="Calibri"/>
          <w:sz w:val="18"/>
          <w:szCs w:val="18"/>
        </w:rPr>
        <w:t xml:space="preserve"> </w:t>
      </w:r>
      <w:r w:rsidRPr="00297685">
        <w:rPr>
          <w:rFonts w:ascii="Calibri" w:hAnsi="Calibri" w:cs="Calibri"/>
          <w:b/>
          <w:bCs/>
          <w:sz w:val="18"/>
          <w:szCs w:val="18"/>
        </w:rPr>
        <w:t>118</w:t>
      </w:r>
      <w:r w:rsidRPr="00297685">
        <w:rPr>
          <w:rFonts w:ascii="Calibri" w:hAnsi="Calibri" w:cs="Calibri"/>
          <w:sz w:val="18"/>
          <w:szCs w:val="18"/>
        </w:rPr>
        <w:t>, e2015025118 (2021).</w:t>
      </w:r>
    </w:p>
    <w:p w14:paraId="63E54E34"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176.</w:t>
      </w:r>
      <w:r w:rsidRPr="00297685">
        <w:rPr>
          <w:rFonts w:ascii="Calibri" w:hAnsi="Calibri" w:cs="Calibri"/>
          <w:sz w:val="18"/>
          <w:szCs w:val="18"/>
        </w:rPr>
        <w:tab/>
        <w:t xml:space="preserve">Whittaker, J. A., Johnson, R. I., Finnigan, T. J. A., Avery, S. V. &amp; Dyer, P. S. The Biotechnology of Quorn Mycoprotein: Past, Present and Future Challenges. in </w:t>
      </w:r>
      <w:r w:rsidRPr="00297685">
        <w:rPr>
          <w:rFonts w:ascii="Calibri" w:hAnsi="Calibri" w:cs="Calibri"/>
          <w:i/>
          <w:iCs/>
          <w:sz w:val="18"/>
          <w:szCs w:val="18"/>
        </w:rPr>
        <w:t>Grand Challenges in Fungal Biotechnology</w:t>
      </w:r>
      <w:r w:rsidRPr="00297685">
        <w:rPr>
          <w:rFonts w:ascii="Calibri" w:hAnsi="Calibri" w:cs="Calibri"/>
          <w:sz w:val="18"/>
          <w:szCs w:val="18"/>
        </w:rPr>
        <w:t xml:space="preserve"> (ed. Nevalainen, H.) 59–79 (Springer International Publishing, Cham, 2020). doi:10.1007/978-3-030-29541-7_3.</w:t>
      </w:r>
    </w:p>
    <w:p w14:paraId="6EF601B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177.</w:t>
      </w:r>
      <w:r w:rsidRPr="00297685">
        <w:rPr>
          <w:rFonts w:ascii="Calibri" w:hAnsi="Calibri" w:cs="Calibri"/>
          <w:sz w:val="18"/>
          <w:szCs w:val="18"/>
        </w:rPr>
        <w:tab/>
        <w:t xml:space="preserve">Lonchamp, J., Akintoye, M., Clegg, P. S. &amp; Euston, S. R. Functional fungal extracts from the Quorn fermentation co-product as novel partial egg white replacers. </w:t>
      </w:r>
      <w:r w:rsidRPr="00297685">
        <w:rPr>
          <w:rFonts w:ascii="Calibri" w:hAnsi="Calibri" w:cs="Calibri"/>
          <w:i/>
          <w:iCs/>
          <w:sz w:val="18"/>
          <w:szCs w:val="18"/>
        </w:rPr>
        <w:t>Eur Food Res Technol</w:t>
      </w:r>
      <w:r w:rsidRPr="00297685">
        <w:rPr>
          <w:rFonts w:ascii="Calibri" w:hAnsi="Calibri" w:cs="Calibri"/>
          <w:sz w:val="18"/>
          <w:szCs w:val="18"/>
        </w:rPr>
        <w:t xml:space="preserve"> </w:t>
      </w:r>
      <w:r w:rsidRPr="00297685">
        <w:rPr>
          <w:rFonts w:ascii="Calibri" w:hAnsi="Calibri" w:cs="Calibri"/>
          <w:b/>
          <w:bCs/>
          <w:sz w:val="18"/>
          <w:szCs w:val="18"/>
        </w:rPr>
        <w:t>246</w:t>
      </w:r>
      <w:r w:rsidRPr="00297685">
        <w:rPr>
          <w:rFonts w:ascii="Calibri" w:hAnsi="Calibri" w:cs="Calibri"/>
          <w:sz w:val="18"/>
          <w:szCs w:val="18"/>
        </w:rPr>
        <w:t>, 69–80 (2020).</w:t>
      </w:r>
    </w:p>
    <w:p w14:paraId="6EABFD93" w14:textId="57A7AB09"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178.</w:t>
      </w:r>
      <w:r w:rsidRPr="00297685">
        <w:rPr>
          <w:rFonts w:ascii="Calibri" w:hAnsi="Calibri" w:cs="Calibri"/>
          <w:sz w:val="18"/>
          <w:szCs w:val="18"/>
        </w:rPr>
        <w:tab/>
        <w:t xml:space="preserve">Ping, C. Y., Xi, F., Blank, I. &amp; Yuan, L. Strategies to improve meat-like properties of meat analogs meeting consumers’ expectations. </w:t>
      </w:r>
      <w:r w:rsidRPr="00297685">
        <w:rPr>
          <w:rFonts w:ascii="Calibri" w:hAnsi="Calibri" w:cs="Calibri"/>
          <w:i/>
          <w:iCs/>
          <w:sz w:val="18"/>
          <w:szCs w:val="18"/>
        </w:rPr>
        <w:t>Biomaterials</w:t>
      </w:r>
      <w:r w:rsidRPr="00297685">
        <w:rPr>
          <w:rFonts w:ascii="Calibri" w:hAnsi="Calibri" w:cs="Calibri"/>
          <w:sz w:val="18"/>
          <w:szCs w:val="18"/>
        </w:rPr>
        <w:t xml:space="preserve"> 121648 (2022).</w:t>
      </w:r>
    </w:p>
    <w:p w14:paraId="572BF09B"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179.</w:t>
      </w:r>
      <w:r w:rsidRPr="00297685">
        <w:rPr>
          <w:rFonts w:ascii="Calibri" w:hAnsi="Calibri" w:cs="Calibri"/>
          <w:sz w:val="18"/>
          <w:szCs w:val="18"/>
        </w:rPr>
        <w:tab/>
        <w:t xml:space="preserve">Øverland, M. &amp; Skrede, A. Yeast derived from lignocellulosic biomass as a sustainable feed resource for use in aquaculture. </w:t>
      </w:r>
      <w:r w:rsidRPr="00297685">
        <w:rPr>
          <w:rFonts w:ascii="Calibri" w:hAnsi="Calibri" w:cs="Calibri"/>
          <w:i/>
          <w:iCs/>
          <w:sz w:val="18"/>
          <w:szCs w:val="18"/>
        </w:rPr>
        <w:t>J. Sci. Food Agric.</w:t>
      </w:r>
      <w:r w:rsidRPr="00297685">
        <w:rPr>
          <w:rFonts w:ascii="Calibri" w:hAnsi="Calibri" w:cs="Calibri"/>
          <w:sz w:val="18"/>
          <w:szCs w:val="18"/>
        </w:rPr>
        <w:t xml:space="preserve"> </w:t>
      </w:r>
      <w:r w:rsidRPr="00297685">
        <w:rPr>
          <w:rFonts w:ascii="Calibri" w:hAnsi="Calibri" w:cs="Calibri"/>
          <w:b/>
          <w:bCs/>
          <w:sz w:val="18"/>
          <w:szCs w:val="18"/>
        </w:rPr>
        <w:t>97</w:t>
      </w:r>
      <w:r w:rsidRPr="00297685">
        <w:rPr>
          <w:rFonts w:ascii="Calibri" w:hAnsi="Calibri" w:cs="Calibri"/>
          <w:sz w:val="18"/>
          <w:szCs w:val="18"/>
        </w:rPr>
        <w:t>, 733–742 (2017).</w:t>
      </w:r>
    </w:p>
    <w:p w14:paraId="4BBA3C0E"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180.</w:t>
      </w:r>
      <w:r w:rsidRPr="00297685">
        <w:rPr>
          <w:rFonts w:ascii="Calibri" w:hAnsi="Calibri" w:cs="Calibri"/>
          <w:sz w:val="18"/>
          <w:szCs w:val="18"/>
        </w:rPr>
        <w:tab/>
        <w:t xml:space="preserve">Finnigan, T., Needham, L. &amp; Abbott, C. Chapter 19. Mycoprotein: A Healthy New Protein </w:t>
      </w:r>
      <w:proofErr w:type="gramStart"/>
      <w:r w:rsidRPr="00297685">
        <w:rPr>
          <w:rFonts w:ascii="Calibri" w:hAnsi="Calibri" w:cs="Calibri"/>
          <w:sz w:val="18"/>
          <w:szCs w:val="18"/>
        </w:rPr>
        <w:t>With</w:t>
      </w:r>
      <w:proofErr w:type="gramEnd"/>
      <w:r w:rsidRPr="00297685">
        <w:rPr>
          <w:rFonts w:ascii="Calibri" w:hAnsi="Calibri" w:cs="Calibri"/>
          <w:sz w:val="18"/>
          <w:szCs w:val="18"/>
        </w:rPr>
        <w:t xml:space="preserve"> a Low Environmental Impact. 21 (2017).</w:t>
      </w:r>
    </w:p>
    <w:p w14:paraId="429EC57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181.</w:t>
      </w:r>
      <w:r w:rsidRPr="00297685">
        <w:rPr>
          <w:rFonts w:ascii="Calibri" w:hAnsi="Calibri" w:cs="Calibri"/>
          <w:sz w:val="18"/>
          <w:szCs w:val="18"/>
        </w:rPr>
        <w:tab/>
        <w:t xml:space="preserve">Ahmad, M. I., Farooq, S., Alhamoud, Y., Li, C. &amp; Zhang, H. A review on mycoprotein: History, nutritional composition, production methods, and health benefits. </w:t>
      </w:r>
      <w:r w:rsidRPr="00297685">
        <w:rPr>
          <w:rFonts w:ascii="Calibri" w:hAnsi="Calibri" w:cs="Calibri"/>
          <w:i/>
          <w:iCs/>
          <w:sz w:val="18"/>
          <w:szCs w:val="18"/>
        </w:rPr>
        <w:t>Trends in Food Science &amp; Technology</w:t>
      </w:r>
      <w:r w:rsidRPr="00297685">
        <w:rPr>
          <w:rFonts w:ascii="Calibri" w:hAnsi="Calibri" w:cs="Calibri"/>
          <w:sz w:val="18"/>
          <w:szCs w:val="18"/>
        </w:rPr>
        <w:t xml:space="preserve"> </w:t>
      </w:r>
      <w:r w:rsidRPr="00297685">
        <w:rPr>
          <w:rFonts w:ascii="Calibri" w:hAnsi="Calibri" w:cs="Calibri"/>
          <w:b/>
          <w:bCs/>
          <w:sz w:val="18"/>
          <w:szCs w:val="18"/>
        </w:rPr>
        <w:t>121</w:t>
      </w:r>
      <w:r w:rsidRPr="00297685">
        <w:rPr>
          <w:rFonts w:ascii="Calibri" w:hAnsi="Calibri" w:cs="Calibri"/>
          <w:sz w:val="18"/>
          <w:szCs w:val="18"/>
        </w:rPr>
        <w:t>, 14–29 (2022).</w:t>
      </w:r>
    </w:p>
    <w:p w14:paraId="60097084" w14:textId="73737356"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182.</w:t>
      </w:r>
      <w:r w:rsidRPr="00297685">
        <w:rPr>
          <w:rFonts w:ascii="Calibri" w:hAnsi="Calibri" w:cs="Calibri"/>
          <w:sz w:val="18"/>
          <w:szCs w:val="18"/>
        </w:rPr>
        <w:tab/>
        <w:t xml:space="preserve">Woern, C. &amp; Grossmann, L. Microbial gas fermentation technology for sustainable food protein production. </w:t>
      </w:r>
      <w:r w:rsidRPr="00297685">
        <w:rPr>
          <w:rFonts w:ascii="Calibri" w:hAnsi="Calibri" w:cs="Calibri"/>
          <w:i/>
          <w:iCs/>
          <w:sz w:val="18"/>
          <w:szCs w:val="18"/>
        </w:rPr>
        <w:t>Biotechnol. Adv.</w:t>
      </w:r>
      <w:r w:rsidRPr="00297685">
        <w:rPr>
          <w:rFonts w:ascii="Calibri" w:hAnsi="Calibri" w:cs="Calibri"/>
          <w:sz w:val="18"/>
          <w:szCs w:val="18"/>
        </w:rPr>
        <w:t xml:space="preserve"> 108240 (2023)</w:t>
      </w:r>
      <w:r w:rsidR="00075F19">
        <w:rPr>
          <w:rFonts w:ascii="Calibri" w:hAnsi="Calibri" w:cs="Calibri"/>
          <w:sz w:val="18"/>
          <w:szCs w:val="18"/>
        </w:rPr>
        <w:t>.</w:t>
      </w:r>
    </w:p>
    <w:p w14:paraId="652E6A71" w14:textId="0182836B"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183.</w:t>
      </w:r>
      <w:r w:rsidRPr="00297685">
        <w:rPr>
          <w:rFonts w:ascii="Calibri" w:hAnsi="Calibri" w:cs="Calibri"/>
          <w:sz w:val="18"/>
          <w:szCs w:val="18"/>
        </w:rPr>
        <w:tab/>
        <w:t xml:space="preserve">Järviö, N., Maljanen, N.-L., Kobayashi, Y., Ryynänen, T. &amp; Tuomisto, H. L. An attributional life cycle assessment of microbial protein production: a case study on using hydrogen-oxidizing bacteria. </w:t>
      </w:r>
      <w:r w:rsidRPr="00297685">
        <w:rPr>
          <w:rFonts w:ascii="Calibri" w:hAnsi="Calibri" w:cs="Calibri"/>
          <w:i/>
          <w:iCs/>
          <w:sz w:val="18"/>
          <w:szCs w:val="18"/>
        </w:rPr>
        <w:t>Sci. Total Environ.</w:t>
      </w:r>
      <w:r w:rsidRPr="00297685">
        <w:rPr>
          <w:rFonts w:ascii="Calibri" w:hAnsi="Calibri" w:cs="Calibri"/>
          <w:sz w:val="18"/>
          <w:szCs w:val="18"/>
        </w:rPr>
        <w:t xml:space="preserve"> 145764 (2021).</w:t>
      </w:r>
    </w:p>
    <w:p w14:paraId="40B65FD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184.</w:t>
      </w:r>
      <w:r w:rsidRPr="00297685">
        <w:rPr>
          <w:rFonts w:ascii="Calibri" w:hAnsi="Calibri" w:cs="Calibri"/>
          <w:sz w:val="18"/>
          <w:szCs w:val="18"/>
        </w:rPr>
        <w:tab/>
        <w:t xml:space="preserve">El Abbadi, S. H. Engineering the Dark Food </w:t>
      </w:r>
      <w:proofErr w:type="gramStart"/>
      <w:r w:rsidRPr="00297685">
        <w:rPr>
          <w:rFonts w:ascii="Calibri" w:hAnsi="Calibri" w:cs="Calibri"/>
          <w:sz w:val="18"/>
          <w:szCs w:val="18"/>
        </w:rPr>
        <w:t>Chain:the</w:t>
      </w:r>
      <w:proofErr w:type="gramEnd"/>
      <w:r w:rsidRPr="00297685">
        <w:rPr>
          <w:rFonts w:ascii="Calibri" w:hAnsi="Calibri" w:cs="Calibri"/>
          <w:sz w:val="18"/>
          <w:szCs w:val="18"/>
        </w:rPr>
        <w:t xml:space="preserve"> Role of Methanotrophic Bacteria Infood Production and Climate Change Mitigation. (Standford University, 2021).</w:t>
      </w:r>
    </w:p>
    <w:p w14:paraId="2F88BA4A"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185.</w:t>
      </w:r>
      <w:r w:rsidRPr="00297685">
        <w:rPr>
          <w:rFonts w:ascii="Calibri" w:hAnsi="Calibri" w:cs="Calibri"/>
          <w:sz w:val="18"/>
          <w:szCs w:val="18"/>
        </w:rPr>
        <w:tab/>
        <w:t xml:space="preserve">Cumberlege, T., Blenkinsopp, T. &amp; Clark, J. </w:t>
      </w:r>
      <w:r w:rsidRPr="00297685">
        <w:rPr>
          <w:rFonts w:ascii="Calibri" w:hAnsi="Calibri" w:cs="Calibri"/>
          <w:i/>
          <w:iCs/>
          <w:sz w:val="18"/>
          <w:szCs w:val="18"/>
        </w:rPr>
        <w:t>Assessment of Environmental Footprint of FeedKind Protein</w:t>
      </w:r>
      <w:r w:rsidRPr="00297685">
        <w:rPr>
          <w:rFonts w:ascii="Calibri" w:hAnsi="Calibri" w:cs="Calibri"/>
          <w:sz w:val="18"/>
          <w:szCs w:val="18"/>
        </w:rPr>
        <w:t>. 26 (2016).</w:t>
      </w:r>
    </w:p>
    <w:p w14:paraId="2B5F7F4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186.</w:t>
      </w:r>
      <w:r w:rsidRPr="00297685">
        <w:rPr>
          <w:rFonts w:ascii="Calibri" w:hAnsi="Calibri" w:cs="Calibri"/>
          <w:sz w:val="18"/>
          <w:szCs w:val="18"/>
        </w:rPr>
        <w:tab/>
        <w:t xml:space="preserve">Levett, I. </w:t>
      </w:r>
      <w:r w:rsidRPr="00297685">
        <w:rPr>
          <w:rFonts w:ascii="Calibri" w:hAnsi="Calibri" w:cs="Calibri"/>
          <w:i/>
          <w:iCs/>
          <w:sz w:val="18"/>
          <w:szCs w:val="18"/>
        </w:rPr>
        <w:t>et al.</w:t>
      </w:r>
      <w:r w:rsidRPr="00297685">
        <w:rPr>
          <w:rFonts w:ascii="Calibri" w:hAnsi="Calibri" w:cs="Calibri"/>
          <w:sz w:val="18"/>
          <w:szCs w:val="18"/>
        </w:rPr>
        <w:t xml:space="preserve"> Techno-economic assessment of poly-3-hydroxybutyrate (PHB) production from methane—The case for thermophilic bioprocessing. </w:t>
      </w:r>
      <w:r w:rsidRPr="00297685">
        <w:rPr>
          <w:rFonts w:ascii="Calibri" w:hAnsi="Calibri" w:cs="Calibri"/>
          <w:i/>
          <w:iCs/>
          <w:sz w:val="18"/>
          <w:szCs w:val="18"/>
        </w:rPr>
        <w:t>J. Environ. Chem. Eng.</w:t>
      </w:r>
      <w:r w:rsidRPr="00297685">
        <w:rPr>
          <w:rFonts w:ascii="Calibri" w:hAnsi="Calibri" w:cs="Calibri"/>
          <w:sz w:val="18"/>
          <w:szCs w:val="18"/>
        </w:rPr>
        <w:t xml:space="preserve"> </w:t>
      </w:r>
      <w:r w:rsidRPr="00297685">
        <w:rPr>
          <w:rFonts w:ascii="Calibri" w:hAnsi="Calibri" w:cs="Calibri"/>
          <w:b/>
          <w:bCs/>
          <w:sz w:val="18"/>
          <w:szCs w:val="18"/>
        </w:rPr>
        <w:t>4</w:t>
      </w:r>
      <w:r w:rsidRPr="00297685">
        <w:rPr>
          <w:rFonts w:ascii="Calibri" w:hAnsi="Calibri" w:cs="Calibri"/>
          <w:sz w:val="18"/>
          <w:szCs w:val="18"/>
        </w:rPr>
        <w:t>, 3724–3733 (2016).</w:t>
      </w:r>
    </w:p>
    <w:p w14:paraId="09A28AD5"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187.</w:t>
      </w:r>
      <w:r w:rsidRPr="00297685">
        <w:rPr>
          <w:rFonts w:ascii="Calibri" w:hAnsi="Calibri" w:cs="Calibri"/>
          <w:sz w:val="18"/>
          <w:szCs w:val="18"/>
        </w:rPr>
        <w:tab/>
        <w:t xml:space="preserve">Pikaar, I. </w:t>
      </w:r>
      <w:r w:rsidRPr="00297685">
        <w:rPr>
          <w:rFonts w:ascii="Calibri" w:hAnsi="Calibri" w:cs="Calibri"/>
          <w:i/>
          <w:iCs/>
          <w:sz w:val="18"/>
          <w:szCs w:val="18"/>
        </w:rPr>
        <w:t>et al.</w:t>
      </w:r>
      <w:r w:rsidRPr="00297685">
        <w:rPr>
          <w:rFonts w:ascii="Calibri" w:hAnsi="Calibri" w:cs="Calibri"/>
          <w:sz w:val="18"/>
          <w:szCs w:val="18"/>
        </w:rPr>
        <w:t xml:space="preserve"> Decoupling Livestock from Land Use through Industrial Feed Production Pathways. </w:t>
      </w:r>
      <w:r w:rsidRPr="00297685">
        <w:rPr>
          <w:rFonts w:ascii="Calibri" w:hAnsi="Calibri" w:cs="Calibri"/>
          <w:i/>
          <w:iCs/>
          <w:sz w:val="18"/>
          <w:szCs w:val="18"/>
        </w:rPr>
        <w:t>Environ. Sci. Technol.</w:t>
      </w:r>
      <w:r w:rsidRPr="00297685">
        <w:rPr>
          <w:rFonts w:ascii="Calibri" w:hAnsi="Calibri" w:cs="Calibri"/>
          <w:sz w:val="18"/>
          <w:szCs w:val="18"/>
        </w:rPr>
        <w:t xml:space="preserve"> </w:t>
      </w:r>
      <w:r w:rsidRPr="00297685">
        <w:rPr>
          <w:rFonts w:ascii="Calibri" w:hAnsi="Calibri" w:cs="Calibri"/>
          <w:b/>
          <w:bCs/>
          <w:sz w:val="18"/>
          <w:szCs w:val="18"/>
        </w:rPr>
        <w:t>52</w:t>
      </w:r>
      <w:r w:rsidRPr="00297685">
        <w:rPr>
          <w:rFonts w:ascii="Calibri" w:hAnsi="Calibri" w:cs="Calibri"/>
          <w:sz w:val="18"/>
          <w:szCs w:val="18"/>
        </w:rPr>
        <w:t>, 7351–7359 (2018).</w:t>
      </w:r>
    </w:p>
    <w:p w14:paraId="3BB4BE2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188.</w:t>
      </w:r>
      <w:r w:rsidRPr="00297685">
        <w:rPr>
          <w:rFonts w:ascii="Calibri" w:hAnsi="Calibri" w:cs="Calibri"/>
          <w:sz w:val="18"/>
          <w:szCs w:val="18"/>
        </w:rPr>
        <w:tab/>
        <w:t xml:space="preserve">Tallentire, C. W., Mackenzie, S. G. &amp; Kyriazakis, I. Can novel ingredients replace soybeans and reduce the environmental burdens of European livestock systems in the future? </w:t>
      </w:r>
      <w:r w:rsidRPr="00297685">
        <w:rPr>
          <w:rFonts w:ascii="Calibri" w:hAnsi="Calibri" w:cs="Calibri"/>
          <w:i/>
          <w:iCs/>
          <w:sz w:val="18"/>
          <w:szCs w:val="18"/>
        </w:rPr>
        <w:t>J. Clean. Prod.</w:t>
      </w:r>
      <w:r w:rsidRPr="00297685">
        <w:rPr>
          <w:rFonts w:ascii="Calibri" w:hAnsi="Calibri" w:cs="Calibri"/>
          <w:sz w:val="18"/>
          <w:szCs w:val="18"/>
        </w:rPr>
        <w:t xml:space="preserve"> </w:t>
      </w:r>
      <w:r w:rsidRPr="00297685">
        <w:rPr>
          <w:rFonts w:ascii="Calibri" w:hAnsi="Calibri" w:cs="Calibri"/>
          <w:b/>
          <w:bCs/>
          <w:sz w:val="18"/>
          <w:szCs w:val="18"/>
        </w:rPr>
        <w:t>187</w:t>
      </w:r>
      <w:r w:rsidRPr="00297685">
        <w:rPr>
          <w:rFonts w:ascii="Calibri" w:hAnsi="Calibri" w:cs="Calibri"/>
          <w:sz w:val="18"/>
          <w:szCs w:val="18"/>
        </w:rPr>
        <w:t>, 338–347 (2018).</w:t>
      </w:r>
    </w:p>
    <w:p w14:paraId="1FEFE7E3"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189.</w:t>
      </w:r>
      <w:r w:rsidRPr="00297685">
        <w:rPr>
          <w:rFonts w:ascii="Calibri" w:hAnsi="Calibri" w:cs="Calibri"/>
          <w:sz w:val="18"/>
          <w:szCs w:val="18"/>
        </w:rPr>
        <w:tab/>
        <w:t xml:space="preserve">Couture, J. L. </w:t>
      </w:r>
      <w:r w:rsidRPr="00297685">
        <w:rPr>
          <w:rFonts w:ascii="Calibri" w:hAnsi="Calibri" w:cs="Calibri"/>
          <w:i/>
          <w:iCs/>
          <w:sz w:val="18"/>
          <w:szCs w:val="18"/>
        </w:rPr>
        <w:t>et al.</w:t>
      </w:r>
      <w:r w:rsidRPr="00297685">
        <w:rPr>
          <w:rFonts w:ascii="Calibri" w:hAnsi="Calibri" w:cs="Calibri"/>
          <w:sz w:val="18"/>
          <w:szCs w:val="18"/>
        </w:rPr>
        <w:t xml:space="preserve"> Environmental Benefits of Novel Nonhuman Food Inputs to Salmon Feeds. </w:t>
      </w:r>
      <w:r w:rsidRPr="00297685">
        <w:rPr>
          <w:rFonts w:ascii="Calibri" w:hAnsi="Calibri" w:cs="Calibri"/>
          <w:i/>
          <w:iCs/>
          <w:sz w:val="18"/>
          <w:szCs w:val="18"/>
        </w:rPr>
        <w:t>Environ. Sci. Technol.</w:t>
      </w:r>
      <w:r w:rsidRPr="00297685">
        <w:rPr>
          <w:rFonts w:ascii="Calibri" w:hAnsi="Calibri" w:cs="Calibri"/>
          <w:sz w:val="18"/>
          <w:szCs w:val="18"/>
        </w:rPr>
        <w:t xml:space="preserve"> </w:t>
      </w:r>
      <w:r w:rsidRPr="00297685">
        <w:rPr>
          <w:rFonts w:ascii="Calibri" w:hAnsi="Calibri" w:cs="Calibri"/>
          <w:b/>
          <w:bCs/>
          <w:sz w:val="18"/>
          <w:szCs w:val="18"/>
        </w:rPr>
        <w:t>53</w:t>
      </w:r>
      <w:r w:rsidRPr="00297685">
        <w:rPr>
          <w:rFonts w:ascii="Calibri" w:hAnsi="Calibri" w:cs="Calibri"/>
          <w:sz w:val="18"/>
          <w:szCs w:val="18"/>
        </w:rPr>
        <w:t>, 1967–1975 (2019).</w:t>
      </w:r>
    </w:p>
    <w:p w14:paraId="519FC3C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190.</w:t>
      </w:r>
      <w:r w:rsidRPr="00297685">
        <w:rPr>
          <w:rFonts w:ascii="Calibri" w:hAnsi="Calibri" w:cs="Calibri"/>
          <w:sz w:val="18"/>
          <w:szCs w:val="18"/>
        </w:rPr>
        <w:tab/>
        <w:t xml:space="preserve">Sillman, J. </w:t>
      </w:r>
      <w:r w:rsidRPr="00297685">
        <w:rPr>
          <w:rFonts w:ascii="Calibri" w:hAnsi="Calibri" w:cs="Calibri"/>
          <w:i/>
          <w:iCs/>
          <w:sz w:val="18"/>
          <w:szCs w:val="18"/>
        </w:rPr>
        <w:t>et al.</w:t>
      </w:r>
      <w:r w:rsidRPr="00297685">
        <w:rPr>
          <w:rFonts w:ascii="Calibri" w:hAnsi="Calibri" w:cs="Calibri"/>
          <w:sz w:val="18"/>
          <w:szCs w:val="18"/>
        </w:rPr>
        <w:t xml:space="preserve"> Bacterial protein for food and feed generated via renewable energy and direct air capture of CO2: Can it reduce land and water use? </w:t>
      </w:r>
      <w:r w:rsidRPr="00297685">
        <w:rPr>
          <w:rFonts w:ascii="Calibri" w:hAnsi="Calibri" w:cs="Calibri"/>
          <w:i/>
          <w:iCs/>
          <w:sz w:val="18"/>
          <w:szCs w:val="18"/>
        </w:rPr>
        <w:t>Glob. Food Sec.</w:t>
      </w:r>
      <w:r w:rsidRPr="00297685">
        <w:rPr>
          <w:rFonts w:ascii="Calibri" w:hAnsi="Calibri" w:cs="Calibri"/>
          <w:sz w:val="18"/>
          <w:szCs w:val="18"/>
        </w:rPr>
        <w:t xml:space="preserve"> </w:t>
      </w:r>
      <w:r w:rsidRPr="00297685">
        <w:rPr>
          <w:rFonts w:ascii="Calibri" w:hAnsi="Calibri" w:cs="Calibri"/>
          <w:b/>
          <w:bCs/>
          <w:sz w:val="18"/>
          <w:szCs w:val="18"/>
        </w:rPr>
        <w:t>22</w:t>
      </w:r>
      <w:r w:rsidRPr="00297685">
        <w:rPr>
          <w:rFonts w:ascii="Calibri" w:hAnsi="Calibri" w:cs="Calibri"/>
          <w:sz w:val="18"/>
          <w:szCs w:val="18"/>
        </w:rPr>
        <w:t>, 25–32 (2019).</w:t>
      </w:r>
    </w:p>
    <w:p w14:paraId="7925D093"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191.</w:t>
      </w:r>
      <w:r w:rsidRPr="00297685">
        <w:rPr>
          <w:rFonts w:ascii="Calibri" w:hAnsi="Calibri" w:cs="Calibri"/>
          <w:sz w:val="18"/>
          <w:szCs w:val="18"/>
        </w:rPr>
        <w:tab/>
        <w:t xml:space="preserve">Sillman, J. </w:t>
      </w:r>
      <w:r w:rsidRPr="00297685">
        <w:rPr>
          <w:rFonts w:ascii="Calibri" w:hAnsi="Calibri" w:cs="Calibri"/>
          <w:i/>
          <w:iCs/>
          <w:sz w:val="18"/>
          <w:szCs w:val="18"/>
        </w:rPr>
        <w:t>et al.</w:t>
      </w:r>
      <w:r w:rsidRPr="00297685">
        <w:rPr>
          <w:rFonts w:ascii="Calibri" w:hAnsi="Calibri" w:cs="Calibri"/>
          <w:sz w:val="18"/>
          <w:szCs w:val="18"/>
        </w:rPr>
        <w:t xml:space="preserve"> A life cycle environmental sustainability analysis of microbial protein production via power-to-food approaches. </w:t>
      </w:r>
      <w:r w:rsidRPr="00297685">
        <w:rPr>
          <w:rFonts w:ascii="Calibri" w:hAnsi="Calibri" w:cs="Calibri"/>
          <w:i/>
          <w:iCs/>
          <w:sz w:val="18"/>
          <w:szCs w:val="18"/>
        </w:rPr>
        <w:t>Int. J. Life Cycle Assess.</w:t>
      </w:r>
      <w:r w:rsidRPr="00297685">
        <w:rPr>
          <w:rFonts w:ascii="Calibri" w:hAnsi="Calibri" w:cs="Calibri"/>
          <w:sz w:val="18"/>
          <w:szCs w:val="18"/>
        </w:rPr>
        <w:t xml:space="preserve"> </w:t>
      </w:r>
      <w:r w:rsidRPr="00297685">
        <w:rPr>
          <w:rFonts w:ascii="Calibri" w:hAnsi="Calibri" w:cs="Calibri"/>
          <w:b/>
          <w:bCs/>
          <w:sz w:val="18"/>
          <w:szCs w:val="18"/>
        </w:rPr>
        <w:t>25</w:t>
      </w:r>
      <w:r w:rsidRPr="00297685">
        <w:rPr>
          <w:rFonts w:ascii="Calibri" w:hAnsi="Calibri" w:cs="Calibri"/>
          <w:sz w:val="18"/>
          <w:szCs w:val="18"/>
        </w:rPr>
        <w:t>, 2190–2203 (2020).</w:t>
      </w:r>
    </w:p>
    <w:p w14:paraId="3ABF9535"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192.</w:t>
      </w:r>
      <w:r w:rsidRPr="00297685">
        <w:rPr>
          <w:rFonts w:ascii="Calibri" w:hAnsi="Calibri" w:cs="Calibri"/>
          <w:sz w:val="18"/>
          <w:szCs w:val="18"/>
        </w:rPr>
        <w:tab/>
        <w:t xml:space="preserve">Spiller, M. </w:t>
      </w:r>
      <w:r w:rsidRPr="00297685">
        <w:rPr>
          <w:rFonts w:ascii="Calibri" w:hAnsi="Calibri" w:cs="Calibri"/>
          <w:i/>
          <w:iCs/>
          <w:sz w:val="18"/>
          <w:szCs w:val="18"/>
        </w:rPr>
        <w:t>et al.</w:t>
      </w:r>
      <w:r w:rsidRPr="00297685">
        <w:rPr>
          <w:rFonts w:ascii="Calibri" w:hAnsi="Calibri" w:cs="Calibri"/>
          <w:sz w:val="18"/>
          <w:szCs w:val="18"/>
        </w:rPr>
        <w:t xml:space="preserve"> Environmental impact of microbial protein from potato wastewater as feed ingredient: Comparative consequential life cycle assessment of three production systems and soybean meal. </w:t>
      </w:r>
      <w:r w:rsidRPr="00297685">
        <w:rPr>
          <w:rFonts w:ascii="Calibri" w:hAnsi="Calibri" w:cs="Calibri"/>
          <w:i/>
          <w:iCs/>
          <w:sz w:val="18"/>
          <w:szCs w:val="18"/>
        </w:rPr>
        <w:t>Water Res.</w:t>
      </w:r>
      <w:r w:rsidRPr="00297685">
        <w:rPr>
          <w:rFonts w:ascii="Calibri" w:hAnsi="Calibri" w:cs="Calibri"/>
          <w:sz w:val="18"/>
          <w:szCs w:val="18"/>
        </w:rPr>
        <w:t xml:space="preserve"> </w:t>
      </w:r>
      <w:r w:rsidRPr="00297685">
        <w:rPr>
          <w:rFonts w:ascii="Calibri" w:hAnsi="Calibri" w:cs="Calibri"/>
          <w:b/>
          <w:bCs/>
          <w:sz w:val="18"/>
          <w:szCs w:val="18"/>
        </w:rPr>
        <w:t>171</w:t>
      </w:r>
      <w:r w:rsidRPr="00297685">
        <w:rPr>
          <w:rFonts w:ascii="Calibri" w:hAnsi="Calibri" w:cs="Calibri"/>
          <w:sz w:val="18"/>
          <w:szCs w:val="18"/>
        </w:rPr>
        <w:t>, 115406 (2020).</w:t>
      </w:r>
    </w:p>
    <w:p w14:paraId="62CBEB31"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193.</w:t>
      </w:r>
      <w:r w:rsidRPr="00297685">
        <w:rPr>
          <w:rFonts w:ascii="Calibri" w:hAnsi="Calibri" w:cs="Calibri"/>
          <w:sz w:val="18"/>
          <w:szCs w:val="18"/>
        </w:rPr>
        <w:tab/>
        <w:t xml:space="preserve">Khoshnevisan, B. </w:t>
      </w:r>
      <w:r w:rsidRPr="00297685">
        <w:rPr>
          <w:rFonts w:ascii="Calibri" w:hAnsi="Calibri" w:cs="Calibri"/>
          <w:i/>
          <w:iCs/>
          <w:sz w:val="18"/>
          <w:szCs w:val="18"/>
        </w:rPr>
        <w:t>et al.</w:t>
      </w:r>
      <w:r w:rsidRPr="00297685">
        <w:rPr>
          <w:rFonts w:ascii="Calibri" w:hAnsi="Calibri" w:cs="Calibri"/>
          <w:sz w:val="18"/>
          <w:szCs w:val="18"/>
        </w:rPr>
        <w:t xml:space="preserve"> Environmental life cycle assessment of different biorefinery platforms valorizing municipal solid waste to bioenergy, microbial protein, lactic and succinic acid. </w:t>
      </w:r>
      <w:r w:rsidRPr="00297685">
        <w:rPr>
          <w:rFonts w:ascii="Calibri" w:hAnsi="Calibri" w:cs="Calibri"/>
          <w:i/>
          <w:iCs/>
          <w:sz w:val="18"/>
          <w:szCs w:val="18"/>
        </w:rPr>
        <w:t>Renewable and Sustainable Energy Reviews</w:t>
      </w:r>
      <w:r w:rsidRPr="00297685">
        <w:rPr>
          <w:rFonts w:ascii="Calibri" w:hAnsi="Calibri" w:cs="Calibri"/>
          <w:sz w:val="18"/>
          <w:szCs w:val="18"/>
        </w:rPr>
        <w:t xml:space="preserve"> </w:t>
      </w:r>
      <w:r w:rsidRPr="00297685">
        <w:rPr>
          <w:rFonts w:ascii="Calibri" w:hAnsi="Calibri" w:cs="Calibri"/>
          <w:b/>
          <w:bCs/>
          <w:sz w:val="18"/>
          <w:szCs w:val="18"/>
        </w:rPr>
        <w:t>117</w:t>
      </w:r>
      <w:r w:rsidRPr="00297685">
        <w:rPr>
          <w:rFonts w:ascii="Calibri" w:hAnsi="Calibri" w:cs="Calibri"/>
          <w:sz w:val="18"/>
          <w:szCs w:val="18"/>
        </w:rPr>
        <w:t>, 109493 (2020).</w:t>
      </w:r>
    </w:p>
    <w:p w14:paraId="440AA7F1"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194.</w:t>
      </w:r>
      <w:r w:rsidRPr="00297685">
        <w:rPr>
          <w:rFonts w:ascii="Calibri" w:hAnsi="Calibri" w:cs="Calibri"/>
          <w:sz w:val="18"/>
          <w:szCs w:val="18"/>
        </w:rPr>
        <w:tab/>
        <w:t xml:space="preserve">Matassa, S. </w:t>
      </w:r>
      <w:r w:rsidRPr="00297685">
        <w:rPr>
          <w:rFonts w:ascii="Calibri" w:hAnsi="Calibri" w:cs="Calibri"/>
          <w:i/>
          <w:iCs/>
          <w:sz w:val="18"/>
          <w:szCs w:val="18"/>
        </w:rPr>
        <w:t>et al.</w:t>
      </w:r>
      <w:r w:rsidRPr="00297685">
        <w:rPr>
          <w:rFonts w:ascii="Calibri" w:hAnsi="Calibri" w:cs="Calibri"/>
          <w:sz w:val="18"/>
          <w:szCs w:val="18"/>
        </w:rPr>
        <w:t xml:space="preserve"> Upcycling of biowaste carbon and nutrients in line with consumer confidence: the “full gas” route to single cell protein. </w:t>
      </w:r>
      <w:r w:rsidRPr="00297685">
        <w:rPr>
          <w:rFonts w:ascii="Calibri" w:hAnsi="Calibri" w:cs="Calibri"/>
          <w:i/>
          <w:iCs/>
          <w:sz w:val="18"/>
          <w:szCs w:val="18"/>
        </w:rPr>
        <w:t>Green Chem.</w:t>
      </w:r>
      <w:r w:rsidRPr="00297685">
        <w:rPr>
          <w:rFonts w:ascii="Calibri" w:hAnsi="Calibri" w:cs="Calibri"/>
          <w:sz w:val="18"/>
          <w:szCs w:val="18"/>
        </w:rPr>
        <w:t xml:space="preserve"> </w:t>
      </w:r>
      <w:r w:rsidRPr="00297685">
        <w:rPr>
          <w:rFonts w:ascii="Calibri" w:hAnsi="Calibri" w:cs="Calibri"/>
          <w:b/>
          <w:bCs/>
          <w:sz w:val="18"/>
          <w:szCs w:val="18"/>
        </w:rPr>
        <w:t>22</w:t>
      </w:r>
      <w:r w:rsidRPr="00297685">
        <w:rPr>
          <w:rFonts w:ascii="Calibri" w:hAnsi="Calibri" w:cs="Calibri"/>
          <w:sz w:val="18"/>
          <w:szCs w:val="18"/>
        </w:rPr>
        <w:t>, 4912–4929 (2020).</w:t>
      </w:r>
    </w:p>
    <w:p w14:paraId="67D9AD0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195.</w:t>
      </w:r>
      <w:r w:rsidRPr="00297685">
        <w:rPr>
          <w:rFonts w:ascii="Calibri" w:hAnsi="Calibri" w:cs="Calibri"/>
          <w:sz w:val="18"/>
          <w:szCs w:val="18"/>
        </w:rPr>
        <w:tab/>
        <w:t xml:space="preserve">Verbeeck, K., Vrieze, J. D., Pikaar, I., Verstraete, W. &amp; Rabaey, K. Assessing the potential for up-cycling recovered resources from anaerobic digestion through microbial protein production. </w:t>
      </w:r>
      <w:r w:rsidRPr="00297685">
        <w:rPr>
          <w:rFonts w:ascii="Calibri" w:hAnsi="Calibri" w:cs="Calibri"/>
          <w:i/>
          <w:iCs/>
          <w:sz w:val="18"/>
          <w:szCs w:val="18"/>
        </w:rPr>
        <w:t>Microb. Biotechnol.</w:t>
      </w:r>
      <w:r w:rsidRPr="00297685">
        <w:rPr>
          <w:rFonts w:ascii="Calibri" w:hAnsi="Calibri" w:cs="Calibri"/>
          <w:sz w:val="18"/>
          <w:szCs w:val="18"/>
        </w:rPr>
        <w:t xml:space="preserve"> </w:t>
      </w:r>
      <w:r w:rsidRPr="00297685">
        <w:rPr>
          <w:rFonts w:ascii="Calibri" w:hAnsi="Calibri" w:cs="Calibri"/>
          <w:b/>
          <w:bCs/>
          <w:sz w:val="18"/>
          <w:szCs w:val="18"/>
        </w:rPr>
        <w:t>14</w:t>
      </w:r>
      <w:r w:rsidRPr="00297685">
        <w:rPr>
          <w:rFonts w:ascii="Calibri" w:hAnsi="Calibri" w:cs="Calibri"/>
          <w:sz w:val="18"/>
          <w:szCs w:val="18"/>
        </w:rPr>
        <w:t>, 897–910 (2020).</w:t>
      </w:r>
    </w:p>
    <w:p w14:paraId="24CFD5A3"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196.</w:t>
      </w:r>
      <w:r w:rsidRPr="00297685">
        <w:rPr>
          <w:rFonts w:ascii="Calibri" w:hAnsi="Calibri" w:cs="Calibri"/>
          <w:sz w:val="18"/>
          <w:szCs w:val="18"/>
        </w:rPr>
        <w:tab/>
        <w:t xml:space="preserve">Nappa, M. </w:t>
      </w:r>
      <w:r w:rsidRPr="00297685">
        <w:rPr>
          <w:rFonts w:ascii="Calibri" w:hAnsi="Calibri" w:cs="Calibri"/>
          <w:i/>
          <w:iCs/>
          <w:sz w:val="18"/>
          <w:szCs w:val="18"/>
        </w:rPr>
        <w:t>et al.</w:t>
      </w:r>
      <w:r w:rsidRPr="00297685">
        <w:rPr>
          <w:rFonts w:ascii="Calibri" w:hAnsi="Calibri" w:cs="Calibri"/>
          <w:sz w:val="18"/>
          <w:szCs w:val="18"/>
        </w:rPr>
        <w:t xml:space="preserve"> Solar-Powered Carbon Fixation for Food and Feed Production Using Microorganisms—A Comparative Techno-Economic Analysis. </w:t>
      </w:r>
      <w:r w:rsidRPr="00297685">
        <w:rPr>
          <w:rFonts w:ascii="Calibri" w:hAnsi="Calibri" w:cs="Calibri"/>
          <w:i/>
          <w:iCs/>
          <w:sz w:val="18"/>
          <w:szCs w:val="18"/>
        </w:rPr>
        <w:t>ACS Omega</w:t>
      </w:r>
      <w:r w:rsidRPr="00297685">
        <w:rPr>
          <w:rFonts w:ascii="Calibri" w:hAnsi="Calibri" w:cs="Calibri"/>
          <w:sz w:val="18"/>
          <w:szCs w:val="18"/>
        </w:rPr>
        <w:t xml:space="preserve"> </w:t>
      </w:r>
      <w:r w:rsidRPr="00297685">
        <w:rPr>
          <w:rFonts w:ascii="Calibri" w:hAnsi="Calibri" w:cs="Calibri"/>
          <w:b/>
          <w:bCs/>
          <w:sz w:val="18"/>
          <w:szCs w:val="18"/>
        </w:rPr>
        <w:t>5</w:t>
      </w:r>
      <w:r w:rsidRPr="00297685">
        <w:rPr>
          <w:rFonts w:ascii="Calibri" w:hAnsi="Calibri" w:cs="Calibri"/>
          <w:sz w:val="18"/>
          <w:szCs w:val="18"/>
        </w:rPr>
        <w:t>, 33242–33252 (2020).</w:t>
      </w:r>
    </w:p>
    <w:p w14:paraId="54439DDD"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197.</w:t>
      </w:r>
      <w:r w:rsidRPr="00297685">
        <w:rPr>
          <w:rFonts w:ascii="Calibri" w:hAnsi="Calibri" w:cs="Calibri"/>
          <w:sz w:val="18"/>
          <w:szCs w:val="18"/>
        </w:rPr>
        <w:tab/>
        <w:t xml:space="preserve">García Martínez, J. B. </w:t>
      </w:r>
      <w:r w:rsidRPr="00297685">
        <w:rPr>
          <w:rFonts w:ascii="Calibri" w:hAnsi="Calibri" w:cs="Calibri"/>
          <w:i/>
          <w:iCs/>
          <w:sz w:val="18"/>
          <w:szCs w:val="18"/>
        </w:rPr>
        <w:t>et al.</w:t>
      </w:r>
      <w:r w:rsidRPr="00297685">
        <w:rPr>
          <w:rFonts w:ascii="Calibri" w:hAnsi="Calibri" w:cs="Calibri"/>
          <w:sz w:val="18"/>
          <w:szCs w:val="18"/>
        </w:rPr>
        <w:t xml:space="preserve"> Potential of microbial protein from hydrogen for preventing mass starvation in catastrophic scenarios. </w:t>
      </w:r>
      <w:r w:rsidRPr="00297685">
        <w:rPr>
          <w:rFonts w:ascii="Calibri" w:hAnsi="Calibri" w:cs="Calibri"/>
          <w:i/>
          <w:iCs/>
          <w:sz w:val="18"/>
          <w:szCs w:val="18"/>
        </w:rPr>
        <w:t>Sustain. Prod. Consum.</w:t>
      </w:r>
      <w:r w:rsidRPr="00297685">
        <w:rPr>
          <w:rFonts w:ascii="Calibri" w:hAnsi="Calibri" w:cs="Calibri"/>
          <w:sz w:val="18"/>
          <w:szCs w:val="18"/>
        </w:rPr>
        <w:t xml:space="preserve"> </w:t>
      </w:r>
      <w:r w:rsidRPr="00297685">
        <w:rPr>
          <w:rFonts w:ascii="Calibri" w:hAnsi="Calibri" w:cs="Calibri"/>
          <w:b/>
          <w:bCs/>
          <w:sz w:val="18"/>
          <w:szCs w:val="18"/>
        </w:rPr>
        <w:t>25</w:t>
      </w:r>
      <w:r w:rsidRPr="00297685">
        <w:rPr>
          <w:rFonts w:ascii="Calibri" w:hAnsi="Calibri" w:cs="Calibri"/>
          <w:sz w:val="18"/>
          <w:szCs w:val="18"/>
        </w:rPr>
        <w:t>, 234–247 (2021).</w:t>
      </w:r>
    </w:p>
    <w:p w14:paraId="410C0459"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198.</w:t>
      </w:r>
      <w:r w:rsidRPr="00297685">
        <w:rPr>
          <w:rFonts w:ascii="Calibri" w:hAnsi="Calibri" w:cs="Calibri"/>
          <w:sz w:val="18"/>
          <w:szCs w:val="18"/>
        </w:rPr>
        <w:tab/>
        <w:t xml:space="preserve">García Martínez, J. B. </w:t>
      </w:r>
      <w:r w:rsidRPr="00297685">
        <w:rPr>
          <w:rFonts w:ascii="Calibri" w:hAnsi="Calibri" w:cs="Calibri"/>
          <w:i/>
          <w:iCs/>
          <w:sz w:val="18"/>
          <w:szCs w:val="18"/>
        </w:rPr>
        <w:t>et al.</w:t>
      </w:r>
      <w:r w:rsidRPr="00297685">
        <w:rPr>
          <w:rFonts w:ascii="Calibri" w:hAnsi="Calibri" w:cs="Calibri"/>
          <w:sz w:val="18"/>
          <w:szCs w:val="18"/>
        </w:rPr>
        <w:t xml:space="preserve"> Methane Single Cell Protein: Potential to Secure a Global Protein Supply Against Catastrophic Food Shocks. </w:t>
      </w:r>
      <w:r w:rsidRPr="00297685">
        <w:rPr>
          <w:rFonts w:ascii="Calibri" w:hAnsi="Calibri" w:cs="Calibri"/>
          <w:i/>
          <w:iCs/>
          <w:sz w:val="18"/>
          <w:szCs w:val="18"/>
        </w:rPr>
        <w:t>Front. Bioeng. Biotechnol.</w:t>
      </w:r>
      <w:r w:rsidRPr="00297685">
        <w:rPr>
          <w:rFonts w:ascii="Calibri" w:hAnsi="Calibri" w:cs="Calibri"/>
          <w:sz w:val="18"/>
          <w:szCs w:val="18"/>
        </w:rPr>
        <w:t xml:space="preserve"> </w:t>
      </w:r>
      <w:r w:rsidRPr="00297685">
        <w:rPr>
          <w:rFonts w:ascii="Calibri" w:hAnsi="Calibri" w:cs="Calibri"/>
          <w:b/>
          <w:bCs/>
          <w:sz w:val="18"/>
          <w:szCs w:val="18"/>
        </w:rPr>
        <w:t>10</w:t>
      </w:r>
      <w:r w:rsidRPr="00297685">
        <w:rPr>
          <w:rFonts w:ascii="Calibri" w:hAnsi="Calibri" w:cs="Calibri"/>
          <w:sz w:val="18"/>
          <w:szCs w:val="18"/>
        </w:rPr>
        <w:t>, (2022).</w:t>
      </w:r>
    </w:p>
    <w:p w14:paraId="050F94BD"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199.</w:t>
      </w:r>
      <w:r w:rsidRPr="00297685">
        <w:rPr>
          <w:rFonts w:ascii="Calibri" w:hAnsi="Calibri" w:cs="Calibri"/>
          <w:sz w:val="18"/>
          <w:szCs w:val="18"/>
        </w:rPr>
        <w:tab/>
        <w:t xml:space="preserve">Marami, H. </w:t>
      </w:r>
      <w:r w:rsidRPr="00297685">
        <w:rPr>
          <w:rFonts w:ascii="Calibri" w:hAnsi="Calibri" w:cs="Calibri"/>
          <w:i/>
          <w:iCs/>
          <w:sz w:val="18"/>
          <w:szCs w:val="18"/>
        </w:rPr>
        <w:t>et al.</w:t>
      </w:r>
      <w:r w:rsidRPr="00297685">
        <w:rPr>
          <w:rFonts w:ascii="Calibri" w:hAnsi="Calibri" w:cs="Calibri"/>
          <w:sz w:val="18"/>
          <w:szCs w:val="18"/>
        </w:rPr>
        <w:t xml:space="preserve"> Bridging to circular bioeconomy through a novel biorefinery platform on a wastewater treatment plant. </w:t>
      </w:r>
      <w:r w:rsidRPr="00297685">
        <w:rPr>
          <w:rFonts w:ascii="Calibri" w:hAnsi="Calibri" w:cs="Calibri"/>
          <w:i/>
          <w:iCs/>
          <w:sz w:val="18"/>
          <w:szCs w:val="18"/>
        </w:rPr>
        <w:t>Renew. Sust. Energ. Rev.</w:t>
      </w:r>
      <w:r w:rsidRPr="00297685">
        <w:rPr>
          <w:rFonts w:ascii="Calibri" w:hAnsi="Calibri" w:cs="Calibri"/>
          <w:sz w:val="18"/>
          <w:szCs w:val="18"/>
        </w:rPr>
        <w:t xml:space="preserve"> </w:t>
      </w:r>
      <w:r w:rsidRPr="00297685">
        <w:rPr>
          <w:rFonts w:ascii="Calibri" w:hAnsi="Calibri" w:cs="Calibri"/>
          <w:b/>
          <w:bCs/>
          <w:sz w:val="18"/>
          <w:szCs w:val="18"/>
        </w:rPr>
        <w:t>154</w:t>
      </w:r>
      <w:r w:rsidRPr="00297685">
        <w:rPr>
          <w:rFonts w:ascii="Calibri" w:hAnsi="Calibri" w:cs="Calibri"/>
          <w:sz w:val="18"/>
          <w:szCs w:val="18"/>
        </w:rPr>
        <w:t>, 111895 (2022).</w:t>
      </w:r>
    </w:p>
    <w:p w14:paraId="41C9D84C"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200.</w:t>
      </w:r>
      <w:r w:rsidRPr="00297685">
        <w:rPr>
          <w:rFonts w:ascii="Calibri" w:hAnsi="Calibri" w:cs="Calibri"/>
          <w:sz w:val="18"/>
          <w:szCs w:val="18"/>
        </w:rPr>
        <w:tab/>
        <w:t xml:space="preserve">Li, R. </w:t>
      </w:r>
      <w:r w:rsidRPr="00297685">
        <w:rPr>
          <w:rFonts w:ascii="Calibri" w:hAnsi="Calibri" w:cs="Calibri"/>
          <w:i/>
          <w:iCs/>
          <w:sz w:val="18"/>
          <w:szCs w:val="18"/>
        </w:rPr>
        <w:t>et al.</w:t>
      </w:r>
      <w:r w:rsidRPr="00297685">
        <w:rPr>
          <w:rFonts w:ascii="Calibri" w:hAnsi="Calibri" w:cs="Calibri"/>
          <w:sz w:val="18"/>
          <w:szCs w:val="18"/>
        </w:rPr>
        <w:t xml:space="preserve"> From anaerobic digestion to single cell protein synthesis: A promising route beyond biogas utilization. </w:t>
      </w:r>
      <w:r w:rsidRPr="00297685">
        <w:rPr>
          <w:rFonts w:ascii="Calibri" w:hAnsi="Calibri" w:cs="Calibri"/>
          <w:i/>
          <w:iCs/>
          <w:sz w:val="18"/>
          <w:szCs w:val="18"/>
        </w:rPr>
        <w:t>Water Research</w:t>
      </w:r>
      <w:r w:rsidRPr="00297685">
        <w:rPr>
          <w:rFonts w:ascii="Calibri" w:hAnsi="Calibri" w:cs="Calibri"/>
          <w:sz w:val="18"/>
          <w:szCs w:val="18"/>
        </w:rPr>
        <w:t xml:space="preserve"> </w:t>
      </w:r>
      <w:r w:rsidRPr="00297685">
        <w:rPr>
          <w:rFonts w:ascii="Calibri" w:hAnsi="Calibri" w:cs="Calibri"/>
          <w:b/>
          <w:bCs/>
          <w:sz w:val="18"/>
          <w:szCs w:val="18"/>
        </w:rPr>
        <w:t>243</w:t>
      </w:r>
      <w:r w:rsidRPr="00297685">
        <w:rPr>
          <w:rFonts w:ascii="Calibri" w:hAnsi="Calibri" w:cs="Calibri"/>
          <w:sz w:val="18"/>
          <w:szCs w:val="18"/>
        </w:rPr>
        <w:t>, 120417 (2023).</w:t>
      </w:r>
    </w:p>
    <w:p w14:paraId="777BB9F1"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201.</w:t>
      </w:r>
      <w:r w:rsidRPr="00297685">
        <w:rPr>
          <w:rFonts w:ascii="Calibri" w:hAnsi="Calibri" w:cs="Calibri"/>
          <w:sz w:val="18"/>
          <w:szCs w:val="18"/>
        </w:rPr>
        <w:tab/>
        <w:t xml:space="preserve">Vlaeminck, E. </w:t>
      </w:r>
      <w:r w:rsidRPr="00297685">
        <w:rPr>
          <w:rFonts w:ascii="Calibri" w:hAnsi="Calibri" w:cs="Calibri"/>
          <w:i/>
          <w:iCs/>
          <w:sz w:val="18"/>
          <w:szCs w:val="18"/>
        </w:rPr>
        <w:t>et al.</w:t>
      </w:r>
      <w:r w:rsidRPr="00297685">
        <w:rPr>
          <w:rFonts w:ascii="Calibri" w:hAnsi="Calibri" w:cs="Calibri"/>
          <w:sz w:val="18"/>
          <w:szCs w:val="18"/>
        </w:rPr>
        <w:t xml:space="preserve"> Single-Cell Protein Production from Industrial Off-Gas through Acetate: Techno-</w:t>
      </w:r>
      <w:r w:rsidRPr="00297685">
        <w:rPr>
          <w:rFonts w:ascii="Calibri" w:hAnsi="Calibri" w:cs="Calibri"/>
          <w:sz w:val="18"/>
          <w:szCs w:val="18"/>
        </w:rPr>
        <w:lastRenderedPageBreak/>
        <w:t xml:space="preserve">Economic Analysis for a Coupled Fermentation Approach. </w:t>
      </w:r>
      <w:r w:rsidRPr="00297685">
        <w:rPr>
          <w:rFonts w:ascii="Calibri" w:hAnsi="Calibri" w:cs="Calibri"/>
          <w:i/>
          <w:iCs/>
          <w:sz w:val="18"/>
          <w:szCs w:val="18"/>
        </w:rPr>
        <w:t>Fermentation</w:t>
      </w:r>
      <w:r w:rsidRPr="00297685">
        <w:rPr>
          <w:rFonts w:ascii="Calibri" w:hAnsi="Calibri" w:cs="Calibri"/>
          <w:sz w:val="18"/>
          <w:szCs w:val="18"/>
        </w:rPr>
        <w:t xml:space="preserve"> </w:t>
      </w:r>
      <w:r w:rsidRPr="00297685">
        <w:rPr>
          <w:rFonts w:ascii="Calibri" w:hAnsi="Calibri" w:cs="Calibri"/>
          <w:b/>
          <w:bCs/>
          <w:sz w:val="18"/>
          <w:szCs w:val="18"/>
        </w:rPr>
        <w:t>9</w:t>
      </w:r>
      <w:r w:rsidRPr="00297685">
        <w:rPr>
          <w:rFonts w:ascii="Calibri" w:hAnsi="Calibri" w:cs="Calibri"/>
          <w:sz w:val="18"/>
          <w:szCs w:val="18"/>
        </w:rPr>
        <w:t>, 771 (2023).</w:t>
      </w:r>
    </w:p>
    <w:p w14:paraId="609946B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202.</w:t>
      </w:r>
      <w:r w:rsidRPr="00297685">
        <w:rPr>
          <w:rFonts w:ascii="Calibri" w:hAnsi="Calibri" w:cs="Calibri"/>
          <w:sz w:val="18"/>
          <w:szCs w:val="18"/>
        </w:rPr>
        <w:tab/>
        <w:t xml:space="preserve">Jean, A. B. &amp; Brown, R. C. Techno-Economic Analysis of Gas Fermentation for the Production of Single Cell Protein. </w:t>
      </w:r>
      <w:r w:rsidRPr="00297685">
        <w:rPr>
          <w:rFonts w:ascii="Calibri" w:hAnsi="Calibri" w:cs="Calibri"/>
          <w:i/>
          <w:iCs/>
          <w:sz w:val="18"/>
          <w:szCs w:val="18"/>
        </w:rPr>
        <w:t>Environ. Sci. Technol.</w:t>
      </w:r>
      <w:r w:rsidRPr="00297685">
        <w:rPr>
          <w:rFonts w:ascii="Calibri" w:hAnsi="Calibri" w:cs="Calibri"/>
          <w:sz w:val="18"/>
          <w:szCs w:val="18"/>
        </w:rPr>
        <w:t xml:space="preserve"> </w:t>
      </w:r>
      <w:r w:rsidRPr="00297685">
        <w:rPr>
          <w:rFonts w:ascii="Calibri" w:hAnsi="Calibri" w:cs="Calibri"/>
          <w:b/>
          <w:bCs/>
          <w:sz w:val="18"/>
          <w:szCs w:val="18"/>
        </w:rPr>
        <w:t>58</w:t>
      </w:r>
      <w:r w:rsidRPr="00297685">
        <w:rPr>
          <w:rFonts w:ascii="Calibri" w:hAnsi="Calibri" w:cs="Calibri"/>
          <w:sz w:val="18"/>
          <w:szCs w:val="18"/>
        </w:rPr>
        <w:t>, 3823–3829 (2024).</w:t>
      </w:r>
    </w:p>
    <w:p w14:paraId="7339BCC1"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203.</w:t>
      </w:r>
      <w:r w:rsidRPr="00297685">
        <w:rPr>
          <w:rFonts w:ascii="Calibri" w:hAnsi="Calibri" w:cs="Calibri"/>
          <w:sz w:val="18"/>
          <w:szCs w:val="18"/>
        </w:rPr>
        <w:tab/>
        <w:t xml:space="preserve">Huizing, H. J. </w:t>
      </w:r>
      <w:r w:rsidRPr="00297685">
        <w:rPr>
          <w:rFonts w:ascii="Calibri" w:hAnsi="Calibri" w:cs="Calibri"/>
          <w:i/>
          <w:iCs/>
          <w:sz w:val="18"/>
          <w:szCs w:val="18"/>
        </w:rPr>
        <w:t>Single Cell Protein (SCP) als alternatief voor soja: een haalbaarheidsstudie</w:t>
      </w:r>
      <w:r w:rsidRPr="00297685">
        <w:rPr>
          <w:rFonts w:ascii="Calibri" w:hAnsi="Calibri" w:cs="Calibri"/>
          <w:sz w:val="18"/>
          <w:szCs w:val="18"/>
        </w:rPr>
        <w:t>. http://edepot.wur.nl/116725 (2005).</w:t>
      </w:r>
    </w:p>
    <w:p w14:paraId="090B2AC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204.</w:t>
      </w:r>
      <w:r w:rsidRPr="00297685">
        <w:rPr>
          <w:rFonts w:ascii="Calibri" w:hAnsi="Calibri" w:cs="Calibri"/>
          <w:sz w:val="18"/>
          <w:szCs w:val="18"/>
        </w:rPr>
        <w:tab/>
        <w:t xml:space="preserve">Alvarado, K. A., García Martínez, J. B., Matassa, S., Egbejimba, J. &amp; Denkenberger, D. Food in space from hydrogen-oxidizing bacteria. </w:t>
      </w:r>
      <w:r w:rsidRPr="00297685">
        <w:rPr>
          <w:rFonts w:ascii="Calibri" w:hAnsi="Calibri" w:cs="Calibri"/>
          <w:i/>
          <w:iCs/>
          <w:sz w:val="18"/>
          <w:szCs w:val="18"/>
        </w:rPr>
        <w:t>Acta Astronaut.</w:t>
      </w:r>
      <w:r w:rsidRPr="00297685">
        <w:rPr>
          <w:rFonts w:ascii="Calibri" w:hAnsi="Calibri" w:cs="Calibri"/>
          <w:sz w:val="18"/>
          <w:szCs w:val="18"/>
        </w:rPr>
        <w:t xml:space="preserve"> </w:t>
      </w:r>
      <w:r w:rsidRPr="00297685">
        <w:rPr>
          <w:rFonts w:ascii="Calibri" w:hAnsi="Calibri" w:cs="Calibri"/>
          <w:b/>
          <w:bCs/>
          <w:sz w:val="18"/>
          <w:szCs w:val="18"/>
        </w:rPr>
        <w:t>180</w:t>
      </w:r>
      <w:r w:rsidRPr="00297685">
        <w:rPr>
          <w:rFonts w:ascii="Calibri" w:hAnsi="Calibri" w:cs="Calibri"/>
          <w:sz w:val="18"/>
          <w:szCs w:val="18"/>
        </w:rPr>
        <w:t>, 260–265 (2021).</w:t>
      </w:r>
    </w:p>
    <w:p w14:paraId="0C7404A9"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205.</w:t>
      </w:r>
      <w:r w:rsidRPr="00297685">
        <w:rPr>
          <w:rFonts w:ascii="Calibri" w:hAnsi="Calibri" w:cs="Calibri"/>
          <w:sz w:val="18"/>
          <w:szCs w:val="18"/>
        </w:rPr>
        <w:tab/>
        <w:t xml:space="preserve">Nyyssölä, A. </w:t>
      </w:r>
      <w:r w:rsidRPr="00297685">
        <w:rPr>
          <w:rFonts w:ascii="Calibri" w:hAnsi="Calibri" w:cs="Calibri"/>
          <w:i/>
          <w:iCs/>
          <w:sz w:val="18"/>
          <w:szCs w:val="18"/>
        </w:rPr>
        <w:t>et al.</w:t>
      </w:r>
      <w:r w:rsidRPr="00297685">
        <w:rPr>
          <w:rFonts w:ascii="Calibri" w:hAnsi="Calibri" w:cs="Calibri"/>
          <w:sz w:val="18"/>
          <w:szCs w:val="18"/>
        </w:rPr>
        <w:t xml:space="preserve"> Production of Endotoxin-Free Microbial Biomass for Food Applications by Gas Fermentation of Gram-Positive H2-Oxidizing Bacteria. </w:t>
      </w:r>
      <w:r w:rsidRPr="00297685">
        <w:rPr>
          <w:rFonts w:ascii="Calibri" w:hAnsi="Calibri" w:cs="Calibri"/>
          <w:i/>
          <w:iCs/>
          <w:sz w:val="18"/>
          <w:szCs w:val="18"/>
        </w:rPr>
        <w:t>ACS Food Sci. Technol.</w:t>
      </w:r>
      <w:r w:rsidRPr="00297685">
        <w:rPr>
          <w:rFonts w:ascii="Calibri" w:hAnsi="Calibri" w:cs="Calibri"/>
          <w:sz w:val="18"/>
          <w:szCs w:val="18"/>
        </w:rPr>
        <w:t xml:space="preserve"> (2021) doi:10.1021/acsfoodscitech.0c00129.</w:t>
      </w:r>
    </w:p>
    <w:p w14:paraId="59E3730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206.</w:t>
      </w:r>
      <w:r w:rsidRPr="00297685">
        <w:rPr>
          <w:rFonts w:ascii="Calibri" w:hAnsi="Calibri" w:cs="Calibri"/>
          <w:sz w:val="18"/>
          <w:szCs w:val="18"/>
        </w:rPr>
        <w:tab/>
        <w:t xml:space="preserve">Ruuskanen, V. </w:t>
      </w:r>
      <w:r w:rsidRPr="00297685">
        <w:rPr>
          <w:rFonts w:ascii="Calibri" w:hAnsi="Calibri" w:cs="Calibri"/>
          <w:i/>
          <w:iCs/>
          <w:sz w:val="18"/>
          <w:szCs w:val="18"/>
        </w:rPr>
        <w:t>et al.</w:t>
      </w:r>
      <w:r w:rsidRPr="00297685">
        <w:rPr>
          <w:rFonts w:ascii="Calibri" w:hAnsi="Calibri" w:cs="Calibri"/>
          <w:sz w:val="18"/>
          <w:szCs w:val="18"/>
        </w:rPr>
        <w:t xml:space="preserve"> Neo-Carbon Food concept: A pilot-scale hybrid biological–inorganic system with direct air capture of carbon dioxide. </w:t>
      </w:r>
      <w:r w:rsidRPr="00297685">
        <w:rPr>
          <w:rFonts w:ascii="Calibri" w:hAnsi="Calibri" w:cs="Calibri"/>
          <w:i/>
          <w:iCs/>
          <w:sz w:val="18"/>
          <w:szCs w:val="18"/>
        </w:rPr>
        <w:t>Journal of Cleaner Production</w:t>
      </w:r>
      <w:r w:rsidRPr="00297685">
        <w:rPr>
          <w:rFonts w:ascii="Calibri" w:hAnsi="Calibri" w:cs="Calibri"/>
          <w:sz w:val="18"/>
          <w:szCs w:val="18"/>
        </w:rPr>
        <w:t xml:space="preserve"> </w:t>
      </w:r>
      <w:r w:rsidRPr="00297685">
        <w:rPr>
          <w:rFonts w:ascii="Calibri" w:hAnsi="Calibri" w:cs="Calibri"/>
          <w:b/>
          <w:bCs/>
          <w:sz w:val="18"/>
          <w:szCs w:val="18"/>
        </w:rPr>
        <w:t>278</w:t>
      </w:r>
      <w:r w:rsidRPr="00297685">
        <w:rPr>
          <w:rFonts w:ascii="Calibri" w:hAnsi="Calibri" w:cs="Calibri"/>
          <w:sz w:val="18"/>
          <w:szCs w:val="18"/>
        </w:rPr>
        <w:t>, 123423 (2021).</w:t>
      </w:r>
    </w:p>
    <w:p w14:paraId="05BFBC44"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207.</w:t>
      </w:r>
      <w:r w:rsidRPr="00297685">
        <w:rPr>
          <w:rFonts w:ascii="Calibri" w:hAnsi="Calibri" w:cs="Calibri"/>
          <w:sz w:val="18"/>
          <w:szCs w:val="18"/>
        </w:rPr>
        <w:tab/>
        <w:t xml:space="preserve">Acosta, N. </w:t>
      </w:r>
      <w:r w:rsidRPr="00297685">
        <w:rPr>
          <w:rFonts w:ascii="Calibri" w:hAnsi="Calibri" w:cs="Calibri"/>
          <w:i/>
          <w:iCs/>
          <w:sz w:val="18"/>
          <w:szCs w:val="18"/>
        </w:rPr>
        <w:t>et al.</w:t>
      </w:r>
      <w:r w:rsidRPr="00297685">
        <w:rPr>
          <w:rFonts w:ascii="Calibri" w:hAnsi="Calibri" w:cs="Calibri"/>
          <w:sz w:val="18"/>
          <w:szCs w:val="18"/>
        </w:rPr>
        <w:t xml:space="preserve"> Microbial protein production from methane via electrochemical biogas upgrading. </w:t>
      </w:r>
      <w:r w:rsidRPr="00297685">
        <w:rPr>
          <w:rFonts w:ascii="Calibri" w:hAnsi="Calibri" w:cs="Calibri"/>
          <w:i/>
          <w:iCs/>
          <w:sz w:val="18"/>
          <w:szCs w:val="18"/>
        </w:rPr>
        <w:t>Chem. Eng. J.</w:t>
      </w:r>
      <w:r w:rsidRPr="00297685">
        <w:rPr>
          <w:rFonts w:ascii="Calibri" w:hAnsi="Calibri" w:cs="Calibri"/>
          <w:sz w:val="18"/>
          <w:szCs w:val="18"/>
        </w:rPr>
        <w:t xml:space="preserve"> </w:t>
      </w:r>
      <w:r w:rsidRPr="00297685">
        <w:rPr>
          <w:rFonts w:ascii="Calibri" w:hAnsi="Calibri" w:cs="Calibri"/>
          <w:b/>
          <w:bCs/>
          <w:sz w:val="18"/>
          <w:szCs w:val="18"/>
        </w:rPr>
        <w:t>391</w:t>
      </w:r>
      <w:r w:rsidRPr="00297685">
        <w:rPr>
          <w:rFonts w:ascii="Calibri" w:hAnsi="Calibri" w:cs="Calibri"/>
          <w:sz w:val="18"/>
          <w:szCs w:val="18"/>
        </w:rPr>
        <w:t>, 123625 (2020).</w:t>
      </w:r>
    </w:p>
    <w:p w14:paraId="27A63A7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208.</w:t>
      </w:r>
      <w:r w:rsidRPr="00297685">
        <w:rPr>
          <w:rFonts w:ascii="Calibri" w:hAnsi="Calibri" w:cs="Calibri"/>
          <w:sz w:val="18"/>
          <w:szCs w:val="18"/>
        </w:rPr>
        <w:tab/>
        <w:t xml:space="preserve">Reed, J., Geller, J. &amp; McDaniel, R. </w:t>
      </w:r>
      <w:r w:rsidRPr="00297685">
        <w:rPr>
          <w:rFonts w:ascii="Calibri" w:hAnsi="Calibri" w:cs="Calibri"/>
          <w:i/>
          <w:iCs/>
          <w:sz w:val="18"/>
          <w:szCs w:val="18"/>
        </w:rPr>
        <w:t>CO2 Conversion by Knallgas Microorganism - Evaluation of Products and Processes</w:t>
      </w:r>
      <w:r w:rsidRPr="00297685">
        <w:rPr>
          <w:rFonts w:ascii="Calibri" w:hAnsi="Calibri" w:cs="Calibri"/>
          <w:sz w:val="18"/>
          <w:szCs w:val="18"/>
        </w:rPr>
        <w:t>. 133 https://pdfslide.net/documents/co2-conversion-by-knallgas-microorganism-pilot-plant-description-66.html (2017).</w:t>
      </w:r>
    </w:p>
    <w:p w14:paraId="2F1CF4AB" w14:textId="0025248F"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209.</w:t>
      </w:r>
      <w:r w:rsidRPr="00297685">
        <w:rPr>
          <w:rFonts w:ascii="Calibri" w:hAnsi="Calibri" w:cs="Calibri"/>
          <w:sz w:val="18"/>
          <w:szCs w:val="18"/>
        </w:rPr>
        <w:tab/>
        <w:t xml:space="preserve">Pelagalli, V. </w:t>
      </w:r>
      <w:r w:rsidRPr="00297685">
        <w:rPr>
          <w:rFonts w:ascii="Calibri" w:hAnsi="Calibri" w:cs="Calibri"/>
          <w:i/>
          <w:iCs/>
          <w:sz w:val="18"/>
          <w:szCs w:val="18"/>
        </w:rPr>
        <w:t>et al.</w:t>
      </w:r>
      <w:r w:rsidRPr="00297685">
        <w:rPr>
          <w:rFonts w:ascii="Calibri" w:hAnsi="Calibri" w:cs="Calibri"/>
          <w:sz w:val="18"/>
          <w:szCs w:val="18"/>
        </w:rPr>
        <w:t xml:space="preserve"> Syngas-driven sewage sludge conversion to microbial protein through H2S- and CO-tolerant hydrogen-oxidizing bacteria. </w:t>
      </w:r>
      <w:r w:rsidRPr="00297685">
        <w:rPr>
          <w:rFonts w:ascii="Calibri" w:hAnsi="Calibri" w:cs="Calibri"/>
          <w:i/>
          <w:iCs/>
          <w:sz w:val="18"/>
          <w:szCs w:val="18"/>
        </w:rPr>
        <w:t>Water Research</w:t>
      </w:r>
      <w:r w:rsidRPr="00297685">
        <w:rPr>
          <w:rFonts w:ascii="Calibri" w:hAnsi="Calibri" w:cs="Calibri"/>
          <w:sz w:val="18"/>
          <w:szCs w:val="18"/>
        </w:rPr>
        <w:t xml:space="preserve"> 120698 (2023).</w:t>
      </w:r>
    </w:p>
    <w:p w14:paraId="04E30204"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210.</w:t>
      </w:r>
      <w:r w:rsidRPr="00297685">
        <w:rPr>
          <w:rFonts w:ascii="Calibri" w:hAnsi="Calibri" w:cs="Calibri"/>
          <w:sz w:val="18"/>
          <w:szCs w:val="18"/>
        </w:rPr>
        <w:tab/>
        <w:t>Reed, J. S. Biological and Chemical Process Utilizing Chemoautotrophic Microorganisms for the Chemosynthetic Fixation of Carbon Dioxide and/or Other Inorganic Carbon Sources into Organic Compounds and the Generation of Additional Useful Products. (2019).</w:t>
      </w:r>
    </w:p>
    <w:p w14:paraId="13D1084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211.</w:t>
      </w:r>
      <w:r w:rsidRPr="00297685">
        <w:rPr>
          <w:rFonts w:ascii="Calibri" w:hAnsi="Calibri" w:cs="Calibri"/>
          <w:sz w:val="18"/>
          <w:szCs w:val="18"/>
        </w:rPr>
        <w:tab/>
        <w:t xml:space="preserve">Salehi, R. &amp; Chaiprapat, S. Conversion of biogas from anaerobic digestion to single cell protein and bio-methanol: mechanism, microorganisms and key factors - A review. </w:t>
      </w:r>
      <w:r w:rsidRPr="00297685">
        <w:rPr>
          <w:rFonts w:ascii="Calibri" w:hAnsi="Calibri" w:cs="Calibri"/>
          <w:i/>
          <w:iCs/>
          <w:sz w:val="18"/>
          <w:szCs w:val="18"/>
        </w:rPr>
        <w:t>Environmental Engineering Research</w:t>
      </w:r>
      <w:r w:rsidRPr="00297685">
        <w:rPr>
          <w:rFonts w:ascii="Calibri" w:hAnsi="Calibri" w:cs="Calibri"/>
          <w:sz w:val="18"/>
          <w:szCs w:val="18"/>
        </w:rPr>
        <w:t xml:space="preserve"> </w:t>
      </w:r>
      <w:r w:rsidRPr="00297685">
        <w:rPr>
          <w:rFonts w:ascii="Calibri" w:hAnsi="Calibri" w:cs="Calibri"/>
          <w:b/>
          <w:bCs/>
          <w:sz w:val="18"/>
          <w:szCs w:val="18"/>
        </w:rPr>
        <w:t>27</w:t>
      </w:r>
      <w:r w:rsidRPr="00297685">
        <w:rPr>
          <w:rFonts w:ascii="Calibri" w:hAnsi="Calibri" w:cs="Calibri"/>
          <w:sz w:val="18"/>
          <w:szCs w:val="18"/>
        </w:rPr>
        <w:t>, 210109–0 (2021).</w:t>
      </w:r>
    </w:p>
    <w:p w14:paraId="553767CE"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212.</w:t>
      </w:r>
      <w:r w:rsidRPr="00297685">
        <w:rPr>
          <w:rFonts w:ascii="Calibri" w:hAnsi="Calibri" w:cs="Calibri"/>
          <w:sz w:val="18"/>
          <w:szCs w:val="18"/>
        </w:rPr>
        <w:tab/>
        <w:t xml:space="preserve">Wang, D.-H. </w:t>
      </w:r>
      <w:r w:rsidRPr="00297685">
        <w:rPr>
          <w:rFonts w:ascii="Calibri" w:hAnsi="Calibri" w:cs="Calibri"/>
          <w:i/>
          <w:iCs/>
          <w:sz w:val="18"/>
          <w:szCs w:val="18"/>
        </w:rPr>
        <w:t>et al.</w:t>
      </w:r>
      <w:r w:rsidRPr="00297685">
        <w:rPr>
          <w:rFonts w:ascii="Calibri" w:hAnsi="Calibri" w:cs="Calibri"/>
          <w:sz w:val="18"/>
          <w:szCs w:val="18"/>
        </w:rPr>
        <w:t xml:space="preserve"> Conversion of Renewable Biogas into Single-Cell Protein Using a Combined Microalga- and Methane-Oxidizing Bacterial System. </w:t>
      </w:r>
      <w:r w:rsidRPr="00297685">
        <w:rPr>
          <w:rFonts w:ascii="Calibri" w:hAnsi="Calibri" w:cs="Calibri"/>
          <w:i/>
          <w:iCs/>
          <w:sz w:val="18"/>
          <w:szCs w:val="18"/>
        </w:rPr>
        <w:t>ACS EST Eng.</w:t>
      </w:r>
      <w:r w:rsidRPr="00297685">
        <w:rPr>
          <w:rFonts w:ascii="Calibri" w:hAnsi="Calibri" w:cs="Calibri"/>
          <w:sz w:val="18"/>
          <w:szCs w:val="18"/>
        </w:rPr>
        <w:t xml:space="preserve"> (2022) doi:10.1021/acsestengg.2c00237.</w:t>
      </w:r>
    </w:p>
    <w:p w14:paraId="499625C6"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213.</w:t>
      </w:r>
      <w:r w:rsidRPr="00297685">
        <w:rPr>
          <w:rFonts w:ascii="Calibri" w:hAnsi="Calibri" w:cs="Calibri"/>
          <w:sz w:val="18"/>
          <w:szCs w:val="18"/>
        </w:rPr>
        <w:tab/>
        <w:t xml:space="preserve">Steinberg, L. M., Kronyak, R. E. &amp; House, C. H. Coupling of anaerobic waste treatment to produce protein- and lipid-rich bacterial biomass. </w:t>
      </w:r>
      <w:r w:rsidRPr="00297685">
        <w:rPr>
          <w:rFonts w:ascii="Calibri" w:hAnsi="Calibri" w:cs="Calibri"/>
          <w:i/>
          <w:iCs/>
          <w:sz w:val="18"/>
          <w:szCs w:val="18"/>
        </w:rPr>
        <w:t>Life Sci. Space Res.</w:t>
      </w:r>
      <w:r w:rsidRPr="00297685">
        <w:rPr>
          <w:rFonts w:ascii="Calibri" w:hAnsi="Calibri" w:cs="Calibri"/>
          <w:sz w:val="18"/>
          <w:szCs w:val="18"/>
        </w:rPr>
        <w:t xml:space="preserve"> </w:t>
      </w:r>
      <w:r w:rsidRPr="00297685">
        <w:rPr>
          <w:rFonts w:ascii="Calibri" w:hAnsi="Calibri" w:cs="Calibri"/>
          <w:b/>
          <w:bCs/>
          <w:sz w:val="18"/>
          <w:szCs w:val="18"/>
        </w:rPr>
        <w:t>15</w:t>
      </w:r>
      <w:r w:rsidRPr="00297685">
        <w:rPr>
          <w:rFonts w:ascii="Calibri" w:hAnsi="Calibri" w:cs="Calibri"/>
          <w:sz w:val="18"/>
          <w:szCs w:val="18"/>
        </w:rPr>
        <w:t>, 32–42 (2017).</w:t>
      </w:r>
    </w:p>
    <w:p w14:paraId="2033F1E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214.</w:t>
      </w:r>
      <w:r w:rsidRPr="00297685">
        <w:rPr>
          <w:rFonts w:ascii="Calibri" w:hAnsi="Calibri" w:cs="Calibri"/>
          <w:sz w:val="18"/>
          <w:szCs w:val="18"/>
        </w:rPr>
        <w:tab/>
        <w:t xml:space="preserve">Zha, X. </w:t>
      </w:r>
      <w:r w:rsidRPr="00297685">
        <w:rPr>
          <w:rFonts w:ascii="Calibri" w:hAnsi="Calibri" w:cs="Calibri"/>
          <w:i/>
          <w:iCs/>
          <w:sz w:val="18"/>
          <w:szCs w:val="18"/>
        </w:rPr>
        <w:t>et al.</w:t>
      </w:r>
      <w:r w:rsidRPr="00297685">
        <w:rPr>
          <w:rFonts w:ascii="Calibri" w:hAnsi="Calibri" w:cs="Calibri"/>
          <w:sz w:val="18"/>
          <w:szCs w:val="18"/>
        </w:rPr>
        <w:t xml:space="preserve"> Bioconversion of wastewater to single cell protein by methanotrophic bacteria. </w:t>
      </w:r>
      <w:r w:rsidRPr="00297685">
        <w:rPr>
          <w:rFonts w:ascii="Calibri" w:hAnsi="Calibri" w:cs="Calibri"/>
          <w:i/>
          <w:iCs/>
          <w:sz w:val="18"/>
          <w:szCs w:val="18"/>
        </w:rPr>
        <w:t>Bioresource Technology</w:t>
      </w:r>
      <w:r w:rsidRPr="00297685">
        <w:rPr>
          <w:rFonts w:ascii="Calibri" w:hAnsi="Calibri" w:cs="Calibri"/>
          <w:sz w:val="18"/>
          <w:szCs w:val="18"/>
        </w:rPr>
        <w:t xml:space="preserve"> </w:t>
      </w:r>
      <w:r w:rsidRPr="00297685">
        <w:rPr>
          <w:rFonts w:ascii="Calibri" w:hAnsi="Calibri" w:cs="Calibri"/>
          <w:b/>
          <w:bCs/>
          <w:sz w:val="18"/>
          <w:szCs w:val="18"/>
        </w:rPr>
        <w:t>320</w:t>
      </w:r>
      <w:r w:rsidRPr="00297685">
        <w:rPr>
          <w:rFonts w:ascii="Calibri" w:hAnsi="Calibri" w:cs="Calibri"/>
          <w:sz w:val="18"/>
          <w:szCs w:val="18"/>
        </w:rPr>
        <w:t>, 124351 (2021).</w:t>
      </w:r>
    </w:p>
    <w:p w14:paraId="03D3DDA6"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215.</w:t>
      </w:r>
      <w:r w:rsidRPr="00297685">
        <w:rPr>
          <w:rFonts w:ascii="Calibri" w:hAnsi="Calibri" w:cs="Calibri"/>
          <w:sz w:val="18"/>
          <w:szCs w:val="18"/>
        </w:rPr>
        <w:tab/>
        <w:t>Xu, M. Beyond the farm: Bioinorganic electro- synthesis of single cell protein from CO2 and green electricity. (Technical University of Denmark, 2021).</w:t>
      </w:r>
    </w:p>
    <w:p w14:paraId="71EADBA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216.</w:t>
      </w:r>
      <w:r w:rsidRPr="00297685">
        <w:rPr>
          <w:rFonts w:ascii="Calibri" w:hAnsi="Calibri" w:cs="Calibri"/>
          <w:sz w:val="18"/>
          <w:szCs w:val="18"/>
        </w:rPr>
        <w:tab/>
        <w:t xml:space="preserve">Christiaens, M. E. R. </w:t>
      </w:r>
      <w:r w:rsidRPr="00297685">
        <w:rPr>
          <w:rFonts w:ascii="Calibri" w:hAnsi="Calibri" w:cs="Calibri"/>
          <w:i/>
          <w:iCs/>
          <w:sz w:val="18"/>
          <w:szCs w:val="18"/>
        </w:rPr>
        <w:t>et al.</w:t>
      </w:r>
      <w:r w:rsidRPr="00297685">
        <w:rPr>
          <w:rFonts w:ascii="Calibri" w:hAnsi="Calibri" w:cs="Calibri"/>
          <w:sz w:val="18"/>
          <w:szCs w:val="18"/>
        </w:rPr>
        <w:t xml:space="preserve"> Electrochemical Ammonia Recovery from Source-Separated Urine for Microbial Protein Production. </w:t>
      </w:r>
      <w:r w:rsidRPr="00297685">
        <w:rPr>
          <w:rFonts w:ascii="Calibri" w:hAnsi="Calibri" w:cs="Calibri"/>
          <w:i/>
          <w:iCs/>
          <w:sz w:val="18"/>
          <w:szCs w:val="18"/>
        </w:rPr>
        <w:t>Environ. Sci. Technol.</w:t>
      </w:r>
      <w:r w:rsidRPr="00297685">
        <w:rPr>
          <w:rFonts w:ascii="Calibri" w:hAnsi="Calibri" w:cs="Calibri"/>
          <w:sz w:val="18"/>
          <w:szCs w:val="18"/>
        </w:rPr>
        <w:t xml:space="preserve"> </w:t>
      </w:r>
      <w:r w:rsidRPr="00297685">
        <w:rPr>
          <w:rFonts w:ascii="Calibri" w:hAnsi="Calibri" w:cs="Calibri"/>
          <w:b/>
          <w:bCs/>
          <w:sz w:val="18"/>
          <w:szCs w:val="18"/>
        </w:rPr>
        <w:t>51</w:t>
      </w:r>
      <w:r w:rsidRPr="00297685">
        <w:rPr>
          <w:rFonts w:ascii="Calibri" w:hAnsi="Calibri" w:cs="Calibri"/>
          <w:sz w:val="18"/>
          <w:szCs w:val="18"/>
        </w:rPr>
        <w:t>, 13143–13150 (2017).</w:t>
      </w:r>
    </w:p>
    <w:p w14:paraId="59F99844"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217.</w:t>
      </w:r>
      <w:r w:rsidRPr="00297685">
        <w:rPr>
          <w:rFonts w:ascii="Calibri" w:hAnsi="Calibri" w:cs="Calibri"/>
          <w:sz w:val="18"/>
          <w:szCs w:val="18"/>
        </w:rPr>
        <w:tab/>
        <w:t xml:space="preserve">Kerckhof, F.-M. </w:t>
      </w:r>
      <w:r w:rsidRPr="00297685">
        <w:rPr>
          <w:rFonts w:ascii="Calibri" w:hAnsi="Calibri" w:cs="Calibri"/>
          <w:i/>
          <w:iCs/>
          <w:sz w:val="18"/>
          <w:szCs w:val="18"/>
        </w:rPr>
        <w:t>et al.</w:t>
      </w:r>
      <w:r w:rsidRPr="00297685">
        <w:rPr>
          <w:rFonts w:ascii="Calibri" w:hAnsi="Calibri" w:cs="Calibri"/>
          <w:sz w:val="18"/>
          <w:szCs w:val="18"/>
        </w:rPr>
        <w:t xml:space="preserve"> From Biogas and Hydrogen to Microbial Protein Through Co-Cultivation of Methane and Hydrogen Oxidizing Bacteria. </w:t>
      </w:r>
      <w:r w:rsidRPr="00297685">
        <w:rPr>
          <w:rFonts w:ascii="Calibri" w:hAnsi="Calibri" w:cs="Calibri"/>
          <w:i/>
          <w:iCs/>
          <w:sz w:val="18"/>
          <w:szCs w:val="18"/>
        </w:rPr>
        <w:t>Front. Bioeng. Biotechnol.</w:t>
      </w:r>
      <w:r w:rsidRPr="00297685">
        <w:rPr>
          <w:rFonts w:ascii="Calibri" w:hAnsi="Calibri" w:cs="Calibri"/>
          <w:sz w:val="18"/>
          <w:szCs w:val="18"/>
        </w:rPr>
        <w:t xml:space="preserve"> </w:t>
      </w:r>
      <w:r w:rsidRPr="00297685">
        <w:rPr>
          <w:rFonts w:ascii="Calibri" w:hAnsi="Calibri" w:cs="Calibri"/>
          <w:b/>
          <w:bCs/>
          <w:sz w:val="18"/>
          <w:szCs w:val="18"/>
        </w:rPr>
        <w:t>9</w:t>
      </w:r>
      <w:r w:rsidRPr="00297685">
        <w:rPr>
          <w:rFonts w:ascii="Calibri" w:hAnsi="Calibri" w:cs="Calibri"/>
          <w:sz w:val="18"/>
          <w:szCs w:val="18"/>
        </w:rPr>
        <w:t>, 733753 (2021).</w:t>
      </w:r>
    </w:p>
    <w:p w14:paraId="5753599E"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218.</w:t>
      </w:r>
      <w:r w:rsidRPr="00297685">
        <w:rPr>
          <w:rFonts w:ascii="Calibri" w:hAnsi="Calibri" w:cs="Calibri"/>
          <w:sz w:val="18"/>
          <w:szCs w:val="18"/>
        </w:rPr>
        <w:tab/>
        <w:t xml:space="preserve">Zeng, D. </w:t>
      </w:r>
      <w:r w:rsidRPr="00297685">
        <w:rPr>
          <w:rFonts w:ascii="Calibri" w:hAnsi="Calibri" w:cs="Calibri"/>
          <w:i/>
          <w:iCs/>
          <w:sz w:val="18"/>
          <w:szCs w:val="18"/>
        </w:rPr>
        <w:t>et al.</w:t>
      </w:r>
      <w:r w:rsidRPr="00297685">
        <w:rPr>
          <w:rFonts w:ascii="Calibri" w:hAnsi="Calibri" w:cs="Calibri"/>
          <w:sz w:val="18"/>
          <w:szCs w:val="18"/>
        </w:rPr>
        <w:t xml:space="preserve"> Recycling of acetate and ammonium from digestate for single cell protein production by a hybrid electrochemical-membrane fermentation process. </w:t>
      </w:r>
      <w:r w:rsidRPr="00297685">
        <w:rPr>
          <w:rFonts w:ascii="Calibri" w:hAnsi="Calibri" w:cs="Calibri"/>
          <w:i/>
          <w:iCs/>
          <w:sz w:val="18"/>
          <w:szCs w:val="18"/>
        </w:rPr>
        <w:t>Resources, Conservation and Recycling</w:t>
      </w:r>
      <w:r w:rsidRPr="00297685">
        <w:rPr>
          <w:rFonts w:ascii="Calibri" w:hAnsi="Calibri" w:cs="Calibri"/>
          <w:sz w:val="18"/>
          <w:szCs w:val="18"/>
        </w:rPr>
        <w:t xml:space="preserve"> </w:t>
      </w:r>
      <w:r w:rsidRPr="00297685">
        <w:rPr>
          <w:rFonts w:ascii="Calibri" w:hAnsi="Calibri" w:cs="Calibri"/>
          <w:b/>
          <w:bCs/>
          <w:sz w:val="18"/>
          <w:szCs w:val="18"/>
        </w:rPr>
        <w:t>188</w:t>
      </w:r>
      <w:r w:rsidRPr="00297685">
        <w:rPr>
          <w:rFonts w:ascii="Calibri" w:hAnsi="Calibri" w:cs="Calibri"/>
          <w:sz w:val="18"/>
          <w:szCs w:val="18"/>
        </w:rPr>
        <w:t>, 106705 (2023).</w:t>
      </w:r>
    </w:p>
    <w:p w14:paraId="33A1F856"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219.</w:t>
      </w:r>
      <w:r w:rsidRPr="00297685">
        <w:rPr>
          <w:rFonts w:ascii="Calibri" w:hAnsi="Calibri" w:cs="Calibri"/>
          <w:sz w:val="18"/>
          <w:szCs w:val="18"/>
        </w:rPr>
        <w:tab/>
        <w:t xml:space="preserve">Patthawaro, S. &amp; Saejung, C. Production of single cell protein from manure as animal feed by using photosynthetic bacteria. </w:t>
      </w:r>
      <w:r w:rsidRPr="00297685">
        <w:rPr>
          <w:rFonts w:ascii="Calibri" w:hAnsi="Calibri" w:cs="Calibri"/>
          <w:i/>
          <w:iCs/>
          <w:sz w:val="18"/>
          <w:szCs w:val="18"/>
        </w:rPr>
        <w:t>MicrobiologyOpen</w:t>
      </w:r>
      <w:r w:rsidRPr="00297685">
        <w:rPr>
          <w:rFonts w:ascii="Calibri" w:hAnsi="Calibri" w:cs="Calibri"/>
          <w:sz w:val="18"/>
          <w:szCs w:val="18"/>
        </w:rPr>
        <w:t xml:space="preserve"> </w:t>
      </w:r>
      <w:r w:rsidRPr="00297685">
        <w:rPr>
          <w:rFonts w:ascii="Calibri" w:hAnsi="Calibri" w:cs="Calibri"/>
          <w:b/>
          <w:bCs/>
          <w:sz w:val="18"/>
          <w:szCs w:val="18"/>
        </w:rPr>
        <w:t>8</w:t>
      </w:r>
      <w:r w:rsidRPr="00297685">
        <w:rPr>
          <w:rFonts w:ascii="Calibri" w:hAnsi="Calibri" w:cs="Calibri"/>
          <w:sz w:val="18"/>
          <w:szCs w:val="18"/>
        </w:rPr>
        <w:t>, e913 (2019).</w:t>
      </w:r>
    </w:p>
    <w:p w14:paraId="67C0D155"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220.</w:t>
      </w:r>
      <w:r w:rsidRPr="00297685">
        <w:rPr>
          <w:rFonts w:ascii="Calibri" w:hAnsi="Calibri" w:cs="Calibri"/>
          <w:sz w:val="18"/>
          <w:szCs w:val="18"/>
        </w:rPr>
        <w:tab/>
        <w:t xml:space="preserve">Tsapekos, P., Khoshnevisan, B., Zhu, X., Zha, X. &amp; Angelidaki, I. Methane oxidising bacteria to upcycle effluent streams from anaerobic digestion of municipal biowaste. </w:t>
      </w:r>
      <w:r w:rsidRPr="00297685">
        <w:rPr>
          <w:rFonts w:ascii="Calibri" w:hAnsi="Calibri" w:cs="Calibri"/>
          <w:i/>
          <w:iCs/>
          <w:sz w:val="18"/>
          <w:szCs w:val="18"/>
        </w:rPr>
        <w:t>J. Environ. Manage.</w:t>
      </w:r>
      <w:r w:rsidRPr="00297685">
        <w:rPr>
          <w:rFonts w:ascii="Calibri" w:hAnsi="Calibri" w:cs="Calibri"/>
          <w:sz w:val="18"/>
          <w:szCs w:val="18"/>
        </w:rPr>
        <w:t xml:space="preserve"> </w:t>
      </w:r>
      <w:r w:rsidRPr="00297685">
        <w:rPr>
          <w:rFonts w:ascii="Calibri" w:hAnsi="Calibri" w:cs="Calibri"/>
          <w:b/>
          <w:bCs/>
          <w:sz w:val="18"/>
          <w:szCs w:val="18"/>
        </w:rPr>
        <w:t>251</w:t>
      </w:r>
      <w:r w:rsidRPr="00297685">
        <w:rPr>
          <w:rFonts w:ascii="Calibri" w:hAnsi="Calibri" w:cs="Calibri"/>
          <w:sz w:val="18"/>
          <w:szCs w:val="18"/>
        </w:rPr>
        <w:t>, 109590 (2019).</w:t>
      </w:r>
    </w:p>
    <w:p w14:paraId="6B2B9EC4" w14:textId="7103D952"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221.</w:t>
      </w:r>
      <w:r w:rsidRPr="00297685">
        <w:rPr>
          <w:rFonts w:ascii="Calibri" w:hAnsi="Calibri" w:cs="Calibri"/>
          <w:sz w:val="18"/>
          <w:szCs w:val="18"/>
        </w:rPr>
        <w:tab/>
        <w:t xml:space="preserve">Yang, X., Xu, M., Zou, R., Angelidaki, I. &amp; Zhang, Y. Microbial protein production from CO2, H2, and recycled nitrogen: focusing on ammonia toxicity and nitrogen sources. </w:t>
      </w:r>
      <w:r w:rsidRPr="00297685">
        <w:rPr>
          <w:rFonts w:ascii="Calibri" w:hAnsi="Calibri" w:cs="Calibri"/>
          <w:i/>
          <w:iCs/>
          <w:sz w:val="18"/>
          <w:szCs w:val="18"/>
        </w:rPr>
        <w:t>J. Clean. Prod.</w:t>
      </w:r>
      <w:r w:rsidRPr="00297685">
        <w:rPr>
          <w:rFonts w:ascii="Calibri" w:hAnsi="Calibri" w:cs="Calibri"/>
          <w:sz w:val="18"/>
          <w:szCs w:val="18"/>
        </w:rPr>
        <w:t xml:space="preserve"> 125921 (2021).</w:t>
      </w:r>
    </w:p>
    <w:p w14:paraId="0376ACD5" w14:textId="77777777"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rPr>
        <w:t>222.</w:t>
      </w:r>
      <w:r w:rsidRPr="00297685">
        <w:rPr>
          <w:rFonts w:ascii="Calibri" w:hAnsi="Calibri" w:cs="Calibri"/>
          <w:sz w:val="18"/>
          <w:szCs w:val="18"/>
        </w:rPr>
        <w:tab/>
        <w:t xml:space="preserve">Hu, X. </w:t>
      </w:r>
      <w:r w:rsidRPr="00297685">
        <w:rPr>
          <w:rFonts w:ascii="Calibri" w:hAnsi="Calibri" w:cs="Calibri"/>
          <w:i/>
          <w:iCs/>
          <w:sz w:val="18"/>
          <w:szCs w:val="18"/>
        </w:rPr>
        <w:t>et al.</w:t>
      </w:r>
      <w:r w:rsidRPr="00297685">
        <w:rPr>
          <w:rFonts w:ascii="Calibri" w:hAnsi="Calibri" w:cs="Calibri"/>
          <w:sz w:val="18"/>
          <w:szCs w:val="18"/>
        </w:rPr>
        <w:t xml:space="preserve"> Microbial Protein out of Thin Air: Fixation of Nitrogen Gas by an Autotrophic Hydrogen-Oxidizing Bacterial Enrichment. </w:t>
      </w:r>
      <w:r w:rsidRPr="00297685">
        <w:rPr>
          <w:rFonts w:ascii="Calibri" w:hAnsi="Calibri" w:cs="Calibri"/>
          <w:i/>
          <w:iCs/>
          <w:sz w:val="18"/>
          <w:szCs w:val="18"/>
          <w:lang w:val="fr-FR"/>
        </w:rPr>
        <w:t>Environ. Sci. Technol.</w:t>
      </w:r>
      <w:r w:rsidRPr="00297685">
        <w:rPr>
          <w:rFonts w:ascii="Calibri" w:hAnsi="Calibri" w:cs="Calibri"/>
          <w:sz w:val="18"/>
          <w:szCs w:val="18"/>
          <w:lang w:val="fr-FR"/>
        </w:rPr>
        <w:t xml:space="preserve"> </w:t>
      </w:r>
      <w:r w:rsidRPr="00297685">
        <w:rPr>
          <w:rFonts w:ascii="Calibri" w:hAnsi="Calibri" w:cs="Calibri"/>
          <w:b/>
          <w:bCs/>
          <w:sz w:val="18"/>
          <w:szCs w:val="18"/>
          <w:lang w:val="fr-FR"/>
        </w:rPr>
        <w:t>54</w:t>
      </w:r>
      <w:r w:rsidRPr="00297685">
        <w:rPr>
          <w:rFonts w:ascii="Calibri" w:hAnsi="Calibri" w:cs="Calibri"/>
          <w:sz w:val="18"/>
          <w:szCs w:val="18"/>
          <w:lang w:val="fr-FR"/>
        </w:rPr>
        <w:t>, 3609–3617 (2020).</w:t>
      </w:r>
    </w:p>
    <w:p w14:paraId="7AD122F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lang w:val="fr-FR"/>
        </w:rPr>
        <w:t>223.</w:t>
      </w:r>
      <w:r w:rsidRPr="00297685">
        <w:rPr>
          <w:rFonts w:ascii="Calibri" w:hAnsi="Calibri" w:cs="Calibri"/>
          <w:sz w:val="18"/>
          <w:szCs w:val="18"/>
          <w:lang w:val="fr-FR"/>
        </w:rPr>
        <w:tab/>
        <w:t xml:space="preserve">Megret, O. </w:t>
      </w:r>
      <w:r w:rsidRPr="00297685">
        <w:rPr>
          <w:rFonts w:ascii="Calibri" w:hAnsi="Calibri" w:cs="Calibri"/>
          <w:i/>
          <w:iCs/>
          <w:sz w:val="18"/>
          <w:szCs w:val="18"/>
          <w:lang w:val="fr-FR"/>
        </w:rPr>
        <w:t>et al.</w:t>
      </w:r>
      <w:r w:rsidRPr="00297685">
        <w:rPr>
          <w:rFonts w:ascii="Calibri" w:hAnsi="Calibri" w:cs="Calibri"/>
          <w:sz w:val="18"/>
          <w:szCs w:val="18"/>
          <w:lang w:val="fr-FR"/>
        </w:rPr>
        <w:t xml:space="preserve"> </w:t>
      </w:r>
      <w:r w:rsidRPr="00297685">
        <w:rPr>
          <w:rFonts w:ascii="Calibri" w:hAnsi="Calibri" w:cs="Calibri"/>
          <w:i/>
          <w:iCs/>
          <w:sz w:val="18"/>
          <w:szCs w:val="18"/>
          <w:lang w:val="fr-FR"/>
        </w:rPr>
        <w:t xml:space="preserve">Production d’hydrogène à partir de </w:t>
      </w:r>
      <w:proofErr w:type="gramStart"/>
      <w:r w:rsidRPr="00297685">
        <w:rPr>
          <w:rFonts w:ascii="Calibri" w:hAnsi="Calibri" w:cs="Calibri"/>
          <w:i/>
          <w:iCs/>
          <w:sz w:val="18"/>
          <w:szCs w:val="18"/>
          <w:lang w:val="fr-FR"/>
        </w:rPr>
        <w:t>déchets:</w:t>
      </w:r>
      <w:proofErr w:type="gramEnd"/>
      <w:r w:rsidRPr="00297685">
        <w:rPr>
          <w:rFonts w:ascii="Calibri" w:hAnsi="Calibri" w:cs="Calibri"/>
          <w:i/>
          <w:iCs/>
          <w:sz w:val="18"/>
          <w:szCs w:val="18"/>
          <w:lang w:val="fr-FR"/>
        </w:rPr>
        <w:t xml:space="preserve"> Etat de l’art et potentiel d’émergence</w:t>
      </w:r>
      <w:r w:rsidRPr="00297685">
        <w:rPr>
          <w:rFonts w:ascii="Calibri" w:hAnsi="Calibri" w:cs="Calibri"/>
          <w:sz w:val="18"/>
          <w:szCs w:val="18"/>
          <w:lang w:val="fr-FR"/>
        </w:rPr>
        <w:t xml:space="preserve">. </w:t>
      </w:r>
      <w:r w:rsidRPr="00297685">
        <w:rPr>
          <w:rFonts w:ascii="Calibri" w:hAnsi="Calibri" w:cs="Calibri"/>
          <w:sz w:val="18"/>
          <w:szCs w:val="18"/>
        </w:rPr>
        <w:t>228 https://hal.archives-ouvertes.fr/hal-01602165 (2015).</w:t>
      </w:r>
    </w:p>
    <w:p w14:paraId="44368743"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224.</w:t>
      </w:r>
      <w:r w:rsidRPr="00297685">
        <w:rPr>
          <w:rFonts w:ascii="Calibri" w:hAnsi="Calibri" w:cs="Calibri"/>
          <w:sz w:val="18"/>
          <w:szCs w:val="18"/>
        </w:rPr>
        <w:tab/>
        <w:t xml:space="preserve">Sakarika, M., Ganigué, R. &amp; Rabaey, K. Methylotrophs: from C1 compounds to food. </w:t>
      </w:r>
      <w:r w:rsidRPr="00297685">
        <w:rPr>
          <w:rFonts w:ascii="Calibri" w:hAnsi="Calibri" w:cs="Calibri"/>
          <w:i/>
          <w:iCs/>
          <w:sz w:val="18"/>
          <w:szCs w:val="18"/>
        </w:rPr>
        <w:t>Curr. Opin. Biotechnol.</w:t>
      </w:r>
      <w:r w:rsidRPr="00297685">
        <w:rPr>
          <w:rFonts w:ascii="Calibri" w:hAnsi="Calibri" w:cs="Calibri"/>
          <w:sz w:val="18"/>
          <w:szCs w:val="18"/>
        </w:rPr>
        <w:t xml:space="preserve"> </w:t>
      </w:r>
      <w:r w:rsidRPr="00297685">
        <w:rPr>
          <w:rFonts w:ascii="Calibri" w:hAnsi="Calibri" w:cs="Calibri"/>
          <w:b/>
          <w:bCs/>
          <w:sz w:val="18"/>
          <w:szCs w:val="18"/>
        </w:rPr>
        <w:t>75</w:t>
      </w:r>
      <w:r w:rsidRPr="00297685">
        <w:rPr>
          <w:rFonts w:ascii="Calibri" w:hAnsi="Calibri" w:cs="Calibri"/>
          <w:sz w:val="18"/>
          <w:szCs w:val="18"/>
        </w:rPr>
        <w:t>, 102685 (2022).</w:t>
      </w:r>
    </w:p>
    <w:p w14:paraId="7AEFFE29"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225.</w:t>
      </w:r>
      <w:r w:rsidRPr="00297685">
        <w:rPr>
          <w:rFonts w:ascii="Calibri" w:hAnsi="Calibri" w:cs="Calibri"/>
          <w:sz w:val="18"/>
          <w:szCs w:val="18"/>
        </w:rPr>
        <w:tab/>
        <w:t xml:space="preserve">Peplow, M. The race to upcycle CO2 into fuels, concrete and more. </w:t>
      </w:r>
      <w:r w:rsidRPr="00297685">
        <w:rPr>
          <w:rFonts w:ascii="Calibri" w:hAnsi="Calibri" w:cs="Calibri"/>
          <w:i/>
          <w:iCs/>
          <w:sz w:val="18"/>
          <w:szCs w:val="18"/>
        </w:rPr>
        <w:t>Nature</w:t>
      </w:r>
      <w:r w:rsidRPr="00297685">
        <w:rPr>
          <w:rFonts w:ascii="Calibri" w:hAnsi="Calibri" w:cs="Calibri"/>
          <w:sz w:val="18"/>
          <w:szCs w:val="18"/>
        </w:rPr>
        <w:t xml:space="preserve"> </w:t>
      </w:r>
      <w:r w:rsidRPr="00297685">
        <w:rPr>
          <w:rFonts w:ascii="Calibri" w:hAnsi="Calibri" w:cs="Calibri"/>
          <w:b/>
          <w:bCs/>
          <w:sz w:val="18"/>
          <w:szCs w:val="18"/>
        </w:rPr>
        <w:t>603</w:t>
      </w:r>
      <w:r w:rsidRPr="00297685">
        <w:rPr>
          <w:rFonts w:ascii="Calibri" w:hAnsi="Calibri" w:cs="Calibri"/>
          <w:sz w:val="18"/>
          <w:szCs w:val="18"/>
        </w:rPr>
        <w:t>, 780–783 (2022).</w:t>
      </w:r>
    </w:p>
    <w:p w14:paraId="63F66F84"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226.</w:t>
      </w:r>
      <w:r w:rsidRPr="00297685">
        <w:rPr>
          <w:rFonts w:ascii="Calibri" w:hAnsi="Calibri" w:cs="Calibri"/>
          <w:sz w:val="18"/>
          <w:szCs w:val="18"/>
        </w:rPr>
        <w:tab/>
        <w:t xml:space="preserve">Claassens, N. J., Sousa, D. Z., dos Santos, V. A. P. M., de Vos, W. M. &amp; van der Oost, J. Harnessing the power of microbial autotrophy. </w:t>
      </w:r>
      <w:r w:rsidRPr="00297685">
        <w:rPr>
          <w:rFonts w:ascii="Calibri" w:hAnsi="Calibri" w:cs="Calibri"/>
          <w:i/>
          <w:iCs/>
          <w:sz w:val="18"/>
          <w:szCs w:val="18"/>
        </w:rPr>
        <w:t>Nat. Rev. Microbiol.</w:t>
      </w:r>
      <w:r w:rsidRPr="00297685">
        <w:rPr>
          <w:rFonts w:ascii="Calibri" w:hAnsi="Calibri" w:cs="Calibri"/>
          <w:sz w:val="18"/>
          <w:szCs w:val="18"/>
        </w:rPr>
        <w:t xml:space="preserve"> </w:t>
      </w:r>
      <w:r w:rsidRPr="00297685">
        <w:rPr>
          <w:rFonts w:ascii="Calibri" w:hAnsi="Calibri" w:cs="Calibri"/>
          <w:b/>
          <w:bCs/>
          <w:sz w:val="18"/>
          <w:szCs w:val="18"/>
        </w:rPr>
        <w:t>14</w:t>
      </w:r>
      <w:r w:rsidRPr="00297685">
        <w:rPr>
          <w:rFonts w:ascii="Calibri" w:hAnsi="Calibri" w:cs="Calibri"/>
          <w:sz w:val="18"/>
          <w:szCs w:val="18"/>
        </w:rPr>
        <w:t>, 692–706 (2016).</w:t>
      </w:r>
    </w:p>
    <w:p w14:paraId="0021084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227.</w:t>
      </w:r>
      <w:r w:rsidRPr="00297685">
        <w:rPr>
          <w:rFonts w:ascii="Calibri" w:hAnsi="Calibri" w:cs="Calibri"/>
          <w:sz w:val="18"/>
          <w:szCs w:val="18"/>
        </w:rPr>
        <w:tab/>
        <w:t xml:space="preserve">Mishra, A., Ntihuga, J. N., Molitor, B. &amp; Angenent, L. T. Power-to-Protein: Carbon Fixation with Renewable Electric Power to Feed the World. </w:t>
      </w:r>
      <w:r w:rsidRPr="00297685">
        <w:rPr>
          <w:rFonts w:ascii="Calibri" w:hAnsi="Calibri" w:cs="Calibri"/>
          <w:i/>
          <w:iCs/>
          <w:sz w:val="18"/>
          <w:szCs w:val="18"/>
        </w:rPr>
        <w:t>Joule</w:t>
      </w:r>
      <w:r w:rsidRPr="00297685">
        <w:rPr>
          <w:rFonts w:ascii="Calibri" w:hAnsi="Calibri" w:cs="Calibri"/>
          <w:sz w:val="18"/>
          <w:szCs w:val="18"/>
        </w:rPr>
        <w:t xml:space="preserve"> </w:t>
      </w:r>
      <w:r w:rsidRPr="00297685">
        <w:rPr>
          <w:rFonts w:ascii="Calibri" w:hAnsi="Calibri" w:cs="Calibri"/>
          <w:b/>
          <w:bCs/>
          <w:sz w:val="18"/>
          <w:szCs w:val="18"/>
        </w:rPr>
        <w:t>4</w:t>
      </w:r>
      <w:r w:rsidRPr="00297685">
        <w:rPr>
          <w:rFonts w:ascii="Calibri" w:hAnsi="Calibri" w:cs="Calibri"/>
          <w:sz w:val="18"/>
          <w:szCs w:val="18"/>
        </w:rPr>
        <w:t>, 1142–1147 (2020).</w:t>
      </w:r>
    </w:p>
    <w:p w14:paraId="0E473FCC"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228.</w:t>
      </w:r>
      <w:r w:rsidRPr="00297685">
        <w:rPr>
          <w:rFonts w:ascii="Calibri" w:hAnsi="Calibri" w:cs="Calibri"/>
          <w:sz w:val="18"/>
          <w:szCs w:val="18"/>
        </w:rPr>
        <w:tab/>
        <w:t xml:space="preserve">Hann, E. C. </w:t>
      </w:r>
      <w:r w:rsidRPr="00297685">
        <w:rPr>
          <w:rFonts w:ascii="Calibri" w:hAnsi="Calibri" w:cs="Calibri"/>
          <w:i/>
          <w:iCs/>
          <w:sz w:val="18"/>
          <w:szCs w:val="18"/>
        </w:rPr>
        <w:t>et al.</w:t>
      </w:r>
      <w:r w:rsidRPr="00297685">
        <w:rPr>
          <w:rFonts w:ascii="Calibri" w:hAnsi="Calibri" w:cs="Calibri"/>
          <w:sz w:val="18"/>
          <w:szCs w:val="18"/>
        </w:rPr>
        <w:t xml:space="preserve"> A hybrid inorganic–biological artificial photosynthesis system for energy-efficient food production. </w:t>
      </w:r>
      <w:r w:rsidRPr="00297685">
        <w:rPr>
          <w:rFonts w:ascii="Calibri" w:hAnsi="Calibri" w:cs="Calibri"/>
          <w:i/>
          <w:iCs/>
          <w:sz w:val="18"/>
          <w:szCs w:val="18"/>
        </w:rPr>
        <w:t>Nat Food</w:t>
      </w:r>
      <w:r w:rsidRPr="00297685">
        <w:rPr>
          <w:rFonts w:ascii="Calibri" w:hAnsi="Calibri" w:cs="Calibri"/>
          <w:sz w:val="18"/>
          <w:szCs w:val="18"/>
        </w:rPr>
        <w:t xml:space="preserve"> </w:t>
      </w:r>
      <w:r w:rsidRPr="00297685">
        <w:rPr>
          <w:rFonts w:ascii="Calibri" w:hAnsi="Calibri" w:cs="Calibri"/>
          <w:b/>
          <w:bCs/>
          <w:sz w:val="18"/>
          <w:szCs w:val="18"/>
        </w:rPr>
        <w:t>3</w:t>
      </w:r>
      <w:r w:rsidRPr="00297685">
        <w:rPr>
          <w:rFonts w:ascii="Calibri" w:hAnsi="Calibri" w:cs="Calibri"/>
          <w:sz w:val="18"/>
          <w:szCs w:val="18"/>
        </w:rPr>
        <w:t>, 461–471 (2022).</w:t>
      </w:r>
    </w:p>
    <w:p w14:paraId="5E672AD5"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229.</w:t>
      </w:r>
      <w:r w:rsidRPr="00297685">
        <w:rPr>
          <w:rFonts w:ascii="Calibri" w:hAnsi="Calibri" w:cs="Calibri"/>
          <w:sz w:val="18"/>
          <w:szCs w:val="18"/>
        </w:rPr>
        <w:tab/>
        <w:t xml:space="preserve">Wada, O. Z., Vincent, A. S. &amp; Mackey, H. R. Single-cell protein production from purple non-sulphur bacteria-based wastewater treatment. </w:t>
      </w:r>
      <w:r w:rsidRPr="00297685">
        <w:rPr>
          <w:rFonts w:ascii="Calibri" w:hAnsi="Calibri" w:cs="Calibri"/>
          <w:i/>
          <w:iCs/>
          <w:sz w:val="18"/>
          <w:szCs w:val="18"/>
        </w:rPr>
        <w:t>Rev Environ Sci Biotechnol</w:t>
      </w:r>
      <w:r w:rsidRPr="00297685">
        <w:rPr>
          <w:rFonts w:ascii="Calibri" w:hAnsi="Calibri" w:cs="Calibri"/>
          <w:sz w:val="18"/>
          <w:szCs w:val="18"/>
        </w:rPr>
        <w:t xml:space="preserve"> </w:t>
      </w:r>
      <w:r w:rsidRPr="00297685">
        <w:rPr>
          <w:rFonts w:ascii="Calibri" w:hAnsi="Calibri" w:cs="Calibri"/>
          <w:b/>
          <w:bCs/>
          <w:sz w:val="18"/>
          <w:szCs w:val="18"/>
        </w:rPr>
        <w:t>21</w:t>
      </w:r>
      <w:r w:rsidRPr="00297685">
        <w:rPr>
          <w:rFonts w:ascii="Calibri" w:hAnsi="Calibri" w:cs="Calibri"/>
          <w:sz w:val="18"/>
          <w:szCs w:val="18"/>
        </w:rPr>
        <w:t>, 931–956 (2022).</w:t>
      </w:r>
    </w:p>
    <w:p w14:paraId="36E31EA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230.</w:t>
      </w:r>
      <w:r w:rsidRPr="00297685">
        <w:rPr>
          <w:rFonts w:ascii="Calibri" w:hAnsi="Calibri" w:cs="Calibri"/>
          <w:sz w:val="18"/>
          <w:szCs w:val="18"/>
        </w:rPr>
        <w:tab/>
        <w:t xml:space="preserve">Alloul, A. </w:t>
      </w:r>
      <w:r w:rsidRPr="00297685">
        <w:rPr>
          <w:rFonts w:ascii="Calibri" w:hAnsi="Calibri" w:cs="Calibri"/>
          <w:i/>
          <w:iCs/>
          <w:sz w:val="18"/>
          <w:szCs w:val="18"/>
        </w:rPr>
        <w:t>et al.</w:t>
      </w:r>
      <w:r w:rsidRPr="00297685">
        <w:rPr>
          <w:rFonts w:ascii="Calibri" w:hAnsi="Calibri" w:cs="Calibri"/>
          <w:sz w:val="18"/>
          <w:szCs w:val="18"/>
        </w:rPr>
        <w:t xml:space="preserve"> Capture–Ferment–Upgrade: A Three-Step Approach for the Valorization of Sewage Organics as Commodities. </w:t>
      </w:r>
      <w:r w:rsidRPr="00297685">
        <w:rPr>
          <w:rFonts w:ascii="Calibri" w:hAnsi="Calibri" w:cs="Calibri"/>
          <w:i/>
          <w:iCs/>
          <w:sz w:val="18"/>
          <w:szCs w:val="18"/>
        </w:rPr>
        <w:t>Environ. Sci. Technol.</w:t>
      </w:r>
      <w:r w:rsidRPr="00297685">
        <w:rPr>
          <w:rFonts w:ascii="Calibri" w:hAnsi="Calibri" w:cs="Calibri"/>
          <w:sz w:val="18"/>
          <w:szCs w:val="18"/>
        </w:rPr>
        <w:t xml:space="preserve"> </w:t>
      </w:r>
      <w:r w:rsidRPr="00297685">
        <w:rPr>
          <w:rFonts w:ascii="Calibri" w:hAnsi="Calibri" w:cs="Calibri"/>
          <w:b/>
          <w:bCs/>
          <w:sz w:val="18"/>
          <w:szCs w:val="18"/>
        </w:rPr>
        <w:t>52</w:t>
      </w:r>
      <w:r w:rsidRPr="00297685">
        <w:rPr>
          <w:rFonts w:ascii="Calibri" w:hAnsi="Calibri" w:cs="Calibri"/>
          <w:sz w:val="18"/>
          <w:szCs w:val="18"/>
        </w:rPr>
        <w:t>, 6729–6742 (2018).</w:t>
      </w:r>
    </w:p>
    <w:p w14:paraId="421BC096"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231.</w:t>
      </w:r>
      <w:r w:rsidRPr="00297685">
        <w:rPr>
          <w:rFonts w:ascii="Calibri" w:hAnsi="Calibri" w:cs="Calibri"/>
          <w:sz w:val="18"/>
          <w:szCs w:val="18"/>
        </w:rPr>
        <w:tab/>
        <w:t>Calysta. The Future of Nutrition. https://www.calysta.com/ (2020).</w:t>
      </w:r>
    </w:p>
    <w:p w14:paraId="3DB8251E"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232.</w:t>
      </w:r>
      <w:r w:rsidRPr="00297685">
        <w:rPr>
          <w:rFonts w:ascii="Calibri" w:hAnsi="Calibri" w:cs="Calibri"/>
          <w:sz w:val="18"/>
          <w:szCs w:val="18"/>
        </w:rPr>
        <w:tab/>
        <w:t>Unibio. Unibio. https://www.unibio.dk/ (2020).</w:t>
      </w:r>
    </w:p>
    <w:p w14:paraId="5C74B595"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233.</w:t>
      </w:r>
      <w:r w:rsidRPr="00297685">
        <w:rPr>
          <w:rFonts w:ascii="Calibri" w:hAnsi="Calibri" w:cs="Calibri"/>
          <w:sz w:val="18"/>
          <w:szCs w:val="18"/>
        </w:rPr>
        <w:tab/>
        <w:t xml:space="preserve">Kiverdi, Inc. We Are Remaking How Things Are Made </w:t>
      </w:r>
      <w:proofErr w:type="gramStart"/>
      <w:r w:rsidRPr="00297685">
        <w:rPr>
          <w:rFonts w:ascii="Calibri" w:hAnsi="Calibri" w:cs="Calibri"/>
          <w:sz w:val="18"/>
          <w:szCs w:val="18"/>
        </w:rPr>
        <w:t>With</w:t>
      </w:r>
      <w:proofErr w:type="gramEnd"/>
      <w:r w:rsidRPr="00297685">
        <w:rPr>
          <w:rFonts w:ascii="Calibri" w:hAnsi="Calibri" w:cs="Calibri"/>
          <w:sz w:val="18"/>
          <w:szCs w:val="18"/>
        </w:rPr>
        <w:t xml:space="preserve"> Carbon Transformation. https://www.kiverdi.com (2020).</w:t>
      </w:r>
    </w:p>
    <w:p w14:paraId="0466EC2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234.</w:t>
      </w:r>
      <w:r w:rsidRPr="00297685">
        <w:rPr>
          <w:rFonts w:ascii="Calibri" w:hAnsi="Calibri" w:cs="Calibri"/>
          <w:sz w:val="18"/>
          <w:szCs w:val="18"/>
        </w:rPr>
        <w:tab/>
        <w:t>Solar Foods. Food Out of Thin Air. https://solarfoods.fi/ (2020).</w:t>
      </w:r>
    </w:p>
    <w:p w14:paraId="7B7D36AD"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lastRenderedPageBreak/>
        <w:t>235.</w:t>
      </w:r>
      <w:r w:rsidRPr="00297685">
        <w:rPr>
          <w:rFonts w:ascii="Calibri" w:hAnsi="Calibri" w:cs="Calibri"/>
          <w:sz w:val="18"/>
          <w:szCs w:val="18"/>
        </w:rPr>
        <w:tab/>
        <w:t xml:space="preserve">Øverland, M., Tauson, A.-H., Shearer, K. &amp; Skrede, A. Evaluation of methane-utilising bacteria products as feed ingredients for monogastric animals. </w:t>
      </w:r>
      <w:r w:rsidRPr="00297685">
        <w:rPr>
          <w:rFonts w:ascii="Calibri" w:hAnsi="Calibri" w:cs="Calibri"/>
          <w:i/>
          <w:iCs/>
          <w:sz w:val="18"/>
          <w:szCs w:val="18"/>
        </w:rPr>
        <w:t>Arch. Anim. Nutr.</w:t>
      </w:r>
      <w:r w:rsidRPr="00297685">
        <w:rPr>
          <w:rFonts w:ascii="Calibri" w:hAnsi="Calibri" w:cs="Calibri"/>
          <w:sz w:val="18"/>
          <w:szCs w:val="18"/>
        </w:rPr>
        <w:t xml:space="preserve"> </w:t>
      </w:r>
      <w:r w:rsidRPr="00297685">
        <w:rPr>
          <w:rFonts w:ascii="Calibri" w:hAnsi="Calibri" w:cs="Calibri"/>
          <w:b/>
          <w:bCs/>
          <w:sz w:val="18"/>
          <w:szCs w:val="18"/>
        </w:rPr>
        <w:t>64</w:t>
      </w:r>
      <w:r w:rsidRPr="00297685">
        <w:rPr>
          <w:rFonts w:ascii="Calibri" w:hAnsi="Calibri" w:cs="Calibri"/>
          <w:sz w:val="18"/>
          <w:szCs w:val="18"/>
        </w:rPr>
        <w:t>, 171–89 (2010).</w:t>
      </w:r>
    </w:p>
    <w:p w14:paraId="0DA78DC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236.</w:t>
      </w:r>
      <w:r w:rsidRPr="00297685">
        <w:rPr>
          <w:rFonts w:ascii="Calibri" w:hAnsi="Calibri" w:cs="Calibri"/>
          <w:sz w:val="18"/>
          <w:szCs w:val="18"/>
        </w:rPr>
        <w:tab/>
        <w:t xml:space="preserve">El Abbadi, S. H. &amp; Criddle, C. S. Engineering the Dark Food Chain. </w:t>
      </w:r>
      <w:r w:rsidRPr="00297685">
        <w:rPr>
          <w:rFonts w:ascii="Calibri" w:hAnsi="Calibri" w:cs="Calibri"/>
          <w:i/>
          <w:iCs/>
          <w:sz w:val="18"/>
          <w:szCs w:val="18"/>
        </w:rPr>
        <w:t>Environ. Sci. Technol.</w:t>
      </w:r>
      <w:r w:rsidRPr="00297685">
        <w:rPr>
          <w:rFonts w:ascii="Calibri" w:hAnsi="Calibri" w:cs="Calibri"/>
          <w:sz w:val="18"/>
          <w:szCs w:val="18"/>
        </w:rPr>
        <w:t xml:space="preserve"> </w:t>
      </w:r>
      <w:r w:rsidRPr="00297685">
        <w:rPr>
          <w:rFonts w:ascii="Calibri" w:hAnsi="Calibri" w:cs="Calibri"/>
          <w:b/>
          <w:bCs/>
          <w:sz w:val="18"/>
          <w:szCs w:val="18"/>
        </w:rPr>
        <w:t>53</w:t>
      </w:r>
      <w:r w:rsidRPr="00297685">
        <w:rPr>
          <w:rFonts w:ascii="Calibri" w:hAnsi="Calibri" w:cs="Calibri"/>
          <w:sz w:val="18"/>
          <w:szCs w:val="18"/>
        </w:rPr>
        <w:t>, 2273–2287 (2019).</w:t>
      </w:r>
    </w:p>
    <w:p w14:paraId="6FF5BED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237.</w:t>
      </w:r>
      <w:r w:rsidRPr="00297685">
        <w:rPr>
          <w:rFonts w:ascii="Calibri" w:hAnsi="Calibri" w:cs="Calibri"/>
          <w:sz w:val="18"/>
          <w:szCs w:val="18"/>
        </w:rPr>
        <w:tab/>
        <w:t xml:space="preserve">Ren, J., Liu, Y.-L., Zhao, X.-Y. &amp; Cao, J.-P. Methanation of syngas from biomass gasification: An overview. </w:t>
      </w:r>
      <w:r w:rsidRPr="00297685">
        <w:rPr>
          <w:rFonts w:ascii="Calibri" w:hAnsi="Calibri" w:cs="Calibri"/>
          <w:i/>
          <w:iCs/>
          <w:sz w:val="18"/>
          <w:szCs w:val="18"/>
        </w:rPr>
        <w:t>International Journal of Hydrogen Energy</w:t>
      </w:r>
      <w:r w:rsidRPr="00297685">
        <w:rPr>
          <w:rFonts w:ascii="Calibri" w:hAnsi="Calibri" w:cs="Calibri"/>
          <w:sz w:val="18"/>
          <w:szCs w:val="18"/>
        </w:rPr>
        <w:t xml:space="preserve"> </w:t>
      </w:r>
      <w:r w:rsidRPr="00297685">
        <w:rPr>
          <w:rFonts w:ascii="Calibri" w:hAnsi="Calibri" w:cs="Calibri"/>
          <w:b/>
          <w:bCs/>
          <w:sz w:val="18"/>
          <w:szCs w:val="18"/>
        </w:rPr>
        <w:t>45</w:t>
      </w:r>
      <w:r w:rsidRPr="00297685">
        <w:rPr>
          <w:rFonts w:ascii="Calibri" w:hAnsi="Calibri" w:cs="Calibri"/>
          <w:sz w:val="18"/>
          <w:szCs w:val="18"/>
        </w:rPr>
        <w:t>, 4223–4243 (2020).</w:t>
      </w:r>
    </w:p>
    <w:p w14:paraId="41A61704"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238.</w:t>
      </w:r>
      <w:r w:rsidRPr="00297685">
        <w:rPr>
          <w:rFonts w:ascii="Calibri" w:hAnsi="Calibri" w:cs="Calibri"/>
          <w:sz w:val="18"/>
          <w:szCs w:val="18"/>
        </w:rPr>
        <w:tab/>
        <w:t xml:space="preserve">Rafrafi, Y., Laguillaumie, L. &amp; Dumas, C. Biological Methanation of H2 and CO2 with Mixed Cultures: Current Advances, Hurdles and Challenges. </w:t>
      </w:r>
      <w:r w:rsidRPr="00297685">
        <w:rPr>
          <w:rFonts w:ascii="Calibri" w:hAnsi="Calibri" w:cs="Calibri"/>
          <w:i/>
          <w:iCs/>
          <w:sz w:val="18"/>
          <w:szCs w:val="18"/>
        </w:rPr>
        <w:t>Waste Biomass Valor</w:t>
      </w:r>
      <w:r w:rsidRPr="00297685">
        <w:rPr>
          <w:rFonts w:ascii="Calibri" w:hAnsi="Calibri" w:cs="Calibri"/>
          <w:sz w:val="18"/>
          <w:szCs w:val="18"/>
        </w:rPr>
        <w:t xml:space="preserve"> </w:t>
      </w:r>
      <w:r w:rsidRPr="00297685">
        <w:rPr>
          <w:rFonts w:ascii="Calibri" w:hAnsi="Calibri" w:cs="Calibri"/>
          <w:b/>
          <w:bCs/>
          <w:sz w:val="18"/>
          <w:szCs w:val="18"/>
        </w:rPr>
        <w:t>12</w:t>
      </w:r>
      <w:r w:rsidRPr="00297685">
        <w:rPr>
          <w:rFonts w:ascii="Calibri" w:hAnsi="Calibri" w:cs="Calibri"/>
          <w:sz w:val="18"/>
          <w:szCs w:val="18"/>
        </w:rPr>
        <w:t>, 5259–5282 (2021).</w:t>
      </w:r>
    </w:p>
    <w:p w14:paraId="1BCDCC3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239.</w:t>
      </w:r>
      <w:r w:rsidRPr="00297685">
        <w:rPr>
          <w:rFonts w:ascii="Calibri" w:hAnsi="Calibri" w:cs="Calibri"/>
          <w:sz w:val="18"/>
          <w:szCs w:val="18"/>
        </w:rPr>
        <w:tab/>
        <w:t xml:space="preserve">van der Giesen, C., Kleijn, R. &amp; Kramer, G. J. Energy and Climate Impacts of Producing Synthetic Hydrocarbon Fuels from CO </w:t>
      </w:r>
      <w:r w:rsidRPr="00297685">
        <w:rPr>
          <w:rFonts w:ascii="Calibri" w:hAnsi="Calibri" w:cs="Calibri"/>
          <w:sz w:val="18"/>
          <w:szCs w:val="18"/>
          <w:vertAlign w:val="subscript"/>
        </w:rPr>
        <w:t>2</w:t>
      </w:r>
      <w:r w:rsidRPr="00297685">
        <w:rPr>
          <w:rFonts w:ascii="Calibri" w:hAnsi="Calibri" w:cs="Calibri"/>
          <w:sz w:val="18"/>
          <w:szCs w:val="18"/>
        </w:rPr>
        <w:t xml:space="preserve">. </w:t>
      </w:r>
      <w:r w:rsidRPr="00297685">
        <w:rPr>
          <w:rFonts w:ascii="Calibri" w:hAnsi="Calibri" w:cs="Calibri"/>
          <w:i/>
          <w:iCs/>
          <w:sz w:val="18"/>
          <w:szCs w:val="18"/>
        </w:rPr>
        <w:t>Environ. Sci. Technol.</w:t>
      </w:r>
      <w:r w:rsidRPr="00297685">
        <w:rPr>
          <w:rFonts w:ascii="Calibri" w:hAnsi="Calibri" w:cs="Calibri"/>
          <w:sz w:val="18"/>
          <w:szCs w:val="18"/>
        </w:rPr>
        <w:t xml:space="preserve"> </w:t>
      </w:r>
      <w:r w:rsidRPr="00297685">
        <w:rPr>
          <w:rFonts w:ascii="Calibri" w:hAnsi="Calibri" w:cs="Calibri"/>
          <w:b/>
          <w:bCs/>
          <w:sz w:val="18"/>
          <w:szCs w:val="18"/>
        </w:rPr>
        <w:t>48</w:t>
      </w:r>
      <w:r w:rsidRPr="00297685">
        <w:rPr>
          <w:rFonts w:ascii="Calibri" w:hAnsi="Calibri" w:cs="Calibri"/>
          <w:sz w:val="18"/>
          <w:szCs w:val="18"/>
        </w:rPr>
        <w:t>, 7111–7121 (2014).</w:t>
      </w:r>
    </w:p>
    <w:p w14:paraId="411F688A"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240.</w:t>
      </w:r>
      <w:r w:rsidRPr="00297685">
        <w:rPr>
          <w:rFonts w:ascii="Calibri" w:hAnsi="Calibri" w:cs="Calibri"/>
          <w:sz w:val="18"/>
          <w:szCs w:val="18"/>
        </w:rPr>
        <w:tab/>
        <w:t xml:space="preserve">Danish Energy Agency. </w:t>
      </w:r>
      <w:r w:rsidRPr="00297685">
        <w:rPr>
          <w:rFonts w:ascii="Calibri" w:hAnsi="Calibri" w:cs="Calibri"/>
          <w:i/>
          <w:iCs/>
          <w:sz w:val="18"/>
          <w:szCs w:val="18"/>
        </w:rPr>
        <w:t>Technology Data - Renewable Fuels</w:t>
      </w:r>
      <w:r w:rsidRPr="00297685">
        <w:rPr>
          <w:rFonts w:ascii="Calibri" w:hAnsi="Calibri" w:cs="Calibri"/>
          <w:sz w:val="18"/>
          <w:szCs w:val="18"/>
        </w:rPr>
        <w:t>. 313 http://www.ens.dk/teknologikatalog (2022).</w:t>
      </w:r>
    </w:p>
    <w:p w14:paraId="6CFA4FD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241.</w:t>
      </w:r>
      <w:r w:rsidRPr="00297685">
        <w:rPr>
          <w:rFonts w:ascii="Calibri" w:hAnsi="Calibri" w:cs="Calibri"/>
          <w:sz w:val="18"/>
          <w:szCs w:val="18"/>
        </w:rPr>
        <w:tab/>
        <w:t xml:space="preserve">Zhang, X., Bauer, C., Mutel, C. L. &amp; Volkart, K. Life Cycle Assessment of Power-to-Gas: Approaches, system variations and their environmental implications. </w:t>
      </w:r>
      <w:r w:rsidRPr="00297685">
        <w:rPr>
          <w:rFonts w:ascii="Calibri" w:hAnsi="Calibri" w:cs="Calibri"/>
          <w:i/>
          <w:iCs/>
          <w:sz w:val="18"/>
          <w:szCs w:val="18"/>
        </w:rPr>
        <w:t>Applied Energy</w:t>
      </w:r>
      <w:r w:rsidRPr="00297685">
        <w:rPr>
          <w:rFonts w:ascii="Calibri" w:hAnsi="Calibri" w:cs="Calibri"/>
          <w:sz w:val="18"/>
          <w:szCs w:val="18"/>
        </w:rPr>
        <w:t xml:space="preserve"> </w:t>
      </w:r>
      <w:r w:rsidRPr="00297685">
        <w:rPr>
          <w:rFonts w:ascii="Calibri" w:hAnsi="Calibri" w:cs="Calibri"/>
          <w:b/>
          <w:bCs/>
          <w:sz w:val="18"/>
          <w:szCs w:val="18"/>
        </w:rPr>
        <w:t>190</w:t>
      </w:r>
      <w:r w:rsidRPr="00297685">
        <w:rPr>
          <w:rFonts w:ascii="Calibri" w:hAnsi="Calibri" w:cs="Calibri"/>
          <w:sz w:val="18"/>
          <w:szCs w:val="18"/>
        </w:rPr>
        <w:t>, 326–338 (2017).</w:t>
      </w:r>
    </w:p>
    <w:p w14:paraId="59D51563"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242.</w:t>
      </w:r>
      <w:r w:rsidRPr="00297685">
        <w:rPr>
          <w:rFonts w:ascii="Calibri" w:hAnsi="Calibri" w:cs="Calibri"/>
          <w:sz w:val="18"/>
          <w:szCs w:val="18"/>
        </w:rPr>
        <w:tab/>
        <w:t xml:space="preserve">Lee, B. </w:t>
      </w:r>
      <w:r w:rsidRPr="00297685">
        <w:rPr>
          <w:rFonts w:ascii="Calibri" w:hAnsi="Calibri" w:cs="Calibri"/>
          <w:i/>
          <w:iCs/>
          <w:sz w:val="18"/>
          <w:szCs w:val="18"/>
        </w:rPr>
        <w:t>et al.</w:t>
      </w:r>
      <w:r w:rsidRPr="00297685">
        <w:rPr>
          <w:rFonts w:ascii="Calibri" w:hAnsi="Calibri" w:cs="Calibri"/>
          <w:sz w:val="18"/>
          <w:szCs w:val="18"/>
        </w:rPr>
        <w:t xml:space="preserve"> Integrative techno-economic and environmental assessment for green H2 production by alkaline water electrolysis based on experimental data. </w:t>
      </w:r>
      <w:r w:rsidRPr="00297685">
        <w:rPr>
          <w:rFonts w:ascii="Calibri" w:hAnsi="Calibri" w:cs="Calibri"/>
          <w:i/>
          <w:iCs/>
          <w:sz w:val="18"/>
          <w:szCs w:val="18"/>
        </w:rPr>
        <w:t>Journal of Environmental Chemical Engineering</w:t>
      </w:r>
      <w:r w:rsidRPr="00297685">
        <w:rPr>
          <w:rFonts w:ascii="Calibri" w:hAnsi="Calibri" w:cs="Calibri"/>
          <w:sz w:val="18"/>
          <w:szCs w:val="18"/>
        </w:rPr>
        <w:t xml:space="preserve"> </w:t>
      </w:r>
      <w:r w:rsidRPr="00297685">
        <w:rPr>
          <w:rFonts w:ascii="Calibri" w:hAnsi="Calibri" w:cs="Calibri"/>
          <w:b/>
          <w:bCs/>
          <w:sz w:val="18"/>
          <w:szCs w:val="18"/>
        </w:rPr>
        <w:t>9</w:t>
      </w:r>
      <w:r w:rsidRPr="00297685">
        <w:rPr>
          <w:rFonts w:ascii="Calibri" w:hAnsi="Calibri" w:cs="Calibri"/>
          <w:sz w:val="18"/>
          <w:szCs w:val="18"/>
        </w:rPr>
        <w:t>, 106349 (2021).</w:t>
      </w:r>
    </w:p>
    <w:p w14:paraId="5EA2589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243.</w:t>
      </w:r>
      <w:r w:rsidRPr="00297685">
        <w:rPr>
          <w:rFonts w:ascii="Calibri" w:hAnsi="Calibri" w:cs="Calibri"/>
          <w:sz w:val="18"/>
          <w:szCs w:val="18"/>
        </w:rPr>
        <w:tab/>
        <w:t xml:space="preserve">European Commission. </w:t>
      </w:r>
      <w:r w:rsidRPr="00297685">
        <w:rPr>
          <w:rFonts w:ascii="Calibri" w:hAnsi="Calibri" w:cs="Calibri"/>
          <w:i/>
          <w:iCs/>
          <w:sz w:val="18"/>
          <w:szCs w:val="18"/>
        </w:rPr>
        <w:t>Commission Delegated Regulation (EU) 2021/2139 of 4 June 2021 Supplementing Regulation (EU) 2020/852 of the European Parliament and of the Council by Establishing the Technical Screening Criteria for Determining the Conditions under Which an Economic Activity Qualifies as Contributing Substantially to Climate Change Mitigation or Climate Change Adaptation and for Determining Whether That Economic Activity Causes No Significant Harm to Any of the Other Environmental Objectives (Text with EEA Relevance)</w:t>
      </w:r>
      <w:r w:rsidRPr="00297685">
        <w:rPr>
          <w:rFonts w:ascii="Calibri" w:hAnsi="Calibri" w:cs="Calibri"/>
          <w:sz w:val="18"/>
          <w:szCs w:val="18"/>
        </w:rPr>
        <w:t xml:space="preserve">. </w:t>
      </w:r>
      <w:r w:rsidRPr="00297685">
        <w:rPr>
          <w:rFonts w:ascii="Calibri" w:hAnsi="Calibri" w:cs="Calibri"/>
          <w:i/>
          <w:iCs/>
          <w:sz w:val="18"/>
          <w:szCs w:val="18"/>
        </w:rPr>
        <w:t>OJ L</w:t>
      </w:r>
      <w:r w:rsidRPr="00297685">
        <w:rPr>
          <w:rFonts w:ascii="Calibri" w:hAnsi="Calibri" w:cs="Calibri"/>
          <w:sz w:val="18"/>
          <w:szCs w:val="18"/>
        </w:rPr>
        <w:t xml:space="preserve"> vol. 442 (2021).</w:t>
      </w:r>
    </w:p>
    <w:p w14:paraId="152DB31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244.</w:t>
      </w:r>
      <w:r w:rsidRPr="00297685">
        <w:rPr>
          <w:rFonts w:ascii="Calibri" w:hAnsi="Calibri" w:cs="Calibri"/>
          <w:sz w:val="18"/>
          <w:szCs w:val="18"/>
        </w:rPr>
        <w:tab/>
        <w:t xml:space="preserve">Palmer, G., Roberts, A., Hoadley, A., Dargaville, R. &amp; Honnery, D. Life-cycle greenhouse gas emissions and net energy assessment of large-scale hydrogen production via electrolysis and solar PV. </w:t>
      </w:r>
      <w:r w:rsidRPr="00297685">
        <w:rPr>
          <w:rFonts w:ascii="Calibri" w:hAnsi="Calibri" w:cs="Calibri"/>
          <w:i/>
          <w:iCs/>
          <w:sz w:val="18"/>
          <w:szCs w:val="18"/>
        </w:rPr>
        <w:t>Energy Environ. Sci.</w:t>
      </w:r>
      <w:r w:rsidRPr="00297685">
        <w:rPr>
          <w:rFonts w:ascii="Calibri" w:hAnsi="Calibri" w:cs="Calibri"/>
          <w:sz w:val="18"/>
          <w:szCs w:val="18"/>
        </w:rPr>
        <w:t xml:space="preserve"> </w:t>
      </w:r>
      <w:r w:rsidRPr="00297685">
        <w:rPr>
          <w:rFonts w:ascii="Calibri" w:hAnsi="Calibri" w:cs="Calibri"/>
          <w:b/>
          <w:bCs/>
          <w:sz w:val="18"/>
          <w:szCs w:val="18"/>
        </w:rPr>
        <w:t>14</w:t>
      </w:r>
      <w:r w:rsidRPr="00297685">
        <w:rPr>
          <w:rFonts w:ascii="Calibri" w:hAnsi="Calibri" w:cs="Calibri"/>
          <w:sz w:val="18"/>
          <w:szCs w:val="18"/>
        </w:rPr>
        <w:t>, 5113–5131 (2021).</w:t>
      </w:r>
    </w:p>
    <w:p w14:paraId="153B193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245.</w:t>
      </w:r>
      <w:r w:rsidRPr="00297685">
        <w:rPr>
          <w:rFonts w:ascii="Calibri" w:hAnsi="Calibri" w:cs="Calibri"/>
          <w:sz w:val="18"/>
          <w:szCs w:val="18"/>
        </w:rPr>
        <w:tab/>
        <w:t xml:space="preserve">Battista, F. </w:t>
      </w:r>
      <w:r w:rsidRPr="00297685">
        <w:rPr>
          <w:rFonts w:ascii="Calibri" w:hAnsi="Calibri" w:cs="Calibri"/>
          <w:i/>
          <w:iCs/>
          <w:sz w:val="18"/>
          <w:szCs w:val="18"/>
        </w:rPr>
        <w:t>et al.</w:t>
      </w:r>
      <w:r w:rsidRPr="00297685">
        <w:rPr>
          <w:rFonts w:ascii="Calibri" w:hAnsi="Calibri" w:cs="Calibri"/>
          <w:sz w:val="18"/>
          <w:szCs w:val="18"/>
        </w:rPr>
        <w:t xml:space="preserve"> LCA evaluation for the hydrogen production from biogas through the innovative BioRobur project concept. </w:t>
      </w:r>
      <w:r w:rsidRPr="00297685">
        <w:rPr>
          <w:rFonts w:ascii="Calibri" w:hAnsi="Calibri" w:cs="Calibri"/>
          <w:i/>
          <w:iCs/>
          <w:sz w:val="18"/>
          <w:szCs w:val="18"/>
        </w:rPr>
        <w:t>International Journal of Hydrogen Energy</w:t>
      </w:r>
      <w:r w:rsidRPr="00297685">
        <w:rPr>
          <w:rFonts w:ascii="Calibri" w:hAnsi="Calibri" w:cs="Calibri"/>
          <w:sz w:val="18"/>
          <w:szCs w:val="18"/>
        </w:rPr>
        <w:t xml:space="preserve"> </w:t>
      </w:r>
      <w:r w:rsidRPr="00297685">
        <w:rPr>
          <w:rFonts w:ascii="Calibri" w:hAnsi="Calibri" w:cs="Calibri"/>
          <w:b/>
          <w:bCs/>
          <w:sz w:val="18"/>
          <w:szCs w:val="18"/>
        </w:rPr>
        <w:t>42</w:t>
      </w:r>
      <w:r w:rsidRPr="00297685">
        <w:rPr>
          <w:rFonts w:ascii="Calibri" w:hAnsi="Calibri" w:cs="Calibri"/>
          <w:sz w:val="18"/>
          <w:szCs w:val="18"/>
        </w:rPr>
        <w:t>, 14030–14043 (2017).</w:t>
      </w:r>
    </w:p>
    <w:p w14:paraId="174454B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246.</w:t>
      </w:r>
      <w:r w:rsidRPr="00297685">
        <w:rPr>
          <w:rFonts w:ascii="Calibri" w:hAnsi="Calibri" w:cs="Calibri"/>
          <w:sz w:val="18"/>
          <w:szCs w:val="18"/>
        </w:rPr>
        <w:tab/>
        <w:t xml:space="preserve">Schreiber, A., Peschel, A., Hentschel, B. &amp; Zapp, P. Life Cycle Assessment of Power-to-Syngas: Comparing High Temperature Co-Electrolysis and Steam Methane Reforming. </w:t>
      </w:r>
      <w:r w:rsidRPr="00297685">
        <w:rPr>
          <w:rFonts w:ascii="Calibri" w:hAnsi="Calibri" w:cs="Calibri"/>
          <w:i/>
          <w:iCs/>
          <w:sz w:val="18"/>
          <w:szCs w:val="18"/>
        </w:rPr>
        <w:t>Front. Energy Res.</w:t>
      </w:r>
      <w:r w:rsidRPr="00297685">
        <w:rPr>
          <w:rFonts w:ascii="Calibri" w:hAnsi="Calibri" w:cs="Calibri"/>
          <w:sz w:val="18"/>
          <w:szCs w:val="18"/>
        </w:rPr>
        <w:t xml:space="preserve"> </w:t>
      </w:r>
      <w:r w:rsidRPr="00297685">
        <w:rPr>
          <w:rFonts w:ascii="Calibri" w:hAnsi="Calibri" w:cs="Calibri"/>
          <w:b/>
          <w:bCs/>
          <w:sz w:val="18"/>
          <w:szCs w:val="18"/>
        </w:rPr>
        <w:t>8</w:t>
      </w:r>
      <w:r w:rsidRPr="00297685">
        <w:rPr>
          <w:rFonts w:ascii="Calibri" w:hAnsi="Calibri" w:cs="Calibri"/>
          <w:sz w:val="18"/>
          <w:szCs w:val="18"/>
        </w:rPr>
        <w:t>, 533850 (2020).</w:t>
      </w:r>
    </w:p>
    <w:p w14:paraId="3372A741" w14:textId="2AD13C14"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247.</w:t>
      </w:r>
      <w:r w:rsidRPr="00297685">
        <w:rPr>
          <w:rFonts w:ascii="Calibri" w:hAnsi="Calibri" w:cs="Calibri"/>
          <w:sz w:val="18"/>
          <w:szCs w:val="18"/>
        </w:rPr>
        <w:tab/>
        <w:t xml:space="preserve">Pham Minh, D. </w:t>
      </w:r>
      <w:r w:rsidRPr="00297685">
        <w:rPr>
          <w:rFonts w:ascii="Calibri" w:hAnsi="Calibri" w:cs="Calibri"/>
          <w:i/>
          <w:iCs/>
          <w:sz w:val="18"/>
          <w:szCs w:val="18"/>
        </w:rPr>
        <w:t>et al.</w:t>
      </w:r>
      <w:r w:rsidRPr="00297685">
        <w:rPr>
          <w:rFonts w:ascii="Calibri" w:hAnsi="Calibri" w:cs="Calibri"/>
          <w:sz w:val="18"/>
          <w:szCs w:val="18"/>
        </w:rPr>
        <w:t xml:space="preserve"> Hydrogen Production </w:t>
      </w:r>
      <w:proofErr w:type="gramStart"/>
      <w:r w:rsidRPr="00297685">
        <w:rPr>
          <w:rFonts w:ascii="Calibri" w:hAnsi="Calibri" w:cs="Calibri"/>
          <w:sz w:val="18"/>
          <w:szCs w:val="18"/>
        </w:rPr>
        <w:t>From</w:t>
      </w:r>
      <w:proofErr w:type="gramEnd"/>
      <w:r w:rsidRPr="00297685">
        <w:rPr>
          <w:rFonts w:ascii="Calibri" w:hAnsi="Calibri" w:cs="Calibri"/>
          <w:sz w:val="18"/>
          <w:szCs w:val="18"/>
        </w:rPr>
        <w:t xml:space="preserve"> Biogas Reforming: An Overview of Steam Reforming, Dry Reforming, Dual Reforming, and Tri-Reforming of Methane. in </w:t>
      </w:r>
      <w:r w:rsidRPr="00297685">
        <w:rPr>
          <w:rFonts w:ascii="Calibri" w:hAnsi="Calibri" w:cs="Calibri"/>
          <w:i/>
          <w:iCs/>
          <w:sz w:val="18"/>
          <w:szCs w:val="18"/>
        </w:rPr>
        <w:t>Hydrogen Supply Chains</w:t>
      </w:r>
      <w:r w:rsidRPr="00297685">
        <w:rPr>
          <w:rFonts w:ascii="Calibri" w:hAnsi="Calibri" w:cs="Calibri"/>
          <w:sz w:val="18"/>
          <w:szCs w:val="18"/>
        </w:rPr>
        <w:t xml:space="preserve"> 111–166 (Elsevier, 2018).</w:t>
      </w:r>
    </w:p>
    <w:p w14:paraId="508739FC"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248.</w:t>
      </w:r>
      <w:r w:rsidRPr="00297685">
        <w:rPr>
          <w:rFonts w:ascii="Calibri" w:hAnsi="Calibri" w:cs="Calibri"/>
          <w:sz w:val="18"/>
          <w:szCs w:val="18"/>
        </w:rPr>
        <w:tab/>
        <w:t xml:space="preserve">Cvetković, S. M., Radoičić, T. K., Kijevčanin, M. &amp; Novaković, J. G. Life Cycle Energy Assessment of </w:t>
      </w:r>
      <w:r w:rsidRPr="00297685">
        <w:rPr>
          <w:rFonts w:ascii="Calibri" w:hAnsi="Calibri" w:cs="Calibri"/>
          <w:sz w:val="18"/>
          <w:szCs w:val="18"/>
        </w:rPr>
        <w:t xml:space="preserve">biohydrogen production via biogas steam reforming: Case study of biogas plant on a farm in Serbia. </w:t>
      </w:r>
      <w:r w:rsidRPr="00297685">
        <w:rPr>
          <w:rFonts w:ascii="Calibri" w:hAnsi="Calibri" w:cs="Calibri"/>
          <w:i/>
          <w:iCs/>
          <w:sz w:val="18"/>
          <w:szCs w:val="18"/>
        </w:rPr>
        <w:t>International Journal of Hydrogen Energy</w:t>
      </w:r>
      <w:r w:rsidRPr="00297685">
        <w:rPr>
          <w:rFonts w:ascii="Calibri" w:hAnsi="Calibri" w:cs="Calibri"/>
          <w:sz w:val="18"/>
          <w:szCs w:val="18"/>
        </w:rPr>
        <w:t xml:space="preserve"> </w:t>
      </w:r>
      <w:r w:rsidRPr="00297685">
        <w:rPr>
          <w:rFonts w:ascii="Calibri" w:hAnsi="Calibri" w:cs="Calibri"/>
          <w:b/>
          <w:bCs/>
          <w:sz w:val="18"/>
          <w:szCs w:val="18"/>
        </w:rPr>
        <w:t>46</w:t>
      </w:r>
      <w:r w:rsidRPr="00297685">
        <w:rPr>
          <w:rFonts w:ascii="Calibri" w:hAnsi="Calibri" w:cs="Calibri"/>
          <w:sz w:val="18"/>
          <w:szCs w:val="18"/>
        </w:rPr>
        <w:t>, 14130–14137 (2021).</w:t>
      </w:r>
    </w:p>
    <w:p w14:paraId="6EC85C6C"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249.</w:t>
      </w:r>
      <w:r w:rsidRPr="00297685">
        <w:rPr>
          <w:rFonts w:ascii="Calibri" w:hAnsi="Calibri" w:cs="Calibri"/>
          <w:sz w:val="18"/>
          <w:szCs w:val="18"/>
        </w:rPr>
        <w:tab/>
        <w:t xml:space="preserve">Di Marcoberardino, G., Liao, X., Dauriat, A., Binotti, M. &amp; Manzolini, G. Life Cycle Assessment and Economic Analysis of an Innovative Biogas Membrane Reformer for Hydrogen Production. </w:t>
      </w:r>
      <w:r w:rsidRPr="00297685">
        <w:rPr>
          <w:rFonts w:ascii="Calibri" w:hAnsi="Calibri" w:cs="Calibri"/>
          <w:i/>
          <w:iCs/>
          <w:sz w:val="18"/>
          <w:szCs w:val="18"/>
        </w:rPr>
        <w:t>Processes</w:t>
      </w:r>
      <w:r w:rsidRPr="00297685">
        <w:rPr>
          <w:rFonts w:ascii="Calibri" w:hAnsi="Calibri" w:cs="Calibri"/>
          <w:sz w:val="18"/>
          <w:szCs w:val="18"/>
        </w:rPr>
        <w:t xml:space="preserve"> </w:t>
      </w:r>
      <w:r w:rsidRPr="00297685">
        <w:rPr>
          <w:rFonts w:ascii="Calibri" w:hAnsi="Calibri" w:cs="Calibri"/>
          <w:b/>
          <w:bCs/>
          <w:sz w:val="18"/>
          <w:szCs w:val="18"/>
        </w:rPr>
        <w:t>7</w:t>
      </w:r>
      <w:r w:rsidRPr="00297685">
        <w:rPr>
          <w:rFonts w:ascii="Calibri" w:hAnsi="Calibri" w:cs="Calibri"/>
          <w:sz w:val="18"/>
          <w:szCs w:val="18"/>
        </w:rPr>
        <w:t>, 86 (2019).</w:t>
      </w:r>
    </w:p>
    <w:p w14:paraId="178EA04F" w14:textId="77777777"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rPr>
        <w:t>250.</w:t>
      </w:r>
      <w:r w:rsidRPr="00297685">
        <w:rPr>
          <w:rFonts w:ascii="Calibri" w:hAnsi="Calibri" w:cs="Calibri"/>
          <w:sz w:val="18"/>
          <w:szCs w:val="18"/>
        </w:rPr>
        <w:tab/>
        <w:t xml:space="preserve">Xu, J. </w:t>
      </w:r>
      <w:r w:rsidRPr="00297685">
        <w:rPr>
          <w:rFonts w:ascii="Calibri" w:hAnsi="Calibri" w:cs="Calibri"/>
          <w:i/>
          <w:iCs/>
          <w:sz w:val="18"/>
          <w:szCs w:val="18"/>
        </w:rPr>
        <w:t>et al.</w:t>
      </w:r>
      <w:r w:rsidRPr="00297685">
        <w:rPr>
          <w:rFonts w:ascii="Calibri" w:hAnsi="Calibri" w:cs="Calibri"/>
          <w:sz w:val="18"/>
          <w:szCs w:val="18"/>
        </w:rPr>
        <w:t xml:space="preserve"> Embracing a low-carbon future by the production and marketing of C1 gas protein. </w:t>
      </w:r>
      <w:r w:rsidRPr="00297685">
        <w:rPr>
          <w:rFonts w:ascii="Calibri" w:hAnsi="Calibri" w:cs="Calibri"/>
          <w:i/>
          <w:iCs/>
          <w:sz w:val="18"/>
          <w:szCs w:val="18"/>
          <w:lang w:val="fr-FR"/>
        </w:rPr>
        <w:t>Biotechnol. Adv.</w:t>
      </w:r>
      <w:r w:rsidRPr="00297685">
        <w:rPr>
          <w:rFonts w:ascii="Calibri" w:hAnsi="Calibri" w:cs="Calibri"/>
          <w:sz w:val="18"/>
          <w:szCs w:val="18"/>
          <w:lang w:val="fr-FR"/>
        </w:rPr>
        <w:t xml:space="preserve"> </w:t>
      </w:r>
      <w:r w:rsidRPr="00297685">
        <w:rPr>
          <w:rFonts w:ascii="Calibri" w:hAnsi="Calibri" w:cs="Calibri"/>
          <w:b/>
          <w:bCs/>
          <w:sz w:val="18"/>
          <w:szCs w:val="18"/>
          <w:lang w:val="fr-FR"/>
        </w:rPr>
        <w:t>63</w:t>
      </w:r>
      <w:r w:rsidRPr="00297685">
        <w:rPr>
          <w:rFonts w:ascii="Calibri" w:hAnsi="Calibri" w:cs="Calibri"/>
          <w:sz w:val="18"/>
          <w:szCs w:val="18"/>
          <w:lang w:val="fr-FR"/>
        </w:rPr>
        <w:t>, 108096 (2023).</w:t>
      </w:r>
    </w:p>
    <w:p w14:paraId="55A8C0F4" w14:textId="77777777"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lang w:val="fr-FR"/>
        </w:rPr>
        <w:t>251.</w:t>
      </w:r>
      <w:r w:rsidRPr="00297685">
        <w:rPr>
          <w:rFonts w:ascii="Calibri" w:hAnsi="Calibri" w:cs="Calibri"/>
          <w:sz w:val="18"/>
          <w:szCs w:val="18"/>
          <w:lang w:val="fr-FR"/>
        </w:rPr>
        <w:tab/>
        <w:t xml:space="preserve">Ministère de la Transition écologique et solidaire. Consommation d’énergie par usage du résidentiel. </w:t>
      </w:r>
      <w:r w:rsidRPr="00297685">
        <w:rPr>
          <w:rFonts w:ascii="Calibri" w:hAnsi="Calibri" w:cs="Calibri"/>
          <w:i/>
          <w:iCs/>
          <w:sz w:val="18"/>
          <w:szCs w:val="18"/>
          <w:lang w:val="fr-FR"/>
        </w:rPr>
        <w:t>Données et études statistiques pour le changement climatique, l’énergie, l’environnement, le logement et les transports</w:t>
      </w:r>
      <w:r w:rsidRPr="00297685">
        <w:rPr>
          <w:rFonts w:ascii="Calibri" w:hAnsi="Calibri" w:cs="Calibri"/>
          <w:sz w:val="18"/>
          <w:szCs w:val="18"/>
          <w:lang w:val="fr-FR"/>
        </w:rPr>
        <w:t xml:space="preserve"> https://www.statistiques.developpement-durable.gouv.fr/consommation-denergie-par-usage-du-residentiel (2022).</w:t>
      </w:r>
    </w:p>
    <w:p w14:paraId="45FF2AB4"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252.</w:t>
      </w:r>
      <w:r w:rsidRPr="00297685">
        <w:rPr>
          <w:rFonts w:ascii="Calibri" w:hAnsi="Calibri" w:cs="Calibri"/>
          <w:sz w:val="18"/>
          <w:szCs w:val="18"/>
        </w:rPr>
        <w:tab/>
        <w:t xml:space="preserve">Xu, M., Zhou, H., Yang, X., Angelidaki, I. &amp; Zhang, Y. Sulfide restrains the growth of Methylocapsa acidiphila converting renewable biogas to single cell protein. </w:t>
      </w:r>
      <w:r w:rsidRPr="00297685">
        <w:rPr>
          <w:rFonts w:ascii="Calibri" w:hAnsi="Calibri" w:cs="Calibri"/>
          <w:i/>
          <w:iCs/>
          <w:sz w:val="18"/>
          <w:szCs w:val="18"/>
        </w:rPr>
        <w:t>Water Res.</w:t>
      </w:r>
      <w:r w:rsidRPr="00297685">
        <w:rPr>
          <w:rFonts w:ascii="Calibri" w:hAnsi="Calibri" w:cs="Calibri"/>
          <w:sz w:val="18"/>
          <w:szCs w:val="18"/>
        </w:rPr>
        <w:t xml:space="preserve"> </w:t>
      </w:r>
      <w:r w:rsidRPr="00297685">
        <w:rPr>
          <w:rFonts w:ascii="Calibri" w:hAnsi="Calibri" w:cs="Calibri"/>
          <w:b/>
          <w:bCs/>
          <w:sz w:val="18"/>
          <w:szCs w:val="18"/>
        </w:rPr>
        <w:t>184</w:t>
      </w:r>
      <w:r w:rsidRPr="00297685">
        <w:rPr>
          <w:rFonts w:ascii="Calibri" w:hAnsi="Calibri" w:cs="Calibri"/>
          <w:sz w:val="18"/>
          <w:szCs w:val="18"/>
        </w:rPr>
        <w:t>, 116138 (2020).</w:t>
      </w:r>
    </w:p>
    <w:p w14:paraId="691621F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253.</w:t>
      </w:r>
      <w:r w:rsidRPr="00297685">
        <w:rPr>
          <w:rFonts w:ascii="Calibri" w:hAnsi="Calibri" w:cs="Calibri"/>
          <w:sz w:val="18"/>
          <w:szCs w:val="18"/>
        </w:rPr>
        <w:tab/>
        <w:t xml:space="preserve">Meraz, J. L., Dubrawski, K. L., El Abbadi, S. H., Choo, K.-H. &amp; Criddle, C. S. Membrane and Fluid Contactors for Safe and Efficient Methane Delivery in Methanotrophic Bioreactors. </w:t>
      </w:r>
      <w:r w:rsidRPr="00297685">
        <w:rPr>
          <w:rFonts w:ascii="Calibri" w:hAnsi="Calibri" w:cs="Calibri"/>
          <w:i/>
          <w:iCs/>
          <w:sz w:val="18"/>
          <w:szCs w:val="18"/>
        </w:rPr>
        <w:t>J. Environ. Eng.</w:t>
      </w:r>
      <w:r w:rsidRPr="00297685">
        <w:rPr>
          <w:rFonts w:ascii="Calibri" w:hAnsi="Calibri" w:cs="Calibri"/>
          <w:sz w:val="18"/>
          <w:szCs w:val="18"/>
        </w:rPr>
        <w:t xml:space="preserve"> </w:t>
      </w:r>
      <w:r w:rsidRPr="00297685">
        <w:rPr>
          <w:rFonts w:ascii="Calibri" w:hAnsi="Calibri" w:cs="Calibri"/>
          <w:b/>
          <w:bCs/>
          <w:sz w:val="18"/>
          <w:szCs w:val="18"/>
        </w:rPr>
        <w:t>146</w:t>
      </w:r>
      <w:r w:rsidRPr="00297685">
        <w:rPr>
          <w:rFonts w:ascii="Calibri" w:hAnsi="Calibri" w:cs="Calibri"/>
          <w:sz w:val="18"/>
          <w:szCs w:val="18"/>
        </w:rPr>
        <w:t>, 03120006 (2020).</w:t>
      </w:r>
    </w:p>
    <w:p w14:paraId="1121F42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254.</w:t>
      </w:r>
      <w:r w:rsidRPr="00297685">
        <w:rPr>
          <w:rFonts w:ascii="Calibri" w:hAnsi="Calibri" w:cs="Calibri"/>
          <w:sz w:val="18"/>
          <w:szCs w:val="18"/>
        </w:rPr>
        <w:tab/>
        <w:t xml:space="preserve">Lorick, D., Macura, B., Ahlström, M., Grimvall, A. &amp; Harder, R. Effectiveness of struvite precipitation and ammonia stripping for recovery of phosphorus and nitrogen from anaerobic digestate: a systematic review. </w:t>
      </w:r>
      <w:r w:rsidRPr="00297685">
        <w:rPr>
          <w:rFonts w:ascii="Calibri" w:hAnsi="Calibri" w:cs="Calibri"/>
          <w:i/>
          <w:iCs/>
          <w:sz w:val="18"/>
          <w:szCs w:val="18"/>
        </w:rPr>
        <w:t>Environmental Evidence</w:t>
      </w:r>
      <w:r w:rsidRPr="00297685">
        <w:rPr>
          <w:rFonts w:ascii="Calibri" w:hAnsi="Calibri" w:cs="Calibri"/>
          <w:sz w:val="18"/>
          <w:szCs w:val="18"/>
        </w:rPr>
        <w:t xml:space="preserve"> </w:t>
      </w:r>
      <w:r w:rsidRPr="00297685">
        <w:rPr>
          <w:rFonts w:ascii="Calibri" w:hAnsi="Calibri" w:cs="Calibri"/>
          <w:b/>
          <w:bCs/>
          <w:sz w:val="18"/>
          <w:szCs w:val="18"/>
        </w:rPr>
        <w:t>9</w:t>
      </w:r>
      <w:r w:rsidRPr="00297685">
        <w:rPr>
          <w:rFonts w:ascii="Calibri" w:hAnsi="Calibri" w:cs="Calibri"/>
          <w:sz w:val="18"/>
          <w:szCs w:val="18"/>
        </w:rPr>
        <w:t>, 27 (2020).</w:t>
      </w:r>
    </w:p>
    <w:p w14:paraId="5E9F189C" w14:textId="6EDACEE0"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255.</w:t>
      </w:r>
      <w:r w:rsidRPr="00297685">
        <w:rPr>
          <w:rFonts w:ascii="Calibri" w:hAnsi="Calibri" w:cs="Calibri"/>
          <w:sz w:val="18"/>
          <w:szCs w:val="18"/>
        </w:rPr>
        <w:tab/>
        <w:t xml:space="preserve">Guilayn, F., Jimenez, J., Monlau, F. &amp; Vaneeckhaute, C. Valorisation of Anaerobic Digestate: Towards Value-Added Products. in </w:t>
      </w:r>
      <w:r w:rsidRPr="00297685">
        <w:rPr>
          <w:rFonts w:ascii="Calibri" w:hAnsi="Calibri" w:cs="Calibri"/>
          <w:i/>
          <w:iCs/>
          <w:sz w:val="18"/>
          <w:szCs w:val="18"/>
        </w:rPr>
        <w:t>Renewable Energy Technologies for Energy Efficient Sustainable Development</w:t>
      </w:r>
      <w:r w:rsidRPr="00297685">
        <w:rPr>
          <w:rFonts w:ascii="Calibri" w:hAnsi="Calibri" w:cs="Calibri"/>
          <w:sz w:val="18"/>
          <w:szCs w:val="18"/>
        </w:rPr>
        <w:t xml:space="preserve"> (eds. Sinharoy, A. &amp; Lens, P. N. L.) 227–262 (Springer International Publishing, Cham, 2022).</w:t>
      </w:r>
    </w:p>
    <w:p w14:paraId="1880003A"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256.</w:t>
      </w:r>
      <w:r w:rsidRPr="00297685">
        <w:rPr>
          <w:rFonts w:ascii="Calibri" w:hAnsi="Calibri" w:cs="Calibri"/>
          <w:sz w:val="18"/>
          <w:szCs w:val="18"/>
        </w:rPr>
        <w:tab/>
        <w:t xml:space="preserve">Spiller, M., Moretti, M., De Paepe, J. &amp; Vlaeminck, S. E. Environmental and economic sustainability of the nitrogen recovery paradigm: Evidence from a structured literature review. </w:t>
      </w:r>
      <w:r w:rsidRPr="00297685">
        <w:rPr>
          <w:rFonts w:ascii="Calibri" w:hAnsi="Calibri" w:cs="Calibri"/>
          <w:i/>
          <w:iCs/>
          <w:sz w:val="18"/>
          <w:szCs w:val="18"/>
        </w:rPr>
        <w:t>Resour. Conserv. Recycl.</w:t>
      </w:r>
      <w:r w:rsidRPr="00297685">
        <w:rPr>
          <w:rFonts w:ascii="Calibri" w:hAnsi="Calibri" w:cs="Calibri"/>
          <w:sz w:val="18"/>
          <w:szCs w:val="18"/>
        </w:rPr>
        <w:t xml:space="preserve"> </w:t>
      </w:r>
      <w:r w:rsidRPr="00297685">
        <w:rPr>
          <w:rFonts w:ascii="Calibri" w:hAnsi="Calibri" w:cs="Calibri"/>
          <w:b/>
          <w:bCs/>
          <w:sz w:val="18"/>
          <w:szCs w:val="18"/>
        </w:rPr>
        <w:t>184</w:t>
      </w:r>
      <w:r w:rsidRPr="00297685">
        <w:rPr>
          <w:rFonts w:ascii="Calibri" w:hAnsi="Calibri" w:cs="Calibri"/>
          <w:sz w:val="18"/>
          <w:szCs w:val="18"/>
        </w:rPr>
        <w:t>, 106406 (2022).</w:t>
      </w:r>
    </w:p>
    <w:p w14:paraId="01956599"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257.</w:t>
      </w:r>
      <w:r w:rsidRPr="00297685">
        <w:rPr>
          <w:rFonts w:ascii="Calibri" w:hAnsi="Calibri" w:cs="Calibri"/>
          <w:sz w:val="18"/>
          <w:szCs w:val="18"/>
        </w:rPr>
        <w:tab/>
        <w:t xml:space="preserve">Matassa, S. </w:t>
      </w:r>
      <w:r w:rsidRPr="00297685">
        <w:rPr>
          <w:rFonts w:ascii="Calibri" w:hAnsi="Calibri" w:cs="Calibri"/>
          <w:i/>
          <w:iCs/>
          <w:sz w:val="18"/>
          <w:szCs w:val="18"/>
        </w:rPr>
        <w:t>et al.</w:t>
      </w:r>
      <w:r w:rsidRPr="00297685">
        <w:rPr>
          <w:rFonts w:ascii="Calibri" w:hAnsi="Calibri" w:cs="Calibri"/>
          <w:sz w:val="18"/>
          <w:szCs w:val="18"/>
        </w:rPr>
        <w:t xml:space="preserve"> How can we possibly resolve the planet’s nitrogen dilemma? </w:t>
      </w:r>
      <w:r w:rsidRPr="00297685">
        <w:rPr>
          <w:rFonts w:ascii="Calibri" w:hAnsi="Calibri" w:cs="Calibri"/>
          <w:i/>
          <w:iCs/>
          <w:sz w:val="18"/>
          <w:szCs w:val="18"/>
        </w:rPr>
        <w:t>Microb. Biotechnol.</w:t>
      </w:r>
      <w:r w:rsidRPr="00297685">
        <w:rPr>
          <w:rFonts w:ascii="Calibri" w:hAnsi="Calibri" w:cs="Calibri"/>
          <w:sz w:val="18"/>
          <w:szCs w:val="18"/>
        </w:rPr>
        <w:t xml:space="preserve"> </w:t>
      </w:r>
      <w:r w:rsidRPr="00297685">
        <w:rPr>
          <w:rFonts w:ascii="Calibri" w:hAnsi="Calibri" w:cs="Calibri"/>
          <w:b/>
          <w:bCs/>
          <w:sz w:val="18"/>
          <w:szCs w:val="18"/>
        </w:rPr>
        <w:t>16</w:t>
      </w:r>
      <w:r w:rsidRPr="00297685">
        <w:rPr>
          <w:rFonts w:ascii="Calibri" w:hAnsi="Calibri" w:cs="Calibri"/>
          <w:sz w:val="18"/>
          <w:szCs w:val="18"/>
        </w:rPr>
        <w:t>, 15–27 (2023).</w:t>
      </w:r>
    </w:p>
    <w:p w14:paraId="5B675EB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258.</w:t>
      </w:r>
      <w:r w:rsidRPr="00297685">
        <w:rPr>
          <w:rFonts w:ascii="Calibri" w:hAnsi="Calibri" w:cs="Calibri"/>
          <w:sz w:val="18"/>
          <w:szCs w:val="18"/>
        </w:rPr>
        <w:tab/>
        <w:t xml:space="preserve">Waslien, C. I., Calloway, D. H. &amp; Margen, S. Human Intolerance to Bacteria as Food. </w:t>
      </w:r>
      <w:r w:rsidRPr="00297685">
        <w:rPr>
          <w:rFonts w:ascii="Calibri" w:hAnsi="Calibri" w:cs="Calibri"/>
          <w:i/>
          <w:iCs/>
          <w:sz w:val="18"/>
          <w:szCs w:val="18"/>
        </w:rPr>
        <w:t>Nature</w:t>
      </w:r>
      <w:r w:rsidRPr="00297685">
        <w:rPr>
          <w:rFonts w:ascii="Calibri" w:hAnsi="Calibri" w:cs="Calibri"/>
          <w:sz w:val="18"/>
          <w:szCs w:val="18"/>
        </w:rPr>
        <w:t xml:space="preserve"> </w:t>
      </w:r>
      <w:r w:rsidRPr="00297685">
        <w:rPr>
          <w:rFonts w:ascii="Calibri" w:hAnsi="Calibri" w:cs="Calibri"/>
          <w:b/>
          <w:bCs/>
          <w:sz w:val="18"/>
          <w:szCs w:val="18"/>
        </w:rPr>
        <w:t>221</w:t>
      </w:r>
      <w:r w:rsidRPr="00297685">
        <w:rPr>
          <w:rFonts w:ascii="Calibri" w:hAnsi="Calibri" w:cs="Calibri"/>
          <w:sz w:val="18"/>
          <w:szCs w:val="18"/>
        </w:rPr>
        <w:t>, 84–85 (1969).</w:t>
      </w:r>
    </w:p>
    <w:p w14:paraId="27A9A545"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259.</w:t>
      </w:r>
      <w:r w:rsidRPr="00297685">
        <w:rPr>
          <w:rFonts w:ascii="Calibri" w:hAnsi="Calibri" w:cs="Calibri"/>
          <w:sz w:val="18"/>
          <w:szCs w:val="18"/>
        </w:rPr>
        <w:tab/>
      </w:r>
      <w:r w:rsidRPr="00297685">
        <w:rPr>
          <w:rFonts w:ascii="Calibri" w:hAnsi="Calibri" w:cs="Calibri"/>
          <w:i/>
          <w:iCs/>
          <w:sz w:val="18"/>
          <w:szCs w:val="18"/>
        </w:rPr>
        <w:t>Sustainable Downstream Processing of Microalgae for Industrial Application</w:t>
      </w:r>
      <w:r w:rsidRPr="00297685">
        <w:rPr>
          <w:rFonts w:ascii="Calibri" w:hAnsi="Calibri" w:cs="Calibri"/>
          <w:sz w:val="18"/>
          <w:szCs w:val="18"/>
        </w:rPr>
        <w:t>. (CRC Press, Boca Raton, 2019). doi:10.1201/9780429027970.</w:t>
      </w:r>
    </w:p>
    <w:p w14:paraId="323600A3"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260.</w:t>
      </w:r>
      <w:r w:rsidRPr="00297685">
        <w:rPr>
          <w:rFonts w:ascii="Calibri" w:hAnsi="Calibri" w:cs="Calibri"/>
          <w:sz w:val="18"/>
          <w:szCs w:val="18"/>
        </w:rPr>
        <w:tab/>
        <w:t xml:space="preserve">Garcia, N. H. </w:t>
      </w:r>
      <w:r w:rsidRPr="00297685">
        <w:rPr>
          <w:rFonts w:ascii="Calibri" w:hAnsi="Calibri" w:cs="Calibri"/>
          <w:i/>
          <w:iCs/>
          <w:sz w:val="18"/>
          <w:szCs w:val="18"/>
        </w:rPr>
        <w:t>et al.</w:t>
      </w:r>
      <w:r w:rsidRPr="00297685">
        <w:rPr>
          <w:rFonts w:ascii="Calibri" w:hAnsi="Calibri" w:cs="Calibri"/>
          <w:sz w:val="18"/>
          <w:szCs w:val="18"/>
        </w:rPr>
        <w:t xml:space="preserve"> Evaluation of the methane potential of different agricultural and food processing substrates for improved biogas production in rural areas. </w:t>
      </w:r>
      <w:r w:rsidRPr="00297685">
        <w:rPr>
          <w:rFonts w:ascii="Calibri" w:hAnsi="Calibri" w:cs="Calibri"/>
          <w:i/>
          <w:iCs/>
          <w:sz w:val="18"/>
          <w:szCs w:val="18"/>
        </w:rPr>
        <w:t>Renewable and Sustainable Energy Reviews</w:t>
      </w:r>
      <w:r w:rsidRPr="00297685">
        <w:rPr>
          <w:rFonts w:ascii="Calibri" w:hAnsi="Calibri" w:cs="Calibri"/>
          <w:sz w:val="18"/>
          <w:szCs w:val="18"/>
        </w:rPr>
        <w:t xml:space="preserve"> </w:t>
      </w:r>
      <w:r w:rsidRPr="00297685">
        <w:rPr>
          <w:rFonts w:ascii="Calibri" w:hAnsi="Calibri" w:cs="Calibri"/>
          <w:b/>
          <w:bCs/>
          <w:sz w:val="18"/>
          <w:szCs w:val="18"/>
        </w:rPr>
        <w:t>112</w:t>
      </w:r>
      <w:r w:rsidRPr="00297685">
        <w:rPr>
          <w:rFonts w:ascii="Calibri" w:hAnsi="Calibri" w:cs="Calibri"/>
          <w:sz w:val="18"/>
          <w:szCs w:val="18"/>
        </w:rPr>
        <w:t>, 1–10 (2019).</w:t>
      </w:r>
    </w:p>
    <w:p w14:paraId="5CC34C5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261.</w:t>
      </w:r>
      <w:r w:rsidRPr="00297685">
        <w:rPr>
          <w:rFonts w:ascii="Calibri" w:hAnsi="Calibri" w:cs="Calibri"/>
          <w:sz w:val="18"/>
          <w:szCs w:val="18"/>
        </w:rPr>
        <w:tab/>
        <w:t xml:space="preserve">Bareha, Y., Affes, R., Moinard, V., Buffet, J. &amp; Girault, R. A simple mass balance tool to predict carbon and nitrogen fluxes in anaerobic digestion systems. </w:t>
      </w:r>
      <w:r w:rsidRPr="00297685">
        <w:rPr>
          <w:rFonts w:ascii="Calibri" w:hAnsi="Calibri" w:cs="Calibri"/>
          <w:i/>
          <w:iCs/>
          <w:sz w:val="18"/>
          <w:szCs w:val="18"/>
        </w:rPr>
        <w:t>Waste Manag.</w:t>
      </w:r>
      <w:r w:rsidRPr="00297685">
        <w:rPr>
          <w:rFonts w:ascii="Calibri" w:hAnsi="Calibri" w:cs="Calibri"/>
          <w:sz w:val="18"/>
          <w:szCs w:val="18"/>
        </w:rPr>
        <w:t xml:space="preserve"> </w:t>
      </w:r>
      <w:r w:rsidRPr="00297685">
        <w:rPr>
          <w:rFonts w:ascii="Calibri" w:hAnsi="Calibri" w:cs="Calibri"/>
          <w:b/>
          <w:bCs/>
          <w:sz w:val="18"/>
          <w:szCs w:val="18"/>
        </w:rPr>
        <w:t>135</w:t>
      </w:r>
      <w:r w:rsidRPr="00297685">
        <w:rPr>
          <w:rFonts w:ascii="Calibri" w:hAnsi="Calibri" w:cs="Calibri"/>
          <w:sz w:val="18"/>
          <w:szCs w:val="18"/>
        </w:rPr>
        <w:t>, 47–59 (2021).</w:t>
      </w:r>
    </w:p>
    <w:p w14:paraId="4B55CC93"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lastRenderedPageBreak/>
        <w:t>262.</w:t>
      </w:r>
      <w:r w:rsidRPr="00297685">
        <w:rPr>
          <w:rFonts w:ascii="Calibri" w:hAnsi="Calibri" w:cs="Calibri"/>
          <w:sz w:val="18"/>
          <w:szCs w:val="18"/>
        </w:rPr>
        <w:tab/>
        <w:t xml:space="preserve">Matassa, S., Verstraete, W., Pikaar, I. &amp; Boon, N. Autotrophic nitrogen assimilation and carbon capture for microbial protein production by a novel enrichment of hydrogen-oxidizing bacteria. </w:t>
      </w:r>
      <w:r w:rsidRPr="00297685">
        <w:rPr>
          <w:rFonts w:ascii="Calibri" w:hAnsi="Calibri" w:cs="Calibri"/>
          <w:i/>
          <w:iCs/>
          <w:sz w:val="18"/>
          <w:szCs w:val="18"/>
        </w:rPr>
        <w:t>Water Res.</w:t>
      </w:r>
      <w:r w:rsidRPr="00297685">
        <w:rPr>
          <w:rFonts w:ascii="Calibri" w:hAnsi="Calibri" w:cs="Calibri"/>
          <w:sz w:val="18"/>
          <w:szCs w:val="18"/>
        </w:rPr>
        <w:t xml:space="preserve"> </w:t>
      </w:r>
      <w:r w:rsidRPr="00297685">
        <w:rPr>
          <w:rFonts w:ascii="Calibri" w:hAnsi="Calibri" w:cs="Calibri"/>
          <w:b/>
          <w:bCs/>
          <w:sz w:val="18"/>
          <w:szCs w:val="18"/>
        </w:rPr>
        <w:t>101</w:t>
      </w:r>
      <w:r w:rsidRPr="00297685">
        <w:rPr>
          <w:rFonts w:ascii="Calibri" w:hAnsi="Calibri" w:cs="Calibri"/>
          <w:sz w:val="18"/>
          <w:szCs w:val="18"/>
        </w:rPr>
        <w:t>, 137–146 (2016).</w:t>
      </w:r>
    </w:p>
    <w:p w14:paraId="35960B1B"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263.</w:t>
      </w:r>
      <w:r w:rsidRPr="00297685">
        <w:rPr>
          <w:rFonts w:ascii="Calibri" w:hAnsi="Calibri" w:cs="Calibri"/>
          <w:sz w:val="18"/>
          <w:szCs w:val="18"/>
        </w:rPr>
        <w:tab/>
        <w:t xml:space="preserve">Areniello, M., Matassa, S., Esposito, G. &amp; Lens, P. N. L. Biowaste upcycling into second-generation microbial protein through mixed-culture fermentation. </w:t>
      </w:r>
      <w:r w:rsidRPr="00297685">
        <w:rPr>
          <w:rFonts w:ascii="Calibri" w:hAnsi="Calibri" w:cs="Calibri"/>
          <w:i/>
          <w:iCs/>
          <w:sz w:val="18"/>
          <w:szCs w:val="18"/>
        </w:rPr>
        <w:t>Trends Biotechnol.</w:t>
      </w:r>
      <w:r w:rsidRPr="00297685">
        <w:rPr>
          <w:rFonts w:ascii="Calibri" w:hAnsi="Calibri" w:cs="Calibri"/>
          <w:sz w:val="18"/>
          <w:szCs w:val="18"/>
        </w:rPr>
        <w:t xml:space="preserve"> </w:t>
      </w:r>
      <w:r w:rsidRPr="00297685">
        <w:rPr>
          <w:rFonts w:ascii="Calibri" w:hAnsi="Calibri" w:cs="Calibri"/>
          <w:b/>
          <w:bCs/>
          <w:sz w:val="18"/>
          <w:szCs w:val="18"/>
        </w:rPr>
        <w:t>0</w:t>
      </w:r>
      <w:r w:rsidRPr="00297685">
        <w:rPr>
          <w:rFonts w:ascii="Calibri" w:hAnsi="Calibri" w:cs="Calibri"/>
          <w:sz w:val="18"/>
          <w:szCs w:val="18"/>
        </w:rPr>
        <w:t>, (2022).</w:t>
      </w:r>
    </w:p>
    <w:p w14:paraId="5834CD45" w14:textId="77777777"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rPr>
        <w:t>264.</w:t>
      </w:r>
      <w:r w:rsidRPr="00297685">
        <w:rPr>
          <w:rFonts w:ascii="Calibri" w:hAnsi="Calibri" w:cs="Calibri"/>
          <w:sz w:val="18"/>
          <w:szCs w:val="18"/>
        </w:rPr>
        <w:tab/>
        <w:t xml:space="preserve">Pander, B. </w:t>
      </w:r>
      <w:r w:rsidRPr="00297685">
        <w:rPr>
          <w:rFonts w:ascii="Calibri" w:hAnsi="Calibri" w:cs="Calibri"/>
          <w:i/>
          <w:iCs/>
          <w:sz w:val="18"/>
          <w:szCs w:val="18"/>
        </w:rPr>
        <w:t>et al.</w:t>
      </w:r>
      <w:r w:rsidRPr="00297685">
        <w:rPr>
          <w:rFonts w:ascii="Calibri" w:hAnsi="Calibri" w:cs="Calibri"/>
          <w:sz w:val="18"/>
          <w:szCs w:val="18"/>
        </w:rPr>
        <w:t xml:space="preserve"> Hydrogen oxidising bacteria for production of single-cell protein and other food and feed ingredients. </w:t>
      </w:r>
      <w:r w:rsidRPr="00297685">
        <w:rPr>
          <w:rFonts w:ascii="Calibri" w:hAnsi="Calibri" w:cs="Calibri"/>
          <w:i/>
          <w:iCs/>
          <w:sz w:val="18"/>
          <w:szCs w:val="18"/>
          <w:lang w:val="fr-FR"/>
        </w:rPr>
        <w:t>Eng. Biol.</w:t>
      </w:r>
      <w:r w:rsidRPr="00297685">
        <w:rPr>
          <w:rFonts w:ascii="Calibri" w:hAnsi="Calibri" w:cs="Calibri"/>
          <w:sz w:val="18"/>
          <w:szCs w:val="18"/>
          <w:lang w:val="fr-FR"/>
        </w:rPr>
        <w:t xml:space="preserve"> </w:t>
      </w:r>
      <w:r w:rsidRPr="00297685">
        <w:rPr>
          <w:rFonts w:ascii="Calibri" w:hAnsi="Calibri" w:cs="Calibri"/>
          <w:b/>
          <w:bCs/>
          <w:sz w:val="18"/>
          <w:szCs w:val="18"/>
          <w:lang w:val="fr-FR"/>
        </w:rPr>
        <w:t>4</w:t>
      </w:r>
      <w:r w:rsidRPr="00297685">
        <w:rPr>
          <w:rFonts w:ascii="Calibri" w:hAnsi="Calibri" w:cs="Calibri"/>
          <w:sz w:val="18"/>
          <w:szCs w:val="18"/>
          <w:lang w:val="fr-FR"/>
        </w:rPr>
        <w:t>, 21–24 (2020).</w:t>
      </w:r>
    </w:p>
    <w:p w14:paraId="7CB3AE53" w14:textId="77777777"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lang w:val="fr-FR"/>
        </w:rPr>
        <w:t>265.</w:t>
      </w:r>
      <w:r w:rsidRPr="00297685">
        <w:rPr>
          <w:rFonts w:ascii="Calibri" w:hAnsi="Calibri" w:cs="Calibri"/>
          <w:sz w:val="18"/>
          <w:szCs w:val="18"/>
          <w:lang w:val="fr-FR"/>
        </w:rPr>
        <w:tab/>
        <w:t xml:space="preserve">Le Chatelier, D. </w:t>
      </w:r>
      <w:r w:rsidRPr="00297685">
        <w:rPr>
          <w:rFonts w:ascii="Calibri" w:hAnsi="Calibri" w:cs="Calibri"/>
          <w:i/>
          <w:iCs/>
          <w:sz w:val="18"/>
          <w:szCs w:val="18"/>
          <w:lang w:val="fr-FR"/>
        </w:rPr>
        <w:t>Luzerne Références 2019-2021</w:t>
      </w:r>
      <w:r w:rsidRPr="00297685">
        <w:rPr>
          <w:rFonts w:ascii="Calibri" w:hAnsi="Calibri" w:cs="Calibri"/>
          <w:sz w:val="18"/>
          <w:szCs w:val="18"/>
          <w:lang w:val="fr-FR"/>
        </w:rPr>
        <w:t>. (COOP de France Déshydratation, Paris, France, 2019).</w:t>
      </w:r>
    </w:p>
    <w:p w14:paraId="14339353"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lang w:val="fr-FR"/>
        </w:rPr>
        <w:t>266.</w:t>
      </w:r>
      <w:r w:rsidRPr="00297685">
        <w:rPr>
          <w:rFonts w:ascii="Calibri" w:hAnsi="Calibri" w:cs="Calibri"/>
          <w:sz w:val="18"/>
          <w:szCs w:val="18"/>
          <w:lang w:val="fr-FR"/>
        </w:rPr>
        <w:tab/>
        <w:t xml:space="preserve">Andurand, J., Coulmier, D., Despres, J. L. &amp; Rambourg, J. C. </w:t>
      </w:r>
      <w:r w:rsidRPr="00297685">
        <w:rPr>
          <w:rFonts w:ascii="Calibri" w:hAnsi="Calibri" w:cs="Calibri"/>
          <w:i/>
          <w:iCs/>
          <w:sz w:val="18"/>
          <w:szCs w:val="18"/>
          <w:lang w:val="fr-FR"/>
        </w:rPr>
        <w:t xml:space="preserve">Extraction industrielle de protéines et de pigments chez la </w:t>
      </w:r>
      <w:proofErr w:type="gramStart"/>
      <w:r w:rsidRPr="00297685">
        <w:rPr>
          <w:rFonts w:ascii="Calibri" w:hAnsi="Calibri" w:cs="Calibri"/>
          <w:i/>
          <w:iCs/>
          <w:sz w:val="18"/>
          <w:szCs w:val="18"/>
          <w:lang w:val="fr-FR"/>
        </w:rPr>
        <w:t>luzerne:</w:t>
      </w:r>
      <w:proofErr w:type="gramEnd"/>
      <w:r w:rsidRPr="00297685">
        <w:rPr>
          <w:rFonts w:ascii="Calibri" w:hAnsi="Calibri" w:cs="Calibri"/>
          <w:i/>
          <w:iCs/>
          <w:sz w:val="18"/>
          <w:szCs w:val="18"/>
          <w:lang w:val="fr-FR"/>
        </w:rPr>
        <w:t xml:space="preserve"> état des lieux et perspectives</w:t>
      </w:r>
      <w:r w:rsidRPr="00297685">
        <w:rPr>
          <w:rFonts w:ascii="Calibri" w:hAnsi="Calibri" w:cs="Calibri"/>
          <w:sz w:val="18"/>
          <w:szCs w:val="18"/>
          <w:lang w:val="fr-FR"/>
        </w:rPr>
        <w:t xml:space="preserve">. </w:t>
      </w:r>
      <w:r w:rsidRPr="00297685">
        <w:rPr>
          <w:rFonts w:ascii="Calibri" w:hAnsi="Calibri" w:cs="Calibri"/>
          <w:sz w:val="18"/>
          <w:szCs w:val="18"/>
        </w:rPr>
        <w:t>147–156 https://hal.inrae.fr/hal-02658324/document (2010).</w:t>
      </w:r>
    </w:p>
    <w:p w14:paraId="19A7A3A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267.</w:t>
      </w:r>
      <w:r w:rsidRPr="00297685">
        <w:rPr>
          <w:rFonts w:ascii="Calibri" w:hAnsi="Calibri" w:cs="Calibri"/>
          <w:sz w:val="18"/>
          <w:szCs w:val="18"/>
        </w:rPr>
        <w:tab/>
        <w:t xml:space="preserve">EFSA. Opinion on the safety of ‘Alfalfa protein concentrate’ as food. </w:t>
      </w:r>
      <w:r w:rsidRPr="00297685">
        <w:rPr>
          <w:rFonts w:ascii="Calibri" w:hAnsi="Calibri" w:cs="Calibri"/>
          <w:i/>
          <w:iCs/>
          <w:sz w:val="18"/>
          <w:szCs w:val="18"/>
        </w:rPr>
        <w:t>EFS2</w:t>
      </w:r>
      <w:r w:rsidRPr="00297685">
        <w:rPr>
          <w:rFonts w:ascii="Calibri" w:hAnsi="Calibri" w:cs="Calibri"/>
          <w:sz w:val="18"/>
          <w:szCs w:val="18"/>
        </w:rPr>
        <w:t xml:space="preserve"> </w:t>
      </w:r>
      <w:r w:rsidRPr="00297685">
        <w:rPr>
          <w:rFonts w:ascii="Calibri" w:hAnsi="Calibri" w:cs="Calibri"/>
          <w:b/>
          <w:bCs/>
          <w:sz w:val="18"/>
          <w:szCs w:val="18"/>
        </w:rPr>
        <w:t>7</w:t>
      </w:r>
      <w:r w:rsidRPr="00297685">
        <w:rPr>
          <w:rFonts w:ascii="Calibri" w:hAnsi="Calibri" w:cs="Calibri"/>
          <w:sz w:val="18"/>
          <w:szCs w:val="18"/>
        </w:rPr>
        <w:t>, (2009).</w:t>
      </w:r>
    </w:p>
    <w:p w14:paraId="4F3E28F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268.</w:t>
      </w:r>
      <w:r w:rsidRPr="00297685">
        <w:rPr>
          <w:rFonts w:ascii="Calibri" w:hAnsi="Calibri" w:cs="Calibri"/>
          <w:sz w:val="18"/>
          <w:szCs w:val="18"/>
        </w:rPr>
        <w:tab/>
        <w:t xml:space="preserve">Krenz, L. M. M. &amp; Pleissner, D. Valorization of landscape management grass. </w:t>
      </w:r>
      <w:r w:rsidRPr="00297685">
        <w:rPr>
          <w:rFonts w:ascii="Calibri" w:hAnsi="Calibri" w:cs="Calibri"/>
          <w:i/>
          <w:iCs/>
          <w:sz w:val="18"/>
          <w:szCs w:val="18"/>
        </w:rPr>
        <w:t>Biomass Conv. Bioref.</w:t>
      </w:r>
      <w:r w:rsidRPr="00297685">
        <w:rPr>
          <w:rFonts w:ascii="Calibri" w:hAnsi="Calibri" w:cs="Calibri"/>
          <w:sz w:val="18"/>
          <w:szCs w:val="18"/>
        </w:rPr>
        <w:t xml:space="preserve"> (2022) doi:10.1007/s13399-022-02568-0.</w:t>
      </w:r>
    </w:p>
    <w:p w14:paraId="1EB669C5"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269.</w:t>
      </w:r>
      <w:r w:rsidRPr="00297685">
        <w:rPr>
          <w:rFonts w:ascii="Calibri" w:hAnsi="Calibri" w:cs="Calibri"/>
          <w:sz w:val="18"/>
          <w:szCs w:val="18"/>
        </w:rPr>
        <w:tab/>
        <w:t xml:space="preserve">Hermansen, J. E. </w:t>
      </w:r>
      <w:r w:rsidRPr="00297685">
        <w:rPr>
          <w:rFonts w:ascii="Calibri" w:hAnsi="Calibri" w:cs="Calibri"/>
          <w:i/>
          <w:iCs/>
          <w:sz w:val="18"/>
          <w:szCs w:val="18"/>
        </w:rPr>
        <w:t>et al.</w:t>
      </w:r>
      <w:r w:rsidRPr="00297685">
        <w:rPr>
          <w:rFonts w:ascii="Calibri" w:hAnsi="Calibri" w:cs="Calibri"/>
          <w:sz w:val="18"/>
          <w:szCs w:val="18"/>
        </w:rPr>
        <w:t xml:space="preserve"> </w:t>
      </w:r>
      <w:r w:rsidRPr="00297685">
        <w:rPr>
          <w:rFonts w:ascii="Calibri" w:hAnsi="Calibri" w:cs="Calibri"/>
          <w:i/>
          <w:iCs/>
          <w:sz w:val="18"/>
          <w:szCs w:val="18"/>
        </w:rPr>
        <w:t>Green Biomass - Protein Production through Biorefining</w:t>
      </w:r>
      <w:r w:rsidRPr="00297685">
        <w:rPr>
          <w:rFonts w:ascii="Calibri" w:hAnsi="Calibri" w:cs="Calibri"/>
          <w:sz w:val="18"/>
          <w:szCs w:val="18"/>
        </w:rPr>
        <w:t>. 72 https://dcapub.au.dk/djfpublikation/djfpdf/dcarapport093.pdf (2017).</w:t>
      </w:r>
    </w:p>
    <w:p w14:paraId="57045C7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270.</w:t>
      </w:r>
      <w:r w:rsidRPr="00297685">
        <w:rPr>
          <w:rFonts w:ascii="Calibri" w:hAnsi="Calibri" w:cs="Calibri"/>
          <w:sz w:val="18"/>
          <w:szCs w:val="18"/>
        </w:rPr>
        <w:tab/>
        <w:t>Sanders, J. P. M. &amp; Koopmans, S. Method and system for the production of non-ruminant animal feed. (2020).</w:t>
      </w:r>
    </w:p>
    <w:p w14:paraId="5D5C406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271.</w:t>
      </w:r>
      <w:r w:rsidRPr="00297685">
        <w:rPr>
          <w:rFonts w:ascii="Calibri" w:hAnsi="Calibri" w:cs="Calibri"/>
          <w:sz w:val="18"/>
          <w:szCs w:val="18"/>
        </w:rPr>
        <w:tab/>
        <w:t xml:space="preserve">Nynäs, A.-L. Harnessing the potential of green </w:t>
      </w:r>
      <w:proofErr w:type="gramStart"/>
      <w:r w:rsidRPr="00297685">
        <w:rPr>
          <w:rFonts w:ascii="Calibri" w:hAnsi="Calibri" w:cs="Calibri"/>
          <w:sz w:val="18"/>
          <w:szCs w:val="18"/>
        </w:rPr>
        <w:t>leaves :</w:t>
      </w:r>
      <w:proofErr w:type="gramEnd"/>
      <w:r w:rsidRPr="00297685">
        <w:rPr>
          <w:rFonts w:ascii="Calibri" w:hAnsi="Calibri" w:cs="Calibri"/>
          <w:sz w:val="18"/>
          <w:szCs w:val="18"/>
        </w:rPr>
        <w:t xml:space="preserve"> agricultural biomass as a source of sustainable. (Swedish University of Agricultural Science, Alnarp, 2022).</w:t>
      </w:r>
    </w:p>
    <w:p w14:paraId="371ED2C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272.</w:t>
      </w:r>
      <w:r w:rsidRPr="00297685">
        <w:rPr>
          <w:rFonts w:ascii="Calibri" w:hAnsi="Calibri" w:cs="Calibri"/>
          <w:sz w:val="18"/>
          <w:szCs w:val="18"/>
        </w:rPr>
        <w:tab/>
        <w:t xml:space="preserve">Tamayo Tenorio, A., Schreuders, F. K. G., Zisopoulos, F. K., Boom, R. M. &amp; van der Goot, A. J. Processing concepts for the use of green leaves as raw materials for the food industry. </w:t>
      </w:r>
      <w:r w:rsidRPr="00297685">
        <w:rPr>
          <w:rFonts w:ascii="Calibri" w:hAnsi="Calibri" w:cs="Calibri"/>
          <w:i/>
          <w:iCs/>
          <w:sz w:val="18"/>
          <w:szCs w:val="18"/>
        </w:rPr>
        <w:t>J. Clean. Prod.</w:t>
      </w:r>
      <w:r w:rsidRPr="00297685">
        <w:rPr>
          <w:rFonts w:ascii="Calibri" w:hAnsi="Calibri" w:cs="Calibri"/>
          <w:sz w:val="18"/>
          <w:szCs w:val="18"/>
        </w:rPr>
        <w:t xml:space="preserve"> </w:t>
      </w:r>
      <w:r w:rsidRPr="00297685">
        <w:rPr>
          <w:rFonts w:ascii="Calibri" w:hAnsi="Calibri" w:cs="Calibri"/>
          <w:b/>
          <w:bCs/>
          <w:sz w:val="18"/>
          <w:szCs w:val="18"/>
        </w:rPr>
        <w:t>164</w:t>
      </w:r>
      <w:r w:rsidRPr="00297685">
        <w:rPr>
          <w:rFonts w:ascii="Calibri" w:hAnsi="Calibri" w:cs="Calibri"/>
          <w:sz w:val="18"/>
          <w:szCs w:val="18"/>
        </w:rPr>
        <w:t>, 736–748 (2017).</w:t>
      </w:r>
    </w:p>
    <w:p w14:paraId="348A158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273.</w:t>
      </w:r>
      <w:r w:rsidRPr="00297685">
        <w:rPr>
          <w:rFonts w:ascii="Calibri" w:hAnsi="Calibri" w:cs="Calibri"/>
          <w:sz w:val="18"/>
          <w:szCs w:val="18"/>
        </w:rPr>
        <w:tab/>
        <w:t xml:space="preserve">Kiskini, A., Vissers, A., Vincken, J.-P., Gruppen, H. &amp; Wierenga, P. A. Effect of Plant Age on the Quantity and Quality of Proteins Extracted from Sugar Beet (Beta vulgaris L.) Leaves. </w:t>
      </w:r>
      <w:r w:rsidRPr="00297685">
        <w:rPr>
          <w:rFonts w:ascii="Calibri" w:hAnsi="Calibri" w:cs="Calibri"/>
          <w:i/>
          <w:iCs/>
          <w:sz w:val="18"/>
          <w:szCs w:val="18"/>
        </w:rPr>
        <w:t>J. Agric. Food Chem.</w:t>
      </w:r>
      <w:r w:rsidRPr="00297685">
        <w:rPr>
          <w:rFonts w:ascii="Calibri" w:hAnsi="Calibri" w:cs="Calibri"/>
          <w:sz w:val="18"/>
          <w:szCs w:val="18"/>
        </w:rPr>
        <w:t xml:space="preserve"> </w:t>
      </w:r>
      <w:r w:rsidRPr="00297685">
        <w:rPr>
          <w:rFonts w:ascii="Calibri" w:hAnsi="Calibri" w:cs="Calibri"/>
          <w:b/>
          <w:bCs/>
          <w:sz w:val="18"/>
          <w:szCs w:val="18"/>
        </w:rPr>
        <w:t>64</w:t>
      </w:r>
      <w:r w:rsidRPr="00297685">
        <w:rPr>
          <w:rFonts w:ascii="Calibri" w:hAnsi="Calibri" w:cs="Calibri"/>
          <w:sz w:val="18"/>
          <w:szCs w:val="18"/>
        </w:rPr>
        <w:t>, 8305–8314 (2016).</w:t>
      </w:r>
    </w:p>
    <w:p w14:paraId="3069D7EE"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274.</w:t>
      </w:r>
      <w:r w:rsidRPr="00297685">
        <w:rPr>
          <w:rFonts w:ascii="Calibri" w:hAnsi="Calibri" w:cs="Calibri"/>
          <w:sz w:val="18"/>
          <w:szCs w:val="18"/>
        </w:rPr>
        <w:tab/>
        <w:t xml:space="preserve">Carlsson, R. &amp; Hanczakowski, P. Waste green parts of plants as raw material for leaf protein concentrate production. </w:t>
      </w:r>
      <w:r w:rsidRPr="00297685">
        <w:rPr>
          <w:rFonts w:ascii="Calibri" w:hAnsi="Calibri" w:cs="Calibri"/>
          <w:i/>
          <w:iCs/>
          <w:sz w:val="18"/>
          <w:szCs w:val="18"/>
        </w:rPr>
        <w:t>Biological Wastes</w:t>
      </w:r>
      <w:r w:rsidRPr="00297685">
        <w:rPr>
          <w:rFonts w:ascii="Calibri" w:hAnsi="Calibri" w:cs="Calibri"/>
          <w:sz w:val="18"/>
          <w:szCs w:val="18"/>
        </w:rPr>
        <w:t xml:space="preserve"> </w:t>
      </w:r>
      <w:r w:rsidRPr="00297685">
        <w:rPr>
          <w:rFonts w:ascii="Calibri" w:hAnsi="Calibri" w:cs="Calibri"/>
          <w:b/>
          <w:bCs/>
          <w:sz w:val="18"/>
          <w:szCs w:val="18"/>
        </w:rPr>
        <w:t>28</w:t>
      </w:r>
      <w:r w:rsidRPr="00297685">
        <w:rPr>
          <w:rFonts w:ascii="Calibri" w:hAnsi="Calibri" w:cs="Calibri"/>
          <w:sz w:val="18"/>
          <w:szCs w:val="18"/>
        </w:rPr>
        <w:t>, 83–90 (1989).</w:t>
      </w:r>
    </w:p>
    <w:p w14:paraId="678D9C2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275.</w:t>
      </w:r>
      <w:r w:rsidRPr="00297685">
        <w:rPr>
          <w:rFonts w:ascii="Calibri" w:hAnsi="Calibri" w:cs="Calibri"/>
          <w:sz w:val="18"/>
          <w:szCs w:val="18"/>
        </w:rPr>
        <w:tab/>
        <w:t xml:space="preserve">Prade, T. </w:t>
      </w:r>
      <w:r w:rsidRPr="00297685">
        <w:rPr>
          <w:rFonts w:ascii="Calibri" w:hAnsi="Calibri" w:cs="Calibri"/>
          <w:i/>
          <w:iCs/>
          <w:sz w:val="18"/>
          <w:szCs w:val="18"/>
        </w:rPr>
        <w:t>et al.</w:t>
      </w:r>
      <w:r w:rsidRPr="00297685">
        <w:rPr>
          <w:rFonts w:ascii="Calibri" w:hAnsi="Calibri" w:cs="Calibri"/>
          <w:sz w:val="18"/>
          <w:szCs w:val="18"/>
        </w:rPr>
        <w:t xml:space="preserve"> Protein fractionation of broccoli (Brassica oleracea, var. Italica) and kale (Brassica oleracea, var. Sabellica) residual leaves — A pre-feasibility assessment and evaluation of fraction phenol and fibre content. </w:t>
      </w:r>
      <w:r w:rsidRPr="00297685">
        <w:rPr>
          <w:rFonts w:ascii="Calibri" w:hAnsi="Calibri" w:cs="Calibri"/>
          <w:i/>
          <w:iCs/>
          <w:sz w:val="18"/>
          <w:szCs w:val="18"/>
        </w:rPr>
        <w:t>FBP</w:t>
      </w:r>
      <w:r w:rsidRPr="00297685">
        <w:rPr>
          <w:rFonts w:ascii="Calibri" w:hAnsi="Calibri" w:cs="Calibri"/>
          <w:sz w:val="18"/>
          <w:szCs w:val="18"/>
        </w:rPr>
        <w:t xml:space="preserve"> </w:t>
      </w:r>
      <w:r w:rsidRPr="00297685">
        <w:rPr>
          <w:rFonts w:ascii="Calibri" w:hAnsi="Calibri" w:cs="Calibri"/>
          <w:b/>
          <w:bCs/>
          <w:sz w:val="18"/>
          <w:szCs w:val="18"/>
        </w:rPr>
        <w:t>130</w:t>
      </w:r>
      <w:r w:rsidRPr="00297685">
        <w:rPr>
          <w:rFonts w:ascii="Calibri" w:hAnsi="Calibri" w:cs="Calibri"/>
          <w:sz w:val="18"/>
          <w:szCs w:val="18"/>
        </w:rPr>
        <w:t>, 229–243 (2021).</w:t>
      </w:r>
    </w:p>
    <w:p w14:paraId="3EAC6414"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276.</w:t>
      </w:r>
      <w:r w:rsidRPr="00297685">
        <w:rPr>
          <w:rFonts w:ascii="Calibri" w:hAnsi="Calibri" w:cs="Calibri"/>
          <w:sz w:val="18"/>
          <w:szCs w:val="18"/>
        </w:rPr>
        <w:tab/>
        <w:t xml:space="preserve">Gundersen, E., Christiansen, A. H. C., Jørgensen, K. &amp; Lübeck, M. Production of leaf protein concentrates from cassava: Protein distribution and anti-nutritional factors in biorefining fractions. </w:t>
      </w:r>
      <w:r w:rsidRPr="00297685">
        <w:rPr>
          <w:rFonts w:ascii="Calibri" w:hAnsi="Calibri" w:cs="Calibri"/>
          <w:i/>
          <w:iCs/>
          <w:sz w:val="18"/>
          <w:szCs w:val="18"/>
        </w:rPr>
        <w:t>Journal of Cleaner Production</w:t>
      </w:r>
      <w:r w:rsidRPr="00297685">
        <w:rPr>
          <w:rFonts w:ascii="Calibri" w:hAnsi="Calibri" w:cs="Calibri"/>
          <w:sz w:val="18"/>
          <w:szCs w:val="18"/>
        </w:rPr>
        <w:t xml:space="preserve"> </w:t>
      </w:r>
      <w:r w:rsidRPr="00297685">
        <w:rPr>
          <w:rFonts w:ascii="Calibri" w:hAnsi="Calibri" w:cs="Calibri"/>
          <w:b/>
          <w:bCs/>
          <w:sz w:val="18"/>
          <w:szCs w:val="18"/>
        </w:rPr>
        <w:t>379</w:t>
      </w:r>
      <w:r w:rsidRPr="00297685">
        <w:rPr>
          <w:rFonts w:ascii="Calibri" w:hAnsi="Calibri" w:cs="Calibri"/>
          <w:sz w:val="18"/>
          <w:szCs w:val="18"/>
        </w:rPr>
        <w:t>, 134730 (2022).</w:t>
      </w:r>
    </w:p>
    <w:p w14:paraId="768819EC"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277.</w:t>
      </w:r>
      <w:r w:rsidRPr="00297685">
        <w:rPr>
          <w:rFonts w:ascii="Calibri" w:hAnsi="Calibri" w:cs="Calibri"/>
          <w:sz w:val="18"/>
          <w:szCs w:val="18"/>
        </w:rPr>
        <w:tab/>
        <w:t xml:space="preserve">Rosas Romero, A. J. &amp; Acosta, X. The biological quality of a cassava </w:t>
      </w:r>
      <w:proofErr w:type="gramStart"/>
      <w:r w:rsidRPr="00297685">
        <w:rPr>
          <w:rFonts w:ascii="Calibri" w:hAnsi="Calibri" w:cs="Calibri"/>
          <w:sz w:val="18"/>
          <w:szCs w:val="18"/>
        </w:rPr>
        <w:t>leave</w:t>
      </w:r>
      <w:proofErr w:type="gramEnd"/>
      <w:r w:rsidRPr="00297685">
        <w:rPr>
          <w:rFonts w:ascii="Calibri" w:hAnsi="Calibri" w:cs="Calibri"/>
          <w:sz w:val="18"/>
          <w:szCs w:val="18"/>
        </w:rPr>
        <w:t xml:space="preserve"> protein concentrate. </w:t>
      </w:r>
      <w:r w:rsidRPr="00297685">
        <w:rPr>
          <w:rFonts w:ascii="Calibri" w:hAnsi="Calibri" w:cs="Calibri"/>
          <w:i/>
          <w:iCs/>
          <w:sz w:val="18"/>
          <w:szCs w:val="18"/>
        </w:rPr>
        <w:t>Acta cient. venez</w:t>
      </w:r>
      <w:r w:rsidRPr="00297685">
        <w:rPr>
          <w:rFonts w:ascii="Calibri" w:hAnsi="Calibri" w:cs="Calibri"/>
          <w:sz w:val="18"/>
          <w:szCs w:val="18"/>
        </w:rPr>
        <w:t xml:space="preserve"> 441–4 (1986).</w:t>
      </w:r>
    </w:p>
    <w:p w14:paraId="5E575796"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278.</w:t>
      </w:r>
      <w:r w:rsidRPr="00297685">
        <w:rPr>
          <w:rFonts w:ascii="Calibri" w:hAnsi="Calibri" w:cs="Calibri"/>
          <w:sz w:val="18"/>
          <w:szCs w:val="18"/>
        </w:rPr>
        <w:tab/>
        <w:t xml:space="preserve">Mortensen, E. ø &amp; Jørgensen, U. Danish agricultural biomass production and utilization in 2030. in </w:t>
      </w:r>
      <w:r w:rsidRPr="00297685">
        <w:rPr>
          <w:rFonts w:ascii="Calibri" w:hAnsi="Calibri" w:cs="Calibri"/>
          <w:i/>
          <w:iCs/>
          <w:sz w:val="18"/>
          <w:szCs w:val="18"/>
        </w:rPr>
        <w:t>Advisory memorandum from DCA - Danish Center for Food and Agriculture</w:t>
      </w:r>
      <w:r w:rsidRPr="00297685">
        <w:rPr>
          <w:rFonts w:ascii="Calibri" w:hAnsi="Calibri" w:cs="Calibri"/>
          <w:sz w:val="18"/>
          <w:szCs w:val="18"/>
        </w:rPr>
        <w:t xml:space="preserve"> 24 (Aarhus University, 2022).</w:t>
      </w:r>
    </w:p>
    <w:p w14:paraId="57C80236"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279.</w:t>
      </w:r>
      <w:r w:rsidRPr="00297685">
        <w:rPr>
          <w:rFonts w:ascii="Calibri" w:hAnsi="Calibri" w:cs="Calibri"/>
          <w:sz w:val="18"/>
          <w:szCs w:val="18"/>
        </w:rPr>
        <w:tab/>
        <w:t xml:space="preserve">Nielsen, C. K., Stødkilde, L., Jørgensen, U. &amp; Lærke, P. E. Effects of Harvest and Fertilization Frequency on Protein Yield and Extractability </w:t>
      </w:r>
      <w:proofErr w:type="gramStart"/>
      <w:r w:rsidRPr="00297685">
        <w:rPr>
          <w:rFonts w:ascii="Calibri" w:hAnsi="Calibri" w:cs="Calibri"/>
          <w:sz w:val="18"/>
          <w:szCs w:val="18"/>
        </w:rPr>
        <w:t>From</w:t>
      </w:r>
      <w:proofErr w:type="gramEnd"/>
      <w:r w:rsidRPr="00297685">
        <w:rPr>
          <w:rFonts w:ascii="Calibri" w:hAnsi="Calibri" w:cs="Calibri"/>
          <w:sz w:val="18"/>
          <w:szCs w:val="18"/>
        </w:rPr>
        <w:t xml:space="preserve"> Flood-Tolerant Perennial Grasses Cultivated on a fen Peatland. </w:t>
      </w:r>
      <w:r w:rsidRPr="00297685">
        <w:rPr>
          <w:rFonts w:ascii="Calibri" w:hAnsi="Calibri" w:cs="Calibri"/>
          <w:i/>
          <w:iCs/>
          <w:sz w:val="18"/>
          <w:szCs w:val="18"/>
        </w:rPr>
        <w:t>Front. Environ. Sci.</w:t>
      </w:r>
      <w:r w:rsidRPr="00297685">
        <w:rPr>
          <w:rFonts w:ascii="Calibri" w:hAnsi="Calibri" w:cs="Calibri"/>
          <w:sz w:val="18"/>
          <w:szCs w:val="18"/>
        </w:rPr>
        <w:t xml:space="preserve"> </w:t>
      </w:r>
      <w:r w:rsidRPr="00297685">
        <w:rPr>
          <w:rFonts w:ascii="Calibri" w:hAnsi="Calibri" w:cs="Calibri"/>
          <w:b/>
          <w:bCs/>
          <w:sz w:val="18"/>
          <w:szCs w:val="18"/>
        </w:rPr>
        <w:t>9</w:t>
      </w:r>
      <w:r w:rsidRPr="00297685">
        <w:rPr>
          <w:rFonts w:ascii="Calibri" w:hAnsi="Calibri" w:cs="Calibri"/>
          <w:sz w:val="18"/>
          <w:szCs w:val="18"/>
        </w:rPr>
        <w:t>, (2021).</w:t>
      </w:r>
    </w:p>
    <w:p w14:paraId="2F09C0F6"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280.</w:t>
      </w:r>
      <w:r w:rsidRPr="00297685">
        <w:rPr>
          <w:rFonts w:ascii="Calibri" w:hAnsi="Calibri" w:cs="Calibri"/>
          <w:sz w:val="18"/>
          <w:szCs w:val="18"/>
        </w:rPr>
        <w:tab/>
        <w:t>Muica, V. Enhanced Management of Residual Grass in Denmark. (Syddansk Universitet, 2014).</w:t>
      </w:r>
    </w:p>
    <w:p w14:paraId="243C741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281.</w:t>
      </w:r>
      <w:r w:rsidRPr="00297685">
        <w:rPr>
          <w:rFonts w:ascii="Calibri" w:hAnsi="Calibri" w:cs="Calibri"/>
          <w:sz w:val="18"/>
          <w:szCs w:val="18"/>
        </w:rPr>
        <w:tab/>
        <w:t xml:space="preserve">Tamayo Tenorio, A., Gieteling, J., de Jong, G. A. H., Boom, R. M. &amp; van der Goot, A. J. Recovery of protein from green leaves: Overview of crucial steps for utilisation. </w:t>
      </w:r>
      <w:r w:rsidRPr="00297685">
        <w:rPr>
          <w:rFonts w:ascii="Calibri" w:hAnsi="Calibri" w:cs="Calibri"/>
          <w:i/>
          <w:iCs/>
          <w:sz w:val="18"/>
          <w:szCs w:val="18"/>
        </w:rPr>
        <w:t>Food Chemistry</w:t>
      </w:r>
      <w:r w:rsidRPr="00297685">
        <w:rPr>
          <w:rFonts w:ascii="Calibri" w:hAnsi="Calibri" w:cs="Calibri"/>
          <w:sz w:val="18"/>
          <w:szCs w:val="18"/>
        </w:rPr>
        <w:t xml:space="preserve"> </w:t>
      </w:r>
      <w:r w:rsidRPr="00297685">
        <w:rPr>
          <w:rFonts w:ascii="Calibri" w:hAnsi="Calibri" w:cs="Calibri"/>
          <w:b/>
          <w:bCs/>
          <w:sz w:val="18"/>
          <w:szCs w:val="18"/>
        </w:rPr>
        <w:t>203</w:t>
      </w:r>
      <w:r w:rsidRPr="00297685">
        <w:rPr>
          <w:rFonts w:ascii="Calibri" w:hAnsi="Calibri" w:cs="Calibri"/>
          <w:sz w:val="18"/>
          <w:szCs w:val="18"/>
        </w:rPr>
        <w:t>, 402–408 (2016).</w:t>
      </w:r>
    </w:p>
    <w:p w14:paraId="3E3D435C"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282.</w:t>
      </w:r>
      <w:r w:rsidRPr="00297685">
        <w:rPr>
          <w:rFonts w:ascii="Calibri" w:hAnsi="Calibri" w:cs="Calibri"/>
          <w:sz w:val="18"/>
          <w:szCs w:val="18"/>
        </w:rPr>
        <w:tab/>
        <w:t xml:space="preserve">Skunca, D., Romdhana, H. &amp; Brouwers, R. Rubisco protein production - LCA approach. </w:t>
      </w:r>
      <w:r w:rsidRPr="00297685">
        <w:rPr>
          <w:rFonts w:ascii="Calibri" w:hAnsi="Calibri" w:cs="Calibri"/>
          <w:i/>
          <w:iCs/>
          <w:sz w:val="18"/>
          <w:szCs w:val="18"/>
        </w:rPr>
        <w:t>MEST</w:t>
      </w:r>
      <w:r w:rsidRPr="00297685">
        <w:rPr>
          <w:rFonts w:ascii="Calibri" w:hAnsi="Calibri" w:cs="Calibri"/>
          <w:sz w:val="18"/>
          <w:szCs w:val="18"/>
        </w:rPr>
        <w:t xml:space="preserve"> </w:t>
      </w:r>
      <w:r w:rsidRPr="00297685">
        <w:rPr>
          <w:rFonts w:ascii="Calibri" w:hAnsi="Calibri" w:cs="Calibri"/>
          <w:b/>
          <w:bCs/>
          <w:sz w:val="18"/>
          <w:szCs w:val="18"/>
        </w:rPr>
        <w:t>9</w:t>
      </w:r>
      <w:r w:rsidRPr="00297685">
        <w:rPr>
          <w:rFonts w:ascii="Calibri" w:hAnsi="Calibri" w:cs="Calibri"/>
          <w:sz w:val="18"/>
          <w:szCs w:val="18"/>
        </w:rPr>
        <w:t>, 175–183 (2021).</w:t>
      </w:r>
    </w:p>
    <w:p w14:paraId="4F4DE714"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283.</w:t>
      </w:r>
      <w:r w:rsidRPr="00297685">
        <w:rPr>
          <w:rFonts w:ascii="Calibri" w:hAnsi="Calibri" w:cs="Calibri"/>
          <w:sz w:val="18"/>
          <w:szCs w:val="18"/>
        </w:rPr>
        <w:tab/>
        <w:t xml:space="preserve">Parajuli, R., Dalgaard, T. &amp; Birkved, M. Can farmers mitigate environmental impacts through combined production of food, fuel and feed? A consequential life cycle assessment of integrated mixed crop-livestock system with a green biorefinery. </w:t>
      </w:r>
      <w:r w:rsidRPr="00297685">
        <w:rPr>
          <w:rFonts w:ascii="Calibri" w:hAnsi="Calibri" w:cs="Calibri"/>
          <w:i/>
          <w:iCs/>
          <w:sz w:val="18"/>
          <w:szCs w:val="18"/>
        </w:rPr>
        <w:t>Sci. Total Environ.</w:t>
      </w:r>
      <w:r w:rsidRPr="00297685">
        <w:rPr>
          <w:rFonts w:ascii="Calibri" w:hAnsi="Calibri" w:cs="Calibri"/>
          <w:sz w:val="18"/>
          <w:szCs w:val="18"/>
        </w:rPr>
        <w:t xml:space="preserve"> </w:t>
      </w:r>
      <w:r w:rsidRPr="00297685">
        <w:rPr>
          <w:rFonts w:ascii="Calibri" w:hAnsi="Calibri" w:cs="Calibri"/>
          <w:b/>
          <w:bCs/>
          <w:sz w:val="18"/>
          <w:szCs w:val="18"/>
        </w:rPr>
        <w:t>619–620</w:t>
      </w:r>
      <w:r w:rsidRPr="00297685">
        <w:rPr>
          <w:rFonts w:ascii="Calibri" w:hAnsi="Calibri" w:cs="Calibri"/>
          <w:sz w:val="18"/>
          <w:szCs w:val="18"/>
        </w:rPr>
        <w:t>, 127–143 (2018).</w:t>
      </w:r>
    </w:p>
    <w:p w14:paraId="7AA6CF1E"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284.</w:t>
      </w:r>
      <w:r w:rsidRPr="00297685">
        <w:rPr>
          <w:rFonts w:ascii="Calibri" w:hAnsi="Calibri" w:cs="Calibri"/>
          <w:sz w:val="18"/>
          <w:szCs w:val="18"/>
        </w:rPr>
        <w:tab/>
        <w:t xml:space="preserve">Parajuli, R. </w:t>
      </w:r>
      <w:r w:rsidRPr="00297685">
        <w:rPr>
          <w:rFonts w:ascii="Calibri" w:hAnsi="Calibri" w:cs="Calibri"/>
          <w:i/>
          <w:iCs/>
          <w:sz w:val="18"/>
          <w:szCs w:val="18"/>
        </w:rPr>
        <w:t>et al.</w:t>
      </w:r>
      <w:r w:rsidRPr="00297685">
        <w:rPr>
          <w:rFonts w:ascii="Calibri" w:hAnsi="Calibri" w:cs="Calibri"/>
          <w:sz w:val="18"/>
          <w:szCs w:val="18"/>
        </w:rPr>
        <w:t xml:space="preserve"> Environmental impacts of producing bioethanol and biobased lactic acid from standalone and integrated biorefineries using a consequential and an attributional life cycle assessment approach. </w:t>
      </w:r>
      <w:r w:rsidRPr="00297685">
        <w:rPr>
          <w:rFonts w:ascii="Calibri" w:hAnsi="Calibri" w:cs="Calibri"/>
          <w:i/>
          <w:iCs/>
          <w:sz w:val="18"/>
          <w:szCs w:val="18"/>
        </w:rPr>
        <w:t>Science of The Total Environment</w:t>
      </w:r>
      <w:r w:rsidRPr="00297685">
        <w:rPr>
          <w:rFonts w:ascii="Calibri" w:hAnsi="Calibri" w:cs="Calibri"/>
          <w:sz w:val="18"/>
          <w:szCs w:val="18"/>
        </w:rPr>
        <w:t xml:space="preserve"> </w:t>
      </w:r>
      <w:r w:rsidRPr="00297685">
        <w:rPr>
          <w:rFonts w:ascii="Calibri" w:hAnsi="Calibri" w:cs="Calibri"/>
          <w:b/>
          <w:bCs/>
          <w:sz w:val="18"/>
          <w:szCs w:val="18"/>
        </w:rPr>
        <w:t>598</w:t>
      </w:r>
      <w:r w:rsidRPr="00297685">
        <w:rPr>
          <w:rFonts w:ascii="Calibri" w:hAnsi="Calibri" w:cs="Calibri"/>
          <w:sz w:val="18"/>
          <w:szCs w:val="18"/>
        </w:rPr>
        <w:t>, 497–512 (2017).</w:t>
      </w:r>
    </w:p>
    <w:p w14:paraId="6C649E7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285.</w:t>
      </w:r>
      <w:r w:rsidRPr="00297685">
        <w:rPr>
          <w:rFonts w:ascii="Calibri" w:hAnsi="Calibri" w:cs="Calibri"/>
          <w:sz w:val="18"/>
          <w:szCs w:val="18"/>
        </w:rPr>
        <w:tab/>
        <w:t xml:space="preserve">Prieler, M., Lindorfer, J. &amp; Steinmüller, H. Life-cycle assessment of green biorefinery process options. </w:t>
      </w:r>
      <w:r w:rsidRPr="00297685">
        <w:rPr>
          <w:rFonts w:ascii="Calibri" w:hAnsi="Calibri" w:cs="Calibri"/>
          <w:i/>
          <w:iCs/>
          <w:sz w:val="18"/>
          <w:szCs w:val="18"/>
        </w:rPr>
        <w:t>Biofuels, Bioproducts and Biorefining</w:t>
      </w:r>
      <w:r w:rsidRPr="00297685">
        <w:rPr>
          <w:rFonts w:ascii="Calibri" w:hAnsi="Calibri" w:cs="Calibri"/>
          <w:sz w:val="18"/>
          <w:szCs w:val="18"/>
        </w:rPr>
        <w:t xml:space="preserve"> </w:t>
      </w:r>
      <w:r w:rsidRPr="00297685">
        <w:rPr>
          <w:rFonts w:ascii="Calibri" w:hAnsi="Calibri" w:cs="Calibri"/>
          <w:b/>
          <w:bCs/>
          <w:sz w:val="18"/>
          <w:szCs w:val="18"/>
        </w:rPr>
        <w:t>13</w:t>
      </w:r>
      <w:r w:rsidRPr="00297685">
        <w:rPr>
          <w:rFonts w:ascii="Calibri" w:hAnsi="Calibri" w:cs="Calibri"/>
          <w:sz w:val="18"/>
          <w:szCs w:val="18"/>
        </w:rPr>
        <w:t>, 1391–1401 (2019).</w:t>
      </w:r>
    </w:p>
    <w:p w14:paraId="6B204313"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286.</w:t>
      </w:r>
      <w:r w:rsidRPr="00297685">
        <w:rPr>
          <w:rFonts w:ascii="Calibri" w:hAnsi="Calibri" w:cs="Calibri"/>
          <w:sz w:val="18"/>
          <w:szCs w:val="18"/>
        </w:rPr>
        <w:tab/>
        <w:t xml:space="preserve">Jungbluth, N. </w:t>
      </w:r>
      <w:r w:rsidRPr="00297685">
        <w:rPr>
          <w:rFonts w:ascii="Calibri" w:hAnsi="Calibri" w:cs="Calibri"/>
          <w:i/>
          <w:iCs/>
          <w:sz w:val="18"/>
          <w:szCs w:val="18"/>
        </w:rPr>
        <w:t>et al.</w:t>
      </w:r>
      <w:r w:rsidRPr="00297685">
        <w:rPr>
          <w:rFonts w:ascii="Calibri" w:hAnsi="Calibri" w:cs="Calibri"/>
          <w:sz w:val="18"/>
          <w:szCs w:val="18"/>
        </w:rPr>
        <w:t xml:space="preserve"> </w:t>
      </w:r>
      <w:r w:rsidRPr="00297685">
        <w:rPr>
          <w:rFonts w:ascii="Calibri" w:hAnsi="Calibri" w:cs="Calibri"/>
          <w:i/>
          <w:iCs/>
          <w:sz w:val="18"/>
          <w:szCs w:val="18"/>
        </w:rPr>
        <w:t>Life Cycle Inventories of Bioenergy. Ecoinvent Report No. 17</w:t>
      </w:r>
      <w:r w:rsidRPr="00297685">
        <w:rPr>
          <w:rFonts w:ascii="Calibri" w:hAnsi="Calibri" w:cs="Calibri"/>
          <w:sz w:val="18"/>
          <w:szCs w:val="18"/>
        </w:rPr>
        <w:t>. (Swiss Centre for Life Cycle Inventories, Dübendorf, CH, 2007).</w:t>
      </w:r>
    </w:p>
    <w:p w14:paraId="4FBA15E1"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287.</w:t>
      </w:r>
      <w:r w:rsidRPr="00297685">
        <w:rPr>
          <w:rFonts w:ascii="Calibri" w:hAnsi="Calibri" w:cs="Calibri"/>
          <w:sz w:val="18"/>
          <w:szCs w:val="18"/>
        </w:rPr>
        <w:tab/>
        <w:t xml:space="preserve">Bühle, L., Stülpnagel, R. &amp; Wachendorf, M. Comparative life cycle assessment of the integrated generation of solid fuel and biogas from biomass (IFBB) and whole crop digestion (WCD) in Germany. </w:t>
      </w:r>
      <w:r w:rsidRPr="00297685">
        <w:rPr>
          <w:rFonts w:ascii="Calibri" w:hAnsi="Calibri" w:cs="Calibri"/>
          <w:i/>
          <w:iCs/>
          <w:sz w:val="18"/>
          <w:szCs w:val="18"/>
        </w:rPr>
        <w:t>Biomass and Bioenergy</w:t>
      </w:r>
      <w:r w:rsidRPr="00297685">
        <w:rPr>
          <w:rFonts w:ascii="Calibri" w:hAnsi="Calibri" w:cs="Calibri"/>
          <w:sz w:val="18"/>
          <w:szCs w:val="18"/>
        </w:rPr>
        <w:t xml:space="preserve"> </w:t>
      </w:r>
      <w:r w:rsidRPr="00297685">
        <w:rPr>
          <w:rFonts w:ascii="Calibri" w:hAnsi="Calibri" w:cs="Calibri"/>
          <w:b/>
          <w:bCs/>
          <w:sz w:val="18"/>
          <w:szCs w:val="18"/>
        </w:rPr>
        <w:t>35</w:t>
      </w:r>
      <w:r w:rsidRPr="00297685">
        <w:rPr>
          <w:rFonts w:ascii="Calibri" w:hAnsi="Calibri" w:cs="Calibri"/>
          <w:sz w:val="18"/>
          <w:szCs w:val="18"/>
        </w:rPr>
        <w:t>, 363–373 (2011).</w:t>
      </w:r>
    </w:p>
    <w:p w14:paraId="30E63AD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288.</w:t>
      </w:r>
      <w:r w:rsidRPr="00297685">
        <w:rPr>
          <w:rFonts w:ascii="Calibri" w:hAnsi="Calibri" w:cs="Calibri"/>
          <w:sz w:val="18"/>
          <w:szCs w:val="18"/>
        </w:rPr>
        <w:tab/>
        <w:t xml:space="preserve">Bühle, L., Hensgen, F., Donnison, I., Heinsoo, K. &amp; Wachendorf, M. Life cycle assessment of the integrated generation of solid fuel and biogas from biomass (IFBB) in comparison to different energy recovery, animal-based and non-refining management systems. </w:t>
      </w:r>
      <w:r w:rsidRPr="00297685">
        <w:rPr>
          <w:rFonts w:ascii="Calibri" w:hAnsi="Calibri" w:cs="Calibri"/>
          <w:i/>
          <w:iCs/>
          <w:sz w:val="18"/>
          <w:szCs w:val="18"/>
        </w:rPr>
        <w:t>Bioresource Technology</w:t>
      </w:r>
      <w:r w:rsidRPr="00297685">
        <w:rPr>
          <w:rFonts w:ascii="Calibri" w:hAnsi="Calibri" w:cs="Calibri"/>
          <w:sz w:val="18"/>
          <w:szCs w:val="18"/>
        </w:rPr>
        <w:t xml:space="preserve"> </w:t>
      </w:r>
      <w:r w:rsidRPr="00297685">
        <w:rPr>
          <w:rFonts w:ascii="Calibri" w:hAnsi="Calibri" w:cs="Calibri"/>
          <w:b/>
          <w:bCs/>
          <w:sz w:val="18"/>
          <w:szCs w:val="18"/>
        </w:rPr>
        <w:t>111</w:t>
      </w:r>
      <w:r w:rsidRPr="00297685">
        <w:rPr>
          <w:rFonts w:ascii="Calibri" w:hAnsi="Calibri" w:cs="Calibri"/>
          <w:sz w:val="18"/>
          <w:szCs w:val="18"/>
        </w:rPr>
        <w:t>, 230–239 (2012).</w:t>
      </w:r>
    </w:p>
    <w:p w14:paraId="0B6B5B3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289.</w:t>
      </w:r>
      <w:r w:rsidRPr="00297685">
        <w:rPr>
          <w:rFonts w:ascii="Calibri" w:hAnsi="Calibri" w:cs="Calibri"/>
          <w:sz w:val="18"/>
          <w:szCs w:val="18"/>
        </w:rPr>
        <w:tab/>
        <w:t xml:space="preserve">Corona, A., Parajuli, R., Ambye-Jensen, M., Hauschild, M. Z. &amp; Birkved, M. Environmental screening of potential biomass for green biorefinery conversion. </w:t>
      </w:r>
      <w:r w:rsidRPr="00297685">
        <w:rPr>
          <w:rFonts w:ascii="Calibri" w:hAnsi="Calibri" w:cs="Calibri"/>
          <w:i/>
          <w:iCs/>
          <w:sz w:val="18"/>
          <w:szCs w:val="18"/>
        </w:rPr>
        <w:t>J. Clean. Prod.</w:t>
      </w:r>
      <w:r w:rsidRPr="00297685">
        <w:rPr>
          <w:rFonts w:ascii="Calibri" w:hAnsi="Calibri" w:cs="Calibri"/>
          <w:sz w:val="18"/>
          <w:szCs w:val="18"/>
        </w:rPr>
        <w:t xml:space="preserve"> </w:t>
      </w:r>
      <w:r w:rsidRPr="00297685">
        <w:rPr>
          <w:rFonts w:ascii="Calibri" w:hAnsi="Calibri" w:cs="Calibri"/>
          <w:b/>
          <w:bCs/>
          <w:sz w:val="18"/>
          <w:szCs w:val="18"/>
        </w:rPr>
        <w:t>189</w:t>
      </w:r>
      <w:r w:rsidRPr="00297685">
        <w:rPr>
          <w:rFonts w:ascii="Calibri" w:hAnsi="Calibri" w:cs="Calibri"/>
          <w:sz w:val="18"/>
          <w:szCs w:val="18"/>
        </w:rPr>
        <w:t>, 344–357 (2018).</w:t>
      </w:r>
    </w:p>
    <w:p w14:paraId="3097070D"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290.</w:t>
      </w:r>
      <w:r w:rsidRPr="00297685">
        <w:rPr>
          <w:rFonts w:ascii="Calibri" w:hAnsi="Calibri" w:cs="Calibri"/>
          <w:sz w:val="18"/>
          <w:szCs w:val="18"/>
        </w:rPr>
        <w:tab/>
        <w:t xml:space="preserve">Corona, A., Ambye-Jensen, M., Vega, G. C., Hauschild, M. Z. &amp; Birkved, M. Techno-environmental assessment of the green biorefinery concept: Combining process simulation and life cycle assessment at an early design stage. </w:t>
      </w:r>
      <w:r w:rsidRPr="00297685">
        <w:rPr>
          <w:rFonts w:ascii="Calibri" w:hAnsi="Calibri" w:cs="Calibri"/>
          <w:i/>
          <w:iCs/>
          <w:sz w:val="18"/>
          <w:szCs w:val="18"/>
        </w:rPr>
        <w:t>Sci. Total Environ.</w:t>
      </w:r>
      <w:r w:rsidRPr="00297685">
        <w:rPr>
          <w:rFonts w:ascii="Calibri" w:hAnsi="Calibri" w:cs="Calibri"/>
          <w:sz w:val="18"/>
          <w:szCs w:val="18"/>
        </w:rPr>
        <w:t xml:space="preserve"> </w:t>
      </w:r>
      <w:r w:rsidRPr="00297685">
        <w:rPr>
          <w:rFonts w:ascii="Calibri" w:hAnsi="Calibri" w:cs="Calibri"/>
          <w:b/>
          <w:bCs/>
          <w:sz w:val="18"/>
          <w:szCs w:val="18"/>
        </w:rPr>
        <w:t>635</w:t>
      </w:r>
      <w:r w:rsidRPr="00297685">
        <w:rPr>
          <w:rFonts w:ascii="Calibri" w:hAnsi="Calibri" w:cs="Calibri"/>
          <w:sz w:val="18"/>
          <w:szCs w:val="18"/>
        </w:rPr>
        <w:t>, 100–111 (2018).</w:t>
      </w:r>
    </w:p>
    <w:p w14:paraId="2CF64ECC"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291.</w:t>
      </w:r>
      <w:r w:rsidRPr="00297685">
        <w:rPr>
          <w:rFonts w:ascii="Calibri" w:hAnsi="Calibri" w:cs="Calibri"/>
          <w:sz w:val="18"/>
          <w:szCs w:val="18"/>
        </w:rPr>
        <w:tab/>
        <w:t xml:space="preserve">Kamp, A., Ambye-Jensen, M. &amp; Østergård, H. Modelling matter and energy flows of local, refined grass-clover protein feed as alternative to imported soy meal. </w:t>
      </w:r>
      <w:r w:rsidRPr="00297685">
        <w:rPr>
          <w:rFonts w:ascii="Calibri" w:hAnsi="Calibri" w:cs="Calibri"/>
          <w:i/>
          <w:iCs/>
          <w:sz w:val="18"/>
          <w:szCs w:val="18"/>
        </w:rPr>
        <w:t>Ecological Modelling</w:t>
      </w:r>
      <w:r w:rsidRPr="00297685">
        <w:rPr>
          <w:rFonts w:ascii="Calibri" w:hAnsi="Calibri" w:cs="Calibri"/>
          <w:sz w:val="18"/>
          <w:szCs w:val="18"/>
        </w:rPr>
        <w:t xml:space="preserve"> </w:t>
      </w:r>
      <w:r w:rsidRPr="00297685">
        <w:rPr>
          <w:rFonts w:ascii="Calibri" w:hAnsi="Calibri" w:cs="Calibri"/>
          <w:b/>
          <w:bCs/>
          <w:sz w:val="18"/>
          <w:szCs w:val="18"/>
        </w:rPr>
        <w:t>410</w:t>
      </w:r>
      <w:r w:rsidRPr="00297685">
        <w:rPr>
          <w:rFonts w:ascii="Calibri" w:hAnsi="Calibri" w:cs="Calibri"/>
          <w:sz w:val="18"/>
          <w:szCs w:val="18"/>
        </w:rPr>
        <w:t>, 108738 (2019).</w:t>
      </w:r>
    </w:p>
    <w:p w14:paraId="0039B01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292.</w:t>
      </w:r>
      <w:r w:rsidRPr="00297685">
        <w:rPr>
          <w:rFonts w:ascii="Calibri" w:hAnsi="Calibri" w:cs="Calibri"/>
          <w:sz w:val="18"/>
          <w:szCs w:val="18"/>
        </w:rPr>
        <w:tab/>
        <w:t xml:space="preserve">Djomo, S. N. </w:t>
      </w:r>
      <w:r w:rsidRPr="00297685">
        <w:rPr>
          <w:rFonts w:ascii="Calibri" w:hAnsi="Calibri" w:cs="Calibri"/>
          <w:i/>
          <w:iCs/>
          <w:sz w:val="18"/>
          <w:szCs w:val="18"/>
        </w:rPr>
        <w:t>et al.</w:t>
      </w:r>
      <w:r w:rsidRPr="00297685">
        <w:rPr>
          <w:rFonts w:ascii="Calibri" w:hAnsi="Calibri" w:cs="Calibri"/>
          <w:sz w:val="18"/>
          <w:szCs w:val="18"/>
        </w:rPr>
        <w:t xml:space="preserve"> Green proteins: An energy-efficient solution for increased self-sufficiency in protein in </w:t>
      </w:r>
      <w:r w:rsidRPr="00297685">
        <w:rPr>
          <w:rFonts w:ascii="Calibri" w:hAnsi="Calibri" w:cs="Calibri"/>
          <w:sz w:val="18"/>
          <w:szCs w:val="18"/>
        </w:rPr>
        <w:lastRenderedPageBreak/>
        <w:t xml:space="preserve">Europe. </w:t>
      </w:r>
      <w:r w:rsidRPr="00297685">
        <w:rPr>
          <w:rFonts w:ascii="Calibri" w:hAnsi="Calibri" w:cs="Calibri"/>
          <w:i/>
          <w:iCs/>
          <w:sz w:val="18"/>
          <w:szCs w:val="18"/>
        </w:rPr>
        <w:t>Biofuels, Bioproducts and Biorefining</w:t>
      </w:r>
      <w:r w:rsidRPr="00297685">
        <w:rPr>
          <w:rFonts w:ascii="Calibri" w:hAnsi="Calibri" w:cs="Calibri"/>
          <w:sz w:val="18"/>
          <w:szCs w:val="18"/>
        </w:rPr>
        <w:t xml:space="preserve"> </w:t>
      </w:r>
      <w:r w:rsidRPr="00297685">
        <w:rPr>
          <w:rFonts w:ascii="Calibri" w:hAnsi="Calibri" w:cs="Calibri"/>
          <w:b/>
          <w:bCs/>
          <w:sz w:val="18"/>
          <w:szCs w:val="18"/>
        </w:rPr>
        <w:t>14</w:t>
      </w:r>
      <w:r w:rsidRPr="00297685">
        <w:rPr>
          <w:rFonts w:ascii="Calibri" w:hAnsi="Calibri" w:cs="Calibri"/>
          <w:sz w:val="18"/>
          <w:szCs w:val="18"/>
        </w:rPr>
        <w:t>, 605–619 (2020).</w:t>
      </w:r>
    </w:p>
    <w:p w14:paraId="402637BB" w14:textId="76586019"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293.</w:t>
      </w:r>
      <w:r w:rsidRPr="00297685">
        <w:rPr>
          <w:rFonts w:ascii="Calibri" w:hAnsi="Calibri" w:cs="Calibri"/>
          <w:sz w:val="18"/>
          <w:szCs w:val="18"/>
        </w:rPr>
        <w:tab/>
        <w:t xml:space="preserve">Muneer, F. </w:t>
      </w:r>
      <w:r w:rsidRPr="00297685">
        <w:rPr>
          <w:rFonts w:ascii="Calibri" w:hAnsi="Calibri" w:cs="Calibri"/>
          <w:i/>
          <w:iCs/>
          <w:sz w:val="18"/>
          <w:szCs w:val="18"/>
        </w:rPr>
        <w:t>et al.</w:t>
      </w:r>
      <w:r w:rsidRPr="00297685">
        <w:rPr>
          <w:rFonts w:ascii="Calibri" w:hAnsi="Calibri" w:cs="Calibri"/>
          <w:sz w:val="18"/>
          <w:szCs w:val="18"/>
        </w:rPr>
        <w:t xml:space="preserve"> Economic viability of protein concentrate production from green biomass of intermediate crops: A pre-feasibility study. </w:t>
      </w:r>
      <w:r w:rsidRPr="00297685">
        <w:rPr>
          <w:rFonts w:ascii="Calibri" w:hAnsi="Calibri" w:cs="Calibri"/>
          <w:i/>
          <w:iCs/>
          <w:sz w:val="18"/>
          <w:szCs w:val="18"/>
        </w:rPr>
        <w:t>J Clean Prod</w:t>
      </w:r>
      <w:r w:rsidRPr="00297685">
        <w:rPr>
          <w:rFonts w:ascii="Calibri" w:hAnsi="Calibri" w:cs="Calibri"/>
          <w:sz w:val="18"/>
          <w:szCs w:val="18"/>
        </w:rPr>
        <w:t xml:space="preserve"> 126304 (2021).</w:t>
      </w:r>
    </w:p>
    <w:p w14:paraId="1534C9B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294.</w:t>
      </w:r>
      <w:r w:rsidRPr="00297685">
        <w:rPr>
          <w:rFonts w:ascii="Calibri" w:hAnsi="Calibri" w:cs="Calibri"/>
          <w:sz w:val="18"/>
          <w:szCs w:val="18"/>
        </w:rPr>
        <w:tab/>
        <w:t xml:space="preserve">Höltinger, S., Schmidt, J., Schönhart, M. &amp; Schmid, E. A spatially explicit techno-economic assessment of green biorefinery concepts. </w:t>
      </w:r>
      <w:r w:rsidRPr="00297685">
        <w:rPr>
          <w:rFonts w:ascii="Calibri" w:hAnsi="Calibri" w:cs="Calibri"/>
          <w:i/>
          <w:iCs/>
          <w:sz w:val="18"/>
          <w:szCs w:val="18"/>
        </w:rPr>
        <w:t>Biofuels, Bioproducts and Biorefining</w:t>
      </w:r>
      <w:r w:rsidRPr="00297685">
        <w:rPr>
          <w:rFonts w:ascii="Calibri" w:hAnsi="Calibri" w:cs="Calibri"/>
          <w:sz w:val="18"/>
          <w:szCs w:val="18"/>
        </w:rPr>
        <w:t xml:space="preserve"> </w:t>
      </w:r>
      <w:r w:rsidRPr="00297685">
        <w:rPr>
          <w:rFonts w:ascii="Calibri" w:hAnsi="Calibri" w:cs="Calibri"/>
          <w:b/>
          <w:bCs/>
          <w:sz w:val="18"/>
          <w:szCs w:val="18"/>
        </w:rPr>
        <w:t>8</w:t>
      </w:r>
      <w:r w:rsidRPr="00297685">
        <w:rPr>
          <w:rFonts w:ascii="Calibri" w:hAnsi="Calibri" w:cs="Calibri"/>
          <w:sz w:val="18"/>
          <w:szCs w:val="18"/>
        </w:rPr>
        <w:t>, 325–341 (2014).</w:t>
      </w:r>
    </w:p>
    <w:p w14:paraId="252A5B7A"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295.</w:t>
      </w:r>
      <w:r w:rsidRPr="00297685">
        <w:rPr>
          <w:rFonts w:ascii="Calibri" w:hAnsi="Calibri" w:cs="Calibri"/>
          <w:sz w:val="18"/>
          <w:szCs w:val="18"/>
        </w:rPr>
        <w:tab/>
        <w:t xml:space="preserve">O’Keeffe, S., Schulte, R. P. O., Sanders, J. P. M. &amp; Struik, P. C. I. Technical assessment for first generation green biorefinery (GBR) using mass and energy balances: Scenarios for an Irish GBR blueprint. </w:t>
      </w:r>
      <w:r w:rsidRPr="00297685">
        <w:rPr>
          <w:rFonts w:ascii="Calibri" w:hAnsi="Calibri" w:cs="Calibri"/>
          <w:i/>
          <w:iCs/>
          <w:sz w:val="18"/>
          <w:szCs w:val="18"/>
        </w:rPr>
        <w:t>Biomass Bioenergy.</w:t>
      </w:r>
      <w:r w:rsidRPr="00297685">
        <w:rPr>
          <w:rFonts w:ascii="Calibri" w:hAnsi="Calibri" w:cs="Calibri"/>
          <w:sz w:val="18"/>
          <w:szCs w:val="18"/>
        </w:rPr>
        <w:t xml:space="preserve"> </w:t>
      </w:r>
      <w:r w:rsidRPr="00297685">
        <w:rPr>
          <w:rFonts w:ascii="Calibri" w:hAnsi="Calibri" w:cs="Calibri"/>
          <w:b/>
          <w:bCs/>
          <w:sz w:val="18"/>
          <w:szCs w:val="18"/>
        </w:rPr>
        <w:t>35</w:t>
      </w:r>
      <w:r w:rsidRPr="00297685">
        <w:rPr>
          <w:rFonts w:ascii="Calibri" w:hAnsi="Calibri" w:cs="Calibri"/>
          <w:sz w:val="18"/>
          <w:szCs w:val="18"/>
        </w:rPr>
        <w:t>, 4712–4723 (2011).</w:t>
      </w:r>
    </w:p>
    <w:p w14:paraId="6504186E"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296.</w:t>
      </w:r>
      <w:r w:rsidRPr="00297685">
        <w:rPr>
          <w:rFonts w:ascii="Calibri" w:hAnsi="Calibri" w:cs="Calibri"/>
          <w:sz w:val="18"/>
          <w:szCs w:val="18"/>
        </w:rPr>
        <w:tab/>
        <w:t xml:space="preserve">O’Keeffe, S., Schulte, R. P. O., Sanders, J. P. M. &amp; Struik, P. C. II. Economic assessment for first generation green biorefinery (GBR): Scenarios for an Irish GBR blueprint. </w:t>
      </w:r>
      <w:r w:rsidRPr="00297685">
        <w:rPr>
          <w:rFonts w:ascii="Calibri" w:hAnsi="Calibri" w:cs="Calibri"/>
          <w:i/>
          <w:iCs/>
          <w:sz w:val="18"/>
          <w:szCs w:val="18"/>
        </w:rPr>
        <w:t>Biomass Bioenergy.</w:t>
      </w:r>
      <w:r w:rsidRPr="00297685">
        <w:rPr>
          <w:rFonts w:ascii="Calibri" w:hAnsi="Calibri" w:cs="Calibri"/>
          <w:sz w:val="18"/>
          <w:szCs w:val="18"/>
        </w:rPr>
        <w:t xml:space="preserve"> </w:t>
      </w:r>
      <w:r w:rsidRPr="00297685">
        <w:rPr>
          <w:rFonts w:ascii="Calibri" w:hAnsi="Calibri" w:cs="Calibri"/>
          <w:b/>
          <w:bCs/>
          <w:sz w:val="18"/>
          <w:szCs w:val="18"/>
        </w:rPr>
        <w:t>41</w:t>
      </w:r>
      <w:r w:rsidRPr="00297685">
        <w:rPr>
          <w:rFonts w:ascii="Calibri" w:hAnsi="Calibri" w:cs="Calibri"/>
          <w:sz w:val="18"/>
          <w:szCs w:val="18"/>
        </w:rPr>
        <w:t>, 1–13 (2012).</w:t>
      </w:r>
    </w:p>
    <w:p w14:paraId="692A2E3E"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297.</w:t>
      </w:r>
      <w:r w:rsidRPr="00297685">
        <w:rPr>
          <w:rFonts w:ascii="Calibri" w:hAnsi="Calibri" w:cs="Calibri"/>
          <w:sz w:val="18"/>
          <w:szCs w:val="18"/>
        </w:rPr>
        <w:tab/>
        <w:t xml:space="preserve">Tampio, E., Winquist, E., Luostarinen, S. &amp; Rinne, M. A farm-scale grass biorefinery concept for combined pig feed and biogas production. </w:t>
      </w:r>
      <w:r w:rsidRPr="00297685">
        <w:rPr>
          <w:rFonts w:ascii="Calibri" w:hAnsi="Calibri" w:cs="Calibri"/>
          <w:i/>
          <w:iCs/>
          <w:sz w:val="18"/>
          <w:szCs w:val="18"/>
        </w:rPr>
        <w:t>Water Science and Technology</w:t>
      </w:r>
      <w:r w:rsidRPr="00297685">
        <w:rPr>
          <w:rFonts w:ascii="Calibri" w:hAnsi="Calibri" w:cs="Calibri"/>
          <w:sz w:val="18"/>
          <w:szCs w:val="18"/>
        </w:rPr>
        <w:t xml:space="preserve"> </w:t>
      </w:r>
      <w:r w:rsidRPr="00297685">
        <w:rPr>
          <w:rFonts w:ascii="Calibri" w:hAnsi="Calibri" w:cs="Calibri"/>
          <w:b/>
          <w:bCs/>
          <w:sz w:val="18"/>
          <w:szCs w:val="18"/>
        </w:rPr>
        <w:t>80</w:t>
      </w:r>
      <w:r w:rsidRPr="00297685">
        <w:rPr>
          <w:rFonts w:ascii="Calibri" w:hAnsi="Calibri" w:cs="Calibri"/>
          <w:sz w:val="18"/>
          <w:szCs w:val="18"/>
        </w:rPr>
        <w:t>, 1042–1052 (2019).</w:t>
      </w:r>
    </w:p>
    <w:p w14:paraId="123CEB26"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298.</w:t>
      </w:r>
      <w:r w:rsidRPr="00297685">
        <w:rPr>
          <w:rFonts w:ascii="Calibri" w:hAnsi="Calibri" w:cs="Calibri"/>
          <w:sz w:val="18"/>
          <w:szCs w:val="18"/>
        </w:rPr>
        <w:tab/>
        <w:t xml:space="preserve">Chan, S. W. S. </w:t>
      </w:r>
      <w:r w:rsidRPr="00297685">
        <w:rPr>
          <w:rFonts w:ascii="Calibri" w:hAnsi="Calibri" w:cs="Calibri"/>
          <w:i/>
          <w:iCs/>
          <w:sz w:val="18"/>
          <w:szCs w:val="18"/>
        </w:rPr>
        <w:t>et al.</w:t>
      </w:r>
      <w:r w:rsidRPr="00297685">
        <w:rPr>
          <w:rFonts w:ascii="Calibri" w:hAnsi="Calibri" w:cs="Calibri"/>
          <w:sz w:val="18"/>
          <w:szCs w:val="18"/>
        </w:rPr>
        <w:t xml:space="preserve"> Environmental impacts of a novel biorefinery platform integrated with power-to-protein technology to decrease dependencies on soybean imports. </w:t>
      </w:r>
      <w:r w:rsidRPr="00297685">
        <w:rPr>
          <w:rFonts w:ascii="Calibri" w:hAnsi="Calibri" w:cs="Calibri"/>
          <w:i/>
          <w:iCs/>
          <w:sz w:val="18"/>
          <w:szCs w:val="18"/>
        </w:rPr>
        <w:t>Science of The Total Environment</w:t>
      </w:r>
      <w:r w:rsidRPr="00297685">
        <w:rPr>
          <w:rFonts w:ascii="Calibri" w:hAnsi="Calibri" w:cs="Calibri"/>
          <w:sz w:val="18"/>
          <w:szCs w:val="18"/>
        </w:rPr>
        <w:t xml:space="preserve"> </w:t>
      </w:r>
      <w:r w:rsidRPr="00297685">
        <w:rPr>
          <w:rFonts w:ascii="Calibri" w:hAnsi="Calibri" w:cs="Calibri"/>
          <w:b/>
          <w:bCs/>
          <w:sz w:val="18"/>
          <w:szCs w:val="18"/>
        </w:rPr>
        <w:t>907</w:t>
      </w:r>
      <w:r w:rsidRPr="00297685">
        <w:rPr>
          <w:rFonts w:ascii="Calibri" w:hAnsi="Calibri" w:cs="Calibri"/>
          <w:sz w:val="18"/>
          <w:szCs w:val="18"/>
        </w:rPr>
        <w:t>, 167943 (2024).</w:t>
      </w:r>
    </w:p>
    <w:p w14:paraId="4615D67D"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299.</w:t>
      </w:r>
      <w:r w:rsidRPr="00297685">
        <w:rPr>
          <w:rFonts w:ascii="Calibri" w:hAnsi="Calibri" w:cs="Calibri"/>
          <w:sz w:val="18"/>
          <w:szCs w:val="18"/>
        </w:rPr>
        <w:tab/>
        <w:t xml:space="preserve">Thiébeau, P., Auberger, J., Clivot, H., Wilfart, A. &amp; Recous, S. Environmental footprint of dehydrated alfalfa production (Medicago sativa L.) in France. </w:t>
      </w:r>
      <w:r w:rsidRPr="00297685">
        <w:rPr>
          <w:rFonts w:ascii="Calibri" w:hAnsi="Calibri" w:cs="Calibri"/>
          <w:i/>
          <w:iCs/>
          <w:sz w:val="18"/>
          <w:szCs w:val="18"/>
        </w:rPr>
        <w:t>Journal of Cleaner Production</w:t>
      </w:r>
      <w:r w:rsidRPr="00297685">
        <w:rPr>
          <w:rFonts w:ascii="Calibri" w:hAnsi="Calibri" w:cs="Calibri"/>
          <w:sz w:val="18"/>
          <w:szCs w:val="18"/>
        </w:rPr>
        <w:t xml:space="preserve"> </w:t>
      </w:r>
      <w:r w:rsidRPr="00297685">
        <w:rPr>
          <w:rFonts w:ascii="Calibri" w:hAnsi="Calibri" w:cs="Calibri"/>
          <w:b/>
          <w:bCs/>
          <w:sz w:val="18"/>
          <w:szCs w:val="18"/>
        </w:rPr>
        <w:t>423</w:t>
      </w:r>
      <w:r w:rsidRPr="00297685">
        <w:rPr>
          <w:rFonts w:ascii="Calibri" w:hAnsi="Calibri" w:cs="Calibri"/>
          <w:sz w:val="18"/>
          <w:szCs w:val="18"/>
        </w:rPr>
        <w:t>, 138704 (2023).</w:t>
      </w:r>
    </w:p>
    <w:p w14:paraId="4ED2506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300.</w:t>
      </w:r>
      <w:r w:rsidRPr="00297685">
        <w:rPr>
          <w:rFonts w:ascii="Calibri" w:hAnsi="Calibri" w:cs="Calibri"/>
          <w:sz w:val="18"/>
          <w:szCs w:val="18"/>
        </w:rPr>
        <w:tab/>
        <w:t xml:space="preserve">Kiskini, A., Zondervan, E., Wierenga, P. A., Poiesz, E. &amp; Gruppen, H. Using product driven process synthesis in the biorefinery. </w:t>
      </w:r>
      <w:r w:rsidRPr="00297685">
        <w:rPr>
          <w:rFonts w:ascii="Calibri" w:hAnsi="Calibri" w:cs="Calibri"/>
          <w:i/>
          <w:iCs/>
          <w:sz w:val="18"/>
          <w:szCs w:val="18"/>
        </w:rPr>
        <w:t xml:space="preserve">Comput Chem </w:t>
      </w:r>
      <w:proofErr w:type="gramStart"/>
      <w:r w:rsidRPr="00297685">
        <w:rPr>
          <w:rFonts w:ascii="Calibri" w:hAnsi="Calibri" w:cs="Calibri"/>
          <w:i/>
          <w:iCs/>
          <w:sz w:val="18"/>
          <w:szCs w:val="18"/>
        </w:rPr>
        <w:t>Eng .</w:t>
      </w:r>
      <w:proofErr w:type="gramEnd"/>
      <w:r w:rsidRPr="00297685">
        <w:rPr>
          <w:rFonts w:ascii="Calibri" w:hAnsi="Calibri" w:cs="Calibri"/>
          <w:sz w:val="18"/>
          <w:szCs w:val="18"/>
        </w:rPr>
        <w:t xml:space="preserve"> </w:t>
      </w:r>
      <w:r w:rsidRPr="00297685">
        <w:rPr>
          <w:rFonts w:ascii="Calibri" w:hAnsi="Calibri" w:cs="Calibri"/>
          <w:b/>
          <w:bCs/>
          <w:sz w:val="18"/>
          <w:szCs w:val="18"/>
        </w:rPr>
        <w:t>91</w:t>
      </w:r>
      <w:r w:rsidRPr="00297685">
        <w:rPr>
          <w:rFonts w:ascii="Calibri" w:hAnsi="Calibri" w:cs="Calibri"/>
          <w:sz w:val="18"/>
          <w:szCs w:val="18"/>
        </w:rPr>
        <w:t>, 257–268 (2016).</w:t>
      </w:r>
    </w:p>
    <w:p w14:paraId="756354D5"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301.</w:t>
      </w:r>
      <w:r w:rsidRPr="00297685">
        <w:rPr>
          <w:rFonts w:ascii="Calibri" w:hAnsi="Calibri" w:cs="Calibri"/>
          <w:sz w:val="18"/>
          <w:szCs w:val="18"/>
        </w:rPr>
        <w:tab/>
        <w:t xml:space="preserve">Nissen, S. H., Lübeck, M., Møller, A. H. &amp; Dalsgaard, T. K. Protein recovery and quality of alfalfa extracts obtained by acid precipitation and fermentation. </w:t>
      </w:r>
      <w:r w:rsidRPr="00297685">
        <w:rPr>
          <w:rFonts w:ascii="Calibri" w:hAnsi="Calibri" w:cs="Calibri"/>
          <w:i/>
          <w:iCs/>
          <w:sz w:val="18"/>
          <w:szCs w:val="18"/>
        </w:rPr>
        <w:t>Bioresource Technology Reports</w:t>
      </w:r>
      <w:r w:rsidRPr="00297685">
        <w:rPr>
          <w:rFonts w:ascii="Calibri" w:hAnsi="Calibri" w:cs="Calibri"/>
          <w:sz w:val="18"/>
          <w:szCs w:val="18"/>
        </w:rPr>
        <w:t xml:space="preserve"> </w:t>
      </w:r>
      <w:r w:rsidRPr="00297685">
        <w:rPr>
          <w:rFonts w:ascii="Calibri" w:hAnsi="Calibri" w:cs="Calibri"/>
          <w:b/>
          <w:bCs/>
          <w:sz w:val="18"/>
          <w:szCs w:val="18"/>
        </w:rPr>
        <w:t>19</w:t>
      </w:r>
      <w:r w:rsidRPr="00297685">
        <w:rPr>
          <w:rFonts w:ascii="Calibri" w:hAnsi="Calibri" w:cs="Calibri"/>
          <w:sz w:val="18"/>
          <w:szCs w:val="18"/>
        </w:rPr>
        <w:t>, 101190 (2022).</w:t>
      </w:r>
    </w:p>
    <w:p w14:paraId="7EBA7246" w14:textId="7AD592B8"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rPr>
        <w:t>302.</w:t>
      </w:r>
      <w:r w:rsidRPr="00297685">
        <w:rPr>
          <w:rFonts w:ascii="Calibri" w:hAnsi="Calibri" w:cs="Calibri"/>
          <w:sz w:val="18"/>
          <w:szCs w:val="18"/>
        </w:rPr>
        <w:tab/>
        <w:t xml:space="preserve">Pérez-Vila, S., Fenelon, M. A., O’Mahony, J. A. &amp; Gómez-Mascaraque, L. G. Extraction of plant protein from green leaves: Biomass composition and processing considerations. </w:t>
      </w:r>
      <w:r w:rsidRPr="00297685">
        <w:rPr>
          <w:rFonts w:ascii="Calibri" w:hAnsi="Calibri" w:cs="Calibri"/>
          <w:i/>
          <w:iCs/>
          <w:sz w:val="18"/>
          <w:szCs w:val="18"/>
          <w:lang w:val="fr-FR"/>
        </w:rPr>
        <w:t>Food Hydrocolloids</w:t>
      </w:r>
      <w:r w:rsidRPr="00297685">
        <w:rPr>
          <w:rFonts w:ascii="Calibri" w:hAnsi="Calibri" w:cs="Calibri"/>
          <w:sz w:val="18"/>
          <w:szCs w:val="18"/>
          <w:lang w:val="fr-FR"/>
        </w:rPr>
        <w:t xml:space="preserve"> 107902 (2022).</w:t>
      </w:r>
    </w:p>
    <w:p w14:paraId="51BEF43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lang w:val="fr-FR"/>
        </w:rPr>
        <w:t>303.</w:t>
      </w:r>
      <w:r w:rsidRPr="00297685">
        <w:rPr>
          <w:rFonts w:ascii="Calibri" w:hAnsi="Calibri" w:cs="Calibri"/>
          <w:sz w:val="18"/>
          <w:szCs w:val="18"/>
          <w:lang w:val="fr-FR"/>
        </w:rPr>
        <w:tab/>
        <w:t xml:space="preserve">Kerfai, S. </w:t>
      </w:r>
      <w:r w:rsidRPr="00297685">
        <w:rPr>
          <w:rFonts w:ascii="Calibri" w:hAnsi="Calibri" w:cs="Calibri"/>
          <w:i/>
          <w:iCs/>
          <w:sz w:val="18"/>
          <w:szCs w:val="18"/>
          <w:lang w:val="fr-FR"/>
        </w:rPr>
        <w:t>et al.</w:t>
      </w:r>
      <w:r w:rsidRPr="00297685">
        <w:rPr>
          <w:rFonts w:ascii="Calibri" w:hAnsi="Calibri" w:cs="Calibri"/>
          <w:sz w:val="18"/>
          <w:szCs w:val="18"/>
          <w:lang w:val="fr-FR"/>
        </w:rPr>
        <w:t xml:space="preserve"> Procédé de production de la rubisco à partir d’une biomasse végétale. </w:t>
      </w:r>
      <w:r w:rsidRPr="00297685">
        <w:rPr>
          <w:rFonts w:ascii="Calibri" w:hAnsi="Calibri" w:cs="Calibri"/>
          <w:sz w:val="18"/>
          <w:szCs w:val="18"/>
        </w:rPr>
        <w:t>(2020).</w:t>
      </w:r>
    </w:p>
    <w:p w14:paraId="25ABEDE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304.</w:t>
      </w:r>
      <w:r w:rsidRPr="00297685">
        <w:rPr>
          <w:rFonts w:ascii="Calibri" w:hAnsi="Calibri" w:cs="Calibri"/>
          <w:sz w:val="18"/>
          <w:szCs w:val="18"/>
        </w:rPr>
        <w:tab/>
        <w:t>Martens, T., Flores, C., MORENO, E. R. &amp; MOLEN, R. V. D. Process for isolating a high purity protein preparation from plant material and products thereof. (2021).</w:t>
      </w:r>
    </w:p>
    <w:p w14:paraId="4FD1629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305.</w:t>
      </w:r>
      <w:r w:rsidRPr="00297685">
        <w:rPr>
          <w:rFonts w:ascii="Calibri" w:hAnsi="Calibri" w:cs="Calibri"/>
          <w:sz w:val="18"/>
          <w:szCs w:val="18"/>
        </w:rPr>
        <w:tab/>
        <w:t>De Jong, G. A. H., Geerdink, P., Bussmann, P. J. T. &amp; HYLKEMA, N. Economical process for the isolation of functional protein from plants. (2019).</w:t>
      </w:r>
    </w:p>
    <w:p w14:paraId="2EBF5DB9"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306.</w:t>
      </w:r>
      <w:r w:rsidRPr="00297685">
        <w:rPr>
          <w:rFonts w:ascii="Calibri" w:hAnsi="Calibri" w:cs="Calibri"/>
          <w:sz w:val="18"/>
          <w:szCs w:val="18"/>
        </w:rPr>
        <w:tab/>
        <w:t xml:space="preserve">Tamayo Tenorio, A., Kyriakopoulou, K. E., Suarez-Garcia, E., van den Berg, C. &amp; van der Goot, A. J. Understanding differences in protein fractionation from conventional crops, and herbaceous and aquatic biomass - Consequences for industrial use. </w:t>
      </w:r>
      <w:r w:rsidRPr="00297685">
        <w:rPr>
          <w:rFonts w:ascii="Calibri" w:hAnsi="Calibri" w:cs="Calibri"/>
          <w:i/>
          <w:iCs/>
          <w:sz w:val="18"/>
          <w:szCs w:val="18"/>
        </w:rPr>
        <w:t>Trends Food Sci. Technol.</w:t>
      </w:r>
      <w:r w:rsidRPr="00297685">
        <w:rPr>
          <w:rFonts w:ascii="Calibri" w:hAnsi="Calibri" w:cs="Calibri"/>
          <w:sz w:val="18"/>
          <w:szCs w:val="18"/>
        </w:rPr>
        <w:t xml:space="preserve"> </w:t>
      </w:r>
      <w:r w:rsidRPr="00297685">
        <w:rPr>
          <w:rFonts w:ascii="Calibri" w:hAnsi="Calibri" w:cs="Calibri"/>
          <w:b/>
          <w:bCs/>
          <w:sz w:val="18"/>
          <w:szCs w:val="18"/>
        </w:rPr>
        <w:t>71</w:t>
      </w:r>
      <w:r w:rsidRPr="00297685">
        <w:rPr>
          <w:rFonts w:ascii="Calibri" w:hAnsi="Calibri" w:cs="Calibri"/>
          <w:sz w:val="18"/>
          <w:szCs w:val="18"/>
        </w:rPr>
        <w:t>, 235–245 (2018).</w:t>
      </w:r>
    </w:p>
    <w:p w14:paraId="7E7B3E25" w14:textId="70556182"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307.</w:t>
      </w:r>
      <w:r w:rsidRPr="00297685">
        <w:rPr>
          <w:rFonts w:ascii="Calibri" w:hAnsi="Calibri" w:cs="Calibri"/>
          <w:sz w:val="18"/>
          <w:szCs w:val="18"/>
        </w:rPr>
        <w:tab/>
        <w:t xml:space="preserve">Møller, A. H. </w:t>
      </w:r>
      <w:r w:rsidRPr="00297685">
        <w:rPr>
          <w:rFonts w:ascii="Calibri" w:hAnsi="Calibri" w:cs="Calibri"/>
          <w:i/>
          <w:iCs/>
          <w:sz w:val="18"/>
          <w:szCs w:val="18"/>
        </w:rPr>
        <w:t>et al.</w:t>
      </w:r>
      <w:r w:rsidRPr="00297685">
        <w:rPr>
          <w:rFonts w:ascii="Calibri" w:hAnsi="Calibri" w:cs="Calibri"/>
          <w:sz w:val="18"/>
          <w:szCs w:val="18"/>
        </w:rPr>
        <w:t xml:space="preserve"> Biorefinery of Green Biomass─How to Extract and Evaluate High Quality Leaf Protein for Food? </w:t>
      </w:r>
      <w:r w:rsidRPr="00297685">
        <w:rPr>
          <w:rFonts w:ascii="Calibri" w:hAnsi="Calibri" w:cs="Calibri"/>
          <w:i/>
          <w:iCs/>
          <w:sz w:val="18"/>
          <w:szCs w:val="18"/>
        </w:rPr>
        <w:t>J. Agric. Food Chem.</w:t>
      </w:r>
      <w:r w:rsidRPr="00297685">
        <w:rPr>
          <w:rFonts w:ascii="Calibri" w:hAnsi="Calibri" w:cs="Calibri"/>
          <w:sz w:val="18"/>
          <w:szCs w:val="18"/>
        </w:rPr>
        <w:t xml:space="preserve"> (2021).</w:t>
      </w:r>
    </w:p>
    <w:p w14:paraId="590C1DA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308.</w:t>
      </w:r>
      <w:r w:rsidRPr="00297685">
        <w:rPr>
          <w:rFonts w:ascii="Calibri" w:hAnsi="Calibri" w:cs="Calibri"/>
          <w:sz w:val="18"/>
          <w:szCs w:val="18"/>
        </w:rPr>
        <w:tab/>
        <w:t xml:space="preserve">Ait Sair, A., Kansou, K., Michaud, F. &amp; Cathala, B. Multicriteria Definition of Small-Scale Biorefineries Based on a Statistical Classification. </w:t>
      </w:r>
      <w:r w:rsidRPr="00297685">
        <w:rPr>
          <w:rFonts w:ascii="Calibri" w:hAnsi="Calibri" w:cs="Calibri"/>
          <w:i/>
          <w:iCs/>
          <w:sz w:val="18"/>
          <w:szCs w:val="18"/>
        </w:rPr>
        <w:t>Sustainability</w:t>
      </w:r>
      <w:r w:rsidRPr="00297685">
        <w:rPr>
          <w:rFonts w:ascii="Calibri" w:hAnsi="Calibri" w:cs="Calibri"/>
          <w:sz w:val="18"/>
          <w:szCs w:val="18"/>
        </w:rPr>
        <w:t xml:space="preserve"> </w:t>
      </w:r>
      <w:r w:rsidRPr="00297685">
        <w:rPr>
          <w:rFonts w:ascii="Calibri" w:hAnsi="Calibri" w:cs="Calibri"/>
          <w:b/>
          <w:bCs/>
          <w:sz w:val="18"/>
          <w:szCs w:val="18"/>
        </w:rPr>
        <w:t>13</w:t>
      </w:r>
      <w:r w:rsidRPr="00297685">
        <w:rPr>
          <w:rFonts w:ascii="Calibri" w:hAnsi="Calibri" w:cs="Calibri"/>
          <w:sz w:val="18"/>
          <w:szCs w:val="18"/>
        </w:rPr>
        <w:t>, 7310 (2021).</w:t>
      </w:r>
    </w:p>
    <w:p w14:paraId="40D9A3F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309.</w:t>
      </w:r>
      <w:r w:rsidRPr="00297685">
        <w:rPr>
          <w:rFonts w:ascii="Calibri" w:hAnsi="Calibri" w:cs="Calibri"/>
          <w:sz w:val="18"/>
          <w:szCs w:val="18"/>
        </w:rPr>
        <w:tab/>
        <w:t xml:space="preserve">McEniry, J., Finnan, J., King, C. &amp; O’Kiely, P. The effect of ensiling and fractionation on the suitability for combustion of three common grassland species at sequential harvest dates. </w:t>
      </w:r>
      <w:r w:rsidRPr="00297685">
        <w:rPr>
          <w:rFonts w:ascii="Calibri" w:hAnsi="Calibri" w:cs="Calibri"/>
          <w:i/>
          <w:iCs/>
          <w:sz w:val="18"/>
          <w:szCs w:val="18"/>
        </w:rPr>
        <w:t>Grass and Forage Science</w:t>
      </w:r>
      <w:r w:rsidRPr="00297685">
        <w:rPr>
          <w:rFonts w:ascii="Calibri" w:hAnsi="Calibri" w:cs="Calibri"/>
          <w:sz w:val="18"/>
          <w:szCs w:val="18"/>
        </w:rPr>
        <w:t xml:space="preserve"> </w:t>
      </w:r>
      <w:r w:rsidRPr="00297685">
        <w:rPr>
          <w:rFonts w:ascii="Calibri" w:hAnsi="Calibri" w:cs="Calibri"/>
          <w:b/>
          <w:bCs/>
          <w:sz w:val="18"/>
          <w:szCs w:val="18"/>
        </w:rPr>
        <w:t>67</w:t>
      </w:r>
      <w:r w:rsidRPr="00297685">
        <w:rPr>
          <w:rFonts w:ascii="Calibri" w:hAnsi="Calibri" w:cs="Calibri"/>
          <w:sz w:val="18"/>
          <w:szCs w:val="18"/>
        </w:rPr>
        <w:t>, 559–568 (2012).</w:t>
      </w:r>
    </w:p>
    <w:p w14:paraId="787546CC"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310.</w:t>
      </w:r>
      <w:r w:rsidRPr="00297685">
        <w:rPr>
          <w:rFonts w:ascii="Calibri" w:hAnsi="Calibri" w:cs="Calibri"/>
          <w:sz w:val="18"/>
          <w:szCs w:val="18"/>
        </w:rPr>
        <w:tab/>
        <w:t xml:space="preserve">Wachendorf, M., Richter, F., Fricke, T., Graß, R. &amp; Neff, R. Utilization of semi-natural grassland through integrated generation of solid fuel and biogas from biomass. I. Effects of hydrothermal conditioning and mechanical dehydration on mass flows of organic and mineral plant compounds, and nutrient balances. </w:t>
      </w:r>
      <w:r w:rsidRPr="00297685">
        <w:rPr>
          <w:rFonts w:ascii="Calibri" w:hAnsi="Calibri" w:cs="Calibri"/>
          <w:i/>
          <w:iCs/>
          <w:sz w:val="18"/>
          <w:szCs w:val="18"/>
        </w:rPr>
        <w:t>Grass and Forage Science</w:t>
      </w:r>
      <w:r w:rsidRPr="00297685">
        <w:rPr>
          <w:rFonts w:ascii="Calibri" w:hAnsi="Calibri" w:cs="Calibri"/>
          <w:sz w:val="18"/>
          <w:szCs w:val="18"/>
        </w:rPr>
        <w:t xml:space="preserve"> </w:t>
      </w:r>
      <w:r w:rsidRPr="00297685">
        <w:rPr>
          <w:rFonts w:ascii="Calibri" w:hAnsi="Calibri" w:cs="Calibri"/>
          <w:b/>
          <w:bCs/>
          <w:sz w:val="18"/>
          <w:szCs w:val="18"/>
        </w:rPr>
        <w:t>64</w:t>
      </w:r>
      <w:r w:rsidRPr="00297685">
        <w:rPr>
          <w:rFonts w:ascii="Calibri" w:hAnsi="Calibri" w:cs="Calibri"/>
          <w:sz w:val="18"/>
          <w:szCs w:val="18"/>
        </w:rPr>
        <w:t>, 132–143 (2009).</w:t>
      </w:r>
    </w:p>
    <w:p w14:paraId="462A0628"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311.</w:t>
      </w:r>
      <w:r w:rsidRPr="00297685">
        <w:rPr>
          <w:rFonts w:ascii="Calibri" w:hAnsi="Calibri" w:cs="Calibri"/>
          <w:sz w:val="18"/>
          <w:szCs w:val="18"/>
        </w:rPr>
        <w:tab/>
        <w:t xml:space="preserve">Franco, M., Hurme, T., Winquist, E. &amp; Rinne, M. Grass silage for biorefinery—A meta-analysis of silage factors affecting liquid–solid separation. </w:t>
      </w:r>
      <w:r w:rsidRPr="00297685">
        <w:rPr>
          <w:rFonts w:ascii="Calibri" w:hAnsi="Calibri" w:cs="Calibri"/>
          <w:i/>
          <w:iCs/>
          <w:sz w:val="18"/>
          <w:szCs w:val="18"/>
        </w:rPr>
        <w:t>Grass and Forage Science</w:t>
      </w:r>
      <w:r w:rsidRPr="00297685">
        <w:rPr>
          <w:rFonts w:ascii="Calibri" w:hAnsi="Calibri" w:cs="Calibri"/>
          <w:sz w:val="18"/>
          <w:szCs w:val="18"/>
        </w:rPr>
        <w:t xml:space="preserve"> </w:t>
      </w:r>
      <w:r w:rsidRPr="00297685">
        <w:rPr>
          <w:rFonts w:ascii="Calibri" w:hAnsi="Calibri" w:cs="Calibri"/>
          <w:b/>
          <w:bCs/>
          <w:sz w:val="18"/>
          <w:szCs w:val="18"/>
        </w:rPr>
        <w:t>74</w:t>
      </w:r>
      <w:r w:rsidRPr="00297685">
        <w:rPr>
          <w:rFonts w:ascii="Calibri" w:hAnsi="Calibri" w:cs="Calibri"/>
          <w:sz w:val="18"/>
          <w:szCs w:val="18"/>
        </w:rPr>
        <w:t>, 218–230 (2019).</w:t>
      </w:r>
    </w:p>
    <w:p w14:paraId="553B04B9" w14:textId="61173140"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312.</w:t>
      </w:r>
      <w:r w:rsidRPr="00297685">
        <w:rPr>
          <w:rFonts w:ascii="Calibri" w:hAnsi="Calibri" w:cs="Calibri"/>
          <w:sz w:val="18"/>
          <w:szCs w:val="18"/>
        </w:rPr>
        <w:tab/>
        <w:t xml:space="preserve">Guo, X. </w:t>
      </w:r>
      <w:r w:rsidRPr="00297685">
        <w:rPr>
          <w:rFonts w:ascii="Calibri" w:hAnsi="Calibri" w:cs="Calibri"/>
          <w:i/>
          <w:iCs/>
          <w:sz w:val="18"/>
          <w:szCs w:val="18"/>
        </w:rPr>
        <w:t>et al.</w:t>
      </w:r>
      <w:r w:rsidRPr="00297685">
        <w:rPr>
          <w:rFonts w:ascii="Calibri" w:hAnsi="Calibri" w:cs="Calibri"/>
          <w:sz w:val="18"/>
          <w:szCs w:val="18"/>
        </w:rPr>
        <w:t xml:space="preserve"> Extraction of protein from juice blend of grass and clover pressed by a pilot pressing facility combined with a pulsed electric field treatment. </w:t>
      </w:r>
      <w:r w:rsidRPr="00297685">
        <w:rPr>
          <w:rFonts w:ascii="Calibri" w:hAnsi="Calibri" w:cs="Calibri"/>
          <w:i/>
          <w:iCs/>
          <w:sz w:val="18"/>
          <w:szCs w:val="18"/>
        </w:rPr>
        <w:t>Future Foods</w:t>
      </w:r>
      <w:r w:rsidRPr="00297685">
        <w:rPr>
          <w:rFonts w:ascii="Calibri" w:hAnsi="Calibri" w:cs="Calibri"/>
          <w:sz w:val="18"/>
          <w:szCs w:val="18"/>
        </w:rPr>
        <w:t xml:space="preserve"> 100173 (2022).</w:t>
      </w:r>
    </w:p>
    <w:p w14:paraId="5430FF0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313.</w:t>
      </w:r>
      <w:r w:rsidRPr="00297685">
        <w:rPr>
          <w:rFonts w:ascii="Calibri" w:hAnsi="Calibri" w:cs="Calibri"/>
          <w:sz w:val="18"/>
          <w:szCs w:val="18"/>
        </w:rPr>
        <w:tab/>
        <w:t>FoodNorthWest. Water and Wastewater Use in the Food Processing Industry. https://www.foodnorthwest.org/index.php?option=com_content&amp;view=article&amp;id=83%3Awater-and-wastewater-use-in-the-food-processing-industry&amp;catid=20%3Asite-content&amp;showall=1&amp;id=83:water-and-wastewater-use-in-the-food-processing-industry (2020).</w:t>
      </w:r>
    </w:p>
    <w:p w14:paraId="76B496DE"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314.</w:t>
      </w:r>
      <w:r w:rsidRPr="00297685">
        <w:rPr>
          <w:rFonts w:ascii="Calibri" w:hAnsi="Calibri" w:cs="Calibri"/>
          <w:sz w:val="18"/>
          <w:szCs w:val="18"/>
        </w:rPr>
        <w:tab/>
        <w:t xml:space="preserve">Damborg, V. K., Jensen, S. K., Weisbjerg, M. R., Adamsen, A. P. &amp; Stødkilde, L. Screw-pressed fractions from green forages as animal feed: Chemical composition and mass balances. </w:t>
      </w:r>
      <w:r w:rsidRPr="00297685">
        <w:rPr>
          <w:rFonts w:ascii="Calibri" w:hAnsi="Calibri" w:cs="Calibri"/>
          <w:i/>
          <w:iCs/>
          <w:sz w:val="18"/>
          <w:szCs w:val="18"/>
        </w:rPr>
        <w:t>Anim. Feed Sci. Technol.</w:t>
      </w:r>
      <w:r w:rsidRPr="00297685">
        <w:rPr>
          <w:rFonts w:ascii="Calibri" w:hAnsi="Calibri" w:cs="Calibri"/>
          <w:sz w:val="18"/>
          <w:szCs w:val="18"/>
        </w:rPr>
        <w:t xml:space="preserve"> </w:t>
      </w:r>
      <w:r w:rsidRPr="00297685">
        <w:rPr>
          <w:rFonts w:ascii="Calibri" w:hAnsi="Calibri" w:cs="Calibri"/>
          <w:b/>
          <w:bCs/>
          <w:sz w:val="18"/>
          <w:szCs w:val="18"/>
        </w:rPr>
        <w:t>261</w:t>
      </w:r>
      <w:r w:rsidRPr="00297685">
        <w:rPr>
          <w:rFonts w:ascii="Calibri" w:hAnsi="Calibri" w:cs="Calibri"/>
          <w:sz w:val="18"/>
          <w:szCs w:val="18"/>
        </w:rPr>
        <w:t>, 114401 (2020).</w:t>
      </w:r>
    </w:p>
    <w:p w14:paraId="090CAF0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315.</w:t>
      </w:r>
      <w:r w:rsidRPr="00297685">
        <w:rPr>
          <w:rFonts w:ascii="Calibri" w:hAnsi="Calibri" w:cs="Calibri"/>
          <w:sz w:val="18"/>
          <w:szCs w:val="18"/>
        </w:rPr>
        <w:tab/>
        <w:t xml:space="preserve">Santamaría-Fernández, M., Ytting, N. K., Lübeck, M. &amp; Uellendahl, H. Potential Nutrient Recovery in a Green Biorefinery for Production of Feed, Fuel and Fertilizer for Organic Farming. </w:t>
      </w:r>
      <w:r w:rsidRPr="00297685">
        <w:rPr>
          <w:rFonts w:ascii="Calibri" w:hAnsi="Calibri" w:cs="Calibri"/>
          <w:i/>
          <w:iCs/>
          <w:sz w:val="18"/>
          <w:szCs w:val="18"/>
        </w:rPr>
        <w:t>Waste Biomass Valor.</w:t>
      </w:r>
      <w:r w:rsidRPr="00297685">
        <w:rPr>
          <w:rFonts w:ascii="Calibri" w:hAnsi="Calibri" w:cs="Calibri"/>
          <w:sz w:val="18"/>
          <w:szCs w:val="18"/>
        </w:rPr>
        <w:t xml:space="preserve"> </w:t>
      </w:r>
      <w:r w:rsidRPr="00297685">
        <w:rPr>
          <w:rFonts w:ascii="Calibri" w:hAnsi="Calibri" w:cs="Calibri"/>
          <w:b/>
          <w:bCs/>
          <w:sz w:val="18"/>
          <w:szCs w:val="18"/>
        </w:rPr>
        <w:t>11</w:t>
      </w:r>
      <w:r w:rsidRPr="00297685">
        <w:rPr>
          <w:rFonts w:ascii="Calibri" w:hAnsi="Calibri" w:cs="Calibri"/>
          <w:sz w:val="18"/>
          <w:szCs w:val="18"/>
        </w:rPr>
        <w:t>, 5901–5911 (2020).</w:t>
      </w:r>
    </w:p>
    <w:p w14:paraId="46A2394A"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316.</w:t>
      </w:r>
      <w:r w:rsidRPr="00297685">
        <w:rPr>
          <w:rFonts w:ascii="Calibri" w:hAnsi="Calibri" w:cs="Calibri"/>
          <w:sz w:val="18"/>
          <w:szCs w:val="18"/>
        </w:rPr>
        <w:tab/>
        <w:t xml:space="preserve">Santamaría-Fernández, M., Karkov Ytting, N. &amp; Lübeck, M. Influence of the development stage of perennial forage crops for the recovery yields of extractable proteins using lactic acid fermentation. </w:t>
      </w:r>
      <w:r w:rsidRPr="00297685">
        <w:rPr>
          <w:rFonts w:ascii="Calibri" w:hAnsi="Calibri" w:cs="Calibri"/>
          <w:i/>
          <w:iCs/>
          <w:sz w:val="18"/>
          <w:szCs w:val="18"/>
        </w:rPr>
        <w:t>Journal of Cleaner Production</w:t>
      </w:r>
      <w:r w:rsidRPr="00297685">
        <w:rPr>
          <w:rFonts w:ascii="Calibri" w:hAnsi="Calibri" w:cs="Calibri"/>
          <w:sz w:val="18"/>
          <w:szCs w:val="18"/>
        </w:rPr>
        <w:t xml:space="preserve"> </w:t>
      </w:r>
      <w:r w:rsidRPr="00297685">
        <w:rPr>
          <w:rFonts w:ascii="Calibri" w:hAnsi="Calibri" w:cs="Calibri"/>
          <w:b/>
          <w:bCs/>
          <w:sz w:val="18"/>
          <w:szCs w:val="18"/>
        </w:rPr>
        <w:t>218</w:t>
      </w:r>
      <w:r w:rsidRPr="00297685">
        <w:rPr>
          <w:rFonts w:ascii="Calibri" w:hAnsi="Calibri" w:cs="Calibri"/>
          <w:sz w:val="18"/>
          <w:szCs w:val="18"/>
        </w:rPr>
        <w:t>, 1055–1064 (2019).</w:t>
      </w:r>
    </w:p>
    <w:p w14:paraId="587C9EC1"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317.</w:t>
      </w:r>
      <w:r w:rsidRPr="00297685">
        <w:rPr>
          <w:rFonts w:ascii="Calibri" w:hAnsi="Calibri" w:cs="Calibri"/>
          <w:sz w:val="18"/>
          <w:szCs w:val="18"/>
        </w:rPr>
        <w:tab/>
        <w:t xml:space="preserve">Kamm, B., Schönicke, P. &amp; Kamm, M. Biorefining of Green Biomass - Technical and Energetic Considerations. </w:t>
      </w:r>
      <w:r w:rsidRPr="00297685">
        <w:rPr>
          <w:rFonts w:ascii="Calibri" w:hAnsi="Calibri" w:cs="Calibri"/>
          <w:i/>
          <w:iCs/>
          <w:sz w:val="18"/>
          <w:szCs w:val="18"/>
        </w:rPr>
        <w:t>Clean Soil Air Water</w:t>
      </w:r>
      <w:r w:rsidRPr="00297685">
        <w:rPr>
          <w:rFonts w:ascii="Calibri" w:hAnsi="Calibri" w:cs="Calibri"/>
          <w:sz w:val="18"/>
          <w:szCs w:val="18"/>
        </w:rPr>
        <w:t xml:space="preserve"> </w:t>
      </w:r>
      <w:r w:rsidRPr="00297685">
        <w:rPr>
          <w:rFonts w:ascii="Calibri" w:hAnsi="Calibri" w:cs="Calibri"/>
          <w:b/>
          <w:bCs/>
          <w:sz w:val="18"/>
          <w:szCs w:val="18"/>
        </w:rPr>
        <w:t>37</w:t>
      </w:r>
      <w:r w:rsidRPr="00297685">
        <w:rPr>
          <w:rFonts w:ascii="Calibri" w:hAnsi="Calibri" w:cs="Calibri"/>
          <w:sz w:val="18"/>
          <w:szCs w:val="18"/>
        </w:rPr>
        <w:t>, 27–30 (2009).</w:t>
      </w:r>
    </w:p>
    <w:p w14:paraId="3FE327E8" w14:textId="77777777"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rPr>
        <w:t>318.</w:t>
      </w:r>
      <w:r w:rsidRPr="00297685">
        <w:rPr>
          <w:rFonts w:ascii="Calibri" w:hAnsi="Calibri" w:cs="Calibri"/>
          <w:sz w:val="18"/>
          <w:szCs w:val="18"/>
        </w:rPr>
        <w:tab/>
      </w:r>
      <w:r w:rsidRPr="00297685">
        <w:rPr>
          <w:rFonts w:ascii="Calibri" w:hAnsi="Calibri" w:cs="Calibri"/>
          <w:i/>
          <w:iCs/>
          <w:sz w:val="18"/>
          <w:szCs w:val="18"/>
        </w:rPr>
        <w:t>Meeting the Future Demands for Grassland Production</w:t>
      </w:r>
      <w:r w:rsidRPr="00297685">
        <w:rPr>
          <w:rFonts w:ascii="Calibri" w:hAnsi="Calibri" w:cs="Calibri"/>
          <w:sz w:val="18"/>
          <w:szCs w:val="18"/>
        </w:rPr>
        <w:t xml:space="preserve">. </w:t>
      </w:r>
      <w:r w:rsidRPr="00297685">
        <w:rPr>
          <w:rFonts w:ascii="Calibri" w:hAnsi="Calibri" w:cs="Calibri"/>
          <w:sz w:val="18"/>
          <w:szCs w:val="18"/>
          <w:lang w:val="fr-FR"/>
        </w:rPr>
        <w:t>(Natural Resources Institute Finland (Luke), 2020).</w:t>
      </w:r>
    </w:p>
    <w:p w14:paraId="087EC84D"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lang w:val="fr-FR"/>
        </w:rPr>
        <w:t>319.</w:t>
      </w:r>
      <w:r w:rsidRPr="00297685">
        <w:rPr>
          <w:rFonts w:ascii="Calibri" w:hAnsi="Calibri" w:cs="Calibri"/>
          <w:sz w:val="18"/>
          <w:szCs w:val="18"/>
          <w:lang w:val="fr-FR"/>
        </w:rPr>
        <w:tab/>
        <w:t xml:space="preserve">Rinne, M. </w:t>
      </w:r>
      <w:r w:rsidRPr="00297685">
        <w:rPr>
          <w:rFonts w:ascii="Calibri" w:hAnsi="Calibri" w:cs="Calibri"/>
          <w:i/>
          <w:iCs/>
          <w:sz w:val="18"/>
          <w:szCs w:val="18"/>
          <w:lang w:val="fr-FR"/>
        </w:rPr>
        <w:t>et al.</w:t>
      </w:r>
      <w:r w:rsidRPr="00297685">
        <w:rPr>
          <w:rFonts w:ascii="Calibri" w:hAnsi="Calibri" w:cs="Calibri"/>
          <w:sz w:val="18"/>
          <w:szCs w:val="18"/>
          <w:lang w:val="fr-FR"/>
        </w:rPr>
        <w:t xml:space="preserve"> </w:t>
      </w:r>
      <w:r w:rsidRPr="00297685">
        <w:rPr>
          <w:rFonts w:ascii="Calibri" w:hAnsi="Calibri" w:cs="Calibri"/>
          <w:sz w:val="18"/>
          <w:szCs w:val="18"/>
        </w:rPr>
        <w:t xml:space="preserve">Fibrolytic enzyme treatment prior to ensiling increased press-juice and crude protein yield from grass silage. </w:t>
      </w:r>
      <w:r w:rsidRPr="00297685">
        <w:rPr>
          <w:rFonts w:ascii="Calibri" w:hAnsi="Calibri" w:cs="Calibri"/>
          <w:i/>
          <w:iCs/>
          <w:sz w:val="18"/>
          <w:szCs w:val="18"/>
        </w:rPr>
        <w:t>Bioresource Technology</w:t>
      </w:r>
      <w:r w:rsidRPr="00297685">
        <w:rPr>
          <w:rFonts w:ascii="Calibri" w:hAnsi="Calibri" w:cs="Calibri"/>
          <w:sz w:val="18"/>
          <w:szCs w:val="18"/>
        </w:rPr>
        <w:t xml:space="preserve"> </w:t>
      </w:r>
      <w:r w:rsidRPr="00297685">
        <w:rPr>
          <w:rFonts w:ascii="Calibri" w:hAnsi="Calibri" w:cs="Calibri"/>
          <w:b/>
          <w:bCs/>
          <w:sz w:val="18"/>
          <w:szCs w:val="18"/>
        </w:rPr>
        <w:t>299</w:t>
      </w:r>
      <w:r w:rsidRPr="00297685">
        <w:rPr>
          <w:rFonts w:ascii="Calibri" w:hAnsi="Calibri" w:cs="Calibri"/>
          <w:sz w:val="18"/>
          <w:szCs w:val="18"/>
        </w:rPr>
        <w:t>, 122572 (2020).</w:t>
      </w:r>
    </w:p>
    <w:p w14:paraId="02D6DD5C"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320.</w:t>
      </w:r>
      <w:r w:rsidRPr="00297685">
        <w:rPr>
          <w:rFonts w:ascii="Calibri" w:hAnsi="Calibri" w:cs="Calibri"/>
          <w:sz w:val="18"/>
          <w:szCs w:val="18"/>
        </w:rPr>
        <w:tab/>
        <w:t xml:space="preserve">Santamaría-Fernández, M., Ambye‐Jensen, M., Damborg, V. K. &amp; Lübeck, M. Demonstration-scale protein recovery by lactic acid fermentation from </w:t>
      </w:r>
      <w:r w:rsidRPr="00297685">
        <w:rPr>
          <w:rFonts w:ascii="Calibri" w:hAnsi="Calibri" w:cs="Calibri"/>
          <w:sz w:val="18"/>
          <w:szCs w:val="18"/>
        </w:rPr>
        <w:lastRenderedPageBreak/>
        <w:t xml:space="preserve">grass clover – a single case of the production of protein concentrate and press cake silage for animal feeding trials. </w:t>
      </w:r>
      <w:r w:rsidRPr="00297685">
        <w:rPr>
          <w:rFonts w:ascii="Calibri" w:hAnsi="Calibri" w:cs="Calibri"/>
          <w:i/>
          <w:iCs/>
          <w:sz w:val="18"/>
          <w:szCs w:val="18"/>
        </w:rPr>
        <w:t>Biofuels, Bioproducts and Biorefining</w:t>
      </w:r>
      <w:r w:rsidRPr="00297685">
        <w:rPr>
          <w:rFonts w:ascii="Calibri" w:hAnsi="Calibri" w:cs="Calibri"/>
          <w:sz w:val="18"/>
          <w:szCs w:val="18"/>
        </w:rPr>
        <w:t xml:space="preserve"> </w:t>
      </w:r>
      <w:r w:rsidRPr="00297685">
        <w:rPr>
          <w:rFonts w:ascii="Calibri" w:hAnsi="Calibri" w:cs="Calibri"/>
          <w:b/>
          <w:bCs/>
          <w:sz w:val="18"/>
          <w:szCs w:val="18"/>
        </w:rPr>
        <w:t>13</w:t>
      </w:r>
      <w:r w:rsidRPr="00297685">
        <w:rPr>
          <w:rFonts w:ascii="Calibri" w:hAnsi="Calibri" w:cs="Calibri"/>
          <w:sz w:val="18"/>
          <w:szCs w:val="18"/>
        </w:rPr>
        <w:t>, 502–513 (2019).</w:t>
      </w:r>
    </w:p>
    <w:p w14:paraId="07F6CC6C"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321.</w:t>
      </w:r>
      <w:r w:rsidRPr="00297685">
        <w:rPr>
          <w:rFonts w:ascii="Calibri" w:hAnsi="Calibri" w:cs="Calibri"/>
          <w:sz w:val="18"/>
          <w:szCs w:val="18"/>
        </w:rPr>
        <w:tab/>
        <w:t xml:space="preserve">Stefański, T. </w:t>
      </w:r>
      <w:r w:rsidRPr="00297685">
        <w:rPr>
          <w:rFonts w:ascii="Calibri" w:hAnsi="Calibri" w:cs="Calibri"/>
          <w:i/>
          <w:iCs/>
          <w:sz w:val="18"/>
          <w:szCs w:val="18"/>
        </w:rPr>
        <w:t>et al.</w:t>
      </w:r>
      <w:r w:rsidRPr="00297685">
        <w:rPr>
          <w:rFonts w:ascii="Calibri" w:hAnsi="Calibri" w:cs="Calibri"/>
          <w:sz w:val="18"/>
          <w:szCs w:val="18"/>
        </w:rPr>
        <w:t xml:space="preserve"> Grass silage for biorefinery – separation efficiency and aerobic stability of silage and solid fraction. in </w:t>
      </w:r>
      <w:r w:rsidRPr="00297685">
        <w:rPr>
          <w:rFonts w:ascii="Calibri" w:hAnsi="Calibri" w:cs="Calibri"/>
          <w:i/>
          <w:iCs/>
          <w:sz w:val="18"/>
          <w:szCs w:val="18"/>
        </w:rPr>
        <w:t>Proceedings of the 9th Nordic Feed Science Conference</w:t>
      </w:r>
      <w:r w:rsidRPr="00297685">
        <w:rPr>
          <w:rFonts w:ascii="Calibri" w:hAnsi="Calibri" w:cs="Calibri"/>
          <w:sz w:val="18"/>
          <w:szCs w:val="18"/>
        </w:rPr>
        <w:t xml:space="preserve"> (2018).</w:t>
      </w:r>
    </w:p>
    <w:p w14:paraId="220CEEFB"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322.</w:t>
      </w:r>
      <w:r w:rsidRPr="00297685">
        <w:rPr>
          <w:rFonts w:ascii="Calibri" w:hAnsi="Calibri" w:cs="Calibri"/>
          <w:sz w:val="18"/>
          <w:szCs w:val="18"/>
        </w:rPr>
        <w:tab/>
        <w:t xml:space="preserve">Bühle, L., Hensgen, F., Donnison, I., Heinsoo, K. &amp; Wachendorf, M. Evaluation of fuel and biogas production on typical semi-natural grasslands in Germany, Wales and Estonia. </w:t>
      </w:r>
      <w:r w:rsidRPr="00297685">
        <w:rPr>
          <w:rFonts w:ascii="Calibri" w:hAnsi="Calibri" w:cs="Calibri"/>
          <w:i/>
          <w:iCs/>
          <w:sz w:val="18"/>
          <w:szCs w:val="18"/>
        </w:rPr>
        <w:t>Grassland farming and land management systems in mountainous regions. Proceedings of the 16th Symposium of the European Grassland Federation, Gumpenstein, Austria, 29th-31st August, 2011</w:t>
      </w:r>
      <w:r w:rsidRPr="00297685">
        <w:rPr>
          <w:rFonts w:ascii="Calibri" w:hAnsi="Calibri" w:cs="Calibri"/>
          <w:sz w:val="18"/>
          <w:szCs w:val="18"/>
        </w:rPr>
        <w:t xml:space="preserve"> 398–400 (2011).</w:t>
      </w:r>
    </w:p>
    <w:p w14:paraId="6538CFF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323.</w:t>
      </w:r>
      <w:r w:rsidRPr="00297685">
        <w:rPr>
          <w:rFonts w:ascii="Calibri" w:hAnsi="Calibri" w:cs="Calibri"/>
          <w:sz w:val="18"/>
          <w:szCs w:val="18"/>
        </w:rPr>
        <w:tab/>
        <w:t xml:space="preserve">Bitra, V. S. P., Womac, A. R., Igathinathane, C. &amp; Sokhansanj, S. Knife Mill Comminution Energy Analysis of Switchgrass, Wheat Straw, and Corn Stover and Characterization of Particle Size Distributions. </w:t>
      </w:r>
      <w:r w:rsidRPr="00297685">
        <w:rPr>
          <w:rFonts w:ascii="Calibri" w:hAnsi="Calibri" w:cs="Calibri"/>
          <w:i/>
          <w:iCs/>
          <w:sz w:val="18"/>
          <w:szCs w:val="18"/>
        </w:rPr>
        <w:t>Transactions of the ASABE</w:t>
      </w:r>
      <w:r w:rsidRPr="00297685">
        <w:rPr>
          <w:rFonts w:ascii="Calibri" w:hAnsi="Calibri" w:cs="Calibri"/>
          <w:sz w:val="18"/>
          <w:szCs w:val="18"/>
        </w:rPr>
        <w:t xml:space="preserve"> </w:t>
      </w:r>
      <w:r w:rsidRPr="00297685">
        <w:rPr>
          <w:rFonts w:ascii="Calibri" w:hAnsi="Calibri" w:cs="Calibri"/>
          <w:b/>
          <w:bCs/>
          <w:sz w:val="18"/>
          <w:szCs w:val="18"/>
        </w:rPr>
        <w:t>53</w:t>
      </w:r>
      <w:r w:rsidRPr="00297685">
        <w:rPr>
          <w:rFonts w:ascii="Calibri" w:hAnsi="Calibri" w:cs="Calibri"/>
          <w:sz w:val="18"/>
          <w:szCs w:val="18"/>
        </w:rPr>
        <w:t>, 1639–1651 (2010).</w:t>
      </w:r>
    </w:p>
    <w:p w14:paraId="4F8E270E"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324.</w:t>
      </w:r>
      <w:r w:rsidRPr="00297685">
        <w:rPr>
          <w:rFonts w:ascii="Calibri" w:hAnsi="Calibri" w:cs="Calibri"/>
          <w:sz w:val="18"/>
          <w:szCs w:val="18"/>
        </w:rPr>
        <w:tab/>
        <w:t xml:space="preserve">Kamm, B., Hille, C., Schönicke, P. &amp; Dautzenberg, G. Green biorefinery demonstration plant in Havelland (Germany). </w:t>
      </w:r>
      <w:r w:rsidRPr="00297685">
        <w:rPr>
          <w:rFonts w:ascii="Calibri" w:hAnsi="Calibri" w:cs="Calibri"/>
          <w:i/>
          <w:iCs/>
          <w:sz w:val="18"/>
          <w:szCs w:val="18"/>
        </w:rPr>
        <w:t>Biofuels, Bioproducts and Biorefining</w:t>
      </w:r>
      <w:r w:rsidRPr="00297685">
        <w:rPr>
          <w:rFonts w:ascii="Calibri" w:hAnsi="Calibri" w:cs="Calibri"/>
          <w:sz w:val="18"/>
          <w:szCs w:val="18"/>
        </w:rPr>
        <w:t xml:space="preserve"> </w:t>
      </w:r>
      <w:r w:rsidRPr="00297685">
        <w:rPr>
          <w:rFonts w:ascii="Calibri" w:hAnsi="Calibri" w:cs="Calibri"/>
          <w:b/>
          <w:bCs/>
          <w:sz w:val="18"/>
          <w:szCs w:val="18"/>
        </w:rPr>
        <w:t>4</w:t>
      </w:r>
      <w:r w:rsidRPr="00297685">
        <w:rPr>
          <w:rFonts w:ascii="Calibri" w:hAnsi="Calibri" w:cs="Calibri"/>
          <w:sz w:val="18"/>
          <w:szCs w:val="18"/>
        </w:rPr>
        <w:t>, 253–262 (2010).</w:t>
      </w:r>
    </w:p>
    <w:p w14:paraId="1B7D25CC" w14:textId="0FD1250A"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325.</w:t>
      </w:r>
      <w:r w:rsidRPr="00297685">
        <w:rPr>
          <w:rFonts w:ascii="Calibri" w:hAnsi="Calibri" w:cs="Calibri"/>
          <w:sz w:val="18"/>
          <w:szCs w:val="18"/>
        </w:rPr>
        <w:tab/>
        <w:t xml:space="preserve">Santamaría-Fernández, M. </w:t>
      </w:r>
      <w:r w:rsidRPr="00297685">
        <w:rPr>
          <w:rFonts w:ascii="Calibri" w:hAnsi="Calibri" w:cs="Calibri"/>
          <w:i/>
          <w:iCs/>
          <w:sz w:val="18"/>
          <w:szCs w:val="18"/>
        </w:rPr>
        <w:t>et al.</w:t>
      </w:r>
      <w:r w:rsidRPr="00297685">
        <w:rPr>
          <w:rFonts w:ascii="Calibri" w:hAnsi="Calibri" w:cs="Calibri"/>
          <w:sz w:val="18"/>
          <w:szCs w:val="18"/>
        </w:rPr>
        <w:t xml:space="preserve"> Lactic acid fermentation for refining proteins from green crops and obtaining a high</w:t>
      </w:r>
      <w:r w:rsidR="00075F19">
        <w:rPr>
          <w:rFonts w:ascii="Calibri" w:hAnsi="Calibri" w:cs="Calibri"/>
          <w:sz w:val="18"/>
          <w:szCs w:val="18"/>
        </w:rPr>
        <w:t>-</w:t>
      </w:r>
      <w:r w:rsidRPr="00297685">
        <w:rPr>
          <w:rFonts w:ascii="Calibri" w:hAnsi="Calibri" w:cs="Calibri"/>
          <w:sz w:val="18"/>
          <w:szCs w:val="18"/>
        </w:rPr>
        <w:t xml:space="preserve">quality feed product for monogastric animals. </w:t>
      </w:r>
      <w:r w:rsidRPr="00297685">
        <w:rPr>
          <w:rFonts w:ascii="Calibri" w:hAnsi="Calibri" w:cs="Calibri"/>
          <w:i/>
          <w:iCs/>
          <w:sz w:val="18"/>
          <w:szCs w:val="18"/>
        </w:rPr>
        <w:t>J Clean Prod</w:t>
      </w:r>
      <w:r w:rsidRPr="00297685">
        <w:rPr>
          <w:rFonts w:ascii="Calibri" w:hAnsi="Calibri" w:cs="Calibri"/>
          <w:sz w:val="18"/>
          <w:szCs w:val="18"/>
        </w:rPr>
        <w:t xml:space="preserve"> </w:t>
      </w:r>
      <w:r w:rsidRPr="00297685">
        <w:rPr>
          <w:rFonts w:ascii="Calibri" w:hAnsi="Calibri" w:cs="Calibri"/>
          <w:b/>
          <w:bCs/>
          <w:sz w:val="18"/>
          <w:szCs w:val="18"/>
        </w:rPr>
        <w:t>162</w:t>
      </w:r>
      <w:r w:rsidRPr="00297685">
        <w:rPr>
          <w:rFonts w:ascii="Calibri" w:hAnsi="Calibri" w:cs="Calibri"/>
          <w:sz w:val="18"/>
          <w:szCs w:val="18"/>
        </w:rPr>
        <w:t>, 875–881 (2017).</w:t>
      </w:r>
    </w:p>
    <w:p w14:paraId="2B1FB131"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326.</w:t>
      </w:r>
      <w:r w:rsidRPr="00297685">
        <w:rPr>
          <w:rFonts w:ascii="Calibri" w:hAnsi="Calibri" w:cs="Calibri"/>
          <w:sz w:val="18"/>
          <w:szCs w:val="18"/>
        </w:rPr>
        <w:tab/>
        <w:t xml:space="preserve">Presto Åkerfeldt, M., Friman, J., Dahlström, F., Larsen, A. &amp; Wallenbeck, A. Juice from silage in green bio refineries – a potential feed ingredient in liquid diets to weaned pigs. </w:t>
      </w:r>
      <w:r w:rsidRPr="00297685">
        <w:rPr>
          <w:rFonts w:ascii="Calibri" w:hAnsi="Calibri" w:cs="Calibri"/>
          <w:i/>
          <w:iCs/>
          <w:sz w:val="18"/>
          <w:szCs w:val="18"/>
        </w:rPr>
        <w:t>Acta Agriculturae Scandinavica, Section A — Animal Science</w:t>
      </w:r>
      <w:r w:rsidRPr="00297685">
        <w:rPr>
          <w:rFonts w:ascii="Calibri" w:hAnsi="Calibri" w:cs="Calibri"/>
          <w:sz w:val="18"/>
          <w:szCs w:val="18"/>
        </w:rPr>
        <w:t xml:space="preserve"> </w:t>
      </w:r>
      <w:r w:rsidRPr="00297685">
        <w:rPr>
          <w:rFonts w:ascii="Calibri" w:hAnsi="Calibri" w:cs="Calibri"/>
          <w:b/>
          <w:bCs/>
          <w:sz w:val="18"/>
          <w:szCs w:val="18"/>
        </w:rPr>
        <w:t>0</w:t>
      </w:r>
      <w:r w:rsidRPr="00297685">
        <w:rPr>
          <w:rFonts w:ascii="Calibri" w:hAnsi="Calibri" w:cs="Calibri"/>
          <w:sz w:val="18"/>
          <w:szCs w:val="18"/>
        </w:rPr>
        <w:t>, 1–7 (2022).</w:t>
      </w:r>
    </w:p>
    <w:p w14:paraId="79DD7379"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327.</w:t>
      </w:r>
      <w:r w:rsidRPr="00297685">
        <w:rPr>
          <w:rFonts w:ascii="Calibri" w:hAnsi="Calibri" w:cs="Calibri"/>
          <w:sz w:val="18"/>
          <w:szCs w:val="18"/>
        </w:rPr>
        <w:tab/>
        <w:t xml:space="preserve">Ayyat, M. S., Abdel‐Rahman, G., Ayyat, A. M. N., Abdel‐Rahman, M. S. &amp; Al‐Sagheer, A. A. Evaluation of leaf protein concentrate from Beta vulgaris and Daucus carota as a substitute for soybean meal in Oreochromis niloticus fingerlings diets. </w:t>
      </w:r>
      <w:r w:rsidRPr="00297685">
        <w:rPr>
          <w:rFonts w:ascii="Calibri" w:hAnsi="Calibri" w:cs="Calibri"/>
          <w:i/>
          <w:iCs/>
          <w:sz w:val="18"/>
          <w:szCs w:val="18"/>
        </w:rPr>
        <w:t>Aquaculture Research</w:t>
      </w:r>
      <w:r w:rsidRPr="00297685">
        <w:rPr>
          <w:rFonts w:ascii="Calibri" w:hAnsi="Calibri" w:cs="Calibri"/>
          <w:sz w:val="18"/>
          <w:szCs w:val="18"/>
        </w:rPr>
        <w:t xml:space="preserve"> are.15171 (2021) doi:10.1111/are.15171.</w:t>
      </w:r>
    </w:p>
    <w:p w14:paraId="3FA3DE85"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328.</w:t>
      </w:r>
      <w:r w:rsidRPr="00297685">
        <w:rPr>
          <w:rFonts w:ascii="Calibri" w:hAnsi="Calibri" w:cs="Calibri"/>
          <w:sz w:val="18"/>
          <w:szCs w:val="18"/>
        </w:rPr>
        <w:tab/>
        <w:t xml:space="preserve">Stødkilde, L., Damborg, V. K., Jørgensen, H., Lærke, H. N. &amp; Jensen, S. K. Digestibility of fractionated green biomass as protein source for monogastric animals. </w:t>
      </w:r>
      <w:r w:rsidRPr="00297685">
        <w:rPr>
          <w:rFonts w:ascii="Calibri" w:hAnsi="Calibri" w:cs="Calibri"/>
          <w:i/>
          <w:iCs/>
          <w:sz w:val="18"/>
          <w:szCs w:val="18"/>
        </w:rPr>
        <w:t>Animal</w:t>
      </w:r>
      <w:r w:rsidRPr="00297685">
        <w:rPr>
          <w:rFonts w:ascii="Calibri" w:hAnsi="Calibri" w:cs="Calibri"/>
          <w:sz w:val="18"/>
          <w:szCs w:val="18"/>
        </w:rPr>
        <w:t xml:space="preserve"> </w:t>
      </w:r>
      <w:r w:rsidRPr="00297685">
        <w:rPr>
          <w:rFonts w:ascii="Calibri" w:hAnsi="Calibri" w:cs="Calibri"/>
          <w:b/>
          <w:bCs/>
          <w:sz w:val="18"/>
          <w:szCs w:val="18"/>
        </w:rPr>
        <w:t>13</w:t>
      </w:r>
      <w:r w:rsidRPr="00297685">
        <w:rPr>
          <w:rFonts w:ascii="Calibri" w:hAnsi="Calibri" w:cs="Calibri"/>
          <w:sz w:val="18"/>
          <w:szCs w:val="18"/>
        </w:rPr>
        <w:t>, 1817–1825 (2019).</w:t>
      </w:r>
    </w:p>
    <w:p w14:paraId="0C9C6E0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329.</w:t>
      </w:r>
      <w:r w:rsidRPr="00297685">
        <w:rPr>
          <w:rFonts w:ascii="Calibri" w:hAnsi="Calibri" w:cs="Calibri"/>
          <w:sz w:val="18"/>
          <w:szCs w:val="18"/>
        </w:rPr>
        <w:tab/>
        <w:t xml:space="preserve">Stødkilde, L., Lashkari, S., Eriksen, J. &amp; Jensen, S. K. Enhancing protein recovery in green biorefineries through selection of plant species and time of harvest. </w:t>
      </w:r>
      <w:r w:rsidRPr="00297685">
        <w:rPr>
          <w:rFonts w:ascii="Calibri" w:hAnsi="Calibri" w:cs="Calibri"/>
          <w:i/>
          <w:iCs/>
          <w:sz w:val="18"/>
          <w:szCs w:val="18"/>
        </w:rPr>
        <w:t>Animal Feed Science and Technology</w:t>
      </w:r>
      <w:r w:rsidRPr="00297685">
        <w:rPr>
          <w:rFonts w:ascii="Calibri" w:hAnsi="Calibri" w:cs="Calibri"/>
          <w:sz w:val="18"/>
          <w:szCs w:val="18"/>
        </w:rPr>
        <w:t xml:space="preserve"> </w:t>
      </w:r>
      <w:r w:rsidRPr="00297685">
        <w:rPr>
          <w:rFonts w:ascii="Calibri" w:hAnsi="Calibri" w:cs="Calibri"/>
          <w:b/>
          <w:bCs/>
          <w:sz w:val="18"/>
          <w:szCs w:val="18"/>
        </w:rPr>
        <w:t>278</w:t>
      </w:r>
      <w:r w:rsidRPr="00297685">
        <w:rPr>
          <w:rFonts w:ascii="Calibri" w:hAnsi="Calibri" w:cs="Calibri"/>
          <w:sz w:val="18"/>
          <w:szCs w:val="18"/>
        </w:rPr>
        <w:t>, 115016 (2021).</w:t>
      </w:r>
    </w:p>
    <w:p w14:paraId="68350676" w14:textId="41B4766F"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330.</w:t>
      </w:r>
      <w:r w:rsidRPr="00297685">
        <w:rPr>
          <w:rFonts w:ascii="Calibri" w:hAnsi="Calibri" w:cs="Calibri"/>
          <w:sz w:val="18"/>
          <w:szCs w:val="18"/>
        </w:rPr>
        <w:tab/>
        <w:t xml:space="preserve">Stødkilde, L., Ambye-Jensen, M. &amp; Jensen, S. K. Biorefined organic grass-clover protein concentrate for growing pigs: effect on growth performance and meat fatty acid profile. </w:t>
      </w:r>
      <w:r w:rsidRPr="00297685">
        <w:rPr>
          <w:rFonts w:ascii="Calibri" w:hAnsi="Calibri" w:cs="Calibri"/>
          <w:i/>
          <w:iCs/>
          <w:sz w:val="18"/>
          <w:szCs w:val="18"/>
        </w:rPr>
        <w:t>Animal Feed Science and Technology</w:t>
      </w:r>
      <w:r w:rsidRPr="00297685">
        <w:rPr>
          <w:rFonts w:ascii="Calibri" w:hAnsi="Calibri" w:cs="Calibri"/>
          <w:sz w:val="18"/>
          <w:szCs w:val="18"/>
        </w:rPr>
        <w:t xml:space="preserve"> 114943 (2021).</w:t>
      </w:r>
    </w:p>
    <w:p w14:paraId="5545BE7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331.</w:t>
      </w:r>
      <w:r w:rsidRPr="00297685">
        <w:rPr>
          <w:rFonts w:ascii="Calibri" w:hAnsi="Calibri" w:cs="Calibri"/>
          <w:sz w:val="18"/>
          <w:szCs w:val="18"/>
        </w:rPr>
        <w:tab/>
        <w:t xml:space="preserve">Ravindran, R. </w:t>
      </w:r>
      <w:r w:rsidRPr="00297685">
        <w:rPr>
          <w:rFonts w:ascii="Calibri" w:hAnsi="Calibri" w:cs="Calibri"/>
          <w:i/>
          <w:iCs/>
          <w:sz w:val="18"/>
          <w:szCs w:val="18"/>
        </w:rPr>
        <w:t>et al.</w:t>
      </w:r>
      <w:r w:rsidRPr="00297685">
        <w:rPr>
          <w:rFonts w:ascii="Calibri" w:hAnsi="Calibri" w:cs="Calibri"/>
          <w:sz w:val="18"/>
          <w:szCs w:val="18"/>
        </w:rPr>
        <w:t xml:space="preserve"> Biogas, Biomethane and Digestate Potential of By-Products from Green Biorefinery Systems. </w:t>
      </w:r>
      <w:r w:rsidRPr="00297685">
        <w:rPr>
          <w:rFonts w:ascii="Calibri" w:hAnsi="Calibri" w:cs="Calibri"/>
          <w:i/>
          <w:iCs/>
          <w:sz w:val="18"/>
          <w:szCs w:val="18"/>
        </w:rPr>
        <w:t>Clean Technol.</w:t>
      </w:r>
      <w:r w:rsidRPr="00297685">
        <w:rPr>
          <w:rFonts w:ascii="Calibri" w:hAnsi="Calibri" w:cs="Calibri"/>
          <w:sz w:val="18"/>
          <w:szCs w:val="18"/>
        </w:rPr>
        <w:t xml:space="preserve"> </w:t>
      </w:r>
      <w:r w:rsidRPr="00297685">
        <w:rPr>
          <w:rFonts w:ascii="Calibri" w:hAnsi="Calibri" w:cs="Calibri"/>
          <w:b/>
          <w:bCs/>
          <w:sz w:val="18"/>
          <w:szCs w:val="18"/>
        </w:rPr>
        <w:t>4</w:t>
      </w:r>
      <w:r w:rsidRPr="00297685">
        <w:rPr>
          <w:rFonts w:ascii="Calibri" w:hAnsi="Calibri" w:cs="Calibri"/>
          <w:sz w:val="18"/>
          <w:szCs w:val="18"/>
        </w:rPr>
        <w:t>, 35–50 (2022).</w:t>
      </w:r>
    </w:p>
    <w:p w14:paraId="6FAA01F9"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332.</w:t>
      </w:r>
      <w:r w:rsidRPr="00297685">
        <w:rPr>
          <w:rFonts w:ascii="Calibri" w:hAnsi="Calibri" w:cs="Calibri"/>
          <w:sz w:val="18"/>
          <w:szCs w:val="18"/>
        </w:rPr>
        <w:tab/>
        <w:t xml:space="preserve">Zoppi, G., Andrade, T. A., Ward, A. J., Ambye-Jensen, M. &amp; Biller, P. Biorefinery integration of a green protein platform for maximum resource utilization. </w:t>
      </w:r>
      <w:r w:rsidRPr="00297685">
        <w:rPr>
          <w:rFonts w:ascii="Calibri" w:hAnsi="Calibri" w:cs="Calibri"/>
          <w:i/>
          <w:iCs/>
          <w:sz w:val="18"/>
          <w:szCs w:val="18"/>
        </w:rPr>
        <w:t>Cleaner and Circular Bioeconomy</w:t>
      </w:r>
      <w:r w:rsidRPr="00297685">
        <w:rPr>
          <w:rFonts w:ascii="Calibri" w:hAnsi="Calibri" w:cs="Calibri"/>
          <w:sz w:val="18"/>
          <w:szCs w:val="18"/>
        </w:rPr>
        <w:t xml:space="preserve"> </w:t>
      </w:r>
      <w:r w:rsidRPr="00297685">
        <w:rPr>
          <w:rFonts w:ascii="Calibri" w:hAnsi="Calibri" w:cs="Calibri"/>
          <w:b/>
          <w:bCs/>
          <w:sz w:val="18"/>
          <w:szCs w:val="18"/>
        </w:rPr>
        <w:t>6</w:t>
      </w:r>
      <w:r w:rsidRPr="00297685">
        <w:rPr>
          <w:rFonts w:ascii="Calibri" w:hAnsi="Calibri" w:cs="Calibri"/>
          <w:sz w:val="18"/>
          <w:szCs w:val="18"/>
        </w:rPr>
        <w:t>, 100064 (2023).</w:t>
      </w:r>
    </w:p>
    <w:p w14:paraId="681AA69D"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333.</w:t>
      </w:r>
      <w:r w:rsidRPr="00297685">
        <w:rPr>
          <w:rFonts w:ascii="Calibri" w:hAnsi="Calibri" w:cs="Calibri"/>
          <w:sz w:val="18"/>
          <w:szCs w:val="18"/>
        </w:rPr>
        <w:tab/>
        <w:t xml:space="preserve">Thomsen, M. H., Bech, D. &amp; Kiel, P. Manufacturing of Stabilised Brown Juice for L-lysine production – from University Lab Scale over Pilot Scale to Industrial Production. </w:t>
      </w:r>
      <w:r w:rsidRPr="00297685">
        <w:rPr>
          <w:rFonts w:ascii="Calibri" w:hAnsi="Calibri" w:cs="Calibri"/>
          <w:i/>
          <w:iCs/>
          <w:sz w:val="18"/>
          <w:szCs w:val="18"/>
        </w:rPr>
        <w:t>Chem. Biochem. Eng. Q.</w:t>
      </w:r>
      <w:r w:rsidRPr="00297685">
        <w:rPr>
          <w:rFonts w:ascii="Calibri" w:hAnsi="Calibri" w:cs="Calibri"/>
          <w:sz w:val="18"/>
          <w:szCs w:val="18"/>
        </w:rPr>
        <w:t xml:space="preserve"> 10 (2004).</w:t>
      </w:r>
    </w:p>
    <w:p w14:paraId="6176CA4C"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334.</w:t>
      </w:r>
      <w:r w:rsidRPr="00297685">
        <w:rPr>
          <w:rFonts w:ascii="Calibri" w:hAnsi="Calibri" w:cs="Calibri"/>
          <w:sz w:val="18"/>
          <w:szCs w:val="18"/>
        </w:rPr>
        <w:tab/>
        <w:t xml:space="preserve">Schoeters, F. </w:t>
      </w:r>
      <w:r w:rsidRPr="00297685">
        <w:rPr>
          <w:rFonts w:ascii="Calibri" w:hAnsi="Calibri" w:cs="Calibri"/>
          <w:i/>
          <w:iCs/>
          <w:sz w:val="18"/>
          <w:szCs w:val="18"/>
        </w:rPr>
        <w:t>et al.</w:t>
      </w:r>
      <w:r w:rsidRPr="00297685">
        <w:rPr>
          <w:rFonts w:ascii="Calibri" w:hAnsi="Calibri" w:cs="Calibri"/>
          <w:sz w:val="18"/>
          <w:szCs w:val="18"/>
        </w:rPr>
        <w:t xml:space="preserve"> Microalgal cultivation on grass juice as a novel process for a green biorefinery. </w:t>
      </w:r>
      <w:r w:rsidRPr="00297685">
        <w:rPr>
          <w:rFonts w:ascii="Calibri" w:hAnsi="Calibri" w:cs="Calibri"/>
          <w:i/>
          <w:iCs/>
          <w:sz w:val="18"/>
          <w:szCs w:val="18"/>
        </w:rPr>
        <w:t>Algal Research</w:t>
      </w:r>
      <w:r w:rsidRPr="00297685">
        <w:rPr>
          <w:rFonts w:ascii="Calibri" w:hAnsi="Calibri" w:cs="Calibri"/>
          <w:sz w:val="18"/>
          <w:szCs w:val="18"/>
        </w:rPr>
        <w:t xml:space="preserve"> </w:t>
      </w:r>
      <w:r w:rsidRPr="00297685">
        <w:rPr>
          <w:rFonts w:ascii="Calibri" w:hAnsi="Calibri" w:cs="Calibri"/>
          <w:b/>
          <w:bCs/>
          <w:sz w:val="18"/>
          <w:szCs w:val="18"/>
        </w:rPr>
        <w:t>69</w:t>
      </w:r>
      <w:r w:rsidRPr="00297685">
        <w:rPr>
          <w:rFonts w:ascii="Calibri" w:hAnsi="Calibri" w:cs="Calibri"/>
          <w:sz w:val="18"/>
          <w:szCs w:val="18"/>
        </w:rPr>
        <w:t>, 102941 (2023).</w:t>
      </w:r>
    </w:p>
    <w:p w14:paraId="253BA9B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335.</w:t>
      </w:r>
      <w:r w:rsidRPr="00297685">
        <w:rPr>
          <w:rFonts w:ascii="Calibri" w:hAnsi="Calibri" w:cs="Calibri"/>
          <w:sz w:val="18"/>
          <w:szCs w:val="18"/>
        </w:rPr>
        <w:tab/>
        <w:t xml:space="preserve">Jørgensen, U., Jensen, S. K. &amp; Ambye-Jensen, M. Coupling the benefits of grassland crops and green biorefining to produce protein, materials and services for the green transition. </w:t>
      </w:r>
      <w:r w:rsidRPr="00297685">
        <w:rPr>
          <w:rFonts w:ascii="Calibri" w:hAnsi="Calibri" w:cs="Calibri"/>
          <w:i/>
          <w:iCs/>
          <w:sz w:val="18"/>
          <w:szCs w:val="18"/>
        </w:rPr>
        <w:t>Grass Forage Sci.</w:t>
      </w:r>
      <w:r w:rsidRPr="00297685">
        <w:rPr>
          <w:rFonts w:ascii="Calibri" w:hAnsi="Calibri" w:cs="Calibri"/>
          <w:sz w:val="18"/>
          <w:szCs w:val="18"/>
        </w:rPr>
        <w:t xml:space="preserve"> </w:t>
      </w:r>
      <w:r w:rsidRPr="00297685">
        <w:rPr>
          <w:rFonts w:ascii="Calibri" w:hAnsi="Calibri" w:cs="Calibri"/>
          <w:b/>
          <w:bCs/>
          <w:sz w:val="18"/>
          <w:szCs w:val="18"/>
        </w:rPr>
        <w:t>77</w:t>
      </w:r>
      <w:r w:rsidRPr="00297685">
        <w:rPr>
          <w:rFonts w:ascii="Calibri" w:hAnsi="Calibri" w:cs="Calibri"/>
          <w:sz w:val="18"/>
          <w:szCs w:val="18"/>
        </w:rPr>
        <w:t>, 295–306 (2022).</w:t>
      </w:r>
    </w:p>
    <w:p w14:paraId="7CEA9EBA"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336.</w:t>
      </w:r>
      <w:r w:rsidRPr="00297685">
        <w:rPr>
          <w:rFonts w:ascii="Calibri" w:hAnsi="Calibri" w:cs="Calibri"/>
          <w:sz w:val="18"/>
          <w:szCs w:val="18"/>
        </w:rPr>
        <w:tab/>
        <w:t xml:space="preserve">Thunman, H. </w:t>
      </w:r>
      <w:r w:rsidRPr="00297685">
        <w:rPr>
          <w:rFonts w:ascii="Calibri" w:hAnsi="Calibri" w:cs="Calibri"/>
          <w:i/>
          <w:iCs/>
          <w:sz w:val="18"/>
          <w:szCs w:val="18"/>
        </w:rPr>
        <w:t>et al.</w:t>
      </w:r>
      <w:r w:rsidRPr="00297685">
        <w:rPr>
          <w:rFonts w:ascii="Calibri" w:hAnsi="Calibri" w:cs="Calibri"/>
          <w:sz w:val="18"/>
          <w:szCs w:val="18"/>
        </w:rPr>
        <w:t xml:space="preserve"> Advanced biofuel production via gasification – lessons learned from 200 man-years of research activity with Chalmers’ research gasifier and the GoBiGas demonstration plant. </w:t>
      </w:r>
      <w:r w:rsidRPr="00297685">
        <w:rPr>
          <w:rFonts w:ascii="Calibri" w:hAnsi="Calibri" w:cs="Calibri"/>
          <w:i/>
          <w:iCs/>
          <w:sz w:val="18"/>
          <w:szCs w:val="18"/>
        </w:rPr>
        <w:t>Energy Sci. Eng.</w:t>
      </w:r>
      <w:r w:rsidRPr="00297685">
        <w:rPr>
          <w:rFonts w:ascii="Calibri" w:hAnsi="Calibri" w:cs="Calibri"/>
          <w:sz w:val="18"/>
          <w:szCs w:val="18"/>
        </w:rPr>
        <w:t xml:space="preserve"> </w:t>
      </w:r>
      <w:r w:rsidRPr="00297685">
        <w:rPr>
          <w:rFonts w:ascii="Calibri" w:hAnsi="Calibri" w:cs="Calibri"/>
          <w:b/>
          <w:bCs/>
          <w:sz w:val="18"/>
          <w:szCs w:val="18"/>
        </w:rPr>
        <w:t>6</w:t>
      </w:r>
      <w:r w:rsidRPr="00297685">
        <w:rPr>
          <w:rFonts w:ascii="Calibri" w:hAnsi="Calibri" w:cs="Calibri"/>
          <w:sz w:val="18"/>
          <w:szCs w:val="18"/>
        </w:rPr>
        <w:t>, 6–34 (2018).</w:t>
      </w:r>
    </w:p>
    <w:p w14:paraId="4FD8503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337.</w:t>
      </w:r>
      <w:r w:rsidRPr="00297685">
        <w:rPr>
          <w:rFonts w:ascii="Calibri" w:hAnsi="Calibri" w:cs="Calibri"/>
          <w:sz w:val="18"/>
          <w:szCs w:val="18"/>
        </w:rPr>
        <w:tab/>
        <w:t xml:space="preserve">Kreuger, E., Nges, I. A. &amp; Björnsson, L. Ensiling of crops for biogas production: effects on methane yield and total solids determination. </w:t>
      </w:r>
      <w:r w:rsidRPr="00297685">
        <w:rPr>
          <w:rFonts w:ascii="Calibri" w:hAnsi="Calibri" w:cs="Calibri"/>
          <w:i/>
          <w:iCs/>
          <w:sz w:val="18"/>
          <w:szCs w:val="18"/>
        </w:rPr>
        <w:t>Biotechnology for Biofuels</w:t>
      </w:r>
      <w:r w:rsidRPr="00297685">
        <w:rPr>
          <w:rFonts w:ascii="Calibri" w:hAnsi="Calibri" w:cs="Calibri"/>
          <w:sz w:val="18"/>
          <w:szCs w:val="18"/>
        </w:rPr>
        <w:t xml:space="preserve"> </w:t>
      </w:r>
      <w:r w:rsidRPr="00297685">
        <w:rPr>
          <w:rFonts w:ascii="Calibri" w:hAnsi="Calibri" w:cs="Calibri"/>
          <w:b/>
          <w:bCs/>
          <w:sz w:val="18"/>
          <w:szCs w:val="18"/>
        </w:rPr>
        <w:t>4</w:t>
      </w:r>
      <w:r w:rsidRPr="00297685">
        <w:rPr>
          <w:rFonts w:ascii="Calibri" w:hAnsi="Calibri" w:cs="Calibri"/>
          <w:sz w:val="18"/>
          <w:szCs w:val="18"/>
        </w:rPr>
        <w:t>, 44 (2011).</w:t>
      </w:r>
    </w:p>
    <w:p w14:paraId="38891CC7"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338.</w:t>
      </w:r>
      <w:r w:rsidRPr="00297685">
        <w:rPr>
          <w:rFonts w:ascii="Calibri" w:hAnsi="Calibri" w:cs="Calibri"/>
          <w:sz w:val="18"/>
          <w:szCs w:val="18"/>
        </w:rPr>
        <w:tab/>
        <w:t xml:space="preserve">Gavrilova, O. </w:t>
      </w:r>
      <w:r w:rsidRPr="00297685">
        <w:rPr>
          <w:rFonts w:ascii="Calibri" w:hAnsi="Calibri" w:cs="Calibri"/>
          <w:i/>
          <w:iCs/>
          <w:sz w:val="18"/>
          <w:szCs w:val="18"/>
        </w:rPr>
        <w:t>et al.</w:t>
      </w:r>
      <w:r w:rsidRPr="00297685">
        <w:rPr>
          <w:rFonts w:ascii="Calibri" w:hAnsi="Calibri" w:cs="Calibri"/>
          <w:sz w:val="18"/>
          <w:szCs w:val="18"/>
        </w:rPr>
        <w:t xml:space="preserve"> Chapter 10 - Emissions from livestock and manure management. in </w:t>
      </w:r>
      <w:r w:rsidRPr="00297685">
        <w:rPr>
          <w:rFonts w:ascii="Calibri" w:hAnsi="Calibri" w:cs="Calibri"/>
          <w:i/>
          <w:iCs/>
          <w:sz w:val="18"/>
          <w:szCs w:val="18"/>
        </w:rPr>
        <w:t>Agriculture, Forestry and Other Land Use</w:t>
      </w:r>
      <w:r w:rsidRPr="00297685">
        <w:rPr>
          <w:rFonts w:ascii="Calibri" w:hAnsi="Calibri" w:cs="Calibri"/>
          <w:sz w:val="18"/>
          <w:szCs w:val="18"/>
        </w:rPr>
        <w:t xml:space="preserve"> vol. 4 209 (IPCC, 2019).</w:t>
      </w:r>
    </w:p>
    <w:p w14:paraId="7F21C1E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339.</w:t>
      </w:r>
      <w:r w:rsidRPr="00297685">
        <w:rPr>
          <w:rFonts w:ascii="Calibri" w:hAnsi="Calibri" w:cs="Calibri"/>
          <w:sz w:val="18"/>
          <w:szCs w:val="18"/>
        </w:rPr>
        <w:tab/>
        <w:t xml:space="preserve">Ardolino, F. &amp; Arena, U. Biowaste-to-Biomethane: An LCA study on biogas and syngas roads. </w:t>
      </w:r>
      <w:r w:rsidRPr="00297685">
        <w:rPr>
          <w:rFonts w:ascii="Calibri" w:hAnsi="Calibri" w:cs="Calibri"/>
          <w:i/>
          <w:iCs/>
          <w:sz w:val="18"/>
          <w:szCs w:val="18"/>
        </w:rPr>
        <w:t>Waste Management</w:t>
      </w:r>
      <w:r w:rsidRPr="00297685">
        <w:rPr>
          <w:rFonts w:ascii="Calibri" w:hAnsi="Calibri" w:cs="Calibri"/>
          <w:sz w:val="18"/>
          <w:szCs w:val="18"/>
        </w:rPr>
        <w:t xml:space="preserve"> </w:t>
      </w:r>
      <w:r w:rsidRPr="00297685">
        <w:rPr>
          <w:rFonts w:ascii="Calibri" w:hAnsi="Calibri" w:cs="Calibri"/>
          <w:b/>
          <w:bCs/>
          <w:sz w:val="18"/>
          <w:szCs w:val="18"/>
        </w:rPr>
        <w:t>87</w:t>
      </w:r>
      <w:r w:rsidRPr="00297685">
        <w:rPr>
          <w:rFonts w:ascii="Calibri" w:hAnsi="Calibri" w:cs="Calibri"/>
          <w:sz w:val="18"/>
          <w:szCs w:val="18"/>
        </w:rPr>
        <w:t>, 441–453 (2019).</w:t>
      </w:r>
    </w:p>
    <w:p w14:paraId="4D17A86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340.</w:t>
      </w:r>
      <w:r w:rsidRPr="00297685">
        <w:rPr>
          <w:rFonts w:ascii="Calibri" w:hAnsi="Calibri" w:cs="Calibri"/>
          <w:sz w:val="18"/>
          <w:szCs w:val="18"/>
        </w:rPr>
        <w:tab/>
        <w:t xml:space="preserve">Dong, J. </w:t>
      </w:r>
      <w:r w:rsidRPr="00297685">
        <w:rPr>
          <w:rFonts w:ascii="Calibri" w:hAnsi="Calibri" w:cs="Calibri"/>
          <w:i/>
          <w:iCs/>
          <w:sz w:val="18"/>
          <w:szCs w:val="18"/>
        </w:rPr>
        <w:t>et al.</w:t>
      </w:r>
      <w:r w:rsidRPr="00297685">
        <w:rPr>
          <w:rFonts w:ascii="Calibri" w:hAnsi="Calibri" w:cs="Calibri"/>
          <w:sz w:val="18"/>
          <w:szCs w:val="18"/>
        </w:rPr>
        <w:t xml:space="preserve"> Life cycle assessment of pyrolysis, gasification and incineration waste-to-energy technologies: Theoretical analysis and case study of commercial plants. </w:t>
      </w:r>
      <w:r w:rsidRPr="00297685">
        <w:rPr>
          <w:rFonts w:ascii="Calibri" w:hAnsi="Calibri" w:cs="Calibri"/>
          <w:i/>
          <w:iCs/>
          <w:sz w:val="18"/>
          <w:szCs w:val="18"/>
        </w:rPr>
        <w:t>Science of The Total Environment</w:t>
      </w:r>
      <w:r w:rsidRPr="00297685">
        <w:rPr>
          <w:rFonts w:ascii="Calibri" w:hAnsi="Calibri" w:cs="Calibri"/>
          <w:sz w:val="18"/>
          <w:szCs w:val="18"/>
        </w:rPr>
        <w:t xml:space="preserve"> </w:t>
      </w:r>
      <w:r w:rsidRPr="00297685">
        <w:rPr>
          <w:rFonts w:ascii="Calibri" w:hAnsi="Calibri" w:cs="Calibri"/>
          <w:b/>
          <w:bCs/>
          <w:sz w:val="18"/>
          <w:szCs w:val="18"/>
        </w:rPr>
        <w:t>626</w:t>
      </w:r>
      <w:r w:rsidRPr="00297685">
        <w:rPr>
          <w:rFonts w:ascii="Calibri" w:hAnsi="Calibri" w:cs="Calibri"/>
          <w:sz w:val="18"/>
          <w:szCs w:val="18"/>
        </w:rPr>
        <w:t>, 744–753 (2018).</w:t>
      </w:r>
    </w:p>
    <w:p w14:paraId="1FA5801F"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341.</w:t>
      </w:r>
      <w:r w:rsidRPr="00297685">
        <w:rPr>
          <w:rFonts w:ascii="Calibri" w:hAnsi="Calibri" w:cs="Calibri"/>
          <w:sz w:val="18"/>
          <w:szCs w:val="18"/>
        </w:rPr>
        <w:tab/>
        <w:t xml:space="preserve">Gagliano, A., Nocera, F., Patania, F., Bruno, M. &amp; Castaldo, D. G. A robust numerical model for characterizing the syngas composition in a downdraft gasification process. </w:t>
      </w:r>
      <w:r w:rsidRPr="00297685">
        <w:rPr>
          <w:rFonts w:ascii="Calibri" w:hAnsi="Calibri" w:cs="Calibri"/>
          <w:i/>
          <w:iCs/>
          <w:sz w:val="18"/>
          <w:szCs w:val="18"/>
        </w:rPr>
        <w:t>Comptes Rendus Chimie</w:t>
      </w:r>
      <w:r w:rsidRPr="00297685">
        <w:rPr>
          <w:rFonts w:ascii="Calibri" w:hAnsi="Calibri" w:cs="Calibri"/>
          <w:sz w:val="18"/>
          <w:szCs w:val="18"/>
        </w:rPr>
        <w:t xml:space="preserve"> </w:t>
      </w:r>
      <w:r w:rsidRPr="00297685">
        <w:rPr>
          <w:rFonts w:ascii="Calibri" w:hAnsi="Calibri" w:cs="Calibri"/>
          <w:b/>
          <w:bCs/>
          <w:sz w:val="18"/>
          <w:szCs w:val="18"/>
        </w:rPr>
        <w:t>19</w:t>
      </w:r>
      <w:r w:rsidRPr="00297685">
        <w:rPr>
          <w:rFonts w:ascii="Calibri" w:hAnsi="Calibri" w:cs="Calibri"/>
          <w:sz w:val="18"/>
          <w:szCs w:val="18"/>
        </w:rPr>
        <w:t>, 441–449 (2016).</w:t>
      </w:r>
    </w:p>
    <w:p w14:paraId="2B30D7EA"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342.</w:t>
      </w:r>
      <w:r w:rsidRPr="00297685">
        <w:rPr>
          <w:rFonts w:ascii="Calibri" w:hAnsi="Calibri" w:cs="Calibri"/>
          <w:sz w:val="18"/>
          <w:szCs w:val="18"/>
        </w:rPr>
        <w:tab/>
        <w:t xml:space="preserve">Hongrapipat, J., Saw, W.-L. &amp; Pang, S. Removal of ammonia from producer gas in biomass gasification: integration of gasification optimisation and hot catalytic gas cleaning. </w:t>
      </w:r>
      <w:r w:rsidRPr="00297685">
        <w:rPr>
          <w:rFonts w:ascii="Calibri" w:hAnsi="Calibri" w:cs="Calibri"/>
          <w:i/>
          <w:iCs/>
          <w:sz w:val="18"/>
          <w:szCs w:val="18"/>
        </w:rPr>
        <w:t>Biomass Conv. Bioref.</w:t>
      </w:r>
      <w:r w:rsidRPr="00297685">
        <w:rPr>
          <w:rFonts w:ascii="Calibri" w:hAnsi="Calibri" w:cs="Calibri"/>
          <w:sz w:val="18"/>
          <w:szCs w:val="18"/>
        </w:rPr>
        <w:t xml:space="preserve"> </w:t>
      </w:r>
      <w:r w:rsidRPr="00297685">
        <w:rPr>
          <w:rFonts w:ascii="Calibri" w:hAnsi="Calibri" w:cs="Calibri"/>
          <w:b/>
          <w:bCs/>
          <w:sz w:val="18"/>
          <w:szCs w:val="18"/>
        </w:rPr>
        <w:t>2</w:t>
      </w:r>
      <w:r w:rsidRPr="00297685">
        <w:rPr>
          <w:rFonts w:ascii="Calibri" w:hAnsi="Calibri" w:cs="Calibri"/>
          <w:sz w:val="18"/>
          <w:szCs w:val="18"/>
        </w:rPr>
        <w:t>, 327–348 (2012).</w:t>
      </w:r>
    </w:p>
    <w:p w14:paraId="0BD7FDC2"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343.</w:t>
      </w:r>
      <w:r w:rsidRPr="00297685">
        <w:rPr>
          <w:rFonts w:ascii="Calibri" w:hAnsi="Calibri" w:cs="Calibri"/>
          <w:sz w:val="18"/>
          <w:szCs w:val="18"/>
        </w:rPr>
        <w:tab/>
        <w:t xml:space="preserve">Azzi, E. S., Karltun, E. &amp; Sundberg, C. Assessing the diverse environmental effects of biochar systems: An evaluation framework. </w:t>
      </w:r>
      <w:r w:rsidRPr="00297685">
        <w:rPr>
          <w:rFonts w:ascii="Calibri" w:hAnsi="Calibri" w:cs="Calibri"/>
          <w:i/>
          <w:iCs/>
          <w:sz w:val="18"/>
          <w:szCs w:val="18"/>
        </w:rPr>
        <w:t>Journal of Environmental Management</w:t>
      </w:r>
      <w:r w:rsidRPr="00297685">
        <w:rPr>
          <w:rFonts w:ascii="Calibri" w:hAnsi="Calibri" w:cs="Calibri"/>
          <w:sz w:val="18"/>
          <w:szCs w:val="18"/>
        </w:rPr>
        <w:t xml:space="preserve"> </w:t>
      </w:r>
      <w:r w:rsidRPr="00297685">
        <w:rPr>
          <w:rFonts w:ascii="Calibri" w:hAnsi="Calibri" w:cs="Calibri"/>
          <w:b/>
          <w:bCs/>
          <w:sz w:val="18"/>
          <w:szCs w:val="18"/>
        </w:rPr>
        <w:t>286</w:t>
      </w:r>
      <w:r w:rsidRPr="00297685">
        <w:rPr>
          <w:rFonts w:ascii="Calibri" w:hAnsi="Calibri" w:cs="Calibri"/>
          <w:sz w:val="18"/>
          <w:szCs w:val="18"/>
        </w:rPr>
        <w:t>, 112154 (2021).</w:t>
      </w:r>
    </w:p>
    <w:p w14:paraId="782EB578" w14:textId="77777777"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rPr>
        <w:t>344.</w:t>
      </w:r>
      <w:r w:rsidRPr="00297685">
        <w:rPr>
          <w:rFonts w:ascii="Calibri" w:hAnsi="Calibri" w:cs="Calibri"/>
          <w:sz w:val="18"/>
          <w:szCs w:val="18"/>
        </w:rPr>
        <w:tab/>
        <w:t xml:space="preserve">Peters, J. F., Iribarren, D. &amp; Dufour, J. Biomass Pyrolysis for Biochar or Energy Applications? </w:t>
      </w:r>
      <w:r w:rsidRPr="00297685">
        <w:rPr>
          <w:rFonts w:ascii="Calibri" w:hAnsi="Calibri" w:cs="Calibri"/>
          <w:sz w:val="18"/>
          <w:szCs w:val="18"/>
          <w:lang w:val="fr-FR"/>
        </w:rPr>
        <w:t xml:space="preserve">A Life Cycle Assessment. </w:t>
      </w:r>
      <w:r w:rsidRPr="00297685">
        <w:rPr>
          <w:rFonts w:ascii="Calibri" w:hAnsi="Calibri" w:cs="Calibri"/>
          <w:i/>
          <w:iCs/>
          <w:sz w:val="18"/>
          <w:szCs w:val="18"/>
          <w:lang w:val="fr-FR"/>
        </w:rPr>
        <w:t>Environ. Sci. Technol.</w:t>
      </w:r>
      <w:r w:rsidRPr="00297685">
        <w:rPr>
          <w:rFonts w:ascii="Calibri" w:hAnsi="Calibri" w:cs="Calibri"/>
          <w:sz w:val="18"/>
          <w:szCs w:val="18"/>
          <w:lang w:val="fr-FR"/>
        </w:rPr>
        <w:t xml:space="preserve"> </w:t>
      </w:r>
      <w:r w:rsidRPr="00297685">
        <w:rPr>
          <w:rFonts w:ascii="Calibri" w:hAnsi="Calibri" w:cs="Calibri"/>
          <w:b/>
          <w:bCs/>
          <w:sz w:val="18"/>
          <w:szCs w:val="18"/>
          <w:lang w:val="fr-FR"/>
        </w:rPr>
        <w:t>49</w:t>
      </w:r>
      <w:r w:rsidRPr="00297685">
        <w:rPr>
          <w:rFonts w:ascii="Calibri" w:hAnsi="Calibri" w:cs="Calibri"/>
          <w:sz w:val="18"/>
          <w:szCs w:val="18"/>
          <w:lang w:val="fr-FR"/>
        </w:rPr>
        <w:t>, 5195–5202 (2015).</w:t>
      </w:r>
    </w:p>
    <w:p w14:paraId="32F4AD1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lang w:val="fr-FR"/>
        </w:rPr>
        <w:t>345.</w:t>
      </w:r>
      <w:r w:rsidRPr="00297685">
        <w:rPr>
          <w:rFonts w:ascii="Calibri" w:hAnsi="Calibri" w:cs="Calibri"/>
          <w:sz w:val="18"/>
          <w:szCs w:val="18"/>
          <w:lang w:val="fr-FR"/>
        </w:rPr>
        <w:tab/>
        <w:t xml:space="preserve">Joseph, S. </w:t>
      </w:r>
      <w:r w:rsidRPr="00297685">
        <w:rPr>
          <w:rFonts w:ascii="Calibri" w:hAnsi="Calibri" w:cs="Calibri"/>
          <w:i/>
          <w:iCs/>
          <w:sz w:val="18"/>
          <w:szCs w:val="18"/>
          <w:lang w:val="fr-FR"/>
        </w:rPr>
        <w:t>et al.</w:t>
      </w:r>
      <w:r w:rsidRPr="00297685">
        <w:rPr>
          <w:rFonts w:ascii="Calibri" w:hAnsi="Calibri" w:cs="Calibri"/>
          <w:sz w:val="18"/>
          <w:szCs w:val="18"/>
          <w:lang w:val="fr-FR"/>
        </w:rPr>
        <w:t xml:space="preserve"> </w:t>
      </w:r>
      <w:r w:rsidRPr="00297685">
        <w:rPr>
          <w:rFonts w:ascii="Calibri" w:hAnsi="Calibri" w:cs="Calibri"/>
          <w:sz w:val="18"/>
          <w:szCs w:val="18"/>
        </w:rPr>
        <w:t xml:space="preserve">How biochar works, and when it doesn’t: A review of mechanisms controlling soil and plant responses to biochar. </w:t>
      </w:r>
      <w:r w:rsidRPr="00297685">
        <w:rPr>
          <w:rFonts w:ascii="Calibri" w:hAnsi="Calibri" w:cs="Calibri"/>
          <w:i/>
          <w:iCs/>
          <w:sz w:val="18"/>
          <w:szCs w:val="18"/>
        </w:rPr>
        <w:t>GCB Bioenergy</w:t>
      </w:r>
      <w:r w:rsidRPr="00297685">
        <w:rPr>
          <w:rFonts w:ascii="Calibri" w:hAnsi="Calibri" w:cs="Calibri"/>
          <w:sz w:val="18"/>
          <w:szCs w:val="18"/>
        </w:rPr>
        <w:t xml:space="preserve"> </w:t>
      </w:r>
      <w:r w:rsidRPr="00297685">
        <w:rPr>
          <w:rFonts w:ascii="Calibri" w:hAnsi="Calibri" w:cs="Calibri"/>
          <w:b/>
          <w:bCs/>
          <w:sz w:val="18"/>
          <w:szCs w:val="18"/>
        </w:rPr>
        <w:t>13</w:t>
      </w:r>
      <w:r w:rsidRPr="00297685">
        <w:rPr>
          <w:rFonts w:ascii="Calibri" w:hAnsi="Calibri" w:cs="Calibri"/>
          <w:sz w:val="18"/>
          <w:szCs w:val="18"/>
        </w:rPr>
        <w:t>, 1731–1764 (2021).</w:t>
      </w:r>
    </w:p>
    <w:p w14:paraId="6FA00B03"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346.</w:t>
      </w:r>
      <w:r w:rsidRPr="00297685">
        <w:rPr>
          <w:rFonts w:ascii="Calibri" w:hAnsi="Calibri" w:cs="Calibri"/>
          <w:sz w:val="18"/>
          <w:szCs w:val="18"/>
        </w:rPr>
        <w:tab/>
        <w:t xml:space="preserve">He, Y. </w:t>
      </w:r>
      <w:r w:rsidRPr="00297685">
        <w:rPr>
          <w:rFonts w:ascii="Calibri" w:hAnsi="Calibri" w:cs="Calibri"/>
          <w:i/>
          <w:iCs/>
          <w:sz w:val="18"/>
          <w:szCs w:val="18"/>
        </w:rPr>
        <w:t>et al.</w:t>
      </w:r>
      <w:r w:rsidRPr="00297685">
        <w:rPr>
          <w:rFonts w:ascii="Calibri" w:hAnsi="Calibri" w:cs="Calibri"/>
          <w:sz w:val="18"/>
          <w:szCs w:val="18"/>
        </w:rPr>
        <w:t xml:space="preserve"> Effects of biochar application on soil greenhouse gas fluxes: a meta-analysis. </w:t>
      </w:r>
      <w:r w:rsidRPr="00297685">
        <w:rPr>
          <w:rFonts w:ascii="Calibri" w:hAnsi="Calibri" w:cs="Calibri"/>
          <w:i/>
          <w:iCs/>
          <w:sz w:val="18"/>
          <w:szCs w:val="18"/>
        </w:rPr>
        <w:t>GCB Bioenergy</w:t>
      </w:r>
      <w:r w:rsidRPr="00297685">
        <w:rPr>
          <w:rFonts w:ascii="Calibri" w:hAnsi="Calibri" w:cs="Calibri"/>
          <w:sz w:val="18"/>
          <w:szCs w:val="18"/>
        </w:rPr>
        <w:t xml:space="preserve"> </w:t>
      </w:r>
      <w:r w:rsidRPr="00297685">
        <w:rPr>
          <w:rFonts w:ascii="Calibri" w:hAnsi="Calibri" w:cs="Calibri"/>
          <w:b/>
          <w:bCs/>
          <w:sz w:val="18"/>
          <w:szCs w:val="18"/>
        </w:rPr>
        <w:t>9</w:t>
      </w:r>
      <w:r w:rsidRPr="00297685">
        <w:rPr>
          <w:rFonts w:ascii="Calibri" w:hAnsi="Calibri" w:cs="Calibri"/>
          <w:sz w:val="18"/>
          <w:szCs w:val="18"/>
        </w:rPr>
        <w:t>, 743–755 (2017).</w:t>
      </w:r>
    </w:p>
    <w:p w14:paraId="69D367E0"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347.</w:t>
      </w:r>
      <w:r w:rsidRPr="00297685">
        <w:rPr>
          <w:rFonts w:ascii="Calibri" w:hAnsi="Calibri" w:cs="Calibri"/>
          <w:sz w:val="18"/>
          <w:szCs w:val="18"/>
        </w:rPr>
        <w:tab/>
        <w:t xml:space="preserve">Andrade, C., Albers, A., Zamora-Ledezma, E. &amp; Hamelin, L. The interplay between bioeconomy and the maintenance of long-term soil organic carbon stock in agricultural soils: A systematic review. </w:t>
      </w:r>
      <w:r w:rsidRPr="00297685">
        <w:rPr>
          <w:rFonts w:ascii="Calibri" w:hAnsi="Calibri" w:cs="Calibri"/>
          <w:i/>
          <w:iCs/>
          <w:sz w:val="18"/>
          <w:szCs w:val="18"/>
        </w:rPr>
        <w:t>Renew. Sust. Energ. Rev.</w:t>
      </w:r>
      <w:r w:rsidRPr="00297685">
        <w:rPr>
          <w:rFonts w:ascii="Calibri" w:hAnsi="Calibri" w:cs="Calibri"/>
          <w:sz w:val="18"/>
          <w:szCs w:val="18"/>
        </w:rPr>
        <w:t xml:space="preserve"> </w:t>
      </w:r>
      <w:r w:rsidRPr="00297685">
        <w:rPr>
          <w:rFonts w:ascii="Calibri" w:hAnsi="Calibri" w:cs="Calibri"/>
          <w:b/>
          <w:bCs/>
          <w:sz w:val="18"/>
          <w:szCs w:val="18"/>
        </w:rPr>
        <w:t>189</w:t>
      </w:r>
      <w:r w:rsidRPr="00297685">
        <w:rPr>
          <w:rFonts w:ascii="Calibri" w:hAnsi="Calibri" w:cs="Calibri"/>
          <w:sz w:val="18"/>
          <w:szCs w:val="18"/>
        </w:rPr>
        <w:t>, 113890 (2023).</w:t>
      </w:r>
    </w:p>
    <w:p w14:paraId="6E44EAE4"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lastRenderedPageBreak/>
        <w:t>348.</w:t>
      </w:r>
      <w:r w:rsidRPr="00297685">
        <w:rPr>
          <w:rFonts w:ascii="Calibri" w:hAnsi="Calibri" w:cs="Calibri"/>
          <w:sz w:val="18"/>
          <w:szCs w:val="18"/>
        </w:rPr>
        <w:tab/>
        <w:t xml:space="preserve">Hergoualc’h, K. </w:t>
      </w:r>
      <w:r w:rsidRPr="00297685">
        <w:rPr>
          <w:rFonts w:ascii="Calibri" w:hAnsi="Calibri" w:cs="Calibri"/>
          <w:i/>
          <w:iCs/>
          <w:sz w:val="18"/>
          <w:szCs w:val="18"/>
        </w:rPr>
        <w:t>et al.</w:t>
      </w:r>
      <w:r w:rsidRPr="00297685">
        <w:rPr>
          <w:rFonts w:ascii="Calibri" w:hAnsi="Calibri" w:cs="Calibri"/>
          <w:sz w:val="18"/>
          <w:szCs w:val="18"/>
        </w:rPr>
        <w:t xml:space="preserve"> Chapter 11 - N2O emissions from managed soils, and CO2 emissions from lime and urea application. in </w:t>
      </w:r>
      <w:r w:rsidRPr="00297685">
        <w:rPr>
          <w:rFonts w:ascii="Calibri" w:hAnsi="Calibri" w:cs="Calibri"/>
          <w:i/>
          <w:iCs/>
          <w:sz w:val="18"/>
          <w:szCs w:val="18"/>
        </w:rPr>
        <w:t>Agriculture, Forestry and Other Land Use</w:t>
      </w:r>
      <w:r w:rsidRPr="00297685">
        <w:rPr>
          <w:rFonts w:ascii="Calibri" w:hAnsi="Calibri" w:cs="Calibri"/>
          <w:sz w:val="18"/>
          <w:szCs w:val="18"/>
        </w:rPr>
        <w:t xml:space="preserve"> vol. 4 48 (IPCC, 2019).</w:t>
      </w:r>
    </w:p>
    <w:p w14:paraId="64F429F5"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lang w:val="fr-FR"/>
        </w:rPr>
        <w:t>349.</w:t>
      </w:r>
      <w:r w:rsidRPr="00297685">
        <w:rPr>
          <w:rFonts w:ascii="Calibri" w:hAnsi="Calibri" w:cs="Calibri"/>
          <w:sz w:val="18"/>
          <w:szCs w:val="18"/>
          <w:lang w:val="fr-FR"/>
        </w:rPr>
        <w:tab/>
        <w:t xml:space="preserve">Farhangi-Abriz, S. </w:t>
      </w:r>
      <w:r w:rsidRPr="00297685">
        <w:rPr>
          <w:rFonts w:ascii="Calibri" w:hAnsi="Calibri" w:cs="Calibri"/>
          <w:i/>
          <w:iCs/>
          <w:sz w:val="18"/>
          <w:szCs w:val="18"/>
          <w:lang w:val="fr-FR"/>
        </w:rPr>
        <w:t>et al.</w:t>
      </w:r>
      <w:r w:rsidRPr="00297685">
        <w:rPr>
          <w:rFonts w:ascii="Calibri" w:hAnsi="Calibri" w:cs="Calibri"/>
          <w:sz w:val="18"/>
          <w:szCs w:val="18"/>
          <w:lang w:val="fr-FR"/>
        </w:rPr>
        <w:t xml:space="preserve"> </w:t>
      </w:r>
      <w:r w:rsidRPr="00297685">
        <w:rPr>
          <w:rFonts w:ascii="Calibri" w:hAnsi="Calibri" w:cs="Calibri"/>
          <w:sz w:val="18"/>
          <w:szCs w:val="18"/>
        </w:rPr>
        <w:t xml:space="preserve">Biochar effects on yield of cereal and legume crops using meta-analysis. </w:t>
      </w:r>
      <w:r w:rsidRPr="00297685">
        <w:rPr>
          <w:rFonts w:ascii="Calibri" w:hAnsi="Calibri" w:cs="Calibri"/>
          <w:i/>
          <w:iCs/>
          <w:sz w:val="18"/>
          <w:szCs w:val="18"/>
        </w:rPr>
        <w:t>Science of The Total Environment</w:t>
      </w:r>
      <w:r w:rsidRPr="00297685">
        <w:rPr>
          <w:rFonts w:ascii="Calibri" w:hAnsi="Calibri" w:cs="Calibri"/>
          <w:sz w:val="18"/>
          <w:szCs w:val="18"/>
        </w:rPr>
        <w:t xml:space="preserve"> </w:t>
      </w:r>
      <w:r w:rsidRPr="00297685">
        <w:rPr>
          <w:rFonts w:ascii="Calibri" w:hAnsi="Calibri" w:cs="Calibri"/>
          <w:b/>
          <w:bCs/>
          <w:sz w:val="18"/>
          <w:szCs w:val="18"/>
        </w:rPr>
        <w:t>775</w:t>
      </w:r>
      <w:r w:rsidRPr="00297685">
        <w:rPr>
          <w:rFonts w:ascii="Calibri" w:hAnsi="Calibri" w:cs="Calibri"/>
          <w:sz w:val="18"/>
          <w:szCs w:val="18"/>
        </w:rPr>
        <w:t>, 145869 (2021).</w:t>
      </w:r>
    </w:p>
    <w:p w14:paraId="05FA8309" w14:textId="77777777" w:rsidR="00297685" w:rsidRPr="00297685" w:rsidRDefault="00297685" w:rsidP="00297685">
      <w:pPr>
        <w:pStyle w:val="Bibliographie"/>
        <w:spacing w:line="240" w:lineRule="auto"/>
        <w:ind w:right="113"/>
        <w:contextualSpacing/>
        <w:jc w:val="both"/>
        <w:rPr>
          <w:rFonts w:ascii="Calibri" w:hAnsi="Calibri" w:cs="Calibri"/>
          <w:sz w:val="18"/>
          <w:szCs w:val="18"/>
          <w:lang w:val="fr-FR"/>
        </w:rPr>
      </w:pPr>
      <w:r w:rsidRPr="00297685">
        <w:rPr>
          <w:rFonts w:ascii="Calibri" w:hAnsi="Calibri" w:cs="Calibri"/>
          <w:sz w:val="18"/>
          <w:szCs w:val="18"/>
          <w:lang w:val="fr-FR"/>
        </w:rPr>
        <w:t>350.</w:t>
      </w:r>
      <w:r w:rsidRPr="00297685">
        <w:rPr>
          <w:rFonts w:ascii="Calibri" w:hAnsi="Calibri" w:cs="Calibri"/>
          <w:sz w:val="18"/>
          <w:szCs w:val="18"/>
          <w:lang w:val="fr-FR"/>
        </w:rPr>
        <w:tab/>
        <w:t xml:space="preserve">Agreste. Infographics - Farming France. </w:t>
      </w:r>
      <w:r w:rsidRPr="00297685">
        <w:rPr>
          <w:rFonts w:ascii="Calibri" w:hAnsi="Calibri" w:cs="Calibri"/>
          <w:i/>
          <w:iCs/>
          <w:sz w:val="18"/>
          <w:szCs w:val="18"/>
          <w:lang w:val="fr-FR"/>
        </w:rPr>
        <w:t>Ministère de l’Agriculture et de l’Alimentation</w:t>
      </w:r>
      <w:r w:rsidRPr="00297685">
        <w:rPr>
          <w:rFonts w:ascii="Calibri" w:hAnsi="Calibri" w:cs="Calibri"/>
          <w:sz w:val="18"/>
          <w:szCs w:val="18"/>
          <w:lang w:val="fr-FR"/>
        </w:rPr>
        <w:t xml:space="preserve"> </w:t>
      </w:r>
      <w:r w:rsidRPr="00297685">
        <w:rPr>
          <w:rFonts w:ascii="Calibri" w:hAnsi="Calibri" w:cs="Calibri"/>
          <w:sz w:val="18"/>
          <w:szCs w:val="18"/>
          <w:lang w:val="fr-FR"/>
        </w:rPr>
        <w:t>https://agriculture.gouv.fr/infographics-farming-france (2021).</w:t>
      </w:r>
    </w:p>
    <w:p w14:paraId="76819A60" w14:textId="30292CEE"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351.</w:t>
      </w:r>
      <w:r w:rsidRPr="00297685">
        <w:rPr>
          <w:rFonts w:ascii="Calibri" w:hAnsi="Calibri" w:cs="Calibri"/>
          <w:sz w:val="18"/>
          <w:szCs w:val="18"/>
        </w:rPr>
        <w:tab/>
        <w:t xml:space="preserve">Abdul Azeez, K. T., P, S., C, M. &amp; P, A. Aspen Plus Simulation of Biomass Gasification: </w:t>
      </w:r>
      <w:proofErr w:type="gramStart"/>
      <w:r w:rsidRPr="00297685">
        <w:rPr>
          <w:rFonts w:ascii="Calibri" w:hAnsi="Calibri" w:cs="Calibri"/>
          <w:sz w:val="18"/>
          <w:szCs w:val="18"/>
        </w:rPr>
        <w:t>a</w:t>
      </w:r>
      <w:proofErr w:type="gramEnd"/>
      <w:r w:rsidRPr="00297685">
        <w:rPr>
          <w:rFonts w:ascii="Calibri" w:hAnsi="Calibri" w:cs="Calibri"/>
          <w:sz w:val="18"/>
          <w:szCs w:val="18"/>
        </w:rPr>
        <w:t xml:space="preserve"> Comprehensive Model Incorporating Reaction Kinetics, Hydrodynamics and Tar Production. </w:t>
      </w:r>
      <w:r w:rsidRPr="00297685">
        <w:rPr>
          <w:rFonts w:ascii="Calibri" w:hAnsi="Calibri" w:cs="Calibri"/>
          <w:i/>
          <w:iCs/>
          <w:sz w:val="18"/>
          <w:szCs w:val="18"/>
        </w:rPr>
        <w:t>Process Integr Optim Sustain</w:t>
      </w:r>
      <w:r w:rsidRPr="00297685">
        <w:rPr>
          <w:rFonts w:ascii="Calibri" w:hAnsi="Calibri" w:cs="Calibri"/>
          <w:sz w:val="18"/>
          <w:szCs w:val="18"/>
        </w:rPr>
        <w:t xml:space="preserve"> (2022).</w:t>
      </w:r>
    </w:p>
    <w:p w14:paraId="650C5839" w14:textId="77777777" w:rsidR="00297685" w:rsidRPr="00297685" w:rsidRDefault="00297685" w:rsidP="00297685">
      <w:pPr>
        <w:pStyle w:val="Bibliographie"/>
        <w:spacing w:line="240" w:lineRule="auto"/>
        <w:ind w:right="113"/>
        <w:contextualSpacing/>
        <w:jc w:val="both"/>
        <w:rPr>
          <w:rFonts w:ascii="Calibri" w:hAnsi="Calibri" w:cs="Calibri"/>
          <w:sz w:val="18"/>
          <w:szCs w:val="18"/>
        </w:rPr>
      </w:pPr>
      <w:r w:rsidRPr="00297685">
        <w:rPr>
          <w:rFonts w:ascii="Calibri" w:hAnsi="Calibri" w:cs="Calibri"/>
          <w:sz w:val="18"/>
          <w:szCs w:val="18"/>
        </w:rPr>
        <w:t>352.</w:t>
      </w:r>
      <w:r w:rsidRPr="00297685">
        <w:rPr>
          <w:rFonts w:ascii="Calibri" w:hAnsi="Calibri" w:cs="Calibri"/>
          <w:sz w:val="18"/>
          <w:szCs w:val="18"/>
        </w:rPr>
        <w:tab/>
        <w:t>Javourez, U. Transforming residual biomass into food and feed, towards an LCA optimization platform. (INSA Toulouse, Toulouse, 2023).</w:t>
      </w:r>
    </w:p>
    <w:p w14:paraId="789B0FCD" w14:textId="25A16C95" w:rsidR="00B87259" w:rsidRPr="00297685" w:rsidRDefault="00447F21" w:rsidP="00297685">
      <w:pPr>
        <w:pStyle w:val="Paragraphedeliste"/>
        <w:spacing w:after="0" w:line="240" w:lineRule="auto"/>
        <w:ind w:right="113"/>
        <w:jc w:val="both"/>
        <w:rPr>
          <w:rStyle w:val="Rfrencelgre"/>
          <w:sz w:val="18"/>
          <w:szCs w:val="18"/>
          <w:lang w:val="fr-FR"/>
        </w:rPr>
        <w:sectPr w:rsidR="00B87259" w:rsidRPr="00297685" w:rsidSect="00B87259">
          <w:type w:val="continuous"/>
          <w:pgSz w:w="11906" w:h="16838"/>
          <w:pgMar w:top="1417" w:right="1417" w:bottom="1417" w:left="1417" w:header="708" w:footer="708" w:gutter="0"/>
          <w:cols w:num="2" w:space="0"/>
          <w:docGrid w:linePitch="360"/>
        </w:sectPr>
      </w:pPr>
      <w:r w:rsidRPr="00297685">
        <w:rPr>
          <w:rStyle w:val="Rfrencelgre"/>
          <w:sz w:val="18"/>
          <w:szCs w:val="18"/>
        </w:rPr>
        <w:fldChar w:fldCharType="end"/>
      </w:r>
    </w:p>
    <w:p w14:paraId="16B98035" w14:textId="443677B4" w:rsidR="00447F21" w:rsidRPr="00297685" w:rsidRDefault="00447F21" w:rsidP="00297685">
      <w:pPr>
        <w:spacing w:after="0" w:line="240" w:lineRule="auto"/>
        <w:ind w:right="113"/>
        <w:contextualSpacing/>
        <w:jc w:val="both"/>
        <w:rPr>
          <w:rStyle w:val="Rfrencelgre"/>
          <w:sz w:val="18"/>
          <w:szCs w:val="18"/>
          <w:lang w:val="fr-FR"/>
        </w:rPr>
      </w:pPr>
    </w:p>
    <w:sectPr w:rsidR="00447F21" w:rsidRPr="00297685" w:rsidSect="00B87259">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D4BECFF" w14:textId="77777777" w:rsidR="009438A8" w:rsidRDefault="009438A8" w:rsidP="0090534D">
      <w:pPr>
        <w:spacing w:after="0" w:line="240" w:lineRule="auto"/>
      </w:pPr>
      <w:r>
        <w:separator/>
      </w:r>
    </w:p>
  </w:endnote>
  <w:endnote w:type="continuationSeparator" w:id="0">
    <w:p w14:paraId="2CC87C59" w14:textId="77777777" w:rsidR="009438A8" w:rsidRDefault="009438A8" w:rsidP="009053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BatangChe">
    <w:charset w:val="81"/>
    <w:family w:val="modern"/>
    <w:pitch w:val="fixed"/>
    <w:sig w:usb0="B00002AF" w:usb1="69D77CFB" w:usb2="00000030" w:usb3="00000000" w:csb0="0008009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Chinese Rocks Rg">
    <w:panose1 w:val="00000400000000000000"/>
    <w:charset w:val="00"/>
    <w:family w:val="modern"/>
    <w:notTrueType/>
    <w:pitch w:val="variable"/>
    <w:sig w:usb0="A000002F" w:usb1="0000201B" w:usb2="00000000" w:usb3="00000000" w:csb0="00000093" w:csb1="00000000"/>
  </w:font>
  <w:font w:name="Cambria Math">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40978137"/>
      <w:docPartObj>
        <w:docPartGallery w:val="Page Numbers (Bottom of Page)"/>
        <w:docPartUnique/>
      </w:docPartObj>
    </w:sdtPr>
    <w:sdtContent>
      <w:p w14:paraId="4FB66F65" w14:textId="356D88DA" w:rsidR="00297685" w:rsidRDefault="00297685">
        <w:pPr>
          <w:pStyle w:val="Pieddepage"/>
          <w:jc w:val="center"/>
        </w:pPr>
        <w:r>
          <w:fldChar w:fldCharType="begin"/>
        </w:r>
        <w:r>
          <w:instrText>PAGE   \* MERGEFORMAT</w:instrText>
        </w:r>
        <w:r>
          <w:fldChar w:fldCharType="separate"/>
        </w:r>
        <w:r>
          <w:rPr>
            <w:lang w:val="fr-FR"/>
          </w:rPr>
          <w:t>2</w:t>
        </w:r>
        <w:r>
          <w:fldChar w:fldCharType="end"/>
        </w:r>
      </w:p>
    </w:sdtContent>
  </w:sdt>
  <w:p w14:paraId="677344CC" w14:textId="77777777" w:rsidR="00297685" w:rsidRDefault="0029768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29851E" w14:textId="77777777" w:rsidR="009438A8" w:rsidRDefault="009438A8" w:rsidP="0090534D">
      <w:pPr>
        <w:spacing w:after="0" w:line="240" w:lineRule="auto"/>
      </w:pPr>
      <w:r>
        <w:separator/>
      </w:r>
    </w:p>
  </w:footnote>
  <w:footnote w:type="continuationSeparator" w:id="0">
    <w:p w14:paraId="20E90DFD" w14:textId="77777777" w:rsidR="009438A8" w:rsidRDefault="009438A8" w:rsidP="009053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BF5CBA"/>
    <w:multiLevelType w:val="hybridMultilevel"/>
    <w:tmpl w:val="50AC40C0"/>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26316C07"/>
    <w:multiLevelType w:val="hybridMultilevel"/>
    <w:tmpl w:val="8E140822"/>
    <w:lvl w:ilvl="0" w:tplc="3C5CED26">
      <w:start w:val="1"/>
      <w:numFmt w:val="lowerLetter"/>
      <w:lvlText w:val="%1."/>
      <w:lvlJc w:val="left"/>
      <w:pPr>
        <w:ind w:left="720" w:hanging="360"/>
      </w:pPr>
      <w:rPr>
        <w:rFonts w:asciiTheme="minorHAnsi" w:eastAsiaTheme="minorHAnsi" w:hAnsiTheme="minorHAnsi" w:cstheme="minorBidi"/>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32010F95"/>
    <w:multiLevelType w:val="hybridMultilevel"/>
    <w:tmpl w:val="F2D0BB1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330C0D3F"/>
    <w:multiLevelType w:val="hybridMultilevel"/>
    <w:tmpl w:val="C2F01FE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7963B43"/>
    <w:multiLevelType w:val="multilevel"/>
    <w:tmpl w:val="73A01CCA"/>
    <w:lvl w:ilvl="0">
      <w:start w:val="1"/>
      <w:numFmt w:val="decimal"/>
      <w:pStyle w:val="Titre1"/>
      <w:lvlText w:val="%1."/>
      <w:lvlJc w:val="left"/>
      <w:pPr>
        <w:ind w:left="720" w:hanging="360"/>
      </w:pPr>
      <w:rPr>
        <w:rFonts w:hint="default"/>
      </w:rPr>
    </w:lvl>
    <w:lvl w:ilvl="1">
      <w:start w:val="1"/>
      <w:numFmt w:val="decimal"/>
      <w:pStyle w:val="Titre2"/>
      <w:isLgl/>
      <w:lvlText w:val="%1.%2."/>
      <w:lvlJc w:val="left"/>
      <w:pPr>
        <w:ind w:left="720" w:hanging="360"/>
      </w:pPr>
      <w:rPr>
        <w:rFonts w:hint="default"/>
      </w:rPr>
    </w:lvl>
    <w:lvl w:ilvl="2">
      <w:start w:val="1"/>
      <w:numFmt w:val="decimal"/>
      <w:pStyle w:val="Titre3"/>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710173F0"/>
    <w:multiLevelType w:val="hybridMultilevel"/>
    <w:tmpl w:val="0292F97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0"/>
  </w:num>
  <w:num w:numId="4">
    <w:abstractNumId w:val="2"/>
  </w:num>
  <w:num w:numId="5">
    <w:abstractNumId w:val="5"/>
  </w:num>
  <w:num w:numId="6">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grammar="clean"/>
  <w:defaultTabStop w:val="28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5F9"/>
    <w:rsid w:val="00010A01"/>
    <w:rsid w:val="00020DF2"/>
    <w:rsid w:val="000254E1"/>
    <w:rsid w:val="00027C37"/>
    <w:rsid w:val="00034B1D"/>
    <w:rsid w:val="0004081E"/>
    <w:rsid w:val="0004103A"/>
    <w:rsid w:val="00042BF3"/>
    <w:rsid w:val="000465F9"/>
    <w:rsid w:val="000517E4"/>
    <w:rsid w:val="00070C34"/>
    <w:rsid w:val="00073CD1"/>
    <w:rsid w:val="00074F88"/>
    <w:rsid w:val="00075F19"/>
    <w:rsid w:val="00090D45"/>
    <w:rsid w:val="000A7F72"/>
    <w:rsid w:val="000B1555"/>
    <w:rsid w:val="000C3E59"/>
    <w:rsid w:val="000C6C37"/>
    <w:rsid w:val="000D6F35"/>
    <w:rsid w:val="00101264"/>
    <w:rsid w:val="00102091"/>
    <w:rsid w:val="00120256"/>
    <w:rsid w:val="0012062A"/>
    <w:rsid w:val="00142FE3"/>
    <w:rsid w:val="00145859"/>
    <w:rsid w:val="001560C9"/>
    <w:rsid w:val="0016358A"/>
    <w:rsid w:val="0017037A"/>
    <w:rsid w:val="00181BBC"/>
    <w:rsid w:val="00186654"/>
    <w:rsid w:val="00190A6B"/>
    <w:rsid w:val="00194EEB"/>
    <w:rsid w:val="001B2C2E"/>
    <w:rsid w:val="001B39E9"/>
    <w:rsid w:val="001B6545"/>
    <w:rsid w:val="001D52CC"/>
    <w:rsid w:val="001F1730"/>
    <w:rsid w:val="00223AF6"/>
    <w:rsid w:val="002379E4"/>
    <w:rsid w:val="00263BBC"/>
    <w:rsid w:val="00265D32"/>
    <w:rsid w:val="00276F3E"/>
    <w:rsid w:val="00297685"/>
    <w:rsid w:val="00297816"/>
    <w:rsid w:val="002A6FDB"/>
    <w:rsid w:val="002B5BD8"/>
    <w:rsid w:val="002B7E5C"/>
    <w:rsid w:val="002C2BEE"/>
    <w:rsid w:val="002C2EA6"/>
    <w:rsid w:val="002C3320"/>
    <w:rsid w:val="002D3BB7"/>
    <w:rsid w:val="002F7540"/>
    <w:rsid w:val="003002F6"/>
    <w:rsid w:val="00300611"/>
    <w:rsid w:val="00303633"/>
    <w:rsid w:val="003057AD"/>
    <w:rsid w:val="003072F5"/>
    <w:rsid w:val="003117F1"/>
    <w:rsid w:val="0032746E"/>
    <w:rsid w:val="00337E7E"/>
    <w:rsid w:val="00367CAA"/>
    <w:rsid w:val="0037673E"/>
    <w:rsid w:val="00376F11"/>
    <w:rsid w:val="00380FFD"/>
    <w:rsid w:val="003939F9"/>
    <w:rsid w:val="003A0A4C"/>
    <w:rsid w:val="003A33EB"/>
    <w:rsid w:val="003A663A"/>
    <w:rsid w:val="003B1307"/>
    <w:rsid w:val="003B36AF"/>
    <w:rsid w:val="003C5C8A"/>
    <w:rsid w:val="003D157D"/>
    <w:rsid w:val="003E786D"/>
    <w:rsid w:val="003F16E8"/>
    <w:rsid w:val="003F35A5"/>
    <w:rsid w:val="003F66F1"/>
    <w:rsid w:val="0040245B"/>
    <w:rsid w:val="00416EEE"/>
    <w:rsid w:val="00425BA0"/>
    <w:rsid w:val="00447F21"/>
    <w:rsid w:val="004515E5"/>
    <w:rsid w:val="004544E2"/>
    <w:rsid w:val="00454A0E"/>
    <w:rsid w:val="00455144"/>
    <w:rsid w:val="0047239E"/>
    <w:rsid w:val="00484941"/>
    <w:rsid w:val="00487401"/>
    <w:rsid w:val="004910B4"/>
    <w:rsid w:val="00491C9E"/>
    <w:rsid w:val="004A3FE2"/>
    <w:rsid w:val="004C02F1"/>
    <w:rsid w:val="004C04E9"/>
    <w:rsid w:val="004C30BE"/>
    <w:rsid w:val="004D0FCE"/>
    <w:rsid w:val="004D7AB5"/>
    <w:rsid w:val="004E2D3F"/>
    <w:rsid w:val="005002CD"/>
    <w:rsid w:val="00512EC8"/>
    <w:rsid w:val="00534660"/>
    <w:rsid w:val="005413B4"/>
    <w:rsid w:val="00545AE3"/>
    <w:rsid w:val="00561B6A"/>
    <w:rsid w:val="00563BD9"/>
    <w:rsid w:val="005734C2"/>
    <w:rsid w:val="0057680A"/>
    <w:rsid w:val="00583069"/>
    <w:rsid w:val="00583C1F"/>
    <w:rsid w:val="005A2F43"/>
    <w:rsid w:val="005B25AB"/>
    <w:rsid w:val="005C55DE"/>
    <w:rsid w:val="005D2A26"/>
    <w:rsid w:val="0063035F"/>
    <w:rsid w:val="00631821"/>
    <w:rsid w:val="00633BB9"/>
    <w:rsid w:val="00635BC3"/>
    <w:rsid w:val="006458E0"/>
    <w:rsid w:val="00655BBB"/>
    <w:rsid w:val="00682E10"/>
    <w:rsid w:val="00683099"/>
    <w:rsid w:val="006A75E1"/>
    <w:rsid w:val="006B5342"/>
    <w:rsid w:val="006B7E52"/>
    <w:rsid w:val="006C0789"/>
    <w:rsid w:val="006C23A2"/>
    <w:rsid w:val="006D537D"/>
    <w:rsid w:val="006E724F"/>
    <w:rsid w:val="006F2AE4"/>
    <w:rsid w:val="006F3D27"/>
    <w:rsid w:val="006F4E6C"/>
    <w:rsid w:val="00703D3A"/>
    <w:rsid w:val="0070429E"/>
    <w:rsid w:val="00716162"/>
    <w:rsid w:val="00730555"/>
    <w:rsid w:val="00732C76"/>
    <w:rsid w:val="007333D2"/>
    <w:rsid w:val="00741930"/>
    <w:rsid w:val="00751183"/>
    <w:rsid w:val="0076460E"/>
    <w:rsid w:val="007758EF"/>
    <w:rsid w:val="0077667E"/>
    <w:rsid w:val="00797E93"/>
    <w:rsid w:val="007B5B6D"/>
    <w:rsid w:val="007B7645"/>
    <w:rsid w:val="007C24CE"/>
    <w:rsid w:val="007C689E"/>
    <w:rsid w:val="007E4154"/>
    <w:rsid w:val="007E5651"/>
    <w:rsid w:val="007E725B"/>
    <w:rsid w:val="007F4F2D"/>
    <w:rsid w:val="008031AE"/>
    <w:rsid w:val="00827449"/>
    <w:rsid w:val="00833050"/>
    <w:rsid w:val="008359D5"/>
    <w:rsid w:val="00847C80"/>
    <w:rsid w:val="00852D80"/>
    <w:rsid w:val="008652FB"/>
    <w:rsid w:val="00874128"/>
    <w:rsid w:val="00877BEE"/>
    <w:rsid w:val="008864B2"/>
    <w:rsid w:val="008A1882"/>
    <w:rsid w:val="008C451C"/>
    <w:rsid w:val="008C7712"/>
    <w:rsid w:val="008D50A1"/>
    <w:rsid w:val="008E3633"/>
    <w:rsid w:val="008E6FAD"/>
    <w:rsid w:val="008F4A58"/>
    <w:rsid w:val="0090534D"/>
    <w:rsid w:val="00907A87"/>
    <w:rsid w:val="00907FB4"/>
    <w:rsid w:val="00917881"/>
    <w:rsid w:val="00932D5C"/>
    <w:rsid w:val="009331C7"/>
    <w:rsid w:val="00936752"/>
    <w:rsid w:val="00942782"/>
    <w:rsid w:val="009438A8"/>
    <w:rsid w:val="00962689"/>
    <w:rsid w:val="00965628"/>
    <w:rsid w:val="00981F01"/>
    <w:rsid w:val="00982F45"/>
    <w:rsid w:val="009839C2"/>
    <w:rsid w:val="00991F7C"/>
    <w:rsid w:val="009943DB"/>
    <w:rsid w:val="009A134C"/>
    <w:rsid w:val="009A570F"/>
    <w:rsid w:val="009A6151"/>
    <w:rsid w:val="009A6FB7"/>
    <w:rsid w:val="009B4A71"/>
    <w:rsid w:val="009C410C"/>
    <w:rsid w:val="009D6669"/>
    <w:rsid w:val="009E77BE"/>
    <w:rsid w:val="009F2C28"/>
    <w:rsid w:val="009F5743"/>
    <w:rsid w:val="009F7DBC"/>
    <w:rsid w:val="00A01585"/>
    <w:rsid w:val="00A01B68"/>
    <w:rsid w:val="00A03425"/>
    <w:rsid w:val="00A10D8D"/>
    <w:rsid w:val="00A11CA6"/>
    <w:rsid w:val="00A37C75"/>
    <w:rsid w:val="00A47F01"/>
    <w:rsid w:val="00A72F74"/>
    <w:rsid w:val="00A75298"/>
    <w:rsid w:val="00A761F8"/>
    <w:rsid w:val="00A860E3"/>
    <w:rsid w:val="00AA0532"/>
    <w:rsid w:val="00AC492D"/>
    <w:rsid w:val="00AE024E"/>
    <w:rsid w:val="00AE0E28"/>
    <w:rsid w:val="00B3458D"/>
    <w:rsid w:val="00B36A0F"/>
    <w:rsid w:val="00B425D7"/>
    <w:rsid w:val="00B63283"/>
    <w:rsid w:val="00B64EB5"/>
    <w:rsid w:val="00B67CB8"/>
    <w:rsid w:val="00B8570E"/>
    <w:rsid w:val="00B87259"/>
    <w:rsid w:val="00B92C6D"/>
    <w:rsid w:val="00B94C7D"/>
    <w:rsid w:val="00B959F6"/>
    <w:rsid w:val="00BB41E9"/>
    <w:rsid w:val="00BC43E5"/>
    <w:rsid w:val="00BF0DEA"/>
    <w:rsid w:val="00BF0EC3"/>
    <w:rsid w:val="00C00E3A"/>
    <w:rsid w:val="00C2099B"/>
    <w:rsid w:val="00C42418"/>
    <w:rsid w:val="00C51E07"/>
    <w:rsid w:val="00C64F16"/>
    <w:rsid w:val="00C65A9A"/>
    <w:rsid w:val="00C828FC"/>
    <w:rsid w:val="00C86BF0"/>
    <w:rsid w:val="00C913E1"/>
    <w:rsid w:val="00C942CE"/>
    <w:rsid w:val="00CB790B"/>
    <w:rsid w:val="00CE2B30"/>
    <w:rsid w:val="00CE3893"/>
    <w:rsid w:val="00CE4EC1"/>
    <w:rsid w:val="00CE55F4"/>
    <w:rsid w:val="00D02C4C"/>
    <w:rsid w:val="00D037DF"/>
    <w:rsid w:val="00D07080"/>
    <w:rsid w:val="00D150D0"/>
    <w:rsid w:val="00D1741A"/>
    <w:rsid w:val="00D27762"/>
    <w:rsid w:val="00D31C73"/>
    <w:rsid w:val="00D35F7D"/>
    <w:rsid w:val="00D457C5"/>
    <w:rsid w:val="00D611A3"/>
    <w:rsid w:val="00D70F7A"/>
    <w:rsid w:val="00D954FE"/>
    <w:rsid w:val="00DA074D"/>
    <w:rsid w:val="00DB67AA"/>
    <w:rsid w:val="00DC3727"/>
    <w:rsid w:val="00DF50C3"/>
    <w:rsid w:val="00DF6528"/>
    <w:rsid w:val="00DF7453"/>
    <w:rsid w:val="00E075D0"/>
    <w:rsid w:val="00E12655"/>
    <w:rsid w:val="00E20E3E"/>
    <w:rsid w:val="00E4561D"/>
    <w:rsid w:val="00E71BA0"/>
    <w:rsid w:val="00E819F5"/>
    <w:rsid w:val="00E860C9"/>
    <w:rsid w:val="00E87DC4"/>
    <w:rsid w:val="00E917B4"/>
    <w:rsid w:val="00E9442B"/>
    <w:rsid w:val="00EB73E9"/>
    <w:rsid w:val="00ED65B5"/>
    <w:rsid w:val="00EF4496"/>
    <w:rsid w:val="00F00FB9"/>
    <w:rsid w:val="00F16190"/>
    <w:rsid w:val="00F22EB0"/>
    <w:rsid w:val="00F234B0"/>
    <w:rsid w:val="00F25F8C"/>
    <w:rsid w:val="00F47AC5"/>
    <w:rsid w:val="00F6256B"/>
    <w:rsid w:val="00F63174"/>
    <w:rsid w:val="00F669A1"/>
    <w:rsid w:val="00F87563"/>
    <w:rsid w:val="00FA1EC9"/>
    <w:rsid w:val="00FB5FB6"/>
    <w:rsid w:val="00FD3AC7"/>
    <w:rsid w:val="00FE231F"/>
    <w:rsid w:val="00FF3A0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AC76537"/>
  <w14:defaultImageDpi w14:val="32767"/>
  <w15:chartTrackingRefBased/>
  <w15:docId w15:val="{2DB34E9A-5EA0-41B6-BCB7-7D4C0F65D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US"/>
    </w:rPr>
  </w:style>
  <w:style w:type="paragraph" w:styleId="Titre1">
    <w:name w:val="heading 1"/>
    <w:basedOn w:val="Paragraphedeliste"/>
    <w:next w:val="Normal"/>
    <w:link w:val="Titre1Car"/>
    <w:uiPriority w:val="9"/>
    <w:qFormat/>
    <w:rsid w:val="00BC43E5"/>
    <w:pPr>
      <w:numPr>
        <w:numId w:val="1"/>
      </w:numPr>
      <w:jc w:val="both"/>
      <w:outlineLvl w:val="0"/>
    </w:pPr>
    <w:rPr>
      <w:b/>
    </w:rPr>
  </w:style>
  <w:style w:type="paragraph" w:styleId="Titre2">
    <w:name w:val="heading 2"/>
    <w:basedOn w:val="Paragraphedeliste"/>
    <w:next w:val="Normal"/>
    <w:link w:val="Titre2Car"/>
    <w:uiPriority w:val="9"/>
    <w:unhideWhenUsed/>
    <w:qFormat/>
    <w:rsid w:val="00BC43E5"/>
    <w:pPr>
      <w:numPr>
        <w:ilvl w:val="1"/>
        <w:numId w:val="1"/>
      </w:numPr>
      <w:jc w:val="both"/>
      <w:outlineLvl w:val="1"/>
    </w:pPr>
    <w:rPr>
      <w:b/>
      <w:i/>
    </w:rPr>
  </w:style>
  <w:style w:type="paragraph" w:styleId="Titre3">
    <w:name w:val="heading 3"/>
    <w:basedOn w:val="Paragraphedeliste"/>
    <w:next w:val="Normal"/>
    <w:link w:val="Titre3Car"/>
    <w:uiPriority w:val="9"/>
    <w:unhideWhenUsed/>
    <w:qFormat/>
    <w:rsid w:val="00BC43E5"/>
    <w:pPr>
      <w:numPr>
        <w:ilvl w:val="2"/>
        <w:numId w:val="1"/>
      </w:numPr>
      <w:jc w:val="both"/>
      <w:outlineLvl w:val="2"/>
    </w:pPr>
    <w:rPr>
      <w:i/>
    </w:rPr>
  </w:style>
  <w:style w:type="paragraph" w:styleId="Titre4">
    <w:name w:val="heading 4"/>
    <w:basedOn w:val="Paragraphedeliste"/>
    <w:next w:val="Normal"/>
    <w:link w:val="Titre4Car"/>
    <w:uiPriority w:val="9"/>
    <w:unhideWhenUsed/>
    <w:qFormat/>
    <w:rsid w:val="00962689"/>
    <w:pPr>
      <w:ind w:left="1080" w:hanging="720"/>
      <w:jc w:val="both"/>
      <w:outlineLvl w:val="3"/>
    </w:pPr>
  </w:style>
  <w:style w:type="paragraph" w:styleId="Titre5">
    <w:name w:val="heading 5"/>
    <w:basedOn w:val="Normal"/>
    <w:next w:val="Normal"/>
    <w:link w:val="Titre5Car"/>
    <w:uiPriority w:val="9"/>
    <w:unhideWhenUsed/>
    <w:qFormat/>
    <w:rsid w:val="00877BEE"/>
    <w:pPr>
      <w:keepNext/>
      <w:keepLines/>
      <w:spacing w:before="40" w:after="0"/>
      <w:outlineLvl w:val="4"/>
    </w:pPr>
    <w:rPr>
      <w:rFonts w:asciiTheme="majorHAnsi" w:eastAsiaTheme="majorEastAsia" w:hAnsiTheme="majorHAnsi" w:cstheme="majorBidi"/>
      <w:i/>
      <w:color w:val="000000" w:themeColor="text1"/>
    </w:rPr>
  </w:style>
  <w:style w:type="paragraph" w:styleId="Titre6">
    <w:name w:val="heading 6"/>
    <w:basedOn w:val="Normal"/>
    <w:next w:val="Normal"/>
    <w:link w:val="Titre6Car"/>
    <w:uiPriority w:val="9"/>
    <w:unhideWhenUsed/>
    <w:qFormat/>
    <w:rsid w:val="003C5C8A"/>
    <w:pPr>
      <w:keepNext/>
      <w:keepLines/>
      <w:spacing w:before="40" w:after="0"/>
      <w:outlineLvl w:val="5"/>
    </w:pPr>
    <w:rPr>
      <w:rFonts w:asciiTheme="majorHAnsi" w:eastAsiaTheme="majorEastAsia" w:hAnsiTheme="majorHAnsi" w:cstheme="majorBidi"/>
      <w:i/>
      <w:color w:val="767171" w:themeColor="background2" w:themeShade="80"/>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D6669"/>
    <w:pPr>
      <w:ind w:left="720"/>
      <w:contextualSpacing/>
    </w:pPr>
  </w:style>
  <w:style w:type="character" w:customStyle="1" w:styleId="Titre1Car">
    <w:name w:val="Titre 1 Car"/>
    <w:basedOn w:val="Policepardfaut"/>
    <w:link w:val="Titre1"/>
    <w:uiPriority w:val="9"/>
    <w:rsid w:val="00BC43E5"/>
    <w:rPr>
      <w:b/>
      <w:lang w:val="en-US"/>
    </w:rPr>
  </w:style>
  <w:style w:type="character" w:customStyle="1" w:styleId="Titre2Car">
    <w:name w:val="Titre 2 Car"/>
    <w:basedOn w:val="Policepardfaut"/>
    <w:link w:val="Titre2"/>
    <w:uiPriority w:val="9"/>
    <w:rsid w:val="00BC43E5"/>
    <w:rPr>
      <w:b/>
      <w:i/>
      <w:lang w:val="en-US"/>
    </w:rPr>
  </w:style>
  <w:style w:type="character" w:customStyle="1" w:styleId="Titre3Car">
    <w:name w:val="Titre 3 Car"/>
    <w:basedOn w:val="Policepardfaut"/>
    <w:link w:val="Titre3"/>
    <w:uiPriority w:val="9"/>
    <w:rsid w:val="00BC43E5"/>
    <w:rPr>
      <w:i/>
      <w:lang w:val="en-US"/>
    </w:rPr>
  </w:style>
  <w:style w:type="paragraph" w:styleId="Lgende">
    <w:name w:val="caption"/>
    <w:basedOn w:val="Normal"/>
    <w:next w:val="Normal"/>
    <w:uiPriority w:val="35"/>
    <w:unhideWhenUsed/>
    <w:qFormat/>
    <w:rsid w:val="00BC43E5"/>
    <w:pPr>
      <w:widowControl w:val="0"/>
      <w:wordWrap w:val="0"/>
      <w:spacing w:before="240" w:after="240" w:line="240" w:lineRule="auto"/>
      <w:jc w:val="center"/>
    </w:pPr>
    <w:rPr>
      <w:rFonts w:eastAsia="BatangChe" w:cs="Angsana New"/>
      <w:b/>
      <w:bCs/>
      <w:kern w:val="2"/>
      <w:sz w:val="20"/>
      <w:szCs w:val="20"/>
      <w:lang w:eastAsia="ko-KR"/>
    </w:rPr>
  </w:style>
  <w:style w:type="table" w:styleId="Tableausimple4">
    <w:name w:val="Plain Table 4"/>
    <w:basedOn w:val="TableauNormal"/>
    <w:uiPriority w:val="44"/>
    <w:rsid w:val="00BC43E5"/>
    <w:pPr>
      <w:spacing w:after="0" w:line="240" w:lineRule="auto"/>
      <w:jc w:val="center"/>
    </w:pPr>
    <w:rPr>
      <w:sz w:val="18"/>
    </w:rPr>
    <w:tblPr>
      <w:tblStyleRowBandSize w:val="1"/>
      <w:tblStyleColBandSize w:val="1"/>
      <w:jc w:val="center"/>
    </w:tblPr>
    <w:trPr>
      <w:jc w:val="center"/>
    </w:tr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lledutableau">
    <w:name w:val="Table Grid"/>
    <w:basedOn w:val="TableauNormal"/>
    <w:uiPriority w:val="39"/>
    <w:rsid w:val="00265D3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4Car">
    <w:name w:val="Titre 4 Car"/>
    <w:basedOn w:val="Policepardfaut"/>
    <w:link w:val="Titre4"/>
    <w:uiPriority w:val="9"/>
    <w:rsid w:val="00962689"/>
    <w:rPr>
      <w:lang w:val="en-US"/>
    </w:rPr>
  </w:style>
  <w:style w:type="paragraph" w:customStyle="1" w:styleId="Contenudetableau">
    <w:name w:val="Contenu de tableau"/>
    <w:basedOn w:val="Normal"/>
    <w:qFormat/>
    <w:rsid w:val="00962689"/>
    <w:pPr>
      <w:suppressLineNumbers/>
    </w:pPr>
  </w:style>
  <w:style w:type="paragraph" w:styleId="Textedebulles">
    <w:name w:val="Balloon Text"/>
    <w:basedOn w:val="Normal"/>
    <w:link w:val="TextedebullesCar"/>
    <w:uiPriority w:val="99"/>
    <w:semiHidden/>
    <w:unhideWhenUsed/>
    <w:rsid w:val="00512EC8"/>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12EC8"/>
    <w:rPr>
      <w:rFonts w:ascii="Segoe UI" w:hAnsi="Segoe UI" w:cs="Segoe UI"/>
      <w:sz w:val="18"/>
      <w:szCs w:val="18"/>
      <w:lang w:val="en-US"/>
    </w:rPr>
  </w:style>
  <w:style w:type="character" w:styleId="Lienhypertexte">
    <w:name w:val="Hyperlink"/>
    <w:basedOn w:val="Policepardfaut"/>
    <w:uiPriority w:val="99"/>
    <w:unhideWhenUsed/>
    <w:rsid w:val="00512EC8"/>
    <w:rPr>
      <w:color w:val="0563C1" w:themeColor="hyperlink"/>
      <w:u w:val="single"/>
    </w:rPr>
  </w:style>
  <w:style w:type="paragraph" w:styleId="Bibliographie">
    <w:name w:val="Bibliography"/>
    <w:basedOn w:val="Normal"/>
    <w:next w:val="Normal"/>
    <w:uiPriority w:val="37"/>
    <w:unhideWhenUsed/>
    <w:rsid w:val="00512EC8"/>
    <w:pPr>
      <w:tabs>
        <w:tab w:val="left" w:pos="504"/>
      </w:tabs>
      <w:spacing w:after="0" w:line="480" w:lineRule="auto"/>
      <w:ind w:left="504" w:hanging="504"/>
    </w:pPr>
  </w:style>
  <w:style w:type="paragraph" w:styleId="Tabledesillustrations">
    <w:name w:val="table of figures"/>
    <w:basedOn w:val="Normal"/>
    <w:next w:val="Normal"/>
    <w:uiPriority w:val="99"/>
    <w:unhideWhenUsed/>
    <w:rsid w:val="00512EC8"/>
    <w:pPr>
      <w:spacing w:after="0"/>
    </w:pPr>
    <w:rPr>
      <w:rFonts w:cstheme="minorHAnsi"/>
      <w:i/>
      <w:iCs/>
      <w:sz w:val="20"/>
      <w:szCs w:val="20"/>
    </w:rPr>
  </w:style>
  <w:style w:type="paragraph" w:styleId="En-tte">
    <w:name w:val="header"/>
    <w:basedOn w:val="Normal"/>
    <w:link w:val="En-tteCar"/>
    <w:uiPriority w:val="99"/>
    <w:unhideWhenUsed/>
    <w:rsid w:val="00512EC8"/>
    <w:pPr>
      <w:tabs>
        <w:tab w:val="center" w:pos="4536"/>
        <w:tab w:val="right" w:pos="9072"/>
      </w:tabs>
      <w:spacing w:after="0" w:line="240" w:lineRule="auto"/>
    </w:pPr>
  </w:style>
  <w:style w:type="character" w:customStyle="1" w:styleId="En-tteCar">
    <w:name w:val="En-tête Car"/>
    <w:basedOn w:val="Policepardfaut"/>
    <w:link w:val="En-tte"/>
    <w:uiPriority w:val="99"/>
    <w:rsid w:val="00512EC8"/>
    <w:rPr>
      <w:lang w:val="en-US"/>
    </w:rPr>
  </w:style>
  <w:style w:type="paragraph" w:styleId="Pieddepage">
    <w:name w:val="footer"/>
    <w:basedOn w:val="Normal"/>
    <w:link w:val="PieddepageCar"/>
    <w:uiPriority w:val="99"/>
    <w:unhideWhenUsed/>
    <w:rsid w:val="00512EC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12EC8"/>
    <w:rPr>
      <w:lang w:val="en-US"/>
    </w:rPr>
  </w:style>
  <w:style w:type="paragraph" w:customStyle="1" w:styleId="MARQUEDECHAPITRE">
    <w:name w:val="MARQUE DE CHAPITRE"/>
    <w:basedOn w:val="En-tte"/>
    <w:autoRedefine/>
    <w:qFormat/>
    <w:rsid w:val="00512EC8"/>
    <w:pPr>
      <w:suppressAutoHyphens/>
    </w:pPr>
    <w:rPr>
      <w:rFonts w:ascii="Chinese Rocks Rg" w:eastAsiaTheme="minorEastAsia" w:hAnsi="Chinese Rocks Rg"/>
      <w:smallCaps/>
      <w:color w:val="FFFFFF" w:themeColor="background1"/>
      <w:sz w:val="28"/>
      <w:lang w:val="fr-FR"/>
    </w:rPr>
  </w:style>
  <w:style w:type="character" w:customStyle="1" w:styleId="fontstyle01">
    <w:name w:val="fontstyle01"/>
    <w:basedOn w:val="Policepardfaut"/>
    <w:rsid w:val="00CE55F4"/>
    <w:rPr>
      <w:rFonts w:ascii="Calibri" w:hAnsi="Calibri" w:cs="Calibri" w:hint="default"/>
      <w:b w:val="0"/>
      <w:bCs w:val="0"/>
      <w:i w:val="0"/>
      <w:iCs w:val="0"/>
      <w:color w:val="000000"/>
      <w:sz w:val="22"/>
      <w:szCs w:val="22"/>
    </w:rPr>
  </w:style>
  <w:style w:type="table" w:styleId="Tableausimple2">
    <w:name w:val="Plain Table 2"/>
    <w:basedOn w:val="TableauNormal"/>
    <w:uiPriority w:val="42"/>
    <w:rsid w:val="00CE55F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Titre5Car">
    <w:name w:val="Titre 5 Car"/>
    <w:basedOn w:val="Policepardfaut"/>
    <w:link w:val="Titre5"/>
    <w:uiPriority w:val="9"/>
    <w:rsid w:val="00877BEE"/>
    <w:rPr>
      <w:rFonts w:asciiTheme="majorHAnsi" w:eastAsiaTheme="majorEastAsia" w:hAnsiTheme="majorHAnsi" w:cstheme="majorBidi"/>
      <w:i/>
      <w:color w:val="000000" w:themeColor="text1"/>
      <w:lang w:val="en-US"/>
    </w:rPr>
  </w:style>
  <w:style w:type="character" w:customStyle="1" w:styleId="Titre6Car">
    <w:name w:val="Titre 6 Car"/>
    <w:basedOn w:val="Policepardfaut"/>
    <w:link w:val="Titre6"/>
    <w:uiPriority w:val="9"/>
    <w:rsid w:val="003C5C8A"/>
    <w:rPr>
      <w:rFonts w:asciiTheme="majorHAnsi" w:eastAsiaTheme="majorEastAsia" w:hAnsiTheme="majorHAnsi" w:cstheme="majorBidi"/>
      <w:i/>
      <w:color w:val="767171" w:themeColor="background2" w:themeShade="80"/>
      <w:lang w:val="en-US"/>
    </w:rPr>
  </w:style>
  <w:style w:type="character" w:customStyle="1" w:styleId="code">
    <w:name w:val="code"/>
    <w:basedOn w:val="Policepardfaut"/>
    <w:rsid w:val="00E20E3E"/>
  </w:style>
  <w:style w:type="character" w:styleId="Mentionnonrsolue">
    <w:name w:val="Unresolved Mention"/>
    <w:basedOn w:val="Policepardfaut"/>
    <w:uiPriority w:val="99"/>
    <w:semiHidden/>
    <w:unhideWhenUsed/>
    <w:rsid w:val="00732C76"/>
    <w:rPr>
      <w:color w:val="605E5C"/>
      <w:shd w:val="clear" w:color="auto" w:fill="E1DFDD"/>
    </w:rPr>
  </w:style>
  <w:style w:type="character" w:styleId="Lienhypertextesuivivisit">
    <w:name w:val="FollowedHyperlink"/>
    <w:basedOn w:val="Policepardfaut"/>
    <w:uiPriority w:val="99"/>
    <w:semiHidden/>
    <w:unhideWhenUsed/>
    <w:rsid w:val="00732C76"/>
    <w:rPr>
      <w:color w:val="954F72" w:themeColor="followedHyperlink"/>
      <w:u w:val="single"/>
    </w:rPr>
  </w:style>
  <w:style w:type="paragraph" w:styleId="Titre">
    <w:name w:val="Title"/>
    <w:basedOn w:val="Normal"/>
    <w:next w:val="Normal"/>
    <w:link w:val="TitreCar"/>
    <w:uiPriority w:val="10"/>
    <w:qFormat/>
    <w:rsid w:val="00732C76"/>
    <w:pPr>
      <w:jc w:val="center"/>
    </w:pPr>
    <w:rPr>
      <w:b/>
    </w:rPr>
  </w:style>
  <w:style w:type="character" w:customStyle="1" w:styleId="TitreCar">
    <w:name w:val="Titre Car"/>
    <w:basedOn w:val="Policepardfaut"/>
    <w:link w:val="Titre"/>
    <w:uiPriority w:val="10"/>
    <w:rsid w:val="00732C76"/>
    <w:rPr>
      <w:b/>
      <w:lang w:val="en-US"/>
    </w:rPr>
  </w:style>
  <w:style w:type="paragraph" w:styleId="Sous-titre">
    <w:name w:val="Subtitle"/>
    <w:basedOn w:val="Normal"/>
    <w:next w:val="Normal"/>
    <w:link w:val="Sous-titreCar"/>
    <w:uiPriority w:val="11"/>
    <w:qFormat/>
    <w:rsid w:val="00732C76"/>
    <w:pPr>
      <w:jc w:val="center"/>
    </w:pPr>
    <w:rPr>
      <w:b/>
    </w:rPr>
  </w:style>
  <w:style w:type="character" w:customStyle="1" w:styleId="Sous-titreCar">
    <w:name w:val="Sous-titre Car"/>
    <w:basedOn w:val="Policepardfaut"/>
    <w:link w:val="Sous-titre"/>
    <w:uiPriority w:val="11"/>
    <w:rsid w:val="00732C76"/>
    <w:rPr>
      <w:b/>
      <w:lang w:val="en-US"/>
    </w:rPr>
  </w:style>
  <w:style w:type="character" w:customStyle="1" w:styleId="resultdatasetcitationblock">
    <w:name w:val="resultdatasetcitationblock"/>
    <w:basedOn w:val="Policepardfaut"/>
    <w:rsid w:val="00732C76"/>
  </w:style>
  <w:style w:type="paragraph" w:styleId="En-ttedetabledesmatires">
    <w:name w:val="TOC Heading"/>
    <w:basedOn w:val="Titre1"/>
    <w:next w:val="Normal"/>
    <w:uiPriority w:val="39"/>
    <w:unhideWhenUsed/>
    <w:qFormat/>
    <w:rsid w:val="00447F21"/>
    <w:pPr>
      <w:keepNext/>
      <w:keepLines/>
      <w:numPr>
        <w:numId w:val="0"/>
      </w:numPr>
      <w:spacing w:before="240" w:after="0"/>
      <w:contextualSpacing w:val="0"/>
      <w:jc w:val="left"/>
      <w:outlineLvl w:val="9"/>
    </w:pPr>
    <w:rPr>
      <w:rFonts w:asciiTheme="majorHAnsi" w:eastAsiaTheme="majorEastAsia" w:hAnsiTheme="majorHAnsi" w:cstheme="majorBidi"/>
      <w:b w:val="0"/>
      <w:color w:val="2F5496" w:themeColor="accent1" w:themeShade="BF"/>
      <w:sz w:val="32"/>
      <w:szCs w:val="32"/>
      <w:lang w:val="fr-FR" w:eastAsia="fr-FR"/>
    </w:rPr>
  </w:style>
  <w:style w:type="paragraph" w:styleId="TM1">
    <w:name w:val="toc 1"/>
    <w:basedOn w:val="Normal"/>
    <w:next w:val="Normal"/>
    <w:autoRedefine/>
    <w:uiPriority w:val="39"/>
    <w:unhideWhenUsed/>
    <w:rsid w:val="00447F21"/>
    <w:pPr>
      <w:spacing w:after="100"/>
    </w:pPr>
  </w:style>
  <w:style w:type="paragraph" w:styleId="TM2">
    <w:name w:val="toc 2"/>
    <w:basedOn w:val="Normal"/>
    <w:next w:val="Normal"/>
    <w:autoRedefine/>
    <w:uiPriority w:val="39"/>
    <w:unhideWhenUsed/>
    <w:rsid w:val="00447F21"/>
    <w:pPr>
      <w:spacing w:after="100"/>
      <w:ind w:left="220"/>
    </w:pPr>
  </w:style>
  <w:style w:type="paragraph" w:styleId="TM3">
    <w:name w:val="toc 3"/>
    <w:basedOn w:val="Normal"/>
    <w:next w:val="Normal"/>
    <w:autoRedefine/>
    <w:uiPriority w:val="39"/>
    <w:unhideWhenUsed/>
    <w:rsid w:val="00447F21"/>
    <w:pPr>
      <w:spacing w:after="100"/>
      <w:ind w:left="440"/>
    </w:pPr>
  </w:style>
  <w:style w:type="character" w:customStyle="1" w:styleId="citation-select">
    <w:name w:val="citation-select"/>
    <w:basedOn w:val="Policepardfaut"/>
    <w:rsid w:val="004910B4"/>
  </w:style>
  <w:style w:type="character" w:styleId="Rfrencelgre">
    <w:name w:val="Subtle Reference"/>
    <w:basedOn w:val="Policepardfaut"/>
    <w:uiPriority w:val="31"/>
    <w:qFormat/>
    <w:rsid w:val="00B87259"/>
    <w:rPr>
      <w:smallCaps/>
      <w:color w:val="5A5A5A" w:themeColor="text1" w:themeTint="A5"/>
    </w:rPr>
  </w:style>
  <w:style w:type="character" w:styleId="Numrodeligne">
    <w:name w:val="line number"/>
    <w:basedOn w:val="Policepardfaut"/>
    <w:uiPriority w:val="99"/>
    <w:semiHidden/>
    <w:unhideWhenUsed/>
    <w:rsid w:val="004E2D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48531/JBRU.CALMIP/UJVBTR"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67BEED-B41B-43A3-BD34-D9EC125EF2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1938</TotalTime>
  <Pages>126</Pages>
  <Words>407799</Words>
  <Characters>2324459</Characters>
  <Application>Microsoft Office Word</Application>
  <DocSecurity>0</DocSecurity>
  <Lines>19370</Lines>
  <Paragraphs>5453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2726805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Ugo Javourez</dc:creator>
  <cp:keywords/>
  <dc:description/>
  <cp:lastModifiedBy>Ugo Javourez</cp:lastModifiedBy>
  <cp:revision>126</cp:revision>
  <dcterms:created xsi:type="dcterms:W3CDTF">2023-07-21T14:45:00Z</dcterms:created>
  <dcterms:modified xsi:type="dcterms:W3CDTF">2024-03-10T18:02:00Z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id="H34I4KNF"/&gt;&lt;style id="http://www.zotero.org/styles/nature" hasBibliography="1" bibliographyStyleHasBeenSet="1"/&gt;&lt;prefs&gt;&lt;pref name="fieldType" value="Field"/&gt;&lt;pref name="delayCitationUpdates" valu</vt:lpwstr>
  </property>
  <property fmtid="{D5CDD505-2E9C-101B-9397-08002B2CF9AE}" pid="3" name="ZOTERO_PREF_2">
    <vt:lpwstr>e="true"/&gt;&lt;pref name="dontAskDelayCitationUpdates" value="true"/&gt;&lt;/prefs&gt;&lt;/data&gt;</vt:lpwstr>
  </property>
</Properties>
</file>